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43" w:rsidRPr="00F5392B" w:rsidRDefault="00216643" w:rsidP="00216643">
      <w:pPr>
        <w:jc w:val="both"/>
        <w:rPr>
          <w:rFonts w:ascii="Arial" w:hAnsi="Arial" w:cs="Arial"/>
          <w:b/>
          <w:sz w:val="22"/>
          <w:szCs w:val="22"/>
        </w:rPr>
      </w:pPr>
      <w:r w:rsidRPr="00F5392B">
        <w:rPr>
          <w:rFonts w:ascii="Arial" w:hAnsi="Arial" w:cs="Arial"/>
          <w:b/>
          <w:sz w:val="22"/>
          <w:szCs w:val="22"/>
        </w:rPr>
        <w:t xml:space="preserve">CONTROVERSIAS CONTRACTUALES </w:t>
      </w:r>
      <w:r w:rsidR="00F5392B">
        <w:rPr>
          <w:rFonts w:ascii="Arial" w:hAnsi="Arial" w:cs="Arial"/>
          <w:b/>
          <w:sz w:val="22"/>
          <w:szCs w:val="22"/>
        </w:rPr>
        <w:t>-</w:t>
      </w:r>
      <w:r w:rsidRPr="00F5392B">
        <w:rPr>
          <w:rFonts w:ascii="Arial" w:hAnsi="Arial" w:cs="Arial"/>
          <w:sz w:val="22"/>
          <w:szCs w:val="22"/>
        </w:rPr>
        <w:t xml:space="preserve"> </w:t>
      </w:r>
      <w:r w:rsidR="000E1883">
        <w:rPr>
          <w:rFonts w:ascii="Arial" w:hAnsi="Arial" w:cs="Arial"/>
          <w:b/>
          <w:sz w:val="22"/>
          <w:szCs w:val="22"/>
        </w:rPr>
        <w:t>Ca</w:t>
      </w:r>
      <w:r w:rsidR="00F5392B" w:rsidRPr="00F5392B">
        <w:rPr>
          <w:rFonts w:ascii="Arial" w:hAnsi="Arial" w:cs="Arial"/>
          <w:b/>
          <w:sz w:val="22"/>
          <w:szCs w:val="22"/>
        </w:rPr>
        <w:t>d</w:t>
      </w:r>
      <w:r w:rsidR="000E1883">
        <w:rPr>
          <w:rFonts w:ascii="Arial" w:hAnsi="Arial" w:cs="Arial"/>
          <w:b/>
          <w:sz w:val="22"/>
          <w:szCs w:val="22"/>
        </w:rPr>
        <w:t>ucidad</w:t>
      </w:r>
      <w:r w:rsidR="00F5392B" w:rsidRPr="00F5392B">
        <w:rPr>
          <w:rFonts w:ascii="Arial" w:hAnsi="Arial" w:cs="Arial"/>
          <w:b/>
          <w:sz w:val="22"/>
          <w:szCs w:val="22"/>
        </w:rPr>
        <w:t xml:space="preserve"> de la ac</w:t>
      </w:r>
      <w:bookmarkStart w:id="0" w:name="_GoBack"/>
      <w:bookmarkEnd w:id="0"/>
      <w:r w:rsidR="00F5392B" w:rsidRPr="00F5392B">
        <w:rPr>
          <w:rFonts w:ascii="Arial" w:hAnsi="Arial" w:cs="Arial"/>
          <w:b/>
          <w:sz w:val="22"/>
          <w:szCs w:val="22"/>
        </w:rPr>
        <w:t>ció</w:t>
      </w:r>
      <w:r w:rsidRPr="00F5392B">
        <w:rPr>
          <w:rFonts w:ascii="Arial" w:hAnsi="Arial" w:cs="Arial"/>
          <w:b/>
          <w:sz w:val="22"/>
          <w:szCs w:val="22"/>
        </w:rPr>
        <w:t xml:space="preserve">n </w:t>
      </w:r>
    </w:p>
    <w:p w:rsidR="00216643" w:rsidRPr="00F5392B" w:rsidRDefault="00216643" w:rsidP="00216643">
      <w:pPr>
        <w:jc w:val="both"/>
        <w:rPr>
          <w:rFonts w:ascii="Arial" w:hAnsi="Arial" w:cs="Arial"/>
          <w:b/>
          <w:sz w:val="22"/>
          <w:szCs w:val="22"/>
        </w:rPr>
      </w:pPr>
    </w:p>
    <w:p w:rsidR="00216643" w:rsidRPr="00F5392B" w:rsidRDefault="00216643" w:rsidP="00216643">
      <w:pPr>
        <w:jc w:val="both"/>
        <w:rPr>
          <w:rFonts w:ascii="Arial" w:hAnsi="Arial" w:cs="Arial"/>
          <w:sz w:val="22"/>
          <w:szCs w:val="22"/>
        </w:rPr>
      </w:pPr>
      <w:r w:rsidRPr="00F5392B">
        <w:rPr>
          <w:rFonts w:ascii="Arial" w:hAnsi="Arial" w:cs="Arial"/>
          <w:sz w:val="22"/>
          <w:szCs w:val="22"/>
        </w:rPr>
        <w:t>El presente debate gira alrededor del presunto incumplimiento y/o ruptura del equilibrio económico del Contrato de Concesión No. 475 de 2007, celebrado entre el Instituto Distrital para la Recreación y el Deporte y la Unión temporal Publiestadios, aspecto que, al tenor de lo dispuesto en el artículo 87 del C.C.A., corresponde ventilarse a través del cauce de la acción contractual impetrada. (…) resulta pertinente destacar que el Contrato de Concesión objeto de análisis, celebrado el 27 de abril de 2007, por un plazo de 10 años, aún se encuentra en etapa de ejecución. (…) atendiendo a la regla general de caducidad de la acción contractual que orienta a que su cómputo inicial se asiente al día siguiente de ocurridos los motivos de hecho y de derecho que le sirven de fundamento, ha de concluirse entonces que al haberse interpuesto la demanda el 13 de febrero de 2012, el ejercicio de la acción fue oportuno ya que para ese entonces no habían transcurrido los dos años contados, incluso, desde el inicio del primero de los períodos señalados.</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sz w:val="22"/>
          <w:szCs w:val="22"/>
        </w:rPr>
      </w:pPr>
      <w:r w:rsidRPr="00F5392B">
        <w:rPr>
          <w:rFonts w:ascii="Arial" w:hAnsi="Arial" w:cs="Arial"/>
          <w:b/>
          <w:sz w:val="22"/>
          <w:szCs w:val="22"/>
        </w:rPr>
        <w:t>EQUILIBRIO ECON</w:t>
      </w:r>
      <w:r w:rsidR="006B1766">
        <w:rPr>
          <w:rFonts w:ascii="Arial" w:hAnsi="Arial" w:cs="Arial"/>
          <w:b/>
          <w:sz w:val="22"/>
          <w:szCs w:val="22"/>
        </w:rPr>
        <w:t>Ó</w:t>
      </w:r>
      <w:r w:rsidRPr="00F5392B">
        <w:rPr>
          <w:rFonts w:ascii="Arial" w:hAnsi="Arial" w:cs="Arial"/>
          <w:b/>
          <w:sz w:val="22"/>
          <w:szCs w:val="22"/>
        </w:rPr>
        <w:t xml:space="preserve">MICO </w:t>
      </w:r>
      <w:r w:rsidR="00F5392B" w:rsidRPr="00F5392B">
        <w:rPr>
          <w:rFonts w:ascii="Arial" w:hAnsi="Arial" w:cs="Arial"/>
          <w:b/>
          <w:sz w:val="22"/>
          <w:szCs w:val="22"/>
        </w:rPr>
        <w:t>DEL CONTRATO -</w:t>
      </w:r>
      <w:r w:rsidRPr="00F5392B">
        <w:rPr>
          <w:rFonts w:ascii="Arial" w:hAnsi="Arial" w:cs="Arial"/>
          <w:sz w:val="22"/>
          <w:szCs w:val="22"/>
        </w:rPr>
        <w:t xml:space="preserve"> </w:t>
      </w:r>
      <w:r w:rsidRPr="00F5392B">
        <w:rPr>
          <w:rFonts w:ascii="Arial" w:hAnsi="Arial" w:cs="Arial"/>
          <w:b/>
          <w:sz w:val="22"/>
          <w:szCs w:val="22"/>
        </w:rPr>
        <w:t>Consecuencias</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sz w:val="22"/>
          <w:szCs w:val="22"/>
        </w:rPr>
      </w:pPr>
      <w:r w:rsidRPr="00F5392B">
        <w:rPr>
          <w:rFonts w:ascii="Arial" w:hAnsi="Arial" w:cs="Arial"/>
          <w:sz w:val="22"/>
          <w:szCs w:val="22"/>
        </w:rPr>
        <w:t xml:space="preserve">No han sido pocos los pronunciamientos de esta Subsección en los cuales se ha enfatizado que la conservación del sinalagma </w:t>
      </w:r>
      <w:proofErr w:type="gramStart"/>
      <w:r w:rsidRPr="00F5392B">
        <w:rPr>
          <w:rFonts w:ascii="Arial" w:hAnsi="Arial" w:cs="Arial"/>
          <w:sz w:val="22"/>
          <w:szCs w:val="22"/>
        </w:rPr>
        <w:t>prestacional  propende</w:t>
      </w:r>
      <w:proofErr w:type="gramEnd"/>
      <w:r w:rsidRPr="00F5392B">
        <w:rPr>
          <w:rFonts w:ascii="Arial" w:hAnsi="Arial" w:cs="Arial"/>
          <w:sz w:val="22"/>
          <w:szCs w:val="22"/>
        </w:rPr>
        <w:t xml:space="preserve"> por asegurar que durante la ejecución del contrato se mantengan las mismas condiciones económicas y/o financieras que las partes tuvieron en cuenta al momento de presentar oferta y que le sirvieron de cimiento a la misma. (…)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“Hecho del Príncipe” o “Ius variandi”, dependiendo de la entidad de donde emanen, pero que no se derivan de la conducta antijurídica del extremo público contratante. (…) este acontecimiento dará lugar a que la parte afectada solicite a su </w:t>
      </w:r>
      <w:proofErr w:type="gramStart"/>
      <w:r w:rsidRPr="00F5392B">
        <w:rPr>
          <w:rFonts w:ascii="Arial" w:hAnsi="Arial" w:cs="Arial"/>
          <w:sz w:val="22"/>
          <w:szCs w:val="22"/>
        </w:rPr>
        <w:t>co-contratante</w:t>
      </w:r>
      <w:proofErr w:type="gramEnd"/>
      <w:r w:rsidRPr="00F5392B">
        <w:rPr>
          <w:rFonts w:ascii="Arial" w:hAnsi="Arial" w:cs="Arial"/>
          <w:sz w:val="22"/>
          <w:szCs w:val="22"/>
        </w:rPr>
        <w:t xml:space="preserve"> la adopción de los mecanismos de ajuste y revisión de precios, así como la implementación de los procedimientos de revisión y corrección de tales mecanismos si fracasan los supuestos o hipótesis para la ejecución del contrato.</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b/>
          <w:sz w:val="22"/>
          <w:szCs w:val="22"/>
        </w:rPr>
      </w:pPr>
      <w:r w:rsidRPr="00F5392B">
        <w:rPr>
          <w:rFonts w:ascii="Arial" w:hAnsi="Arial" w:cs="Arial"/>
          <w:b/>
          <w:sz w:val="22"/>
          <w:szCs w:val="22"/>
        </w:rPr>
        <w:t xml:space="preserve">INCUMPLIMIENTO DEL CONTRATO </w:t>
      </w:r>
      <w:r w:rsidR="00F5392B">
        <w:rPr>
          <w:rFonts w:ascii="Arial" w:hAnsi="Arial" w:cs="Arial"/>
          <w:b/>
          <w:sz w:val="22"/>
          <w:szCs w:val="22"/>
        </w:rPr>
        <w:t>-</w:t>
      </w:r>
      <w:r w:rsidRPr="00F5392B">
        <w:rPr>
          <w:rFonts w:ascii="Arial" w:hAnsi="Arial" w:cs="Arial"/>
          <w:sz w:val="22"/>
          <w:szCs w:val="22"/>
        </w:rPr>
        <w:t xml:space="preserve"> </w:t>
      </w:r>
      <w:r w:rsidRPr="00F5392B">
        <w:rPr>
          <w:rFonts w:ascii="Arial" w:hAnsi="Arial" w:cs="Arial"/>
          <w:b/>
          <w:sz w:val="22"/>
          <w:szCs w:val="22"/>
        </w:rPr>
        <w:t xml:space="preserve">Definición </w:t>
      </w:r>
      <w:r w:rsidR="00F5392B">
        <w:rPr>
          <w:rFonts w:ascii="Arial" w:hAnsi="Arial" w:cs="Arial"/>
          <w:b/>
          <w:sz w:val="22"/>
          <w:szCs w:val="22"/>
        </w:rPr>
        <w:t>-</w:t>
      </w:r>
      <w:r w:rsidRPr="00F5392B">
        <w:rPr>
          <w:rFonts w:ascii="Arial" w:hAnsi="Arial" w:cs="Arial"/>
          <w:b/>
          <w:sz w:val="22"/>
          <w:szCs w:val="22"/>
        </w:rPr>
        <w:t xml:space="preserve"> Configuración</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sz w:val="22"/>
          <w:szCs w:val="22"/>
        </w:rPr>
      </w:pPr>
      <w:r w:rsidRPr="00F5392B">
        <w:rPr>
          <w:rFonts w:ascii="Arial" w:hAnsi="Arial" w:cs="Arial"/>
          <w:sz w:val="22"/>
          <w:szCs w:val="22"/>
        </w:rPr>
        <w:t xml:space="preserve">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 (…)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 tiene ocurrencia cuando la actuación de las partes desconoce el catálogo de principios que orientan la contratación estatal y que igualmente se entienden incorporados en la relación jurídica bilateral. (…) el incumplimiento se origina en una conducta alejada de la juridicidad de uno de los extremos </w:t>
      </w:r>
      <w:proofErr w:type="gramStart"/>
      <w:r w:rsidRPr="00F5392B">
        <w:rPr>
          <w:rFonts w:ascii="Arial" w:hAnsi="Arial" w:cs="Arial"/>
          <w:sz w:val="22"/>
          <w:szCs w:val="22"/>
        </w:rPr>
        <w:t>co-contratantes</w:t>
      </w:r>
      <w:proofErr w:type="gramEnd"/>
      <w:r w:rsidRPr="00F5392B">
        <w:rPr>
          <w:rFonts w:ascii="Arial" w:hAnsi="Arial" w:cs="Arial"/>
          <w:sz w:val="22"/>
          <w:szCs w:val="22"/>
        </w:rPr>
        <w:t xml:space="preserve"> que, de manera injustificada, se sustrae de la satisfacción de las prestaciones a su cargo en el tiempo y en la forma estipulados. Su 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b/>
          <w:sz w:val="22"/>
          <w:szCs w:val="22"/>
        </w:rPr>
      </w:pPr>
      <w:r w:rsidRPr="00F5392B">
        <w:rPr>
          <w:rFonts w:ascii="Arial" w:hAnsi="Arial" w:cs="Arial"/>
          <w:b/>
          <w:sz w:val="22"/>
          <w:szCs w:val="22"/>
        </w:rPr>
        <w:t>MODIFICACI</w:t>
      </w:r>
      <w:r w:rsidR="003627D7">
        <w:rPr>
          <w:rFonts w:ascii="Arial" w:hAnsi="Arial" w:cs="Arial"/>
          <w:b/>
          <w:sz w:val="22"/>
          <w:szCs w:val="22"/>
        </w:rPr>
        <w:t>ÓN</w:t>
      </w:r>
      <w:r w:rsidRPr="00F5392B">
        <w:rPr>
          <w:rFonts w:ascii="Arial" w:hAnsi="Arial" w:cs="Arial"/>
          <w:b/>
          <w:sz w:val="22"/>
          <w:szCs w:val="22"/>
        </w:rPr>
        <w:t xml:space="preserve"> DEL CONTRATO </w:t>
      </w:r>
      <w:r w:rsidR="00F5392B">
        <w:rPr>
          <w:rFonts w:ascii="Arial" w:hAnsi="Arial" w:cs="Arial"/>
          <w:b/>
          <w:sz w:val="22"/>
          <w:szCs w:val="22"/>
        </w:rPr>
        <w:t>-</w:t>
      </w:r>
      <w:r w:rsidRPr="00F5392B">
        <w:rPr>
          <w:rFonts w:ascii="Arial" w:hAnsi="Arial" w:cs="Arial"/>
          <w:sz w:val="22"/>
          <w:szCs w:val="22"/>
        </w:rPr>
        <w:t xml:space="preserve"> </w:t>
      </w:r>
      <w:r w:rsidRPr="00F5392B">
        <w:rPr>
          <w:rFonts w:ascii="Arial" w:hAnsi="Arial" w:cs="Arial"/>
          <w:b/>
          <w:sz w:val="22"/>
          <w:szCs w:val="22"/>
        </w:rPr>
        <w:t>Modificación unilateral</w:t>
      </w:r>
      <w:r w:rsidRPr="00F5392B">
        <w:rPr>
          <w:rFonts w:ascii="Arial" w:hAnsi="Arial" w:cs="Arial"/>
          <w:sz w:val="22"/>
          <w:szCs w:val="22"/>
        </w:rPr>
        <w:t xml:space="preserve"> </w:t>
      </w:r>
      <w:r w:rsidR="00F5392B">
        <w:rPr>
          <w:rFonts w:ascii="Arial" w:hAnsi="Arial" w:cs="Arial"/>
          <w:b/>
          <w:sz w:val="22"/>
          <w:szCs w:val="22"/>
        </w:rPr>
        <w:t>- Ius variandi -</w:t>
      </w:r>
      <w:r w:rsidRPr="00F5392B">
        <w:rPr>
          <w:rFonts w:ascii="Arial" w:hAnsi="Arial" w:cs="Arial"/>
          <w:b/>
          <w:sz w:val="22"/>
          <w:szCs w:val="22"/>
        </w:rPr>
        <w:t xml:space="preserve"> Modificación de condiciones </w:t>
      </w:r>
      <w:r w:rsidR="00F5392B" w:rsidRPr="00F5392B">
        <w:rPr>
          <w:rFonts w:ascii="Arial" w:hAnsi="Arial" w:cs="Arial"/>
          <w:b/>
          <w:sz w:val="22"/>
          <w:szCs w:val="22"/>
        </w:rPr>
        <w:t>- E</w:t>
      </w:r>
      <w:r w:rsidRPr="00F5392B">
        <w:rPr>
          <w:rFonts w:ascii="Arial" w:hAnsi="Arial" w:cs="Arial"/>
          <w:b/>
          <w:sz w:val="22"/>
          <w:szCs w:val="22"/>
        </w:rPr>
        <w:t>xis</w:t>
      </w:r>
      <w:r w:rsidR="00F5392B">
        <w:rPr>
          <w:rFonts w:ascii="Arial" w:hAnsi="Arial" w:cs="Arial"/>
          <w:b/>
          <w:sz w:val="22"/>
          <w:szCs w:val="22"/>
        </w:rPr>
        <w:t>tentes al momento de contratar -</w:t>
      </w:r>
      <w:r w:rsidRPr="00F5392B">
        <w:rPr>
          <w:rFonts w:ascii="Arial" w:hAnsi="Arial" w:cs="Arial"/>
          <w:b/>
          <w:sz w:val="22"/>
          <w:szCs w:val="22"/>
        </w:rPr>
        <w:t xml:space="preserve"> Utilidad del contratista </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sz w:val="22"/>
          <w:szCs w:val="22"/>
        </w:rPr>
      </w:pPr>
      <w:r w:rsidRPr="00F5392B">
        <w:rPr>
          <w:rFonts w:ascii="Arial" w:hAnsi="Arial" w:cs="Arial"/>
          <w:sz w:val="22"/>
          <w:szCs w:val="22"/>
        </w:rPr>
        <w:t xml:space="preserve">Resulta claro para la Sala que la modificación unilateral del contrato no obedeció al arbitrio injustificado de la entidad, sino a la necesidad de evitar que se paralizara la ejecución del objeto concesionado ante el imperativo que surgió en relación con la realización de las obras civiles de adecuación del estadio para el campeonato mundial de fútbol Sub-20 que se aproximaba. (…) Así pues, se tiene que la causa que habría de generar un impacto en la normal ejecución del contrato y que obligaba al cambio de ubicación de la pantalla exterior </w:t>
      </w:r>
      <w:r w:rsidRPr="00F5392B">
        <w:rPr>
          <w:rFonts w:ascii="Arial" w:hAnsi="Arial" w:cs="Arial"/>
          <w:sz w:val="22"/>
          <w:szCs w:val="22"/>
        </w:rPr>
        <w:lastRenderedPageBreak/>
        <w:t>y en cuyo mérito válidamente acudió al ejercicio del ius variandi, no comportó antijuridicidad alguna en la conducta de la entidad pública que invadiera la órbita de su responsabilidad contractual. (…) La manifestación de la entidad relacionada con el reconocimiento de utilidades en favor del contratista dejadas de percibir durante la realización de las actividades de desmonte, traslado y montaje de la pantalla, implantada en el acto administrativo de modificación unilateral, constituyó una medida adoptada por la entidad en desarrollo de la autonomía de su voluntad, dirigida a contener los efectos del ejercicio de la potestad excepcional como causa generadora de ruptura del equilibrio económico del contrato. Por esta razón, el análisis del caso merece abordarse desde la perspectiva de la ruptura del equilibrio económico del contrato derivada del ius variandi, para cuyo restablecimiento la entidad se comprometió a reconocer a favor del contratista las utilidades dejadas de percibir por el interregno en el que se ejecutaran las obras de traslado de la pantalla, siempre que el contratista presentara su estimación ante el IDRD con los respectivos soportes contables. (…) se colige que, de reunirse el supuesto fáctico previsto para su reconocimiento, es decir, que el concesionario presentara la estimación de la utilidad dejada de percibir durante el período en que duraron las obras de traslado y montaje de la pantalla apoyada en los respectivos soportes contables, la entidad estaría obligada a su pago.</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b/>
          <w:sz w:val="22"/>
          <w:szCs w:val="22"/>
        </w:rPr>
      </w:pPr>
      <w:r w:rsidRPr="00F5392B">
        <w:rPr>
          <w:rFonts w:ascii="Arial" w:hAnsi="Arial" w:cs="Arial"/>
          <w:b/>
          <w:sz w:val="22"/>
          <w:szCs w:val="22"/>
        </w:rPr>
        <w:t xml:space="preserve">REGLAS </w:t>
      </w:r>
      <w:r w:rsidR="00F5392B" w:rsidRPr="00F5392B">
        <w:rPr>
          <w:rFonts w:ascii="Arial" w:hAnsi="Arial" w:cs="Arial"/>
          <w:b/>
          <w:sz w:val="22"/>
          <w:szCs w:val="22"/>
        </w:rPr>
        <w:t>DE INTERPRETRACIÓN</w:t>
      </w:r>
      <w:r w:rsidRPr="00F5392B">
        <w:rPr>
          <w:rFonts w:ascii="Arial" w:hAnsi="Arial" w:cs="Arial"/>
          <w:b/>
          <w:sz w:val="22"/>
          <w:szCs w:val="22"/>
        </w:rPr>
        <w:t xml:space="preserve"> </w:t>
      </w:r>
      <w:r w:rsidR="00F5392B" w:rsidRPr="00F5392B">
        <w:rPr>
          <w:rFonts w:ascii="Arial" w:hAnsi="Arial" w:cs="Arial"/>
          <w:b/>
          <w:sz w:val="22"/>
          <w:szCs w:val="22"/>
        </w:rPr>
        <w:t>-</w:t>
      </w:r>
      <w:r w:rsidRPr="00F5392B">
        <w:rPr>
          <w:rFonts w:ascii="Arial" w:hAnsi="Arial" w:cs="Arial"/>
          <w:sz w:val="22"/>
          <w:szCs w:val="22"/>
        </w:rPr>
        <w:t xml:space="preserve"> </w:t>
      </w:r>
      <w:r w:rsidR="00F5392B" w:rsidRPr="00F5392B">
        <w:rPr>
          <w:rFonts w:ascii="Arial" w:hAnsi="Arial" w:cs="Arial"/>
          <w:b/>
          <w:sz w:val="22"/>
          <w:szCs w:val="22"/>
        </w:rPr>
        <w:t>Principio - C</w:t>
      </w:r>
      <w:r w:rsidRPr="00F5392B">
        <w:rPr>
          <w:rFonts w:ascii="Arial" w:hAnsi="Arial" w:cs="Arial"/>
          <w:b/>
          <w:sz w:val="22"/>
          <w:szCs w:val="22"/>
        </w:rPr>
        <w:t>onfianza l</w:t>
      </w:r>
      <w:r w:rsidR="00F5392B" w:rsidRPr="00F5392B">
        <w:rPr>
          <w:rFonts w:ascii="Arial" w:hAnsi="Arial" w:cs="Arial"/>
          <w:b/>
          <w:sz w:val="22"/>
          <w:szCs w:val="22"/>
        </w:rPr>
        <w:t>egítima - Fundamento normativo -</w:t>
      </w:r>
      <w:r w:rsidRPr="00F5392B">
        <w:rPr>
          <w:rFonts w:ascii="Arial" w:hAnsi="Arial" w:cs="Arial"/>
          <w:b/>
          <w:sz w:val="22"/>
          <w:szCs w:val="22"/>
        </w:rPr>
        <w:t xml:space="preserve"> Principio de conmutatividad</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sz w:val="22"/>
          <w:szCs w:val="22"/>
        </w:rPr>
      </w:pPr>
      <w:r w:rsidRPr="00F5392B">
        <w:rPr>
          <w:rFonts w:ascii="Arial" w:hAnsi="Arial" w:cs="Arial"/>
          <w:sz w:val="22"/>
          <w:szCs w:val="22"/>
        </w:rPr>
        <w:t>Existe una relación directa entre la teoría de los actos propios y el principio de la confianza legítima que estriba en que de ambos se desprende para los administrados la garantía de que al Estado, a través de sus entidades, le asiste el deber de obrar con rectitud, claridad y precisión, cuestión que a su turno le impide actuar de manera opuesta e inconcordante o de emitir decisiones contrarias a aquellas que anteladamente emanaron de la misma entidad pública y en mérito de las cuales se generó un convencimiento frente a determinados asuntos. También concurre una relación inescindible entre el principio de confianza legítima y el principio de buena fe, en cuanto este último impone a ambas partes una actitud de lealtad mutua, de fidelidad y honestidad, todo lo cual se traduce en el respeto a las reglas preestablecidas y conocidas por ambas partes desde el momento en que surgieron; por contera, cualquier variación sorpresiva de tales cánones por una de las partes, sin duda resultaría contraria a la esperada y exigible buena fe. (…) La Sala observa que en el número 29) de la cláusula segunda del Contrato No. 475 en la que la entidad asentó su defensa (…)  contiene una seria contradicción en tanto, por un lado, contempla la renuncia del concesionario, desde la suscripción del contrato, a elevar reclamaciones derivadas del desequilibrio económico, pero a renglón seguido impone la observancia y apego a lo dispuesto en el artículo 27 de la Ley 80 de 1993, norma que precisamente se encarga de regular el mantenimiento de la equivalencia entre derechos y obligaciones surgidos al momento de proponer y de adoptar las medidas necesarias para su restablecimiento en el evento en que dicha igualdad se rompa por causas no imputables al afectado. Así pues, ante la dualidad interpretativa que ofrece la estipulación que se revisa, la comprensión que habrá de privilegiarse corresponderá a aquella que consulte el acatamiento de la disposición legal reguladora del mantenimiento de la ecuación contractual, no solo porque así lo orientan las reglas de interpretación contractuales que descansan en la protección del principio de conmutatividad, sino porque el entendimiento dispensado por esta Subsección a las renuncias anticipadas en torno a los efectos derivados del desequilibrio económico del contrato, esto es, realizadas antes de que ocurra el supuesto de fractura, apunta a señalar que las mismas no estarían llamadas a producir efectos por cuenta de su ineficacia.</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b/>
          <w:sz w:val="22"/>
          <w:szCs w:val="22"/>
        </w:rPr>
      </w:pPr>
      <w:r w:rsidRPr="00F5392B">
        <w:rPr>
          <w:rFonts w:ascii="Arial" w:hAnsi="Arial" w:cs="Arial"/>
          <w:b/>
          <w:sz w:val="22"/>
          <w:szCs w:val="22"/>
        </w:rPr>
        <w:t xml:space="preserve">PRINCIPIO DE TRANSPARENCIA </w:t>
      </w:r>
      <w:r w:rsidR="00F5392B">
        <w:rPr>
          <w:rFonts w:ascii="Arial" w:hAnsi="Arial" w:cs="Arial"/>
          <w:b/>
          <w:sz w:val="22"/>
          <w:szCs w:val="22"/>
        </w:rPr>
        <w:t>-</w:t>
      </w:r>
      <w:r w:rsidRPr="00F5392B">
        <w:rPr>
          <w:rFonts w:ascii="Arial" w:hAnsi="Arial" w:cs="Arial"/>
          <w:sz w:val="22"/>
          <w:szCs w:val="22"/>
        </w:rPr>
        <w:t xml:space="preserve"> </w:t>
      </w:r>
      <w:r w:rsidR="00F5392B">
        <w:rPr>
          <w:rFonts w:ascii="Arial" w:hAnsi="Arial" w:cs="Arial"/>
          <w:b/>
          <w:sz w:val="22"/>
          <w:szCs w:val="22"/>
        </w:rPr>
        <w:t>Riesgos del contrato -</w:t>
      </w:r>
      <w:r w:rsidR="00F5392B" w:rsidRPr="00F5392B">
        <w:rPr>
          <w:rFonts w:ascii="Arial" w:hAnsi="Arial" w:cs="Arial"/>
          <w:b/>
          <w:sz w:val="22"/>
          <w:szCs w:val="22"/>
        </w:rPr>
        <w:t xml:space="preserve"> </w:t>
      </w:r>
      <w:r w:rsidRPr="00F5392B">
        <w:rPr>
          <w:rFonts w:ascii="Arial" w:hAnsi="Arial" w:cs="Arial"/>
          <w:b/>
          <w:sz w:val="22"/>
          <w:szCs w:val="22"/>
        </w:rPr>
        <w:t xml:space="preserve">Distribución del riesgo </w:t>
      </w:r>
      <w:r w:rsidR="00F5392B" w:rsidRPr="00F5392B">
        <w:rPr>
          <w:rFonts w:ascii="Arial" w:hAnsi="Arial" w:cs="Arial"/>
          <w:b/>
          <w:sz w:val="22"/>
          <w:szCs w:val="22"/>
        </w:rPr>
        <w:t>- Ejecución del contrato</w:t>
      </w:r>
    </w:p>
    <w:p w:rsidR="00216643" w:rsidRPr="00F5392B" w:rsidRDefault="00216643" w:rsidP="00216643">
      <w:pPr>
        <w:jc w:val="both"/>
        <w:rPr>
          <w:rFonts w:ascii="Arial" w:hAnsi="Arial" w:cs="Arial"/>
          <w:sz w:val="22"/>
          <w:szCs w:val="22"/>
        </w:rPr>
      </w:pPr>
    </w:p>
    <w:p w:rsidR="00216643" w:rsidRPr="00F5392B" w:rsidRDefault="00216643" w:rsidP="00216643">
      <w:pPr>
        <w:jc w:val="both"/>
        <w:rPr>
          <w:rFonts w:ascii="Arial" w:hAnsi="Arial" w:cs="Arial"/>
          <w:sz w:val="22"/>
          <w:szCs w:val="22"/>
        </w:rPr>
      </w:pPr>
      <w:r w:rsidRPr="00F5392B">
        <w:rPr>
          <w:rFonts w:ascii="Arial" w:hAnsi="Arial" w:cs="Arial"/>
          <w:sz w:val="22"/>
          <w:szCs w:val="22"/>
        </w:rPr>
        <w:t xml:space="preserve">Aun cuando la tipología del contrato de concesión supone, entre otros aspectos, que el concesionario asume la adecuada prestación o funcionamiento de la obra, bien o servicio “por su cuenta y riesgo”, ello no equivale afirmar que por gracia de esa disposición se encuentre compelido a asumir todas las alteraciones que se presenten durante la ejecución del proyecto y que causen un efecto nocivo en su economía. En ese sentido, se advierte </w:t>
      </w:r>
      <w:r w:rsidRPr="00F5392B">
        <w:rPr>
          <w:rFonts w:ascii="Arial" w:hAnsi="Arial" w:cs="Arial"/>
          <w:sz w:val="22"/>
          <w:szCs w:val="22"/>
        </w:rPr>
        <w:lastRenderedPageBreak/>
        <w:t>que dicho precepto legal necesariamente debe atemperarse al compendio regulatorio en el que se encuentra vertido, en cuyo contenido igualmente se halla inmerso un catálogo de reglas y principios que determinan un margen objetivo y razonable encaminado a impedir, por motivos de equidad y justicia, una distribución absoluta de riesgos en cabeza exclusiva de una sola de las partes del contrato. Muestra de ello son las previsiones concebidas en el artículo 24 del Estatuto de Contratación Estatal, dirigidas a cristalizar el principio de transparencia, de conformidad con las cuales, en el documento precontractual, que posteriormente se integrará el contrato adjudicado, no se exigirán condiciones de imposible cumplimiento y no se inducirán ofrecimientos de extensión ilimitada o que dependan de la voluntad exclusiva de la entidad, todo lo cual se traduce en la imposibilidad de asignar al particular la carga de asumir cualquier tipo de riesgo sin importar su imprevisibilidad, su naturaleza y dimensión. (…) Tampoco resultaría ajustado a derecho asignar al concesionario la asunción de los riesgos cuya concreción se derive directamente de la voluntad exclusiva de la entidad contratante y que tuvieran la virtualidad de afectar la normal ejecución del contrato. (…) Tal sería el caso de los supuestos de incumplimiento contractual o de la ocurrencia de circunstancias constitutivas de ruptura del equilibrio económico del contrato originadas en la actuación de la Administración contratante como se presentaría en los eventos del ejercicio del ius variandi o del hecho del príncipe. Aceptar lo contrario, llevaría a una vulneración flagrante del artículo 14 del Estatuto de Contratación Estatal, del cual se desprende que en los actos en que se ejerciten la potestad excepcional de modificación unilateral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 se prevé que durante la etapa precontractual debe diseñarse la respectiva matriz de riesgos que habrá de regir la vida del contrato y, en mérito de ello, le asiste a la entidad el deber de elaborar con precisión la identificación, tipificación y asignación de riesgos, deber que en todo corresponde ejercerse con estricta sujeción a los principios y reglas que le sirven de apoyo.</w:t>
      </w:r>
    </w:p>
    <w:p w:rsidR="00216643" w:rsidRPr="00F5392B" w:rsidRDefault="00216643" w:rsidP="00216643">
      <w:pPr>
        <w:jc w:val="both"/>
        <w:rPr>
          <w:rFonts w:ascii="Arial" w:hAnsi="Arial" w:cs="Arial"/>
          <w:sz w:val="22"/>
          <w:szCs w:val="22"/>
        </w:rPr>
      </w:pPr>
    </w:p>
    <w:p w:rsidR="00216643" w:rsidRPr="00F5392B" w:rsidRDefault="00F5392B" w:rsidP="00216643">
      <w:pPr>
        <w:jc w:val="both"/>
        <w:rPr>
          <w:rFonts w:ascii="Arial" w:hAnsi="Arial" w:cs="Arial"/>
          <w:sz w:val="22"/>
          <w:szCs w:val="22"/>
        </w:rPr>
      </w:pPr>
      <w:r w:rsidRPr="00F5392B">
        <w:rPr>
          <w:rFonts w:ascii="Arial" w:hAnsi="Arial" w:cs="Arial"/>
          <w:b/>
          <w:sz w:val="22"/>
          <w:szCs w:val="22"/>
        </w:rPr>
        <w:t>EQUILIBRIO ECONÓ</w:t>
      </w:r>
      <w:r w:rsidR="00216643" w:rsidRPr="00F5392B">
        <w:rPr>
          <w:rFonts w:ascii="Arial" w:hAnsi="Arial" w:cs="Arial"/>
          <w:b/>
          <w:sz w:val="22"/>
          <w:szCs w:val="22"/>
        </w:rPr>
        <w:t xml:space="preserve">MICO </w:t>
      </w:r>
      <w:r w:rsidRPr="00F5392B">
        <w:rPr>
          <w:rFonts w:ascii="Arial" w:hAnsi="Arial" w:cs="Arial"/>
          <w:b/>
          <w:sz w:val="22"/>
          <w:szCs w:val="22"/>
        </w:rPr>
        <w:t>DEL CONTRATO -</w:t>
      </w:r>
      <w:r w:rsidR="00216643" w:rsidRPr="00F5392B">
        <w:rPr>
          <w:rFonts w:ascii="Arial" w:hAnsi="Arial" w:cs="Arial"/>
          <w:b/>
          <w:sz w:val="22"/>
          <w:szCs w:val="22"/>
        </w:rPr>
        <w:t xml:space="preserve"> </w:t>
      </w:r>
      <w:r w:rsidRPr="00F5392B">
        <w:rPr>
          <w:rFonts w:ascii="Arial" w:hAnsi="Arial" w:cs="Arial"/>
          <w:b/>
          <w:sz w:val="22"/>
          <w:szCs w:val="22"/>
        </w:rPr>
        <w:t xml:space="preserve">Ruptura - </w:t>
      </w:r>
      <w:r w:rsidR="00216643" w:rsidRPr="00F5392B">
        <w:rPr>
          <w:rFonts w:ascii="Arial" w:hAnsi="Arial" w:cs="Arial"/>
          <w:b/>
          <w:sz w:val="22"/>
          <w:szCs w:val="22"/>
        </w:rPr>
        <w:t>Hecho del príncipe – Configuración</w:t>
      </w:r>
    </w:p>
    <w:p w:rsidR="00216643" w:rsidRPr="00F5392B" w:rsidRDefault="00216643" w:rsidP="00216643">
      <w:pPr>
        <w:jc w:val="both"/>
        <w:rPr>
          <w:rFonts w:ascii="Arial" w:hAnsi="Arial" w:cs="Arial"/>
          <w:sz w:val="22"/>
          <w:szCs w:val="22"/>
        </w:rPr>
      </w:pPr>
      <w:r w:rsidRPr="00F5392B">
        <w:rPr>
          <w:rFonts w:ascii="Arial" w:hAnsi="Arial" w:cs="Arial"/>
          <w:sz w:val="22"/>
          <w:szCs w:val="22"/>
        </w:rPr>
        <w:t xml:space="preserve"> </w:t>
      </w:r>
    </w:p>
    <w:p w:rsidR="00216643" w:rsidRPr="00F5392B" w:rsidRDefault="00216643" w:rsidP="00216643">
      <w:pPr>
        <w:jc w:val="both"/>
        <w:rPr>
          <w:rFonts w:ascii="Arial" w:hAnsi="Arial" w:cs="Arial"/>
          <w:sz w:val="22"/>
          <w:szCs w:val="22"/>
        </w:rPr>
      </w:pPr>
      <w:r w:rsidRPr="00F5392B">
        <w:rPr>
          <w:rFonts w:ascii="Arial" w:hAnsi="Arial" w:cs="Arial"/>
          <w:sz w:val="22"/>
          <w:szCs w:val="22"/>
        </w:rPr>
        <w:t>Tanto la jurisprudencia y la doctrina foráneas y locales han coincidido en sostener que una de las causas de fractura del sinalagma prestacional puede radicar en el hecho del príncipe o “factum principis”, entendido como una actuación o medida general del Estado que impacta de manera refleja el equilibrio económico del contrato, aun cuando no es su finalidad repercutir directamente en el mismo. (…) Algunas posturas han considerado, de forma restrictiva, que su configuración se supedita a que sea de la misma entidad contratante, aunque no actuando en esa condición, de donde emana la decisión generadora del impacto económico, dado que en el evento de provenir de una autoridad diferente se ha concebido que en esa hipótesis se abriría paso a la aplicación de la teoría de la imprevisión. (…) En otros pronunciamientos, de corte más amplio, se ha estimado que se presenta el hecho del príncipe cuando cualquier autoridad del Estado dicta una disposición de carácter general que afecta la economía de un contrato específico, con independencia de que aquella no se identifique o no sea la misma que conforma el extremo contratante.</w:t>
      </w:r>
    </w:p>
    <w:p w:rsidR="00F64A4D" w:rsidRPr="00F5392B" w:rsidRDefault="00F64A4D" w:rsidP="00324778">
      <w:pPr>
        <w:jc w:val="both"/>
        <w:rPr>
          <w:rFonts w:ascii="Arial" w:hAnsi="Arial" w:cs="Arial"/>
          <w:sz w:val="22"/>
          <w:szCs w:val="22"/>
          <w:lang w:val="es-CO"/>
        </w:rPr>
      </w:pPr>
    </w:p>
    <w:p w:rsidR="00F64A4D" w:rsidRPr="00F5392B" w:rsidRDefault="00216643" w:rsidP="00324778">
      <w:pPr>
        <w:jc w:val="both"/>
        <w:rPr>
          <w:rFonts w:ascii="Arial" w:hAnsi="Arial" w:cs="Arial"/>
          <w:b/>
          <w:sz w:val="22"/>
          <w:szCs w:val="22"/>
        </w:rPr>
      </w:pPr>
      <w:r w:rsidRPr="00F5392B">
        <w:rPr>
          <w:rFonts w:ascii="Arial" w:hAnsi="Arial" w:cs="Arial"/>
          <w:b/>
          <w:sz w:val="22"/>
          <w:szCs w:val="22"/>
          <w:lang w:val="es-CO"/>
        </w:rPr>
        <w:t>CONTRA</w:t>
      </w:r>
      <w:r w:rsidR="00F5392B" w:rsidRPr="00F5392B">
        <w:rPr>
          <w:rFonts w:ascii="Arial" w:hAnsi="Arial" w:cs="Arial"/>
          <w:b/>
          <w:sz w:val="22"/>
          <w:szCs w:val="22"/>
          <w:lang w:val="es-CO"/>
        </w:rPr>
        <w:t>TO DE CONCESIÓN -</w:t>
      </w:r>
      <w:r w:rsidRPr="00F5392B">
        <w:rPr>
          <w:rFonts w:ascii="Arial" w:hAnsi="Arial" w:cs="Arial"/>
          <w:b/>
          <w:sz w:val="22"/>
          <w:szCs w:val="22"/>
          <w:lang w:val="es-CO"/>
        </w:rPr>
        <w:t xml:space="preserve"> Ruptura del equilibrio económico </w:t>
      </w:r>
      <w:r w:rsidR="00F64A4D" w:rsidRPr="00F5392B">
        <w:rPr>
          <w:rFonts w:ascii="Arial" w:hAnsi="Arial" w:cs="Arial"/>
          <w:b/>
          <w:sz w:val="22"/>
          <w:szCs w:val="22"/>
          <w:lang w:val="es-CO"/>
        </w:rPr>
        <w:t xml:space="preserve">- </w:t>
      </w:r>
      <w:r w:rsidR="00291F7B" w:rsidRPr="00F5392B">
        <w:rPr>
          <w:rFonts w:ascii="Arial" w:hAnsi="Arial" w:cs="Arial"/>
          <w:b/>
          <w:sz w:val="22"/>
          <w:szCs w:val="22"/>
          <w:lang w:val="es-CO"/>
        </w:rPr>
        <w:t>Existente p</w:t>
      </w:r>
      <w:r w:rsidR="00F64A4D" w:rsidRPr="00F5392B">
        <w:rPr>
          <w:rFonts w:ascii="Arial" w:hAnsi="Arial" w:cs="Arial"/>
          <w:b/>
          <w:sz w:val="22"/>
          <w:szCs w:val="22"/>
          <w:lang w:val="es-CO"/>
        </w:rPr>
        <w:t xml:space="preserve">or el hecho del príncipe </w:t>
      </w:r>
      <w:r w:rsidR="00324778" w:rsidRPr="00F5392B">
        <w:rPr>
          <w:rFonts w:ascii="Arial" w:hAnsi="Arial" w:cs="Arial"/>
          <w:b/>
          <w:sz w:val="22"/>
          <w:szCs w:val="22"/>
        </w:rPr>
        <w:t>- Condena</w:t>
      </w:r>
      <w:r w:rsidR="00F5392B" w:rsidRPr="00F5392B">
        <w:rPr>
          <w:rFonts w:ascii="Arial" w:hAnsi="Arial" w:cs="Arial"/>
          <w:b/>
          <w:sz w:val="22"/>
          <w:szCs w:val="22"/>
        </w:rPr>
        <w:t xml:space="preserve"> por lucro cesante</w:t>
      </w:r>
    </w:p>
    <w:p w:rsidR="00F5392B" w:rsidRPr="00F5392B" w:rsidRDefault="00F5392B" w:rsidP="00324778">
      <w:pPr>
        <w:jc w:val="both"/>
        <w:rPr>
          <w:rFonts w:ascii="Arial" w:hAnsi="Arial" w:cs="Arial"/>
          <w:sz w:val="22"/>
          <w:szCs w:val="22"/>
          <w:lang w:val="es-CO"/>
        </w:rPr>
      </w:pPr>
    </w:p>
    <w:p w:rsidR="004F681E" w:rsidRPr="00F5392B" w:rsidRDefault="004F681E" w:rsidP="00324778">
      <w:pPr>
        <w:widowControl w:val="0"/>
        <w:autoSpaceDE w:val="0"/>
        <w:autoSpaceDN w:val="0"/>
        <w:adjustRightInd w:val="0"/>
        <w:jc w:val="both"/>
        <w:outlineLvl w:val="0"/>
        <w:rPr>
          <w:rFonts w:ascii="Arial" w:hAnsi="Arial" w:cs="Arial"/>
          <w:sz w:val="22"/>
          <w:szCs w:val="22"/>
          <w:lang w:val="es-CO"/>
        </w:rPr>
      </w:pPr>
      <w:r w:rsidRPr="00F5392B">
        <w:rPr>
          <w:rFonts w:ascii="Arial" w:hAnsi="Arial" w:cs="Arial"/>
          <w:sz w:val="22"/>
          <w:szCs w:val="22"/>
        </w:rPr>
        <w:t xml:space="preserve">En mérito de lo expuesto, la Sala revocará la sentencia apelada, para, en su lugar, </w:t>
      </w:r>
      <w:r w:rsidRPr="00F5392B">
        <w:rPr>
          <w:rFonts w:ascii="Arial" w:hAnsi="Arial" w:cs="Arial"/>
          <w:sz w:val="22"/>
          <w:szCs w:val="22"/>
          <w:lang w:val="es-CO"/>
        </w:rPr>
        <w:t xml:space="preserve">declarar que durante la ejecución del Contrato de Concesión No. 475 de 2007 se presentaron circunstancias generadoras de ruptura de su equilibrio económico por la inoperancia de la pantalla exterior </w:t>
      </w:r>
      <w:r w:rsidRPr="00F5392B">
        <w:rPr>
          <w:rFonts w:ascii="Arial" w:eastAsia="Calibri" w:hAnsi="Arial" w:cs="Arial"/>
          <w:sz w:val="22"/>
          <w:szCs w:val="22"/>
          <w:lang w:val="es-CO" w:eastAsia="en-US"/>
        </w:rPr>
        <w:t xml:space="preserve">producida durante el término comprendido 28 de septiembre de 2010 al 8 de abril de 2011, mientras se llevaron a cabo las obras de su reubicación y por la inoperancia de las pantallas concesionadas acaecida </w:t>
      </w:r>
      <w:r w:rsidRPr="00F5392B">
        <w:rPr>
          <w:rFonts w:ascii="Arial" w:hAnsi="Arial" w:cs="Arial"/>
          <w:sz w:val="22"/>
          <w:szCs w:val="22"/>
          <w:lang w:val="es-ES_tradnl" w:eastAsia="ar-SA"/>
        </w:rPr>
        <w:t xml:space="preserve">entre el 14 de julio y el 29 de agosto de 2011, plazo dentro del cual se llevó a cabo el mundial de fútbol Sub-20. </w:t>
      </w:r>
      <w:r w:rsidRPr="00F5392B">
        <w:rPr>
          <w:rFonts w:ascii="Arial" w:hAnsi="Arial" w:cs="Arial"/>
          <w:sz w:val="22"/>
          <w:szCs w:val="22"/>
          <w:lang w:val="es-CO"/>
        </w:rPr>
        <w:t>C</w:t>
      </w:r>
      <w:r w:rsidRPr="00F5392B">
        <w:rPr>
          <w:rFonts w:ascii="Arial" w:hAnsi="Arial" w:cs="Arial"/>
          <w:sz w:val="22"/>
          <w:szCs w:val="22"/>
        </w:rPr>
        <w:t xml:space="preserve">omo consecuencia de lo anterior, se condenará en abstracto al </w:t>
      </w:r>
      <w:r w:rsidRPr="00F5392B">
        <w:rPr>
          <w:rFonts w:ascii="Arial" w:hAnsi="Arial" w:cs="Arial"/>
          <w:sz w:val="22"/>
          <w:szCs w:val="22"/>
          <w:lang w:val="es-ES_tradnl" w:eastAsia="ar-SA"/>
        </w:rPr>
        <w:t xml:space="preserve">Instituto Distrital para la Recreación y el Deporte a pagar a </w:t>
      </w:r>
      <w:r w:rsidRPr="00F5392B">
        <w:rPr>
          <w:rFonts w:ascii="Arial" w:eastAsia="Calibri" w:hAnsi="Arial" w:cs="Arial"/>
          <w:sz w:val="22"/>
          <w:szCs w:val="22"/>
          <w:lang w:val="es-CO" w:eastAsia="en-US"/>
        </w:rPr>
        <w:t xml:space="preserve">la unión temporal Publiestadios la suma correspondiente al </w:t>
      </w:r>
      <w:r w:rsidRPr="00F5392B">
        <w:rPr>
          <w:rFonts w:ascii="Arial" w:hAnsi="Arial" w:cs="Arial"/>
          <w:sz w:val="22"/>
          <w:szCs w:val="22"/>
          <w:lang w:val="es-ES_tradnl" w:eastAsia="ar-SA"/>
        </w:rPr>
        <w:t xml:space="preserve">valor de la utilidad dejada de recibir por el concesionario durante los períodos </w:t>
      </w:r>
      <w:r w:rsidRPr="00F5392B">
        <w:rPr>
          <w:rFonts w:ascii="Arial" w:hAnsi="Arial" w:cs="Arial"/>
          <w:sz w:val="22"/>
          <w:szCs w:val="22"/>
          <w:lang w:val="es-ES_tradnl" w:eastAsia="ar-SA"/>
        </w:rPr>
        <w:lastRenderedPageBreak/>
        <w:t>anteriormente delimitados, en</w:t>
      </w:r>
      <w:r w:rsidRPr="00F5392B">
        <w:rPr>
          <w:rFonts w:ascii="Arial" w:hAnsi="Arial" w:cs="Arial"/>
          <w:sz w:val="22"/>
          <w:szCs w:val="22"/>
          <w:lang w:val="es-CO"/>
        </w:rPr>
        <w:t xml:space="preserve"> la forma señalada en la parte motiva que antecede. </w:t>
      </w:r>
    </w:p>
    <w:p w:rsidR="00EF56D6" w:rsidRDefault="00EF56D6" w:rsidP="004375F3">
      <w:pPr>
        <w:tabs>
          <w:tab w:val="left" w:pos="810"/>
          <w:tab w:val="left" w:pos="2085"/>
          <w:tab w:val="center" w:pos="4420"/>
          <w:tab w:val="left" w:pos="6570"/>
        </w:tabs>
        <w:jc w:val="center"/>
        <w:rPr>
          <w:rFonts w:ascii="Arial" w:hAnsi="Arial" w:cs="Arial"/>
        </w:rPr>
      </w:pPr>
    </w:p>
    <w:p w:rsidR="00324778" w:rsidRPr="004F681E" w:rsidRDefault="00324778" w:rsidP="004375F3">
      <w:pPr>
        <w:tabs>
          <w:tab w:val="left" w:pos="810"/>
          <w:tab w:val="left" w:pos="2085"/>
          <w:tab w:val="center" w:pos="4420"/>
          <w:tab w:val="left" w:pos="6570"/>
        </w:tabs>
        <w:jc w:val="center"/>
        <w:rPr>
          <w:rFonts w:ascii="Arial" w:hAnsi="Arial" w:cs="Arial"/>
          <w:b/>
        </w:rPr>
      </w:pPr>
    </w:p>
    <w:p w:rsidR="003C1A94" w:rsidRPr="004F681E" w:rsidRDefault="0062090C" w:rsidP="004375F3">
      <w:pPr>
        <w:tabs>
          <w:tab w:val="left" w:pos="810"/>
          <w:tab w:val="left" w:pos="2085"/>
          <w:tab w:val="center" w:pos="4420"/>
          <w:tab w:val="left" w:pos="6570"/>
        </w:tabs>
        <w:jc w:val="center"/>
        <w:rPr>
          <w:rFonts w:ascii="Arial" w:hAnsi="Arial" w:cs="Arial"/>
          <w:b/>
        </w:rPr>
      </w:pPr>
      <w:r w:rsidRPr="004F681E">
        <w:rPr>
          <w:rFonts w:ascii="Arial" w:hAnsi="Arial" w:cs="Arial"/>
          <w:b/>
        </w:rPr>
        <w:t>C</w:t>
      </w:r>
      <w:r w:rsidR="003C1A94" w:rsidRPr="004F681E">
        <w:rPr>
          <w:rFonts w:ascii="Arial" w:hAnsi="Arial" w:cs="Arial"/>
          <w:b/>
        </w:rPr>
        <w:t>ONSEJO DE ESTADO</w:t>
      </w:r>
    </w:p>
    <w:p w:rsidR="00CB7F3C" w:rsidRPr="004F681E" w:rsidRDefault="00CB7F3C" w:rsidP="004375F3">
      <w:pPr>
        <w:jc w:val="center"/>
        <w:rPr>
          <w:rFonts w:ascii="Arial" w:hAnsi="Arial" w:cs="Arial"/>
          <w:b/>
        </w:rPr>
      </w:pPr>
    </w:p>
    <w:p w:rsidR="003C1A94" w:rsidRPr="004F681E" w:rsidRDefault="003C1A94" w:rsidP="004375F3">
      <w:pPr>
        <w:jc w:val="center"/>
        <w:rPr>
          <w:rFonts w:ascii="Arial" w:hAnsi="Arial" w:cs="Arial"/>
          <w:b/>
        </w:rPr>
      </w:pPr>
      <w:r w:rsidRPr="004F681E">
        <w:rPr>
          <w:rFonts w:ascii="Arial" w:hAnsi="Arial" w:cs="Arial"/>
          <w:b/>
        </w:rPr>
        <w:t>SALA DE LO CONTENCIOSO ADMINISTRATIVO</w:t>
      </w:r>
    </w:p>
    <w:p w:rsidR="00CB7F3C" w:rsidRPr="004F681E" w:rsidRDefault="00CB7F3C" w:rsidP="004375F3">
      <w:pPr>
        <w:jc w:val="center"/>
        <w:rPr>
          <w:rFonts w:ascii="Arial" w:hAnsi="Arial" w:cs="Arial"/>
          <w:b/>
        </w:rPr>
      </w:pPr>
    </w:p>
    <w:p w:rsidR="00CB7F3C" w:rsidRPr="004F681E" w:rsidRDefault="000655F0" w:rsidP="004375F3">
      <w:pPr>
        <w:jc w:val="center"/>
        <w:rPr>
          <w:rFonts w:ascii="Arial" w:hAnsi="Arial" w:cs="Arial"/>
          <w:b/>
        </w:rPr>
      </w:pPr>
      <w:r w:rsidRPr="004F681E">
        <w:rPr>
          <w:rFonts w:ascii="Arial" w:hAnsi="Arial" w:cs="Arial"/>
          <w:b/>
        </w:rPr>
        <w:t>SECCIÓ</w:t>
      </w:r>
      <w:r w:rsidR="003C1A94" w:rsidRPr="004F681E">
        <w:rPr>
          <w:rFonts w:ascii="Arial" w:hAnsi="Arial" w:cs="Arial"/>
          <w:b/>
        </w:rPr>
        <w:t>N TERCERA</w:t>
      </w:r>
    </w:p>
    <w:p w:rsidR="00CB7F3C" w:rsidRPr="004F681E" w:rsidRDefault="00CB7F3C" w:rsidP="004375F3">
      <w:pPr>
        <w:jc w:val="center"/>
        <w:rPr>
          <w:rFonts w:ascii="Arial" w:hAnsi="Arial" w:cs="Arial"/>
          <w:b/>
        </w:rPr>
      </w:pPr>
    </w:p>
    <w:p w:rsidR="00F526A5" w:rsidRPr="004F681E" w:rsidRDefault="000655F0" w:rsidP="00FE64AB">
      <w:pPr>
        <w:tabs>
          <w:tab w:val="center" w:pos="4420"/>
          <w:tab w:val="left" w:pos="6060"/>
        </w:tabs>
        <w:jc w:val="center"/>
        <w:rPr>
          <w:rFonts w:ascii="Arial" w:hAnsi="Arial" w:cs="Arial"/>
          <w:b/>
        </w:rPr>
      </w:pPr>
      <w:r w:rsidRPr="004F681E">
        <w:rPr>
          <w:rFonts w:ascii="Arial" w:hAnsi="Arial" w:cs="Arial"/>
          <w:b/>
        </w:rPr>
        <w:t>SUBSECCIÓ</w:t>
      </w:r>
      <w:r w:rsidR="003C1A94" w:rsidRPr="004F681E">
        <w:rPr>
          <w:rFonts w:ascii="Arial" w:hAnsi="Arial" w:cs="Arial"/>
          <w:b/>
        </w:rPr>
        <w:t>N A</w:t>
      </w:r>
    </w:p>
    <w:p w:rsidR="004B2766" w:rsidRPr="004F681E" w:rsidRDefault="004B2766" w:rsidP="004375F3">
      <w:pPr>
        <w:jc w:val="center"/>
        <w:rPr>
          <w:rFonts w:ascii="Arial" w:hAnsi="Arial" w:cs="Arial"/>
          <w:b/>
        </w:rPr>
      </w:pPr>
    </w:p>
    <w:p w:rsidR="00F526A5" w:rsidRPr="004F681E" w:rsidRDefault="00842AC5" w:rsidP="004375F3">
      <w:pPr>
        <w:ind w:right="51"/>
        <w:jc w:val="center"/>
        <w:rPr>
          <w:rFonts w:ascii="Arial" w:hAnsi="Arial" w:cs="Arial"/>
          <w:b/>
        </w:rPr>
      </w:pPr>
      <w:r w:rsidRPr="004F681E">
        <w:rPr>
          <w:rFonts w:ascii="Arial" w:hAnsi="Arial" w:cs="Arial"/>
          <w:b/>
        </w:rPr>
        <w:t>Consejera</w:t>
      </w:r>
      <w:r w:rsidR="000655F0" w:rsidRPr="004F681E">
        <w:rPr>
          <w:rFonts w:ascii="Arial" w:hAnsi="Arial" w:cs="Arial"/>
          <w:b/>
        </w:rPr>
        <w:t xml:space="preserve"> ponente: MARTA NUBIA VELÁ</w:t>
      </w:r>
      <w:r w:rsidR="00CB7F3C" w:rsidRPr="004F681E">
        <w:rPr>
          <w:rFonts w:ascii="Arial" w:hAnsi="Arial" w:cs="Arial"/>
          <w:b/>
        </w:rPr>
        <w:t>SQUEZ RICO</w:t>
      </w:r>
    </w:p>
    <w:p w:rsidR="00CB7F3C" w:rsidRPr="004F681E" w:rsidRDefault="00CB7F3C" w:rsidP="004375F3">
      <w:pPr>
        <w:ind w:right="51"/>
        <w:jc w:val="center"/>
        <w:rPr>
          <w:rFonts w:ascii="Arial" w:hAnsi="Arial" w:cs="Arial"/>
          <w:b/>
        </w:rPr>
      </w:pPr>
    </w:p>
    <w:p w:rsidR="00EE1AAA" w:rsidRPr="004F681E" w:rsidRDefault="006220A5" w:rsidP="004375F3">
      <w:pPr>
        <w:jc w:val="both"/>
        <w:rPr>
          <w:rFonts w:ascii="Arial" w:hAnsi="Arial" w:cs="Arial"/>
          <w:lang w:val="es-CO"/>
        </w:rPr>
      </w:pPr>
      <w:r w:rsidRPr="004F681E">
        <w:rPr>
          <w:rFonts w:ascii="Arial" w:hAnsi="Arial" w:cs="Arial"/>
          <w:lang w:val="es-CO"/>
        </w:rPr>
        <w:t>Bogotá</w:t>
      </w:r>
      <w:r w:rsidR="00EF56D6" w:rsidRPr="004F681E">
        <w:rPr>
          <w:rFonts w:ascii="Arial" w:hAnsi="Arial" w:cs="Arial"/>
          <w:lang w:val="es-CO"/>
        </w:rPr>
        <w:t>,</w:t>
      </w:r>
      <w:r w:rsidRPr="004F681E">
        <w:rPr>
          <w:rFonts w:ascii="Arial" w:hAnsi="Arial" w:cs="Arial"/>
          <w:lang w:val="es-CO"/>
        </w:rPr>
        <w:t xml:space="preserve"> D.C., </w:t>
      </w:r>
      <w:r w:rsidR="00A30A92" w:rsidRPr="004F681E">
        <w:rPr>
          <w:rFonts w:ascii="Arial" w:hAnsi="Arial" w:cs="Arial"/>
          <w:lang w:val="es-CO"/>
        </w:rPr>
        <w:t xml:space="preserve">veintitrés (23) de noviembre </w:t>
      </w:r>
      <w:r w:rsidR="00EE1AAA" w:rsidRPr="004F681E">
        <w:rPr>
          <w:rFonts w:ascii="Arial" w:hAnsi="Arial" w:cs="Arial"/>
          <w:lang w:val="es-CO"/>
        </w:rPr>
        <w:t>de dos mil dieciséis (2016)</w:t>
      </w:r>
      <w:r w:rsidR="00CB7F3C" w:rsidRPr="004F681E">
        <w:rPr>
          <w:rFonts w:ascii="Arial" w:hAnsi="Arial" w:cs="Arial"/>
          <w:lang w:val="es-CO"/>
        </w:rPr>
        <w:t>.</w:t>
      </w:r>
    </w:p>
    <w:p w:rsidR="00CB7F3C" w:rsidRPr="004F681E" w:rsidRDefault="00CB7F3C" w:rsidP="004375F3">
      <w:pPr>
        <w:jc w:val="both"/>
        <w:rPr>
          <w:rFonts w:ascii="Arial" w:hAnsi="Arial" w:cs="Arial"/>
          <w:lang w:val="es-CO"/>
        </w:rPr>
      </w:pPr>
    </w:p>
    <w:p w:rsidR="00B60B29" w:rsidRPr="004F681E" w:rsidRDefault="00B60B29" w:rsidP="004375F3">
      <w:pPr>
        <w:jc w:val="both"/>
        <w:rPr>
          <w:rFonts w:ascii="Arial" w:hAnsi="Arial" w:cs="Arial"/>
          <w:b/>
        </w:rPr>
      </w:pPr>
      <w:r w:rsidRPr="004F681E">
        <w:rPr>
          <w:rFonts w:ascii="Arial" w:hAnsi="Arial" w:cs="Arial"/>
          <w:b/>
        </w:rPr>
        <w:t>Radicación</w:t>
      </w:r>
      <w:r w:rsidR="00CB7F3C" w:rsidRPr="004F681E">
        <w:rPr>
          <w:rFonts w:ascii="Arial" w:hAnsi="Arial" w:cs="Arial"/>
          <w:b/>
        </w:rPr>
        <w:t xml:space="preserve"> número</w:t>
      </w:r>
      <w:r w:rsidR="00CE3B84" w:rsidRPr="004F681E">
        <w:rPr>
          <w:rFonts w:ascii="Arial" w:hAnsi="Arial" w:cs="Arial"/>
          <w:b/>
        </w:rPr>
        <w:t xml:space="preserve">: </w:t>
      </w:r>
      <w:r w:rsidR="00390707" w:rsidRPr="004F681E">
        <w:rPr>
          <w:rFonts w:ascii="Arial" w:hAnsi="Arial" w:cs="Arial"/>
          <w:b/>
        </w:rPr>
        <w:t>25000</w:t>
      </w:r>
      <w:r w:rsidR="00CB7F3C" w:rsidRPr="004F681E">
        <w:rPr>
          <w:rFonts w:ascii="Arial" w:hAnsi="Arial" w:cs="Arial"/>
          <w:b/>
        </w:rPr>
        <w:t>-</w:t>
      </w:r>
      <w:r w:rsidR="00B0418F" w:rsidRPr="004F681E">
        <w:rPr>
          <w:rFonts w:ascii="Arial" w:hAnsi="Arial" w:cs="Arial"/>
          <w:b/>
        </w:rPr>
        <w:t>23</w:t>
      </w:r>
      <w:r w:rsidR="00CB7F3C" w:rsidRPr="004F681E">
        <w:rPr>
          <w:rFonts w:ascii="Arial" w:hAnsi="Arial" w:cs="Arial"/>
          <w:b/>
        </w:rPr>
        <w:t>-</w:t>
      </w:r>
      <w:r w:rsidR="00390707" w:rsidRPr="004F681E">
        <w:rPr>
          <w:rFonts w:ascii="Arial" w:hAnsi="Arial" w:cs="Arial"/>
          <w:b/>
        </w:rPr>
        <w:t>26</w:t>
      </w:r>
      <w:r w:rsidR="00CB7F3C" w:rsidRPr="004F681E">
        <w:rPr>
          <w:rFonts w:ascii="Arial" w:hAnsi="Arial" w:cs="Arial"/>
          <w:b/>
        </w:rPr>
        <w:t>-</w:t>
      </w:r>
      <w:r w:rsidR="00B0418F" w:rsidRPr="004F681E">
        <w:rPr>
          <w:rFonts w:ascii="Arial" w:hAnsi="Arial" w:cs="Arial"/>
          <w:b/>
        </w:rPr>
        <w:t>000</w:t>
      </w:r>
      <w:r w:rsidR="00CB7F3C" w:rsidRPr="004F681E">
        <w:rPr>
          <w:rFonts w:ascii="Arial" w:hAnsi="Arial" w:cs="Arial"/>
          <w:b/>
        </w:rPr>
        <w:t>-</w:t>
      </w:r>
      <w:r w:rsidR="00662799" w:rsidRPr="004F681E">
        <w:rPr>
          <w:rFonts w:ascii="Arial" w:hAnsi="Arial" w:cs="Arial"/>
          <w:b/>
        </w:rPr>
        <w:t>2012-00233-01(52161</w:t>
      </w:r>
      <w:r w:rsidR="00CB7F3C" w:rsidRPr="004F681E">
        <w:rPr>
          <w:rFonts w:ascii="Arial" w:hAnsi="Arial" w:cs="Arial"/>
          <w:b/>
        </w:rPr>
        <w:t>)</w:t>
      </w:r>
    </w:p>
    <w:p w:rsidR="00CB7F3C" w:rsidRPr="004F681E" w:rsidRDefault="00CB7F3C" w:rsidP="004375F3">
      <w:pPr>
        <w:jc w:val="both"/>
        <w:rPr>
          <w:rFonts w:ascii="Arial" w:hAnsi="Arial" w:cs="Arial"/>
          <w:b/>
        </w:rPr>
      </w:pPr>
    </w:p>
    <w:p w:rsidR="00B60B29" w:rsidRPr="004F681E" w:rsidRDefault="00B60B29" w:rsidP="004375F3">
      <w:pPr>
        <w:ind w:left="1416" w:hanging="1416"/>
        <w:jc w:val="both"/>
        <w:rPr>
          <w:rFonts w:ascii="Arial" w:hAnsi="Arial" w:cs="Arial"/>
          <w:b/>
        </w:rPr>
      </w:pPr>
      <w:r w:rsidRPr="004F681E">
        <w:rPr>
          <w:rFonts w:ascii="Arial" w:hAnsi="Arial" w:cs="Arial"/>
          <w:b/>
        </w:rPr>
        <w:t>Actor</w:t>
      </w:r>
      <w:r w:rsidR="00CE3B84" w:rsidRPr="004F681E">
        <w:rPr>
          <w:rFonts w:ascii="Arial" w:hAnsi="Arial" w:cs="Arial"/>
          <w:b/>
        </w:rPr>
        <w:t xml:space="preserve">: </w:t>
      </w:r>
      <w:r w:rsidR="00FD4F0F" w:rsidRPr="004F681E">
        <w:rPr>
          <w:rFonts w:ascii="Arial" w:hAnsi="Arial" w:cs="Arial"/>
          <w:b/>
        </w:rPr>
        <w:t>UNIÓ</w:t>
      </w:r>
      <w:r w:rsidR="00662799" w:rsidRPr="004F681E">
        <w:rPr>
          <w:rFonts w:ascii="Arial" w:hAnsi="Arial" w:cs="Arial"/>
          <w:b/>
        </w:rPr>
        <w:t xml:space="preserve">N TEMPORAL PUBLIESTADIOS </w:t>
      </w:r>
    </w:p>
    <w:p w:rsidR="00CB7F3C" w:rsidRPr="004F681E" w:rsidRDefault="00CB7F3C" w:rsidP="004375F3">
      <w:pPr>
        <w:ind w:left="1416" w:hanging="1416"/>
        <w:jc w:val="both"/>
        <w:rPr>
          <w:rFonts w:ascii="Arial" w:hAnsi="Arial" w:cs="Arial"/>
          <w:b/>
        </w:rPr>
      </w:pPr>
    </w:p>
    <w:p w:rsidR="00CB7F3C" w:rsidRPr="004F681E" w:rsidRDefault="00B60B29" w:rsidP="004375F3">
      <w:pPr>
        <w:ind w:left="2124" w:hanging="2124"/>
        <w:jc w:val="both"/>
        <w:rPr>
          <w:rFonts w:ascii="Arial" w:hAnsi="Arial" w:cs="Arial"/>
          <w:b/>
        </w:rPr>
      </w:pPr>
      <w:r w:rsidRPr="004F681E">
        <w:rPr>
          <w:rFonts w:ascii="Arial" w:hAnsi="Arial" w:cs="Arial"/>
          <w:b/>
        </w:rPr>
        <w:t>Demandado</w:t>
      </w:r>
      <w:r w:rsidR="00662799" w:rsidRPr="004F681E">
        <w:rPr>
          <w:rFonts w:ascii="Arial" w:hAnsi="Arial" w:cs="Arial"/>
          <w:b/>
        </w:rPr>
        <w:t xml:space="preserve">: </w:t>
      </w:r>
      <w:r w:rsidR="00B70BBB" w:rsidRPr="004F681E">
        <w:rPr>
          <w:rFonts w:ascii="Arial" w:hAnsi="Arial" w:cs="Arial"/>
          <w:b/>
        </w:rPr>
        <w:t>INSTITUTO DISTRITAL PARA LA</w:t>
      </w:r>
      <w:r w:rsidR="00196074" w:rsidRPr="004F681E">
        <w:rPr>
          <w:rFonts w:ascii="Arial" w:hAnsi="Arial" w:cs="Arial"/>
          <w:b/>
        </w:rPr>
        <w:t xml:space="preserve"> RECREACIÓ</w:t>
      </w:r>
      <w:r w:rsidR="00662799" w:rsidRPr="004F681E">
        <w:rPr>
          <w:rFonts w:ascii="Arial" w:hAnsi="Arial" w:cs="Arial"/>
          <w:b/>
        </w:rPr>
        <w:t xml:space="preserve">N Y </w:t>
      </w:r>
      <w:r w:rsidR="00B70BBB" w:rsidRPr="004F681E">
        <w:rPr>
          <w:rFonts w:ascii="Arial" w:hAnsi="Arial" w:cs="Arial"/>
          <w:b/>
        </w:rPr>
        <w:t xml:space="preserve">EL </w:t>
      </w:r>
      <w:r w:rsidR="00662799" w:rsidRPr="004F681E">
        <w:rPr>
          <w:rFonts w:ascii="Arial" w:hAnsi="Arial" w:cs="Arial"/>
          <w:b/>
        </w:rPr>
        <w:t>DEPORTE</w:t>
      </w:r>
    </w:p>
    <w:p w:rsidR="00EF56D6" w:rsidRPr="004F681E" w:rsidRDefault="00EF56D6" w:rsidP="00EF56D6">
      <w:pPr>
        <w:pStyle w:val="Saludo"/>
        <w:spacing w:line="240" w:lineRule="auto"/>
        <w:rPr>
          <w:rFonts w:cs="Arial"/>
          <w:b/>
        </w:rPr>
      </w:pPr>
    </w:p>
    <w:p w:rsidR="00EF56D6" w:rsidRPr="004F681E" w:rsidRDefault="00EF56D6" w:rsidP="00EF56D6">
      <w:pPr>
        <w:pStyle w:val="Saludo"/>
        <w:spacing w:line="240" w:lineRule="auto"/>
        <w:rPr>
          <w:rFonts w:cs="Arial"/>
          <w:b/>
        </w:rPr>
      </w:pPr>
    </w:p>
    <w:p w:rsidR="00EF56D6" w:rsidRPr="004F681E" w:rsidRDefault="00EF56D6" w:rsidP="00EF56D6">
      <w:pPr>
        <w:pStyle w:val="Saludo"/>
        <w:spacing w:line="240" w:lineRule="auto"/>
        <w:rPr>
          <w:rFonts w:cs="Arial"/>
          <w:b/>
        </w:rPr>
      </w:pPr>
    </w:p>
    <w:p w:rsidR="00EF56D6" w:rsidRPr="004F681E" w:rsidRDefault="00EF56D6" w:rsidP="00EF56D6">
      <w:pPr>
        <w:pStyle w:val="Saludo"/>
        <w:spacing w:line="240" w:lineRule="auto"/>
        <w:rPr>
          <w:rFonts w:cs="Arial"/>
          <w:b/>
        </w:rPr>
      </w:pPr>
      <w:r w:rsidRPr="004F681E">
        <w:rPr>
          <w:rFonts w:cs="Arial"/>
          <w:b/>
        </w:rPr>
        <w:t>Referencia: APELACIÓN SENTENCIA - ACCIÓN DE CONTROVERSIAS CONTRACTUALES</w:t>
      </w:r>
    </w:p>
    <w:p w:rsidR="00EF56D6" w:rsidRPr="004F681E" w:rsidRDefault="00EF56D6" w:rsidP="00EF56D6">
      <w:pPr>
        <w:widowControl w:val="0"/>
        <w:autoSpaceDE w:val="0"/>
        <w:autoSpaceDN w:val="0"/>
        <w:adjustRightInd w:val="0"/>
        <w:ind w:left="2124" w:hanging="2124"/>
        <w:rPr>
          <w:rFonts w:ascii="Arial" w:hAnsi="Arial" w:cs="Arial"/>
          <w:b/>
        </w:rPr>
      </w:pPr>
    </w:p>
    <w:p w:rsidR="00EF56D6" w:rsidRPr="004F681E" w:rsidRDefault="00EF56D6" w:rsidP="00EF56D6">
      <w:pPr>
        <w:widowControl w:val="0"/>
        <w:autoSpaceDE w:val="0"/>
        <w:autoSpaceDN w:val="0"/>
        <w:adjustRightInd w:val="0"/>
        <w:ind w:left="2124" w:hanging="2124"/>
        <w:rPr>
          <w:rFonts w:ascii="Arial" w:hAnsi="Arial" w:cs="Arial"/>
          <w:b/>
        </w:rPr>
      </w:pPr>
    </w:p>
    <w:p w:rsidR="00EF56D6" w:rsidRPr="004F681E" w:rsidRDefault="00EF56D6" w:rsidP="00EF56D6">
      <w:pPr>
        <w:widowControl w:val="0"/>
        <w:autoSpaceDE w:val="0"/>
        <w:autoSpaceDN w:val="0"/>
        <w:adjustRightInd w:val="0"/>
        <w:ind w:left="2124" w:hanging="2124"/>
        <w:rPr>
          <w:rFonts w:ascii="Arial" w:hAnsi="Arial" w:cs="Arial"/>
          <w:b/>
        </w:rPr>
      </w:pPr>
    </w:p>
    <w:p w:rsidR="00CB24F6" w:rsidRPr="004F681E" w:rsidRDefault="00124515" w:rsidP="00CB24F6">
      <w:pPr>
        <w:jc w:val="both"/>
        <w:rPr>
          <w:rFonts w:ascii="Arial" w:hAnsi="Arial" w:cs="Arial"/>
          <w:lang w:val="es-CO"/>
        </w:rPr>
      </w:pPr>
      <w:r w:rsidRPr="004F681E">
        <w:rPr>
          <w:rFonts w:ascii="Arial" w:hAnsi="Arial" w:cs="Arial"/>
        </w:rPr>
        <w:t>Tema</w:t>
      </w:r>
      <w:r w:rsidR="00CB24F6" w:rsidRPr="004F681E">
        <w:rPr>
          <w:rFonts w:ascii="Arial" w:hAnsi="Arial" w:cs="Arial"/>
        </w:rPr>
        <w:t xml:space="preserve">s: </w:t>
      </w:r>
      <w:r w:rsidR="004F5378" w:rsidRPr="004F681E">
        <w:rPr>
          <w:rFonts w:ascii="Arial" w:hAnsi="Arial" w:cs="Arial"/>
          <w:lang w:val="es-CO"/>
        </w:rPr>
        <w:t>EQUILIBRIO ECONÓ</w:t>
      </w:r>
      <w:r w:rsidR="00390707" w:rsidRPr="004F681E">
        <w:rPr>
          <w:rFonts w:ascii="Arial" w:hAnsi="Arial" w:cs="Arial"/>
          <w:lang w:val="es-CO"/>
        </w:rPr>
        <w:t>MICO DEL CONTRATO –</w:t>
      </w:r>
      <w:r w:rsidR="007B6C98" w:rsidRPr="004F681E">
        <w:rPr>
          <w:rFonts w:ascii="Arial" w:hAnsi="Arial" w:cs="Arial"/>
          <w:lang w:val="es-CO"/>
        </w:rPr>
        <w:t xml:space="preserve"> En e</w:t>
      </w:r>
      <w:r w:rsidR="004F5378" w:rsidRPr="004F681E">
        <w:rPr>
          <w:rFonts w:ascii="Arial" w:hAnsi="Arial" w:cs="Arial"/>
          <w:lang w:val="es-CO"/>
        </w:rPr>
        <w:t>ste</w:t>
      </w:r>
      <w:r w:rsidR="007B6C98" w:rsidRPr="004F681E">
        <w:rPr>
          <w:rFonts w:ascii="Arial" w:hAnsi="Arial" w:cs="Arial"/>
          <w:lang w:val="es-CO"/>
        </w:rPr>
        <w:t xml:space="preserve"> caso concurren circunstanci</w:t>
      </w:r>
      <w:r w:rsidR="00FD4F0F" w:rsidRPr="004F681E">
        <w:rPr>
          <w:rFonts w:ascii="Arial" w:hAnsi="Arial" w:cs="Arial"/>
          <w:lang w:val="es-CO"/>
        </w:rPr>
        <w:t>a</w:t>
      </w:r>
      <w:r w:rsidR="004F5378" w:rsidRPr="004F681E">
        <w:rPr>
          <w:rFonts w:ascii="Arial" w:hAnsi="Arial" w:cs="Arial"/>
          <w:lang w:val="es-CO"/>
        </w:rPr>
        <w:t>s</w:t>
      </w:r>
      <w:r w:rsidR="007B6C98" w:rsidRPr="004F681E">
        <w:rPr>
          <w:rFonts w:ascii="Arial" w:hAnsi="Arial" w:cs="Arial"/>
          <w:lang w:val="es-CO"/>
        </w:rPr>
        <w:t xml:space="preserve"> constitutivas de ruptura del equilibrio económico del contrato por </w:t>
      </w:r>
      <w:r w:rsidR="003C04BB" w:rsidRPr="004F681E">
        <w:rPr>
          <w:rFonts w:ascii="Arial" w:hAnsi="Arial" w:cs="Arial"/>
          <w:i/>
          <w:lang w:val="es-CO"/>
        </w:rPr>
        <w:t>ius variandi</w:t>
      </w:r>
      <w:r w:rsidR="003C04BB" w:rsidRPr="004F681E">
        <w:rPr>
          <w:rFonts w:ascii="Arial" w:hAnsi="Arial" w:cs="Arial"/>
          <w:lang w:val="es-CO"/>
        </w:rPr>
        <w:t xml:space="preserve"> y </w:t>
      </w:r>
      <w:r w:rsidR="007B6C98" w:rsidRPr="004F681E">
        <w:rPr>
          <w:rFonts w:ascii="Arial" w:hAnsi="Arial" w:cs="Arial"/>
          <w:lang w:val="es-CO"/>
        </w:rPr>
        <w:t>hecho del príncipe</w:t>
      </w:r>
      <w:r w:rsidR="00EA0C81" w:rsidRPr="004F681E">
        <w:rPr>
          <w:rFonts w:ascii="Arial" w:hAnsi="Arial" w:cs="Arial"/>
          <w:lang w:val="es-CO"/>
        </w:rPr>
        <w:t xml:space="preserve"> / RESTA</w:t>
      </w:r>
      <w:r w:rsidR="00194CED" w:rsidRPr="004F681E">
        <w:rPr>
          <w:rFonts w:ascii="Arial" w:hAnsi="Arial" w:cs="Arial"/>
          <w:lang w:val="es-CO"/>
        </w:rPr>
        <w:t>BLECIMIENTO DE LA ECUACIÓ</w:t>
      </w:r>
      <w:r w:rsidR="004A5C9A" w:rsidRPr="004F681E">
        <w:rPr>
          <w:rFonts w:ascii="Arial" w:hAnsi="Arial" w:cs="Arial"/>
          <w:lang w:val="es-CO"/>
        </w:rPr>
        <w:t>N ECONÓ</w:t>
      </w:r>
      <w:r w:rsidR="003C04BB" w:rsidRPr="004F681E">
        <w:rPr>
          <w:rFonts w:ascii="Arial" w:hAnsi="Arial" w:cs="Arial"/>
          <w:lang w:val="es-CO"/>
        </w:rPr>
        <w:t>MICA</w:t>
      </w:r>
      <w:r w:rsidR="00EA0C81" w:rsidRPr="004F681E">
        <w:rPr>
          <w:rFonts w:ascii="Arial" w:hAnsi="Arial" w:cs="Arial"/>
          <w:lang w:val="es-CO"/>
        </w:rPr>
        <w:t xml:space="preserve"> </w:t>
      </w:r>
    </w:p>
    <w:p w:rsidR="00397C11" w:rsidRPr="004F681E" w:rsidRDefault="00397C11" w:rsidP="00CB24F6">
      <w:pPr>
        <w:jc w:val="both"/>
        <w:rPr>
          <w:rFonts w:ascii="Arial" w:hAnsi="Arial" w:cs="Arial"/>
          <w:lang w:val="es-CO"/>
        </w:rPr>
      </w:pPr>
    </w:p>
    <w:p w:rsidR="00390707" w:rsidRPr="004F681E" w:rsidRDefault="00390707" w:rsidP="003D5205">
      <w:pPr>
        <w:widowControl w:val="0"/>
        <w:autoSpaceDE w:val="0"/>
        <w:autoSpaceDN w:val="0"/>
        <w:adjustRightInd w:val="0"/>
        <w:spacing w:line="360" w:lineRule="auto"/>
        <w:jc w:val="both"/>
        <w:rPr>
          <w:rFonts w:ascii="Arial" w:hAnsi="Arial" w:cs="Arial"/>
        </w:rPr>
      </w:pPr>
      <w:r w:rsidRPr="004F681E">
        <w:rPr>
          <w:rFonts w:ascii="Arial" w:hAnsi="Arial" w:cs="Arial"/>
        </w:rPr>
        <w:t xml:space="preserve">Conoce </w:t>
      </w:r>
      <w:smartTag w:uri="urn:schemas-microsoft-com:office:smarttags" w:element="PersonName">
        <w:smartTagPr>
          <w:attr w:name="ProductID" w:val="la Sala"/>
        </w:smartTagPr>
        <w:r w:rsidRPr="004F681E">
          <w:rPr>
            <w:rFonts w:ascii="Arial" w:hAnsi="Arial" w:cs="Arial"/>
          </w:rPr>
          <w:t>la Sala</w:t>
        </w:r>
      </w:smartTag>
      <w:r w:rsidRPr="004F681E">
        <w:rPr>
          <w:rFonts w:ascii="Arial" w:hAnsi="Arial" w:cs="Arial"/>
        </w:rPr>
        <w:t xml:space="preserve"> del recurso de apelación interpuesto por la parte demandante, contra la sentencia del </w:t>
      </w:r>
      <w:r w:rsidR="00F42D08" w:rsidRPr="004F681E">
        <w:rPr>
          <w:rFonts w:ascii="Arial" w:hAnsi="Arial" w:cs="Arial"/>
        </w:rPr>
        <w:t>doce</w:t>
      </w:r>
      <w:r w:rsidR="00662799" w:rsidRPr="004F681E">
        <w:rPr>
          <w:rFonts w:ascii="Arial" w:hAnsi="Arial" w:cs="Arial"/>
        </w:rPr>
        <w:t xml:space="preserve"> (12) de junio de dos mil catorce (2014</w:t>
      </w:r>
      <w:r w:rsidRPr="004F681E">
        <w:rPr>
          <w:rFonts w:ascii="Arial" w:hAnsi="Arial" w:cs="Arial"/>
        </w:rPr>
        <w:t xml:space="preserve">), dictada por el Tribunal Administrativo de Cundinamarca </w:t>
      </w:r>
      <w:r w:rsidR="00662799" w:rsidRPr="004F681E">
        <w:rPr>
          <w:rFonts w:ascii="Arial" w:hAnsi="Arial" w:cs="Arial"/>
        </w:rPr>
        <w:t>– Sección Tercera – Subsección C</w:t>
      </w:r>
      <w:r w:rsidR="004F5378" w:rsidRPr="004F681E">
        <w:rPr>
          <w:rFonts w:ascii="Arial" w:hAnsi="Arial" w:cs="Arial"/>
        </w:rPr>
        <w:t xml:space="preserve"> – Descongestión</w:t>
      </w:r>
      <w:r w:rsidRPr="004F681E">
        <w:rPr>
          <w:rFonts w:ascii="Arial" w:hAnsi="Arial" w:cs="Arial"/>
        </w:rPr>
        <w:t>, mediante la cual se dispuso:</w:t>
      </w:r>
    </w:p>
    <w:p w:rsidR="00390707" w:rsidRPr="004F681E" w:rsidRDefault="00390707" w:rsidP="00390707">
      <w:pPr>
        <w:overflowPunct w:val="0"/>
        <w:autoSpaceDE w:val="0"/>
        <w:autoSpaceDN w:val="0"/>
        <w:adjustRightInd w:val="0"/>
        <w:spacing w:line="360" w:lineRule="auto"/>
        <w:ind w:firstLine="1418"/>
        <w:jc w:val="both"/>
        <w:textAlignment w:val="baseline"/>
        <w:rPr>
          <w:rFonts w:ascii="Arial" w:hAnsi="Arial" w:cs="Arial"/>
          <w:b/>
        </w:rPr>
      </w:pPr>
    </w:p>
    <w:p w:rsidR="00662799" w:rsidRPr="004F681E" w:rsidRDefault="00390707" w:rsidP="00662799">
      <w:pPr>
        <w:spacing w:line="276" w:lineRule="auto"/>
        <w:ind w:left="567" w:right="567"/>
        <w:jc w:val="both"/>
        <w:rPr>
          <w:rFonts w:ascii="Arial" w:hAnsi="Arial" w:cs="Arial"/>
          <w:i/>
          <w:lang w:val="es-MX"/>
        </w:rPr>
      </w:pPr>
      <w:r w:rsidRPr="004F681E">
        <w:rPr>
          <w:rFonts w:ascii="Arial" w:hAnsi="Arial" w:cs="Arial"/>
          <w:i/>
          <w:lang w:val="es-MX"/>
        </w:rPr>
        <w:t>“</w:t>
      </w:r>
      <w:r w:rsidR="00662799" w:rsidRPr="004F681E">
        <w:rPr>
          <w:rFonts w:ascii="Arial" w:hAnsi="Arial" w:cs="Arial"/>
          <w:i/>
          <w:lang w:val="es-MX"/>
        </w:rPr>
        <w:t>PRIMERO: DECLARAR no</w:t>
      </w:r>
      <w:r w:rsidR="00377CED" w:rsidRPr="004F681E">
        <w:rPr>
          <w:rFonts w:ascii="Arial" w:hAnsi="Arial" w:cs="Arial"/>
          <w:i/>
          <w:lang w:val="es-MX"/>
        </w:rPr>
        <w:t xml:space="preserve"> probadas las excepciones propuestas por la parte demandada, de conformidad con lo expuesto en la parte motiva.</w:t>
      </w:r>
    </w:p>
    <w:p w:rsidR="007743AD" w:rsidRPr="004F681E" w:rsidRDefault="007743AD" w:rsidP="00662799">
      <w:pPr>
        <w:spacing w:line="276" w:lineRule="auto"/>
        <w:ind w:left="567" w:right="567"/>
        <w:jc w:val="both"/>
        <w:rPr>
          <w:rFonts w:ascii="Arial" w:hAnsi="Arial" w:cs="Arial"/>
          <w:i/>
          <w:lang w:val="es-MX"/>
        </w:rPr>
      </w:pPr>
    </w:p>
    <w:p w:rsidR="007743AD" w:rsidRPr="004F681E" w:rsidRDefault="007743AD" w:rsidP="00662799">
      <w:pPr>
        <w:spacing w:line="276" w:lineRule="auto"/>
        <w:ind w:left="567" w:right="567"/>
        <w:jc w:val="both"/>
        <w:rPr>
          <w:rFonts w:ascii="Arial" w:hAnsi="Arial" w:cs="Arial"/>
          <w:i/>
          <w:lang w:val="es-MX"/>
        </w:rPr>
      </w:pPr>
      <w:r w:rsidRPr="004F681E">
        <w:rPr>
          <w:rFonts w:ascii="Arial" w:hAnsi="Arial" w:cs="Arial"/>
          <w:i/>
          <w:lang w:val="es-MX"/>
        </w:rPr>
        <w:t>“SEGUNDO: NEGAR las pretensiones solicitadas en la demanda.</w:t>
      </w:r>
    </w:p>
    <w:p w:rsidR="007743AD" w:rsidRPr="004F681E" w:rsidRDefault="007743AD" w:rsidP="007743AD">
      <w:pPr>
        <w:spacing w:line="276" w:lineRule="auto"/>
        <w:ind w:right="567"/>
        <w:jc w:val="both"/>
        <w:rPr>
          <w:rFonts w:ascii="Arial" w:hAnsi="Arial" w:cs="Arial"/>
          <w:i/>
          <w:lang w:val="es-MX"/>
        </w:rPr>
      </w:pPr>
    </w:p>
    <w:p w:rsidR="00F42D08" w:rsidRPr="004F681E" w:rsidRDefault="007743AD" w:rsidP="0069130F">
      <w:pPr>
        <w:spacing w:line="276" w:lineRule="auto"/>
        <w:ind w:left="567" w:right="567"/>
        <w:jc w:val="both"/>
        <w:rPr>
          <w:rFonts w:ascii="Arial" w:hAnsi="Arial" w:cs="Arial"/>
          <w:i/>
          <w:lang w:val="es-MX"/>
        </w:rPr>
      </w:pPr>
      <w:r w:rsidRPr="004F681E">
        <w:rPr>
          <w:rFonts w:ascii="Arial" w:hAnsi="Arial" w:cs="Arial"/>
          <w:i/>
          <w:lang w:val="es-MX"/>
        </w:rPr>
        <w:t xml:space="preserve">“TERCERO: DECLARAR probada la objeción por error grave del dictamen pericial presentado por </w:t>
      </w:r>
      <w:r w:rsidR="00303569" w:rsidRPr="004F681E">
        <w:rPr>
          <w:rFonts w:ascii="Arial" w:hAnsi="Arial" w:cs="Arial"/>
          <w:i/>
          <w:lang w:val="es-MX"/>
        </w:rPr>
        <w:t>el auxiliar de la justicia Pedro José Vargas Morato, por lo expuesto en la parte motiva de esta providencia. En consecuencia, un</w:t>
      </w:r>
      <w:r w:rsidR="0069130F" w:rsidRPr="004F681E">
        <w:rPr>
          <w:rFonts w:ascii="Arial" w:hAnsi="Arial" w:cs="Arial"/>
          <w:i/>
          <w:lang w:val="es-MX"/>
        </w:rPr>
        <w:t>a vez en firme esta providencia, el perito deberá restituir los honorarios que les fueron cancelados dentro del término previsto por el artículo 239 del C. de P.C.</w:t>
      </w:r>
    </w:p>
    <w:p w:rsidR="00F42D08" w:rsidRPr="004F681E" w:rsidRDefault="00F42D08" w:rsidP="0069130F">
      <w:pPr>
        <w:spacing w:line="276" w:lineRule="auto"/>
        <w:ind w:left="567" w:right="567"/>
        <w:jc w:val="both"/>
        <w:rPr>
          <w:rFonts w:ascii="Arial" w:hAnsi="Arial" w:cs="Arial"/>
          <w:i/>
          <w:lang w:val="es-MX"/>
        </w:rPr>
      </w:pPr>
    </w:p>
    <w:p w:rsidR="00390707" w:rsidRDefault="00F42D08" w:rsidP="00C8385D">
      <w:pPr>
        <w:spacing w:line="276" w:lineRule="auto"/>
        <w:ind w:left="567" w:right="567"/>
        <w:jc w:val="both"/>
        <w:rPr>
          <w:rFonts w:ascii="Arial" w:hAnsi="Arial" w:cs="Arial"/>
          <w:i/>
          <w:lang w:val="es-MX"/>
        </w:rPr>
      </w:pPr>
      <w:r w:rsidRPr="004F681E">
        <w:rPr>
          <w:rFonts w:ascii="Arial" w:hAnsi="Arial" w:cs="Arial"/>
          <w:i/>
          <w:lang w:val="es-MX"/>
        </w:rPr>
        <w:t>“(…)</w:t>
      </w:r>
      <w:r w:rsidR="00390707" w:rsidRPr="004F681E">
        <w:rPr>
          <w:rFonts w:ascii="Arial" w:hAnsi="Arial" w:cs="Arial"/>
          <w:i/>
          <w:lang w:val="es-MX"/>
        </w:rPr>
        <w:t>”.</w:t>
      </w:r>
    </w:p>
    <w:p w:rsidR="004F681E" w:rsidRPr="004F681E" w:rsidRDefault="004F681E" w:rsidP="004F681E">
      <w:pPr>
        <w:spacing w:after="120" w:line="276" w:lineRule="auto"/>
        <w:ind w:left="567" w:right="567"/>
        <w:jc w:val="both"/>
        <w:rPr>
          <w:rFonts w:ascii="Arial" w:hAnsi="Arial" w:cs="Arial"/>
          <w:i/>
          <w:lang w:val="es-MX"/>
        </w:rPr>
      </w:pPr>
    </w:p>
    <w:p w:rsidR="00390707" w:rsidRPr="004F681E" w:rsidRDefault="00390707" w:rsidP="0007015B">
      <w:pPr>
        <w:widowControl w:val="0"/>
        <w:numPr>
          <w:ilvl w:val="0"/>
          <w:numId w:val="2"/>
        </w:numPr>
        <w:autoSpaceDE w:val="0"/>
        <w:autoSpaceDN w:val="0"/>
        <w:adjustRightInd w:val="0"/>
        <w:spacing w:line="360" w:lineRule="auto"/>
        <w:ind w:right="360"/>
        <w:jc w:val="center"/>
        <w:rPr>
          <w:rFonts w:ascii="Arial" w:hAnsi="Arial" w:cs="Arial"/>
          <w:b/>
        </w:rPr>
      </w:pPr>
      <w:r w:rsidRPr="004F681E">
        <w:rPr>
          <w:rFonts w:ascii="Arial" w:hAnsi="Arial" w:cs="Arial"/>
          <w:b/>
        </w:rPr>
        <w:t>A N T E C E D E N T E S</w:t>
      </w:r>
    </w:p>
    <w:p w:rsidR="00390707" w:rsidRPr="004F681E" w:rsidRDefault="00390707" w:rsidP="00390707">
      <w:pPr>
        <w:widowControl w:val="0"/>
        <w:autoSpaceDE w:val="0"/>
        <w:autoSpaceDN w:val="0"/>
        <w:adjustRightInd w:val="0"/>
        <w:spacing w:line="360" w:lineRule="auto"/>
        <w:ind w:left="1080" w:right="360"/>
        <w:jc w:val="both"/>
        <w:rPr>
          <w:rFonts w:ascii="Arial" w:hAnsi="Arial" w:cs="Arial"/>
          <w:b/>
        </w:rPr>
      </w:pPr>
    </w:p>
    <w:p w:rsidR="00390707" w:rsidRPr="004F681E" w:rsidRDefault="00390707" w:rsidP="00390707">
      <w:pPr>
        <w:spacing w:line="360" w:lineRule="auto"/>
        <w:jc w:val="both"/>
        <w:rPr>
          <w:rFonts w:ascii="Arial" w:hAnsi="Arial" w:cs="Arial"/>
          <w:b/>
        </w:rPr>
      </w:pPr>
      <w:r w:rsidRPr="004F681E">
        <w:rPr>
          <w:rFonts w:ascii="Arial" w:hAnsi="Arial" w:cs="Arial"/>
          <w:b/>
        </w:rPr>
        <w:t>1. La demanda</w:t>
      </w:r>
    </w:p>
    <w:p w:rsidR="00390707" w:rsidRPr="004F681E" w:rsidRDefault="00390707" w:rsidP="00390707">
      <w:pPr>
        <w:widowControl w:val="0"/>
        <w:autoSpaceDE w:val="0"/>
        <w:autoSpaceDN w:val="0"/>
        <w:adjustRightInd w:val="0"/>
        <w:spacing w:line="360" w:lineRule="auto"/>
        <w:jc w:val="both"/>
        <w:rPr>
          <w:rFonts w:ascii="Arial" w:hAnsi="Arial" w:cs="Arial"/>
        </w:rPr>
      </w:pPr>
    </w:p>
    <w:p w:rsidR="00AC635A" w:rsidRPr="004F681E" w:rsidRDefault="00F42D08" w:rsidP="00390707">
      <w:pPr>
        <w:widowControl w:val="0"/>
        <w:autoSpaceDE w:val="0"/>
        <w:autoSpaceDN w:val="0"/>
        <w:adjustRightInd w:val="0"/>
        <w:spacing w:line="360" w:lineRule="auto"/>
        <w:jc w:val="both"/>
        <w:rPr>
          <w:rFonts w:ascii="Arial" w:hAnsi="Arial" w:cs="Arial"/>
        </w:rPr>
      </w:pPr>
      <w:r w:rsidRPr="004F681E">
        <w:rPr>
          <w:rFonts w:ascii="Arial" w:hAnsi="Arial" w:cs="Arial"/>
        </w:rPr>
        <w:t xml:space="preserve">El 13 de febrero de 2012 </w:t>
      </w:r>
      <w:r w:rsidRPr="004F681E">
        <w:rPr>
          <w:rFonts w:ascii="Arial" w:hAnsi="Arial" w:cs="Arial"/>
          <w:lang w:val="es-MX"/>
        </w:rPr>
        <w:t xml:space="preserve">las sociedades Marketmedios Comunicaciones S.A. y Publik Tecnologías, Información, Comunicaciones </w:t>
      </w:r>
      <w:r w:rsidR="002938A8" w:rsidRPr="004F681E">
        <w:rPr>
          <w:rFonts w:ascii="Arial" w:hAnsi="Arial" w:cs="Arial"/>
          <w:lang w:val="es-MX"/>
        </w:rPr>
        <w:t xml:space="preserve">y Medio Ambiente S.A.S., en calidad de integrantes de la </w:t>
      </w:r>
      <w:r w:rsidR="00AC635A" w:rsidRPr="004F681E">
        <w:rPr>
          <w:rFonts w:ascii="Arial" w:hAnsi="Arial" w:cs="Arial"/>
          <w:lang w:val="es-MX"/>
        </w:rPr>
        <w:t>u</w:t>
      </w:r>
      <w:r w:rsidR="002938A8" w:rsidRPr="004F681E">
        <w:rPr>
          <w:rFonts w:ascii="Arial" w:hAnsi="Arial" w:cs="Arial"/>
          <w:lang w:val="es-MX"/>
        </w:rPr>
        <w:t>nión temporal Publiestadios</w:t>
      </w:r>
      <w:r w:rsidR="00390707" w:rsidRPr="004F681E">
        <w:rPr>
          <w:rFonts w:ascii="Arial" w:hAnsi="Arial" w:cs="Arial"/>
          <w:lang w:val="es-MX"/>
        </w:rPr>
        <w:t xml:space="preserve">, presentaron demanda, </w:t>
      </w:r>
      <w:r w:rsidR="00390707" w:rsidRPr="004F681E">
        <w:rPr>
          <w:rFonts w:ascii="Arial" w:hAnsi="Arial" w:cs="Arial"/>
        </w:rPr>
        <w:t xml:space="preserve">en ejercicio de la acción contractual, </w:t>
      </w:r>
      <w:r w:rsidR="00AC635A" w:rsidRPr="004F681E">
        <w:rPr>
          <w:rFonts w:ascii="Arial" w:hAnsi="Arial" w:cs="Arial"/>
        </w:rPr>
        <w:t>contra el Instituto Distrital de Recreación y Deporte</w:t>
      </w:r>
      <w:r w:rsidR="004A5C9A" w:rsidRPr="004F681E">
        <w:rPr>
          <w:rFonts w:ascii="Arial" w:hAnsi="Arial" w:cs="Arial"/>
        </w:rPr>
        <w:t>,</w:t>
      </w:r>
      <w:r w:rsidR="00AC635A" w:rsidRPr="004F681E">
        <w:rPr>
          <w:rFonts w:ascii="Arial" w:hAnsi="Arial" w:cs="Arial"/>
        </w:rPr>
        <w:t xml:space="preserve"> con el fin de que se declarara que la entidad demandada incumplió el Contrato de Concesión No. 475 de 2007</w:t>
      </w:r>
      <w:r w:rsidR="004A5C9A" w:rsidRPr="004F681E">
        <w:rPr>
          <w:rFonts w:ascii="Arial" w:hAnsi="Arial" w:cs="Arial"/>
        </w:rPr>
        <w:t>,</w:t>
      </w:r>
      <w:r w:rsidR="00AC635A" w:rsidRPr="004F681E">
        <w:rPr>
          <w:rFonts w:ascii="Arial" w:hAnsi="Arial" w:cs="Arial"/>
        </w:rPr>
        <w:t xml:space="preserve"> suscrito entre los extremos de la litis, cuyo objeto </w:t>
      </w:r>
      <w:r w:rsidR="00196074" w:rsidRPr="004F681E">
        <w:rPr>
          <w:rFonts w:ascii="Arial" w:hAnsi="Arial" w:cs="Arial"/>
        </w:rPr>
        <w:t xml:space="preserve">consistió en </w:t>
      </w:r>
      <w:r w:rsidR="00AC635A" w:rsidRPr="004F681E">
        <w:rPr>
          <w:rFonts w:ascii="Arial" w:hAnsi="Arial" w:cs="Arial"/>
        </w:rPr>
        <w:t xml:space="preserve">suministrar, instalar, mantener, operar y prestar el servicio de pantalla gigante del </w:t>
      </w:r>
      <w:r w:rsidR="009870ED" w:rsidRPr="004F681E">
        <w:rPr>
          <w:rFonts w:ascii="Arial" w:hAnsi="Arial" w:cs="Arial"/>
        </w:rPr>
        <w:t>estadio Nemesio Camacho El Campí</w:t>
      </w:r>
      <w:r w:rsidR="00AC635A" w:rsidRPr="004F681E">
        <w:rPr>
          <w:rFonts w:ascii="Arial" w:hAnsi="Arial" w:cs="Arial"/>
        </w:rPr>
        <w:t xml:space="preserve">n. </w:t>
      </w:r>
    </w:p>
    <w:p w:rsidR="00AC635A" w:rsidRPr="004F681E" w:rsidRDefault="00AC635A" w:rsidP="00390707">
      <w:pPr>
        <w:widowControl w:val="0"/>
        <w:autoSpaceDE w:val="0"/>
        <w:autoSpaceDN w:val="0"/>
        <w:adjustRightInd w:val="0"/>
        <w:spacing w:line="360" w:lineRule="auto"/>
        <w:jc w:val="both"/>
        <w:rPr>
          <w:rFonts w:ascii="Arial" w:hAnsi="Arial" w:cs="Arial"/>
        </w:rPr>
      </w:pPr>
    </w:p>
    <w:p w:rsidR="00AC635A" w:rsidRPr="004F681E" w:rsidRDefault="00AC635A" w:rsidP="00390707">
      <w:pPr>
        <w:widowControl w:val="0"/>
        <w:autoSpaceDE w:val="0"/>
        <w:autoSpaceDN w:val="0"/>
        <w:adjustRightInd w:val="0"/>
        <w:spacing w:line="360" w:lineRule="auto"/>
        <w:jc w:val="both"/>
        <w:rPr>
          <w:rFonts w:ascii="Arial" w:hAnsi="Arial" w:cs="Arial"/>
        </w:rPr>
      </w:pPr>
      <w:r w:rsidRPr="004F681E">
        <w:rPr>
          <w:rFonts w:ascii="Arial" w:hAnsi="Arial" w:cs="Arial"/>
        </w:rPr>
        <w:t>Como consecuencia</w:t>
      </w:r>
      <w:r w:rsidR="009870ED" w:rsidRPr="004F681E">
        <w:rPr>
          <w:rFonts w:ascii="Arial" w:hAnsi="Arial" w:cs="Arial"/>
        </w:rPr>
        <w:t>,</w:t>
      </w:r>
      <w:r w:rsidRPr="004F681E">
        <w:rPr>
          <w:rFonts w:ascii="Arial" w:hAnsi="Arial" w:cs="Arial"/>
        </w:rPr>
        <w:t xml:space="preserve"> solicitó que </w:t>
      </w:r>
      <w:r w:rsidR="00390707" w:rsidRPr="004F681E">
        <w:rPr>
          <w:rFonts w:ascii="Arial" w:hAnsi="Arial" w:cs="Arial"/>
        </w:rPr>
        <w:t xml:space="preserve">se condenara </w:t>
      </w:r>
      <w:r w:rsidR="00390707" w:rsidRPr="004F681E">
        <w:rPr>
          <w:rFonts w:ascii="Arial" w:hAnsi="Arial" w:cs="Arial"/>
          <w:lang w:bidi="he-IL"/>
        </w:rPr>
        <w:t xml:space="preserve">al </w:t>
      </w:r>
      <w:r w:rsidRPr="004F681E">
        <w:rPr>
          <w:rFonts w:ascii="Arial" w:hAnsi="Arial" w:cs="Arial"/>
        </w:rPr>
        <w:t xml:space="preserve">Instituto Distrital de Recreación y Deporte a pagar a la parte demandante las siguientes sumas de dinero: </w:t>
      </w:r>
    </w:p>
    <w:p w:rsidR="00AC635A" w:rsidRPr="004F681E" w:rsidRDefault="00AC635A" w:rsidP="00390707">
      <w:pPr>
        <w:widowControl w:val="0"/>
        <w:autoSpaceDE w:val="0"/>
        <w:autoSpaceDN w:val="0"/>
        <w:adjustRightInd w:val="0"/>
        <w:spacing w:line="360" w:lineRule="auto"/>
        <w:jc w:val="both"/>
        <w:rPr>
          <w:rFonts w:ascii="Arial" w:hAnsi="Arial" w:cs="Arial"/>
        </w:rPr>
      </w:pPr>
    </w:p>
    <w:p w:rsidR="00AC635A" w:rsidRPr="004F681E" w:rsidRDefault="00AC635A" w:rsidP="002A38B3">
      <w:pPr>
        <w:widowControl w:val="0"/>
        <w:numPr>
          <w:ilvl w:val="0"/>
          <w:numId w:val="5"/>
        </w:numPr>
        <w:autoSpaceDE w:val="0"/>
        <w:autoSpaceDN w:val="0"/>
        <w:adjustRightInd w:val="0"/>
        <w:spacing w:line="360" w:lineRule="auto"/>
        <w:jc w:val="both"/>
        <w:rPr>
          <w:rFonts w:ascii="Arial" w:hAnsi="Arial" w:cs="Arial"/>
          <w:lang w:bidi="he-IL"/>
        </w:rPr>
      </w:pPr>
      <w:r w:rsidRPr="004F681E">
        <w:rPr>
          <w:rFonts w:ascii="Arial" w:hAnsi="Arial" w:cs="Arial"/>
        </w:rPr>
        <w:t>$597’000.000</w:t>
      </w:r>
      <w:r w:rsidR="002A38B3" w:rsidRPr="004F681E">
        <w:rPr>
          <w:rFonts w:ascii="Arial" w:hAnsi="Arial" w:cs="Arial"/>
        </w:rPr>
        <w:t xml:space="preserve"> por concepto de lucro cesante s</w:t>
      </w:r>
      <w:r w:rsidR="00CE3A37" w:rsidRPr="004F681E">
        <w:rPr>
          <w:rFonts w:ascii="Arial" w:hAnsi="Arial" w:cs="Arial"/>
        </w:rPr>
        <w:t>ufrido por la parte</w:t>
      </w:r>
      <w:r w:rsidR="002A38B3" w:rsidRPr="004F681E">
        <w:rPr>
          <w:rFonts w:ascii="Arial" w:hAnsi="Arial" w:cs="Arial"/>
        </w:rPr>
        <w:t xml:space="preserve"> demandante</w:t>
      </w:r>
      <w:r w:rsidR="009870ED" w:rsidRPr="004F681E">
        <w:rPr>
          <w:rFonts w:ascii="Arial" w:hAnsi="Arial" w:cs="Arial"/>
        </w:rPr>
        <w:t>,</w:t>
      </w:r>
      <w:r w:rsidR="002A38B3" w:rsidRPr="004F681E">
        <w:rPr>
          <w:rFonts w:ascii="Arial" w:hAnsi="Arial" w:cs="Arial"/>
        </w:rPr>
        <w:t xml:space="preserve"> debido a la inoperatividad de la pantalla </w:t>
      </w:r>
      <w:r w:rsidR="004A34C3" w:rsidRPr="004F681E">
        <w:rPr>
          <w:rFonts w:ascii="Arial" w:hAnsi="Arial" w:cs="Arial"/>
        </w:rPr>
        <w:t xml:space="preserve">presentada </w:t>
      </w:r>
      <w:r w:rsidR="004F5378" w:rsidRPr="004F681E">
        <w:rPr>
          <w:rFonts w:ascii="Arial" w:hAnsi="Arial" w:cs="Arial"/>
        </w:rPr>
        <w:t>desde el 28 de septiembre</w:t>
      </w:r>
      <w:r w:rsidR="002A38B3" w:rsidRPr="004F681E">
        <w:rPr>
          <w:rFonts w:ascii="Arial" w:hAnsi="Arial" w:cs="Arial"/>
        </w:rPr>
        <w:t xml:space="preserve"> de 2010 hasta el 8 de abril de </w:t>
      </w:r>
      <w:r w:rsidR="00196074" w:rsidRPr="004F681E">
        <w:rPr>
          <w:rFonts w:ascii="Arial" w:hAnsi="Arial" w:cs="Arial"/>
        </w:rPr>
        <w:t>2011, período durante el cual el IDRD cambió la pantalla de lugar en cumplimiento de lo dispuesto en la Resolución No. 327 del 23 de julio de 2010, más los respectivos intereses moratorios.</w:t>
      </w:r>
    </w:p>
    <w:p w:rsidR="00196074" w:rsidRPr="004F681E" w:rsidRDefault="00CE3A37" w:rsidP="002A38B3">
      <w:pPr>
        <w:widowControl w:val="0"/>
        <w:numPr>
          <w:ilvl w:val="0"/>
          <w:numId w:val="5"/>
        </w:numPr>
        <w:autoSpaceDE w:val="0"/>
        <w:autoSpaceDN w:val="0"/>
        <w:adjustRightInd w:val="0"/>
        <w:spacing w:line="360" w:lineRule="auto"/>
        <w:jc w:val="both"/>
        <w:rPr>
          <w:rFonts w:ascii="Arial" w:hAnsi="Arial" w:cs="Arial"/>
          <w:lang w:bidi="he-IL"/>
        </w:rPr>
      </w:pPr>
      <w:r w:rsidRPr="004F681E">
        <w:rPr>
          <w:rFonts w:ascii="Arial" w:hAnsi="Arial" w:cs="Arial"/>
          <w:lang w:bidi="he-IL"/>
        </w:rPr>
        <w:t>$141’000.000 por concepto de lucro cesante padecido por la par</w:t>
      </w:r>
      <w:r w:rsidR="00E87BB7" w:rsidRPr="004F681E">
        <w:rPr>
          <w:rFonts w:ascii="Arial" w:hAnsi="Arial" w:cs="Arial"/>
          <w:lang w:bidi="he-IL"/>
        </w:rPr>
        <w:t>t</w:t>
      </w:r>
      <w:r w:rsidRPr="004F681E">
        <w:rPr>
          <w:rFonts w:ascii="Arial" w:hAnsi="Arial" w:cs="Arial"/>
          <w:lang w:bidi="he-IL"/>
        </w:rPr>
        <w:t>e actora</w:t>
      </w:r>
      <w:r w:rsidR="009870ED" w:rsidRPr="004F681E">
        <w:rPr>
          <w:rFonts w:ascii="Arial" w:hAnsi="Arial" w:cs="Arial"/>
          <w:lang w:bidi="he-IL"/>
        </w:rPr>
        <w:t>,</w:t>
      </w:r>
      <w:r w:rsidRPr="004F681E">
        <w:rPr>
          <w:rFonts w:ascii="Arial" w:hAnsi="Arial" w:cs="Arial"/>
          <w:lang w:bidi="he-IL"/>
        </w:rPr>
        <w:t xml:space="preserve"> </w:t>
      </w:r>
      <w:r w:rsidR="004A34C3" w:rsidRPr="004F681E">
        <w:rPr>
          <w:rFonts w:ascii="Arial" w:hAnsi="Arial" w:cs="Arial"/>
          <w:lang w:bidi="he-IL"/>
        </w:rPr>
        <w:t xml:space="preserve">con ocasión de la inactividad de la pantalla que se produjo entre el 14 de julio de 2011 al 29 de </w:t>
      </w:r>
      <w:r w:rsidR="009870ED" w:rsidRPr="004F681E">
        <w:rPr>
          <w:rFonts w:ascii="Arial" w:hAnsi="Arial" w:cs="Arial"/>
          <w:lang w:bidi="he-IL"/>
        </w:rPr>
        <w:t>agosto del mismo año, en razón de</w:t>
      </w:r>
      <w:r w:rsidR="004A34C3" w:rsidRPr="004F681E">
        <w:rPr>
          <w:rFonts w:ascii="Arial" w:hAnsi="Arial" w:cs="Arial"/>
          <w:lang w:bidi="he-IL"/>
        </w:rPr>
        <w:t xml:space="preserve"> la obligación adquirida por el Instituto ante la FIFA</w:t>
      </w:r>
      <w:r w:rsidR="009870ED" w:rsidRPr="004F681E">
        <w:rPr>
          <w:rFonts w:ascii="Arial" w:hAnsi="Arial" w:cs="Arial"/>
          <w:lang w:bidi="he-IL"/>
        </w:rPr>
        <w:t>,</w:t>
      </w:r>
      <w:r w:rsidR="004A34C3" w:rsidRPr="004F681E">
        <w:rPr>
          <w:rFonts w:ascii="Arial" w:hAnsi="Arial" w:cs="Arial"/>
          <w:lang w:bidi="he-IL"/>
        </w:rPr>
        <w:t xml:space="preserve"> consistente en no presentar publicidad mientras se </w:t>
      </w:r>
      <w:r w:rsidR="004F5378" w:rsidRPr="004F681E">
        <w:rPr>
          <w:rFonts w:ascii="Arial" w:hAnsi="Arial" w:cs="Arial"/>
          <w:lang w:bidi="he-IL"/>
        </w:rPr>
        <w:t>desarrollaba el campeonato de fú</w:t>
      </w:r>
      <w:r w:rsidR="004A34C3" w:rsidRPr="004F681E">
        <w:rPr>
          <w:rFonts w:ascii="Arial" w:hAnsi="Arial" w:cs="Arial"/>
          <w:lang w:bidi="he-IL"/>
        </w:rPr>
        <w:t xml:space="preserve">tbol Sub-20, más los intereses moratorios causados. </w:t>
      </w:r>
    </w:p>
    <w:p w:rsidR="00C8385D" w:rsidRPr="004F681E" w:rsidRDefault="00C8385D" w:rsidP="00390707">
      <w:pPr>
        <w:ind w:right="567"/>
        <w:jc w:val="both"/>
        <w:rPr>
          <w:rFonts w:ascii="Arial" w:hAnsi="Arial" w:cs="Arial"/>
          <w:lang w:bidi="he-IL"/>
        </w:rPr>
      </w:pPr>
    </w:p>
    <w:p w:rsidR="00EA281C" w:rsidRPr="004F681E" w:rsidRDefault="00EA281C" w:rsidP="00390707">
      <w:pPr>
        <w:ind w:right="567"/>
        <w:jc w:val="both"/>
        <w:rPr>
          <w:rFonts w:ascii="Arial" w:hAnsi="Arial" w:cs="Arial"/>
          <w:b/>
          <w:bCs/>
          <w:iCs/>
        </w:rPr>
      </w:pPr>
    </w:p>
    <w:p w:rsidR="00390707" w:rsidRPr="004F681E" w:rsidRDefault="00390707" w:rsidP="00390707">
      <w:pPr>
        <w:spacing w:line="360" w:lineRule="auto"/>
        <w:jc w:val="both"/>
        <w:rPr>
          <w:rFonts w:ascii="Arial" w:hAnsi="Arial" w:cs="Arial"/>
          <w:b/>
          <w:bCs/>
        </w:rPr>
      </w:pPr>
      <w:r w:rsidRPr="004F681E">
        <w:rPr>
          <w:rFonts w:ascii="Arial" w:hAnsi="Arial" w:cs="Arial"/>
          <w:b/>
          <w:bCs/>
          <w:iCs/>
        </w:rPr>
        <w:t>2. Los hechos</w:t>
      </w:r>
    </w:p>
    <w:p w:rsidR="00390707" w:rsidRPr="004F681E" w:rsidRDefault="00390707" w:rsidP="00390707">
      <w:pPr>
        <w:widowControl w:val="0"/>
        <w:autoSpaceDE w:val="0"/>
        <w:autoSpaceDN w:val="0"/>
        <w:adjustRightInd w:val="0"/>
        <w:spacing w:line="360" w:lineRule="auto"/>
        <w:jc w:val="both"/>
        <w:rPr>
          <w:rFonts w:ascii="Arial" w:hAnsi="Arial" w:cs="Arial"/>
          <w:lang w:val="es-MX"/>
        </w:rPr>
      </w:pPr>
    </w:p>
    <w:p w:rsidR="00390707" w:rsidRPr="004F681E" w:rsidRDefault="00390707" w:rsidP="00390707">
      <w:pPr>
        <w:widowControl w:val="0"/>
        <w:autoSpaceDE w:val="0"/>
        <w:autoSpaceDN w:val="0"/>
        <w:adjustRightInd w:val="0"/>
        <w:spacing w:line="360" w:lineRule="auto"/>
        <w:jc w:val="both"/>
        <w:rPr>
          <w:rFonts w:ascii="Arial" w:hAnsi="Arial" w:cs="Arial"/>
        </w:rPr>
      </w:pPr>
      <w:r w:rsidRPr="004F681E">
        <w:rPr>
          <w:rFonts w:ascii="Arial" w:hAnsi="Arial" w:cs="Arial"/>
          <w:lang w:val="es-CO"/>
        </w:rPr>
        <w:t>E</w:t>
      </w:r>
      <w:r w:rsidRPr="004F681E">
        <w:rPr>
          <w:rFonts w:ascii="Arial" w:hAnsi="Arial" w:cs="Arial"/>
        </w:rPr>
        <w:t>n el escrito de demanda, en síntesis, la parte actora narró los siguientes hechos:</w:t>
      </w:r>
    </w:p>
    <w:p w:rsidR="00390707" w:rsidRPr="004F681E" w:rsidRDefault="00390707" w:rsidP="00390707">
      <w:pPr>
        <w:widowControl w:val="0"/>
        <w:autoSpaceDE w:val="0"/>
        <w:autoSpaceDN w:val="0"/>
        <w:adjustRightInd w:val="0"/>
        <w:spacing w:line="360" w:lineRule="auto"/>
        <w:jc w:val="both"/>
        <w:rPr>
          <w:rFonts w:ascii="Arial" w:hAnsi="Arial" w:cs="Arial"/>
        </w:rPr>
      </w:pPr>
    </w:p>
    <w:p w:rsidR="003C13A6" w:rsidRPr="004F681E" w:rsidRDefault="00390707" w:rsidP="00390707">
      <w:pPr>
        <w:widowControl w:val="0"/>
        <w:autoSpaceDE w:val="0"/>
        <w:autoSpaceDN w:val="0"/>
        <w:adjustRightInd w:val="0"/>
        <w:spacing w:line="360" w:lineRule="auto"/>
        <w:jc w:val="both"/>
        <w:rPr>
          <w:rFonts w:ascii="Arial" w:hAnsi="Arial" w:cs="Arial"/>
          <w:b/>
          <w:lang w:val="es-MX"/>
        </w:rPr>
      </w:pPr>
      <w:r w:rsidRPr="004F681E">
        <w:rPr>
          <w:rFonts w:ascii="Arial" w:hAnsi="Arial" w:cs="Arial"/>
          <w:b/>
          <w:lang w:val="es-MX"/>
        </w:rPr>
        <w:t xml:space="preserve">2.1. </w:t>
      </w:r>
      <w:r w:rsidR="003C13A6" w:rsidRPr="004F681E">
        <w:rPr>
          <w:rFonts w:ascii="Arial" w:hAnsi="Arial" w:cs="Arial"/>
          <w:lang w:val="es-MX"/>
        </w:rPr>
        <w:t>Como resultado de la Licitación Pública No. IDRD-STP-LP-0362006, el 27 de abril de 2007</w:t>
      </w:r>
      <w:r w:rsidR="009870ED" w:rsidRPr="004F681E">
        <w:rPr>
          <w:rFonts w:ascii="Arial" w:hAnsi="Arial" w:cs="Arial"/>
          <w:lang w:val="es-MX"/>
        </w:rPr>
        <w:t>,</w:t>
      </w:r>
      <w:r w:rsidR="00835ED1" w:rsidRPr="004F681E">
        <w:rPr>
          <w:rFonts w:ascii="Arial" w:hAnsi="Arial" w:cs="Arial"/>
          <w:lang w:val="es-MX"/>
        </w:rPr>
        <w:t xml:space="preserve"> el Instituto Distrital para la</w:t>
      </w:r>
      <w:r w:rsidR="003C13A6" w:rsidRPr="004F681E">
        <w:rPr>
          <w:rFonts w:ascii="Arial" w:hAnsi="Arial" w:cs="Arial"/>
          <w:lang w:val="es-MX"/>
        </w:rPr>
        <w:t xml:space="preserve"> Recreación y</w:t>
      </w:r>
      <w:r w:rsidR="00835ED1" w:rsidRPr="004F681E">
        <w:rPr>
          <w:rFonts w:ascii="Arial" w:hAnsi="Arial" w:cs="Arial"/>
          <w:lang w:val="es-MX"/>
        </w:rPr>
        <w:t xml:space="preserve"> el </w:t>
      </w:r>
      <w:r w:rsidR="003C13A6" w:rsidRPr="004F681E">
        <w:rPr>
          <w:rFonts w:ascii="Arial" w:hAnsi="Arial" w:cs="Arial"/>
          <w:lang w:val="es-MX"/>
        </w:rPr>
        <w:t xml:space="preserve"> Deporte y la unión temporal </w:t>
      </w:r>
      <w:r w:rsidR="003C13A6" w:rsidRPr="004F681E">
        <w:rPr>
          <w:rFonts w:ascii="Arial" w:hAnsi="Arial" w:cs="Arial"/>
          <w:lang w:val="es-MX"/>
        </w:rPr>
        <w:lastRenderedPageBreak/>
        <w:t>Publiestadios celebraron el Contrato No. 475</w:t>
      </w:r>
      <w:r w:rsidR="009870ED" w:rsidRPr="004F681E">
        <w:rPr>
          <w:rFonts w:ascii="Arial" w:hAnsi="Arial" w:cs="Arial"/>
          <w:lang w:val="es-MX"/>
        </w:rPr>
        <w:t>,</w:t>
      </w:r>
      <w:r w:rsidR="003C13A6" w:rsidRPr="004F681E">
        <w:rPr>
          <w:rFonts w:ascii="Arial" w:hAnsi="Arial" w:cs="Arial"/>
          <w:lang w:val="es-MX"/>
        </w:rPr>
        <w:t xml:space="preserve"> cuyo objeto consistió en entregar en concesión el suministro, instalación</w:t>
      </w:r>
      <w:r w:rsidR="004A1A45" w:rsidRPr="004F681E">
        <w:rPr>
          <w:rFonts w:ascii="Arial" w:hAnsi="Arial" w:cs="Arial"/>
          <w:lang w:val="es-MX"/>
        </w:rPr>
        <w:t xml:space="preserve">, mantenimiento, </w:t>
      </w:r>
      <w:r w:rsidR="003C13A6" w:rsidRPr="004F681E">
        <w:rPr>
          <w:rFonts w:ascii="Arial" w:hAnsi="Arial" w:cs="Arial"/>
          <w:lang w:val="es-MX"/>
        </w:rPr>
        <w:t xml:space="preserve">operación </w:t>
      </w:r>
      <w:r w:rsidR="004A1A45" w:rsidRPr="004F681E">
        <w:rPr>
          <w:rFonts w:ascii="Arial" w:hAnsi="Arial" w:cs="Arial"/>
          <w:lang w:val="es-MX"/>
        </w:rPr>
        <w:t xml:space="preserve">y prestación del servicio de pantalla gigante del </w:t>
      </w:r>
      <w:r w:rsidR="009870ED" w:rsidRPr="004F681E">
        <w:rPr>
          <w:rFonts w:ascii="Arial" w:hAnsi="Arial" w:cs="Arial"/>
          <w:lang w:val="es-MX"/>
        </w:rPr>
        <w:t>estadio Nemesio Camacho El Campí</w:t>
      </w:r>
      <w:r w:rsidR="004A1A45" w:rsidRPr="004F681E">
        <w:rPr>
          <w:rFonts w:ascii="Arial" w:hAnsi="Arial" w:cs="Arial"/>
          <w:lang w:val="es-MX"/>
        </w:rPr>
        <w:t>n</w:t>
      </w:r>
      <w:r w:rsidR="009870ED" w:rsidRPr="004F681E">
        <w:rPr>
          <w:rFonts w:ascii="Arial" w:hAnsi="Arial" w:cs="Arial"/>
          <w:lang w:val="es-MX"/>
        </w:rPr>
        <w:t>,</w:t>
      </w:r>
      <w:r w:rsidR="004A1A45" w:rsidRPr="004F681E">
        <w:rPr>
          <w:rFonts w:ascii="Arial" w:hAnsi="Arial" w:cs="Arial"/>
          <w:lang w:val="es-MX"/>
        </w:rPr>
        <w:t xml:space="preserve"> ubicada en el sector norte del estadio y su cara posterior, de la pantalla exterior situada en los muros laterales de la torre de ascensores y una pantalla móvil itinerante referencia estectacolor. </w:t>
      </w:r>
    </w:p>
    <w:p w:rsidR="00390707" w:rsidRPr="004F681E" w:rsidRDefault="00390707" w:rsidP="00390707">
      <w:pPr>
        <w:widowControl w:val="0"/>
        <w:autoSpaceDE w:val="0"/>
        <w:autoSpaceDN w:val="0"/>
        <w:adjustRightInd w:val="0"/>
        <w:spacing w:line="360" w:lineRule="auto"/>
        <w:jc w:val="both"/>
        <w:rPr>
          <w:rFonts w:ascii="Arial" w:hAnsi="Arial" w:cs="Arial"/>
          <w:lang w:val="es-MX"/>
        </w:rPr>
      </w:pPr>
    </w:p>
    <w:p w:rsidR="00811B78" w:rsidRPr="004F681E" w:rsidRDefault="00390707"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2.2.</w:t>
      </w:r>
      <w:r w:rsidR="005352CD" w:rsidRPr="004F681E">
        <w:rPr>
          <w:rFonts w:ascii="Arial" w:hAnsi="Arial" w:cs="Arial"/>
          <w:lang w:val="es-MX"/>
        </w:rPr>
        <w:t xml:space="preserve"> Se indicó</w:t>
      </w:r>
      <w:r w:rsidRPr="004F681E">
        <w:rPr>
          <w:rFonts w:ascii="Arial" w:hAnsi="Arial" w:cs="Arial"/>
          <w:lang w:val="es-MX"/>
        </w:rPr>
        <w:t xml:space="preserve"> en la demanda que </w:t>
      </w:r>
      <w:r w:rsidR="00811B78" w:rsidRPr="004F681E">
        <w:rPr>
          <w:rFonts w:ascii="Arial" w:hAnsi="Arial" w:cs="Arial"/>
          <w:lang w:val="es-MX"/>
        </w:rPr>
        <w:t xml:space="preserve">encontrándose </w:t>
      </w:r>
      <w:r w:rsidR="00F95471" w:rsidRPr="004F681E">
        <w:rPr>
          <w:rFonts w:ascii="Arial" w:hAnsi="Arial" w:cs="Arial"/>
          <w:lang w:val="es-MX"/>
        </w:rPr>
        <w:t xml:space="preserve">el contrato </w:t>
      </w:r>
      <w:r w:rsidR="00811B78" w:rsidRPr="004F681E">
        <w:rPr>
          <w:rFonts w:ascii="Arial" w:hAnsi="Arial" w:cs="Arial"/>
          <w:lang w:val="es-MX"/>
        </w:rPr>
        <w:t xml:space="preserve">en etapa de ejecución, </w:t>
      </w:r>
      <w:r w:rsidR="00835ED1" w:rsidRPr="004F681E">
        <w:rPr>
          <w:rFonts w:ascii="Arial" w:hAnsi="Arial" w:cs="Arial"/>
          <w:lang w:val="es-MX"/>
        </w:rPr>
        <w:t xml:space="preserve">mediante escrito del 8 de junio de 2010, el IDRD le indicó a la unión temporal concesionaria </w:t>
      </w:r>
      <w:r w:rsidR="009870ED" w:rsidRPr="004F681E">
        <w:rPr>
          <w:rFonts w:ascii="Arial" w:hAnsi="Arial" w:cs="Arial"/>
          <w:lang w:val="es-MX"/>
        </w:rPr>
        <w:t>que como</w:t>
      </w:r>
      <w:r w:rsidR="00835ED1" w:rsidRPr="004F681E">
        <w:rPr>
          <w:rFonts w:ascii="Arial" w:hAnsi="Arial" w:cs="Arial"/>
          <w:lang w:val="es-MX"/>
        </w:rPr>
        <w:t xml:space="preserve"> </w:t>
      </w:r>
      <w:r w:rsidR="00811B78" w:rsidRPr="004F681E">
        <w:rPr>
          <w:rFonts w:ascii="Arial" w:hAnsi="Arial" w:cs="Arial"/>
          <w:lang w:val="es-MX"/>
        </w:rPr>
        <w:t>consecuencia de las obras civiles q</w:t>
      </w:r>
      <w:r w:rsidR="0078237B" w:rsidRPr="004F681E">
        <w:rPr>
          <w:rFonts w:ascii="Arial" w:hAnsi="Arial" w:cs="Arial"/>
          <w:lang w:val="es-MX"/>
        </w:rPr>
        <w:t>ue debían</w:t>
      </w:r>
      <w:r w:rsidR="00811B78" w:rsidRPr="004F681E">
        <w:rPr>
          <w:rFonts w:ascii="Arial" w:hAnsi="Arial" w:cs="Arial"/>
          <w:lang w:val="es-MX"/>
        </w:rPr>
        <w:t xml:space="preserve"> realizarse en el estadio </w:t>
      </w:r>
      <w:r w:rsidR="009870ED" w:rsidRPr="004F681E">
        <w:rPr>
          <w:rFonts w:ascii="Arial" w:hAnsi="Arial" w:cs="Arial"/>
          <w:lang w:val="es-MX"/>
        </w:rPr>
        <w:t>El Campí</w:t>
      </w:r>
      <w:r w:rsidR="00835ED1" w:rsidRPr="004F681E">
        <w:rPr>
          <w:rFonts w:ascii="Arial" w:hAnsi="Arial" w:cs="Arial"/>
          <w:lang w:val="es-MX"/>
        </w:rPr>
        <w:t xml:space="preserve">n, </w:t>
      </w:r>
      <w:r w:rsidR="00F95471" w:rsidRPr="004F681E">
        <w:rPr>
          <w:rFonts w:ascii="Arial" w:hAnsi="Arial" w:cs="Arial"/>
          <w:lang w:val="es-MX"/>
        </w:rPr>
        <w:t xml:space="preserve">la pantalla externa debía trasladarse a otro lugar y agregó que el Instituto asumiría el lucro cesante </w:t>
      </w:r>
      <w:r w:rsidR="0078237B" w:rsidRPr="004F681E">
        <w:rPr>
          <w:rFonts w:ascii="Arial" w:hAnsi="Arial" w:cs="Arial"/>
          <w:lang w:val="es-MX"/>
        </w:rPr>
        <w:t>que generara su</w:t>
      </w:r>
      <w:r w:rsidR="00F95471" w:rsidRPr="004F681E">
        <w:rPr>
          <w:rFonts w:ascii="Arial" w:hAnsi="Arial" w:cs="Arial"/>
          <w:lang w:val="es-MX"/>
        </w:rPr>
        <w:t xml:space="preserve"> cambio de ubicación</w:t>
      </w:r>
      <w:r w:rsidR="0078237B" w:rsidRPr="004F681E">
        <w:rPr>
          <w:rFonts w:ascii="Arial" w:hAnsi="Arial" w:cs="Arial"/>
          <w:lang w:val="es-MX"/>
        </w:rPr>
        <w:t>,</w:t>
      </w:r>
      <w:r w:rsidR="00F95471" w:rsidRPr="004F681E">
        <w:rPr>
          <w:rFonts w:ascii="Arial" w:hAnsi="Arial" w:cs="Arial"/>
          <w:lang w:val="es-MX"/>
        </w:rPr>
        <w:t xml:space="preserve"> </w:t>
      </w:r>
      <w:r w:rsidR="00596379" w:rsidRPr="004F681E">
        <w:rPr>
          <w:rFonts w:ascii="Arial" w:hAnsi="Arial" w:cs="Arial"/>
          <w:lang w:val="es-MX"/>
        </w:rPr>
        <w:t>así</w:t>
      </w:r>
      <w:r w:rsidR="0078237B" w:rsidRPr="004F681E">
        <w:rPr>
          <w:rFonts w:ascii="Arial" w:hAnsi="Arial" w:cs="Arial"/>
          <w:lang w:val="es-MX"/>
        </w:rPr>
        <w:t xml:space="preserve"> como los costos derivados</w:t>
      </w:r>
      <w:r w:rsidR="00F95471" w:rsidRPr="004F681E">
        <w:rPr>
          <w:rFonts w:ascii="Arial" w:hAnsi="Arial" w:cs="Arial"/>
          <w:lang w:val="es-MX"/>
        </w:rPr>
        <w:t xml:space="preserve"> </w:t>
      </w:r>
      <w:r w:rsidR="0078237B" w:rsidRPr="004F681E">
        <w:rPr>
          <w:rFonts w:ascii="Arial" w:hAnsi="Arial" w:cs="Arial"/>
          <w:lang w:val="es-MX"/>
        </w:rPr>
        <w:t>d</w:t>
      </w:r>
      <w:r w:rsidR="00596379" w:rsidRPr="004F681E">
        <w:rPr>
          <w:rFonts w:ascii="Arial" w:hAnsi="Arial" w:cs="Arial"/>
          <w:lang w:val="es-MX"/>
        </w:rPr>
        <w:t>el desarme, desmonte, depósito de la pantalla, desconexi</w:t>
      </w:r>
      <w:r w:rsidR="0078237B" w:rsidRPr="004F681E">
        <w:rPr>
          <w:rFonts w:ascii="Arial" w:hAnsi="Arial" w:cs="Arial"/>
          <w:lang w:val="es-MX"/>
        </w:rPr>
        <w:t>ón, traslado y conexión de la cabina de control de pantallas interna y externa.</w:t>
      </w:r>
    </w:p>
    <w:p w:rsidR="000B0668" w:rsidRPr="004F681E" w:rsidRDefault="000B0668" w:rsidP="00390707">
      <w:pPr>
        <w:widowControl w:val="0"/>
        <w:autoSpaceDE w:val="0"/>
        <w:autoSpaceDN w:val="0"/>
        <w:adjustRightInd w:val="0"/>
        <w:spacing w:line="360" w:lineRule="auto"/>
        <w:jc w:val="both"/>
        <w:rPr>
          <w:rFonts w:ascii="Arial" w:hAnsi="Arial" w:cs="Arial"/>
          <w:lang w:val="es-MX"/>
        </w:rPr>
      </w:pPr>
    </w:p>
    <w:p w:rsidR="000B0668" w:rsidRPr="004F681E" w:rsidRDefault="000B0668"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2.3.</w:t>
      </w:r>
      <w:r w:rsidRPr="004F681E">
        <w:rPr>
          <w:rFonts w:ascii="Arial" w:hAnsi="Arial" w:cs="Arial"/>
          <w:lang w:val="es-MX"/>
        </w:rPr>
        <w:t xml:space="preserve"> En escrito del 14 de julio de 2010, el IDRD reiteró la anterior manifestación y propuso al contratista que se suscribiera un otrosí</w:t>
      </w:r>
      <w:r w:rsidR="009870ED" w:rsidRPr="004F681E">
        <w:rPr>
          <w:rFonts w:ascii="Arial" w:hAnsi="Arial" w:cs="Arial"/>
          <w:lang w:val="es-MX"/>
        </w:rPr>
        <w:t>,</w:t>
      </w:r>
      <w:r w:rsidRPr="004F681E">
        <w:rPr>
          <w:rFonts w:ascii="Arial" w:hAnsi="Arial" w:cs="Arial"/>
          <w:lang w:val="es-MX"/>
        </w:rPr>
        <w:t xml:space="preserve"> con el objeto de modificar el contrato en el sentido de variar la ubi</w:t>
      </w:r>
      <w:r w:rsidR="00835ED1" w:rsidRPr="004F681E">
        <w:rPr>
          <w:rFonts w:ascii="Arial" w:hAnsi="Arial" w:cs="Arial"/>
          <w:lang w:val="es-MX"/>
        </w:rPr>
        <w:t>cación de la pantalla exterior y agregó</w:t>
      </w:r>
      <w:r w:rsidRPr="004F681E">
        <w:rPr>
          <w:rFonts w:ascii="Arial" w:hAnsi="Arial" w:cs="Arial"/>
          <w:lang w:val="es-MX"/>
        </w:rPr>
        <w:t xml:space="preserve"> que</w:t>
      </w:r>
      <w:r w:rsidR="00835ED1" w:rsidRPr="004F681E">
        <w:rPr>
          <w:rFonts w:ascii="Arial" w:hAnsi="Arial" w:cs="Arial"/>
          <w:lang w:val="es-MX"/>
        </w:rPr>
        <w:t xml:space="preserve"> la entidad</w:t>
      </w:r>
      <w:r w:rsidRPr="004F681E">
        <w:rPr>
          <w:rFonts w:ascii="Arial" w:hAnsi="Arial" w:cs="Arial"/>
          <w:lang w:val="es-MX"/>
        </w:rPr>
        <w:t xml:space="preserve"> asumiría el lucro cesante que ello conllevaría.</w:t>
      </w:r>
    </w:p>
    <w:p w:rsidR="000B0668" w:rsidRPr="004F681E" w:rsidRDefault="000B0668" w:rsidP="00390707">
      <w:pPr>
        <w:widowControl w:val="0"/>
        <w:autoSpaceDE w:val="0"/>
        <w:autoSpaceDN w:val="0"/>
        <w:adjustRightInd w:val="0"/>
        <w:spacing w:line="360" w:lineRule="auto"/>
        <w:jc w:val="both"/>
        <w:rPr>
          <w:rFonts w:ascii="Arial" w:hAnsi="Arial" w:cs="Arial"/>
          <w:lang w:val="es-MX"/>
        </w:rPr>
      </w:pPr>
    </w:p>
    <w:p w:rsidR="000B0668" w:rsidRPr="004F681E" w:rsidRDefault="000B0668"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2.4.</w:t>
      </w:r>
      <w:r w:rsidRPr="004F681E">
        <w:rPr>
          <w:rFonts w:ascii="Arial" w:hAnsi="Arial" w:cs="Arial"/>
          <w:lang w:val="es-MX"/>
        </w:rPr>
        <w:t xml:space="preserve"> El 16 de julio de 2010</w:t>
      </w:r>
      <w:r w:rsidR="009870ED" w:rsidRPr="004F681E">
        <w:rPr>
          <w:rFonts w:ascii="Arial" w:hAnsi="Arial" w:cs="Arial"/>
          <w:lang w:val="es-MX"/>
        </w:rPr>
        <w:t>,</w:t>
      </w:r>
      <w:r w:rsidRPr="004F681E">
        <w:rPr>
          <w:rFonts w:ascii="Arial" w:hAnsi="Arial" w:cs="Arial"/>
          <w:lang w:val="es-MX"/>
        </w:rPr>
        <w:t xml:space="preserve"> el contratista le manifestó al IDRD que no aceptaba el traslado de la pantalla ni la modificación contractual propuesta. </w:t>
      </w:r>
    </w:p>
    <w:p w:rsidR="000B0668" w:rsidRPr="004F681E" w:rsidRDefault="000B0668" w:rsidP="00390707">
      <w:pPr>
        <w:widowControl w:val="0"/>
        <w:autoSpaceDE w:val="0"/>
        <w:autoSpaceDN w:val="0"/>
        <w:adjustRightInd w:val="0"/>
        <w:spacing w:line="360" w:lineRule="auto"/>
        <w:jc w:val="both"/>
        <w:rPr>
          <w:rFonts w:ascii="Arial" w:hAnsi="Arial" w:cs="Arial"/>
          <w:lang w:val="es-MX"/>
        </w:rPr>
      </w:pPr>
    </w:p>
    <w:p w:rsidR="00B8184F" w:rsidRPr="004F681E" w:rsidRDefault="000B0668" w:rsidP="00B8184F">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2.5.</w:t>
      </w:r>
      <w:r w:rsidRPr="004F681E">
        <w:rPr>
          <w:rFonts w:ascii="Arial" w:hAnsi="Arial" w:cs="Arial"/>
          <w:lang w:val="es-MX"/>
        </w:rPr>
        <w:t xml:space="preserve"> El 23 de julio del 2010, el IDRD expidió la Resolución No. 327</w:t>
      </w:r>
      <w:r w:rsidR="009870ED" w:rsidRPr="004F681E">
        <w:rPr>
          <w:rFonts w:ascii="Arial" w:hAnsi="Arial" w:cs="Arial"/>
          <w:lang w:val="es-MX"/>
        </w:rPr>
        <w:t>,</w:t>
      </w:r>
      <w:r w:rsidRPr="004F681E">
        <w:rPr>
          <w:rFonts w:ascii="Arial" w:hAnsi="Arial" w:cs="Arial"/>
          <w:lang w:val="es-MX"/>
        </w:rPr>
        <w:t xml:space="preserve"> por la cu</w:t>
      </w:r>
      <w:r w:rsidR="00835ED1" w:rsidRPr="004F681E">
        <w:rPr>
          <w:rFonts w:ascii="Arial" w:hAnsi="Arial" w:cs="Arial"/>
          <w:lang w:val="es-MX"/>
        </w:rPr>
        <w:t>al modificó unilateralmente el Contrato de C</w:t>
      </w:r>
      <w:r w:rsidRPr="004F681E">
        <w:rPr>
          <w:rFonts w:ascii="Arial" w:hAnsi="Arial" w:cs="Arial"/>
          <w:lang w:val="es-MX"/>
        </w:rPr>
        <w:t xml:space="preserve">oncesión </w:t>
      </w:r>
      <w:r w:rsidR="00EF157F" w:rsidRPr="004F681E">
        <w:rPr>
          <w:rFonts w:ascii="Arial" w:hAnsi="Arial" w:cs="Arial"/>
          <w:lang w:val="es-MX"/>
        </w:rPr>
        <w:t>No. 475</w:t>
      </w:r>
      <w:r w:rsidR="009870ED" w:rsidRPr="004F681E">
        <w:rPr>
          <w:rFonts w:ascii="Arial" w:hAnsi="Arial" w:cs="Arial"/>
          <w:lang w:val="es-MX"/>
        </w:rPr>
        <w:t>,</w:t>
      </w:r>
      <w:r w:rsidR="00EF157F" w:rsidRPr="004F681E">
        <w:rPr>
          <w:rFonts w:ascii="Arial" w:hAnsi="Arial" w:cs="Arial"/>
          <w:lang w:val="es-MX"/>
        </w:rPr>
        <w:t xml:space="preserve"> </w:t>
      </w:r>
      <w:r w:rsidR="00DB04CA" w:rsidRPr="004F681E">
        <w:rPr>
          <w:rFonts w:ascii="Arial" w:hAnsi="Arial" w:cs="Arial"/>
          <w:lang w:val="es-MX"/>
        </w:rPr>
        <w:t>en el sentido de disponer el desmonte</w:t>
      </w:r>
      <w:r w:rsidR="00635ED1" w:rsidRPr="004F681E">
        <w:rPr>
          <w:rFonts w:ascii="Arial" w:hAnsi="Arial" w:cs="Arial"/>
          <w:lang w:val="es-MX"/>
        </w:rPr>
        <w:t xml:space="preserve"> de la pantalla y su</w:t>
      </w:r>
      <w:r w:rsidR="00EF157F" w:rsidRPr="004F681E">
        <w:rPr>
          <w:rFonts w:ascii="Arial" w:hAnsi="Arial" w:cs="Arial"/>
          <w:lang w:val="es-MX"/>
        </w:rPr>
        <w:t xml:space="preserve"> traslado</w:t>
      </w:r>
      <w:r w:rsidR="00DB04CA" w:rsidRPr="004F681E">
        <w:rPr>
          <w:rFonts w:ascii="Arial" w:hAnsi="Arial" w:cs="Arial"/>
          <w:lang w:val="es-MX"/>
        </w:rPr>
        <w:t xml:space="preserve"> y montaje</w:t>
      </w:r>
      <w:r w:rsidR="00635ED1" w:rsidRPr="004F681E">
        <w:rPr>
          <w:rFonts w:ascii="Arial" w:hAnsi="Arial" w:cs="Arial"/>
          <w:lang w:val="es-MX"/>
        </w:rPr>
        <w:t xml:space="preserve"> en la </w:t>
      </w:r>
      <w:r w:rsidR="00B8184F" w:rsidRPr="004F681E">
        <w:rPr>
          <w:rFonts w:ascii="Arial" w:hAnsi="Arial" w:cs="Arial"/>
          <w:lang w:val="es-MX"/>
        </w:rPr>
        <w:t>torre de iluminación del costado sur</w:t>
      </w:r>
      <w:r w:rsidR="009870ED" w:rsidRPr="004F681E">
        <w:rPr>
          <w:rFonts w:ascii="Arial" w:hAnsi="Arial" w:cs="Arial"/>
          <w:lang w:val="es-MX"/>
        </w:rPr>
        <w:t xml:space="preserve"> occidental del estadio El Campí</w:t>
      </w:r>
      <w:r w:rsidR="00B8184F" w:rsidRPr="004F681E">
        <w:rPr>
          <w:rFonts w:ascii="Arial" w:hAnsi="Arial" w:cs="Arial"/>
          <w:lang w:val="es-MX"/>
        </w:rPr>
        <w:t>n</w:t>
      </w:r>
      <w:r w:rsidR="00635ED1" w:rsidRPr="004F681E">
        <w:rPr>
          <w:rFonts w:ascii="Arial" w:hAnsi="Arial" w:cs="Arial"/>
          <w:lang w:val="es-MX"/>
        </w:rPr>
        <w:t>.</w:t>
      </w:r>
      <w:r w:rsidR="00EF157F" w:rsidRPr="004F681E">
        <w:rPr>
          <w:rFonts w:ascii="Arial" w:hAnsi="Arial" w:cs="Arial"/>
          <w:lang w:val="es-MX"/>
        </w:rPr>
        <w:t xml:space="preserve"> </w:t>
      </w:r>
    </w:p>
    <w:p w:rsidR="00B8184F" w:rsidRPr="004F681E" w:rsidRDefault="00B8184F" w:rsidP="00390707">
      <w:pPr>
        <w:widowControl w:val="0"/>
        <w:autoSpaceDE w:val="0"/>
        <w:autoSpaceDN w:val="0"/>
        <w:adjustRightInd w:val="0"/>
        <w:spacing w:line="360" w:lineRule="auto"/>
        <w:jc w:val="both"/>
        <w:rPr>
          <w:rFonts w:ascii="Arial" w:hAnsi="Arial" w:cs="Arial"/>
          <w:lang w:val="es-MX"/>
        </w:rPr>
      </w:pPr>
    </w:p>
    <w:p w:rsidR="00562B1C" w:rsidRPr="004F681E" w:rsidRDefault="00B8184F"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lang w:val="es-MX"/>
        </w:rPr>
        <w:t xml:space="preserve">En ese mismo acto se consignó </w:t>
      </w:r>
      <w:r w:rsidR="00FA0235" w:rsidRPr="004F681E">
        <w:rPr>
          <w:rFonts w:ascii="Arial" w:hAnsi="Arial" w:cs="Arial"/>
          <w:lang w:val="es-MX"/>
        </w:rPr>
        <w:t xml:space="preserve">que la entidad realizaría por su cuenta y riesgo el desmonte y posterior montaje de la pantalla exterior y que reconocería </w:t>
      </w:r>
      <w:r w:rsidR="00562B1C" w:rsidRPr="004F681E">
        <w:rPr>
          <w:rFonts w:ascii="Arial" w:hAnsi="Arial" w:cs="Arial"/>
          <w:lang w:val="es-MX"/>
        </w:rPr>
        <w:t xml:space="preserve">la utilidad dejada de percibir por el concesionario durante el término de ejecución de esas labores. </w:t>
      </w:r>
    </w:p>
    <w:p w:rsidR="00562B1C" w:rsidRPr="004F681E" w:rsidRDefault="00562B1C" w:rsidP="00390707">
      <w:pPr>
        <w:widowControl w:val="0"/>
        <w:autoSpaceDE w:val="0"/>
        <w:autoSpaceDN w:val="0"/>
        <w:adjustRightInd w:val="0"/>
        <w:spacing w:line="360" w:lineRule="auto"/>
        <w:jc w:val="both"/>
        <w:rPr>
          <w:rFonts w:ascii="Arial" w:hAnsi="Arial" w:cs="Arial"/>
          <w:lang w:val="es-MX"/>
        </w:rPr>
      </w:pPr>
    </w:p>
    <w:p w:rsidR="00FA0235" w:rsidRPr="004F681E" w:rsidRDefault="00562B1C"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2.6.</w:t>
      </w:r>
      <w:r w:rsidR="00CC72BC" w:rsidRPr="004F681E">
        <w:rPr>
          <w:rFonts w:ascii="Arial" w:hAnsi="Arial" w:cs="Arial"/>
          <w:b/>
          <w:lang w:val="es-MX"/>
        </w:rPr>
        <w:t xml:space="preserve"> </w:t>
      </w:r>
      <w:r w:rsidR="00CC72BC" w:rsidRPr="004F681E">
        <w:rPr>
          <w:rFonts w:ascii="Arial" w:hAnsi="Arial" w:cs="Arial"/>
          <w:lang w:val="es-MX"/>
        </w:rPr>
        <w:t>La unión temporal interpuso recurso de reposición en contra de la anterior decisión, el cual fue resuelto el 4 de agosto de 2010</w:t>
      </w:r>
      <w:r w:rsidR="009870ED" w:rsidRPr="004F681E">
        <w:rPr>
          <w:rFonts w:ascii="Arial" w:hAnsi="Arial" w:cs="Arial"/>
          <w:lang w:val="es-MX"/>
        </w:rPr>
        <w:t>,</w:t>
      </w:r>
      <w:r w:rsidR="00CC72BC" w:rsidRPr="004F681E">
        <w:rPr>
          <w:rFonts w:ascii="Arial" w:hAnsi="Arial" w:cs="Arial"/>
          <w:lang w:val="es-MX"/>
        </w:rPr>
        <w:t xml:space="preserve"> a través de Resolución No. 347</w:t>
      </w:r>
      <w:r w:rsidR="009870ED" w:rsidRPr="004F681E">
        <w:rPr>
          <w:rFonts w:ascii="Arial" w:hAnsi="Arial" w:cs="Arial"/>
          <w:lang w:val="es-MX"/>
        </w:rPr>
        <w:t>,</w:t>
      </w:r>
      <w:r w:rsidR="00CC72BC" w:rsidRPr="004F681E">
        <w:rPr>
          <w:rFonts w:ascii="Arial" w:hAnsi="Arial" w:cs="Arial"/>
          <w:lang w:val="es-MX"/>
        </w:rPr>
        <w:t xml:space="preserve"> en la que se confirmó el acto recurrido en todas sus partes. Como consecuencia, el 28 de septiembre de 2010 la unión temporal entregó la pantalla al </w:t>
      </w:r>
      <w:r w:rsidR="00CC72BC" w:rsidRPr="004F681E">
        <w:rPr>
          <w:rFonts w:ascii="Arial" w:hAnsi="Arial" w:cs="Arial"/>
          <w:lang w:val="es-MX"/>
        </w:rPr>
        <w:lastRenderedPageBreak/>
        <w:t xml:space="preserve">IDRD para que la entidad la cambiara de lugar. </w:t>
      </w:r>
    </w:p>
    <w:p w:rsidR="00C20239" w:rsidRPr="004F681E" w:rsidRDefault="00C20239" w:rsidP="00390707">
      <w:pPr>
        <w:widowControl w:val="0"/>
        <w:autoSpaceDE w:val="0"/>
        <w:autoSpaceDN w:val="0"/>
        <w:adjustRightInd w:val="0"/>
        <w:spacing w:line="360" w:lineRule="auto"/>
        <w:jc w:val="both"/>
        <w:rPr>
          <w:rFonts w:ascii="Arial" w:hAnsi="Arial" w:cs="Arial"/>
          <w:lang w:val="es-MX"/>
        </w:rPr>
      </w:pPr>
    </w:p>
    <w:p w:rsidR="00C20239" w:rsidRPr="004F681E" w:rsidRDefault="00C20239"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2.7</w:t>
      </w:r>
      <w:r w:rsidRPr="004F681E">
        <w:rPr>
          <w:rFonts w:ascii="Arial" w:hAnsi="Arial" w:cs="Arial"/>
          <w:lang w:val="es-MX"/>
        </w:rPr>
        <w:t>.</w:t>
      </w:r>
      <w:r w:rsidR="005352CD" w:rsidRPr="004F681E">
        <w:rPr>
          <w:rFonts w:ascii="Arial" w:hAnsi="Arial" w:cs="Arial"/>
          <w:lang w:val="es-MX"/>
        </w:rPr>
        <w:t xml:space="preserve"> Se sostuvo en el escrito introductor que, en desarrollo de las actividades de desmonte y traslado, la pantalla externa sufrió daños que la inhabilitaron para pr</w:t>
      </w:r>
      <w:r w:rsidR="006E3A44" w:rsidRPr="004F681E">
        <w:rPr>
          <w:rFonts w:ascii="Arial" w:hAnsi="Arial" w:cs="Arial"/>
          <w:lang w:val="es-MX"/>
        </w:rPr>
        <w:t xml:space="preserve">estar el servicio concesionado, hecho que luego de ser puesto en conocimiento del IDRD y aceptado por esta entidad en acta de reunión del 20 de enero de 2011, posteriormente fue desconocido por el Instituto en escrito del 18 de marzo de 2011. </w:t>
      </w:r>
    </w:p>
    <w:p w:rsidR="00B840CE" w:rsidRPr="004F681E" w:rsidRDefault="00B840CE" w:rsidP="00390707">
      <w:pPr>
        <w:widowControl w:val="0"/>
        <w:autoSpaceDE w:val="0"/>
        <w:autoSpaceDN w:val="0"/>
        <w:adjustRightInd w:val="0"/>
        <w:spacing w:line="360" w:lineRule="auto"/>
        <w:jc w:val="both"/>
        <w:rPr>
          <w:rFonts w:ascii="Arial" w:hAnsi="Arial" w:cs="Arial"/>
          <w:lang w:val="es-MX"/>
        </w:rPr>
      </w:pPr>
    </w:p>
    <w:p w:rsidR="00B840CE" w:rsidRPr="004F681E" w:rsidRDefault="00C20239"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2.8</w:t>
      </w:r>
      <w:r w:rsidR="00B840CE" w:rsidRPr="004F681E">
        <w:rPr>
          <w:rFonts w:ascii="Arial" w:hAnsi="Arial" w:cs="Arial"/>
          <w:b/>
          <w:lang w:val="es-MX"/>
        </w:rPr>
        <w:t>.</w:t>
      </w:r>
      <w:r w:rsidR="00B840CE" w:rsidRPr="004F681E">
        <w:rPr>
          <w:rFonts w:ascii="Arial" w:hAnsi="Arial" w:cs="Arial"/>
          <w:lang w:val="es-MX"/>
        </w:rPr>
        <w:t xml:space="preserve"> Entre los meses de octubre de 2010 y marzo de 2011</w:t>
      </w:r>
      <w:r w:rsidR="009870ED" w:rsidRPr="004F681E">
        <w:rPr>
          <w:rFonts w:ascii="Arial" w:hAnsi="Arial" w:cs="Arial"/>
          <w:lang w:val="es-MX"/>
        </w:rPr>
        <w:t>,</w:t>
      </w:r>
      <w:r w:rsidR="00B840CE" w:rsidRPr="004F681E">
        <w:rPr>
          <w:rFonts w:ascii="Arial" w:hAnsi="Arial" w:cs="Arial"/>
          <w:lang w:val="es-MX"/>
        </w:rPr>
        <w:t xml:space="preserve"> la unión temporal </w:t>
      </w:r>
      <w:r w:rsidR="003835FD" w:rsidRPr="004F681E">
        <w:rPr>
          <w:rFonts w:ascii="Arial" w:hAnsi="Arial" w:cs="Arial"/>
          <w:lang w:val="es-MX"/>
        </w:rPr>
        <w:t>le envió periódicamente comunicaciones al IDRD</w:t>
      </w:r>
      <w:r w:rsidR="009870ED" w:rsidRPr="004F681E">
        <w:rPr>
          <w:rFonts w:ascii="Arial" w:hAnsi="Arial" w:cs="Arial"/>
          <w:lang w:val="es-MX"/>
        </w:rPr>
        <w:t>,</w:t>
      </w:r>
      <w:r w:rsidR="003835FD" w:rsidRPr="004F681E">
        <w:rPr>
          <w:rFonts w:ascii="Arial" w:hAnsi="Arial" w:cs="Arial"/>
          <w:lang w:val="es-MX"/>
        </w:rPr>
        <w:t xml:space="preserve"> </w:t>
      </w:r>
      <w:r w:rsidR="00D1060A" w:rsidRPr="004F681E">
        <w:rPr>
          <w:rFonts w:ascii="Arial" w:hAnsi="Arial" w:cs="Arial"/>
          <w:lang w:val="es-MX"/>
        </w:rPr>
        <w:t xml:space="preserve">señalándole </w:t>
      </w:r>
      <w:r w:rsidR="003835FD" w:rsidRPr="004F681E">
        <w:rPr>
          <w:rFonts w:ascii="Arial" w:hAnsi="Arial" w:cs="Arial"/>
          <w:lang w:val="es-MX"/>
        </w:rPr>
        <w:t xml:space="preserve">que el lucro cesante que se venía causando </w:t>
      </w:r>
      <w:r w:rsidR="009B1E75" w:rsidRPr="004F681E">
        <w:rPr>
          <w:rFonts w:ascii="Arial" w:hAnsi="Arial" w:cs="Arial"/>
          <w:lang w:val="es-MX"/>
        </w:rPr>
        <w:t>mensualmente</w:t>
      </w:r>
      <w:r w:rsidR="009870ED" w:rsidRPr="004F681E">
        <w:rPr>
          <w:rFonts w:ascii="Arial" w:hAnsi="Arial" w:cs="Arial"/>
          <w:lang w:val="es-MX"/>
        </w:rPr>
        <w:t>,</w:t>
      </w:r>
      <w:r w:rsidR="009B1E75" w:rsidRPr="004F681E">
        <w:rPr>
          <w:rFonts w:ascii="Arial" w:hAnsi="Arial" w:cs="Arial"/>
          <w:lang w:val="es-MX"/>
        </w:rPr>
        <w:t xml:space="preserve"> por razón de la modificación del contrato</w:t>
      </w:r>
      <w:r w:rsidR="009870ED" w:rsidRPr="004F681E">
        <w:rPr>
          <w:rFonts w:ascii="Arial" w:hAnsi="Arial" w:cs="Arial"/>
          <w:lang w:val="es-MX"/>
        </w:rPr>
        <w:t>,</w:t>
      </w:r>
      <w:r w:rsidR="009B1E75" w:rsidRPr="004F681E">
        <w:rPr>
          <w:rFonts w:ascii="Arial" w:hAnsi="Arial" w:cs="Arial"/>
          <w:lang w:val="es-MX"/>
        </w:rPr>
        <w:t xml:space="preserve"> </w:t>
      </w:r>
      <w:r w:rsidR="003835FD" w:rsidRPr="004F681E">
        <w:rPr>
          <w:rFonts w:ascii="Arial" w:hAnsi="Arial" w:cs="Arial"/>
          <w:lang w:val="es-MX"/>
        </w:rPr>
        <w:t>ascendía a la suma de $90’000.000.</w:t>
      </w:r>
    </w:p>
    <w:p w:rsidR="003835FD" w:rsidRPr="004F681E" w:rsidRDefault="003835FD" w:rsidP="00390707">
      <w:pPr>
        <w:widowControl w:val="0"/>
        <w:autoSpaceDE w:val="0"/>
        <w:autoSpaceDN w:val="0"/>
        <w:adjustRightInd w:val="0"/>
        <w:spacing w:line="360" w:lineRule="auto"/>
        <w:jc w:val="both"/>
        <w:rPr>
          <w:rFonts w:ascii="Arial" w:hAnsi="Arial" w:cs="Arial"/>
          <w:lang w:val="es-MX"/>
        </w:rPr>
      </w:pPr>
    </w:p>
    <w:p w:rsidR="003835FD" w:rsidRPr="004F681E" w:rsidRDefault="00C20239"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2.9</w:t>
      </w:r>
      <w:r w:rsidR="003835FD" w:rsidRPr="004F681E">
        <w:rPr>
          <w:rFonts w:ascii="Arial" w:hAnsi="Arial" w:cs="Arial"/>
          <w:b/>
          <w:lang w:val="es-MX"/>
        </w:rPr>
        <w:t>.</w:t>
      </w:r>
      <w:r w:rsidR="003835FD" w:rsidRPr="004F681E">
        <w:rPr>
          <w:rFonts w:ascii="Arial" w:hAnsi="Arial" w:cs="Arial"/>
          <w:lang w:val="es-MX"/>
        </w:rPr>
        <w:t xml:space="preserve"> Luego de solicitar al contratista </w:t>
      </w:r>
      <w:r w:rsidR="00FC358D" w:rsidRPr="004F681E">
        <w:rPr>
          <w:rFonts w:ascii="Arial" w:hAnsi="Arial" w:cs="Arial"/>
          <w:lang w:val="es-MX"/>
        </w:rPr>
        <w:t>los soportes en</w:t>
      </w:r>
      <w:r w:rsidR="003835FD" w:rsidRPr="004F681E">
        <w:rPr>
          <w:rFonts w:ascii="Arial" w:hAnsi="Arial" w:cs="Arial"/>
          <w:lang w:val="es-MX"/>
        </w:rPr>
        <w:t xml:space="preserve"> que se apoyaba la </w:t>
      </w:r>
      <w:r w:rsidR="004A1C48" w:rsidRPr="004F681E">
        <w:rPr>
          <w:rFonts w:ascii="Arial" w:hAnsi="Arial" w:cs="Arial"/>
          <w:lang w:val="es-MX"/>
        </w:rPr>
        <w:t>solicitud</w:t>
      </w:r>
      <w:r w:rsidR="00FC358D" w:rsidRPr="004F681E">
        <w:rPr>
          <w:rFonts w:ascii="Arial" w:hAnsi="Arial" w:cs="Arial"/>
          <w:lang w:val="es-MX"/>
        </w:rPr>
        <w:t xml:space="preserve"> de </w:t>
      </w:r>
      <w:r w:rsidR="00D1060A" w:rsidRPr="004F681E">
        <w:rPr>
          <w:rFonts w:ascii="Arial" w:hAnsi="Arial" w:cs="Arial"/>
          <w:lang w:val="es-MX"/>
        </w:rPr>
        <w:t xml:space="preserve">reconocimiento de </w:t>
      </w:r>
      <w:r w:rsidR="00FC358D" w:rsidRPr="004F681E">
        <w:rPr>
          <w:rFonts w:ascii="Arial" w:hAnsi="Arial" w:cs="Arial"/>
          <w:lang w:val="es-MX"/>
        </w:rPr>
        <w:t>lucro cesante, el IDRD, mediante comunicación de</w:t>
      </w:r>
      <w:r w:rsidR="00D1060A" w:rsidRPr="004F681E">
        <w:rPr>
          <w:rFonts w:ascii="Arial" w:hAnsi="Arial" w:cs="Arial"/>
          <w:lang w:val="es-MX"/>
        </w:rPr>
        <w:t>l 16 de agosto de 2011</w:t>
      </w:r>
      <w:r w:rsidR="009870ED" w:rsidRPr="004F681E">
        <w:rPr>
          <w:rFonts w:ascii="Arial" w:hAnsi="Arial" w:cs="Arial"/>
          <w:lang w:val="es-MX"/>
        </w:rPr>
        <w:t>,</w:t>
      </w:r>
      <w:r w:rsidR="00D1060A" w:rsidRPr="004F681E">
        <w:rPr>
          <w:rFonts w:ascii="Arial" w:hAnsi="Arial" w:cs="Arial"/>
          <w:lang w:val="es-MX"/>
        </w:rPr>
        <w:t xml:space="preserve"> le informó</w:t>
      </w:r>
      <w:r w:rsidR="00FC358D" w:rsidRPr="004F681E">
        <w:rPr>
          <w:rFonts w:ascii="Arial" w:hAnsi="Arial" w:cs="Arial"/>
          <w:lang w:val="es-MX"/>
        </w:rPr>
        <w:t xml:space="preserve"> a la unión temporal Publi</w:t>
      </w:r>
      <w:r w:rsidR="00D1060A" w:rsidRPr="004F681E">
        <w:rPr>
          <w:rFonts w:ascii="Arial" w:hAnsi="Arial" w:cs="Arial"/>
          <w:lang w:val="es-MX"/>
        </w:rPr>
        <w:t xml:space="preserve">estadios que no pagaría </w:t>
      </w:r>
      <w:r w:rsidR="00FC358D" w:rsidRPr="004F681E">
        <w:rPr>
          <w:rFonts w:ascii="Arial" w:hAnsi="Arial" w:cs="Arial"/>
          <w:lang w:val="es-MX"/>
        </w:rPr>
        <w:t>lucro c</w:t>
      </w:r>
      <w:r w:rsidR="00B07727" w:rsidRPr="004F681E">
        <w:rPr>
          <w:rFonts w:ascii="Arial" w:hAnsi="Arial" w:cs="Arial"/>
          <w:lang w:val="es-MX"/>
        </w:rPr>
        <w:t>esante alguno</w:t>
      </w:r>
      <w:r w:rsidR="009870ED" w:rsidRPr="004F681E">
        <w:rPr>
          <w:rFonts w:ascii="Arial" w:hAnsi="Arial" w:cs="Arial"/>
          <w:lang w:val="es-MX"/>
        </w:rPr>
        <w:t>,</w:t>
      </w:r>
      <w:r w:rsidR="00B07727" w:rsidRPr="004F681E">
        <w:rPr>
          <w:rFonts w:ascii="Arial" w:hAnsi="Arial" w:cs="Arial"/>
          <w:lang w:val="es-MX"/>
        </w:rPr>
        <w:t xml:space="preserve"> dado que</w:t>
      </w:r>
      <w:r w:rsidR="00FC358D" w:rsidRPr="004F681E">
        <w:rPr>
          <w:rFonts w:ascii="Arial" w:hAnsi="Arial" w:cs="Arial"/>
          <w:lang w:val="es-MX"/>
        </w:rPr>
        <w:t xml:space="preserve"> no había</w:t>
      </w:r>
      <w:r w:rsidR="00B07727" w:rsidRPr="004F681E">
        <w:rPr>
          <w:rFonts w:ascii="Arial" w:hAnsi="Arial" w:cs="Arial"/>
          <w:lang w:val="es-MX"/>
        </w:rPr>
        <w:t xml:space="preserve"> sido demostrada su causación</w:t>
      </w:r>
      <w:r w:rsidR="00FC358D" w:rsidRPr="004F681E">
        <w:rPr>
          <w:rFonts w:ascii="Arial" w:hAnsi="Arial" w:cs="Arial"/>
          <w:lang w:val="es-MX"/>
        </w:rPr>
        <w:t xml:space="preserve"> y</w:t>
      </w:r>
      <w:r w:rsidR="00EC6FEA" w:rsidRPr="004F681E">
        <w:rPr>
          <w:rFonts w:ascii="Arial" w:hAnsi="Arial" w:cs="Arial"/>
          <w:lang w:val="es-MX"/>
        </w:rPr>
        <w:t>,</w:t>
      </w:r>
      <w:r w:rsidR="00FC358D" w:rsidRPr="004F681E">
        <w:rPr>
          <w:rFonts w:ascii="Arial" w:hAnsi="Arial" w:cs="Arial"/>
          <w:lang w:val="es-MX"/>
        </w:rPr>
        <w:t xml:space="preserve"> por tanto</w:t>
      </w:r>
      <w:r w:rsidR="00EC6FEA" w:rsidRPr="004F681E">
        <w:rPr>
          <w:rFonts w:ascii="Arial" w:hAnsi="Arial" w:cs="Arial"/>
          <w:lang w:val="es-MX"/>
        </w:rPr>
        <w:t>,</w:t>
      </w:r>
      <w:r w:rsidR="00FC358D" w:rsidRPr="004F681E">
        <w:rPr>
          <w:rFonts w:ascii="Arial" w:hAnsi="Arial" w:cs="Arial"/>
          <w:lang w:val="es-MX"/>
        </w:rPr>
        <w:t xml:space="preserve"> no existía obligación de indemnizarlo</w:t>
      </w:r>
      <w:r w:rsidR="00B07727" w:rsidRPr="004F681E">
        <w:rPr>
          <w:rFonts w:ascii="Arial" w:hAnsi="Arial" w:cs="Arial"/>
          <w:lang w:val="es-MX"/>
        </w:rPr>
        <w:t>. E</w:t>
      </w:r>
      <w:r w:rsidR="00EC6FEA" w:rsidRPr="004F681E">
        <w:rPr>
          <w:rFonts w:ascii="Arial" w:hAnsi="Arial" w:cs="Arial"/>
          <w:lang w:val="es-MX"/>
        </w:rPr>
        <w:t>n sentir del libelista</w:t>
      </w:r>
      <w:r w:rsidR="009870ED" w:rsidRPr="004F681E">
        <w:rPr>
          <w:rFonts w:ascii="Arial" w:hAnsi="Arial" w:cs="Arial"/>
          <w:lang w:val="es-MX"/>
        </w:rPr>
        <w:t>,</w:t>
      </w:r>
      <w:r w:rsidR="00B07727" w:rsidRPr="004F681E">
        <w:rPr>
          <w:rFonts w:ascii="Arial" w:hAnsi="Arial" w:cs="Arial"/>
          <w:lang w:val="es-MX"/>
        </w:rPr>
        <w:t xml:space="preserve"> dicha respuesta</w:t>
      </w:r>
      <w:r w:rsidR="00EC6FEA" w:rsidRPr="004F681E">
        <w:rPr>
          <w:rFonts w:ascii="Arial" w:hAnsi="Arial" w:cs="Arial"/>
          <w:lang w:val="es-MX"/>
        </w:rPr>
        <w:t xml:space="preserve"> contrarió lo consignado en la Resolución de modificación</w:t>
      </w:r>
      <w:r w:rsidR="00B07727" w:rsidRPr="004F681E">
        <w:rPr>
          <w:rFonts w:ascii="Arial" w:hAnsi="Arial" w:cs="Arial"/>
          <w:lang w:val="es-MX"/>
        </w:rPr>
        <w:t xml:space="preserve"> unilateral del contrato expedida</w:t>
      </w:r>
      <w:r w:rsidR="00EC6FEA" w:rsidRPr="004F681E">
        <w:rPr>
          <w:rFonts w:ascii="Arial" w:hAnsi="Arial" w:cs="Arial"/>
          <w:lang w:val="es-MX"/>
        </w:rPr>
        <w:t xml:space="preserve"> por el Instituto</w:t>
      </w:r>
      <w:r w:rsidR="009870ED" w:rsidRPr="004F681E">
        <w:rPr>
          <w:rFonts w:ascii="Arial" w:hAnsi="Arial" w:cs="Arial"/>
          <w:lang w:val="es-MX"/>
        </w:rPr>
        <w:t>,</w:t>
      </w:r>
      <w:r w:rsidR="00B07727" w:rsidRPr="004F681E">
        <w:rPr>
          <w:rFonts w:ascii="Arial" w:hAnsi="Arial" w:cs="Arial"/>
          <w:lang w:val="es-MX"/>
        </w:rPr>
        <w:t xml:space="preserve"> en cuyo contenido se había obligado a su reconocimiento</w:t>
      </w:r>
      <w:r w:rsidR="00FC358D" w:rsidRPr="004F681E">
        <w:rPr>
          <w:rFonts w:ascii="Arial" w:hAnsi="Arial" w:cs="Arial"/>
          <w:lang w:val="es-MX"/>
        </w:rPr>
        <w:t xml:space="preserve">. </w:t>
      </w:r>
    </w:p>
    <w:p w:rsidR="00D51680" w:rsidRPr="004F681E" w:rsidRDefault="00D51680" w:rsidP="00390707">
      <w:pPr>
        <w:widowControl w:val="0"/>
        <w:autoSpaceDE w:val="0"/>
        <w:autoSpaceDN w:val="0"/>
        <w:adjustRightInd w:val="0"/>
        <w:spacing w:line="360" w:lineRule="auto"/>
        <w:jc w:val="both"/>
        <w:rPr>
          <w:rFonts w:ascii="Arial" w:hAnsi="Arial" w:cs="Arial"/>
          <w:lang w:val="es-MX"/>
        </w:rPr>
      </w:pPr>
    </w:p>
    <w:p w:rsidR="008940B8" w:rsidRPr="004F681E" w:rsidRDefault="00C20239"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2.10</w:t>
      </w:r>
      <w:r w:rsidR="00D51680" w:rsidRPr="004F681E">
        <w:rPr>
          <w:rFonts w:ascii="Arial" w:hAnsi="Arial" w:cs="Arial"/>
          <w:b/>
          <w:lang w:val="es-MX"/>
        </w:rPr>
        <w:t>.</w:t>
      </w:r>
      <w:r w:rsidR="00D51680" w:rsidRPr="004F681E">
        <w:rPr>
          <w:rFonts w:ascii="Arial" w:hAnsi="Arial" w:cs="Arial"/>
          <w:lang w:val="es-MX"/>
        </w:rPr>
        <w:t xml:space="preserve"> De otro lado, el 8 de abril de 2011</w:t>
      </w:r>
      <w:r w:rsidR="009870ED" w:rsidRPr="004F681E">
        <w:rPr>
          <w:rFonts w:ascii="Arial" w:hAnsi="Arial" w:cs="Arial"/>
          <w:lang w:val="es-MX"/>
        </w:rPr>
        <w:t>,</w:t>
      </w:r>
      <w:r w:rsidR="00D51680" w:rsidRPr="004F681E">
        <w:rPr>
          <w:rFonts w:ascii="Arial" w:hAnsi="Arial" w:cs="Arial"/>
          <w:lang w:val="es-MX"/>
        </w:rPr>
        <w:t xml:space="preserve"> el IDRD le solicitó al concesionario la entrega de todas las pantallas para el período comprendido entre el 14 de julio y</w:t>
      </w:r>
      <w:r w:rsidR="0098490D" w:rsidRPr="004F681E">
        <w:rPr>
          <w:rFonts w:ascii="Arial" w:hAnsi="Arial" w:cs="Arial"/>
          <w:lang w:val="es-MX"/>
        </w:rPr>
        <w:t xml:space="preserve"> el 29 de agosto de 2011, por cuanto</w:t>
      </w:r>
      <w:r w:rsidR="00D51680" w:rsidRPr="004F681E">
        <w:rPr>
          <w:rFonts w:ascii="Arial" w:hAnsi="Arial" w:cs="Arial"/>
          <w:lang w:val="es-MX"/>
        </w:rPr>
        <w:t xml:space="preserve"> la administración distrital había adquirido con la FIFA </w:t>
      </w:r>
      <w:r w:rsidR="00D1060A" w:rsidRPr="004F681E">
        <w:rPr>
          <w:rFonts w:ascii="Arial" w:hAnsi="Arial" w:cs="Arial"/>
          <w:lang w:val="es-MX"/>
        </w:rPr>
        <w:t>un compromiso</w:t>
      </w:r>
      <w:r w:rsidR="009870ED" w:rsidRPr="004F681E">
        <w:rPr>
          <w:rFonts w:ascii="Arial" w:hAnsi="Arial" w:cs="Arial"/>
          <w:lang w:val="es-MX"/>
        </w:rPr>
        <w:t>,</w:t>
      </w:r>
      <w:r w:rsidR="00D1060A" w:rsidRPr="004F681E">
        <w:rPr>
          <w:rFonts w:ascii="Arial" w:hAnsi="Arial" w:cs="Arial"/>
          <w:lang w:val="es-MX"/>
        </w:rPr>
        <w:t xml:space="preserve"> </w:t>
      </w:r>
      <w:r w:rsidR="00D51680" w:rsidRPr="004F681E">
        <w:rPr>
          <w:rFonts w:ascii="Arial" w:hAnsi="Arial" w:cs="Arial"/>
          <w:lang w:val="es-MX"/>
        </w:rPr>
        <w:t>consistente en no presentar publicidad mientras se desarrollaba el campeonato de fútbol Sub-20.</w:t>
      </w:r>
    </w:p>
    <w:p w:rsidR="000B0668" w:rsidRPr="004F681E" w:rsidRDefault="00D51680"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lang w:val="es-MX"/>
        </w:rPr>
        <w:t xml:space="preserve"> </w:t>
      </w:r>
    </w:p>
    <w:p w:rsidR="000B0668" w:rsidRPr="004F681E" w:rsidRDefault="00E71080" w:rsidP="00390707">
      <w:pPr>
        <w:widowControl w:val="0"/>
        <w:autoSpaceDE w:val="0"/>
        <w:autoSpaceDN w:val="0"/>
        <w:adjustRightInd w:val="0"/>
        <w:spacing w:line="360" w:lineRule="auto"/>
        <w:jc w:val="both"/>
        <w:rPr>
          <w:rFonts w:ascii="Arial" w:hAnsi="Arial" w:cs="Arial"/>
          <w:lang w:val="es-MX"/>
        </w:rPr>
      </w:pPr>
      <w:r w:rsidRPr="004F681E">
        <w:rPr>
          <w:rFonts w:ascii="Arial" w:hAnsi="Arial" w:cs="Arial"/>
          <w:b/>
          <w:lang w:val="es-MX"/>
        </w:rPr>
        <w:t>2.11</w:t>
      </w:r>
      <w:r w:rsidR="00EC6FEA" w:rsidRPr="004F681E">
        <w:rPr>
          <w:rFonts w:ascii="Arial" w:hAnsi="Arial" w:cs="Arial"/>
          <w:b/>
          <w:lang w:val="es-MX"/>
        </w:rPr>
        <w:t xml:space="preserve">. </w:t>
      </w:r>
      <w:r w:rsidR="00D1060A" w:rsidRPr="004F681E">
        <w:rPr>
          <w:rFonts w:ascii="Arial" w:hAnsi="Arial" w:cs="Arial"/>
          <w:lang w:val="es-MX"/>
        </w:rPr>
        <w:t xml:space="preserve">La parte actora afirmó </w:t>
      </w:r>
      <w:r w:rsidR="00167ED1" w:rsidRPr="004F681E">
        <w:rPr>
          <w:rFonts w:ascii="Arial" w:hAnsi="Arial" w:cs="Arial"/>
          <w:lang w:val="es-MX"/>
        </w:rPr>
        <w:t>que a la fecha de presentación de la demanda</w:t>
      </w:r>
      <w:r w:rsidR="00167ED1" w:rsidRPr="004F681E">
        <w:rPr>
          <w:rFonts w:ascii="Arial" w:hAnsi="Arial" w:cs="Arial"/>
          <w:b/>
          <w:lang w:val="es-MX"/>
        </w:rPr>
        <w:t xml:space="preserve"> </w:t>
      </w:r>
      <w:r w:rsidR="00500301" w:rsidRPr="004F681E">
        <w:rPr>
          <w:rFonts w:ascii="Arial" w:hAnsi="Arial" w:cs="Arial"/>
          <w:lang w:val="es-MX"/>
        </w:rPr>
        <w:t>la unión temporal aun no había sido compensada por el lucro cesante derivado de</w:t>
      </w:r>
      <w:r w:rsidR="00D75A6A" w:rsidRPr="004F681E">
        <w:rPr>
          <w:rFonts w:ascii="Arial" w:hAnsi="Arial" w:cs="Arial"/>
          <w:lang w:val="es-MX"/>
        </w:rPr>
        <w:t>:</w:t>
      </w:r>
      <w:r w:rsidR="00500301" w:rsidRPr="004F681E">
        <w:rPr>
          <w:rFonts w:ascii="Arial" w:hAnsi="Arial" w:cs="Arial"/>
          <w:lang w:val="es-MX"/>
        </w:rPr>
        <w:t xml:space="preserve"> i) la inoperatividad de la pantalla desde el 28 de septiembre de 2010 </w:t>
      </w:r>
      <w:r w:rsidR="0088355C" w:rsidRPr="004F681E">
        <w:rPr>
          <w:rFonts w:ascii="Arial" w:hAnsi="Arial" w:cs="Arial"/>
          <w:lang w:val="es-MX"/>
        </w:rPr>
        <w:t>hasta el 8 de abril de 2011, perí</w:t>
      </w:r>
      <w:r w:rsidR="00D1060A" w:rsidRPr="004F681E">
        <w:rPr>
          <w:rFonts w:ascii="Arial" w:hAnsi="Arial" w:cs="Arial"/>
          <w:lang w:val="es-MX"/>
        </w:rPr>
        <w:t>odo en el que se realizaron las actividades de reubicación de dicho objeto</w:t>
      </w:r>
      <w:r w:rsidR="009870ED" w:rsidRPr="004F681E">
        <w:rPr>
          <w:rFonts w:ascii="Arial" w:hAnsi="Arial" w:cs="Arial"/>
          <w:lang w:val="es-MX"/>
        </w:rPr>
        <w:t>,</w:t>
      </w:r>
      <w:r w:rsidR="00D1060A" w:rsidRPr="004F681E">
        <w:rPr>
          <w:rFonts w:ascii="Arial" w:hAnsi="Arial" w:cs="Arial"/>
          <w:lang w:val="es-MX"/>
        </w:rPr>
        <w:t xml:space="preserve"> </w:t>
      </w:r>
      <w:r w:rsidR="0088355C" w:rsidRPr="004F681E">
        <w:rPr>
          <w:rFonts w:ascii="Arial" w:hAnsi="Arial" w:cs="Arial"/>
          <w:lang w:val="es-MX"/>
        </w:rPr>
        <w:t>de confor</w:t>
      </w:r>
      <w:r w:rsidR="00D1060A" w:rsidRPr="004F681E">
        <w:rPr>
          <w:rFonts w:ascii="Arial" w:hAnsi="Arial" w:cs="Arial"/>
          <w:lang w:val="es-MX"/>
        </w:rPr>
        <w:t>midad con la Resolución 3</w:t>
      </w:r>
      <w:r w:rsidR="0088355C" w:rsidRPr="004F681E">
        <w:rPr>
          <w:rFonts w:ascii="Arial" w:hAnsi="Arial" w:cs="Arial"/>
          <w:lang w:val="es-MX"/>
        </w:rPr>
        <w:t>27 del 23 de julio de 2010</w:t>
      </w:r>
      <w:r w:rsidR="00D75A6A" w:rsidRPr="004F681E">
        <w:rPr>
          <w:rFonts w:ascii="Arial" w:hAnsi="Arial" w:cs="Arial"/>
          <w:lang w:val="es-MX"/>
        </w:rPr>
        <w:t xml:space="preserve"> y</w:t>
      </w:r>
      <w:r w:rsidR="009870ED" w:rsidRPr="004F681E">
        <w:rPr>
          <w:rFonts w:ascii="Arial" w:hAnsi="Arial" w:cs="Arial"/>
          <w:lang w:val="es-MX"/>
        </w:rPr>
        <w:t>,</w:t>
      </w:r>
      <w:r w:rsidR="00D75A6A" w:rsidRPr="004F681E">
        <w:rPr>
          <w:rFonts w:ascii="Arial" w:hAnsi="Arial" w:cs="Arial"/>
          <w:lang w:val="es-MX"/>
        </w:rPr>
        <w:t xml:space="preserve"> ii) la inoperatividad de la pantalla desde el 14 de julio hasta el 29 de agosto de 2011, interregno en el que dicho aparato fue entregado al IDRD para honrar la oblig</w:t>
      </w:r>
      <w:r w:rsidR="00D1060A" w:rsidRPr="004F681E">
        <w:rPr>
          <w:rFonts w:ascii="Arial" w:hAnsi="Arial" w:cs="Arial"/>
          <w:lang w:val="es-MX"/>
        </w:rPr>
        <w:t>ación adquirida por las autoridades distritales</w:t>
      </w:r>
      <w:r w:rsidR="00D75A6A" w:rsidRPr="004F681E">
        <w:rPr>
          <w:rFonts w:ascii="Arial" w:hAnsi="Arial" w:cs="Arial"/>
          <w:lang w:val="es-MX"/>
        </w:rPr>
        <w:t xml:space="preserve"> con la FIFA. </w:t>
      </w:r>
    </w:p>
    <w:p w:rsidR="00390707" w:rsidRPr="004F681E" w:rsidRDefault="00390707" w:rsidP="00390707">
      <w:pPr>
        <w:widowControl w:val="0"/>
        <w:autoSpaceDE w:val="0"/>
        <w:autoSpaceDN w:val="0"/>
        <w:adjustRightInd w:val="0"/>
        <w:spacing w:line="360" w:lineRule="auto"/>
        <w:jc w:val="both"/>
        <w:rPr>
          <w:rFonts w:ascii="Arial" w:hAnsi="Arial" w:cs="Arial"/>
          <w:lang w:val="es-MX"/>
        </w:rPr>
      </w:pPr>
    </w:p>
    <w:p w:rsidR="00390707" w:rsidRPr="004F681E" w:rsidRDefault="00390707" w:rsidP="00390707">
      <w:pPr>
        <w:widowControl w:val="0"/>
        <w:autoSpaceDE w:val="0"/>
        <w:autoSpaceDN w:val="0"/>
        <w:adjustRightInd w:val="0"/>
        <w:spacing w:line="360" w:lineRule="auto"/>
        <w:jc w:val="both"/>
        <w:rPr>
          <w:rFonts w:ascii="Arial" w:hAnsi="Arial" w:cs="Arial"/>
          <w:b/>
        </w:rPr>
      </w:pPr>
      <w:r w:rsidRPr="004F681E">
        <w:rPr>
          <w:rFonts w:ascii="Arial" w:hAnsi="Arial" w:cs="Arial"/>
          <w:b/>
        </w:rPr>
        <w:t>3. Fundamento</w:t>
      </w:r>
      <w:r w:rsidR="00D1060A" w:rsidRPr="004F681E">
        <w:rPr>
          <w:rFonts w:ascii="Arial" w:hAnsi="Arial" w:cs="Arial"/>
          <w:b/>
        </w:rPr>
        <w:t>s</w:t>
      </w:r>
      <w:r w:rsidRPr="004F681E">
        <w:rPr>
          <w:rFonts w:ascii="Arial" w:hAnsi="Arial" w:cs="Arial"/>
          <w:b/>
        </w:rPr>
        <w:t xml:space="preserve"> de derecho</w:t>
      </w:r>
    </w:p>
    <w:p w:rsidR="00390707" w:rsidRPr="004F681E" w:rsidRDefault="00390707" w:rsidP="00390707">
      <w:pPr>
        <w:widowControl w:val="0"/>
        <w:autoSpaceDE w:val="0"/>
        <w:autoSpaceDN w:val="0"/>
        <w:adjustRightInd w:val="0"/>
        <w:spacing w:line="360" w:lineRule="auto"/>
        <w:jc w:val="both"/>
        <w:rPr>
          <w:rFonts w:ascii="Arial" w:hAnsi="Arial" w:cs="Arial"/>
          <w:b/>
        </w:rPr>
      </w:pPr>
    </w:p>
    <w:p w:rsidR="00913863" w:rsidRPr="004F681E" w:rsidRDefault="00A52D9A" w:rsidP="00390707">
      <w:pPr>
        <w:spacing w:line="360" w:lineRule="auto"/>
        <w:jc w:val="both"/>
        <w:rPr>
          <w:rFonts w:ascii="Arial" w:hAnsi="Arial" w:cs="Arial"/>
        </w:rPr>
      </w:pPr>
      <w:r w:rsidRPr="004F681E">
        <w:rPr>
          <w:rFonts w:ascii="Arial" w:hAnsi="Arial" w:cs="Arial"/>
        </w:rPr>
        <w:t>La parte demandante</w:t>
      </w:r>
      <w:r w:rsidR="00C63E84" w:rsidRPr="004F681E">
        <w:rPr>
          <w:rFonts w:ascii="Arial" w:hAnsi="Arial" w:cs="Arial"/>
        </w:rPr>
        <w:t xml:space="preserve"> centr</w:t>
      </w:r>
      <w:r w:rsidR="00823AB7" w:rsidRPr="004F681E">
        <w:rPr>
          <w:rFonts w:ascii="Arial" w:hAnsi="Arial" w:cs="Arial"/>
        </w:rPr>
        <w:t xml:space="preserve">ó el sustento jurídico de sus pretensiones en el artículo 87 del Código Contencioso Administrativo, así como en el contenido obligacional insertado en el Contrato de Concesión </w:t>
      </w:r>
      <w:r w:rsidR="00F0162B" w:rsidRPr="004F681E">
        <w:rPr>
          <w:rFonts w:ascii="Arial" w:hAnsi="Arial" w:cs="Arial"/>
        </w:rPr>
        <w:t xml:space="preserve">No. 475 de 2007 y </w:t>
      </w:r>
      <w:r w:rsidR="00913863" w:rsidRPr="004F681E">
        <w:rPr>
          <w:rFonts w:ascii="Arial" w:hAnsi="Arial" w:cs="Arial"/>
        </w:rPr>
        <w:t>en las consideraciones de las Resoluciones Nos. 327 del 13 de julio de 2010 y 347 del 4 de agosto de 2010.</w:t>
      </w:r>
    </w:p>
    <w:p w:rsidR="00C63E84" w:rsidRPr="004F681E" w:rsidRDefault="00C63E84" w:rsidP="00390707">
      <w:pPr>
        <w:spacing w:line="360" w:lineRule="auto"/>
        <w:jc w:val="both"/>
        <w:rPr>
          <w:rFonts w:ascii="Arial" w:hAnsi="Arial" w:cs="Arial"/>
        </w:rPr>
      </w:pPr>
    </w:p>
    <w:p w:rsidR="00913863" w:rsidRPr="004F681E" w:rsidRDefault="00913863" w:rsidP="00390707">
      <w:pPr>
        <w:spacing w:line="360" w:lineRule="auto"/>
        <w:jc w:val="both"/>
        <w:rPr>
          <w:rFonts w:ascii="Arial" w:hAnsi="Arial" w:cs="Arial"/>
        </w:rPr>
      </w:pPr>
      <w:r w:rsidRPr="004F681E">
        <w:rPr>
          <w:rFonts w:ascii="Arial" w:hAnsi="Arial" w:cs="Arial"/>
        </w:rPr>
        <w:t>Como apoyo argumentativo de su reclamación</w:t>
      </w:r>
      <w:r w:rsidR="009870ED" w:rsidRPr="004F681E">
        <w:rPr>
          <w:rFonts w:ascii="Arial" w:hAnsi="Arial" w:cs="Arial"/>
        </w:rPr>
        <w:t>,</w:t>
      </w:r>
      <w:r w:rsidRPr="004F681E">
        <w:rPr>
          <w:rFonts w:ascii="Arial" w:hAnsi="Arial" w:cs="Arial"/>
        </w:rPr>
        <w:t xml:space="preserve"> adujo que la entidad demandada incurrió en grave incumplimiento contractual de lo dispuesto </w:t>
      </w:r>
      <w:r w:rsidR="008E5228" w:rsidRPr="004F681E">
        <w:rPr>
          <w:rFonts w:ascii="Arial" w:hAnsi="Arial" w:cs="Arial"/>
        </w:rPr>
        <w:t>en la Resolu</w:t>
      </w:r>
      <w:r w:rsidR="00A52D9A" w:rsidRPr="004F681E">
        <w:rPr>
          <w:rFonts w:ascii="Arial" w:hAnsi="Arial" w:cs="Arial"/>
        </w:rPr>
        <w:t>ción No. 327 de 2010</w:t>
      </w:r>
      <w:r w:rsidR="009870ED" w:rsidRPr="004F681E">
        <w:rPr>
          <w:rFonts w:ascii="Arial" w:hAnsi="Arial" w:cs="Arial"/>
        </w:rPr>
        <w:t>,</w:t>
      </w:r>
      <w:r w:rsidR="008E5228" w:rsidRPr="004F681E">
        <w:rPr>
          <w:rFonts w:ascii="Arial" w:hAnsi="Arial" w:cs="Arial"/>
        </w:rPr>
        <w:t xml:space="preserve"> por cuya virtud el IDRD modificó unilateralmente el contrato con el fin de realizar por su cuenta y riesgo el desmonte y posterior montaje de la pantalla. </w:t>
      </w:r>
    </w:p>
    <w:p w:rsidR="00913863" w:rsidRPr="004F681E" w:rsidRDefault="00913863" w:rsidP="00390707">
      <w:pPr>
        <w:spacing w:line="360" w:lineRule="auto"/>
        <w:jc w:val="both"/>
        <w:rPr>
          <w:rFonts w:ascii="Arial" w:hAnsi="Arial" w:cs="Arial"/>
        </w:rPr>
      </w:pPr>
    </w:p>
    <w:p w:rsidR="00124BAE" w:rsidRPr="004F681E" w:rsidRDefault="00124BAE" w:rsidP="00390707">
      <w:pPr>
        <w:spacing w:line="360" w:lineRule="auto"/>
        <w:jc w:val="both"/>
        <w:rPr>
          <w:rFonts w:ascii="Arial" w:hAnsi="Arial" w:cs="Arial"/>
        </w:rPr>
      </w:pPr>
      <w:r w:rsidRPr="004F681E">
        <w:rPr>
          <w:rFonts w:ascii="Arial" w:hAnsi="Arial" w:cs="Arial"/>
        </w:rPr>
        <w:t xml:space="preserve">Explicó que a pesar del reconocimiento expreso </w:t>
      </w:r>
      <w:r w:rsidR="00E03BC1" w:rsidRPr="004F681E">
        <w:rPr>
          <w:rFonts w:ascii="Arial" w:hAnsi="Arial" w:cs="Arial"/>
        </w:rPr>
        <w:t xml:space="preserve">y vinculante </w:t>
      </w:r>
      <w:r w:rsidRPr="004F681E">
        <w:rPr>
          <w:rFonts w:ascii="Arial" w:hAnsi="Arial" w:cs="Arial"/>
        </w:rPr>
        <w:t>consignado en e</w:t>
      </w:r>
      <w:r w:rsidR="009870ED" w:rsidRPr="004F681E">
        <w:rPr>
          <w:rFonts w:ascii="Arial" w:hAnsi="Arial" w:cs="Arial"/>
        </w:rPr>
        <w:t>sos documentos por parte de la A</w:t>
      </w:r>
      <w:r w:rsidRPr="004F681E">
        <w:rPr>
          <w:rFonts w:ascii="Arial" w:hAnsi="Arial" w:cs="Arial"/>
        </w:rPr>
        <w:t>dministración</w:t>
      </w:r>
      <w:r w:rsidR="00E03BC1" w:rsidRPr="004F681E">
        <w:rPr>
          <w:rFonts w:ascii="Arial" w:hAnsi="Arial" w:cs="Arial"/>
        </w:rPr>
        <w:t>,</w:t>
      </w:r>
      <w:r w:rsidRPr="004F681E">
        <w:rPr>
          <w:rFonts w:ascii="Arial" w:hAnsi="Arial" w:cs="Arial"/>
        </w:rPr>
        <w:t xml:space="preserve"> con sujeción al cual se comprometía a reconocer </w:t>
      </w:r>
      <w:r w:rsidR="00E03BC1" w:rsidRPr="004F681E">
        <w:rPr>
          <w:rFonts w:ascii="Arial" w:hAnsi="Arial" w:cs="Arial"/>
        </w:rPr>
        <w:t xml:space="preserve">los perjuicios generados por su </w:t>
      </w:r>
      <w:r w:rsidR="00A52D9A" w:rsidRPr="004F681E">
        <w:rPr>
          <w:rFonts w:ascii="Arial" w:hAnsi="Arial" w:cs="Arial"/>
        </w:rPr>
        <w:t xml:space="preserve">decisión </w:t>
      </w:r>
      <w:r w:rsidR="00E03BC1" w:rsidRPr="004F681E">
        <w:rPr>
          <w:rFonts w:ascii="Arial" w:hAnsi="Arial" w:cs="Arial"/>
        </w:rPr>
        <w:t xml:space="preserve">unilateral, posteriormente el IDRD se negó </w:t>
      </w:r>
      <w:r w:rsidR="008B16D3" w:rsidRPr="004F681E">
        <w:rPr>
          <w:rFonts w:ascii="Arial" w:hAnsi="Arial" w:cs="Arial"/>
        </w:rPr>
        <w:t>a pagar el lucro cesante ocasionado a la unión temporal demandante como consecuencia del traslado de la pantalla y, adem</w:t>
      </w:r>
      <w:r w:rsidR="003A6B0C" w:rsidRPr="004F681E">
        <w:rPr>
          <w:rFonts w:ascii="Arial" w:hAnsi="Arial" w:cs="Arial"/>
        </w:rPr>
        <w:t xml:space="preserve">ás, por la suspensión de la publicidad que se produjo a causa del mundial de fútbol Sub-20. </w:t>
      </w:r>
    </w:p>
    <w:p w:rsidR="00B7490A" w:rsidRPr="004F681E" w:rsidRDefault="00B7490A" w:rsidP="00390707">
      <w:pPr>
        <w:spacing w:line="360" w:lineRule="auto"/>
        <w:jc w:val="both"/>
        <w:rPr>
          <w:rFonts w:ascii="Arial" w:hAnsi="Arial" w:cs="Arial"/>
        </w:rPr>
      </w:pPr>
    </w:p>
    <w:p w:rsidR="00B7490A" w:rsidRPr="004F681E" w:rsidRDefault="00B7490A" w:rsidP="00390707">
      <w:pPr>
        <w:spacing w:line="360" w:lineRule="auto"/>
        <w:jc w:val="both"/>
        <w:rPr>
          <w:rFonts w:ascii="Arial" w:hAnsi="Arial" w:cs="Arial"/>
        </w:rPr>
      </w:pPr>
      <w:r w:rsidRPr="004F681E">
        <w:rPr>
          <w:rFonts w:ascii="Arial" w:hAnsi="Arial" w:cs="Arial"/>
        </w:rPr>
        <w:t>Señaló que carecía de veracidad el dicho de la entidad</w:t>
      </w:r>
      <w:r w:rsidR="009870ED" w:rsidRPr="004F681E">
        <w:rPr>
          <w:rFonts w:ascii="Arial" w:hAnsi="Arial" w:cs="Arial"/>
        </w:rPr>
        <w:t>,</w:t>
      </w:r>
      <w:r w:rsidRPr="004F681E">
        <w:rPr>
          <w:rFonts w:ascii="Arial" w:hAnsi="Arial" w:cs="Arial"/>
        </w:rPr>
        <w:t xml:space="preserve"> de conformidad con el cual la unión temporal no había demostrado el lucro cesante sufrido y solicitado </w:t>
      </w:r>
      <w:r w:rsidR="00A52D9A" w:rsidRPr="004F681E">
        <w:rPr>
          <w:rFonts w:ascii="Arial" w:hAnsi="Arial" w:cs="Arial"/>
        </w:rPr>
        <w:t>a instancia administrativa. Sostuvo que</w:t>
      </w:r>
      <w:r w:rsidR="009870ED" w:rsidRPr="004F681E">
        <w:rPr>
          <w:rFonts w:ascii="Arial" w:hAnsi="Arial" w:cs="Arial"/>
        </w:rPr>
        <w:t>,</w:t>
      </w:r>
      <w:r w:rsidR="00A52D9A" w:rsidRPr="004F681E">
        <w:rPr>
          <w:rFonts w:ascii="Arial" w:hAnsi="Arial" w:cs="Arial"/>
        </w:rPr>
        <w:t xml:space="preserve"> por el contario, su causación quedó comprobada</w:t>
      </w:r>
      <w:r w:rsidRPr="004F681E">
        <w:rPr>
          <w:rFonts w:ascii="Arial" w:hAnsi="Arial" w:cs="Arial"/>
        </w:rPr>
        <w:t xml:space="preserve"> a partir de los soportes de los estados financieros </w:t>
      </w:r>
      <w:r w:rsidR="00163A36" w:rsidRPr="004F681E">
        <w:rPr>
          <w:rFonts w:ascii="Arial" w:hAnsi="Arial" w:cs="Arial"/>
        </w:rPr>
        <w:t xml:space="preserve">que reflejaban el promedio de ingresos obtenidos por la operación de la pantalla. </w:t>
      </w:r>
    </w:p>
    <w:p w:rsidR="00163A36" w:rsidRPr="004F681E" w:rsidRDefault="00163A36" w:rsidP="00390707">
      <w:pPr>
        <w:spacing w:line="360" w:lineRule="auto"/>
        <w:jc w:val="both"/>
        <w:rPr>
          <w:rFonts w:ascii="Arial" w:hAnsi="Arial" w:cs="Arial"/>
        </w:rPr>
      </w:pPr>
    </w:p>
    <w:p w:rsidR="00783155" w:rsidRPr="004F681E" w:rsidRDefault="00163A36" w:rsidP="00390707">
      <w:pPr>
        <w:spacing w:line="360" w:lineRule="auto"/>
        <w:jc w:val="both"/>
        <w:rPr>
          <w:rFonts w:ascii="Arial" w:hAnsi="Arial" w:cs="Arial"/>
        </w:rPr>
      </w:pPr>
      <w:r w:rsidRPr="004F681E">
        <w:rPr>
          <w:rFonts w:ascii="Arial" w:hAnsi="Arial" w:cs="Arial"/>
        </w:rPr>
        <w:t>En adición</w:t>
      </w:r>
      <w:r w:rsidR="009870ED" w:rsidRPr="004F681E">
        <w:rPr>
          <w:rFonts w:ascii="Arial" w:hAnsi="Arial" w:cs="Arial"/>
        </w:rPr>
        <w:t>,</w:t>
      </w:r>
      <w:r w:rsidR="00A52D9A" w:rsidRPr="004F681E">
        <w:rPr>
          <w:rFonts w:ascii="Arial" w:hAnsi="Arial" w:cs="Arial"/>
        </w:rPr>
        <w:t xml:space="preserve"> aseguró</w:t>
      </w:r>
      <w:r w:rsidRPr="004F681E">
        <w:rPr>
          <w:rFonts w:ascii="Arial" w:hAnsi="Arial" w:cs="Arial"/>
        </w:rPr>
        <w:t xml:space="preserve"> que el IDRD no solo incumplió los términos pactados en el contrato de </w:t>
      </w:r>
      <w:r w:rsidR="00803E5F" w:rsidRPr="004F681E">
        <w:rPr>
          <w:rFonts w:ascii="Arial" w:hAnsi="Arial" w:cs="Arial"/>
        </w:rPr>
        <w:t>concesión,</w:t>
      </w:r>
      <w:r w:rsidRPr="004F681E">
        <w:rPr>
          <w:rFonts w:ascii="Arial" w:hAnsi="Arial" w:cs="Arial"/>
        </w:rPr>
        <w:t xml:space="preserve"> sino que incurrió en mora de su reconocimiento</w:t>
      </w:r>
      <w:r w:rsidR="00783155" w:rsidRPr="004F681E">
        <w:rPr>
          <w:rFonts w:ascii="Arial" w:hAnsi="Arial" w:cs="Arial"/>
        </w:rPr>
        <w:t>, cuestión que imponía la procedencia de los intereses moratorios deprecados. A la par con lo anotado</w:t>
      </w:r>
      <w:r w:rsidR="009870ED" w:rsidRPr="004F681E">
        <w:rPr>
          <w:rFonts w:ascii="Arial" w:hAnsi="Arial" w:cs="Arial"/>
        </w:rPr>
        <w:t>,</w:t>
      </w:r>
      <w:r w:rsidR="00783155" w:rsidRPr="004F681E">
        <w:rPr>
          <w:rFonts w:ascii="Arial" w:hAnsi="Arial" w:cs="Arial"/>
        </w:rPr>
        <w:t xml:space="preserve"> afirmó que con su conducta la administración distrital desconoció el carácter vinculante de sus propio</w:t>
      </w:r>
      <w:r w:rsidR="00A52D9A" w:rsidRPr="004F681E">
        <w:rPr>
          <w:rFonts w:ascii="Arial" w:hAnsi="Arial" w:cs="Arial"/>
        </w:rPr>
        <w:t>s actos y</w:t>
      </w:r>
      <w:r w:rsidR="00923BFB" w:rsidRPr="004F681E">
        <w:rPr>
          <w:rFonts w:ascii="Arial" w:hAnsi="Arial" w:cs="Arial"/>
        </w:rPr>
        <w:t xml:space="preserve"> se apartó del principio de la confianza legítima generada por su decisión administrativa. </w:t>
      </w:r>
    </w:p>
    <w:p w:rsidR="00124BAE" w:rsidRPr="004F681E" w:rsidRDefault="00124BAE" w:rsidP="00390707">
      <w:pPr>
        <w:spacing w:line="360" w:lineRule="auto"/>
        <w:jc w:val="both"/>
        <w:rPr>
          <w:rFonts w:ascii="Arial" w:hAnsi="Arial" w:cs="Arial"/>
          <w:b/>
          <w:bCs/>
          <w:iCs/>
        </w:rPr>
      </w:pPr>
    </w:p>
    <w:p w:rsidR="00390707" w:rsidRPr="004F681E" w:rsidRDefault="00390707" w:rsidP="00390707">
      <w:pPr>
        <w:spacing w:line="360" w:lineRule="auto"/>
        <w:jc w:val="both"/>
        <w:rPr>
          <w:rFonts w:ascii="Arial" w:hAnsi="Arial" w:cs="Arial"/>
          <w:b/>
          <w:bCs/>
          <w:iCs/>
        </w:rPr>
      </w:pPr>
      <w:r w:rsidRPr="004F681E">
        <w:rPr>
          <w:rFonts w:ascii="Arial" w:hAnsi="Arial" w:cs="Arial"/>
          <w:b/>
          <w:bCs/>
          <w:iCs/>
        </w:rPr>
        <w:t>4. Actuación procesal</w:t>
      </w:r>
    </w:p>
    <w:p w:rsidR="00390707" w:rsidRPr="004F681E" w:rsidRDefault="00390707" w:rsidP="00390707">
      <w:pPr>
        <w:spacing w:line="360" w:lineRule="auto"/>
        <w:jc w:val="both"/>
        <w:rPr>
          <w:rFonts w:ascii="Arial" w:hAnsi="Arial" w:cs="Arial"/>
          <w:bCs/>
          <w:iCs/>
        </w:rPr>
      </w:pPr>
    </w:p>
    <w:p w:rsidR="00390707" w:rsidRPr="004F681E" w:rsidRDefault="00390707" w:rsidP="00390707">
      <w:pPr>
        <w:spacing w:line="360" w:lineRule="auto"/>
        <w:jc w:val="both"/>
        <w:rPr>
          <w:rFonts w:ascii="Arial" w:hAnsi="Arial" w:cs="Arial"/>
          <w:bCs/>
          <w:iCs/>
        </w:rPr>
      </w:pPr>
      <w:r w:rsidRPr="004F681E">
        <w:rPr>
          <w:rFonts w:ascii="Arial" w:hAnsi="Arial" w:cs="Arial"/>
          <w:b/>
          <w:bCs/>
          <w:iCs/>
        </w:rPr>
        <w:t>4.1.</w:t>
      </w:r>
      <w:r w:rsidRPr="004F681E">
        <w:rPr>
          <w:rFonts w:ascii="Arial" w:hAnsi="Arial" w:cs="Arial"/>
          <w:bCs/>
          <w:iCs/>
        </w:rPr>
        <w:t xml:space="preserve"> El Tribunal Administrativo de Cundinamarca, mediante providen</w:t>
      </w:r>
      <w:r w:rsidR="004170B2" w:rsidRPr="004F681E">
        <w:rPr>
          <w:rFonts w:ascii="Arial" w:hAnsi="Arial" w:cs="Arial"/>
          <w:bCs/>
          <w:iCs/>
        </w:rPr>
        <w:t>cia del 15 de marzo de 2012</w:t>
      </w:r>
      <w:r w:rsidR="009870ED" w:rsidRPr="004F681E">
        <w:rPr>
          <w:rFonts w:ascii="Arial" w:hAnsi="Arial" w:cs="Arial"/>
          <w:bCs/>
          <w:iCs/>
        </w:rPr>
        <w:t>,</w:t>
      </w:r>
      <w:r w:rsidRPr="004F681E">
        <w:rPr>
          <w:rFonts w:ascii="Arial" w:hAnsi="Arial" w:cs="Arial"/>
          <w:bCs/>
          <w:iCs/>
        </w:rPr>
        <w:t xml:space="preserve"> admitió la demanda y ordenó notificar de la misma a la demandada. </w:t>
      </w:r>
    </w:p>
    <w:p w:rsidR="00172D4F" w:rsidRPr="004F681E" w:rsidRDefault="00172D4F" w:rsidP="00390707">
      <w:pPr>
        <w:spacing w:line="360" w:lineRule="auto"/>
        <w:jc w:val="both"/>
        <w:rPr>
          <w:rFonts w:ascii="Arial" w:hAnsi="Arial" w:cs="Arial"/>
          <w:bCs/>
          <w:iCs/>
        </w:rPr>
      </w:pPr>
    </w:p>
    <w:p w:rsidR="00390707" w:rsidRPr="004F681E" w:rsidRDefault="00390707" w:rsidP="00390707">
      <w:pPr>
        <w:spacing w:line="360" w:lineRule="auto"/>
        <w:jc w:val="both"/>
        <w:rPr>
          <w:rFonts w:ascii="Arial" w:hAnsi="Arial" w:cs="Arial"/>
          <w:bCs/>
          <w:iCs/>
        </w:rPr>
      </w:pPr>
      <w:r w:rsidRPr="004F681E">
        <w:rPr>
          <w:rFonts w:ascii="Arial" w:hAnsi="Arial" w:cs="Arial"/>
          <w:b/>
          <w:bCs/>
          <w:iCs/>
        </w:rPr>
        <w:lastRenderedPageBreak/>
        <w:t>4.2.</w:t>
      </w:r>
      <w:r w:rsidR="001968C1" w:rsidRPr="004F681E">
        <w:rPr>
          <w:rFonts w:ascii="Arial" w:hAnsi="Arial" w:cs="Arial"/>
          <w:bCs/>
          <w:iCs/>
        </w:rPr>
        <w:t xml:space="preserve"> Por auto del 14 de mayo de 2013</w:t>
      </w:r>
      <w:r w:rsidRPr="004F681E">
        <w:rPr>
          <w:rFonts w:ascii="Arial" w:hAnsi="Arial" w:cs="Arial"/>
          <w:bCs/>
          <w:iCs/>
        </w:rPr>
        <w:t>, la primera instancia abrió el debate probatorio.</w:t>
      </w:r>
    </w:p>
    <w:p w:rsidR="00390707" w:rsidRDefault="00390707" w:rsidP="00390707">
      <w:pPr>
        <w:spacing w:line="360" w:lineRule="auto"/>
        <w:jc w:val="both"/>
        <w:rPr>
          <w:rFonts w:ascii="Arial" w:hAnsi="Arial" w:cs="Arial"/>
        </w:rPr>
      </w:pPr>
    </w:p>
    <w:p w:rsidR="004F681E" w:rsidRPr="004F681E" w:rsidRDefault="004F681E" w:rsidP="00390707">
      <w:pPr>
        <w:spacing w:line="360" w:lineRule="auto"/>
        <w:jc w:val="both"/>
        <w:rPr>
          <w:rFonts w:ascii="Arial" w:hAnsi="Arial" w:cs="Arial"/>
        </w:rPr>
      </w:pPr>
    </w:p>
    <w:p w:rsidR="00390707" w:rsidRPr="004F681E" w:rsidRDefault="00390707" w:rsidP="00390707">
      <w:pPr>
        <w:spacing w:line="360" w:lineRule="auto"/>
        <w:jc w:val="both"/>
        <w:rPr>
          <w:rFonts w:ascii="Arial" w:hAnsi="Arial" w:cs="Arial"/>
          <w:b/>
          <w:bCs/>
          <w:iCs/>
        </w:rPr>
      </w:pPr>
      <w:r w:rsidRPr="004F681E">
        <w:rPr>
          <w:rFonts w:ascii="Arial" w:hAnsi="Arial" w:cs="Arial"/>
          <w:b/>
          <w:bCs/>
          <w:iCs/>
        </w:rPr>
        <w:t xml:space="preserve">5. Contestación de la demanda – </w:t>
      </w:r>
      <w:r w:rsidR="001968C1" w:rsidRPr="004F681E">
        <w:rPr>
          <w:rFonts w:ascii="Arial" w:hAnsi="Arial" w:cs="Arial"/>
          <w:b/>
          <w:bCs/>
          <w:iCs/>
        </w:rPr>
        <w:t>Instituto Distrital de Recreación y Deporte IDRD</w:t>
      </w:r>
    </w:p>
    <w:p w:rsidR="00390707" w:rsidRPr="004F681E" w:rsidRDefault="00390707" w:rsidP="00390707">
      <w:pPr>
        <w:spacing w:line="360" w:lineRule="auto"/>
        <w:jc w:val="both"/>
        <w:rPr>
          <w:rFonts w:ascii="Arial" w:hAnsi="Arial" w:cs="Arial"/>
          <w:bCs/>
          <w:iCs/>
          <w:u w:val="single"/>
        </w:rPr>
      </w:pPr>
    </w:p>
    <w:p w:rsidR="00390707" w:rsidRPr="004F681E" w:rsidRDefault="00390707" w:rsidP="00390707">
      <w:pPr>
        <w:spacing w:line="360" w:lineRule="auto"/>
        <w:jc w:val="both"/>
        <w:rPr>
          <w:rFonts w:ascii="Arial" w:hAnsi="Arial" w:cs="Arial"/>
          <w:bCs/>
          <w:iCs/>
        </w:rPr>
      </w:pPr>
      <w:r w:rsidRPr="004F681E">
        <w:rPr>
          <w:rFonts w:ascii="Arial" w:hAnsi="Arial" w:cs="Arial"/>
          <w:bCs/>
          <w:iCs/>
        </w:rPr>
        <w:t xml:space="preserve">Mediante escrito allegado dentro del término legal, </w:t>
      </w:r>
      <w:r w:rsidR="005E4F8C" w:rsidRPr="004F681E">
        <w:rPr>
          <w:rFonts w:ascii="Arial" w:hAnsi="Arial" w:cs="Arial"/>
          <w:bCs/>
          <w:iCs/>
        </w:rPr>
        <w:t>el Instituto de Recreación y Deporte ejerció</w:t>
      </w:r>
      <w:r w:rsidRPr="004F681E">
        <w:rPr>
          <w:rFonts w:ascii="Arial" w:hAnsi="Arial" w:cs="Arial"/>
          <w:bCs/>
          <w:iCs/>
        </w:rPr>
        <w:t xml:space="preserve"> su derecho de contradicción.</w:t>
      </w:r>
    </w:p>
    <w:p w:rsidR="00390707" w:rsidRPr="004F681E" w:rsidRDefault="00390707" w:rsidP="00390707">
      <w:pPr>
        <w:spacing w:line="360" w:lineRule="auto"/>
        <w:jc w:val="both"/>
        <w:rPr>
          <w:rFonts w:ascii="Arial" w:hAnsi="Arial" w:cs="Arial"/>
          <w:bCs/>
          <w:iCs/>
        </w:rPr>
      </w:pPr>
    </w:p>
    <w:p w:rsidR="00BF0892" w:rsidRPr="004F681E" w:rsidRDefault="00390707" w:rsidP="00390707">
      <w:pPr>
        <w:spacing w:line="360" w:lineRule="auto"/>
        <w:jc w:val="both"/>
        <w:rPr>
          <w:rFonts w:ascii="Arial" w:hAnsi="Arial" w:cs="Arial"/>
          <w:bCs/>
          <w:iCs/>
        </w:rPr>
      </w:pPr>
      <w:r w:rsidRPr="004F681E">
        <w:rPr>
          <w:rFonts w:ascii="Arial" w:hAnsi="Arial" w:cs="Arial"/>
          <w:bCs/>
          <w:iCs/>
        </w:rPr>
        <w:t xml:space="preserve">En primer término, se opuso a las pretensiones, </w:t>
      </w:r>
      <w:r w:rsidR="002F1E02" w:rsidRPr="004F681E">
        <w:rPr>
          <w:rFonts w:ascii="Arial" w:hAnsi="Arial" w:cs="Arial"/>
          <w:bCs/>
          <w:iCs/>
        </w:rPr>
        <w:t>tras argumentar</w:t>
      </w:r>
      <w:r w:rsidR="00BF0892" w:rsidRPr="004F681E">
        <w:rPr>
          <w:rFonts w:ascii="Arial" w:hAnsi="Arial" w:cs="Arial"/>
          <w:bCs/>
          <w:iCs/>
        </w:rPr>
        <w:t xml:space="preserve"> que la entidad cumplió todas las obligaciones que se desprendían del Contrato de Concesión No. 475 de 2007 y que su actuaci</w:t>
      </w:r>
      <w:r w:rsidR="00DA1B42" w:rsidRPr="004F681E">
        <w:rPr>
          <w:rFonts w:ascii="Arial" w:hAnsi="Arial" w:cs="Arial"/>
          <w:bCs/>
          <w:iCs/>
        </w:rPr>
        <w:t>ón</w:t>
      </w:r>
      <w:r w:rsidR="002F1E02" w:rsidRPr="004F681E">
        <w:rPr>
          <w:rFonts w:ascii="Arial" w:hAnsi="Arial" w:cs="Arial"/>
          <w:bCs/>
          <w:iCs/>
        </w:rPr>
        <w:t xml:space="preserve"> se</w:t>
      </w:r>
      <w:r w:rsidR="00BF0892" w:rsidRPr="004F681E">
        <w:rPr>
          <w:rFonts w:ascii="Arial" w:hAnsi="Arial" w:cs="Arial"/>
          <w:bCs/>
          <w:iCs/>
        </w:rPr>
        <w:t xml:space="preserve"> sujetó al principio de buena fe y </w:t>
      </w:r>
      <w:r w:rsidR="0098490D" w:rsidRPr="004F681E">
        <w:rPr>
          <w:rFonts w:ascii="Arial" w:hAnsi="Arial" w:cs="Arial"/>
          <w:bCs/>
          <w:iCs/>
        </w:rPr>
        <w:t>a todos aquellos que regían la Administración P</w:t>
      </w:r>
      <w:r w:rsidR="00DA1B42" w:rsidRPr="004F681E">
        <w:rPr>
          <w:rFonts w:ascii="Arial" w:hAnsi="Arial" w:cs="Arial"/>
          <w:bCs/>
          <w:iCs/>
        </w:rPr>
        <w:t xml:space="preserve">ública. </w:t>
      </w:r>
    </w:p>
    <w:p w:rsidR="00DA1B42" w:rsidRPr="004F681E" w:rsidRDefault="00DA1B42" w:rsidP="00390707">
      <w:pPr>
        <w:spacing w:line="360" w:lineRule="auto"/>
        <w:jc w:val="both"/>
        <w:rPr>
          <w:rFonts w:ascii="Arial" w:hAnsi="Arial" w:cs="Arial"/>
          <w:bCs/>
          <w:iCs/>
        </w:rPr>
      </w:pPr>
    </w:p>
    <w:p w:rsidR="00DA1B42" w:rsidRPr="004F681E" w:rsidRDefault="00DA1B42" w:rsidP="00390707">
      <w:pPr>
        <w:spacing w:line="360" w:lineRule="auto"/>
        <w:jc w:val="both"/>
        <w:rPr>
          <w:rFonts w:ascii="Arial" w:hAnsi="Arial" w:cs="Arial"/>
          <w:bCs/>
          <w:iCs/>
        </w:rPr>
      </w:pPr>
      <w:r w:rsidRPr="004F681E">
        <w:rPr>
          <w:rFonts w:ascii="Arial" w:hAnsi="Arial" w:cs="Arial"/>
          <w:bCs/>
          <w:iCs/>
        </w:rPr>
        <w:t>En su defensa señaló que su decisión se amparó en la potestad de modificación unilateral del contrato regulada por la Ley 80 de 1993</w:t>
      </w:r>
      <w:r w:rsidR="00A804FB" w:rsidRPr="004F681E">
        <w:rPr>
          <w:rFonts w:ascii="Arial" w:hAnsi="Arial" w:cs="Arial"/>
          <w:bCs/>
          <w:iCs/>
        </w:rPr>
        <w:t xml:space="preserve"> y agregó que</w:t>
      </w:r>
      <w:r w:rsidR="00287C84" w:rsidRPr="004F681E">
        <w:rPr>
          <w:rFonts w:ascii="Arial" w:hAnsi="Arial" w:cs="Arial"/>
          <w:bCs/>
          <w:iCs/>
        </w:rPr>
        <w:t>,</w:t>
      </w:r>
      <w:r w:rsidR="00A804FB" w:rsidRPr="004F681E">
        <w:rPr>
          <w:rFonts w:ascii="Arial" w:hAnsi="Arial" w:cs="Arial"/>
          <w:bCs/>
          <w:iCs/>
        </w:rPr>
        <w:t xml:space="preserve"> </w:t>
      </w:r>
      <w:r w:rsidR="00235639" w:rsidRPr="004F681E">
        <w:rPr>
          <w:rFonts w:ascii="Arial" w:hAnsi="Arial" w:cs="Arial"/>
          <w:bCs/>
          <w:iCs/>
        </w:rPr>
        <w:t>según los análisis del Área de A</w:t>
      </w:r>
      <w:r w:rsidR="00A804FB" w:rsidRPr="004F681E">
        <w:rPr>
          <w:rFonts w:ascii="Arial" w:hAnsi="Arial" w:cs="Arial"/>
          <w:bCs/>
          <w:iCs/>
        </w:rPr>
        <w:t>poyo a la Contratación del IDRD</w:t>
      </w:r>
      <w:r w:rsidR="00287C84" w:rsidRPr="004F681E">
        <w:rPr>
          <w:rFonts w:ascii="Arial" w:hAnsi="Arial" w:cs="Arial"/>
          <w:bCs/>
          <w:iCs/>
        </w:rPr>
        <w:t>,</w:t>
      </w:r>
      <w:r w:rsidR="00A804FB" w:rsidRPr="004F681E">
        <w:rPr>
          <w:rFonts w:ascii="Arial" w:hAnsi="Arial" w:cs="Arial"/>
          <w:bCs/>
          <w:iCs/>
        </w:rPr>
        <w:t xml:space="preserve"> fue posible determinar que dentro del período objeto de reclamación no se presentó pérdida alguna, ni afectación al equilibrio financiero del contrato. </w:t>
      </w:r>
    </w:p>
    <w:p w:rsidR="00F64F6B" w:rsidRPr="004F681E" w:rsidRDefault="00F64F6B" w:rsidP="00390707">
      <w:pPr>
        <w:spacing w:line="360" w:lineRule="auto"/>
        <w:jc w:val="both"/>
        <w:rPr>
          <w:rFonts w:ascii="Arial" w:hAnsi="Arial" w:cs="Arial"/>
          <w:bCs/>
          <w:iCs/>
        </w:rPr>
      </w:pPr>
    </w:p>
    <w:p w:rsidR="00F64F6B" w:rsidRPr="004F681E" w:rsidRDefault="00F64F6B" w:rsidP="00390707">
      <w:pPr>
        <w:spacing w:line="360" w:lineRule="auto"/>
        <w:jc w:val="both"/>
        <w:rPr>
          <w:rFonts w:ascii="Arial" w:hAnsi="Arial" w:cs="Arial"/>
          <w:bCs/>
          <w:iCs/>
        </w:rPr>
      </w:pPr>
      <w:r w:rsidRPr="004F681E">
        <w:rPr>
          <w:rFonts w:ascii="Arial" w:hAnsi="Arial" w:cs="Arial"/>
          <w:bCs/>
          <w:iCs/>
        </w:rPr>
        <w:t xml:space="preserve">Advirtió que la operación de la pantalla durante el certamen deportivo Sub-20 fue adelantada por la unión </w:t>
      </w:r>
      <w:r w:rsidR="00805CD5" w:rsidRPr="004F681E">
        <w:rPr>
          <w:rFonts w:ascii="Arial" w:hAnsi="Arial" w:cs="Arial"/>
          <w:bCs/>
          <w:iCs/>
        </w:rPr>
        <w:t>t</w:t>
      </w:r>
      <w:r w:rsidR="002F1E02" w:rsidRPr="004F681E">
        <w:rPr>
          <w:rFonts w:ascii="Arial" w:hAnsi="Arial" w:cs="Arial"/>
          <w:bCs/>
          <w:iCs/>
        </w:rPr>
        <w:t>emporal, de tal suerte que no era</w:t>
      </w:r>
      <w:r w:rsidR="00805CD5" w:rsidRPr="004F681E">
        <w:rPr>
          <w:rFonts w:ascii="Arial" w:hAnsi="Arial" w:cs="Arial"/>
          <w:bCs/>
          <w:iCs/>
        </w:rPr>
        <w:t xml:space="preserve"> posible afirmar que el manejo salió de su control. </w:t>
      </w:r>
    </w:p>
    <w:p w:rsidR="00805CD5" w:rsidRPr="004F681E" w:rsidRDefault="00805CD5" w:rsidP="00390707">
      <w:pPr>
        <w:spacing w:line="360" w:lineRule="auto"/>
        <w:jc w:val="both"/>
        <w:rPr>
          <w:rFonts w:ascii="Arial" w:hAnsi="Arial" w:cs="Arial"/>
          <w:bCs/>
          <w:iCs/>
        </w:rPr>
      </w:pPr>
    </w:p>
    <w:p w:rsidR="00805CD5" w:rsidRPr="004F681E" w:rsidRDefault="00805CD5" w:rsidP="00390707">
      <w:pPr>
        <w:spacing w:line="360" w:lineRule="auto"/>
        <w:jc w:val="both"/>
        <w:rPr>
          <w:rFonts w:ascii="Arial" w:hAnsi="Arial" w:cs="Arial"/>
          <w:bCs/>
          <w:iCs/>
        </w:rPr>
      </w:pPr>
      <w:r w:rsidRPr="004F681E">
        <w:rPr>
          <w:rFonts w:ascii="Arial" w:hAnsi="Arial" w:cs="Arial"/>
          <w:bCs/>
          <w:iCs/>
        </w:rPr>
        <w:t xml:space="preserve">Adujo que </w:t>
      </w:r>
      <w:r w:rsidR="00755089" w:rsidRPr="004F681E">
        <w:rPr>
          <w:rFonts w:ascii="Arial" w:hAnsi="Arial" w:cs="Arial"/>
          <w:bCs/>
          <w:iCs/>
        </w:rPr>
        <w:t xml:space="preserve">no </w:t>
      </w:r>
      <w:r w:rsidRPr="004F681E">
        <w:rPr>
          <w:rFonts w:ascii="Arial" w:hAnsi="Arial" w:cs="Arial"/>
          <w:bCs/>
          <w:iCs/>
        </w:rPr>
        <w:t>existía razón válida para alegar la ruptura del equilibrio econ</w:t>
      </w:r>
      <w:r w:rsidR="00755089" w:rsidRPr="004F681E">
        <w:rPr>
          <w:rFonts w:ascii="Arial" w:hAnsi="Arial" w:cs="Arial"/>
          <w:bCs/>
          <w:iCs/>
        </w:rPr>
        <w:t xml:space="preserve">ómico del contrato y tampoco un incumplimiento del mismo. </w:t>
      </w:r>
    </w:p>
    <w:p w:rsidR="00710BE8" w:rsidRPr="004F681E" w:rsidRDefault="00710BE8" w:rsidP="00390707">
      <w:pPr>
        <w:spacing w:line="360" w:lineRule="auto"/>
        <w:jc w:val="both"/>
        <w:rPr>
          <w:rFonts w:ascii="Arial" w:hAnsi="Arial" w:cs="Arial"/>
          <w:bCs/>
          <w:iCs/>
        </w:rPr>
      </w:pPr>
    </w:p>
    <w:p w:rsidR="00710BE8" w:rsidRPr="004F681E" w:rsidRDefault="00710BE8" w:rsidP="00390707">
      <w:pPr>
        <w:spacing w:line="360" w:lineRule="auto"/>
        <w:jc w:val="both"/>
        <w:rPr>
          <w:rFonts w:ascii="Arial" w:hAnsi="Arial" w:cs="Arial"/>
          <w:bCs/>
          <w:iCs/>
        </w:rPr>
      </w:pPr>
      <w:r w:rsidRPr="004F681E">
        <w:rPr>
          <w:rFonts w:ascii="Arial" w:hAnsi="Arial" w:cs="Arial"/>
          <w:bCs/>
          <w:iCs/>
        </w:rPr>
        <w:t>Frente a los hechos de la demanda</w:t>
      </w:r>
      <w:r w:rsidR="009870ED" w:rsidRPr="004F681E">
        <w:rPr>
          <w:rFonts w:ascii="Arial" w:hAnsi="Arial" w:cs="Arial"/>
          <w:bCs/>
          <w:iCs/>
        </w:rPr>
        <w:t>,</w:t>
      </w:r>
      <w:r w:rsidRPr="004F681E">
        <w:rPr>
          <w:rFonts w:ascii="Arial" w:hAnsi="Arial" w:cs="Arial"/>
          <w:bCs/>
          <w:iCs/>
        </w:rPr>
        <w:t xml:space="preserve"> indicó que el IDRD no </w:t>
      </w:r>
      <w:r w:rsidR="002C6ECB" w:rsidRPr="004F681E">
        <w:rPr>
          <w:rFonts w:ascii="Arial" w:hAnsi="Arial" w:cs="Arial"/>
          <w:bCs/>
          <w:iCs/>
        </w:rPr>
        <w:t xml:space="preserve">actuó </w:t>
      </w:r>
      <w:r w:rsidRPr="004F681E">
        <w:rPr>
          <w:rFonts w:ascii="Arial" w:hAnsi="Arial" w:cs="Arial"/>
          <w:bCs/>
          <w:iCs/>
        </w:rPr>
        <w:t xml:space="preserve">de </w:t>
      </w:r>
      <w:r w:rsidR="002C6ECB" w:rsidRPr="004F681E">
        <w:rPr>
          <w:rFonts w:ascii="Arial" w:hAnsi="Arial" w:cs="Arial"/>
          <w:bCs/>
          <w:iCs/>
        </w:rPr>
        <w:t>manera arbitraria o caprichosa; por el contrario</w:t>
      </w:r>
      <w:r w:rsidR="00850C25" w:rsidRPr="004F681E">
        <w:rPr>
          <w:rFonts w:ascii="Arial" w:hAnsi="Arial" w:cs="Arial"/>
          <w:bCs/>
          <w:iCs/>
        </w:rPr>
        <w:t>,</w:t>
      </w:r>
      <w:r w:rsidR="002C6ECB" w:rsidRPr="004F681E">
        <w:rPr>
          <w:rFonts w:ascii="Arial" w:hAnsi="Arial" w:cs="Arial"/>
          <w:bCs/>
          <w:iCs/>
        </w:rPr>
        <w:t xml:space="preserve"> solicitó a la contratista que a través d</w:t>
      </w:r>
      <w:r w:rsidR="002F1E02" w:rsidRPr="004F681E">
        <w:rPr>
          <w:rFonts w:ascii="Arial" w:hAnsi="Arial" w:cs="Arial"/>
          <w:bCs/>
          <w:iCs/>
        </w:rPr>
        <w:t>e un otrosí se</w:t>
      </w:r>
      <w:r w:rsidR="00850C25" w:rsidRPr="004F681E">
        <w:rPr>
          <w:rFonts w:ascii="Arial" w:hAnsi="Arial" w:cs="Arial"/>
          <w:bCs/>
          <w:iCs/>
        </w:rPr>
        <w:t xml:space="preserve"> </w:t>
      </w:r>
      <w:r w:rsidR="002F1E02" w:rsidRPr="004F681E">
        <w:rPr>
          <w:rFonts w:ascii="Arial" w:hAnsi="Arial" w:cs="Arial"/>
          <w:bCs/>
          <w:iCs/>
        </w:rPr>
        <w:t>modificara</w:t>
      </w:r>
      <w:r w:rsidR="002C6ECB" w:rsidRPr="004F681E">
        <w:rPr>
          <w:rFonts w:ascii="Arial" w:hAnsi="Arial" w:cs="Arial"/>
          <w:bCs/>
          <w:iCs/>
        </w:rPr>
        <w:t xml:space="preserve"> el contrato de mutuo acuerdo y</w:t>
      </w:r>
      <w:r w:rsidR="002F1E02" w:rsidRPr="004F681E">
        <w:rPr>
          <w:rFonts w:ascii="Arial" w:hAnsi="Arial" w:cs="Arial"/>
          <w:bCs/>
          <w:iCs/>
        </w:rPr>
        <w:t>,</w:t>
      </w:r>
      <w:r w:rsidR="002C6ECB" w:rsidRPr="004F681E">
        <w:rPr>
          <w:rFonts w:ascii="Arial" w:hAnsi="Arial" w:cs="Arial"/>
          <w:bCs/>
          <w:iCs/>
        </w:rPr>
        <w:t xml:space="preserve"> al no lograr un consenso en ese sentido</w:t>
      </w:r>
      <w:r w:rsidR="002F1E02" w:rsidRPr="004F681E">
        <w:rPr>
          <w:rFonts w:ascii="Arial" w:hAnsi="Arial" w:cs="Arial"/>
          <w:bCs/>
          <w:iCs/>
        </w:rPr>
        <w:t>,</w:t>
      </w:r>
      <w:r w:rsidR="002C6ECB" w:rsidRPr="004F681E">
        <w:rPr>
          <w:rFonts w:ascii="Arial" w:hAnsi="Arial" w:cs="Arial"/>
          <w:bCs/>
          <w:iCs/>
        </w:rPr>
        <w:t xml:space="preserve"> </w:t>
      </w:r>
      <w:r w:rsidR="00850C25" w:rsidRPr="004F681E">
        <w:rPr>
          <w:rFonts w:ascii="Arial" w:hAnsi="Arial" w:cs="Arial"/>
          <w:bCs/>
          <w:iCs/>
        </w:rPr>
        <w:t>se vio en la necesidad de acudir a</w:t>
      </w:r>
      <w:r w:rsidR="002C6ECB" w:rsidRPr="004F681E">
        <w:rPr>
          <w:rFonts w:ascii="Arial" w:hAnsi="Arial" w:cs="Arial"/>
          <w:bCs/>
          <w:iCs/>
        </w:rPr>
        <w:t xml:space="preserve"> </w:t>
      </w:r>
      <w:r w:rsidR="00850C25" w:rsidRPr="004F681E">
        <w:rPr>
          <w:rFonts w:ascii="Arial" w:hAnsi="Arial" w:cs="Arial"/>
          <w:bCs/>
          <w:iCs/>
        </w:rPr>
        <w:t xml:space="preserve">la potestad excepcional de modificación </w:t>
      </w:r>
      <w:r w:rsidR="00004746" w:rsidRPr="004F681E">
        <w:rPr>
          <w:rFonts w:ascii="Arial" w:hAnsi="Arial" w:cs="Arial"/>
          <w:bCs/>
          <w:iCs/>
        </w:rPr>
        <w:t xml:space="preserve">unilateral del contrato que se materializó en la Resolución No. 327 del 23 de julio de 2010. </w:t>
      </w:r>
    </w:p>
    <w:p w:rsidR="00004746" w:rsidRPr="004F681E" w:rsidRDefault="00004746" w:rsidP="00390707">
      <w:pPr>
        <w:spacing w:line="360" w:lineRule="auto"/>
        <w:jc w:val="both"/>
        <w:rPr>
          <w:rFonts w:ascii="Arial" w:hAnsi="Arial" w:cs="Arial"/>
          <w:bCs/>
          <w:iCs/>
        </w:rPr>
      </w:pPr>
    </w:p>
    <w:p w:rsidR="00004746" w:rsidRPr="004F681E" w:rsidRDefault="00004746" w:rsidP="00390707">
      <w:pPr>
        <w:spacing w:line="360" w:lineRule="auto"/>
        <w:jc w:val="both"/>
        <w:rPr>
          <w:rFonts w:ascii="Arial" w:hAnsi="Arial" w:cs="Arial"/>
          <w:bCs/>
          <w:iCs/>
        </w:rPr>
      </w:pPr>
      <w:r w:rsidRPr="004F681E">
        <w:rPr>
          <w:rFonts w:ascii="Arial" w:hAnsi="Arial" w:cs="Arial"/>
          <w:bCs/>
          <w:iCs/>
        </w:rPr>
        <w:lastRenderedPageBreak/>
        <w:t>Agregó que la motivación de su expedición obedeció a la intención de garantizar el bienestar y el interés público en el marco del mundial Sub-20 celebrado en agosto de 2011</w:t>
      </w:r>
      <w:r w:rsidR="0000133D" w:rsidRPr="004F681E">
        <w:rPr>
          <w:rFonts w:ascii="Arial" w:hAnsi="Arial" w:cs="Arial"/>
          <w:bCs/>
          <w:iCs/>
        </w:rPr>
        <w:t>.</w:t>
      </w:r>
    </w:p>
    <w:p w:rsidR="00B00510" w:rsidRPr="004F681E" w:rsidRDefault="00B00510" w:rsidP="00390707">
      <w:pPr>
        <w:spacing w:line="360" w:lineRule="auto"/>
        <w:jc w:val="both"/>
        <w:rPr>
          <w:rFonts w:ascii="Arial" w:hAnsi="Arial" w:cs="Arial"/>
          <w:bCs/>
          <w:iCs/>
        </w:rPr>
      </w:pPr>
    </w:p>
    <w:p w:rsidR="00074A8D" w:rsidRPr="004F681E" w:rsidRDefault="00B00510" w:rsidP="00390707">
      <w:pPr>
        <w:spacing w:line="360" w:lineRule="auto"/>
        <w:jc w:val="both"/>
        <w:rPr>
          <w:rFonts w:ascii="Arial" w:hAnsi="Arial" w:cs="Arial"/>
          <w:bCs/>
          <w:iCs/>
        </w:rPr>
      </w:pPr>
      <w:r w:rsidRPr="004F681E">
        <w:rPr>
          <w:rFonts w:ascii="Arial" w:hAnsi="Arial" w:cs="Arial"/>
          <w:bCs/>
          <w:iCs/>
        </w:rPr>
        <w:t xml:space="preserve">También sostuvo que la unión temporal entregó la pantalla al IDRD para proceder al cambio de lugar. </w:t>
      </w:r>
    </w:p>
    <w:p w:rsidR="00074A8D" w:rsidRPr="004F681E" w:rsidRDefault="00074A8D" w:rsidP="00390707">
      <w:pPr>
        <w:spacing w:line="360" w:lineRule="auto"/>
        <w:jc w:val="both"/>
        <w:rPr>
          <w:rFonts w:ascii="Arial" w:hAnsi="Arial" w:cs="Arial"/>
          <w:bCs/>
          <w:iCs/>
        </w:rPr>
      </w:pPr>
    </w:p>
    <w:p w:rsidR="00B00510" w:rsidRPr="004F681E" w:rsidRDefault="00B00510" w:rsidP="00390707">
      <w:pPr>
        <w:spacing w:line="360" w:lineRule="auto"/>
        <w:jc w:val="both"/>
        <w:rPr>
          <w:rFonts w:ascii="Arial" w:hAnsi="Arial" w:cs="Arial"/>
          <w:bCs/>
          <w:iCs/>
        </w:rPr>
      </w:pPr>
      <w:r w:rsidRPr="004F681E">
        <w:rPr>
          <w:rFonts w:ascii="Arial" w:hAnsi="Arial" w:cs="Arial"/>
          <w:bCs/>
          <w:iCs/>
        </w:rPr>
        <w:t>Igualmente</w:t>
      </w:r>
      <w:r w:rsidR="009870ED" w:rsidRPr="004F681E">
        <w:rPr>
          <w:rFonts w:ascii="Arial" w:hAnsi="Arial" w:cs="Arial"/>
          <w:bCs/>
          <w:iCs/>
        </w:rPr>
        <w:t>,</w:t>
      </w:r>
      <w:r w:rsidRPr="004F681E">
        <w:rPr>
          <w:rFonts w:ascii="Arial" w:hAnsi="Arial" w:cs="Arial"/>
          <w:bCs/>
          <w:iCs/>
        </w:rPr>
        <w:t xml:space="preserve"> </w:t>
      </w:r>
      <w:r w:rsidR="00D11810" w:rsidRPr="004F681E">
        <w:rPr>
          <w:rFonts w:ascii="Arial" w:hAnsi="Arial" w:cs="Arial"/>
          <w:bCs/>
          <w:iCs/>
        </w:rPr>
        <w:t>señaló</w:t>
      </w:r>
      <w:r w:rsidRPr="004F681E">
        <w:rPr>
          <w:rFonts w:ascii="Arial" w:hAnsi="Arial" w:cs="Arial"/>
          <w:bCs/>
          <w:iCs/>
        </w:rPr>
        <w:t xml:space="preserve"> que para atender las solicitudes de reconocimiento del lucro cesante elevadas por el contratista, el Instituto en varias oportunidades le pidió que adjuntara copia de los contratos que se estaban ejecutando </w:t>
      </w:r>
      <w:r w:rsidR="003C5E14" w:rsidRPr="004F681E">
        <w:rPr>
          <w:rFonts w:ascii="Arial" w:hAnsi="Arial" w:cs="Arial"/>
          <w:bCs/>
          <w:iCs/>
        </w:rPr>
        <w:t>por el servi</w:t>
      </w:r>
      <w:r w:rsidR="002F1E02" w:rsidRPr="004F681E">
        <w:rPr>
          <w:rFonts w:ascii="Arial" w:hAnsi="Arial" w:cs="Arial"/>
          <w:bCs/>
          <w:iCs/>
        </w:rPr>
        <w:t>cio de la pantalla, los estados</w:t>
      </w:r>
      <w:r w:rsidR="003C5E14" w:rsidRPr="004F681E">
        <w:rPr>
          <w:rFonts w:ascii="Arial" w:hAnsi="Arial" w:cs="Arial"/>
          <w:bCs/>
          <w:iCs/>
        </w:rPr>
        <w:t xml:space="preserve"> financieros y la declaración de renta. </w:t>
      </w:r>
      <w:r w:rsidR="00074A8D" w:rsidRPr="004F681E">
        <w:rPr>
          <w:rFonts w:ascii="Arial" w:hAnsi="Arial" w:cs="Arial"/>
          <w:bCs/>
          <w:iCs/>
        </w:rPr>
        <w:t>En esa misma dirección a</w:t>
      </w:r>
      <w:r w:rsidR="00D11810" w:rsidRPr="004F681E">
        <w:rPr>
          <w:rFonts w:ascii="Arial" w:hAnsi="Arial" w:cs="Arial"/>
          <w:bCs/>
          <w:iCs/>
        </w:rPr>
        <w:t>notó que</w:t>
      </w:r>
      <w:r w:rsidR="00074A8D" w:rsidRPr="004F681E">
        <w:rPr>
          <w:rFonts w:ascii="Arial" w:hAnsi="Arial" w:cs="Arial"/>
          <w:bCs/>
          <w:iCs/>
        </w:rPr>
        <w:t>,</w:t>
      </w:r>
      <w:r w:rsidR="00D11810" w:rsidRPr="004F681E">
        <w:rPr>
          <w:rFonts w:ascii="Arial" w:hAnsi="Arial" w:cs="Arial"/>
          <w:bCs/>
          <w:iCs/>
        </w:rPr>
        <w:t xml:space="preserve"> no obstante lo anterior</w:t>
      </w:r>
      <w:r w:rsidR="009870ED" w:rsidRPr="004F681E">
        <w:rPr>
          <w:rFonts w:ascii="Arial" w:hAnsi="Arial" w:cs="Arial"/>
          <w:bCs/>
          <w:iCs/>
        </w:rPr>
        <w:t>,</w:t>
      </w:r>
      <w:r w:rsidR="00D11810" w:rsidRPr="004F681E">
        <w:rPr>
          <w:rFonts w:ascii="Arial" w:hAnsi="Arial" w:cs="Arial"/>
          <w:bCs/>
          <w:iCs/>
        </w:rPr>
        <w:t xml:space="preserve"> </w:t>
      </w:r>
      <w:r w:rsidR="005349BF" w:rsidRPr="004F681E">
        <w:rPr>
          <w:rFonts w:ascii="Arial" w:hAnsi="Arial" w:cs="Arial"/>
          <w:bCs/>
          <w:iCs/>
        </w:rPr>
        <w:t>la unión temporal no brindó certeza al Instituto acerca del monto que efectivamente dejó de percibir por cuenta de los hechos narrados</w:t>
      </w:r>
      <w:r w:rsidR="00074A8D" w:rsidRPr="004F681E">
        <w:rPr>
          <w:rFonts w:ascii="Arial" w:hAnsi="Arial" w:cs="Arial"/>
          <w:bCs/>
          <w:iCs/>
        </w:rPr>
        <w:t xml:space="preserve">. </w:t>
      </w:r>
    </w:p>
    <w:p w:rsidR="00074A8D" w:rsidRPr="004F681E" w:rsidRDefault="00074A8D" w:rsidP="00390707">
      <w:pPr>
        <w:spacing w:line="360" w:lineRule="auto"/>
        <w:jc w:val="both"/>
        <w:rPr>
          <w:rFonts w:ascii="Arial" w:hAnsi="Arial" w:cs="Arial"/>
          <w:bCs/>
          <w:iCs/>
        </w:rPr>
      </w:pPr>
    </w:p>
    <w:p w:rsidR="00074A8D" w:rsidRPr="004F681E" w:rsidRDefault="00074A8D" w:rsidP="00390707">
      <w:pPr>
        <w:spacing w:line="360" w:lineRule="auto"/>
        <w:jc w:val="both"/>
        <w:rPr>
          <w:rFonts w:ascii="Arial" w:hAnsi="Arial" w:cs="Arial"/>
          <w:bCs/>
          <w:iCs/>
        </w:rPr>
      </w:pPr>
      <w:r w:rsidRPr="004F681E">
        <w:rPr>
          <w:rFonts w:ascii="Arial" w:hAnsi="Arial" w:cs="Arial"/>
          <w:bCs/>
          <w:iCs/>
        </w:rPr>
        <w:t>Sobre este punto destacó que</w:t>
      </w:r>
      <w:r w:rsidR="000942C7" w:rsidRPr="004F681E">
        <w:rPr>
          <w:rFonts w:ascii="Arial" w:hAnsi="Arial" w:cs="Arial"/>
          <w:bCs/>
          <w:iCs/>
        </w:rPr>
        <w:t>, debido a</w:t>
      </w:r>
      <w:r w:rsidRPr="004F681E">
        <w:rPr>
          <w:rFonts w:ascii="Arial" w:hAnsi="Arial" w:cs="Arial"/>
          <w:bCs/>
          <w:iCs/>
        </w:rPr>
        <w:t>l carácter de recursos públicos, al Instituto le asistía el deber de obrar con extrema diligencia a la hora de reconocer las sumas deprecadas y</w:t>
      </w:r>
      <w:r w:rsidR="000942C7" w:rsidRPr="004F681E">
        <w:rPr>
          <w:rFonts w:ascii="Arial" w:hAnsi="Arial" w:cs="Arial"/>
          <w:bCs/>
          <w:iCs/>
        </w:rPr>
        <w:t>,</w:t>
      </w:r>
      <w:r w:rsidRPr="004F681E">
        <w:rPr>
          <w:rFonts w:ascii="Arial" w:hAnsi="Arial" w:cs="Arial"/>
          <w:bCs/>
          <w:iCs/>
        </w:rPr>
        <w:t xml:space="preserve"> en tal virtud</w:t>
      </w:r>
      <w:r w:rsidR="000942C7" w:rsidRPr="004F681E">
        <w:rPr>
          <w:rFonts w:ascii="Arial" w:hAnsi="Arial" w:cs="Arial"/>
          <w:bCs/>
          <w:iCs/>
        </w:rPr>
        <w:t>,</w:t>
      </w:r>
      <w:r w:rsidRPr="004F681E">
        <w:rPr>
          <w:rFonts w:ascii="Arial" w:hAnsi="Arial" w:cs="Arial"/>
          <w:bCs/>
          <w:iCs/>
        </w:rPr>
        <w:t xml:space="preserve"> debió solicitar todos los documentos que soportaran su causación. </w:t>
      </w:r>
    </w:p>
    <w:p w:rsidR="009D1E06" w:rsidRPr="004F681E" w:rsidRDefault="009D1E06" w:rsidP="00390707">
      <w:pPr>
        <w:spacing w:line="360" w:lineRule="auto"/>
        <w:jc w:val="both"/>
        <w:rPr>
          <w:rFonts w:ascii="Arial" w:hAnsi="Arial" w:cs="Arial"/>
          <w:bCs/>
          <w:iCs/>
        </w:rPr>
      </w:pPr>
    </w:p>
    <w:p w:rsidR="009D1E06" w:rsidRPr="004F681E" w:rsidRDefault="009D1E06" w:rsidP="00390707">
      <w:pPr>
        <w:spacing w:line="360" w:lineRule="auto"/>
        <w:jc w:val="both"/>
        <w:rPr>
          <w:rFonts w:ascii="Arial" w:hAnsi="Arial" w:cs="Arial"/>
          <w:bCs/>
          <w:iCs/>
        </w:rPr>
      </w:pPr>
      <w:r w:rsidRPr="004F681E">
        <w:rPr>
          <w:rFonts w:ascii="Arial" w:hAnsi="Arial" w:cs="Arial"/>
          <w:bCs/>
          <w:iCs/>
        </w:rPr>
        <w:t xml:space="preserve">De otro lado, afirmó que aun cuando era cierto que por compromiso adquirido con la FIFA, el IDRD había solicitado la entrega temporal de las pantallas instaladas en el estadio El </w:t>
      </w:r>
      <w:r w:rsidR="009870ED" w:rsidRPr="004F681E">
        <w:rPr>
          <w:rFonts w:ascii="Arial" w:hAnsi="Arial" w:cs="Arial"/>
          <w:bCs/>
          <w:iCs/>
        </w:rPr>
        <w:t>Campín</w:t>
      </w:r>
      <w:r w:rsidRPr="004F681E">
        <w:rPr>
          <w:rFonts w:ascii="Arial" w:hAnsi="Arial" w:cs="Arial"/>
          <w:bCs/>
          <w:iCs/>
        </w:rPr>
        <w:t xml:space="preserve"> entre el 14 de julio hasta el 29</w:t>
      </w:r>
      <w:r w:rsidR="00D00C19" w:rsidRPr="004F681E">
        <w:rPr>
          <w:rFonts w:ascii="Arial" w:hAnsi="Arial" w:cs="Arial"/>
          <w:bCs/>
          <w:iCs/>
        </w:rPr>
        <w:t xml:space="preserve"> de agosto de 2011, lo cierto era</w:t>
      </w:r>
      <w:r w:rsidRPr="004F681E">
        <w:rPr>
          <w:rFonts w:ascii="Arial" w:hAnsi="Arial" w:cs="Arial"/>
          <w:bCs/>
          <w:iCs/>
        </w:rPr>
        <w:t xml:space="preserve"> que la pantallas siguieron siendo manejadas por los integrante</w:t>
      </w:r>
      <w:r w:rsidR="002F1E02" w:rsidRPr="004F681E">
        <w:rPr>
          <w:rFonts w:ascii="Arial" w:hAnsi="Arial" w:cs="Arial"/>
          <w:bCs/>
          <w:iCs/>
        </w:rPr>
        <w:t>s</w:t>
      </w:r>
      <w:r w:rsidR="00B96007" w:rsidRPr="004F681E">
        <w:rPr>
          <w:rFonts w:ascii="Arial" w:hAnsi="Arial" w:cs="Arial"/>
          <w:bCs/>
          <w:iCs/>
        </w:rPr>
        <w:t xml:space="preserve"> de la</w:t>
      </w:r>
      <w:r w:rsidRPr="004F681E">
        <w:rPr>
          <w:rFonts w:ascii="Arial" w:hAnsi="Arial" w:cs="Arial"/>
          <w:bCs/>
          <w:iCs/>
        </w:rPr>
        <w:t xml:space="preserve"> unión temporal concesionaria. </w:t>
      </w:r>
    </w:p>
    <w:p w:rsidR="00CD7C97" w:rsidRPr="004F681E" w:rsidRDefault="00CD7C97" w:rsidP="00390707">
      <w:pPr>
        <w:spacing w:line="360" w:lineRule="auto"/>
        <w:jc w:val="both"/>
        <w:rPr>
          <w:rFonts w:ascii="Arial" w:hAnsi="Arial" w:cs="Arial"/>
          <w:bCs/>
          <w:iCs/>
        </w:rPr>
      </w:pPr>
    </w:p>
    <w:p w:rsidR="002F1E02" w:rsidRPr="004F681E" w:rsidRDefault="00CD7C97" w:rsidP="00390707">
      <w:pPr>
        <w:spacing w:line="360" w:lineRule="auto"/>
        <w:jc w:val="both"/>
        <w:rPr>
          <w:rFonts w:ascii="Arial" w:hAnsi="Arial" w:cs="Arial"/>
          <w:bCs/>
          <w:iCs/>
        </w:rPr>
      </w:pPr>
      <w:r w:rsidRPr="004F681E">
        <w:rPr>
          <w:rFonts w:ascii="Arial" w:hAnsi="Arial" w:cs="Arial"/>
          <w:bCs/>
          <w:iCs/>
        </w:rPr>
        <w:t xml:space="preserve">Anotó </w:t>
      </w:r>
      <w:r w:rsidR="00526034" w:rsidRPr="004F681E">
        <w:rPr>
          <w:rFonts w:ascii="Arial" w:hAnsi="Arial" w:cs="Arial"/>
          <w:bCs/>
          <w:iCs/>
        </w:rPr>
        <w:t>que</w:t>
      </w:r>
      <w:r w:rsidRPr="004F681E">
        <w:rPr>
          <w:rFonts w:ascii="Arial" w:hAnsi="Arial" w:cs="Arial"/>
          <w:bCs/>
          <w:iCs/>
        </w:rPr>
        <w:t xml:space="preserve"> </w:t>
      </w:r>
      <w:r w:rsidR="00CF490F" w:rsidRPr="004F681E">
        <w:rPr>
          <w:rFonts w:ascii="Arial" w:hAnsi="Arial" w:cs="Arial"/>
          <w:bCs/>
          <w:iCs/>
        </w:rPr>
        <w:t xml:space="preserve">si bien se realizó un informe en el que se concluyó acerca de la probabilidad de falla de la pantalla y de la reducción de su vida útil, </w:t>
      </w:r>
      <w:r w:rsidRPr="004F681E">
        <w:rPr>
          <w:rFonts w:ascii="Arial" w:hAnsi="Arial" w:cs="Arial"/>
          <w:bCs/>
          <w:iCs/>
        </w:rPr>
        <w:t>no existía prueba acreditativa de l</w:t>
      </w:r>
      <w:r w:rsidR="002F1E02" w:rsidRPr="004F681E">
        <w:rPr>
          <w:rFonts w:ascii="Arial" w:hAnsi="Arial" w:cs="Arial"/>
          <w:bCs/>
          <w:iCs/>
        </w:rPr>
        <w:t>os supuestos daños sufridos</w:t>
      </w:r>
      <w:r w:rsidRPr="004F681E">
        <w:rPr>
          <w:rFonts w:ascii="Arial" w:hAnsi="Arial" w:cs="Arial"/>
          <w:bCs/>
          <w:iCs/>
        </w:rPr>
        <w:t xml:space="preserve"> durante su traslado de lugar</w:t>
      </w:r>
      <w:r w:rsidR="009E07ED" w:rsidRPr="004F681E">
        <w:rPr>
          <w:rFonts w:ascii="Arial" w:hAnsi="Arial" w:cs="Arial"/>
          <w:bCs/>
          <w:iCs/>
        </w:rPr>
        <w:t xml:space="preserve">. </w:t>
      </w:r>
    </w:p>
    <w:p w:rsidR="002F1E02" w:rsidRPr="004F681E" w:rsidRDefault="002F1E02" w:rsidP="00390707">
      <w:pPr>
        <w:spacing w:line="360" w:lineRule="auto"/>
        <w:jc w:val="both"/>
        <w:rPr>
          <w:rFonts w:ascii="Arial" w:hAnsi="Arial" w:cs="Arial"/>
          <w:bCs/>
          <w:iCs/>
        </w:rPr>
      </w:pPr>
    </w:p>
    <w:p w:rsidR="00D11810" w:rsidRPr="004F681E" w:rsidRDefault="0052677B" w:rsidP="00390707">
      <w:pPr>
        <w:spacing w:line="360" w:lineRule="auto"/>
        <w:jc w:val="both"/>
        <w:rPr>
          <w:rFonts w:ascii="Arial" w:hAnsi="Arial" w:cs="Arial"/>
          <w:bCs/>
          <w:iCs/>
        </w:rPr>
      </w:pPr>
      <w:r w:rsidRPr="004F681E">
        <w:rPr>
          <w:rFonts w:ascii="Arial" w:hAnsi="Arial" w:cs="Arial"/>
          <w:bCs/>
          <w:iCs/>
        </w:rPr>
        <w:t>Así</w:t>
      </w:r>
      <w:r w:rsidR="009E07ED" w:rsidRPr="004F681E">
        <w:rPr>
          <w:rFonts w:ascii="Arial" w:hAnsi="Arial" w:cs="Arial"/>
          <w:bCs/>
          <w:iCs/>
        </w:rPr>
        <w:t xml:space="preserve"> mismo</w:t>
      </w:r>
      <w:r w:rsidR="009870ED" w:rsidRPr="004F681E">
        <w:rPr>
          <w:rFonts w:ascii="Arial" w:hAnsi="Arial" w:cs="Arial"/>
          <w:bCs/>
          <w:iCs/>
        </w:rPr>
        <w:t>,</w:t>
      </w:r>
      <w:r w:rsidR="009E07ED" w:rsidRPr="004F681E">
        <w:rPr>
          <w:rFonts w:ascii="Arial" w:hAnsi="Arial" w:cs="Arial"/>
          <w:bCs/>
          <w:iCs/>
        </w:rPr>
        <w:t xml:space="preserve"> manifestó que en la actualidad la pantalla se encontraba funcionando en perfectas condiciones y que seguía siendo operada por la unión temporal demandante. </w:t>
      </w:r>
    </w:p>
    <w:p w:rsidR="002F1E02" w:rsidRPr="004F681E" w:rsidRDefault="002F1E02" w:rsidP="00390707">
      <w:pPr>
        <w:spacing w:line="360" w:lineRule="auto"/>
        <w:jc w:val="both"/>
        <w:rPr>
          <w:rFonts w:ascii="Arial" w:hAnsi="Arial" w:cs="Arial"/>
          <w:bCs/>
          <w:iCs/>
        </w:rPr>
      </w:pPr>
    </w:p>
    <w:p w:rsidR="00FF6448" w:rsidRPr="004F681E" w:rsidRDefault="00526034" w:rsidP="00390707">
      <w:pPr>
        <w:spacing w:line="360" w:lineRule="auto"/>
        <w:jc w:val="both"/>
        <w:rPr>
          <w:rFonts w:ascii="Arial" w:hAnsi="Arial" w:cs="Arial"/>
          <w:bCs/>
          <w:iCs/>
        </w:rPr>
      </w:pPr>
      <w:r w:rsidRPr="004F681E">
        <w:rPr>
          <w:rFonts w:ascii="Arial" w:hAnsi="Arial" w:cs="Arial"/>
          <w:bCs/>
          <w:iCs/>
        </w:rPr>
        <w:t>Puso de presente que el IDRD requirió al concesionario para que recibiera la pantalla externa</w:t>
      </w:r>
      <w:r w:rsidR="009870ED" w:rsidRPr="004F681E">
        <w:rPr>
          <w:rFonts w:ascii="Arial" w:hAnsi="Arial" w:cs="Arial"/>
          <w:bCs/>
          <w:iCs/>
        </w:rPr>
        <w:t>,</w:t>
      </w:r>
      <w:r w:rsidRPr="004F681E">
        <w:rPr>
          <w:rFonts w:ascii="Arial" w:hAnsi="Arial" w:cs="Arial"/>
          <w:bCs/>
          <w:iCs/>
        </w:rPr>
        <w:t xml:space="preserve"> en razón a que se encontraba en perfecto estado y lista para seguir prestando su función y</w:t>
      </w:r>
      <w:r w:rsidR="002F1E02" w:rsidRPr="004F681E">
        <w:rPr>
          <w:rFonts w:ascii="Arial" w:hAnsi="Arial" w:cs="Arial"/>
          <w:bCs/>
          <w:iCs/>
        </w:rPr>
        <w:t>,</w:t>
      </w:r>
      <w:r w:rsidRPr="004F681E">
        <w:rPr>
          <w:rFonts w:ascii="Arial" w:hAnsi="Arial" w:cs="Arial"/>
          <w:bCs/>
          <w:iCs/>
        </w:rPr>
        <w:t xml:space="preserve"> sin embargo</w:t>
      </w:r>
      <w:r w:rsidR="002F1E02" w:rsidRPr="004F681E">
        <w:rPr>
          <w:rFonts w:ascii="Arial" w:hAnsi="Arial" w:cs="Arial"/>
          <w:bCs/>
          <w:iCs/>
        </w:rPr>
        <w:t>,</w:t>
      </w:r>
      <w:r w:rsidRPr="004F681E">
        <w:rPr>
          <w:rFonts w:ascii="Arial" w:hAnsi="Arial" w:cs="Arial"/>
          <w:bCs/>
          <w:iCs/>
        </w:rPr>
        <w:t xml:space="preserve"> el contratista no acudió a su recibo</w:t>
      </w:r>
      <w:r w:rsidR="00EE11D1" w:rsidRPr="004F681E">
        <w:rPr>
          <w:rFonts w:ascii="Arial" w:hAnsi="Arial" w:cs="Arial"/>
          <w:bCs/>
          <w:iCs/>
        </w:rPr>
        <w:t xml:space="preserve"> sino hasta </w:t>
      </w:r>
      <w:r w:rsidR="00EE11D1" w:rsidRPr="004F681E">
        <w:rPr>
          <w:rFonts w:ascii="Arial" w:hAnsi="Arial" w:cs="Arial"/>
          <w:bCs/>
          <w:iCs/>
        </w:rPr>
        <w:lastRenderedPageBreak/>
        <w:t>el 8 de abril de 2011</w:t>
      </w:r>
      <w:r w:rsidR="009870ED" w:rsidRPr="004F681E">
        <w:rPr>
          <w:rFonts w:ascii="Arial" w:hAnsi="Arial" w:cs="Arial"/>
          <w:bCs/>
          <w:iCs/>
        </w:rPr>
        <w:t>,</w:t>
      </w:r>
      <w:r w:rsidR="00D00C19" w:rsidRPr="004F681E">
        <w:rPr>
          <w:rFonts w:ascii="Arial" w:hAnsi="Arial" w:cs="Arial"/>
          <w:bCs/>
          <w:iCs/>
        </w:rPr>
        <w:t xml:space="preserve"> a pesar de estar a su disposición</w:t>
      </w:r>
      <w:r w:rsidR="00EE11D1" w:rsidRPr="004F681E">
        <w:rPr>
          <w:rFonts w:ascii="Arial" w:hAnsi="Arial" w:cs="Arial"/>
          <w:bCs/>
          <w:iCs/>
        </w:rPr>
        <w:t xml:space="preserve"> desde diciembre de 2010</w:t>
      </w:r>
      <w:r w:rsidRPr="004F681E">
        <w:rPr>
          <w:rFonts w:ascii="Arial" w:hAnsi="Arial" w:cs="Arial"/>
          <w:bCs/>
          <w:iCs/>
        </w:rPr>
        <w:t>.</w:t>
      </w:r>
      <w:r w:rsidR="0044597B" w:rsidRPr="004F681E">
        <w:rPr>
          <w:rFonts w:ascii="Arial" w:hAnsi="Arial" w:cs="Arial"/>
          <w:bCs/>
          <w:iCs/>
        </w:rPr>
        <w:t xml:space="preserve"> </w:t>
      </w:r>
      <w:r w:rsidR="008628B3" w:rsidRPr="004F681E">
        <w:rPr>
          <w:rFonts w:ascii="Arial" w:hAnsi="Arial" w:cs="Arial"/>
          <w:bCs/>
          <w:iCs/>
        </w:rPr>
        <w:t>Igualmente</w:t>
      </w:r>
      <w:r w:rsidR="009870ED" w:rsidRPr="004F681E">
        <w:rPr>
          <w:rFonts w:ascii="Arial" w:hAnsi="Arial" w:cs="Arial"/>
          <w:bCs/>
          <w:iCs/>
        </w:rPr>
        <w:t>,</w:t>
      </w:r>
      <w:r w:rsidR="008628B3" w:rsidRPr="004F681E">
        <w:rPr>
          <w:rFonts w:ascii="Arial" w:hAnsi="Arial" w:cs="Arial"/>
          <w:bCs/>
          <w:iCs/>
        </w:rPr>
        <w:t xml:space="preserve"> refutó el hecho de que hubiera existido aceptación </w:t>
      </w:r>
      <w:r w:rsidR="00EE11D1" w:rsidRPr="004F681E">
        <w:rPr>
          <w:rFonts w:ascii="Arial" w:hAnsi="Arial" w:cs="Arial"/>
          <w:bCs/>
          <w:iCs/>
        </w:rPr>
        <w:t xml:space="preserve">por parte de la entidad </w:t>
      </w:r>
      <w:r w:rsidR="008628B3" w:rsidRPr="004F681E">
        <w:rPr>
          <w:rFonts w:ascii="Arial" w:hAnsi="Arial" w:cs="Arial"/>
          <w:bCs/>
          <w:iCs/>
        </w:rPr>
        <w:t xml:space="preserve">sobre los daños supuestamente sufridos por la pantalla y cuya ocurrencia se </w:t>
      </w:r>
      <w:r w:rsidR="00EE11D1" w:rsidRPr="004F681E">
        <w:rPr>
          <w:rFonts w:ascii="Arial" w:hAnsi="Arial" w:cs="Arial"/>
          <w:bCs/>
          <w:iCs/>
        </w:rPr>
        <w:t xml:space="preserve">le </w:t>
      </w:r>
      <w:r w:rsidR="008628B3" w:rsidRPr="004F681E">
        <w:rPr>
          <w:rFonts w:ascii="Arial" w:hAnsi="Arial" w:cs="Arial"/>
          <w:bCs/>
          <w:iCs/>
        </w:rPr>
        <w:t>atribuía al IDRD.</w:t>
      </w:r>
    </w:p>
    <w:p w:rsidR="006A6142" w:rsidRPr="004F681E" w:rsidRDefault="006A6142" w:rsidP="00390707">
      <w:pPr>
        <w:spacing w:line="360" w:lineRule="auto"/>
        <w:jc w:val="both"/>
        <w:rPr>
          <w:rFonts w:ascii="Arial" w:hAnsi="Arial" w:cs="Arial"/>
          <w:bCs/>
          <w:iCs/>
        </w:rPr>
      </w:pPr>
    </w:p>
    <w:p w:rsidR="006A6142" w:rsidRPr="004F681E" w:rsidRDefault="006A6142" w:rsidP="00390707">
      <w:pPr>
        <w:spacing w:line="360" w:lineRule="auto"/>
        <w:jc w:val="both"/>
        <w:rPr>
          <w:rFonts w:ascii="Arial" w:hAnsi="Arial" w:cs="Arial"/>
          <w:bCs/>
          <w:iCs/>
        </w:rPr>
      </w:pPr>
      <w:r w:rsidRPr="004F681E">
        <w:rPr>
          <w:rFonts w:ascii="Arial" w:hAnsi="Arial" w:cs="Arial"/>
          <w:bCs/>
          <w:iCs/>
        </w:rPr>
        <w:t>Como r</w:t>
      </w:r>
      <w:r w:rsidR="002F1E02" w:rsidRPr="004F681E">
        <w:rPr>
          <w:rFonts w:ascii="Arial" w:hAnsi="Arial" w:cs="Arial"/>
          <w:bCs/>
          <w:iCs/>
        </w:rPr>
        <w:t xml:space="preserve">azones de oposición expresó que, </w:t>
      </w:r>
      <w:r w:rsidRPr="004F681E">
        <w:rPr>
          <w:rFonts w:ascii="Arial" w:hAnsi="Arial" w:cs="Arial"/>
          <w:bCs/>
          <w:iCs/>
        </w:rPr>
        <w:t>de confo</w:t>
      </w:r>
      <w:r w:rsidR="00587B9B" w:rsidRPr="004F681E">
        <w:rPr>
          <w:rFonts w:ascii="Arial" w:hAnsi="Arial" w:cs="Arial"/>
          <w:bCs/>
          <w:iCs/>
        </w:rPr>
        <w:t xml:space="preserve">rmidad con el texto contractual, el concesionario no podría reclamar el desequilibrio económico por cuanto a este se trasladaron todos los riesgos inherentes a la ejecución del proyecto. </w:t>
      </w:r>
    </w:p>
    <w:p w:rsidR="00587B9B" w:rsidRPr="004F681E" w:rsidRDefault="00587B9B" w:rsidP="00390707">
      <w:pPr>
        <w:spacing w:line="360" w:lineRule="auto"/>
        <w:jc w:val="both"/>
        <w:rPr>
          <w:rFonts w:ascii="Arial" w:hAnsi="Arial" w:cs="Arial"/>
          <w:bCs/>
          <w:iCs/>
        </w:rPr>
      </w:pPr>
    </w:p>
    <w:p w:rsidR="00587B9B" w:rsidRPr="004F681E" w:rsidRDefault="00587B9B" w:rsidP="00390707">
      <w:pPr>
        <w:spacing w:line="360" w:lineRule="auto"/>
        <w:jc w:val="both"/>
        <w:rPr>
          <w:rFonts w:ascii="Arial" w:hAnsi="Arial" w:cs="Arial"/>
          <w:bCs/>
          <w:iCs/>
        </w:rPr>
      </w:pPr>
      <w:r w:rsidRPr="004F681E">
        <w:rPr>
          <w:rFonts w:ascii="Arial" w:hAnsi="Arial" w:cs="Arial"/>
          <w:bCs/>
          <w:iCs/>
        </w:rPr>
        <w:t xml:space="preserve">Precisó que </w:t>
      </w:r>
      <w:r w:rsidR="00890183" w:rsidRPr="004F681E">
        <w:rPr>
          <w:rFonts w:ascii="Arial" w:hAnsi="Arial" w:cs="Arial"/>
          <w:bCs/>
          <w:iCs/>
        </w:rPr>
        <w:t xml:space="preserve">a la luz de </w:t>
      </w:r>
      <w:r w:rsidRPr="004F681E">
        <w:rPr>
          <w:rFonts w:ascii="Arial" w:hAnsi="Arial" w:cs="Arial"/>
          <w:bCs/>
          <w:iCs/>
        </w:rPr>
        <w:t xml:space="preserve">la jurisprudencia de esta Corporación </w:t>
      </w:r>
      <w:r w:rsidR="000A7DB4" w:rsidRPr="004F681E">
        <w:rPr>
          <w:rFonts w:ascii="Arial" w:hAnsi="Arial" w:cs="Arial"/>
          <w:bCs/>
          <w:iCs/>
        </w:rPr>
        <w:t>el contratista afectado por el advenimient</w:t>
      </w:r>
      <w:r w:rsidR="002F1E02" w:rsidRPr="004F681E">
        <w:rPr>
          <w:rFonts w:ascii="Arial" w:hAnsi="Arial" w:cs="Arial"/>
          <w:bCs/>
          <w:iCs/>
        </w:rPr>
        <w:t>o de circunstancias ajenas tenía</w:t>
      </w:r>
      <w:r w:rsidR="000A7DB4" w:rsidRPr="004F681E">
        <w:rPr>
          <w:rFonts w:ascii="Arial" w:hAnsi="Arial" w:cs="Arial"/>
          <w:bCs/>
          <w:iCs/>
        </w:rPr>
        <w:t xml:space="preserve"> derecho a ser restablecido en su interés económico</w:t>
      </w:r>
      <w:r w:rsidR="009870ED" w:rsidRPr="004F681E">
        <w:rPr>
          <w:rFonts w:ascii="Arial" w:hAnsi="Arial" w:cs="Arial"/>
          <w:bCs/>
          <w:iCs/>
        </w:rPr>
        <w:t>,</w:t>
      </w:r>
      <w:r w:rsidR="00D00C19" w:rsidRPr="004F681E">
        <w:rPr>
          <w:rFonts w:ascii="Arial" w:hAnsi="Arial" w:cs="Arial"/>
          <w:bCs/>
          <w:iCs/>
        </w:rPr>
        <w:t xml:space="preserve"> siempre y cuando estuviera</w:t>
      </w:r>
      <w:r w:rsidR="000A7DB4" w:rsidRPr="004F681E">
        <w:rPr>
          <w:rFonts w:ascii="Arial" w:hAnsi="Arial" w:cs="Arial"/>
          <w:bCs/>
          <w:iCs/>
        </w:rPr>
        <w:t xml:space="preserve"> </w:t>
      </w:r>
      <w:r w:rsidR="00F153D4" w:rsidRPr="004F681E">
        <w:rPr>
          <w:rFonts w:ascii="Arial" w:hAnsi="Arial" w:cs="Arial"/>
          <w:bCs/>
          <w:iCs/>
        </w:rPr>
        <w:t>demostrado el grado de alteración. En esa misma línea</w:t>
      </w:r>
      <w:r w:rsidR="009870ED" w:rsidRPr="004F681E">
        <w:rPr>
          <w:rFonts w:ascii="Arial" w:hAnsi="Arial" w:cs="Arial"/>
          <w:bCs/>
          <w:iCs/>
        </w:rPr>
        <w:t>,</w:t>
      </w:r>
      <w:r w:rsidR="00F153D4" w:rsidRPr="004F681E">
        <w:rPr>
          <w:rFonts w:ascii="Arial" w:hAnsi="Arial" w:cs="Arial"/>
          <w:bCs/>
          <w:iCs/>
        </w:rPr>
        <w:t xml:space="preserve"> aseveró que no siempre el ejercicio de una potestad excepcional generaba el desequilibrio económico del concesionario. </w:t>
      </w:r>
    </w:p>
    <w:p w:rsidR="00F153D4" w:rsidRPr="004F681E" w:rsidRDefault="00F153D4" w:rsidP="00390707">
      <w:pPr>
        <w:spacing w:line="360" w:lineRule="auto"/>
        <w:jc w:val="both"/>
        <w:rPr>
          <w:rFonts w:ascii="Arial" w:hAnsi="Arial" w:cs="Arial"/>
          <w:bCs/>
          <w:iCs/>
        </w:rPr>
      </w:pPr>
    </w:p>
    <w:p w:rsidR="00F153D4" w:rsidRPr="004F681E" w:rsidRDefault="00F153D4" w:rsidP="00390707">
      <w:pPr>
        <w:spacing w:line="360" w:lineRule="auto"/>
        <w:jc w:val="both"/>
        <w:rPr>
          <w:rFonts w:ascii="Arial" w:hAnsi="Arial" w:cs="Arial"/>
          <w:bCs/>
          <w:iCs/>
        </w:rPr>
      </w:pPr>
      <w:r w:rsidRPr="004F681E">
        <w:rPr>
          <w:rFonts w:ascii="Arial" w:hAnsi="Arial" w:cs="Arial"/>
          <w:bCs/>
          <w:iCs/>
        </w:rPr>
        <w:t xml:space="preserve">Alegó igualmente que </w:t>
      </w:r>
      <w:r w:rsidR="002F1E02" w:rsidRPr="004F681E">
        <w:rPr>
          <w:rFonts w:ascii="Arial" w:hAnsi="Arial" w:cs="Arial"/>
          <w:bCs/>
          <w:iCs/>
        </w:rPr>
        <w:t xml:space="preserve">con arreglo a </w:t>
      </w:r>
      <w:r w:rsidRPr="004F681E">
        <w:rPr>
          <w:rFonts w:ascii="Arial" w:hAnsi="Arial" w:cs="Arial"/>
          <w:bCs/>
          <w:iCs/>
        </w:rPr>
        <w:t>lo dispuesto en la Ley 1150 de 2007</w:t>
      </w:r>
      <w:r w:rsidR="002F1E02" w:rsidRPr="004F681E">
        <w:rPr>
          <w:rFonts w:ascii="Arial" w:hAnsi="Arial" w:cs="Arial"/>
          <w:bCs/>
          <w:iCs/>
        </w:rPr>
        <w:t>,</w:t>
      </w:r>
      <w:r w:rsidRPr="004F681E">
        <w:rPr>
          <w:rFonts w:ascii="Arial" w:hAnsi="Arial" w:cs="Arial"/>
          <w:bCs/>
          <w:iCs/>
        </w:rPr>
        <w:t xml:space="preserve"> la entidad no se encontraba en la obligación de garantizar al contratista la obtención de utilidades. </w:t>
      </w:r>
    </w:p>
    <w:p w:rsidR="008628B3" w:rsidRPr="004F681E" w:rsidRDefault="008628B3" w:rsidP="00390707">
      <w:pPr>
        <w:spacing w:line="360" w:lineRule="auto"/>
        <w:jc w:val="both"/>
        <w:rPr>
          <w:rFonts w:ascii="Arial" w:hAnsi="Arial" w:cs="Arial"/>
          <w:bCs/>
          <w:iCs/>
        </w:rPr>
      </w:pPr>
      <w:r w:rsidRPr="004F681E">
        <w:rPr>
          <w:rFonts w:ascii="Arial" w:hAnsi="Arial" w:cs="Arial"/>
          <w:bCs/>
          <w:iCs/>
        </w:rPr>
        <w:t xml:space="preserve">  </w:t>
      </w:r>
    </w:p>
    <w:p w:rsidR="003E2568" w:rsidRDefault="002F1E02" w:rsidP="00390707">
      <w:pPr>
        <w:spacing w:line="360" w:lineRule="auto"/>
        <w:jc w:val="both"/>
        <w:rPr>
          <w:rFonts w:ascii="Arial" w:hAnsi="Arial" w:cs="Arial"/>
          <w:bCs/>
          <w:iCs/>
        </w:rPr>
      </w:pPr>
      <w:r w:rsidRPr="004F681E">
        <w:rPr>
          <w:rFonts w:ascii="Arial" w:hAnsi="Arial" w:cs="Arial"/>
          <w:bCs/>
          <w:iCs/>
        </w:rPr>
        <w:t xml:space="preserve">Añadió que </w:t>
      </w:r>
      <w:r w:rsidR="004349D6" w:rsidRPr="004F681E">
        <w:rPr>
          <w:rFonts w:ascii="Arial" w:hAnsi="Arial" w:cs="Arial"/>
          <w:bCs/>
          <w:iCs/>
        </w:rPr>
        <w:t>el IDRD no pretendía desconocer el deber de responder por los hipotéticos inconvenientes o desajustes que el traslado de la pantalla hubiera podido ocasionar. Cuestión distinta era que no procedía su reconocimiento en tan</w:t>
      </w:r>
      <w:r w:rsidR="000E3AD0" w:rsidRPr="004F681E">
        <w:rPr>
          <w:rFonts w:ascii="Arial" w:hAnsi="Arial" w:cs="Arial"/>
          <w:bCs/>
          <w:iCs/>
        </w:rPr>
        <w:t>to no se encontraban demostrados</w:t>
      </w:r>
      <w:r w:rsidR="004349D6" w:rsidRPr="004F681E">
        <w:rPr>
          <w:rFonts w:ascii="Arial" w:hAnsi="Arial" w:cs="Arial"/>
          <w:bCs/>
          <w:iCs/>
        </w:rPr>
        <w:t xml:space="preserve">. </w:t>
      </w:r>
      <w:r w:rsidR="008F2E8C" w:rsidRPr="004F681E">
        <w:rPr>
          <w:rFonts w:ascii="Arial" w:hAnsi="Arial" w:cs="Arial"/>
          <w:bCs/>
          <w:iCs/>
        </w:rPr>
        <w:t xml:space="preserve">Según el instituto, los inconvenientes presentados </w:t>
      </w:r>
      <w:r w:rsidR="00170238" w:rsidRPr="004F681E">
        <w:rPr>
          <w:rFonts w:ascii="Arial" w:hAnsi="Arial" w:cs="Arial"/>
          <w:bCs/>
          <w:iCs/>
        </w:rPr>
        <w:t>en la pantalla por el cambio de</w:t>
      </w:r>
      <w:r w:rsidR="003816B7" w:rsidRPr="004F681E">
        <w:rPr>
          <w:rFonts w:ascii="Arial" w:hAnsi="Arial" w:cs="Arial"/>
          <w:bCs/>
          <w:iCs/>
        </w:rPr>
        <w:t xml:space="preserve"> lugar fueron menores y resueltos en la marcha sin mayores contratiempos. </w:t>
      </w:r>
    </w:p>
    <w:p w:rsidR="004F681E" w:rsidRPr="004F681E" w:rsidRDefault="004F681E" w:rsidP="00390707">
      <w:pPr>
        <w:spacing w:line="360" w:lineRule="auto"/>
        <w:jc w:val="both"/>
        <w:rPr>
          <w:rFonts w:ascii="Arial" w:hAnsi="Arial" w:cs="Arial"/>
          <w:bCs/>
          <w:iCs/>
        </w:rPr>
      </w:pPr>
    </w:p>
    <w:p w:rsidR="00170238" w:rsidRPr="004F681E" w:rsidRDefault="00170238" w:rsidP="00390707">
      <w:pPr>
        <w:spacing w:line="360" w:lineRule="auto"/>
        <w:jc w:val="both"/>
        <w:rPr>
          <w:rFonts w:ascii="Arial" w:hAnsi="Arial" w:cs="Arial"/>
          <w:bCs/>
          <w:iCs/>
        </w:rPr>
      </w:pPr>
      <w:r w:rsidRPr="004F681E">
        <w:rPr>
          <w:rFonts w:ascii="Arial" w:hAnsi="Arial" w:cs="Arial"/>
          <w:bCs/>
          <w:iCs/>
        </w:rPr>
        <w:t>A lo largo de su oposición realizó un recuento normativo</w:t>
      </w:r>
      <w:r w:rsidR="003E2568" w:rsidRPr="004F681E">
        <w:rPr>
          <w:rFonts w:ascii="Arial" w:hAnsi="Arial" w:cs="Arial"/>
          <w:bCs/>
          <w:iCs/>
        </w:rPr>
        <w:t xml:space="preserve"> y jurisprudencial sobre </w:t>
      </w:r>
      <w:r w:rsidRPr="004F681E">
        <w:rPr>
          <w:rFonts w:ascii="Arial" w:hAnsi="Arial" w:cs="Arial"/>
          <w:bCs/>
          <w:iCs/>
        </w:rPr>
        <w:t xml:space="preserve">la figura del equilibrio económico del contrato </w:t>
      </w:r>
      <w:r w:rsidR="003E2568" w:rsidRPr="004F681E">
        <w:rPr>
          <w:rFonts w:ascii="Arial" w:hAnsi="Arial" w:cs="Arial"/>
          <w:bCs/>
          <w:iCs/>
        </w:rPr>
        <w:t xml:space="preserve">y acerca del ejercicio de las potestades excepcionales. </w:t>
      </w:r>
    </w:p>
    <w:p w:rsidR="008E1331" w:rsidRPr="004F681E" w:rsidRDefault="008E1331" w:rsidP="00390707">
      <w:pPr>
        <w:spacing w:line="360" w:lineRule="auto"/>
        <w:jc w:val="both"/>
        <w:rPr>
          <w:rFonts w:ascii="Arial" w:hAnsi="Arial" w:cs="Arial"/>
          <w:bCs/>
          <w:iCs/>
        </w:rPr>
      </w:pPr>
    </w:p>
    <w:p w:rsidR="008E1331" w:rsidRPr="004F681E" w:rsidRDefault="008E1331" w:rsidP="00390707">
      <w:pPr>
        <w:spacing w:line="360" w:lineRule="auto"/>
        <w:jc w:val="both"/>
        <w:rPr>
          <w:rFonts w:ascii="Arial" w:hAnsi="Arial" w:cs="Arial"/>
          <w:bCs/>
          <w:iCs/>
        </w:rPr>
      </w:pPr>
      <w:r w:rsidRPr="004F681E">
        <w:rPr>
          <w:rFonts w:ascii="Arial" w:hAnsi="Arial" w:cs="Arial"/>
          <w:bCs/>
          <w:iCs/>
        </w:rPr>
        <w:t xml:space="preserve">En adición formuló los siguientes medios exceptivos: </w:t>
      </w:r>
    </w:p>
    <w:p w:rsidR="008E1331" w:rsidRPr="004F681E" w:rsidRDefault="008E1331" w:rsidP="00390707">
      <w:pPr>
        <w:spacing w:line="360" w:lineRule="auto"/>
        <w:jc w:val="both"/>
        <w:rPr>
          <w:rFonts w:ascii="Arial" w:hAnsi="Arial" w:cs="Arial"/>
          <w:bCs/>
          <w:iCs/>
        </w:rPr>
      </w:pPr>
    </w:p>
    <w:p w:rsidR="00AA6C68" w:rsidRPr="004F681E" w:rsidRDefault="008E1331" w:rsidP="00390707">
      <w:pPr>
        <w:spacing w:line="360" w:lineRule="auto"/>
        <w:jc w:val="both"/>
        <w:rPr>
          <w:rFonts w:ascii="Arial" w:hAnsi="Arial" w:cs="Arial"/>
          <w:bCs/>
          <w:iCs/>
          <w:u w:val="single"/>
        </w:rPr>
      </w:pPr>
      <w:r w:rsidRPr="004F681E">
        <w:rPr>
          <w:rFonts w:ascii="Arial" w:hAnsi="Arial" w:cs="Arial"/>
          <w:bCs/>
          <w:iCs/>
          <w:u w:val="single"/>
        </w:rPr>
        <w:t>Debida aplicación de la Ley 80 de 199</w:t>
      </w:r>
      <w:r w:rsidR="001B1DC0" w:rsidRPr="004F681E">
        <w:rPr>
          <w:rFonts w:ascii="Arial" w:hAnsi="Arial" w:cs="Arial"/>
          <w:bCs/>
          <w:iCs/>
          <w:u w:val="single"/>
        </w:rPr>
        <w:t>3</w:t>
      </w:r>
    </w:p>
    <w:p w:rsidR="00170238" w:rsidRPr="004F681E" w:rsidRDefault="00C25E20" w:rsidP="00390707">
      <w:pPr>
        <w:spacing w:line="360" w:lineRule="auto"/>
        <w:jc w:val="both"/>
        <w:rPr>
          <w:rFonts w:ascii="Arial" w:hAnsi="Arial" w:cs="Arial"/>
          <w:bCs/>
          <w:iCs/>
        </w:rPr>
      </w:pPr>
      <w:r w:rsidRPr="004F681E">
        <w:rPr>
          <w:rFonts w:ascii="Arial" w:hAnsi="Arial" w:cs="Arial"/>
          <w:bCs/>
          <w:iCs/>
        </w:rPr>
        <w:t>Manifestó</w:t>
      </w:r>
      <w:r w:rsidR="001B1DC0" w:rsidRPr="004F681E">
        <w:rPr>
          <w:rFonts w:ascii="Arial" w:hAnsi="Arial" w:cs="Arial"/>
          <w:bCs/>
          <w:iCs/>
        </w:rPr>
        <w:t xml:space="preserve"> que el IDRD no incurrió en falla del servicio por indebida aplicación de las normas consagradas en el Estatuto de Contrataci</w:t>
      </w:r>
      <w:r w:rsidR="00AA6C68" w:rsidRPr="004F681E">
        <w:rPr>
          <w:rFonts w:ascii="Arial" w:hAnsi="Arial" w:cs="Arial"/>
          <w:bCs/>
          <w:iCs/>
        </w:rPr>
        <w:t>ón Estatal. Insistió en que la parte demandante no acreditó ante la instancia administrativa la causación de los perjuicios presuntamente derivados del ejercicio de la potestad excepcional</w:t>
      </w:r>
      <w:r w:rsidR="0031207C" w:rsidRPr="004F681E">
        <w:rPr>
          <w:rFonts w:ascii="Arial" w:hAnsi="Arial" w:cs="Arial"/>
          <w:bCs/>
          <w:iCs/>
        </w:rPr>
        <w:t>.</w:t>
      </w:r>
    </w:p>
    <w:p w:rsidR="0031207C" w:rsidRPr="004F681E" w:rsidRDefault="0031207C" w:rsidP="00390707">
      <w:pPr>
        <w:spacing w:line="360" w:lineRule="auto"/>
        <w:jc w:val="both"/>
        <w:rPr>
          <w:rFonts w:ascii="Arial" w:hAnsi="Arial" w:cs="Arial"/>
          <w:bCs/>
          <w:iCs/>
        </w:rPr>
      </w:pPr>
    </w:p>
    <w:p w:rsidR="004B7E65" w:rsidRPr="004F681E" w:rsidRDefault="00B73AD2" w:rsidP="00390707">
      <w:pPr>
        <w:spacing w:line="360" w:lineRule="auto"/>
        <w:jc w:val="both"/>
        <w:rPr>
          <w:rFonts w:ascii="Arial" w:hAnsi="Arial" w:cs="Arial"/>
          <w:bCs/>
          <w:iCs/>
          <w:u w:val="single"/>
        </w:rPr>
      </w:pPr>
      <w:r w:rsidRPr="004F681E">
        <w:rPr>
          <w:rFonts w:ascii="Arial" w:hAnsi="Arial" w:cs="Arial"/>
          <w:bCs/>
          <w:iCs/>
          <w:u w:val="single"/>
        </w:rPr>
        <w:t xml:space="preserve">Inexistencia de </w:t>
      </w:r>
      <w:r w:rsidR="00D40150" w:rsidRPr="004F681E">
        <w:rPr>
          <w:rFonts w:ascii="Arial" w:hAnsi="Arial" w:cs="Arial"/>
          <w:bCs/>
          <w:iCs/>
          <w:u w:val="single"/>
        </w:rPr>
        <w:t>R</w:t>
      </w:r>
      <w:r w:rsidRPr="004F681E">
        <w:rPr>
          <w:rFonts w:ascii="Arial" w:hAnsi="Arial" w:cs="Arial"/>
          <w:bCs/>
          <w:iCs/>
          <w:u w:val="single"/>
        </w:rPr>
        <w:t xml:space="preserve">esponsabilidad </w:t>
      </w:r>
      <w:r w:rsidR="00D40150" w:rsidRPr="004F681E">
        <w:rPr>
          <w:rFonts w:ascii="Arial" w:hAnsi="Arial" w:cs="Arial"/>
          <w:bCs/>
          <w:iCs/>
          <w:u w:val="single"/>
        </w:rPr>
        <w:t>C</w:t>
      </w:r>
      <w:r w:rsidRPr="004F681E">
        <w:rPr>
          <w:rFonts w:ascii="Arial" w:hAnsi="Arial" w:cs="Arial"/>
          <w:bCs/>
          <w:iCs/>
          <w:u w:val="single"/>
        </w:rPr>
        <w:t xml:space="preserve">ivil </w:t>
      </w:r>
      <w:r w:rsidR="00D40150" w:rsidRPr="004F681E">
        <w:rPr>
          <w:rFonts w:ascii="Arial" w:hAnsi="Arial" w:cs="Arial"/>
          <w:bCs/>
          <w:iCs/>
          <w:u w:val="single"/>
        </w:rPr>
        <w:t>C</w:t>
      </w:r>
      <w:r w:rsidRPr="004F681E">
        <w:rPr>
          <w:rFonts w:ascii="Arial" w:hAnsi="Arial" w:cs="Arial"/>
          <w:bCs/>
          <w:iCs/>
          <w:u w:val="single"/>
        </w:rPr>
        <w:t xml:space="preserve">ontractual del </w:t>
      </w:r>
      <w:r w:rsidR="00D40150" w:rsidRPr="004F681E">
        <w:rPr>
          <w:rFonts w:ascii="Arial" w:hAnsi="Arial" w:cs="Arial"/>
          <w:bCs/>
          <w:iCs/>
          <w:u w:val="single"/>
        </w:rPr>
        <w:t>I</w:t>
      </w:r>
      <w:r w:rsidRPr="004F681E">
        <w:rPr>
          <w:rFonts w:ascii="Arial" w:hAnsi="Arial" w:cs="Arial"/>
          <w:bCs/>
          <w:iCs/>
          <w:u w:val="single"/>
        </w:rPr>
        <w:t xml:space="preserve">nstituto Distrital para la </w:t>
      </w:r>
      <w:r w:rsidR="00665941" w:rsidRPr="004F681E">
        <w:rPr>
          <w:rFonts w:ascii="Arial" w:hAnsi="Arial" w:cs="Arial"/>
          <w:bCs/>
          <w:iCs/>
          <w:u w:val="single"/>
        </w:rPr>
        <w:t>R</w:t>
      </w:r>
      <w:r w:rsidRPr="004F681E">
        <w:rPr>
          <w:rFonts w:ascii="Arial" w:hAnsi="Arial" w:cs="Arial"/>
          <w:bCs/>
          <w:iCs/>
          <w:u w:val="single"/>
        </w:rPr>
        <w:t xml:space="preserve">ecreación y el </w:t>
      </w:r>
      <w:r w:rsidR="00665941" w:rsidRPr="004F681E">
        <w:rPr>
          <w:rFonts w:ascii="Arial" w:hAnsi="Arial" w:cs="Arial"/>
          <w:bCs/>
          <w:iCs/>
          <w:u w:val="single"/>
        </w:rPr>
        <w:t>D</w:t>
      </w:r>
      <w:r w:rsidRPr="004F681E">
        <w:rPr>
          <w:rFonts w:ascii="Arial" w:hAnsi="Arial" w:cs="Arial"/>
          <w:bCs/>
          <w:iCs/>
          <w:u w:val="single"/>
        </w:rPr>
        <w:t>eporte</w:t>
      </w:r>
    </w:p>
    <w:p w:rsidR="004B7E65" w:rsidRPr="004F681E" w:rsidRDefault="00D40150" w:rsidP="00390707">
      <w:pPr>
        <w:spacing w:line="360" w:lineRule="auto"/>
        <w:jc w:val="both"/>
        <w:rPr>
          <w:rFonts w:ascii="Arial" w:hAnsi="Arial" w:cs="Arial"/>
          <w:bCs/>
          <w:iCs/>
        </w:rPr>
      </w:pPr>
      <w:r w:rsidRPr="004F681E">
        <w:rPr>
          <w:rFonts w:ascii="Arial" w:hAnsi="Arial" w:cs="Arial"/>
          <w:bCs/>
          <w:iCs/>
        </w:rPr>
        <w:t>Adu</w:t>
      </w:r>
      <w:r w:rsidR="004B7E65" w:rsidRPr="004F681E">
        <w:rPr>
          <w:rFonts w:ascii="Arial" w:hAnsi="Arial" w:cs="Arial"/>
          <w:bCs/>
          <w:iCs/>
        </w:rPr>
        <w:t>j</w:t>
      </w:r>
      <w:r w:rsidRPr="004F681E">
        <w:rPr>
          <w:rFonts w:ascii="Arial" w:hAnsi="Arial" w:cs="Arial"/>
          <w:bCs/>
          <w:iCs/>
        </w:rPr>
        <w:t>o que no se había demostrado el desequilibrio económico del contrato de concesión</w:t>
      </w:r>
      <w:r w:rsidR="004B7E65" w:rsidRPr="004F681E">
        <w:rPr>
          <w:rFonts w:ascii="Arial" w:hAnsi="Arial" w:cs="Arial"/>
          <w:bCs/>
          <w:iCs/>
        </w:rPr>
        <w:t xml:space="preserve">, dado que no existían pruebas acreditativas de los perjuicios reclamados. Argumentó </w:t>
      </w:r>
      <w:r w:rsidR="00DF7A47" w:rsidRPr="004F681E">
        <w:rPr>
          <w:rFonts w:ascii="Arial" w:hAnsi="Arial" w:cs="Arial"/>
          <w:bCs/>
          <w:iCs/>
        </w:rPr>
        <w:t>que</w:t>
      </w:r>
      <w:r w:rsidR="00C25E20" w:rsidRPr="004F681E">
        <w:rPr>
          <w:rFonts w:ascii="Arial" w:hAnsi="Arial" w:cs="Arial"/>
          <w:bCs/>
          <w:iCs/>
        </w:rPr>
        <w:t>,</w:t>
      </w:r>
      <w:r w:rsidR="00DF7A47" w:rsidRPr="004F681E">
        <w:rPr>
          <w:rFonts w:ascii="Arial" w:hAnsi="Arial" w:cs="Arial"/>
          <w:bCs/>
          <w:iCs/>
        </w:rPr>
        <w:t xml:space="preserve"> además</w:t>
      </w:r>
      <w:r w:rsidR="00C25E20" w:rsidRPr="004F681E">
        <w:rPr>
          <w:rFonts w:ascii="Arial" w:hAnsi="Arial" w:cs="Arial"/>
          <w:bCs/>
          <w:iCs/>
        </w:rPr>
        <w:t>,</w:t>
      </w:r>
      <w:r w:rsidR="00DF7A47" w:rsidRPr="004F681E">
        <w:rPr>
          <w:rFonts w:ascii="Arial" w:hAnsi="Arial" w:cs="Arial"/>
          <w:bCs/>
          <w:iCs/>
        </w:rPr>
        <w:t xml:space="preserve"> en el caso no se configuraban las causales que daban origen a la fractura de la ecuación financiera del negocio jurídico</w:t>
      </w:r>
      <w:r w:rsidR="001D0E0F" w:rsidRPr="004F681E">
        <w:rPr>
          <w:rFonts w:ascii="Arial" w:hAnsi="Arial" w:cs="Arial"/>
          <w:bCs/>
          <w:iCs/>
        </w:rPr>
        <w:t xml:space="preserve"> y tampoco de su incumplimiento. </w:t>
      </w:r>
    </w:p>
    <w:p w:rsidR="001D0E0F" w:rsidRPr="004F681E" w:rsidRDefault="001D0E0F" w:rsidP="00390707">
      <w:pPr>
        <w:spacing w:line="360" w:lineRule="auto"/>
        <w:jc w:val="both"/>
        <w:rPr>
          <w:rFonts w:ascii="Arial" w:hAnsi="Arial" w:cs="Arial"/>
          <w:bCs/>
          <w:iCs/>
        </w:rPr>
      </w:pPr>
    </w:p>
    <w:p w:rsidR="00AF1CF2" w:rsidRPr="004F681E" w:rsidRDefault="001D0E0F" w:rsidP="00390707">
      <w:pPr>
        <w:spacing w:line="360" w:lineRule="auto"/>
        <w:jc w:val="both"/>
        <w:rPr>
          <w:rFonts w:ascii="Arial" w:hAnsi="Arial" w:cs="Arial"/>
          <w:bCs/>
          <w:iCs/>
          <w:u w:val="single"/>
        </w:rPr>
      </w:pPr>
      <w:r w:rsidRPr="004F681E">
        <w:rPr>
          <w:rFonts w:ascii="Arial" w:hAnsi="Arial" w:cs="Arial"/>
          <w:bCs/>
          <w:iCs/>
          <w:u w:val="single"/>
        </w:rPr>
        <w:t xml:space="preserve">Debida motivación de la gestión contractual </w:t>
      </w:r>
      <w:r w:rsidR="001F6492" w:rsidRPr="004F681E">
        <w:rPr>
          <w:rFonts w:ascii="Arial" w:hAnsi="Arial" w:cs="Arial"/>
          <w:bCs/>
          <w:iCs/>
          <w:u w:val="single"/>
        </w:rPr>
        <w:t>adelant</w:t>
      </w:r>
      <w:r w:rsidR="00C25E20" w:rsidRPr="004F681E">
        <w:rPr>
          <w:rFonts w:ascii="Arial" w:hAnsi="Arial" w:cs="Arial"/>
          <w:bCs/>
          <w:iCs/>
          <w:u w:val="single"/>
        </w:rPr>
        <w:t>ada dentro de la ejecución del Contrato de C</w:t>
      </w:r>
      <w:r w:rsidR="001F6492" w:rsidRPr="004F681E">
        <w:rPr>
          <w:rFonts w:ascii="Arial" w:hAnsi="Arial" w:cs="Arial"/>
          <w:bCs/>
          <w:iCs/>
          <w:u w:val="single"/>
        </w:rPr>
        <w:t>oncesión 475 de 2007</w:t>
      </w:r>
    </w:p>
    <w:p w:rsidR="00463D2E" w:rsidRPr="004F681E" w:rsidRDefault="00463D2E" w:rsidP="00390707">
      <w:pPr>
        <w:spacing w:line="360" w:lineRule="auto"/>
        <w:jc w:val="both"/>
        <w:rPr>
          <w:rFonts w:ascii="Arial" w:hAnsi="Arial" w:cs="Arial"/>
          <w:bCs/>
          <w:iCs/>
        </w:rPr>
      </w:pPr>
      <w:r w:rsidRPr="004F681E">
        <w:rPr>
          <w:rFonts w:ascii="Arial" w:hAnsi="Arial" w:cs="Arial"/>
          <w:bCs/>
          <w:iCs/>
        </w:rPr>
        <w:t>Explicó que la modificación del contrato atendió a los lineamientos trazado</w:t>
      </w:r>
      <w:r w:rsidR="0068694F" w:rsidRPr="004F681E">
        <w:rPr>
          <w:rFonts w:ascii="Arial" w:hAnsi="Arial" w:cs="Arial"/>
          <w:bCs/>
          <w:iCs/>
        </w:rPr>
        <w:t>s por la L</w:t>
      </w:r>
      <w:r w:rsidRPr="004F681E">
        <w:rPr>
          <w:rFonts w:ascii="Arial" w:hAnsi="Arial" w:cs="Arial"/>
          <w:bCs/>
          <w:iCs/>
        </w:rPr>
        <w:t xml:space="preserve">ey 80 </w:t>
      </w:r>
      <w:r w:rsidR="0068694F" w:rsidRPr="004F681E">
        <w:rPr>
          <w:rFonts w:ascii="Arial" w:hAnsi="Arial" w:cs="Arial"/>
          <w:bCs/>
          <w:iCs/>
        </w:rPr>
        <w:t xml:space="preserve">de 1993 </w:t>
      </w:r>
      <w:r w:rsidRPr="004F681E">
        <w:rPr>
          <w:rFonts w:ascii="Arial" w:hAnsi="Arial" w:cs="Arial"/>
          <w:bCs/>
          <w:iCs/>
        </w:rPr>
        <w:t>y</w:t>
      </w:r>
      <w:r w:rsidR="0068694F" w:rsidRPr="004F681E">
        <w:rPr>
          <w:rFonts w:ascii="Arial" w:hAnsi="Arial" w:cs="Arial"/>
          <w:bCs/>
          <w:iCs/>
        </w:rPr>
        <w:t xml:space="preserve"> a</w:t>
      </w:r>
      <w:r w:rsidRPr="004F681E">
        <w:rPr>
          <w:rFonts w:ascii="Arial" w:hAnsi="Arial" w:cs="Arial"/>
          <w:bCs/>
          <w:iCs/>
        </w:rPr>
        <w:t xml:space="preserve"> los principios de la gestión administrativa</w:t>
      </w:r>
      <w:r w:rsidR="00AF1CF2" w:rsidRPr="004F681E">
        <w:rPr>
          <w:rFonts w:ascii="Arial" w:hAnsi="Arial" w:cs="Arial"/>
          <w:bCs/>
          <w:iCs/>
        </w:rPr>
        <w:t xml:space="preserve">. </w:t>
      </w:r>
    </w:p>
    <w:p w:rsidR="004802EC" w:rsidRPr="004F681E" w:rsidRDefault="004802EC" w:rsidP="00390707">
      <w:pPr>
        <w:spacing w:line="360" w:lineRule="auto"/>
        <w:jc w:val="both"/>
        <w:rPr>
          <w:rFonts w:ascii="Arial" w:hAnsi="Arial" w:cs="Arial"/>
          <w:bCs/>
          <w:iCs/>
          <w:u w:val="single"/>
        </w:rPr>
      </w:pPr>
    </w:p>
    <w:p w:rsidR="00BF0892" w:rsidRPr="004F681E" w:rsidRDefault="004802EC" w:rsidP="00390707">
      <w:pPr>
        <w:spacing w:line="360" w:lineRule="auto"/>
        <w:jc w:val="both"/>
        <w:rPr>
          <w:rFonts w:ascii="Arial" w:hAnsi="Arial" w:cs="Arial"/>
          <w:bCs/>
          <w:iCs/>
          <w:u w:val="single"/>
        </w:rPr>
      </w:pPr>
      <w:r w:rsidRPr="004F681E">
        <w:rPr>
          <w:rFonts w:ascii="Arial" w:hAnsi="Arial" w:cs="Arial"/>
          <w:bCs/>
          <w:iCs/>
          <w:u w:val="single"/>
        </w:rPr>
        <w:t xml:space="preserve">Falta de causa para demandar e inexistencia de la obligación </w:t>
      </w:r>
    </w:p>
    <w:p w:rsidR="004802EC" w:rsidRPr="004F681E" w:rsidRDefault="0070464A" w:rsidP="00390707">
      <w:pPr>
        <w:spacing w:line="360" w:lineRule="auto"/>
        <w:jc w:val="both"/>
        <w:rPr>
          <w:rFonts w:ascii="Arial" w:hAnsi="Arial" w:cs="Arial"/>
          <w:bCs/>
          <w:iCs/>
        </w:rPr>
      </w:pPr>
      <w:r w:rsidRPr="004F681E">
        <w:rPr>
          <w:rFonts w:ascii="Arial" w:hAnsi="Arial" w:cs="Arial"/>
          <w:bCs/>
          <w:iCs/>
        </w:rPr>
        <w:t xml:space="preserve">Reiteró que a pesar de que el IDRD </w:t>
      </w:r>
      <w:r w:rsidR="007E745F" w:rsidRPr="004F681E">
        <w:rPr>
          <w:rFonts w:ascii="Arial" w:hAnsi="Arial" w:cs="Arial"/>
          <w:bCs/>
          <w:iCs/>
        </w:rPr>
        <w:t xml:space="preserve">solicitó al contratista en varias oportunidades que allegara los soportes en que fundamentaba su reclamación de lucro cesante, en momento alguno la unión temporal satisfizo la carga de su comprobación. En ese sentido </w:t>
      </w:r>
      <w:r w:rsidR="005B093B" w:rsidRPr="004F681E">
        <w:rPr>
          <w:rFonts w:ascii="Arial" w:hAnsi="Arial" w:cs="Arial"/>
          <w:bCs/>
          <w:iCs/>
        </w:rPr>
        <w:t xml:space="preserve">aseveró </w:t>
      </w:r>
      <w:r w:rsidR="007E745F" w:rsidRPr="004F681E">
        <w:rPr>
          <w:rFonts w:ascii="Arial" w:hAnsi="Arial" w:cs="Arial"/>
          <w:bCs/>
          <w:iCs/>
        </w:rPr>
        <w:t xml:space="preserve">que su reconocimiento hubiera constituido un enriquecimiento </w:t>
      </w:r>
      <w:r w:rsidR="005B093B" w:rsidRPr="004F681E">
        <w:rPr>
          <w:rFonts w:ascii="Arial" w:hAnsi="Arial" w:cs="Arial"/>
          <w:bCs/>
          <w:iCs/>
        </w:rPr>
        <w:t>injustificado del particular y u</w:t>
      </w:r>
      <w:r w:rsidR="007E745F" w:rsidRPr="004F681E">
        <w:rPr>
          <w:rFonts w:ascii="Arial" w:hAnsi="Arial" w:cs="Arial"/>
          <w:bCs/>
          <w:iCs/>
        </w:rPr>
        <w:t xml:space="preserve">n empobrecimiento del Estado. </w:t>
      </w:r>
    </w:p>
    <w:p w:rsidR="00104526" w:rsidRPr="004F681E" w:rsidRDefault="00104526" w:rsidP="00390707">
      <w:pPr>
        <w:spacing w:line="360" w:lineRule="auto"/>
        <w:jc w:val="both"/>
        <w:rPr>
          <w:rFonts w:ascii="Arial" w:hAnsi="Arial" w:cs="Arial"/>
          <w:bCs/>
          <w:iCs/>
        </w:rPr>
      </w:pPr>
    </w:p>
    <w:p w:rsidR="00B52304" w:rsidRPr="004F681E" w:rsidRDefault="00104526" w:rsidP="00390707">
      <w:pPr>
        <w:spacing w:line="360" w:lineRule="auto"/>
        <w:jc w:val="both"/>
        <w:rPr>
          <w:rFonts w:ascii="Arial" w:hAnsi="Arial" w:cs="Arial"/>
          <w:bCs/>
          <w:iCs/>
          <w:u w:val="single"/>
        </w:rPr>
      </w:pPr>
      <w:r w:rsidRPr="004F681E">
        <w:rPr>
          <w:rFonts w:ascii="Arial" w:hAnsi="Arial" w:cs="Arial"/>
          <w:bCs/>
          <w:iCs/>
          <w:u w:val="single"/>
        </w:rPr>
        <w:t>Buena fe del demandado</w:t>
      </w:r>
    </w:p>
    <w:p w:rsidR="00104526" w:rsidRPr="004F681E" w:rsidRDefault="005B093B" w:rsidP="00390707">
      <w:pPr>
        <w:spacing w:line="360" w:lineRule="auto"/>
        <w:jc w:val="both"/>
        <w:rPr>
          <w:rFonts w:ascii="Arial" w:hAnsi="Arial" w:cs="Arial"/>
          <w:bCs/>
          <w:iCs/>
        </w:rPr>
      </w:pPr>
      <w:r w:rsidRPr="004F681E">
        <w:rPr>
          <w:rFonts w:ascii="Arial" w:hAnsi="Arial" w:cs="Arial"/>
          <w:bCs/>
          <w:iCs/>
        </w:rPr>
        <w:t>Concluyó</w:t>
      </w:r>
      <w:r w:rsidR="00104526" w:rsidRPr="004F681E">
        <w:rPr>
          <w:rFonts w:ascii="Arial" w:hAnsi="Arial" w:cs="Arial"/>
          <w:bCs/>
          <w:iCs/>
        </w:rPr>
        <w:t xml:space="preserve"> expresando que el Instituto actuó de buena fe y bajo el amparo de las disposiciones legales aplicables. </w:t>
      </w:r>
    </w:p>
    <w:p w:rsidR="00390707" w:rsidRPr="004F681E" w:rsidRDefault="00390707" w:rsidP="00390707">
      <w:pPr>
        <w:spacing w:line="360" w:lineRule="auto"/>
        <w:jc w:val="both"/>
        <w:rPr>
          <w:rFonts w:ascii="Arial" w:hAnsi="Arial" w:cs="Arial"/>
          <w:bCs/>
          <w:iCs/>
        </w:rPr>
      </w:pPr>
    </w:p>
    <w:p w:rsidR="00390707" w:rsidRPr="004F681E" w:rsidRDefault="00390707" w:rsidP="00390707">
      <w:pPr>
        <w:numPr>
          <w:ilvl w:val="12"/>
          <w:numId w:val="0"/>
        </w:numPr>
        <w:spacing w:line="360" w:lineRule="auto"/>
        <w:jc w:val="both"/>
        <w:rPr>
          <w:rFonts w:ascii="Arial" w:hAnsi="Arial" w:cs="Arial"/>
          <w:bCs/>
        </w:rPr>
      </w:pPr>
      <w:r w:rsidRPr="004F681E">
        <w:rPr>
          <w:rFonts w:ascii="Arial" w:hAnsi="Arial" w:cs="Arial"/>
          <w:b/>
          <w:bCs/>
        </w:rPr>
        <w:t>6. La sentencia impugnada</w:t>
      </w:r>
    </w:p>
    <w:p w:rsidR="00390707" w:rsidRPr="004F681E" w:rsidRDefault="00390707" w:rsidP="00390707">
      <w:pPr>
        <w:numPr>
          <w:ilvl w:val="12"/>
          <w:numId w:val="0"/>
        </w:numPr>
        <w:spacing w:line="360" w:lineRule="auto"/>
        <w:jc w:val="both"/>
        <w:rPr>
          <w:rFonts w:ascii="Arial" w:hAnsi="Arial" w:cs="Arial"/>
          <w:bCs/>
        </w:rPr>
      </w:pPr>
    </w:p>
    <w:p w:rsidR="00390707" w:rsidRPr="004F681E" w:rsidRDefault="00390707" w:rsidP="00390707">
      <w:pPr>
        <w:numPr>
          <w:ilvl w:val="12"/>
          <w:numId w:val="0"/>
        </w:numPr>
        <w:spacing w:line="360" w:lineRule="auto"/>
        <w:jc w:val="both"/>
        <w:rPr>
          <w:rFonts w:ascii="Arial" w:hAnsi="Arial" w:cs="Arial"/>
          <w:bCs/>
        </w:rPr>
      </w:pPr>
      <w:r w:rsidRPr="004F681E">
        <w:rPr>
          <w:rFonts w:ascii="Arial" w:hAnsi="Arial" w:cs="Arial"/>
          <w:bCs/>
        </w:rPr>
        <w:t>El Tribunal Administrativo de Cundinamarca negó las pretensiones de la demanda, con fundamento, esencialmente, en las siguientes razones:</w:t>
      </w:r>
    </w:p>
    <w:p w:rsidR="00390707" w:rsidRPr="004F681E" w:rsidRDefault="00390707" w:rsidP="00390707">
      <w:pPr>
        <w:widowControl w:val="0"/>
        <w:autoSpaceDE w:val="0"/>
        <w:autoSpaceDN w:val="0"/>
        <w:adjustRightInd w:val="0"/>
        <w:spacing w:line="360" w:lineRule="auto"/>
        <w:jc w:val="both"/>
        <w:rPr>
          <w:rFonts w:ascii="Arial" w:hAnsi="Arial" w:cs="Arial"/>
          <w:bCs/>
        </w:rPr>
      </w:pPr>
    </w:p>
    <w:p w:rsidR="00932EFF" w:rsidRPr="004F681E" w:rsidRDefault="00390707"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 xml:space="preserve">En </w:t>
      </w:r>
      <w:r w:rsidR="00932EFF" w:rsidRPr="004F681E">
        <w:rPr>
          <w:rFonts w:ascii="Arial" w:hAnsi="Arial" w:cs="Arial"/>
          <w:bCs/>
        </w:rPr>
        <w:t xml:space="preserve">primer lugar, partió de examinar </w:t>
      </w:r>
      <w:r w:rsidRPr="004F681E">
        <w:rPr>
          <w:rFonts w:ascii="Arial" w:hAnsi="Arial" w:cs="Arial"/>
          <w:bCs/>
        </w:rPr>
        <w:t>los presupuestos procesales, aspecto en relación con el cual cons</w:t>
      </w:r>
      <w:r w:rsidR="00DB557A" w:rsidRPr="004F681E">
        <w:rPr>
          <w:rFonts w:ascii="Arial" w:hAnsi="Arial" w:cs="Arial"/>
          <w:bCs/>
        </w:rPr>
        <w:t xml:space="preserve">ideró que el término de caducidad de la acción contractual debía contarse desde el momento en que la </w:t>
      </w:r>
      <w:r w:rsidR="00CA6533" w:rsidRPr="004F681E">
        <w:rPr>
          <w:rFonts w:ascii="Arial" w:hAnsi="Arial" w:cs="Arial"/>
          <w:bCs/>
        </w:rPr>
        <w:t>resolución por medio de la cual se modificó unilateralmente el contrato cobró ejecutoria</w:t>
      </w:r>
      <w:r w:rsidR="00DB557A" w:rsidRPr="004F681E">
        <w:rPr>
          <w:rFonts w:ascii="Arial" w:hAnsi="Arial" w:cs="Arial"/>
          <w:bCs/>
        </w:rPr>
        <w:t>, hecho que aconteció</w:t>
      </w:r>
      <w:r w:rsidR="00CA6533" w:rsidRPr="004F681E">
        <w:rPr>
          <w:rFonts w:ascii="Arial" w:hAnsi="Arial" w:cs="Arial"/>
          <w:bCs/>
        </w:rPr>
        <w:t xml:space="preserve"> el 30 de junio de 2010</w:t>
      </w:r>
      <w:r w:rsidR="00DB557A" w:rsidRPr="004F681E">
        <w:rPr>
          <w:rFonts w:ascii="Arial" w:hAnsi="Arial" w:cs="Arial"/>
          <w:bCs/>
        </w:rPr>
        <w:t xml:space="preserve">. Así </w:t>
      </w:r>
      <w:r w:rsidR="00932EFF" w:rsidRPr="004F681E">
        <w:rPr>
          <w:rFonts w:ascii="Arial" w:hAnsi="Arial" w:cs="Arial"/>
          <w:bCs/>
        </w:rPr>
        <w:t>pues,</w:t>
      </w:r>
      <w:r w:rsidR="00DB557A" w:rsidRPr="004F681E">
        <w:rPr>
          <w:rFonts w:ascii="Arial" w:hAnsi="Arial" w:cs="Arial"/>
          <w:bCs/>
        </w:rPr>
        <w:t xml:space="preserve"> señal</w:t>
      </w:r>
      <w:r w:rsidR="004608FD" w:rsidRPr="004F681E">
        <w:rPr>
          <w:rFonts w:ascii="Arial" w:hAnsi="Arial" w:cs="Arial"/>
          <w:bCs/>
        </w:rPr>
        <w:t>ó que al</w:t>
      </w:r>
      <w:r w:rsidR="00CA6533" w:rsidRPr="004F681E">
        <w:rPr>
          <w:rFonts w:ascii="Arial" w:hAnsi="Arial" w:cs="Arial"/>
          <w:bCs/>
        </w:rPr>
        <w:t xml:space="preserve"> </w:t>
      </w:r>
      <w:r w:rsidR="00DB557A" w:rsidRPr="004F681E">
        <w:rPr>
          <w:rFonts w:ascii="Arial" w:hAnsi="Arial" w:cs="Arial"/>
          <w:bCs/>
        </w:rPr>
        <w:t xml:space="preserve">haberse presentado la demanda el 13 de febrero de 2012 resultaba propio concluir que su ejercicio fue oportuno. </w:t>
      </w:r>
      <w:r w:rsidRPr="004F681E">
        <w:rPr>
          <w:rFonts w:ascii="Arial" w:hAnsi="Arial" w:cs="Arial"/>
          <w:bCs/>
        </w:rPr>
        <w:t xml:space="preserve">Adicionalmente, puso de presente que </w:t>
      </w:r>
      <w:r w:rsidR="00932EFF" w:rsidRPr="004F681E">
        <w:rPr>
          <w:rFonts w:ascii="Arial" w:hAnsi="Arial" w:cs="Arial"/>
          <w:bCs/>
        </w:rPr>
        <w:t xml:space="preserve">ambos extremos del litigio se encontraban </w:t>
      </w:r>
      <w:r w:rsidR="00932EFF" w:rsidRPr="004F681E">
        <w:rPr>
          <w:rFonts w:ascii="Arial" w:hAnsi="Arial" w:cs="Arial"/>
          <w:bCs/>
        </w:rPr>
        <w:lastRenderedPageBreak/>
        <w:t>legitimados en la causa</w:t>
      </w:r>
      <w:r w:rsidR="000E3AD0" w:rsidRPr="004F681E">
        <w:rPr>
          <w:rFonts w:ascii="Arial" w:hAnsi="Arial" w:cs="Arial"/>
          <w:bCs/>
        </w:rPr>
        <w:t>, con sustento en</w:t>
      </w:r>
      <w:r w:rsidR="00932EFF" w:rsidRPr="004F681E">
        <w:rPr>
          <w:rFonts w:ascii="Arial" w:hAnsi="Arial" w:cs="Arial"/>
          <w:bCs/>
        </w:rPr>
        <w:t xml:space="preserve"> su condición de contratante y contratista del negocio jurídico presuntamente incumplido. </w:t>
      </w:r>
    </w:p>
    <w:p w:rsidR="00932EFF" w:rsidRPr="004F681E" w:rsidRDefault="00932EFF" w:rsidP="00390707">
      <w:pPr>
        <w:widowControl w:val="0"/>
        <w:autoSpaceDE w:val="0"/>
        <w:autoSpaceDN w:val="0"/>
        <w:adjustRightInd w:val="0"/>
        <w:spacing w:line="360" w:lineRule="auto"/>
        <w:jc w:val="both"/>
        <w:rPr>
          <w:rFonts w:ascii="Arial" w:hAnsi="Arial" w:cs="Arial"/>
          <w:bCs/>
        </w:rPr>
      </w:pPr>
    </w:p>
    <w:p w:rsidR="00932EFF" w:rsidRPr="004F681E" w:rsidRDefault="00932EFF"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Seguidamente realizó un recuento de los hechos acreditados a la luz de las pruebas arrimadas al plenario y advirtió que el régimen jurídico que informó el Contrato de Concesi</w:t>
      </w:r>
      <w:r w:rsidR="00933716" w:rsidRPr="004F681E">
        <w:rPr>
          <w:rFonts w:ascii="Arial" w:hAnsi="Arial" w:cs="Arial"/>
          <w:bCs/>
        </w:rPr>
        <w:t xml:space="preserve">ón No. 475 de 2007 estuvo integrado por las normas de la Ley 80 de 1993, de la Ley 1150 de 2007 y del Decreto 2474 de 2008. </w:t>
      </w:r>
    </w:p>
    <w:p w:rsidR="00933716" w:rsidRPr="004F681E" w:rsidRDefault="00933716" w:rsidP="00390707">
      <w:pPr>
        <w:widowControl w:val="0"/>
        <w:autoSpaceDE w:val="0"/>
        <w:autoSpaceDN w:val="0"/>
        <w:adjustRightInd w:val="0"/>
        <w:spacing w:line="360" w:lineRule="auto"/>
        <w:jc w:val="both"/>
        <w:rPr>
          <w:rFonts w:ascii="Arial" w:hAnsi="Arial" w:cs="Arial"/>
          <w:bCs/>
        </w:rPr>
      </w:pPr>
    </w:p>
    <w:p w:rsidR="00933716" w:rsidRPr="004F681E" w:rsidRDefault="00933716"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 xml:space="preserve">Luego se pronunció, en términos generales, frente a la tipología contractual de concesión, al procedimiento de selección de licitación pública, al pliego de </w:t>
      </w:r>
      <w:r w:rsidR="00EE6780" w:rsidRPr="004F681E">
        <w:rPr>
          <w:rFonts w:ascii="Arial" w:hAnsi="Arial" w:cs="Arial"/>
          <w:bCs/>
        </w:rPr>
        <w:t>condiciones, a la potestad de modificación unilateral del contrato, al principio del equilibrio econ</w:t>
      </w:r>
      <w:r w:rsidR="00572C1C" w:rsidRPr="004F681E">
        <w:rPr>
          <w:rFonts w:ascii="Arial" w:hAnsi="Arial" w:cs="Arial"/>
          <w:bCs/>
        </w:rPr>
        <w:t xml:space="preserve">ómico, a </w:t>
      </w:r>
      <w:r w:rsidR="00EE6780" w:rsidRPr="004F681E">
        <w:rPr>
          <w:rFonts w:ascii="Arial" w:hAnsi="Arial" w:cs="Arial"/>
          <w:bCs/>
        </w:rPr>
        <w:t xml:space="preserve">la ecuación </w:t>
      </w:r>
      <w:r w:rsidR="00572C1C" w:rsidRPr="004F681E">
        <w:rPr>
          <w:rFonts w:ascii="Arial" w:hAnsi="Arial" w:cs="Arial"/>
          <w:bCs/>
        </w:rPr>
        <w:t>financiera del contrato, a la teoría de la imprevisión, hecho del príncipe e incumplimiento del contrato</w:t>
      </w:r>
      <w:r w:rsidR="00CC0EEB" w:rsidRPr="004F681E">
        <w:rPr>
          <w:rFonts w:ascii="Arial" w:hAnsi="Arial" w:cs="Arial"/>
          <w:bCs/>
        </w:rPr>
        <w:t xml:space="preserve"> estatal. </w:t>
      </w:r>
    </w:p>
    <w:p w:rsidR="00103231" w:rsidRPr="004F681E" w:rsidRDefault="00103231" w:rsidP="00390707">
      <w:pPr>
        <w:widowControl w:val="0"/>
        <w:autoSpaceDE w:val="0"/>
        <w:autoSpaceDN w:val="0"/>
        <w:adjustRightInd w:val="0"/>
        <w:spacing w:line="360" w:lineRule="auto"/>
        <w:jc w:val="both"/>
        <w:rPr>
          <w:rFonts w:ascii="Arial" w:hAnsi="Arial" w:cs="Arial"/>
          <w:bCs/>
        </w:rPr>
      </w:pPr>
    </w:p>
    <w:p w:rsidR="00103231" w:rsidRPr="004F681E" w:rsidRDefault="00E83FBA"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Al adentrarse en el</w:t>
      </w:r>
      <w:r w:rsidR="00103231" w:rsidRPr="004F681E">
        <w:rPr>
          <w:rFonts w:ascii="Arial" w:hAnsi="Arial" w:cs="Arial"/>
          <w:bCs/>
        </w:rPr>
        <w:t xml:space="preserve"> análisis </w:t>
      </w:r>
      <w:r w:rsidR="00F87F80" w:rsidRPr="004F681E">
        <w:rPr>
          <w:rFonts w:ascii="Arial" w:hAnsi="Arial" w:cs="Arial"/>
          <w:bCs/>
        </w:rPr>
        <w:t>de fondo</w:t>
      </w:r>
      <w:r w:rsidR="005B093B" w:rsidRPr="004F681E">
        <w:rPr>
          <w:rFonts w:ascii="Arial" w:hAnsi="Arial" w:cs="Arial"/>
          <w:bCs/>
        </w:rPr>
        <w:t>,</w:t>
      </w:r>
      <w:r w:rsidR="00F87F80" w:rsidRPr="004F681E">
        <w:rPr>
          <w:rFonts w:ascii="Arial" w:hAnsi="Arial" w:cs="Arial"/>
          <w:bCs/>
        </w:rPr>
        <w:t xml:space="preserve"> el </w:t>
      </w:r>
      <w:r w:rsidR="00F87F80" w:rsidRPr="004F681E">
        <w:rPr>
          <w:rFonts w:ascii="Arial" w:hAnsi="Arial" w:cs="Arial"/>
          <w:bCs/>
          <w:i/>
        </w:rPr>
        <w:t>a quo</w:t>
      </w:r>
      <w:r w:rsidR="00F87F80" w:rsidRPr="004F681E">
        <w:rPr>
          <w:rFonts w:ascii="Arial" w:hAnsi="Arial" w:cs="Arial"/>
          <w:bCs/>
        </w:rPr>
        <w:t xml:space="preserve"> </w:t>
      </w:r>
      <w:r w:rsidR="005B093B" w:rsidRPr="004F681E">
        <w:rPr>
          <w:rFonts w:ascii="Arial" w:hAnsi="Arial" w:cs="Arial"/>
          <w:bCs/>
        </w:rPr>
        <w:t xml:space="preserve">estimó </w:t>
      </w:r>
      <w:r w:rsidR="00F87F80" w:rsidRPr="004F681E">
        <w:rPr>
          <w:rFonts w:ascii="Arial" w:hAnsi="Arial" w:cs="Arial"/>
          <w:bCs/>
        </w:rPr>
        <w:t>que la gestión de la entidad realizada previamente al desmonte y traslado de la pantalla por razón de las obras que se requerían eje</w:t>
      </w:r>
      <w:r w:rsidR="003D3375" w:rsidRPr="004F681E">
        <w:rPr>
          <w:rFonts w:ascii="Arial" w:hAnsi="Arial" w:cs="Arial"/>
          <w:bCs/>
        </w:rPr>
        <w:t>cutar en la tribuna fue ajustada</w:t>
      </w:r>
      <w:r w:rsidR="005B093B" w:rsidRPr="004F681E">
        <w:rPr>
          <w:rFonts w:ascii="Arial" w:hAnsi="Arial" w:cs="Arial"/>
          <w:bCs/>
        </w:rPr>
        <w:t>,</w:t>
      </w:r>
      <w:r w:rsidRPr="004F681E">
        <w:rPr>
          <w:rFonts w:ascii="Arial" w:hAnsi="Arial" w:cs="Arial"/>
          <w:bCs/>
        </w:rPr>
        <w:t xml:space="preserve"> en cuanto </w:t>
      </w:r>
      <w:r w:rsidR="003D3375" w:rsidRPr="004F681E">
        <w:rPr>
          <w:rFonts w:ascii="Arial" w:hAnsi="Arial" w:cs="Arial"/>
          <w:bCs/>
        </w:rPr>
        <w:t xml:space="preserve">tuvo </w:t>
      </w:r>
      <w:r w:rsidR="00F87F80" w:rsidRPr="004F681E">
        <w:rPr>
          <w:rFonts w:ascii="Arial" w:hAnsi="Arial" w:cs="Arial"/>
          <w:bCs/>
        </w:rPr>
        <w:t>en consideración a la</w:t>
      </w:r>
      <w:r w:rsidR="003D3375" w:rsidRPr="004F681E">
        <w:rPr>
          <w:rFonts w:ascii="Arial" w:hAnsi="Arial" w:cs="Arial"/>
          <w:bCs/>
        </w:rPr>
        <w:t xml:space="preserve"> unión temporal</w:t>
      </w:r>
      <w:r w:rsidR="00F87F80" w:rsidRPr="004F681E">
        <w:rPr>
          <w:rFonts w:ascii="Arial" w:hAnsi="Arial" w:cs="Arial"/>
          <w:bCs/>
        </w:rPr>
        <w:t xml:space="preserve"> contratista para que realizara el cambio de lugar del aparato</w:t>
      </w:r>
      <w:r w:rsidRPr="004F681E">
        <w:rPr>
          <w:rFonts w:ascii="Arial" w:hAnsi="Arial" w:cs="Arial"/>
          <w:bCs/>
        </w:rPr>
        <w:t>,</w:t>
      </w:r>
      <w:r w:rsidR="00F87F80" w:rsidRPr="004F681E">
        <w:rPr>
          <w:rFonts w:ascii="Arial" w:hAnsi="Arial" w:cs="Arial"/>
          <w:bCs/>
        </w:rPr>
        <w:t xml:space="preserve"> no obstante que no se logró un acuerdo con ese propósito</w:t>
      </w:r>
      <w:r w:rsidR="003D3375" w:rsidRPr="004F681E">
        <w:rPr>
          <w:rFonts w:ascii="Arial" w:hAnsi="Arial" w:cs="Arial"/>
          <w:bCs/>
        </w:rPr>
        <w:t>.</w:t>
      </w:r>
    </w:p>
    <w:p w:rsidR="00E51B9E" w:rsidRPr="004F681E" w:rsidRDefault="00E51B9E" w:rsidP="00390707">
      <w:pPr>
        <w:widowControl w:val="0"/>
        <w:autoSpaceDE w:val="0"/>
        <w:autoSpaceDN w:val="0"/>
        <w:adjustRightInd w:val="0"/>
        <w:spacing w:line="360" w:lineRule="auto"/>
        <w:jc w:val="both"/>
        <w:rPr>
          <w:rFonts w:ascii="Arial" w:hAnsi="Arial" w:cs="Arial"/>
          <w:bCs/>
        </w:rPr>
      </w:pPr>
    </w:p>
    <w:p w:rsidR="00E51B9E" w:rsidRPr="004F681E" w:rsidRDefault="00E51B9E"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 xml:space="preserve">En esa dirección </w:t>
      </w:r>
      <w:r w:rsidR="005B093B" w:rsidRPr="004F681E">
        <w:rPr>
          <w:rFonts w:ascii="Arial" w:hAnsi="Arial" w:cs="Arial"/>
          <w:bCs/>
        </w:rPr>
        <w:t>reflexionó acerca de la necesidad de</w:t>
      </w:r>
      <w:r w:rsidRPr="004F681E">
        <w:rPr>
          <w:rFonts w:ascii="Arial" w:hAnsi="Arial" w:cs="Arial"/>
          <w:bCs/>
        </w:rPr>
        <w:t xml:space="preserve"> que la </w:t>
      </w:r>
      <w:r w:rsidR="00E9751C" w:rsidRPr="004F681E">
        <w:rPr>
          <w:rFonts w:ascii="Arial" w:hAnsi="Arial" w:cs="Arial"/>
          <w:bCs/>
        </w:rPr>
        <w:t>A</w:t>
      </w:r>
      <w:r w:rsidRPr="004F681E">
        <w:rPr>
          <w:rFonts w:ascii="Arial" w:hAnsi="Arial" w:cs="Arial"/>
          <w:bCs/>
        </w:rPr>
        <w:t>dministración optara p</w:t>
      </w:r>
      <w:r w:rsidR="00E9751C" w:rsidRPr="004F681E">
        <w:rPr>
          <w:rFonts w:ascii="Arial" w:hAnsi="Arial" w:cs="Arial"/>
          <w:bCs/>
        </w:rPr>
        <w:t>or</w:t>
      </w:r>
      <w:r w:rsidRPr="004F681E">
        <w:rPr>
          <w:rFonts w:ascii="Arial" w:hAnsi="Arial" w:cs="Arial"/>
          <w:bCs/>
        </w:rPr>
        <w:t xml:space="preserve"> ejercer la facultad excepcional </w:t>
      </w:r>
      <w:r w:rsidR="00E9751C" w:rsidRPr="004F681E">
        <w:rPr>
          <w:rFonts w:ascii="Arial" w:hAnsi="Arial" w:cs="Arial"/>
          <w:bCs/>
        </w:rPr>
        <w:t>de modificación unilateral del contrato, situación q</w:t>
      </w:r>
      <w:r w:rsidR="00D77DC6" w:rsidRPr="004F681E">
        <w:rPr>
          <w:rFonts w:ascii="Arial" w:hAnsi="Arial" w:cs="Arial"/>
          <w:bCs/>
        </w:rPr>
        <w:t>ue</w:t>
      </w:r>
      <w:r w:rsidR="00C11907" w:rsidRPr="004F681E">
        <w:rPr>
          <w:rFonts w:ascii="Arial" w:hAnsi="Arial" w:cs="Arial"/>
          <w:bCs/>
        </w:rPr>
        <w:t>,</w:t>
      </w:r>
      <w:r w:rsidR="000E3AD0" w:rsidRPr="004F681E">
        <w:rPr>
          <w:rFonts w:ascii="Arial" w:hAnsi="Arial" w:cs="Arial"/>
          <w:bCs/>
        </w:rPr>
        <w:t xml:space="preserve"> en criterio del </w:t>
      </w:r>
      <w:r w:rsidR="00E9751C" w:rsidRPr="004F681E">
        <w:rPr>
          <w:rFonts w:ascii="Arial" w:hAnsi="Arial" w:cs="Arial"/>
          <w:bCs/>
          <w:i/>
        </w:rPr>
        <w:t>a quo</w:t>
      </w:r>
      <w:r w:rsidR="00C11907" w:rsidRPr="004F681E">
        <w:rPr>
          <w:rFonts w:ascii="Arial" w:hAnsi="Arial" w:cs="Arial"/>
          <w:bCs/>
          <w:i/>
        </w:rPr>
        <w:t>,</w:t>
      </w:r>
      <w:r w:rsidR="00E9751C" w:rsidRPr="004F681E">
        <w:rPr>
          <w:rFonts w:ascii="Arial" w:hAnsi="Arial" w:cs="Arial"/>
          <w:bCs/>
        </w:rPr>
        <w:t xml:space="preserve"> inclinaba la balanza para que fuera el Instituto </w:t>
      </w:r>
      <w:r w:rsidR="00E727EA" w:rsidRPr="004F681E">
        <w:rPr>
          <w:rFonts w:ascii="Arial" w:hAnsi="Arial" w:cs="Arial"/>
          <w:bCs/>
        </w:rPr>
        <w:t>el</w:t>
      </w:r>
      <w:r w:rsidR="00E9751C" w:rsidRPr="004F681E">
        <w:rPr>
          <w:rFonts w:ascii="Arial" w:hAnsi="Arial" w:cs="Arial"/>
          <w:bCs/>
        </w:rPr>
        <w:t xml:space="preserve"> que </w:t>
      </w:r>
      <w:r w:rsidR="00D77DC6" w:rsidRPr="004F681E">
        <w:rPr>
          <w:rFonts w:ascii="Arial" w:hAnsi="Arial" w:cs="Arial"/>
          <w:bCs/>
        </w:rPr>
        <w:t>desplegara</w:t>
      </w:r>
      <w:r w:rsidR="00E9751C" w:rsidRPr="004F681E">
        <w:rPr>
          <w:rFonts w:ascii="Arial" w:hAnsi="Arial" w:cs="Arial"/>
          <w:bCs/>
        </w:rPr>
        <w:t xml:space="preserve"> </w:t>
      </w:r>
      <w:r w:rsidR="00D77DC6" w:rsidRPr="004F681E">
        <w:rPr>
          <w:rFonts w:ascii="Arial" w:hAnsi="Arial" w:cs="Arial"/>
          <w:bCs/>
        </w:rPr>
        <w:t>directamente</w:t>
      </w:r>
      <w:r w:rsidR="00E9751C" w:rsidRPr="004F681E">
        <w:rPr>
          <w:rFonts w:ascii="Arial" w:hAnsi="Arial" w:cs="Arial"/>
          <w:bCs/>
        </w:rPr>
        <w:t xml:space="preserve"> las </w:t>
      </w:r>
      <w:r w:rsidR="00D77DC6" w:rsidRPr="004F681E">
        <w:rPr>
          <w:rFonts w:ascii="Arial" w:hAnsi="Arial" w:cs="Arial"/>
          <w:bCs/>
        </w:rPr>
        <w:t xml:space="preserve">obras de desmonte de la pantalla. </w:t>
      </w:r>
    </w:p>
    <w:p w:rsidR="008F2908" w:rsidRPr="004F681E" w:rsidRDefault="008F2908" w:rsidP="00390707">
      <w:pPr>
        <w:widowControl w:val="0"/>
        <w:autoSpaceDE w:val="0"/>
        <w:autoSpaceDN w:val="0"/>
        <w:adjustRightInd w:val="0"/>
        <w:spacing w:line="360" w:lineRule="auto"/>
        <w:jc w:val="both"/>
        <w:rPr>
          <w:rFonts w:ascii="Arial" w:hAnsi="Arial" w:cs="Arial"/>
          <w:bCs/>
        </w:rPr>
      </w:pPr>
    </w:p>
    <w:p w:rsidR="008F2908" w:rsidRPr="004F681E" w:rsidRDefault="008F2908"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 xml:space="preserve">Recalcó que el interés lucrativo perseguido por el concesionario </w:t>
      </w:r>
      <w:r w:rsidR="0045204F" w:rsidRPr="004F681E">
        <w:rPr>
          <w:rFonts w:ascii="Arial" w:hAnsi="Arial" w:cs="Arial"/>
          <w:bCs/>
        </w:rPr>
        <w:t>debía</w:t>
      </w:r>
      <w:r w:rsidRPr="004F681E">
        <w:rPr>
          <w:rFonts w:ascii="Arial" w:hAnsi="Arial" w:cs="Arial"/>
          <w:bCs/>
        </w:rPr>
        <w:t xml:space="preserve"> guardar concordancia con el principio de colaboración </w:t>
      </w:r>
      <w:r w:rsidR="003011FC" w:rsidRPr="004F681E">
        <w:rPr>
          <w:rFonts w:ascii="Arial" w:hAnsi="Arial" w:cs="Arial"/>
          <w:bCs/>
        </w:rPr>
        <w:t xml:space="preserve">que se demandaba del contratista </w:t>
      </w:r>
      <w:r w:rsidR="00F64237" w:rsidRPr="004F681E">
        <w:rPr>
          <w:rFonts w:ascii="Arial" w:hAnsi="Arial" w:cs="Arial"/>
          <w:bCs/>
        </w:rPr>
        <w:t>hacia la Administración</w:t>
      </w:r>
      <w:r w:rsidR="00E83FBA" w:rsidRPr="004F681E">
        <w:rPr>
          <w:rFonts w:ascii="Arial" w:hAnsi="Arial" w:cs="Arial"/>
          <w:bCs/>
        </w:rPr>
        <w:t>,</w:t>
      </w:r>
      <w:r w:rsidR="00F64237" w:rsidRPr="004F681E">
        <w:rPr>
          <w:rFonts w:ascii="Arial" w:hAnsi="Arial" w:cs="Arial"/>
          <w:bCs/>
        </w:rPr>
        <w:t xml:space="preserve"> </w:t>
      </w:r>
      <w:r w:rsidR="003011FC" w:rsidRPr="004F681E">
        <w:rPr>
          <w:rFonts w:ascii="Arial" w:hAnsi="Arial" w:cs="Arial"/>
          <w:bCs/>
        </w:rPr>
        <w:t>en aras de garantizar la satisfacción del</w:t>
      </w:r>
      <w:r w:rsidR="00F64237" w:rsidRPr="004F681E">
        <w:rPr>
          <w:rFonts w:ascii="Arial" w:hAnsi="Arial" w:cs="Arial"/>
          <w:bCs/>
        </w:rPr>
        <w:t xml:space="preserve"> interés público. </w:t>
      </w:r>
    </w:p>
    <w:p w:rsidR="0045204F" w:rsidRPr="004F681E" w:rsidRDefault="0045204F" w:rsidP="00390707">
      <w:pPr>
        <w:widowControl w:val="0"/>
        <w:autoSpaceDE w:val="0"/>
        <w:autoSpaceDN w:val="0"/>
        <w:adjustRightInd w:val="0"/>
        <w:spacing w:line="360" w:lineRule="auto"/>
        <w:jc w:val="both"/>
        <w:rPr>
          <w:rFonts w:ascii="Arial" w:hAnsi="Arial" w:cs="Arial"/>
          <w:bCs/>
        </w:rPr>
      </w:pPr>
    </w:p>
    <w:p w:rsidR="0045204F" w:rsidRPr="004F681E" w:rsidRDefault="0045204F"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Agregó q</w:t>
      </w:r>
      <w:r w:rsidR="003011FC" w:rsidRPr="004F681E">
        <w:rPr>
          <w:rFonts w:ascii="Arial" w:hAnsi="Arial" w:cs="Arial"/>
          <w:bCs/>
        </w:rPr>
        <w:t>ue la única obligación que surgía</w:t>
      </w:r>
      <w:r w:rsidRPr="004F681E">
        <w:rPr>
          <w:rFonts w:ascii="Arial" w:hAnsi="Arial" w:cs="Arial"/>
          <w:bCs/>
        </w:rPr>
        <w:t xml:space="preserve"> frente a la entidad públi</w:t>
      </w:r>
      <w:r w:rsidR="003011FC" w:rsidRPr="004F681E">
        <w:rPr>
          <w:rFonts w:ascii="Arial" w:hAnsi="Arial" w:cs="Arial"/>
          <w:bCs/>
        </w:rPr>
        <w:t>ca cuando quiera que se presentara</w:t>
      </w:r>
      <w:r w:rsidRPr="004F681E">
        <w:rPr>
          <w:rFonts w:ascii="Arial" w:hAnsi="Arial" w:cs="Arial"/>
          <w:bCs/>
        </w:rPr>
        <w:t xml:space="preserve"> una causal de desequilibrio económico del contrato consistía en restablecerlo hasta un punto de no pérdida</w:t>
      </w:r>
      <w:r w:rsidR="00F71407" w:rsidRPr="004F681E">
        <w:rPr>
          <w:rFonts w:ascii="Arial" w:hAnsi="Arial" w:cs="Arial"/>
          <w:bCs/>
        </w:rPr>
        <w:t xml:space="preserve"> y no a garantizar la obtención de utilidades</w:t>
      </w:r>
      <w:r w:rsidRPr="004F681E">
        <w:rPr>
          <w:rFonts w:ascii="Arial" w:hAnsi="Arial" w:cs="Arial"/>
          <w:bCs/>
        </w:rPr>
        <w:t xml:space="preserve">. </w:t>
      </w:r>
    </w:p>
    <w:p w:rsidR="0012547D" w:rsidRPr="004F681E" w:rsidRDefault="0012547D" w:rsidP="00390707">
      <w:pPr>
        <w:widowControl w:val="0"/>
        <w:autoSpaceDE w:val="0"/>
        <w:autoSpaceDN w:val="0"/>
        <w:adjustRightInd w:val="0"/>
        <w:spacing w:line="360" w:lineRule="auto"/>
        <w:jc w:val="both"/>
        <w:rPr>
          <w:rFonts w:ascii="Arial" w:hAnsi="Arial" w:cs="Arial"/>
          <w:bCs/>
        </w:rPr>
      </w:pPr>
    </w:p>
    <w:p w:rsidR="0045204F" w:rsidRPr="004F681E" w:rsidRDefault="0012547D"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Señaló que una vez terminadas las obras civiles</w:t>
      </w:r>
      <w:r w:rsidR="003011FC" w:rsidRPr="004F681E">
        <w:rPr>
          <w:rFonts w:ascii="Arial" w:hAnsi="Arial" w:cs="Arial"/>
          <w:bCs/>
        </w:rPr>
        <w:t>,</w:t>
      </w:r>
      <w:r w:rsidRPr="004F681E">
        <w:rPr>
          <w:rFonts w:ascii="Arial" w:hAnsi="Arial" w:cs="Arial"/>
          <w:bCs/>
        </w:rPr>
        <w:t xml:space="preserve"> el IDRD puso a disposición del concesionario la pantalla, pese a lo cual la unión temporal no acudió a su recibo.</w:t>
      </w:r>
    </w:p>
    <w:p w:rsidR="0012547D" w:rsidRPr="004F681E" w:rsidRDefault="0012547D" w:rsidP="00390707">
      <w:pPr>
        <w:widowControl w:val="0"/>
        <w:autoSpaceDE w:val="0"/>
        <w:autoSpaceDN w:val="0"/>
        <w:adjustRightInd w:val="0"/>
        <w:spacing w:line="360" w:lineRule="auto"/>
        <w:jc w:val="both"/>
        <w:rPr>
          <w:rFonts w:ascii="Arial" w:hAnsi="Arial" w:cs="Arial"/>
          <w:bCs/>
        </w:rPr>
      </w:pPr>
    </w:p>
    <w:p w:rsidR="005A13CC" w:rsidRPr="004F681E" w:rsidRDefault="000E3AD0"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lastRenderedPageBreak/>
        <w:t>Destacó</w:t>
      </w:r>
      <w:r w:rsidR="00F83964" w:rsidRPr="004F681E">
        <w:rPr>
          <w:rFonts w:ascii="Arial" w:hAnsi="Arial" w:cs="Arial"/>
          <w:bCs/>
        </w:rPr>
        <w:t xml:space="preserve"> que el incumplimiento atribuido en la demanda al Instituto no le resultaba imputable</w:t>
      </w:r>
      <w:r w:rsidR="00873C77" w:rsidRPr="004F681E">
        <w:rPr>
          <w:rFonts w:ascii="Arial" w:hAnsi="Arial" w:cs="Arial"/>
          <w:bCs/>
        </w:rPr>
        <w:t>,</w:t>
      </w:r>
      <w:r w:rsidR="00F83964" w:rsidRPr="004F681E">
        <w:rPr>
          <w:rFonts w:ascii="Arial" w:hAnsi="Arial" w:cs="Arial"/>
          <w:bCs/>
        </w:rPr>
        <w:t xml:space="preserve"> pues las demoras en el recibo de la pantalla se atribuyeron a las constantes quejas y reclamos elevados por el concesionario en torno a los daños sufridos en la pantalla como consecuencia de su traslado.</w:t>
      </w:r>
    </w:p>
    <w:p w:rsidR="005A13CC" w:rsidRPr="004F681E" w:rsidRDefault="005A13CC" w:rsidP="00390707">
      <w:pPr>
        <w:widowControl w:val="0"/>
        <w:autoSpaceDE w:val="0"/>
        <w:autoSpaceDN w:val="0"/>
        <w:adjustRightInd w:val="0"/>
        <w:spacing w:line="360" w:lineRule="auto"/>
        <w:jc w:val="both"/>
        <w:rPr>
          <w:rFonts w:ascii="Arial" w:hAnsi="Arial" w:cs="Arial"/>
          <w:bCs/>
        </w:rPr>
      </w:pPr>
    </w:p>
    <w:p w:rsidR="009312EA" w:rsidRPr="004F681E" w:rsidRDefault="005A13CC"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En cuanto a</w:t>
      </w:r>
      <w:r w:rsidR="00AD60E1" w:rsidRPr="004F681E">
        <w:rPr>
          <w:rFonts w:ascii="Arial" w:hAnsi="Arial" w:cs="Arial"/>
          <w:bCs/>
        </w:rPr>
        <w:t xml:space="preserve">l desarrollo del </w:t>
      </w:r>
      <w:r w:rsidRPr="004F681E">
        <w:rPr>
          <w:rFonts w:ascii="Arial" w:hAnsi="Arial" w:cs="Arial"/>
          <w:bCs/>
        </w:rPr>
        <w:t>certamen de fútbol Sub-20</w:t>
      </w:r>
      <w:r w:rsidR="000E3AD0" w:rsidRPr="004F681E">
        <w:rPr>
          <w:rFonts w:ascii="Arial" w:hAnsi="Arial" w:cs="Arial"/>
          <w:bCs/>
        </w:rPr>
        <w:t xml:space="preserve"> en medio de la ejecución del Contrato de C</w:t>
      </w:r>
      <w:r w:rsidR="00AD60E1" w:rsidRPr="004F681E">
        <w:rPr>
          <w:rFonts w:ascii="Arial" w:hAnsi="Arial" w:cs="Arial"/>
          <w:bCs/>
        </w:rPr>
        <w:t xml:space="preserve">oncesión No. 475 </w:t>
      </w:r>
      <w:r w:rsidR="00144633" w:rsidRPr="004F681E">
        <w:rPr>
          <w:rFonts w:ascii="Arial" w:hAnsi="Arial" w:cs="Arial"/>
          <w:bCs/>
        </w:rPr>
        <w:t>y al compromiso adquirido con la FIFA relativo a no autorizar a terceros la participación en ninguna actividad promocional</w:t>
      </w:r>
      <w:r w:rsidR="00026D6D" w:rsidRPr="004F681E">
        <w:rPr>
          <w:rFonts w:ascii="Arial" w:hAnsi="Arial" w:cs="Arial"/>
          <w:bCs/>
        </w:rPr>
        <w:t>,</w:t>
      </w:r>
      <w:r w:rsidR="00144633" w:rsidRPr="004F681E">
        <w:rPr>
          <w:rFonts w:ascii="Arial" w:hAnsi="Arial" w:cs="Arial"/>
          <w:bCs/>
        </w:rPr>
        <w:t xml:space="preserve"> </w:t>
      </w:r>
      <w:r w:rsidR="00AD60E1" w:rsidRPr="004F681E">
        <w:rPr>
          <w:rFonts w:ascii="Arial" w:hAnsi="Arial" w:cs="Arial"/>
          <w:bCs/>
        </w:rPr>
        <w:t xml:space="preserve">el Tribunal advirtió que </w:t>
      </w:r>
      <w:r w:rsidR="00144633" w:rsidRPr="004F681E">
        <w:rPr>
          <w:rFonts w:ascii="Arial" w:hAnsi="Arial" w:cs="Arial"/>
          <w:bCs/>
        </w:rPr>
        <w:t xml:space="preserve">dicha situación se adecuaba </w:t>
      </w:r>
      <w:r w:rsidR="008F43B5" w:rsidRPr="004F681E">
        <w:rPr>
          <w:rFonts w:ascii="Arial" w:hAnsi="Arial" w:cs="Arial"/>
          <w:bCs/>
        </w:rPr>
        <w:t>a los límites previstos en</w:t>
      </w:r>
      <w:r w:rsidR="00026D6D" w:rsidRPr="004F681E">
        <w:rPr>
          <w:rFonts w:ascii="Arial" w:hAnsi="Arial" w:cs="Arial"/>
          <w:bCs/>
        </w:rPr>
        <w:t xml:space="preserve"> e</w:t>
      </w:r>
      <w:r w:rsidR="008F43B5" w:rsidRPr="004F681E">
        <w:rPr>
          <w:rFonts w:ascii="Arial" w:hAnsi="Arial" w:cs="Arial"/>
          <w:bCs/>
        </w:rPr>
        <w:t>l artículo 3 de la Ley 80 de 1993.</w:t>
      </w:r>
    </w:p>
    <w:p w:rsidR="009312EA" w:rsidRPr="004F681E" w:rsidRDefault="009312EA" w:rsidP="00390707">
      <w:pPr>
        <w:widowControl w:val="0"/>
        <w:autoSpaceDE w:val="0"/>
        <w:autoSpaceDN w:val="0"/>
        <w:adjustRightInd w:val="0"/>
        <w:spacing w:line="360" w:lineRule="auto"/>
        <w:jc w:val="both"/>
        <w:rPr>
          <w:rFonts w:ascii="Arial" w:hAnsi="Arial" w:cs="Arial"/>
          <w:bCs/>
        </w:rPr>
      </w:pPr>
    </w:p>
    <w:p w:rsidR="0012547D" w:rsidRPr="004F681E" w:rsidRDefault="009312EA"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De otr</w:t>
      </w:r>
      <w:r w:rsidR="000E3AD0" w:rsidRPr="004F681E">
        <w:rPr>
          <w:rFonts w:ascii="Arial" w:hAnsi="Arial" w:cs="Arial"/>
          <w:bCs/>
        </w:rPr>
        <w:t>o lado, la primera instancia hizo énfasis en</w:t>
      </w:r>
      <w:r w:rsidRPr="004F681E">
        <w:rPr>
          <w:rFonts w:ascii="Arial" w:hAnsi="Arial" w:cs="Arial"/>
          <w:bCs/>
        </w:rPr>
        <w:t xml:space="preserve"> el deficiente acervo probatorio recaudado</w:t>
      </w:r>
      <w:r w:rsidR="00370F0B" w:rsidRPr="004F681E">
        <w:rPr>
          <w:rFonts w:ascii="Arial" w:hAnsi="Arial" w:cs="Arial"/>
          <w:bCs/>
        </w:rPr>
        <w:t xml:space="preserve"> para</w:t>
      </w:r>
      <w:r w:rsidR="008F43B5" w:rsidRPr="004F681E">
        <w:rPr>
          <w:rFonts w:ascii="Arial" w:hAnsi="Arial" w:cs="Arial"/>
          <w:bCs/>
        </w:rPr>
        <w:t xml:space="preserve"> </w:t>
      </w:r>
      <w:r w:rsidR="00370F0B" w:rsidRPr="004F681E">
        <w:rPr>
          <w:rFonts w:ascii="Arial" w:hAnsi="Arial" w:cs="Arial"/>
          <w:bCs/>
        </w:rPr>
        <w:t>demostrar los perjuicios reclamados. En este punto</w:t>
      </w:r>
      <w:r w:rsidR="00E83FBA" w:rsidRPr="004F681E">
        <w:rPr>
          <w:rFonts w:ascii="Arial" w:hAnsi="Arial" w:cs="Arial"/>
          <w:bCs/>
        </w:rPr>
        <w:t>,</w:t>
      </w:r>
      <w:r w:rsidR="00370F0B" w:rsidRPr="004F681E">
        <w:rPr>
          <w:rFonts w:ascii="Arial" w:hAnsi="Arial" w:cs="Arial"/>
          <w:bCs/>
        </w:rPr>
        <w:t xml:space="preserve"> esgrimió que no obstante existir extractos bancarios y facturas sin el lleno de los requisitos</w:t>
      </w:r>
      <w:r w:rsidR="007F614D" w:rsidRPr="004F681E">
        <w:rPr>
          <w:rFonts w:ascii="Arial" w:hAnsi="Arial" w:cs="Arial"/>
          <w:bCs/>
        </w:rPr>
        <w:t>,</w:t>
      </w:r>
      <w:r w:rsidR="00370F0B" w:rsidRPr="004F681E">
        <w:rPr>
          <w:rFonts w:ascii="Arial" w:hAnsi="Arial" w:cs="Arial"/>
          <w:bCs/>
        </w:rPr>
        <w:t xml:space="preserve"> con ello no se logró demostrar el lucro cesante </w:t>
      </w:r>
      <w:r w:rsidR="001760F2" w:rsidRPr="004F681E">
        <w:rPr>
          <w:rFonts w:ascii="Arial" w:hAnsi="Arial" w:cs="Arial"/>
          <w:bCs/>
        </w:rPr>
        <w:t>deprecado</w:t>
      </w:r>
      <w:r w:rsidR="00370F0B" w:rsidRPr="004F681E">
        <w:rPr>
          <w:rFonts w:ascii="Arial" w:hAnsi="Arial" w:cs="Arial"/>
          <w:bCs/>
        </w:rPr>
        <w:t xml:space="preserve">. </w:t>
      </w:r>
    </w:p>
    <w:p w:rsidR="001760F2" w:rsidRPr="004F681E" w:rsidRDefault="001760F2" w:rsidP="00390707">
      <w:pPr>
        <w:widowControl w:val="0"/>
        <w:autoSpaceDE w:val="0"/>
        <w:autoSpaceDN w:val="0"/>
        <w:adjustRightInd w:val="0"/>
        <w:spacing w:line="360" w:lineRule="auto"/>
        <w:jc w:val="both"/>
        <w:rPr>
          <w:rFonts w:ascii="Arial" w:hAnsi="Arial" w:cs="Arial"/>
          <w:bCs/>
        </w:rPr>
      </w:pPr>
    </w:p>
    <w:p w:rsidR="001760F2" w:rsidRPr="004F681E" w:rsidRDefault="001760F2"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Igualmente</w:t>
      </w:r>
      <w:r w:rsidR="00E83FBA" w:rsidRPr="004F681E">
        <w:rPr>
          <w:rFonts w:ascii="Arial" w:hAnsi="Arial" w:cs="Arial"/>
          <w:bCs/>
        </w:rPr>
        <w:t>,</w:t>
      </w:r>
      <w:r w:rsidRPr="004F681E">
        <w:rPr>
          <w:rFonts w:ascii="Arial" w:hAnsi="Arial" w:cs="Arial"/>
          <w:bCs/>
        </w:rPr>
        <w:t xml:space="preserve"> se pronunció </w:t>
      </w:r>
      <w:r w:rsidR="008054EB" w:rsidRPr="004F681E">
        <w:rPr>
          <w:rFonts w:ascii="Arial" w:hAnsi="Arial" w:cs="Arial"/>
          <w:bCs/>
        </w:rPr>
        <w:t>en relación con la objeción por error grave al dictamen. Al des</w:t>
      </w:r>
      <w:r w:rsidR="004B2B11" w:rsidRPr="004F681E">
        <w:rPr>
          <w:rFonts w:ascii="Arial" w:hAnsi="Arial" w:cs="Arial"/>
          <w:bCs/>
        </w:rPr>
        <w:t>a</w:t>
      </w:r>
      <w:r w:rsidR="00DE0F17" w:rsidRPr="004F681E">
        <w:rPr>
          <w:rFonts w:ascii="Arial" w:hAnsi="Arial" w:cs="Arial"/>
          <w:bCs/>
        </w:rPr>
        <w:t>tarla</w:t>
      </w:r>
      <w:r w:rsidR="00E83FBA" w:rsidRPr="004F681E">
        <w:rPr>
          <w:rFonts w:ascii="Arial" w:hAnsi="Arial" w:cs="Arial"/>
          <w:bCs/>
        </w:rPr>
        <w:t>,</w:t>
      </w:r>
      <w:r w:rsidR="008054EB" w:rsidRPr="004F681E">
        <w:rPr>
          <w:rFonts w:ascii="Arial" w:hAnsi="Arial" w:cs="Arial"/>
          <w:bCs/>
        </w:rPr>
        <w:t xml:space="preserve"> </w:t>
      </w:r>
      <w:r w:rsidR="00D62415" w:rsidRPr="004F681E">
        <w:rPr>
          <w:rFonts w:ascii="Arial" w:hAnsi="Arial" w:cs="Arial"/>
          <w:bCs/>
        </w:rPr>
        <w:t xml:space="preserve">afirmó que el auxiliar de la justicia no se limitó a contestar el formulario </w:t>
      </w:r>
      <w:r w:rsidR="00F91D4A" w:rsidRPr="004F681E">
        <w:rPr>
          <w:rFonts w:ascii="Arial" w:hAnsi="Arial" w:cs="Arial"/>
          <w:bCs/>
        </w:rPr>
        <w:t xml:space="preserve">elaborado por el petente de la </w:t>
      </w:r>
      <w:r w:rsidR="006367EF" w:rsidRPr="004F681E">
        <w:rPr>
          <w:rFonts w:ascii="Arial" w:hAnsi="Arial" w:cs="Arial"/>
          <w:bCs/>
        </w:rPr>
        <w:t>prueba</w:t>
      </w:r>
      <w:r w:rsidR="00E83FBA" w:rsidRPr="004F681E">
        <w:rPr>
          <w:rFonts w:ascii="Arial" w:hAnsi="Arial" w:cs="Arial"/>
          <w:bCs/>
        </w:rPr>
        <w:t>,</w:t>
      </w:r>
      <w:r w:rsidR="00F91D4A" w:rsidRPr="004F681E">
        <w:rPr>
          <w:rFonts w:ascii="Arial" w:hAnsi="Arial" w:cs="Arial"/>
          <w:bCs/>
        </w:rPr>
        <w:t xml:space="preserve"> en el sentido de explicar las razones técnicas de sus respuestas, sino que su concepto versó sobre apreciaciones </w:t>
      </w:r>
      <w:r w:rsidR="006367EF" w:rsidRPr="004F681E">
        <w:rPr>
          <w:rFonts w:ascii="Arial" w:hAnsi="Arial" w:cs="Arial"/>
          <w:bCs/>
        </w:rPr>
        <w:t>que no guardaban coincidencia con el objeto de su práctica</w:t>
      </w:r>
      <w:r w:rsidR="007C44E2" w:rsidRPr="004F681E">
        <w:rPr>
          <w:rFonts w:ascii="Arial" w:hAnsi="Arial" w:cs="Arial"/>
          <w:bCs/>
        </w:rPr>
        <w:t xml:space="preserve">. </w:t>
      </w:r>
    </w:p>
    <w:p w:rsidR="00722A9F" w:rsidRPr="004F681E" w:rsidRDefault="00722A9F" w:rsidP="00390707">
      <w:pPr>
        <w:widowControl w:val="0"/>
        <w:autoSpaceDE w:val="0"/>
        <w:autoSpaceDN w:val="0"/>
        <w:adjustRightInd w:val="0"/>
        <w:spacing w:line="360" w:lineRule="auto"/>
        <w:jc w:val="both"/>
        <w:rPr>
          <w:rFonts w:ascii="Arial" w:hAnsi="Arial" w:cs="Arial"/>
          <w:bCs/>
        </w:rPr>
      </w:pPr>
    </w:p>
    <w:p w:rsidR="00722A9F" w:rsidRPr="004F681E" w:rsidRDefault="00E83FBA"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Expresó</w:t>
      </w:r>
      <w:r w:rsidR="00722A9F" w:rsidRPr="004F681E">
        <w:rPr>
          <w:rFonts w:ascii="Arial" w:hAnsi="Arial" w:cs="Arial"/>
          <w:bCs/>
        </w:rPr>
        <w:t xml:space="preserve"> dudas respecto de las </w:t>
      </w:r>
      <w:r w:rsidR="00841186" w:rsidRPr="004F681E">
        <w:rPr>
          <w:rFonts w:ascii="Arial" w:hAnsi="Arial" w:cs="Arial"/>
          <w:bCs/>
        </w:rPr>
        <w:t>conclu</w:t>
      </w:r>
      <w:r w:rsidR="00DE0F17" w:rsidRPr="004F681E">
        <w:rPr>
          <w:rFonts w:ascii="Arial" w:hAnsi="Arial" w:cs="Arial"/>
          <w:bCs/>
        </w:rPr>
        <w:t>siones arrojadas por el</w:t>
      </w:r>
      <w:r w:rsidR="00841186" w:rsidRPr="004F681E">
        <w:rPr>
          <w:rFonts w:ascii="Arial" w:hAnsi="Arial" w:cs="Arial"/>
          <w:bCs/>
        </w:rPr>
        <w:t xml:space="preserve"> dictamen</w:t>
      </w:r>
      <w:r w:rsidRPr="004F681E">
        <w:rPr>
          <w:rFonts w:ascii="Arial" w:hAnsi="Arial" w:cs="Arial"/>
          <w:bCs/>
        </w:rPr>
        <w:t>,</w:t>
      </w:r>
      <w:r w:rsidR="00841186" w:rsidRPr="004F681E">
        <w:rPr>
          <w:rFonts w:ascii="Arial" w:hAnsi="Arial" w:cs="Arial"/>
          <w:bCs/>
        </w:rPr>
        <w:t xml:space="preserve"> en lo</w:t>
      </w:r>
      <w:r w:rsidR="00722A9F" w:rsidRPr="004F681E">
        <w:rPr>
          <w:rFonts w:ascii="Arial" w:hAnsi="Arial" w:cs="Arial"/>
          <w:bCs/>
        </w:rPr>
        <w:t xml:space="preserve"> referente al lucro cesante</w:t>
      </w:r>
      <w:r w:rsidR="00DE0F17" w:rsidRPr="004F681E">
        <w:rPr>
          <w:rFonts w:ascii="Arial" w:hAnsi="Arial" w:cs="Arial"/>
          <w:bCs/>
        </w:rPr>
        <w:t>,</w:t>
      </w:r>
      <w:r w:rsidR="00722A9F" w:rsidRPr="004F681E">
        <w:rPr>
          <w:rFonts w:ascii="Arial" w:hAnsi="Arial" w:cs="Arial"/>
          <w:bCs/>
        </w:rPr>
        <w:t xml:space="preserve"> por cuanto su cálculo no se fundó en criterios objetivos </w:t>
      </w:r>
      <w:r w:rsidR="00DE0F17" w:rsidRPr="004F681E">
        <w:rPr>
          <w:rFonts w:ascii="Arial" w:hAnsi="Arial" w:cs="Arial"/>
          <w:bCs/>
        </w:rPr>
        <w:t xml:space="preserve">basados en </w:t>
      </w:r>
      <w:r w:rsidR="003F6AD4" w:rsidRPr="004F681E">
        <w:rPr>
          <w:rFonts w:ascii="Arial" w:hAnsi="Arial" w:cs="Arial"/>
          <w:bCs/>
        </w:rPr>
        <w:t xml:space="preserve">una apreciación </w:t>
      </w:r>
      <w:r w:rsidR="00722A9F" w:rsidRPr="004F681E">
        <w:rPr>
          <w:rFonts w:ascii="Arial" w:hAnsi="Arial" w:cs="Arial"/>
          <w:bCs/>
        </w:rPr>
        <w:t xml:space="preserve">prospectiva verosímil. </w:t>
      </w:r>
    </w:p>
    <w:p w:rsidR="004D121E" w:rsidRPr="004F681E" w:rsidRDefault="004D121E" w:rsidP="00390707">
      <w:pPr>
        <w:widowControl w:val="0"/>
        <w:autoSpaceDE w:val="0"/>
        <w:autoSpaceDN w:val="0"/>
        <w:adjustRightInd w:val="0"/>
        <w:spacing w:line="360" w:lineRule="auto"/>
        <w:jc w:val="both"/>
        <w:rPr>
          <w:rFonts w:ascii="Arial" w:hAnsi="Arial" w:cs="Arial"/>
          <w:bCs/>
        </w:rPr>
      </w:pPr>
    </w:p>
    <w:p w:rsidR="004D121E" w:rsidRPr="004F681E" w:rsidRDefault="004D121E" w:rsidP="00390707">
      <w:pPr>
        <w:widowControl w:val="0"/>
        <w:autoSpaceDE w:val="0"/>
        <w:autoSpaceDN w:val="0"/>
        <w:adjustRightInd w:val="0"/>
        <w:spacing w:line="360" w:lineRule="auto"/>
        <w:jc w:val="both"/>
        <w:rPr>
          <w:rFonts w:ascii="Arial" w:hAnsi="Arial" w:cs="Arial"/>
          <w:bCs/>
        </w:rPr>
      </w:pPr>
      <w:r w:rsidRPr="004F681E">
        <w:rPr>
          <w:rFonts w:ascii="Arial" w:hAnsi="Arial" w:cs="Arial"/>
          <w:bCs/>
        </w:rPr>
        <w:t xml:space="preserve">Con sustento en lo expuesto, consideró que el dictamen adolecía de un error manifiesto, evidente y ostensible que daba lugar a declarar probada la objeción formulada. </w:t>
      </w:r>
    </w:p>
    <w:p w:rsidR="00DA5BEC" w:rsidRPr="004F681E" w:rsidRDefault="00DA5BEC" w:rsidP="00390707">
      <w:pPr>
        <w:widowControl w:val="0"/>
        <w:autoSpaceDE w:val="0"/>
        <w:autoSpaceDN w:val="0"/>
        <w:adjustRightInd w:val="0"/>
        <w:spacing w:line="360" w:lineRule="auto"/>
        <w:jc w:val="both"/>
        <w:rPr>
          <w:rFonts w:ascii="Arial" w:hAnsi="Arial" w:cs="Arial"/>
          <w:bCs/>
        </w:rPr>
      </w:pPr>
    </w:p>
    <w:p w:rsidR="00390707" w:rsidRPr="004F681E" w:rsidRDefault="00390707" w:rsidP="00390707">
      <w:pPr>
        <w:spacing w:line="360" w:lineRule="auto"/>
        <w:jc w:val="both"/>
        <w:rPr>
          <w:rFonts w:ascii="Arial" w:hAnsi="Arial" w:cs="Arial"/>
          <w:b/>
        </w:rPr>
      </w:pPr>
      <w:r w:rsidRPr="004F681E">
        <w:rPr>
          <w:rFonts w:ascii="Arial" w:hAnsi="Arial" w:cs="Arial"/>
          <w:b/>
        </w:rPr>
        <w:t>7. El recurso de apelación</w:t>
      </w:r>
    </w:p>
    <w:p w:rsidR="00390707" w:rsidRPr="004F681E" w:rsidRDefault="00390707" w:rsidP="00390707">
      <w:pPr>
        <w:spacing w:line="360" w:lineRule="auto"/>
        <w:jc w:val="both"/>
        <w:rPr>
          <w:rFonts w:ascii="Arial" w:hAnsi="Arial" w:cs="Arial"/>
          <w:b/>
        </w:rPr>
      </w:pPr>
    </w:p>
    <w:p w:rsidR="00390707" w:rsidRPr="004F681E" w:rsidRDefault="00390707" w:rsidP="00390707">
      <w:pPr>
        <w:spacing w:line="360" w:lineRule="auto"/>
        <w:jc w:val="both"/>
        <w:rPr>
          <w:rFonts w:ascii="Arial" w:hAnsi="Arial" w:cs="Arial"/>
        </w:rPr>
      </w:pPr>
      <w:r w:rsidRPr="004F681E">
        <w:rPr>
          <w:rFonts w:ascii="Arial" w:hAnsi="Arial" w:cs="Arial"/>
        </w:rPr>
        <w:t>La parte actora, a través de su apoderado, presentó oportunamente recurso de apelación contra la sentencia de primera instancia.</w:t>
      </w:r>
      <w:r w:rsidR="00B415E3" w:rsidRPr="004F681E">
        <w:rPr>
          <w:rFonts w:ascii="Arial" w:hAnsi="Arial" w:cs="Arial"/>
        </w:rPr>
        <w:t xml:space="preserve"> </w:t>
      </w:r>
      <w:r w:rsidRPr="004F681E">
        <w:rPr>
          <w:rFonts w:ascii="Arial" w:hAnsi="Arial" w:cs="Arial"/>
        </w:rPr>
        <w:t>Como premisa genera</w:t>
      </w:r>
      <w:r w:rsidR="00456D31" w:rsidRPr="004F681E">
        <w:rPr>
          <w:rFonts w:ascii="Arial" w:hAnsi="Arial" w:cs="Arial"/>
        </w:rPr>
        <w:t>l, la parte recurrente señaló</w:t>
      </w:r>
      <w:r w:rsidRPr="004F681E">
        <w:rPr>
          <w:rFonts w:ascii="Arial" w:hAnsi="Arial" w:cs="Arial"/>
        </w:rPr>
        <w:t xml:space="preserve"> que </w:t>
      </w:r>
      <w:r w:rsidR="00DA5BEC" w:rsidRPr="004F681E">
        <w:rPr>
          <w:rFonts w:ascii="Arial" w:hAnsi="Arial" w:cs="Arial"/>
        </w:rPr>
        <w:t xml:space="preserve">el fallo resultaba incongruente en atención a que no resolvió la controversia planteada, ni analizó los hechos y argumentos de la demanda. Alegó </w:t>
      </w:r>
      <w:r w:rsidR="00DA5BEC" w:rsidRPr="004F681E">
        <w:rPr>
          <w:rFonts w:ascii="Arial" w:hAnsi="Arial" w:cs="Arial"/>
        </w:rPr>
        <w:lastRenderedPageBreak/>
        <w:t xml:space="preserve">que la sentencia era confusa y </w:t>
      </w:r>
      <w:r w:rsidR="000E3AD0" w:rsidRPr="004F681E">
        <w:rPr>
          <w:rFonts w:ascii="Arial" w:hAnsi="Arial" w:cs="Arial"/>
        </w:rPr>
        <w:t xml:space="preserve">apoyada </w:t>
      </w:r>
      <w:r w:rsidR="00DA5BEC" w:rsidRPr="004F681E">
        <w:rPr>
          <w:rFonts w:ascii="Arial" w:hAnsi="Arial" w:cs="Arial"/>
        </w:rPr>
        <w:t xml:space="preserve">en consideraciones inconducentes que no guardaban coincidencia con el objeto de la demanda. </w:t>
      </w:r>
    </w:p>
    <w:p w:rsidR="00DA5BEC" w:rsidRPr="004F681E" w:rsidRDefault="00DA5BEC" w:rsidP="00390707">
      <w:pPr>
        <w:spacing w:line="360" w:lineRule="auto"/>
        <w:jc w:val="both"/>
        <w:rPr>
          <w:rFonts w:ascii="Arial" w:hAnsi="Arial" w:cs="Arial"/>
        </w:rPr>
      </w:pPr>
    </w:p>
    <w:p w:rsidR="00B60409" w:rsidRPr="004F681E" w:rsidRDefault="00390707" w:rsidP="00390707">
      <w:pPr>
        <w:spacing w:line="360" w:lineRule="auto"/>
        <w:jc w:val="both"/>
        <w:rPr>
          <w:rFonts w:ascii="Arial" w:hAnsi="Arial" w:cs="Arial"/>
        </w:rPr>
      </w:pPr>
      <w:r w:rsidRPr="004F681E">
        <w:rPr>
          <w:rFonts w:ascii="Arial" w:hAnsi="Arial" w:cs="Arial"/>
        </w:rPr>
        <w:t xml:space="preserve">Al inicio de su argumentación </w:t>
      </w:r>
      <w:r w:rsidR="00B60409" w:rsidRPr="004F681E">
        <w:rPr>
          <w:rFonts w:ascii="Arial" w:hAnsi="Arial" w:cs="Arial"/>
        </w:rPr>
        <w:t>se refirió a la</w:t>
      </w:r>
      <w:r w:rsidR="004269CF" w:rsidRPr="004F681E">
        <w:rPr>
          <w:rFonts w:ascii="Arial" w:hAnsi="Arial" w:cs="Arial"/>
        </w:rPr>
        <w:t>s</w:t>
      </w:r>
      <w:r w:rsidR="00B60409" w:rsidRPr="004F681E">
        <w:rPr>
          <w:rFonts w:ascii="Arial" w:hAnsi="Arial" w:cs="Arial"/>
        </w:rPr>
        <w:t xml:space="preserve"> normas procesales que regulaban el principio de congruencia</w:t>
      </w:r>
      <w:r w:rsidR="004269CF" w:rsidRPr="004F681E">
        <w:rPr>
          <w:rFonts w:ascii="Arial" w:hAnsi="Arial" w:cs="Arial"/>
        </w:rPr>
        <w:t xml:space="preserve">, así como a </w:t>
      </w:r>
      <w:r w:rsidR="00A41C26" w:rsidRPr="004F681E">
        <w:rPr>
          <w:rFonts w:ascii="Arial" w:hAnsi="Arial" w:cs="Arial"/>
        </w:rPr>
        <w:t xml:space="preserve">las </w:t>
      </w:r>
      <w:r w:rsidR="004269CF" w:rsidRPr="004F681E">
        <w:rPr>
          <w:rFonts w:ascii="Arial" w:hAnsi="Arial" w:cs="Arial"/>
        </w:rPr>
        <w:t xml:space="preserve">diferentes tesis doctrinarias </w:t>
      </w:r>
      <w:r w:rsidR="00A41C26" w:rsidRPr="004F681E">
        <w:rPr>
          <w:rFonts w:ascii="Arial" w:hAnsi="Arial" w:cs="Arial"/>
        </w:rPr>
        <w:t xml:space="preserve">y </w:t>
      </w:r>
      <w:r w:rsidR="004269CF" w:rsidRPr="004F681E">
        <w:rPr>
          <w:rFonts w:ascii="Arial" w:hAnsi="Arial" w:cs="Arial"/>
        </w:rPr>
        <w:t>posturas jurisprudenciales que se han ocupado de la materia</w:t>
      </w:r>
      <w:r w:rsidR="00A41C26" w:rsidRPr="004F681E">
        <w:rPr>
          <w:rFonts w:ascii="Arial" w:hAnsi="Arial" w:cs="Arial"/>
        </w:rPr>
        <w:t xml:space="preserve">, al cabo de lo cual concluyó que el Tribunal de primera instancia decidió con base en una causa distinta a la invocada en la demanda. </w:t>
      </w:r>
    </w:p>
    <w:p w:rsidR="00A41C26" w:rsidRPr="004F681E" w:rsidRDefault="00A41C26" w:rsidP="00390707">
      <w:pPr>
        <w:spacing w:line="360" w:lineRule="auto"/>
        <w:jc w:val="both"/>
        <w:rPr>
          <w:rFonts w:ascii="Arial" w:hAnsi="Arial" w:cs="Arial"/>
        </w:rPr>
      </w:pPr>
    </w:p>
    <w:p w:rsidR="00A41C26" w:rsidRPr="004F681E" w:rsidRDefault="00A41C26" w:rsidP="00390707">
      <w:pPr>
        <w:spacing w:line="360" w:lineRule="auto"/>
        <w:jc w:val="both"/>
        <w:rPr>
          <w:rFonts w:ascii="Arial" w:hAnsi="Arial" w:cs="Arial"/>
        </w:rPr>
      </w:pPr>
      <w:r w:rsidRPr="004F681E">
        <w:rPr>
          <w:rFonts w:ascii="Arial" w:hAnsi="Arial" w:cs="Arial"/>
        </w:rPr>
        <w:t>Siguiendo el orden trazado</w:t>
      </w:r>
      <w:r w:rsidR="00E83FBA" w:rsidRPr="004F681E">
        <w:rPr>
          <w:rFonts w:ascii="Arial" w:hAnsi="Arial" w:cs="Arial"/>
        </w:rPr>
        <w:t>,</w:t>
      </w:r>
      <w:r w:rsidRPr="004F681E">
        <w:rPr>
          <w:rFonts w:ascii="Arial" w:hAnsi="Arial" w:cs="Arial"/>
        </w:rPr>
        <w:t xml:space="preserve"> explicó que el objeto del presente litigio recaía en la declaratoria de incumplimiento contractual y </w:t>
      </w:r>
      <w:r w:rsidR="00455E8D" w:rsidRPr="004F681E">
        <w:rPr>
          <w:rFonts w:ascii="Arial" w:hAnsi="Arial" w:cs="Arial"/>
        </w:rPr>
        <w:t xml:space="preserve">en </w:t>
      </w:r>
      <w:r w:rsidRPr="004F681E">
        <w:rPr>
          <w:rFonts w:ascii="Arial" w:hAnsi="Arial" w:cs="Arial"/>
        </w:rPr>
        <w:t xml:space="preserve">la consecuencial condena por los perjuicios causados al demandante. </w:t>
      </w:r>
      <w:r w:rsidR="00455E8D" w:rsidRPr="004F681E">
        <w:rPr>
          <w:rFonts w:ascii="Arial" w:hAnsi="Arial" w:cs="Arial"/>
        </w:rPr>
        <w:t>A su turno</w:t>
      </w:r>
      <w:r w:rsidR="00E83FBA" w:rsidRPr="004F681E">
        <w:rPr>
          <w:rFonts w:ascii="Arial" w:hAnsi="Arial" w:cs="Arial"/>
        </w:rPr>
        <w:t>,</w:t>
      </w:r>
      <w:r w:rsidR="00455E8D" w:rsidRPr="004F681E">
        <w:rPr>
          <w:rFonts w:ascii="Arial" w:hAnsi="Arial" w:cs="Arial"/>
        </w:rPr>
        <w:t xml:space="preserve"> precisó que la causa petendi versaba sobre la negativa del IDRD a reconocer </w:t>
      </w:r>
      <w:r w:rsidR="00505F8A" w:rsidRPr="004F681E">
        <w:rPr>
          <w:rFonts w:ascii="Arial" w:hAnsi="Arial" w:cs="Arial"/>
        </w:rPr>
        <w:t>al concesionario los perjuicios derivados del acto unilateral de modificación del contrato</w:t>
      </w:r>
      <w:r w:rsidR="00E83FBA" w:rsidRPr="004F681E">
        <w:rPr>
          <w:rFonts w:ascii="Arial" w:hAnsi="Arial" w:cs="Arial"/>
        </w:rPr>
        <w:t>,</w:t>
      </w:r>
      <w:r w:rsidR="00505F8A" w:rsidRPr="004F681E">
        <w:rPr>
          <w:rFonts w:ascii="Arial" w:hAnsi="Arial" w:cs="Arial"/>
        </w:rPr>
        <w:t xml:space="preserve"> a pesar de que su contenido así lo había dispuesto y a cuyo pago se en</w:t>
      </w:r>
      <w:r w:rsidR="00441584" w:rsidRPr="004F681E">
        <w:rPr>
          <w:rFonts w:ascii="Arial" w:hAnsi="Arial" w:cs="Arial"/>
        </w:rPr>
        <w:t>contraba obligado contractua</w:t>
      </w:r>
      <w:r w:rsidR="00505F8A" w:rsidRPr="004F681E">
        <w:rPr>
          <w:rFonts w:ascii="Arial" w:hAnsi="Arial" w:cs="Arial"/>
        </w:rPr>
        <w:t>lmente</w:t>
      </w:r>
      <w:r w:rsidR="00B44B6B" w:rsidRPr="004F681E">
        <w:rPr>
          <w:rFonts w:ascii="Arial" w:hAnsi="Arial" w:cs="Arial"/>
        </w:rPr>
        <w:t>.</w:t>
      </w:r>
    </w:p>
    <w:p w:rsidR="00B44B6B" w:rsidRPr="004F681E" w:rsidRDefault="00B44B6B" w:rsidP="00390707">
      <w:pPr>
        <w:spacing w:line="360" w:lineRule="auto"/>
        <w:jc w:val="both"/>
        <w:rPr>
          <w:rFonts w:ascii="Arial" w:hAnsi="Arial" w:cs="Arial"/>
        </w:rPr>
      </w:pPr>
    </w:p>
    <w:p w:rsidR="00B44B6B" w:rsidRPr="004F681E" w:rsidRDefault="00B44B6B" w:rsidP="00390707">
      <w:pPr>
        <w:spacing w:line="360" w:lineRule="auto"/>
        <w:jc w:val="both"/>
        <w:rPr>
          <w:rFonts w:ascii="Arial" w:hAnsi="Arial" w:cs="Arial"/>
        </w:rPr>
      </w:pPr>
      <w:r w:rsidRPr="004F681E">
        <w:rPr>
          <w:rFonts w:ascii="Arial" w:hAnsi="Arial" w:cs="Arial"/>
        </w:rPr>
        <w:t>Manifestó que</w:t>
      </w:r>
      <w:r w:rsidR="00456D31" w:rsidRPr="004F681E">
        <w:rPr>
          <w:rFonts w:ascii="Arial" w:hAnsi="Arial" w:cs="Arial"/>
        </w:rPr>
        <w:t>,</w:t>
      </w:r>
      <w:r w:rsidRPr="004F681E">
        <w:rPr>
          <w:rFonts w:ascii="Arial" w:hAnsi="Arial" w:cs="Arial"/>
        </w:rPr>
        <w:t xml:space="preserve"> contrario a lo sostenido por el </w:t>
      </w:r>
      <w:r w:rsidRPr="004F681E">
        <w:rPr>
          <w:rFonts w:ascii="Arial" w:hAnsi="Arial" w:cs="Arial"/>
          <w:i/>
        </w:rPr>
        <w:t>a quo</w:t>
      </w:r>
      <w:r w:rsidR="00456D31" w:rsidRPr="004F681E">
        <w:rPr>
          <w:rFonts w:ascii="Arial" w:hAnsi="Arial" w:cs="Arial"/>
          <w:i/>
        </w:rPr>
        <w:t>,</w:t>
      </w:r>
      <w:r w:rsidRPr="004F681E">
        <w:rPr>
          <w:rFonts w:ascii="Arial" w:hAnsi="Arial" w:cs="Arial"/>
        </w:rPr>
        <w:t xml:space="preserve"> en el presente asunto no se reclamó el restablecimiento de un supuesto desequilibrio del contrato</w:t>
      </w:r>
      <w:r w:rsidR="00456D31" w:rsidRPr="004F681E">
        <w:rPr>
          <w:rFonts w:ascii="Arial" w:hAnsi="Arial" w:cs="Arial"/>
        </w:rPr>
        <w:t>,</w:t>
      </w:r>
      <w:r w:rsidRPr="004F681E">
        <w:rPr>
          <w:rFonts w:ascii="Arial" w:hAnsi="Arial" w:cs="Arial"/>
        </w:rPr>
        <w:t xml:space="preserve"> por manera que no se perseguía el mantenimiento de las condiciones iniciales, sino una verdadera indemnización de perjuicios como consecuencia de un incumplimiento contractual. </w:t>
      </w:r>
    </w:p>
    <w:p w:rsidR="00B60409" w:rsidRPr="004F681E" w:rsidRDefault="00B60409" w:rsidP="00390707">
      <w:pPr>
        <w:spacing w:line="360" w:lineRule="auto"/>
        <w:jc w:val="both"/>
        <w:rPr>
          <w:rFonts w:ascii="Arial" w:hAnsi="Arial" w:cs="Arial"/>
        </w:rPr>
      </w:pPr>
    </w:p>
    <w:p w:rsidR="00570C53" w:rsidRPr="004F681E" w:rsidRDefault="00AF637B" w:rsidP="00390707">
      <w:pPr>
        <w:spacing w:line="360" w:lineRule="auto"/>
        <w:jc w:val="both"/>
        <w:rPr>
          <w:rFonts w:ascii="Arial" w:hAnsi="Arial" w:cs="Arial"/>
        </w:rPr>
      </w:pPr>
      <w:r w:rsidRPr="004F681E">
        <w:rPr>
          <w:rFonts w:ascii="Arial" w:hAnsi="Arial" w:cs="Arial"/>
        </w:rPr>
        <w:t xml:space="preserve">En ese orden, la unión </w:t>
      </w:r>
      <w:r w:rsidR="00B0613C" w:rsidRPr="004F681E">
        <w:rPr>
          <w:rFonts w:ascii="Arial" w:hAnsi="Arial" w:cs="Arial"/>
        </w:rPr>
        <w:t>temporal circunscribió</w:t>
      </w:r>
      <w:r w:rsidRPr="004F681E">
        <w:rPr>
          <w:rFonts w:ascii="Arial" w:hAnsi="Arial" w:cs="Arial"/>
        </w:rPr>
        <w:t xml:space="preserve"> el objeto de su demanda </w:t>
      </w:r>
      <w:r w:rsidR="00B0613C" w:rsidRPr="004F681E">
        <w:rPr>
          <w:rFonts w:ascii="Arial" w:hAnsi="Arial" w:cs="Arial"/>
        </w:rPr>
        <w:t xml:space="preserve">al hecho de que </w:t>
      </w:r>
      <w:r w:rsidRPr="004F681E">
        <w:rPr>
          <w:rFonts w:ascii="Arial" w:hAnsi="Arial" w:cs="Arial"/>
        </w:rPr>
        <w:t xml:space="preserve">el IDRD incumplió su obligación contractual de reconocer </w:t>
      </w:r>
      <w:r w:rsidR="00692E19" w:rsidRPr="004F681E">
        <w:rPr>
          <w:rFonts w:ascii="Arial" w:hAnsi="Arial" w:cs="Arial"/>
        </w:rPr>
        <w:t>el lucro cesante sufrido durante el desmonte, traslado</w:t>
      </w:r>
      <w:r w:rsidR="00A91750" w:rsidRPr="004F681E">
        <w:rPr>
          <w:rFonts w:ascii="Arial" w:hAnsi="Arial" w:cs="Arial"/>
        </w:rPr>
        <w:t xml:space="preserve"> y reinstalación de la pantalla y durante el tiempo en que la pantalla estuvo en manos del IDRD para atender unos compromisos adquiridos con la FIFA. </w:t>
      </w:r>
    </w:p>
    <w:p w:rsidR="00570C53" w:rsidRPr="004F681E" w:rsidRDefault="00570C53" w:rsidP="00390707">
      <w:pPr>
        <w:spacing w:line="360" w:lineRule="auto"/>
        <w:jc w:val="both"/>
        <w:rPr>
          <w:rFonts w:ascii="Arial" w:hAnsi="Arial" w:cs="Arial"/>
        </w:rPr>
      </w:pPr>
    </w:p>
    <w:p w:rsidR="00AF637B" w:rsidRPr="004F681E" w:rsidRDefault="00B0613C" w:rsidP="00390707">
      <w:pPr>
        <w:spacing w:line="360" w:lineRule="auto"/>
        <w:jc w:val="both"/>
        <w:rPr>
          <w:rFonts w:ascii="Arial" w:hAnsi="Arial" w:cs="Arial"/>
        </w:rPr>
      </w:pPr>
      <w:r w:rsidRPr="004F681E">
        <w:rPr>
          <w:rFonts w:ascii="Arial" w:hAnsi="Arial" w:cs="Arial"/>
        </w:rPr>
        <w:t>Agregó que este incumplimiento ocasionó perj</w:t>
      </w:r>
      <w:r w:rsidR="006B0C13" w:rsidRPr="004F681E">
        <w:rPr>
          <w:rFonts w:ascii="Arial" w:hAnsi="Arial" w:cs="Arial"/>
        </w:rPr>
        <w:t>uicios al demandante que se materializaron en e</w:t>
      </w:r>
      <w:r w:rsidRPr="004F681E">
        <w:rPr>
          <w:rFonts w:ascii="Arial" w:hAnsi="Arial" w:cs="Arial"/>
        </w:rPr>
        <w:t xml:space="preserve">l monto equivalente que hubiera recibido en caso de que la entidad hubiera atendido las obligaciones del contrato, además de los intereses moratorios correspondientes. </w:t>
      </w:r>
    </w:p>
    <w:p w:rsidR="00570C53" w:rsidRPr="004F681E" w:rsidRDefault="00570C53" w:rsidP="00390707">
      <w:pPr>
        <w:spacing w:line="360" w:lineRule="auto"/>
        <w:jc w:val="both"/>
        <w:rPr>
          <w:rFonts w:ascii="Arial" w:hAnsi="Arial" w:cs="Arial"/>
        </w:rPr>
      </w:pPr>
    </w:p>
    <w:p w:rsidR="00570C53" w:rsidRPr="004F681E" w:rsidRDefault="00570C53" w:rsidP="00390707">
      <w:pPr>
        <w:spacing w:line="360" w:lineRule="auto"/>
        <w:jc w:val="both"/>
        <w:rPr>
          <w:rFonts w:ascii="Arial" w:hAnsi="Arial" w:cs="Arial"/>
        </w:rPr>
      </w:pPr>
      <w:r w:rsidRPr="004F681E">
        <w:rPr>
          <w:rFonts w:ascii="Arial" w:hAnsi="Arial" w:cs="Arial"/>
        </w:rPr>
        <w:t>En lo sucesivo, el recurrente aludió a varios pronunciamientos jurisprudencial</w:t>
      </w:r>
      <w:r w:rsidR="00F859C3" w:rsidRPr="004F681E">
        <w:rPr>
          <w:rFonts w:ascii="Arial" w:hAnsi="Arial" w:cs="Arial"/>
        </w:rPr>
        <w:t>es</w:t>
      </w:r>
      <w:r w:rsidRPr="004F681E">
        <w:rPr>
          <w:rFonts w:ascii="Arial" w:hAnsi="Arial" w:cs="Arial"/>
        </w:rPr>
        <w:t xml:space="preserve"> que han resuelto asuntos de responsabilidad contractual </w:t>
      </w:r>
      <w:r w:rsidR="002A56D8" w:rsidRPr="004F681E">
        <w:rPr>
          <w:rFonts w:ascii="Arial" w:hAnsi="Arial" w:cs="Arial"/>
        </w:rPr>
        <w:t>y</w:t>
      </w:r>
      <w:r w:rsidR="006B0C13" w:rsidRPr="004F681E">
        <w:rPr>
          <w:rFonts w:ascii="Arial" w:hAnsi="Arial" w:cs="Arial"/>
        </w:rPr>
        <w:t>,</w:t>
      </w:r>
      <w:r w:rsidR="002A56D8" w:rsidRPr="004F681E">
        <w:rPr>
          <w:rFonts w:ascii="Arial" w:hAnsi="Arial" w:cs="Arial"/>
        </w:rPr>
        <w:t xml:space="preserve"> a partir de su contenido</w:t>
      </w:r>
      <w:r w:rsidR="006B0C13" w:rsidRPr="004F681E">
        <w:rPr>
          <w:rFonts w:ascii="Arial" w:hAnsi="Arial" w:cs="Arial"/>
        </w:rPr>
        <w:t>,</w:t>
      </w:r>
      <w:r w:rsidR="002A56D8" w:rsidRPr="004F681E">
        <w:rPr>
          <w:rFonts w:ascii="Arial" w:hAnsi="Arial" w:cs="Arial"/>
        </w:rPr>
        <w:t xml:space="preserve"> advirtió que para la decisión de</w:t>
      </w:r>
      <w:r w:rsidR="00F859C3" w:rsidRPr="004F681E">
        <w:rPr>
          <w:rFonts w:ascii="Arial" w:hAnsi="Arial" w:cs="Arial"/>
        </w:rPr>
        <w:t>l</w:t>
      </w:r>
      <w:r w:rsidR="002A56D8" w:rsidRPr="004F681E">
        <w:rPr>
          <w:rFonts w:ascii="Arial" w:hAnsi="Arial" w:cs="Arial"/>
        </w:rPr>
        <w:t xml:space="preserve"> caso </w:t>
      </w:r>
      <w:r w:rsidR="00F859C3" w:rsidRPr="004F681E">
        <w:rPr>
          <w:rFonts w:ascii="Arial" w:hAnsi="Arial" w:cs="Arial"/>
        </w:rPr>
        <w:t>debió</w:t>
      </w:r>
      <w:r w:rsidR="002A56D8" w:rsidRPr="004F681E">
        <w:rPr>
          <w:rFonts w:ascii="Arial" w:hAnsi="Arial" w:cs="Arial"/>
        </w:rPr>
        <w:t xml:space="preserve"> partirse de indagar </w:t>
      </w:r>
      <w:r w:rsidR="00C507BF" w:rsidRPr="004F681E">
        <w:rPr>
          <w:rFonts w:ascii="Arial" w:hAnsi="Arial" w:cs="Arial"/>
        </w:rPr>
        <w:t xml:space="preserve">acerca de la </w:t>
      </w:r>
      <w:r w:rsidR="00C507BF" w:rsidRPr="004F681E">
        <w:rPr>
          <w:rFonts w:ascii="Arial" w:hAnsi="Arial" w:cs="Arial"/>
        </w:rPr>
        <w:lastRenderedPageBreak/>
        <w:t>configuración de los elementos que la integraban</w:t>
      </w:r>
      <w:r w:rsidR="00F859C3" w:rsidRPr="004F681E">
        <w:rPr>
          <w:rFonts w:ascii="Arial" w:hAnsi="Arial" w:cs="Arial"/>
        </w:rPr>
        <w:t>, examen</w:t>
      </w:r>
      <w:r w:rsidR="00C507BF" w:rsidRPr="004F681E">
        <w:rPr>
          <w:rFonts w:ascii="Arial" w:hAnsi="Arial" w:cs="Arial"/>
        </w:rPr>
        <w:t xml:space="preserve"> </w:t>
      </w:r>
      <w:r w:rsidR="00F859C3" w:rsidRPr="004F681E">
        <w:rPr>
          <w:rFonts w:ascii="Arial" w:hAnsi="Arial" w:cs="Arial"/>
        </w:rPr>
        <w:t>que se concretaba</w:t>
      </w:r>
      <w:r w:rsidR="00C507BF" w:rsidRPr="004F681E">
        <w:rPr>
          <w:rFonts w:ascii="Arial" w:hAnsi="Arial" w:cs="Arial"/>
        </w:rPr>
        <w:t xml:space="preserve"> en determinar si </w:t>
      </w:r>
      <w:r w:rsidR="002A56D8" w:rsidRPr="004F681E">
        <w:rPr>
          <w:rFonts w:ascii="Arial" w:hAnsi="Arial" w:cs="Arial"/>
        </w:rPr>
        <w:t>el IDRD</w:t>
      </w:r>
      <w:r w:rsidR="00C507BF" w:rsidRPr="004F681E">
        <w:rPr>
          <w:rFonts w:ascii="Arial" w:hAnsi="Arial" w:cs="Arial"/>
        </w:rPr>
        <w:t xml:space="preserve"> estaba obligado contractualmente a reconocer el lucro cesante sufrido por la unión temporal</w:t>
      </w:r>
      <w:r w:rsidR="00E83FBA" w:rsidRPr="004F681E">
        <w:rPr>
          <w:rFonts w:ascii="Arial" w:hAnsi="Arial" w:cs="Arial"/>
        </w:rPr>
        <w:t>,</w:t>
      </w:r>
      <w:r w:rsidR="00C507BF" w:rsidRPr="004F681E">
        <w:rPr>
          <w:rFonts w:ascii="Arial" w:hAnsi="Arial" w:cs="Arial"/>
        </w:rPr>
        <w:t xml:space="preserve"> como producto de</w:t>
      </w:r>
      <w:r w:rsidR="002A56D8" w:rsidRPr="004F681E">
        <w:rPr>
          <w:rFonts w:ascii="Arial" w:hAnsi="Arial" w:cs="Arial"/>
        </w:rPr>
        <w:t xml:space="preserve"> la inoperancia de la pantalla</w:t>
      </w:r>
      <w:r w:rsidR="00F859C3" w:rsidRPr="004F681E">
        <w:rPr>
          <w:rFonts w:ascii="Arial" w:hAnsi="Arial" w:cs="Arial"/>
        </w:rPr>
        <w:t xml:space="preserve"> y</w:t>
      </w:r>
      <w:r w:rsidR="006B0C13" w:rsidRPr="004F681E">
        <w:rPr>
          <w:rFonts w:ascii="Arial" w:hAnsi="Arial" w:cs="Arial"/>
        </w:rPr>
        <w:t>,</w:t>
      </w:r>
      <w:r w:rsidR="00F859C3" w:rsidRPr="004F681E">
        <w:rPr>
          <w:rFonts w:ascii="Arial" w:hAnsi="Arial" w:cs="Arial"/>
        </w:rPr>
        <w:t xml:space="preserve"> en caso de ser así, si había incumplido dicha carga prestacional</w:t>
      </w:r>
      <w:r w:rsidR="002A56D8" w:rsidRPr="004F681E">
        <w:rPr>
          <w:rFonts w:ascii="Arial" w:hAnsi="Arial" w:cs="Arial"/>
        </w:rPr>
        <w:t xml:space="preserve">. </w:t>
      </w:r>
    </w:p>
    <w:p w:rsidR="00472B3C" w:rsidRPr="004F681E" w:rsidRDefault="00472B3C" w:rsidP="00390707">
      <w:pPr>
        <w:spacing w:line="360" w:lineRule="auto"/>
        <w:jc w:val="both"/>
        <w:rPr>
          <w:rFonts w:ascii="Arial" w:hAnsi="Arial" w:cs="Arial"/>
        </w:rPr>
      </w:pPr>
    </w:p>
    <w:p w:rsidR="00472B3C" w:rsidRPr="004F681E" w:rsidRDefault="000E3AD0" w:rsidP="00390707">
      <w:pPr>
        <w:spacing w:line="360" w:lineRule="auto"/>
        <w:jc w:val="both"/>
        <w:rPr>
          <w:rFonts w:ascii="Arial" w:hAnsi="Arial" w:cs="Arial"/>
        </w:rPr>
      </w:pPr>
      <w:r w:rsidRPr="004F681E">
        <w:rPr>
          <w:rFonts w:ascii="Arial" w:hAnsi="Arial" w:cs="Arial"/>
        </w:rPr>
        <w:t>Con base</w:t>
      </w:r>
      <w:r w:rsidR="00472B3C" w:rsidRPr="004F681E">
        <w:rPr>
          <w:rFonts w:ascii="Arial" w:hAnsi="Arial" w:cs="Arial"/>
        </w:rPr>
        <w:t xml:space="preserve"> en lo expuesto</w:t>
      </w:r>
      <w:r w:rsidR="00E83FBA" w:rsidRPr="004F681E">
        <w:rPr>
          <w:rFonts w:ascii="Arial" w:hAnsi="Arial" w:cs="Arial"/>
        </w:rPr>
        <w:t>,</w:t>
      </w:r>
      <w:r w:rsidR="00472B3C" w:rsidRPr="004F681E">
        <w:rPr>
          <w:rFonts w:ascii="Arial" w:hAnsi="Arial" w:cs="Arial"/>
        </w:rPr>
        <w:t xml:space="preserve"> refutó punto a punto las consideraciones</w:t>
      </w:r>
      <w:r w:rsidR="006B0C13" w:rsidRPr="004F681E">
        <w:rPr>
          <w:rFonts w:ascii="Arial" w:hAnsi="Arial" w:cs="Arial"/>
        </w:rPr>
        <w:t xml:space="preserve"> esbozadas </w:t>
      </w:r>
      <w:r w:rsidR="00472B3C" w:rsidRPr="004F681E">
        <w:rPr>
          <w:rFonts w:ascii="Arial" w:hAnsi="Arial" w:cs="Arial"/>
        </w:rPr>
        <w:t xml:space="preserve">en el fallo de primera instancia </w:t>
      </w:r>
      <w:r w:rsidR="006B0C13" w:rsidRPr="004F681E">
        <w:rPr>
          <w:rFonts w:ascii="Arial" w:hAnsi="Arial" w:cs="Arial"/>
        </w:rPr>
        <w:t>e insistió en la</w:t>
      </w:r>
      <w:r w:rsidR="00C507BF" w:rsidRPr="004F681E">
        <w:rPr>
          <w:rFonts w:ascii="Arial" w:hAnsi="Arial" w:cs="Arial"/>
        </w:rPr>
        <w:t xml:space="preserve"> ausencia de consonanci</w:t>
      </w:r>
      <w:r w:rsidR="00F1493E" w:rsidRPr="004F681E">
        <w:rPr>
          <w:rFonts w:ascii="Arial" w:hAnsi="Arial" w:cs="Arial"/>
        </w:rPr>
        <w:t>a con la causa</w:t>
      </w:r>
      <w:r w:rsidR="00C507BF" w:rsidRPr="004F681E">
        <w:rPr>
          <w:rFonts w:ascii="Arial" w:hAnsi="Arial" w:cs="Arial"/>
        </w:rPr>
        <w:t xml:space="preserve"> petendi </w:t>
      </w:r>
      <w:r w:rsidR="000871F0" w:rsidRPr="004F681E">
        <w:rPr>
          <w:rFonts w:ascii="Arial" w:hAnsi="Arial" w:cs="Arial"/>
        </w:rPr>
        <w:t xml:space="preserve">expuesta </w:t>
      </w:r>
      <w:r w:rsidR="00E818D8" w:rsidRPr="004F681E">
        <w:rPr>
          <w:rFonts w:ascii="Arial" w:hAnsi="Arial" w:cs="Arial"/>
        </w:rPr>
        <w:t>en la demanda</w:t>
      </w:r>
      <w:r w:rsidR="000871F0" w:rsidRPr="004F681E">
        <w:rPr>
          <w:rFonts w:ascii="Arial" w:hAnsi="Arial" w:cs="Arial"/>
        </w:rPr>
        <w:t xml:space="preserve">. </w:t>
      </w:r>
    </w:p>
    <w:p w:rsidR="002329AE" w:rsidRPr="004F681E" w:rsidRDefault="002329AE" w:rsidP="00390707">
      <w:pPr>
        <w:spacing w:line="360" w:lineRule="auto"/>
        <w:jc w:val="both"/>
        <w:rPr>
          <w:rFonts w:ascii="Arial" w:hAnsi="Arial" w:cs="Arial"/>
        </w:rPr>
      </w:pPr>
    </w:p>
    <w:p w:rsidR="002329AE" w:rsidRPr="004F681E" w:rsidRDefault="006B0C13" w:rsidP="00390707">
      <w:pPr>
        <w:spacing w:line="360" w:lineRule="auto"/>
        <w:jc w:val="both"/>
        <w:rPr>
          <w:rFonts w:ascii="Arial" w:hAnsi="Arial" w:cs="Arial"/>
        </w:rPr>
      </w:pPr>
      <w:r w:rsidRPr="004F681E">
        <w:rPr>
          <w:rFonts w:ascii="Arial" w:hAnsi="Arial" w:cs="Arial"/>
        </w:rPr>
        <w:t xml:space="preserve">En relación con la configuración de </w:t>
      </w:r>
      <w:r w:rsidR="002329AE" w:rsidRPr="004F681E">
        <w:rPr>
          <w:rFonts w:ascii="Arial" w:hAnsi="Arial" w:cs="Arial"/>
        </w:rPr>
        <w:t>los elementos de la responsabilidad contractual en el sub exam</w:t>
      </w:r>
      <w:r w:rsidR="00E15A50" w:rsidRPr="004F681E">
        <w:rPr>
          <w:rFonts w:ascii="Arial" w:hAnsi="Arial" w:cs="Arial"/>
        </w:rPr>
        <w:t>ine</w:t>
      </w:r>
      <w:r w:rsidR="002329AE" w:rsidRPr="004F681E">
        <w:rPr>
          <w:rFonts w:ascii="Arial" w:hAnsi="Arial" w:cs="Arial"/>
        </w:rPr>
        <w:t xml:space="preserve">, el demandante indicó que </w:t>
      </w:r>
      <w:r w:rsidR="00770016" w:rsidRPr="004F681E">
        <w:rPr>
          <w:rFonts w:ascii="Arial" w:hAnsi="Arial" w:cs="Arial"/>
        </w:rPr>
        <w:t>al tenor del cla</w:t>
      </w:r>
      <w:r w:rsidRPr="004F681E">
        <w:rPr>
          <w:rFonts w:ascii="Arial" w:hAnsi="Arial" w:cs="Arial"/>
        </w:rPr>
        <w:t>usulado contractual</w:t>
      </w:r>
      <w:r w:rsidR="00CA5A91" w:rsidRPr="004F681E">
        <w:rPr>
          <w:rFonts w:ascii="Arial" w:hAnsi="Arial" w:cs="Arial"/>
        </w:rPr>
        <w:t>, los actos a</w:t>
      </w:r>
      <w:r w:rsidRPr="004F681E">
        <w:rPr>
          <w:rFonts w:ascii="Arial" w:hAnsi="Arial" w:cs="Arial"/>
        </w:rPr>
        <w:t>dministrativos dictados por el I</w:t>
      </w:r>
      <w:r w:rsidR="00CA5A91" w:rsidRPr="004F681E">
        <w:rPr>
          <w:rFonts w:ascii="Arial" w:hAnsi="Arial" w:cs="Arial"/>
        </w:rPr>
        <w:t>nstituto</w:t>
      </w:r>
      <w:r w:rsidR="00E83FBA" w:rsidRPr="004F681E">
        <w:rPr>
          <w:rFonts w:ascii="Arial" w:hAnsi="Arial" w:cs="Arial"/>
        </w:rPr>
        <w:t>,</w:t>
      </w:r>
      <w:r w:rsidR="00CA5A91" w:rsidRPr="004F681E">
        <w:rPr>
          <w:rFonts w:ascii="Arial" w:hAnsi="Arial" w:cs="Arial"/>
        </w:rPr>
        <w:t xml:space="preserve"> en calidad de contratante</w:t>
      </w:r>
      <w:r w:rsidR="00E83FBA" w:rsidRPr="004F681E">
        <w:rPr>
          <w:rFonts w:ascii="Arial" w:hAnsi="Arial" w:cs="Arial"/>
        </w:rPr>
        <w:t>,</w:t>
      </w:r>
      <w:r w:rsidR="00CA5A91" w:rsidRPr="004F681E">
        <w:rPr>
          <w:rFonts w:ascii="Arial" w:hAnsi="Arial" w:cs="Arial"/>
        </w:rPr>
        <w:t xml:space="preserve"> formaban parte del mismo</w:t>
      </w:r>
      <w:r w:rsidR="00C04662" w:rsidRPr="004F681E">
        <w:rPr>
          <w:rFonts w:ascii="Arial" w:hAnsi="Arial" w:cs="Arial"/>
        </w:rPr>
        <w:t xml:space="preserve"> y, </w:t>
      </w:r>
      <w:r w:rsidR="00E15A50" w:rsidRPr="004F681E">
        <w:rPr>
          <w:rFonts w:ascii="Arial" w:hAnsi="Arial" w:cs="Arial"/>
        </w:rPr>
        <w:t>por tanto</w:t>
      </w:r>
      <w:r w:rsidR="00C04662" w:rsidRPr="004F681E">
        <w:rPr>
          <w:rFonts w:ascii="Arial" w:hAnsi="Arial" w:cs="Arial"/>
        </w:rPr>
        <w:t>,</w:t>
      </w:r>
      <w:r w:rsidR="00E15A50" w:rsidRPr="004F681E">
        <w:rPr>
          <w:rFonts w:ascii="Arial" w:hAnsi="Arial" w:cs="Arial"/>
        </w:rPr>
        <w:t xml:space="preserve"> las obligaciones que allí se consignaron eran de naturaleza contractual. </w:t>
      </w:r>
    </w:p>
    <w:p w:rsidR="00EE4B8C" w:rsidRPr="004F681E" w:rsidRDefault="00EE4B8C" w:rsidP="00390707">
      <w:pPr>
        <w:spacing w:line="360" w:lineRule="auto"/>
        <w:jc w:val="both"/>
        <w:rPr>
          <w:rFonts w:ascii="Arial" w:hAnsi="Arial" w:cs="Arial"/>
        </w:rPr>
      </w:pPr>
    </w:p>
    <w:p w:rsidR="00EE4B8C" w:rsidRPr="004F681E" w:rsidRDefault="00EE4B8C" w:rsidP="00390707">
      <w:pPr>
        <w:spacing w:line="360" w:lineRule="auto"/>
        <w:jc w:val="both"/>
        <w:rPr>
          <w:rFonts w:ascii="Arial" w:hAnsi="Arial" w:cs="Arial"/>
        </w:rPr>
      </w:pPr>
      <w:r w:rsidRPr="004F681E">
        <w:rPr>
          <w:rFonts w:ascii="Arial" w:hAnsi="Arial" w:cs="Arial"/>
        </w:rPr>
        <w:t>Atendiendo a esa óptica</w:t>
      </w:r>
      <w:r w:rsidR="00F3633E" w:rsidRPr="004F681E">
        <w:rPr>
          <w:rFonts w:ascii="Arial" w:hAnsi="Arial" w:cs="Arial"/>
        </w:rPr>
        <w:t>,</w:t>
      </w:r>
      <w:r w:rsidRPr="004F681E">
        <w:rPr>
          <w:rFonts w:ascii="Arial" w:hAnsi="Arial" w:cs="Arial"/>
        </w:rPr>
        <w:t xml:space="preserve"> el apelante afirmó que al haber insertado en el acto de modificación unilateral del contrato la obligación de reconocer el lucro cesante al concesionario por la inoperancia de la pantalla, su posterior inobservancia constituyó un incumplimiento del acuerdo de voluntades. </w:t>
      </w:r>
    </w:p>
    <w:p w:rsidR="00C04662" w:rsidRPr="004F681E" w:rsidRDefault="00C04662" w:rsidP="00390707">
      <w:pPr>
        <w:spacing w:line="360" w:lineRule="auto"/>
        <w:jc w:val="both"/>
        <w:rPr>
          <w:rFonts w:ascii="Arial" w:hAnsi="Arial" w:cs="Arial"/>
        </w:rPr>
      </w:pPr>
    </w:p>
    <w:p w:rsidR="00C04662" w:rsidRPr="004F681E" w:rsidRDefault="00C04662" w:rsidP="00390707">
      <w:pPr>
        <w:spacing w:line="360" w:lineRule="auto"/>
        <w:jc w:val="both"/>
        <w:rPr>
          <w:rFonts w:ascii="Arial" w:hAnsi="Arial" w:cs="Arial"/>
        </w:rPr>
      </w:pPr>
      <w:r w:rsidRPr="004F681E">
        <w:rPr>
          <w:rFonts w:ascii="Arial" w:hAnsi="Arial" w:cs="Arial"/>
        </w:rPr>
        <w:t>Añadió que la unión temporal Publiestadios satisfizo la carga de demostrar el lucro cesante dejado de perc</w:t>
      </w:r>
      <w:r w:rsidR="003A7FAC" w:rsidRPr="004F681E">
        <w:rPr>
          <w:rFonts w:ascii="Arial" w:hAnsi="Arial" w:cs="Arial"/>
        </w:rPr>
        <w:t xml:space="preserve">ibir. Con ese fin estuvo dispuesta entregar los documentos </w:t>
      </w:r>
      <w:r w:rsidR="008D18C4" w:rsidRPr="004F681E">
        <w:rPr>
          <w:rFonts w:ascii="Arial" w:hAnsi="Arial" w:cs="Arial"/>
        </w:rPr>
        <w:t xml:space="preserve">contables </w:t>
      </w:r>
      <w:r w:rsidR="003A7FAC" w:rsidRPr="004F681E">
        <w:rPr>
          <w:rFonts w:ascii="Arial" w:hAnsi="Arial" w:cs="Arial"/>
        </w:rPr>
        <w:t xml:space="preserve">que </w:t>
      </w:r>
      <w:r w:rsidR="008D18C4" w:rsidRPr="004F681E">
        <w:rPr>
          <w:rFonts w:ascii="Arial" w:hAnsi="Arial" w:cs="Arial"/>
        </w:rPr>
        <w:t>reposab</w:t>
      </w:r>
      <w:r w:rsidR="003A7FAC" w:rsidRPr="004F681E">
        <w:rPr>
          <w:rFonts w:ascii="Arial" w:hAnsi="Arial" w:cs="Arial"/>
        </w:rPr>
        <w:t>an en su poder y que tuvieran relación con ese aspecto y ofreció la posibilidad al IDRD de revisar sus libros de comercio</w:t>
      </w:r>
      <w:r w:rsidR="00BC7A13" w:rsidRPr="004F681E">
        <w:rPr>
          <w:rFonts w:ascii="Arial" w:hAnsi="Arial" w:cs="Arial"/>
        </w:rPr>
        <w:t>. Sin embargo, el IDRD no acató</w:t>
      </w:r>
      <w:r w:rsidR="008D18C4" w:rsidRPr="004F681E">
        <w:rPr>
          <w:rFonts w:ascii="Arial" w:hAnsi="Arial" w:cs="Arial"/>
        </w:rPr>
        <w:t xml:space="preserve"> su correlativa obligación de reconocerlo y pagarlo. </w:t>
      </w:r>
    </w:p>
    <w:p w:rsidR="00441584" w:rsidRPr="004F681E" w:rsidRDefault="00441584" w:rsidP="00390707">
      <w:pPr>
        <w:spacing w:line="360" w:lineRule="auto"/>
        <w:jc w:val="both"/>
        <w:rPr>
          <w:rFonts w:ascii="Arial" w:hAnsi="Arial" w:cs="Arial"/>
        </w:rPr>
      </w:pPr>
    </w:p>
    <w:p w:rsidR="00E71F8A" w:rsidRPr="004F681E" w:rsidRDefault="00441584" w:rsidP="00390707">
      <w:pPr>
        <w:spacing w:line="360" w:lineRule="auto"/>
        <w:jc w:val="both"/>
        <w:rPr>
          <w:rFonts w:ascii="Arial" w:hAnsi="Arial" w:cs="Arial"/>
        </w:rPr>
      </w:pPr>
      <w:r w:rsidRPr="004F681E">
        <w:rPr>
          <w:rFonts w:ascii="Arial" w:hAnsi="Arial" w:cs="Arial"/>
        </w:rPr>
        <w:t>Sobre el particular</w:t>
      </w:r>
      <w:r w:rsidR="00E83FBA" w:rsidRPr="004F681E">
        <w:rPr>
          <w:rFonts w:ascii="Arial" w:hAnsi="Arial" w:cs="Arial"/>
        </w:rPr>
        <w:t>,</w:t>
      </w:r>
      <w:r w:rsidRPr="004F681E">
        <w:rPr>
          <w:rFonts w:ascii="Arial" w:hAnsi="Arial" w:cs="Arial"/>
        </w:rPr>
        <w:t xml:space="preserve"> reiteró que la pantalla estuvo inoperante y en poder del IDRD desde el 28 de septiembre de 2010 y hasta el 8 de abril de 2011, fecha a partir de la cual el concesionario asumió </w:t>
      </w:r>
      <w:r w:rsidR="0060765A" w:rsidRPr="004F681E">
        <w:rPr>
          <w:rFonts w:ascii="Arial" w:hAnsi="Arial" w:cs="Arial"/>
        </w:rPr>
        <w:t xml:space="preserve">nuevamente </w:t>
      </w:r>
      <w:r w:rsidR="00F3633E" w:rsidRPr="004F681E">
        <w:rPr>
          <w:rFonts w:ascii="Arial" w:hAnsi="Arial" w:cs="Arial"/>
        </w:rPr>
        <w:t>su explotación</w:t>
      </w:r>
      <w:r w:rsidR="003C46EA" w:rsidRPr="004F681E">
        <w:rPr>
          <w:rFonts w:ascii="Arial" w:hAnsi="Arial" w:cs="Arial"/>
        </w:rPr>
        <w:t xml:space="preserve">. Respecto de esta cuestión, el apelante adujo que la razón por la cual la pantalla no fue devuelta con anterioridad a esa fecha obedeció a que </w:t>
      </w:r>
      <w:r w:rsidR="00E71F8A" w:rsidRPr="004F681E">
        <w:rPr>
          <w:rFonts w:ascii="Arial" w:hAnsi="Arial" w:cs="Arial"/>
        </w:rPr>
        <w:t xml:space="preserve">las obras de desmonte, traslado y reinstalación causaron serios daños a la misma </w:t>
      </w:r>
      <w:r w:rsidR="00F3633E" w:rsidRPr="004F681E">
        <w:rPr>
          <w:rFonts w:ascii="Arial" w:hAnsi="Arial" w:cs="Arial"/>
        </w:rPr>
        <w:t>y su reparación debió</w:t>
      </w:r>
      <w:r w:rsidR="00E71F8A" w:rsidRPr="004F681E">
        <w:rPr>
          <w:rFonts w:ascii="Arial" w:hAnsi="Arial" w:cs="Arial"/>
        </w:rPr>
        <w:t xml:space="preserve"> asumirla la contratante. </w:t>
      </w:r>
    </w:p>
    <w:p w:rsidR="00E71F8A" w:rsidRPr="004F681E" w:rsidRDefault="00E71F8A" w:rsidP="00390707">
      <w:pPr>
        <w:spacing w:line="360" w:lineRule="auto"/>
        <w:jc w:val="both"/>
        <w:rPr>
          <w:rFonts w:ascii="Arial" w:hAnsi="Arial" w:cs="Arial"/>
        </w:rPr>
      </w:pPr>
    </w:p>
    <w:p w:rsidR="00F3633E" w:rsidRPr="004F681E" w:rsidRDefault="00E71F8A" w:rsidP="00390707">
      <w:pPr>
        <w:spacing w:line="360" w:lineRule="auto"/>
        <w:jc w:val="both"/>
        <w:rPr>
          <w:rFonts w:ascii="Arial" w:hAnsi="Arial" w:cs="Arial"/>
        </w:rPr>
      </w:pPr>
      <w:r w:rsidRPr="004F681E">
        <w:rPr>
          <w:rFonts w:ascii="Arial" w:hAnsi="Arial" w:cs="Arial"/>
        </w:rPr>
        <w:t xml:space="preserve">A </w:t>
      </w:r>
      <w:r w:rsidR="005702ED" w:rsidRPr="004F681E">
        <w:rPr>
          <w:rFonts w:ascii="Arial" w:hAnsi="Arial" w:cs="Arial"/>
        </w:rPr>
        <w:t>lo esgrimido</w:t>
      </w:r>
      <w:r w:rsidRPr="004F681E">
        <w:rPr>
          <w:rFonts w:ascii="Arial" w:hAnsi="Arial" w:cs="Arial"/>
        </w:rPr>
        <w:t xml:space="preserve"> sumó que el IDRD solicitó la entrega de la pantalla entre el 14 de julio y el 29 de agosto de 2011</w:t>
      </w:r>
      <w:r w:rsidR="00E83FBA" w:rsidRPr="004F681E">
        <w:rPr>
          <w:rFonts w:ascii="Arial" w:hAnsi="Arial" w:cs="Arial"/>
        </w:rPr>
        <w:t>,</w:t>
      </w:r>
      <w:r w:rsidRPr="004F681E">
        <w:rPr>
          <w:rFonts w:ascii="Arial" w:hAnsi="Arial" w:cs="Arial"/>
        </w:rPr>
        <w:t xml:space="preserve"> en razón de las obligaciones contraídas por dicho Instituto </w:t>
      </w:r>
      <w:r w:rsidRPr="004F681E">
        <w:rPr>
          <w:rFonts w:ascii="Arial" w:hAnsi="Arial" w:cs="Arial"/>
        </w:rPr>
        <w:lastRenderedPageBreak/>
        <w:t>con la FIFA</w:t>
      </w:r>
      <w:r w:rsidR="00D87928" w:rsidRPr="004F681E">
        <w:rPr>
          <w:rFonts w:ascii="Arial" w:hAnsi="Arial" w:cs="Arial"/>
        </w:rPr>
        <w:t xml:space="preserve"> que estribaron en no presentar publicidad durante el mundial de fútbol Sub-20</w:t>
      </w:r>
      <w:r w:rsidR="00751C58" w:rsidRPr="004F681E">
        <w:rPr>
          <w:rFonts w:ascii="Arial" w:hAnsi="Arial" w:cs="Arial"/>
        </w:rPr>
        <w:t xml:space="preserve">. </w:t>
      </w:r>
    </w:p>
    <w:p w:rsidR="00F3633E" w:rsidRPr="004F681E" w:rsidRDefault="00F3633E" w:rsidP="00390707">
      <w:pPr>
        <w:spacing w:line="360" w:lineRule="auto"/>
        <w:jc w:val="both"/>
        <w:rPr>
          <w:rFonts w:ascii="Arial" w:hAnsi="Arial" w:cs="Arial"/>
        </w:rPr>
      </w:pPr>
    </w:p>
    <w:p w:rsidR="0027429F" w:rsidRPr="004F681E" w:rsidRDefault="00F3633E" w:rsidP="00390707">
      <w:pPr>
        <w:spacing w:line="360" w:lineRule="auto"/>
        <w:jc w:val="both"/>
        <w:rPr>
          <w:rFonts w:ascii="Arial" w:hAnsi="Arial" w:cs="Arial"/>
        </w:rPr>
      </w:pPr>
      <w:r w:rsidRPr="004F681E">
        <w:rPr>
          <w:rFonts w:ascii="Arial" w:hAnsi="Arial" w:cs="Arial"/>
        </w:rPr>
        <w:t>De ahí coligió que</w:t>
      </w:r>
      <w:r w:rsidR="00751C58" w:rsidRPr="004F681E">
        <w:rPr>
          <w:rFonts w:ascii="Arial" w:hAnsi="Arial" w:cs="Arial"/>
        </w:rPr>
        <w:t xml:space="preserve"> la </w:t>
      </w:r>
      <w:r w:rsidR="00E418C1" w:rsidRPr="004F681E">
        <w:rPr>
          <w:rFonts w:ascii="Arial" w:hAnsi="Arial" w:cs="Arial"/>
        </w:rPr>
        <w:t>in</w:t>
      </w:r>
      <w:r w:rsidR="00751C58" w:rsidRPr="004F681E">
        <w:rPr>
          <w:rFonts w:ascii="Arial" w:hAnsi="Arial" w:cs="Arial"/>
        </w:rPr>
        <w:t xml:space="preserve">operancia de la pantalla que tuvo lugar durante ese interregno se presentó por causas imputables únicamente </w:t>
      </w:r>
      <w:r w:rsidR="001F2242" w:rsidRPr="004F681E">
        <w:rPr>
          <w:rFonts w:ascii="Arial" w:hAnsi="Arial" w:cs="Arial"/>
        </w:rPr>
        <w:t>al IDRD y</w:t>
      </w:r>
      <w:r w:rsidRPr="004F681E">
        <w:rPr>
          <w:rFonts w:ascii="Arial" w:hAnsi="Arial" w:cs="Arial"/>
        </w:rPr>
        <w:t>,</w:t>
      </w:r>
      <w:r w:rsidR="001F2242" w:rsidRPr="004F681E">
        <w:rPr>
          <w:rFonts w:ascii="Arial" w:hAnsi="Arial" w:cs="Arial"/>
        </w:rPr>
        <w:t xml:space="preserve"> con sustento en ello</w:t>
      </w:r>
      <w:r w:rsidR="00E83FBA" w:rsidRPr="004F681E">
        <w:rPr>
          <w:rFonts w:ascii="Arial" w:hAnsi="Arial" w:cs="Arial"/>
        </w:rPr>
        <w:t>,</w:t>
      </w:r>
      <w:r w:rsidRPr="004F681E">
        <w:rPr>
          <w:rFonts w:ascii="Arial" w:hAnsi="Arial" w:cs="Arial"/>
        </w:rPr>
        <w:t xml:space="preserve"> afirmó que </w:t>
      </w:r>
      <w:r w:rsidR="00FC5718" w:rsidRPr="004F681E">
        <w:rPr>
          <w:rFonts w:ascii="Arial" w:hAnsi="Arial" w:cs="Arial"/>
        </w:rPr>
        <w:t xml:space="preserve">también </w:t>
      </w:r>
      <w:r w:rsidR="001F2242" w:rsidRPr="004F681E">
        <w:rPr>
          <w:rFonts w:ascii="Arial" w:hAnsi="Arial" w:cs="Arial"/>
        </w:rPr>
        <w:t xml:space="preserve">por esa circunstancia </w:t>
      </w:r>
      <w:r w:rsidR="00FC5718" w:rsidRPr="004F681E">
        <w:rPr>
          <w:rFonts w:ascii="Arial" w:hAnsi="Arial" w:cs="Arial"/>
        </w:rPr>
        <w:t>el demandante debía recibir una compensación económica</w:t>
      </w:r>
      <w:r w:rsidR="001F2242" w:rsidRPr="004F681E">
        <w:rPr>
          <w:rFonts w:ascii="Arial" w:hAnsi="Arial" w:cs="Arial"/>
        </w:rPr>
        <w:t>, consistente en el reconocimiento de perjuicios en la modalidad de lucro cesante.</w:t>
      </w:r>
    </w:p>
    <w:p w:rsidR="0027429F" w:rsidRPr="004F681E" w:rsidRDefault="0027429F" w:rsidP="00390707">
      <w:pPr>
        <w:spacing w:line="360" w:lineRule="auto"/>
        <w:jc w:val="both"/>
        <w:rPr>
          <w:rFonts w:ascii="Arial" w:hAnsi="Arial" w:cs="Arial"/>
        </w:rPr>
      </w:pPr>
    </w:p>
    <w:p w:rsidR="00441584" w:rsidRPr="004F681E" w:rsidRDefault="00F3633E" w:rsidP="00390707">
      <w:pPr>
        <w:spacing w:line="360" w:lineRule="auto"/>
        <w:jc w:val="both"/>
        <w:rPr>
          <w:rFonts w:ascii="Arial" w:hAnsi="Arial" w:cs="Arial"/>
        </w:rPr>
      </w:pPr>
      <w:r w:rsidRPr="004F681E">
        <w:rPr>
          <w:rFonts w:ascii="Arial" w:hAnsi="Arial" w:cs="Arial"/>
        </w:rPr>
        <w:t>En lo atinente a</w:t>
      </w:r>
      <w:r w:rsidR="0027429F" w:rsidRPr="004F681E">
        <w:rPr>
          <w:rFonts w:ascii="Arial" w:hAnsi="Arial" w:cs="Arial"/>
        </w:rPr>
        <w:t xml:space="preserve"> la cuantía del perjuicio sufrido por </w:t>
      </w:r>
      <w:r w:rsidR="003D6740" w:rsidRPr="004F681E">
        <w:rPr>
          <w:rFonts w:ascii="Arial" w:hAnsi="Arial" w:cs="Arial"/>
        </w:rPr>
        <w:t>el demandante, advirtió que</w:t>
      </w:r>
      <w:r w:rsidR="00E83FBA" w:rsidRPr="004F681E">
        <w:rPr>
          <w:rFonts w:ascii="Arial" w:hAnsi="Arial" w:cs="Arial"/>
        </w:rPr>
        <w:t>,</w:t>
      </w:r>
      <w:r w:rsidR="003D6740" w:rsidRPr="004F681E">
        <w:rPr>
          <w:rFonts w:ascii="Arial" w:hAnsi="Arial" w:cs="Arial"/>
        </w:rPr>
        <w:t xml:space="preserve"> de conformidad con el dictamen rendido en el curso de la actuación</w:t>
      </w:r>
      <w:r w:rsidR="00E83FBA" w:rsidRPr="004F681E">
        <w:rPr>
          <w:rFonts w:ascii="Arial" w:hAnsi="Arial" w:cs="Arial"/>
        </w:rPr>
        <w:t>,</w:t>
      </w:r>
      <w:r w:rsidR="003D6740" w:rsidRPr="004F681E">
        <w:rPr>
          <w:rFonts w:ascii="Arial" w:hAnsi="Arial" w:cs="Arial"/>
        </w:rPr>
        <w:t xml:space="preserve"> se </w:t>
      </w:r>
      <w:r w:rsidR="00FF2DAF" w:rsidRPr="004F681E">
        <w:rPr>
          <w:rFonts w:ascii="Arial" w:hAnsi="Arial" w:cs="Arial"/>
        </w:rPr>
        <w:t xml:space="preserve">había </w:t>
      </w:r>
      <w:r w:rsidR="003D6740" w:rsidRPr="004F681E">
        <w:rPr>
          <w:rFonts w:ascii="Arial" w:hAnsi="Arial" w:cs="Arial"/>
        </w:rPr>
        <w:t>acredit</w:t>
      </w:r>
      <w:r w:rsidR="00FF2DAF" w:rsidRPr="004F681E">
        <w:rPr>
          <w:rFonts w:ascii="Arial" w:hAnsi="Arial" w:cs="Arial"/>
        </w:rPr>
        <w:t>ado</w:t>
      </w:r>
      <w:r w:rsidR="003D6740" w:rsidRPr="004F681E">
        <w:rPr>
          <w:rFonts w:ascii="Arial" w:hAnsi="Arial" w:cs="Arial"/>
        </w:rPr>
        <w:t xml:space="preserve"> que el monto del lucro cesante actualizado ascendió a $820’</w:t>
      </w:r>
      <w:r w:rsidR="00FF2DAF" w:rsidRPr="004F681E">
        <w:rPr>
          <w:rFonts w:ascii="Arial" w:hAnsi="Arial" w:cs="Arial"/>
        </w:rPr>
        <w:t>099.470, pero</w:t>
      </w:r>
      <w:r w:rsidR="00E83FBA" w:rsidRPr="004F681E">
        <w:rPr>
          <w:rFonts w:ascii="Arial" w:hAnsi="Arial" w:cs="Arial"/>
        </w:rPr>
        <w:t>,</w:t>
      </w:r>
      <w:r w:rsidR="00FF2DAF" w:rsidRPr="004F681E">
        <w:rPr>
          <w:rFonts w:ascii="Arial" w:hAnsi="Arial" w:cs="Arial"/>
        </w:rPr>
        <w:t xml:space="preserve"> pese a lo anterior, el </w:t>
      </w:r>
      <w:r w:rsidR="00FF2DAF" w:rsidRPr="004F681E">
        <w:rPr>
          <w:rFonts w:ascii="Arial" w:hAnsi="Arial" w:cs="Arial"/>
          <w:i/>
        </w:rPr>
        <w:t>a quo</w:t>
      </w:r>
      <w:r w:rsidR="00FF2DAF" w:rsidRPr="004F681E">
        <w:rPr>
          <w:rFonts w:ascii="Arial" w:hAnsi="Arial" w:cs="Arial"/>
        </w:rPr>
        <w:t xml:space="preserve"> de manera injustificada decidió desestimar íntegramente el peritazgo</w:t>
      </w:r>
      <w:r w:rsidR="005702ED" w:rsidRPr="004F681E">
        <w:rPr>
          <w:rFonts w:ascii="Arial" w:hAnsi="Arial" w:cs="Arial"/>
        </w:rPr>
        <w:t>. E</w:t>
      </w:r>
      <w:r w:rsidR="00FF2DAF" w:rsidRPr="004F681E">
        <w:rPr>
          <w:rFonts w:ascii="Arial" w:hAnsi="Arial" w:cs="Arial"/>
        </w:rPr>
        <w:t>n sentir del libelista, aunque la prueba</w:t>
      </w:r>
      <w:r w:rsidR="005702ED" w:rsidRPr="004F681E">
        <w:rPr>
          <w:rFonts w:ascii="Arial" w:hAnsi="Arial" w:cs="Arial"/>
        </w:rPr>
        <w:t xml:space="preserve"> contuvo algunas</w:t>
      </w:r>
      <w:r w:rsidR="00FF2DAF" w:rsidRPr="004F681E">
        <w:rPr>
          <w:rFonts w:ascii="Arial" w:hAnsi="Arial" w:cs="Arial"/>
        </w:rPr>
        <w:t xml:space="preserve"> considera</w:t>
      </w:r>
      <w:r w:rsidR="005155F4" w:rsidRPr="004F681E">
        <w:rPr>
          <w:rFonts w:ascii="Arial" w:hAnsi="Arial" w:cs="Arial"/>
        </w:rPr>
        <w:t>ciones aisladas que cuantificaban otros rubros distintos, tal circunstancia no la invalidaba en lo referente al lucro cesante que allí efectivamente se</w:t>
      </w:r>
      <w:r w:rsidRPr="004F681E">
        <w:rPr>
          <w:rFonts w:ascii="Arial" w:hAnsi="Arial" w:cs="Arial"/>
        </w:rPr>
        <w:t xml:space="preserve"> calculó</w:t>
      </w:r>
      <w:r w:rsidR="005155F4" w:rsidRPr="004F681E">
        <w:rPr>
          <w:rFonts w:ascii="Arial" w:hAnsi="Arial" w:cs="Arial"/>
        </w:rPr>
        <w:t xml:space="preserve">. </w:t>
      </w:r>
    </w:p>
    <w:p w:rsidR="005702ED" w:rsidRPr="004F681E" w:rsidRDefault="005702ED" w:rsidP="00390707">
      <w:pPr>
        <w:spacing w:line="360" w:lineRule="auto"/>
        <w:jc w:val="both"/>
        <w:rPr>
          <w:rFonts w:ascii="Arial" w:hAnsi="Arial" w:cs="Arial"/>
        </w:rPr>
      </w:pPr>
    </w:p>
    <w:p w:rsidR="0044597B" w:rsidRPr="004F681E" w:rsidRDefault="00F3633E" w:rsidP="00390707">
      <w:pPr>
        <w:spacing w:line="360" w:lineRule="auto"/>
        <w:jc w:val="both"/>
        <w:rPr>
          <w:rFonts w:ascii="Arial" w:hAnsi="Arial" w:cs="Arial"/>
        </w:rPr>
      </w:pPr>
      <w:r w:rsidRPr="004F681E">
        <w:rPr>
          <w:rFonts w:ascii="Arial" w:hAnsi="Arial" w:cs="Arial"/>
        </w:rPr>
        <w:t xml:space="preserve">Bajo las </w:t>
      </w:r>
      <w:r w:rsidR="005702ED" w:rsidRPr="004F681E">
        <w:rPr>
          <w:rFonts w:ascii="Arial" w:hAnsi="Arial" w:cs="Arial"/>
        </w:rPr>
        <w:t>condiciones anotadas</w:t>
      </w:r>
      <w:r w:rsidRPr="004F681E">
        <w:rPr>
          <w:rFonts w:ascii="Arial" w:hAnsi="Arial" w:cs="Arial"/>
        </w:rPr>
        <w:t>,</w:t>
      </w:r>
      <w:r w:rsidR="005702ED" w:rsidRPr="004F681E">
        <w:rPr>
          <w:rFonts w:ascii="Arial" w:hAnsi="Arial" w:cs="Arial"/>
        </w:rPr>
        <w:t xml:space="preserve"> el recurrente sugirió que se acogiera el dictamen en lo relativo a las sumas </w:t>
      </w:r>
      <w:r w:rsidRPr="004F681E">
        <w:rPr>
          <w:rFonts w:ascii="Arial" w:hAnsi="Arial" w:cs="Arial"/>
        </w:rPr>
        <w:t xml:space="preserve">obtenidas </w:t>
      </w:r>
      <w:r w:rsidR="005702ED" w:rsidRPr="004F681E">
        <w:rPr>
          <w:rFonts w:ascii="Arial" w:hAnsi="Arial" w:cs="Arial"/>
        </w:rPr>
        <w:t>por concepto de lucro cesante o</w:t>
      </w:r>
      <w:r w:rsidRPr="004F681E">
        <w:rPr>
          <w:rFonts w:ascii="Arial" w:hAnsi="Arial" w:cs="Arial"/>
        </w:rPr>
        <w:t>,</w:t>
      </w:r>
      <w:r w:rsidR="005702ED" w:rsidRPr="004F681E">
        <w:rPr>
          <w:rFonts w:ascii="Arial" w:hAnsi="Arial" w:cs="Arial"/>
        </w:rPr>
        <w:t xml:space="preserve"> en su lugar</w:t>
      </w:r>
      <w:r w:rsidRPr="004F681E">
        <w:rPr>
          <w:rFonts w:ascii="Arial" w:hAnsi="Arial" w:cs="Arial"/>
        </w:rPr>
        <w:t>,</w:t>
      </w:r>
      <w:r w:rsidR="005702ED" w:rsidRPr="004F681E">
        <w:rPr>
          <w:rFonts w:ascii="Arial" w:hAnsi="Arial" w:cs="Arial"/>
        </w:rPr>
        <w:t xml:space="preserve"> se profiriera una condena en abstracto para establecer </w:t>
      </w:r>
      <w:r w:rsidR="00BC7A13" w:rsidRPr="004F681E">
        <w:rPr>
          <w:rFonts w:ascii="Arial" w:hAnsi="Arial" w:cs="Arial"/>
        </w:rPr>
        <w:t xml:space="preserve">el monto </w:t>
      </w:r>
      <w:r w:rsidR="005702ED" w:rsidRPr="004F681E">
        <w:rPr>
          <w:rFonts w:ascii="Arial" w:hAnsi="Arial" w:cs="Arial"/>
        </w:rPr>
        <w:t xml:space="preserve">del perjuicio padecido. </w:t>
      </w:r>
      <w:r w:rsidR="00236776" w:rsidRPr="004F681E">
        <w:rPr>
          <w:rFonts w:ascii="Arial" w:hAnsi="Arial" w:cs="Arial"/>
        </w:rPr>
        <w:t xml:space="preserve">Finalmente, </w:t>
      </w:r>
      <w:r w:rsidR="00C848CA" w:rsidRPr="004F681E">
        <w:rPr>
          <w:rFonts w:ascii="Arial" w:hAnsi="Arial" w:cs="Arial"/>
        </w:rPr>
        <w:t>aduj</w:t>
      </w:r>
      <w:r w:rsidR="00236776" w:rsidRPr="004F681E">
        <w:rPr>
          <w:rFonts w:ascii="Arial" w:hAnsi="Arial" w:cs="Arial"/>
        </w:rPr>
        <w:t xml:space="preserve">o que </w:t>
      </w:r>
      <w:r w:rsidR="00164157" w:rsidRPr="004F681E">
        <w:rPr>
          <w:rFonts w:ascii="Arial" w:hAnsi="Arial" w:cs="Arial"/>
        </w:rPr>
        <w:t>el retardo en el cumplimiento de estas obligaciones facultaba</w:t>
      </w:r>
      <w:r w:rsidR="00236776" w:rsidRPr="004F681E">
        <w:rPr>
          <w:rFonts w:ascii="Arial" w:hAnsi="Arial" w:cs="Arial"/>
        </w:rPr>
        <w:t xml:space="preserve"> a la parte demandante para solicitar el reconocimiento de los intereses moratorios a una tasa equivalente al 1.5 del interés bancario corriente.</w:t>
      </w:r>
    </w:p>
    <w:p w:rsidR="00390707" w:rsidRPr="004F681E" w:rsidRDefault="00236776" w:rsidP="00390707">
      <w:pPr>
        <w:spacing w:line="360" w:lineRule="auto"/>
        <w:jc w:val="both"/>
        <w:rPr>
          <w:rFonts w:ascii="Arial" w:hAnsi="Arial" w:cs="Arial"/>
        </w:rPr>
      </w:pPr>
      <w:r w:rsidRPr="004F681E">
        <w:rPr>
          <w:rFonts w:ascii="Arial" w:hAnsi="Arial" w:cs="Arial"/>
        </w:rPr>
        <w:t xml:space="preserve"> </w:t>
      </w:r>
    </w:p>
    <w:p w:rsidR="00526900" w:rsidRPr="004F681E" w:rsidRDefault="00526900" w:rsidP="00390707">
      <w:pPr>
        <w:spacing w:line="360" w:lineRule="auto"/>
        <w:jc w:val="both"/>
        <w:rPr>
          <w:rFonts w:ascii="Arial" w:hAnsi="Arial" w:cs="Arial"/>
        </w:rPr>
      </w:pPr>
    </w:p>
    <w:p w:rsidR="00390707" w:rsidRPr="004F681E" w:rsidRDefault="00390707" w:rsidP="00390707">
      <w:pPr>
        <w:spacing w:line="360" w:lineRule="auto"/>
        <w:jc w:val="both"/>
        <w:rPr>
          <w:rFonts w:ascii="Arial" w:hAnsi="Arial" w:cs="Arial"/>
          <w:b/>
          <w:bCs/>
          <w:lang w:val="es-MX"/>
        </w:rPr>
      </w:pPr>
      <w:r w:rsidRPr="004F681E">
        <w:rPr>
          <w:rFonts w:ascii="Arial" w:hAnsi="Arial" w:cs="Arial"/>
          <w:b/>
          <w:bCs/>
          <w:lang w:val="es-MX"/>
        </w:rPr>
        <w:t>8. Actuación en segunda instancia</w:t>
      </w:r>
    </w:p>
    <w:p w:rsidR="00390707" w:rsidRPr="004F681E" w:rsidRDefault="00390707" w:rsidP="00390707">
      <w:pPr>
        <w:spacing w:line="360" w:lineRule="auto"/>
        <w:jc w:val="both"/>
        <w:rPr>
          <w:rFonts w:ascii="Arial" w:hAnsi="Arial" w:cs="Arial"/>
          <w:bCs/>
          <w:lang w:val="es-MX"/>
        </w:rPr>
      </w:pPr>
      <w:r w:rsidRPr="004F681E">
        <w:rPr>
          <w:rFonts w:ascii="Arial" w:hAnsi="Arial" w:cs="Arial"/>
          <w:bCs/>
          <w:lang w:val="es-MX"/>
        </w:rPr>
        <w:t xml:space="preserve"> </w:t>
      </w:r>
    </w:p>
    <w:p w:rsidR="00390707" w:rsidRPr="004F681E" w:rsidRDefault="00390707" w:rsidP="00390707">
      <w:pPr>
        <w:spacing w:line="360" w:lineRule="auto"/>
        <w:jc w:val="both"/>
        <w:rPr>
          <w:rFonts w:ascii="Arial" w:hAnsi="Arial" w:cs="Arial"/>
        </w:rPr>
      </w:pPr>
      <w:r w:rsidRPr="004F681E">
        <w:rPr>
          <w:rFonts w:ascii="Arial" w:hAnsi="Arial" w:cs="Arial"/>
          <w:b/>
        </w:rPr>
        <w:t>8.1.</w:t>
      </w:r>
      <w:r w:rsidR="0018194C" w:rsidRPr="004F681E">
        <w:rPr>
          <w:rFonts w:ascii="Arial" w:hAnsi="Arial" w:cs="Arial"/>
        </w:rPr>
        <w:t xml:space="preserve"> Mediante providencia del 23 de septiembre de 2014</w:t>
      </w:r>
      <w:r w:rsidRPr="004F681E">
        <w:rPr>
          <w:rFonts w:ascii="Arial" w:hAnsi="Arial" w:cs="Arial"/>
        </w:rPr>
        <w:t xml:space="preserve">, la Sección Tercera de esta Corporación admitió el recurso de apelación interpuesto por la parte demandante. </w:t>
      </w:r>
    </w:p>
    <w:p w:rsidR="00390707" w:rsidRPr="004F681E" w:rsidRDefault="00390707" w:rsidP="00390707">
      <w:pPr>
        <w:widowControl w:val="0"/>
        <w:autoSpaceDE w:val="0"/>
        <w:autoSpaceDN w:val="0"/>
        <w:adjustRightInd w:val="0"/>
        <w:spacing w:line="360" w:lineRule="auto"/>
        <w:jc w:val="both"/>
        <w:rPr>
          <w:rFonts w:ascii="Arial" w:hAnsi="Arial" w:cs="Arial"/>
          <w:b/>
        </w:rPr>
      </w:pPr>
    </w:p>
    <w:p w:rsidR="00390707" w:rsidRPr="004F681E" w:rsidRDefault="00390707" w:rsidP="00390707">
      <w:pPr>
        <w:spacing w:line="360" w:lineRule="auto"/>
        <w:jc w:val="both"/>
        <w:rPr>
          <w:rFonts w:ascii="Arial" w:hAnsi="Arial" w:cs="Arial"/>
          <w:lang w:val="es-MX"/>
        </w:rPr>
      </w:pPr>
      <w:r w:rsidRPr="004F681E">
        <w:rPr>
          <w:rFonts w:ascii="Arial" w:hAnsi="Arial" w:cs="Arial"/>
          <w:b/>
          <w:lang w:val="es-CO"/>
        </w:rPr>
        <w:t>8.2.</w:t>
      </w:r>
      <w:r w:rsidRPr="004F681E">
        <w:rPr>
          <w:rFonts w:ascii="Arial" w:hAnsi="Arial" w:cs="Arial"/>
          <w:lang w:val="es-CO"/>
        </w:rPr>
        <w:t xml:space="preserve"> </w:t>
      </w:r>
      <w:r w:rsidR="0018194C" w:rsidRPr="004F681E">
        <w:rPr>
          <w:rFonts w:ascii="Arial" w:hAnsi="Arial" w:cs="Arial"/>
          <w:lang w:val="es-MX"/>
        </w:rPr>
        <w:t>Por medio de providencia del 30</w:t>
      </w:r>
      <w:r w:rsidRPr="004F681E">
        <w:rPr>
          <w:rFonts w:ascii="Arial" w:hAnsi="Arial" w:cs="Arial"/>
          <w:lang w:val="es-MX"/>
        </w:rPr>
        <w:t xml:space="preserve"> de </w:t>
      </w:r>
      <w:r w:rsidR="0018194C" w:rsidRPr="004F681E">
        <w:rPr>
          <w:rFonts w:ascii="Arial" w:hAnsi="Arial" w:cs="Arial"/>
          <w:lang w:val="es-MX"/>
        </w:rPr>
        <w:t>octubre de 2014</w:t>
      </w:r>
      <w:r w:rsidRPr="004F681E">
        <w:rPr>
          <w:rFonts w:ascii="Arial" w:hAnsi="Arial" w:cs="Arial"/>
          <w:lang w:val="es-MX"/>
        </w:rPr>
        <w:t xml:space="preserve">, se corrió traslado a las partes para que presentaran sus alegaciones finales y al Ministerio Público para que rindiese su concepto.  </w:t>
      </w:r>
    </w:p>
    <w:p w:rsidR="00390707" w:rsidRPr="004F681E" w:rsidRDefault="00390707" w:rsidP="00390707">
      <w:pPr>
        <w:spacing w:line="360" w:lineRule="auto"/>
        <w:jc w:val="both"/>
        <w:rPr>
          <w:rFonts w:ascii="Arial" w:hAnsi="Arial" w:cs="Arial"/>
          <w:lang w:val="es-MX"/>
        </w:rPr>
      </w:pPr>
    </w:p>
    <w:p w:rsidR="00390707" w:rsidRPr="004F681E" w:rsidRDefault="0018194C" w:rsidP="00390707">
      <w:pPr>
        <w:spacing w:line="360" w:lineRule="auto"/>
        <w:jc w:val="both"/>
        <w:rPr>
          <w:rFonts w:ascii="Arial" w:hAnsi="Arial" w:cs="Arial"/>
          <w:lang w:val="es-MX"/>
        </w:rPr>
      </w:pPr>
      <w:r w:rsidRPr="004F681E">
        <w:rPr>
          <w:rFonts w:ascii="Arial" w:hAnsi="Arial" w:cs="Arial"/>
          <w:lang w:val="es-MX"/>
        </w:rPr>
        <w:t>En el término otorgado,</w:t>
      </w:r>
      <w:r w:rsidR="00390707" w:rsidRPr="004F681E">
        <w:rPr>
          <w:rFonts w:ascii="Arial" w:hAnsi="Arial" w:cs="Arial"/>
          <w:lang w:val="es-MX"/>
        </w:rPr>
        <w:t xml:space="preserve"> la parte actora pr</w:t>
      </w:r>
      <w:r w:rsidRPr="004F681E">
        <w:rPr>
          <w:rFonts w:ascii="Arial" w:hAnsi="Arial" w:cs="Arial"/>
          <w:lang w:val="es-MX"/>
        </w:rPr>
        <w:t>esentó su escrito</w:t>
      </w:r>
      <w:r w:rsidR="004D6D0D" w:rsidRPr="004F681E">
        <w:rPr>
          <w:rFonts w:ascii="Arial" w:hAnsi="Arial" w:cs="Arial"/>
          <w:lang w:val="es-MX"/>
        </w:rPr>
        <w:t xml:space="preserve"> </w:t>
      </w:r>
      <w:r w:rsidR="00E83FBA" w:rsidRPr="004F681E">
        <w:rPr>
          <w:rFonts w:ascii="Arial" w:hAnsi="Arial" w:cs="Arial"/>
          <w:lang w:val="es-MX"/>
        </w:rPr>
        <w:t>de alegaciones, en el cual</w:t>
      </w:r>
      <w:r w:rsidR="004D6D0D" w:rsidRPr="004F681E">
        <w:rPr>
          <w:rFonts w:ascii="Arial" w:hAnsi="Arial" w:cs="Arial"/>
          <w:lang w:val="es-MX"/>
        </w:rPr>
        <w:t>, en esencia, reiteró</w:t>
      </w:r>
      <w:r w:rsidR="00390707" w:rsidRPr="004F681E">
        <w:rPr>
          <w:rFonts w:ascii="Arial" w:hAnsi="Arial" w:cs="Arial"/>
          <w:lang w:val="es-MX"/>
        </w:rPr>
        <w:t xml:space="preserve"> los argume</w:t>
      </w:r>
      <w:r w:rsidR="004D6D0D" w:rsidRPr="004F681E">
        <w:rPr>
          <w:rFonts w:ascii="Arial" w:hAnsi="Arial" w:cs="Arial"/>
          <w:lang w:val="es-MX"/>
        </w:rPr>
        <w:t>ntos en que soportaron la causa.</w:t>
      </w:r>
    </w:p>
    <w:p w:rsidR="004D6D0D" w:rsidRPr="004F681E" w:rsidRDefault="004D6D0D" w:rsidP="00390707">
      <w:pPr>
        <w:spacing w:line="360" w:lineRule="auto"/>
        <w:jc w:val="both"/>
        <w:rPr>
          <w:rFonts w:ascii="Arial" w:hAnsi="Arial" w:cs="Arial"/>
          <w:lang w:val="es-MX"/>
        </w:rPr>
      </w:pPr>
    </w:p>
    <w:p w:rsidR="00B72081" w:rsidRDefault="004D6D0D" w:rsidP="00390707">
      <w:pPr>
        <w:spacing w:line="360" w:lineRule="auto"/>
        <w:jc w:val="both"/>
        <w:rPr>
          <w:rFonts w:ascii="Arial" w:hAnsi="Arial" w:cs="Arial"/>
          <w:lang w:val="es-MX"/>
        </w:rPr>
      </w:pPr>
      <w:r w:rsidRPr="004F681E">
        <w:rPr>
          <w:rFonts w:ascii="Arial" w:hAnsi="Arial" w:cs="Arial"/>
          <w:lang w:val="es-MX"/>
        </w:rPr>
        <w:lastRenderedPageBreak/>
        <w:t>Por su parte, la entidad demandada allegó escrito en el cual al descorrer el traslado concedido manifestó, entre varias consideraciones, que la sentencia impugnada merecía ser confirmada</w:t>
      </w:r>
      <w:r w:rsidR="00E83FBA" w:rsidRPr="004F681E">
        <w:rPr>
          <w:rFonts w:ascii="Arial" w:hAnsi="Arial" w:cs="Arial"/>
          <w:lang w:val="es-MX"/>
        </w:rPr>
        <w:t>,</w:t>
      </w:r>
      <w:r w:rsidRPr="004F681E">
        <w:rPr>
          <w:rFonts w:ascii="Arial" w:hAnsi="Arial" w:cs="Arial"/>
          <w:lang w:val="es-MX"/>
        </w:rPr>
        <w:t xml:space="preserve"> por cuanto</w:t>
      </w:r>
      <w:r w:rsidR="00E83FBA" w:rsidRPr="004F681E">
        <w:rPr>
          <w:rFonts w:ascii="Arial" w:hAnsi="Arial" w:cs="Arial"/>
          <w:lang w:val="es-MX"/>
        </w:rPr>
        <w:t>,</w:t>
      </w:r>
      <w:r w:rsidRPr="004F681E">
        <w:rPr>
          <w:rFonts w:ascii="Arial" w:hAnsi="Arial" w:cs="Arial"/>
          <w:lang w:val="es-MX"/>
        </w:rPr>
        <w:t xml:space="preserve"> seg</w:t>
      </w:r>
      <w:r w:rsidR="00B72081" w:rsidRPr="004F681E">
        <w:rPr>
          <w:rFonts w:ascii="Arial" w:hAnsi="Arial" w:cs="Arial"/>
          <w:lang w:val="es-MX"/>
        </w:rPr>
        <w:t>ún su parecer</w:t>
      </w:r>
      <w:r w:rsidR="00E83FBA" w:rsidRPr="004F681E">
        <w:rPr>
          <w:rFonts w:ascii="Arial" w:hAnsi="Arial" w:cs="Arial"/>
          <w:lang w:val="es-MX"/>
        </w:rPr>
        <w:t>,</w:t>
      </w:r>
      <w:r w:rsidR="00B72081" w:rsidRPr="004F681E">
        <w:rPr>
          <w:rFonts w:ascii="Arial" w:hAnsi="Arial" w:cs="Arial"/>
          <w:lang w:val="es-MX"/>
        </w:rPr>
        <w:t xml:space="preserve"> no existía</w:t>
      </w:r>
      <w:r w:rsidRPr="004F681E">
        <w:rPr>
          <w:rFonts w:ascii="Arial" w:hAnsi="Arial" w:cs="Arial"/>
          <w:lang w:val="es-MX"/>
        </w:rPr>
        <w:t xml:space="preserve"> en el plenario evidencia probatoria indicativa del incumplimiento contractual atribuido al Instituto</w:t>
      </w:r>
      <w:r w:rsidR="00B72081" w:rsidRPr="004F681E">
        <w:rPr>
          <w:rFonts w:ascii="Arial" w:hAnsi="Arial" w:cs="Arial"/>
          <w:lang w:val="es-MX"/>
        </w:rPr>
        <w:t xml:space="preserve"> y tampoco del perjuicio padecido como resultado del mismo.</w:t>
      </w:r>
    </w:p>
    <w:p w:rsidR="004F681E" w:rsidRPr="004F681E" w:rsidRDefault="004F681E" w:rsidP="00390707">
      <w:pPr>
        <w:spacing w:line="360" w:lineRule="auto"/>
        <w:jc w:val="both"/>
        <w:rPr>
          <w:rFonts w:ascii="Arial" w:hAnsi="Arial" w:cs="Arial"/>
          <w:lang w:val="es-MX"/>
        </w:rPr>
      </w:pPr>
    </w:p>
    <w:p w:rsidR="00B72081" w:rsidRPr="004F681E" w:rsidRDefault="00B72081" w:rsidP="00390707">
      <w:pPr>
        <w:spacing w:line="360" w:lineRule="auto"/>
        <w:jc w:val="both"/>
        <w:rPr>
          <w:rFonts w:ascii="Arial" w:hAnsi="Arial" w:cs="Arial"/>
          <w:lang w:val="es-MX"/>
        </w:rPr>
      </w:pPr>
      <w:r w:rsidRPr="004F681E">
        <w:rPr>
          <w:rFonts w:ascii="Arial" w:hAnsi="Arial" w:cs="Arial"/>
          <w:lang w:val="es-MX"/>
        </w:rPr>
        <w:t>También señaló que la responsabilidad contractual solo procedía cuando se presentaba una fractura del equilibrio económico del contrato y añadió que en el asunto no había concurrido ninguna de las caus</w:t>
      </w:r>
      <w:r w:rsidR="00BC7A13" w:rsidRPr="004F681E">
        <w:rPr>
          <w:rFonts w:ascii="Arial" w:hAnsi="Arial" w:cs="Arial"/>
          <w:lang w:val="es-MX"/>
        </w:rPr>
        <w:t>as generadoras de dicha ruptura</w:t>
      </w:r>
      <w:r w:rsidRPr="004F681E">
        <w:rPr>
          <w:rFonts w:ascii="Arial" w:hAnsi="Arial" w:cs="Arial"/>
          <w:lang w:val="es-MX"/>
        </w:rPr>
        <w:t xml:space="preserve">. </w:t>
      </w:r>
    </w:p>
    <w:p w:rsidR="004D6D0D" w:rsidRPr="004F681E" w:rsidRDefault="004D6D0D" w:rsidP="00390707">
      <w:pPr>
        <w:spacing w:line="360" w:lineRule="auto"/>
        <w:jc w:val="both"/>
        <w:rPr>
          <w:rFonts w:ascii="Arial" w:hAnsi="Arial" w:cs="Arial"/>
          <w:lang w:val="es-MX"/>
        </w:rPr>
      </w:pPr>
    </w:p>
    <w:p w:rsidR="00390707" w:rsidRPr="004F681E" w:rsidRDefault="00B72081" w:rsidP="00B72081">
      <w:pPr>
        <w:spacing w:line="360" w:lineRule="auto"/>
        <w:jc w:val="both"/>
        <w:rPr>
          <w:rFonts w:ascii="Arial" w:hAnsi="Arial" w:cs="Arial"/>
          <w:lang w:val="es-MX"/>
        </w:rPr>
      </w:pPr>
      <w:r w:rsidRPr="004F681E">
        <w:rPr>
          <w:rFonts w:ascii="Arial" w:hAnsi="Arial" w:cs="Arial"/>
          <w:lang w:val="es-MX"/>
        </w:rPr>
        <w:t xml:space="preserve">El Ministerio Público guardó silencio. </w:t>
      </w:r>
    </w:p>
    <w:p w:rsidR="00CB36AD" w:rsidRPr="004F681E" w:rsidRDefault="00CB36AD" w:rsidP="00390707">
      <w:pPr>
        <w:spacing w:line="360" w:lineRule="auto"/>
        <w:jc w:val="both"/>
        <w:rPr>
          <w:rFonts w:ascii="Arial" w:hAnsi="Arial" w:cs="Arial"/>
          <w:b/>
          <w:bCs/>
          <w:lang w:val="es-MX"/>
        </w:rPr>
      </w:pPr>
    </w:p>
    <w:p w:rsidR="00390707" w:rsidRPr="004F681E" w:rsidRDefault="00390707" w:rsidP="0007015B">
      <w:pPr>
        <w:numPr>
          <w:ilvl w:val="0"/>
          <w:numId w:val="2"/>
        </w:numPr>
        <w:spacing w:line="360" w:lineRule="auto"/>
        <w:jc w:val="center"/>
        <w:rPr>
          <w:rFonts w:ascii="Arial" w:hAnsi="Arial" w:cs="Arial"/>
          <w:b/>
        </w:rPr>
      </w:pPr>
      <w:r w:rsidRPr="004F681E">
        <w:rPr>
          <w:rFonts w:ascii="Arial" w:hAnsi="Arial" w:cs="Arial"/>
          <w:b/>
        </w:rPr>
        <w:t>C O N S I D E R A C I O N E S</w:t>
      </w:r>
    </w:p>
    <w:p w:rsidR="00390707" w:rsidRPr="004F681E" w:rsidRDefault="00390707" w:rsidP="00390707">
      <w:pPr>
        <w:spacing w:line="360" w:lineRule="auto"/>
        <w:ind w:left="1080"/>
        <w:jc w:val="both"/>
        <w:rPr>
          <w:rFonts w:ascii="Arial" w:hAnsi="Arial" w:cs="Arial"/>
          <w:b/>
        </w:rPr>
      </w:pPr>
    </w:p>
    <w:p w:rsidR="00390707" w:rsidRPr="004F681E" w:rsidRDefault="00390707" w:rsidP="00390707">
      <w:pPr>
        <w:spacing w:line="360" w:lineRule="auto"/>
        <w:jc w:val="both"/>
        <w:rPr>
          <w:rFonts w:ascii="Arial" w:hAnsi="Arial" w:cs="Arial"/>
          <w:lang w:val="es-CO"/>
        </w:rPr>
      </w:pPr>
      <w:r w:rsidRPr="004F681E">
        <w:rPr>
          <w:rFonts w:ascii="Arial" w:hAnsi="Arial" w:cs="Arial"/>
        </w:rPr>
        <w:t xml:space="preserve">Para resolver la segunda instancia de la presente litis se abordarán los siguientes temas: </w:t>
      </w:r>
      <w:r w:rsidRPr="004F681E">
        <w:rPr>
          <w:rFonts w:ascii="Arial" w:hAnsi="Arial" w:cs="Arial"/>
          <w:b/>
        </w:rPr>
        <w:t>1)</w:t>
      </w:r>
      <w:r w:rsidRPr="004F681E">
        <w:rPr>
          <w:rFonts w:ascii="Arial" w:hAnsi="Arial" w:cs="Arial"/>
        </w:rPr>
        <w:t xml:space="preserve"> competencia del Consejo; </w:t>
      </w:r>
      <w:r w:rsidRPr="004F681E">
        <w:rPr>
          <w:rFonts w:ascii="Arial" w:hAnsi="Arial" w:cs="Arial"/>
          <w:b/>
        </w:rPr>
        <w:t xml:space="preserve">2) </w:t>
      </w:r>
      <w:r w:rsidR="00E83FBA" w:rsidRPr="004F681E">
        <w:rPr>
          <w:rFonts w:ascii="Arial" w:hAnsi="Arial" w:cs="Arial"/>
        </w:rPr>
        <w:t>presupuestos procesales:</w:t>
      </w:r>
      <w:r w:rsidRPr="004F681E">
        <w:rPr>
          <w:rFonts w:ascii="Arial" w:hAnsi="Arial" w:cs="Arial"/>
        </w:rPr>
        <w:t xml:space="preserve"> </w:t>
      </w:r>
      <w:r w:rsidRPr="004F681E">
        <w:rPr>
          <w:rFonts w:ascii="Arial" w:hAnsi="Arial" w:cs="Arial"/>
          <w:b/>
        </w:rPr>
        <w:t>2.1)</w:t>
      </w:r>
      <w:r w:rsidRPr="004F681E">
        <w:rPr>
          <w:rFonts w:ascii="Arial" w:hAnsi="Arial" w:cs="Arial"/>
        </w:rPr>
        <w:t xml:space="preserve"> procede</w:t>
      </w:r>
      <w:r w:rsidR="00E83FBA" w:rsidRPr="004F681E">
        <w:rPr>
          <w:rFonts w:ascii="Arial" w:hAnsi="Arial" w:cs="Arial"/>
        </w:rPr>
        <w:t xml:space="preserve">ncia y oportunidad de la acción, </w:t>
      </w:r>
      <w:r w:rsidRPr="004F681E">
        <w:rPr>
          <w:rFonts w:ascii="Arial" w:hAnsi="Arial" w:cs="Arial"/>
          <w:b/>
        </w:rPr>
        <w:t xml:space="preserve">2.2) </w:t>
      </w:r>
      <w:r w:rsidRPr="004F681E">
        <w:rPr>
          <w:rFonts w:ascii="Arial" w:hAnsi="Arial" w:cs="Arial"/>
        </w:rPr>
        <w:t xml:space="preserve">legitimación en la causa; </w:t>
      </w:r>
      <w:r w:rsidRPr="004F681E">
        <w:rPr>
          <w:rFonts w:ascii="Arial" w:hAnsi="Arial" w:cs="Arial"/>
          <w:b/>
        </w:rPr>
        <w:t>3)</w:t>
      </w:r>
      <w:r w:rsidRPr="004F681E">
        <w:rPr>
          <w:rFonts w:ascii="Arial" w:hAnsi="Arial" w:cs="Arial"/>
        </w:rPr>
        <w:t xml:space="preserve"> precisiones en torno a los institutos del equilibrio económico del contrato y</w:t>
      </w:r>
      <w:r w:rsidR="00E83FBA" w:rsidRPr="004F681E">
        <w:rPr>
          <w:rFonts w:ascii="Arial" w:hAnsi="Arial" w:cs="Arial"/>
        </w:rPr>
        <w:t xml:space="preserve"> del incumplimiento contractual, c</w:t>
      </w:r>
      <w:r w:rsidRPr="004F681E">
        <w:rPr>
          <w:rFonts w:ascii="Arial" w:hAnsi="Arial" w:cs="Arial"/>
        </w:rPr>
        <w:t xml:space="preserve">ausas y consecuencias; </w:t>
      </w:r>
      <w:r w:rsidRPr="004F681E">
        <w:rPr>
          <w:rFonts w:ascii="Arial" w:hAnsi="Arial" w:cs="Arial"/>
          <w:b/>
        </w:rPr>
        <w:t xml:space="preserve">4) </w:t>
      </w:r>
      <w:r w:rsidR="00031A5E" w:rsidRPr="004F681E">
        <w:rPr>
          <w:rFonts w:ascii="Arial" w:hAnsi="Arial" w:cs="Arial"/>
        </w:rPr>
        <w:t xml:space="preserve">hechos probados; </w:t>
      </w:r>
      <w:r w:rsidR="00031A5E" w:rsidRPr="004F681E">
        <w:rPr>
          <w:rFonts w:ascii="Arial" w:hAnsi="Arial" w:cs="Arial"/>
          <w:b/>
        </w:rPr>
        <w:t>5)</w:t>
      </w:r>
      <w:r w:rsidR="00031A5E" w:rsidRPr="004F681E">
        <w:rPr>
          <w:rFonts w:ascii="Arial" w:hAnsi="Arial" w:cs="Arial"/>
        </w:rPr>
        <w:t xml:space="preserve"> </w:t>
      </w:r>
      <w:r w:rsidR="00274500" w:rsidRPr="004F681E">
        <w:rPr>
          <w:rFonts w:ascii="Arial" w:hAnsi="Arial" w:cs="Arial"/>
          <w:lang w:val="es-CO"/>
        </w:rPr>
        <w:t xml:space="preserve">análisis de la apelación: </w:t>
      </w:r>
      <w:r w:rsidR="007D6B51" w:rsidRPr="004F681E">
        <w:rPr>
          <w:rFonts w:ascii="Arial" w:hAnsi="Arial" w:cs="Arial"/>
          <w:b/>
          <w:lang w:val="es-ES_tradnl" w:eastAsia="es-CO"/>
        </w:rPr>
        <w:t>5.1)</w:t>
      </w:r>
      <w:r w:rsidR="007D6B51" w:rsidRPr="004F681E">
        <w:rPr>
          <w:rFonts w:ascii="Arial" w:hAnsi="Arial" w:cs="Arial"/>
        </w:rPr>
        <w:t xml:space="preserve"> de la naturaleza del compromiso insertado por la entidad en el acto que modificó unilateralmente el Contrato No. 475</w:t>
      </w:r>
      <w:r w:rsidR="00CB45E8" w:rsidRPr="004F681E">
        <w:rPr>
          <w:rFonts w:ascii="Arial" w:hAnsi="Arial" w:cs="Arial"/>
        </w:rPr>
        <w:t>;</w:t>
      </w:r>
      <w:r w:rsidR="008C7F73" w:rsidRPr="004F681E">
        <w:rPr>
          <w:rFonts w:ascii="Arial" w:hAnsi="Arial" w:cs="Arial"/>
        </w:rPr>
        <w:t xml:space="preserve"> </w:t>
      </w:r>
      <w:r w:rsidR="008C7F73" w:rsidRPr="004F681E">
        <w:rPr>
          <w:rFonts w:ascii="Arial" w:hAnsi="Arial" w:cs="Arial"/>
          <w:b/>
        </w:rPr>
        <w:t>5.2)</w:t>
      </w:r>
      <w:r w:rsidR="00553C30" w:rsidRPr="004F681E">
        <w:rPr>
          <w:rFonts w:ascii="Arial" w:hAnsi="Arial" w:cs="Arial"/>
          <w:lang w:val="es-CO"/>
        </w:rPr>
        <w:t xml:space="preserve"> del desconocimiento del compromiso adquirido en ejercicio de la potestad excepcional de modificación unilateral del contrato – </w:t>
      </w:r>
      <w:r w:rsidR="00553C30" w:rsidRPr="004F681E">
        <w:rPr>
          <w:rFonts w:ascii="Arial" w:hAnsi="Arial" w:cs="Arial"/>
          <w:i/>
          <w:lang w:val="es-CO"/>
        </w:rPr>
        <w:t>ius variandi</w:t>
      </w:r>
      <w:r w:rsidR="00D476EC" w:rsidRPr="004F681E">
        <w:rPr>
          <w:rFonts w:ascii="Arial" w:hAnsi="Arial" w:cs="Arial"/>
          <w:lang w:val="es-CO"/>
        </w:rPr>
        <w:t>;</w:t>
      </w:r>
      <w:r w:rsidR="007D6B51" w:rsidRPr="004F681E">
        <w:rPr>
          <w:rFonts w:ascii="Arial" w:hAnsi="Arial" w:cs="Arial"/>
        </w:rPr>
        <w:t xml:space="preserve"> </w:t>
      </w:r>
      <w:r w:rsidR="00CB45E8" w:rsidRPr="004F681E">
        <w:rPr>
          <w:rFonts w:ascii="Arial" w:hAnsi="Arial" w:cs="Arial"/>
          <w:b/>
          <w:lang w:val="es-CO"/>
        </w:rPr>
        <w:t>5.3</w:t>
      </w:r>
      <w:r w:rsidR="00D476EC" w:rsidRPr="004F681E">
        <w:rPr>
          <w:rFonts w:ascii="Arial" w:hAnsi="Arial" w:cs="Arial"/>
          <w:b/>
          <w:lang w:val="es-CO"/>
        </w:rPr>
        <w:t xml:space="preserve">) </w:t>
      </w:r>
      <w:r w:rsidR="00D476EC" w:rsidRPr="004F681E">
        <w:rPr>
          <w:rFonts w:ascii="Arial" w:hAnsi="Arial" w:cs="Arial"/>
          <w:lang w:val="es-CO"/>
        </w:rPr>
        <w:t>ruptura del equilibrio económico del Contrato No. 475 de 2007 por el hecho del príncipe</w:t>
      </w:r>
      <w:r w:rsidR="00CB45E8" w:rsidRPr="004F681E">
        <w:rPr>
          <w:rFonts w:ascii="Arial" w:hAnsi="Arial" w:cs="Arial"/>
          <w:lang w:val="es-CO"/>
        </w:rPr>
        <w:t>:</w:t>
      </w:r>
      <w:r w:rsidR="00D476EC" w:rsidRPr="004F681E">
        <w:rPr>
          <w:rFonts w:ascii="Arial" w:hAnsi="Arial" w:cs="Arial"/>
          <w:b/>
          <w:lang w:val="es-CO"/>
        </w:rPr>
        <w:t xml:space="preserve"> </w:t>
      </w:r>
      <w:r w:rsidR="00CB45E8" w:rsidRPr="004F681E">
        <w:rPr>
          <w:rFonts w:ascii="Arial" w:hAnsi="Arial" w:cs="Arial"/>
          <w:b/>
          <w:lang w:val="es-CO"/>
        </w:rPr>
        <w:t>5.3.1</w:t>
      </w:r>
      <w:r w:rsidR="00D476EC" w:rsidRPr="004F681E">
        <w:rPr>
          <w:rFonts w:ascii="Arial" w:hAnsi="Arial" w:cs="Arial"/>
          <w:b/>
          <w:lang w:val="es-CO"/>
        </w:rPr>
        <w:t>)</w:t>
      </w:r>
      <w:r w:rsidR="00D476EC" w:rsidRPr="004F681E">
        <w:rPr>
          <w:rFonts w:ascii="Arial" w:hAnsi="Arial" w:cs="Arial"/>
          <w:lang w:val="es-CO"/>
        </w:rPr>
        <w:t xml:space="preserve"> imposibilidad para el concesionario de </w:t>
      </w:r>
      <w:r w:rsidR="00D476EC" w:rsidRPr="004F681E">
        <w:rPr>
          <w:rFonts w:ascii="Arial" w:hAnsi="Arial" w:cs="Arial"/>
        </w:rPr>
        <w:t>explotar las pantallas objeto del contrato de concesión durante el certamen del fútbol Sub-20</w:t>
      </w:r>
      <w:r w:rsidR="00E83FBA" w:rsidRPr="004F681E">
        <w:rPr>
          <w:rFonts w:ascii="Arial" w:hAnsi="Arial" w:cs="Arial"/>
        </w:rPr>
        <w:t>,</w:t>
      </w:r>
      <w:r w:rsidR="00D476EC" w:rsidRPr="004F681E">
        <w:rPr>
          <w:rFonts w:ascii="Arial" w:hAnsi="Arial" w:cs="Arial"/>
        </w:rPr>
        <w:t xml:space="preserve"> debido a una obligación adquirida por las autoridades </w:t>
      </w:r>
      <w:r w:rsidR="00F3633E" w:rsidRPr="004F681E">
        <w:rPr>
          <w:rFonts w:ascii="Arial" w:hAnsi="Arial" w:cs="Arial"/>
        </w:rPr>
        <w:t>distritales con la FIFA</w:t>
      </w:r>
      <w:r w:rsidR="00E83FBA" w:rsidRPr="004F681E">
        <w:rPr>
          <w:rFonts w:ascii="Arial" w:hAnsi="Arial" w:cs="Arial"/>
        </w:rPr>
        <w:t>,</w:t>
      </w:r>
      <w:r w:rsidR="00F3633E" w:rsidRPr="004F681E">
        <w:rPr>
          <w:rFonts w:ascii="Arial" w:hAnsi="Arial" w:cs="Arial"/>
        </w:rPr>
        <w:t xml:space="preserve"> relativa</w:t>
      </w:r>
      <w:r w:rsidR="00D476EC" w:rsidRPr="004F681E">
        <w:rPr>
          <w:rFonts w:ascii="Arial" w:hAnsi="Arial" w:cs="Arial"/>
        </w:rPr>
        <w:t xml:space="preserve"> a no presentar algún tipo de publicidad promocional durante el evento deportivo;</w:t>
      </w:r>
      <w:r w:rsidR="00F60EF8" w:rsidRPr="004F681E">
        <w:rPr>
          <w:rFonts w:ascii="Arial" w:hAnsi="Arial" w:cs="Arial"/>
        </w:rPr>
        <w:t xml:space="preserve"> </w:t>
      </w:r>
      <w:r w:rsidR="00CB45E8" w:rsidRPr="004F681E">
        <w:rPr>
          <w:rFonts w:ascii="Arial" w:hAnsi="Arial" w:cs="Arial"/>
          <w:b/>
          <w:lang w:val="es-ES_tradnl" w:eastAsia="es-CO"/>
        </w:rPr>
        <w:t>6</w:t>
      </w:r>
      <w:r w:rsidR="00071688" w:rsidRPr="004F681E">
        <w:rPr>
          <w:rFonts w:ascii="Arial" w:hAnsi="Arial" w:cs="Arial"/>
          <w:b/>
          <w:lang w:val="es-ES_tradnl" w:eastAsia="es-CO"/>
        </w:rPr>
        <w:t>)</w:t>
      </w:r>
      <w:r w:rsidR="00071688" w:rsidRPr="004F681E">
        <w:rPr>
          <w:rFonts w:ascii="Arial" w:hAnsi="Arial" w:cs="Arial"/>
          <w:lang w:val="es-ES_tradnl" w:eastAsia="es-CO"/>
        </w:rPr>
        <w:t xml:space="preserve"> </w:t>
      </w:r>
      <w:r w:rsidR="00F60EF8" w:rsidRPr="004F681E">
        <w:rPr>
          <w:rFonts w:ascii="Arial" w:hAnsi="Arial" w:cs="Arial"/>
          <w:lang w:val="es-CO"/>
        </w:rPr>
        <w:t xml:space="preserve">lo que </w:t>
      </w:r>
      <w:r w:rsidR="00F3633E" w:rsidRPr="004F681E">
        <w:rPr>
          <w:rFonts w:ascii="Arial" w:hAnsi="Arial" w:cs="Arial"/>
          <w:lang w:val="es-CO"/>
        </w:rPr>
        <w:t xml:space="preserve">se </w:t>
      </w:r>
      <w:r w:rsidR="00F60EF8" w:rsidRPr="004F681E">
        <w:rPr>
          <w:rFonts w:ascii="Arial" w:hAnsi="Arial" w:cs="Arial"/>
          <w:lang w:val="es-CO"/>
        </w:rPr>
        <w:t>debe al concesionario unión temporal Publiestadios</w:t>
      </w:r>
      <w:r w:rsidR="00E83FBA" w:rsidRPr="004F681E">
        <w:rPr>
          <w:rFonts w:ascii="Arial" w:hAnsi="Arial" w:cs="Arial"/>
        </w:rPr>
        <w:t>:</w:t>
      </w:r>
      <w:r w:rsidR="00F60EF8" w:rsidRPr="004F681E">
        <w:rPr>
          <w:rFonts w:ascii="Arial" w:hAnsi="Arial" w:cs="Arial"/>
        </w:rPr>
        <w:t xml:space="preserve"> </w:t>
      </w:r>
      <w:r w:rsidRPr="004F681E">
        <w:rPr>
          <w:rFonts w:ascii="Arial" w:hAnsi="Arial" w:cs="Arial"/>
          <w:lang w:val="es-ES_tradnl" w:eastAsia="es-CO"/>
        </w:rPr>
        <w:t>y</w:t>
      </w:r>
      <w:r w:rsidR="00CB45E8" w:rsidRPr="004F681E">
        <w:rPr>
          <w:rFonts w:ascii="Arial" w:hAnsi="Arial" w:cs="Arial"/>
          <w:b/>
          <w:lang w:val="es-ES_tradnl" w:eastAsia="es-CO"/>
        </w:rPr>
        <w:t xml:space="preserve"> 7</w:t>
      </w:r>
      <w:r w:rsidRPr="004F681E">
        <w:rPr>
          <w:rFonts w:ascii="Arial" w:hAnsi="Arial" w:cs="Arial"/>
          <w:b/>
          <w:lang w:val="es-ES_tradnl" w:eastAsia="es-CO"/>
        </w:rPr>
        <w:t xml:space="preserve">) </w:t>
      </w:r>
      <w:r w:rsidRPr="004F681E">
        <w:rPr>
          <w:rFonts w:ascii="Arial" w:hAnsi="Arial" w:cs="Arial"/>
          <w:lang w:val="es-ES_tradnl" w:eastAsia="es-CO"/>
        </w:rPr>
        <w:t>costas.</w:t>
      </w:r>
    </w:p>
    <w:p w:rsidR="00CB45E8" w:rsidRPr="004F681E" w:rsidRDefault="00CB45E8" w:rsidP="00390707">
      <w:pPr>
        <w:spacing w:line="360" w:lineRule="auto"/>
        <w:contextualSpacing/>
        <w:jc w:val="both"/>
        <w:rPr>
          <w:rFonts w:ascii="Arial" w:hAnsi="Arial" w:cs="Arial"/>
        </w:rPr>
      </w:pPr>
    </w:p>
    <w:p w:rsidR="00390707" w:rsidRPr="004F681E" w:rsidRDefault="00390707" w:rsidP="00390707">
      <w:pPr>
        <w:spacing w:line="360" w:lineRule="auto"/>
        <w:jc w:val="both"/>
        <w:rPr>
          <w:rFonts w:ascii="Arial" w:hAnsi="Arial" w:cs="Arial"/>
          <w:b/>
        </w:rPr>
      </w:pPr>
      <w:r w:rsidRPr="004F681E">
        <w:rPr>
          <w:rFonts w:ascii="Arial" w:hAnsi="Arial" w:cs="Arial"/>
          <w:b/>
        </w:rPr>
        <w:t xml:space="preserve">1.- Competencia del Consejo de Estado </w:t>
      </w:r>
    </w:p>
    <w:p w:rsidR="00390707" w:rsidRPr="004F681E" w:rsidRDefault="00390707" w:rsidP="00390707">
      <w:pPr>
        <w:spacing w:line="360" w:lineRule="auto"/>
        <w:jc w:val="both"/>
        <w:rPr>
          <w:rFonts w:ascii="Arial" w:hAnsi="Arial" w:cs="Arial"/>
        </w:rPr>
      </w:pPr>
    </w:p>
    <w:p w:rsidR="00390707" w:rsidRPr="004F681E" w:rsidRDefault="00390707" w:rsidP="00390707">
      <w:pPr>
        <w:spacing w:line="360" w:lineRule="auto"/>
        <w:jc w:val="both"/>
        <w:rPr>
          <w:rFonts w:ascii="Arial" w:hAnsi="Arial" w:cs="Arial"/>
          <w:lang w:val="es-CO"/>
        </w:rPr>
      </w:pPr>
      <w:r w:rsidRPr="004F681E">
        <w:rPr>
          <w:rFonts w:ascii="Arial" w:hAnsi="Arial" w:cs="Arial"/>
        </w:rPr>
        <w:t>Esta Corporación es competente para conocer del recurso de apelación en virtud de lo dispuesto por el artículo 75</w:t>
      </w:r>
      <w:r w:rsidRPr="004F681E">
        <w:rPr>
          <w:rFonts w:ascii="Arial" w:hAnsi="Arial" w:cs="Arial"/>
          <w:vertAlign w:val="superscript"/>
          <w:lang w:val="es-CO"/>
        </w:rPr>
        <w:footnoteReference w:id="1"/>
      </w:r>
      <w:r w:rsidRPr="004F681E">
        <w:rPr>
          <w:rFonts w:ascii="Arial" w:hAnsi="Arial" w:cs="Arial"/>
        </w:rPr>
        <w:t xml:space="preserve"> de </w:t>
      </w:r>
      <w:smartTag w:uri="urn:schemas-microsoft-com:office:smarttags" w:element="PersonName">
        <w:smartTagPr>
          <w:attr w:name="ProductID" w:val="la Ley"/>
        </w:smartTagPr>
        <w:r w:rsidRPr="004F681E">
          <w:rPr>
            <w:rFonts w:ascii="Arial" w:hAnsi="Arial" w:cs="Arial"/>
          </w:rPr>
          <w:t>la Ley</w:t>
        </w:r>
      </w:smartTag>
      <w:r w:rsidRPr="004F681E">
        <w:rPr>
          <w:rFonts w:ascii="Arial" w:hAnsi="Arial" w:cs="Arial"/>
        </w:rPr>
        <w:t xml:space="preserve"> 80, expedida en el año de 1993, el cual </w:t>
      </w:r>
      <w:r w:rsidRPr="004F681E">
        <w:rPr>
          <w:rFonts w:ascii="Arial" w:hAnsi="Arial" w:cs="Arial"/>
          <w:lang w:val="es-CO"/>
        </w:rPr>
        <w:lastRenderedPageBreak/>
        <w:t xml:space="preserve">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4F681E">
          <w:rPr>
            <w:rFonts w:ascii="Arial" w:hAnsi="Arial" w:cs="Arial"/>
            <w:lang w:val="es-CO"/>
          </w:rPr>
          <w:t>la Jurisdicción</w:t>
        </w:r>
      </w:smartTag>
      <w:r w:rsidRPr="004F681E">
        <w:rPr>
          <w:rFonts w:ascii="Arial" w:hAnsi="Arial" w:cs="Arial"/>
          <w:lang w:val="es-CO"/>
        </w:rPr>
        <w:t xml:space="preserve"> de lo Contencioso Administrativo.</w:t>
      </w:r>
    </w:p>
    <w:p w:rsidR="00390707" w:rsidRPr="004F681E" w:rsidRDefault="00390707" w:rsidP="00390707">
      <w:pPr>
        <w:spacing w:line="360" w:lineRule="auto"/>
        <w:jc w:val="both"/>
        <w:rPr>
          <w:rFonts w:ascii="Arial" w:hAnsi="Arial" w:cs="Arial"/>
          <w:lang w:val="es-CO"/>
        </w:rPr>
      </w:pPr>
    </w:p>
    <w:p w:rsidR="00390707" w:rsidRPr="004F681E" w:rsidRDefault="00390707" w:rsidP="00390707">
      <w:pPr>
        <w:spacing w:line="360" w:lineRule="auto"/>
        <w:jc w:val="both"/>
        <w:rPr>
          <w:rFonts w:ascii="Arial" w:hAnsi="Arial" w:cs="Arial"/>
          <w:b/>
          <w:bCs/>
        </w:rPr>
      </w:pPr>
      <w:r w:rsidRPr="004F681E">
        <w:rPr>
          <w:rFonts w:ascii="Arial" w:hAnsi="Arial" w:cs="Arial"/>
          <w:lang w:val="es-CO"/>
        </w:rPr>
        <w:t xml:space="preserve">Por su parte, el </w:t>
      </w:r>
      <w:r w:rsidRPr="004F681E">
        <w:rPr>
          <w:rFonts w:ascii="Arial" w:hAnsi="Arial" w:cs="Arial"/>
        </w:rPr>
        <w:t xml:space="preserve">artículo 82 del Código Contencioso Administrativo, modificado por el artículo 30 de </w:t>
      </w:r>
      <w:smartTag w:uri="urn:schemas-microsoft-com:office:smarttags" w:element="PersonName">
        <w:smartTagPr>
          <w:attr w:name="ProductID" w:val="la Ley"/>
        </w:smartTagPr>
        <w:r w:rsidRPr="004F681E">
          <w:rPr>
            <w:rFonts w:ascii="Arial" w:hAnsi="Arial" w:cs="Arial"/>
          </w:rPr>
          <w:t>la Ley</w:t>
        </w:r>
      </w:smartTag>
      <w:r w:rsidRPr="004F681E">
        <w:rPr>
          <w:rFonts w:ascii="Arial" w:hAnsi="Arial" w:cs="Arial"/>
        </w:rPr>
        <w:t xml:space="preserve"> 446 de 1998, que a su vez fue reformado por el artículo 1 de </w:t>
      </w:r>
      <w:smartTag w:uri="urn:schemas-microsoft-com:office:smarttags" w:element="PersonName">
        <w:smartTagPr>
          <w:attr w:name="ProductID" w:val="la Ley"/>
        </w:smartTagPr>
        <w:r w:rsidRPr="004F681E">
          <w:rPr>
            <w:rFonts w:ascii="Arial" w:hAnsi="Arial" w:cs="Arial"/>
          </w:rPr>
          <w:t>la Ley</w:t>
        </w:r>
      </w:smartTag>
      <w:r w:rsidRPr="004F681E">
        <w:rPr>
          <w:rFonts w:ascii="Arial" w:hAnsi="Arial" w:cs="Arial"/>
        </w:rPr>
        <w:t xml:space="preserve"> 1107 de 2006, normas vigentes para la época de presentación de la demanda, consagra que </w:t>
      </w:r>
      <w:smartTag w:uri="urn:schemas-microsoft-com:office:smarttags" w:element="PersonName">
        <w:smartTagPr>
          <w:attr w:name="ProductID" w:val="la Jurisdicción"/>
        </w:smartTagPr>
        <w:r w:rsidRPr="004F681E">
          <w:rPr>
            <w:rFonts w:ascii="Arial" w:hAnsi="Arial" w:cs="Arial"/>
          </w:rPr>
          <w:t>l</w:t>
        </w:r>
        <w:r w:rsidRPr="004F681E">
          <w:rPr>
            <w:rFonts w:ascii="Arial" w:hAnsi="Arial" w:cs="Arial"/>
            <w:color w:val="000000"/>
            <w:lang w:val="es-ES_tradnl"/>
          </w:rPr>
          <w:t>a Jurisdicción</w:t>
        </w:r>
      </w:smartTag>
      <w:r w:rsidRPr="004F681E">
        <w:rPr>
          <w:rFonts w:ascii="Arial" w:hAnsi="Arial" w:cs="Arial"/>
          <w:color w:val="000000"/>
          <w:lang w:val="es-ES_tradnl"/>
        </w:rPr>
        <w:t xml:space="preserve"> de lo Contencioso Administrativo es la competente para decidir las </w:t>
      </w:r>
      <w:r w:rsidRPr="004F681E">
        <w:rPr>
          <w:rFonts w:ascii="Arial" w:hAnsi="Arial" w:cs="Arial"/>
          <w:lang w:val="es-ES_tradnl"/>
        </w:rPr>
        <w:t>controversi</w:t>
      </w:r>
      <w:r w:rsidRPr="004F681E">
        <w:rPr>
          <w:rFonts w:ascii="Arial" w:hAnsi="Arial" w:cs="Arial"/>
          <w:color w:val="000000"/>
          <w:lang w:val="es-ES_tradnl"/>
        </w:rPr>
        <w:t>as y litigios originados en la actividad de las entidades públicas.</w:t>
      </w:r>
    </w:p>
    <w:p w:rsidR="00390707" w:rsidRPr="004F681E" w:rsidRDefault="00390707" w:rsidP="00390707">
      <w:pPr>
        <w:spacing w:line="360" w:lineRule="auto"/>
        <w:ind w:left="567" w:right="567"/>
        <w:jc w:val="both"/>
        <w:rPr>
          <w:rFonts w:ascii="Arial" w:hAnsi="Arial" w:cs="Arial"/>
          <w:lang w:val="es-CO"/>
        </w:rPr>
      </w:pPr>
    </w:p>
    <w:p w:rsidR="00390707" w:rsidRPr="004F681E" w:rsidRDefault="00390707" w:rsidP="00390707">
      <w:pPr>
        <w:spacing w:line="360" w:lineRule="auto"/>
        <w:jc w:val="both"/>
        <w:rPr>
          <w:rFonts w:ascii="Arial" w:hAnsi="Arial" w:cs="Arial"/>
          <w:lang w:val="es-CO"/>
        </w:rPr>
      </w:pPr>
      <w:r w:rsidRPr="004F681E">
        <w:rPr>
          <w:rFonts w:ascii="Arial" w:hAnsi="Arial" w:cs="Arial"/>
          <w:lang w:val="es-CO"/>
        </w:rPr>
        <w:t>En esta oportunidad se encuentran en controversia circun</w:t>
      </w:r>
      <w:r w:rsidR="00347736" w:rsidRPr="004F681E">
        <w:rPr>
          <w:rFonts w:ascii="Arial" w:hAnsi="Arial" w:cs="Arial"/>
          <w:lang w:val="es-CO"/>
        </w:rPr>
        <w:t>stancias atinentes al</w:t>
      </w:r>
      <w:r w:rsidR="00B70BBB" w:rsidRPr="004F681E">
        <w:rPr>
          <w:rFonts w:ascii="Arial" w:hAnsi="Arial" w:cs="Arial"/>
          <w:lang w:val="es-CO"/>
        </w:rPr>
        <w:t xml:space="preserve"> </w:t>
      </w:r>
      <w:r w:rsidR="00347736" w:rsidRPr="004F681E">
        <w:rPr>
          <w:rFonts w:ascii="Arial" w:hAnsi="Arial" w:cs="Arial"/>
          <w:lang w:val="es-CO"/>
        </w:rPr>
        <w:t>presunto incumplimiento</w:t>
      </w:r>
      <w:r w:rsidR="00B70BBB" w:rsidRPr="004F681E">
        <w:rPr>
          <w:rFonts w:ascii="Arial" w:hAnsi="Arial" w:cs="Arial"/>
          <w:lang w:val="es-CO"/>
        </w:rPr>
        <w:t xml:space="preserve"> y/o</w:t>
      </w:r>
      <w:r w:rsidRPr="004F681E">
        <w:rPr>
          <w:rFonts w:ascii="Arial" w:hAnsi="Arial" w:cs="Arial"/>
          <w:lang w:val="es-CO"/>
        </w:rPr>
        <w:t xml:space="preserve"> ruptura del equilibrio económico del Contrato No. </w:t>
      </w:r>
      <w:r w:rsidR="00B70BBB" w:rsidRPr="004F681E">
        <w:rPr>
          <w:rFonts w:ascii="Arial" w:hAnsi="Arial" w:cs="Arial"/>
          <w:lang w:val="es-CO"/>
        </w:rPr>
        <w:t>475 de 2007</w:t>
      </w:r>
      <w:r w:rsidRPr="004F681E">
        <w:rPr>
          <w:rFonts w:ascii="Arial" w:hAnsi="Arial" w:cs="Arial"/>
          <w:lang w:val="es-CO"/>
        </w:rPr>
        <w:t xml:space="preserve">, celebrado entre el </w:t>
      </w:r>
      <w:r w:rsidR="00B70BBB" w:rsidRPr="004F681E">
        <w:rPr>
          <w:rFonts w:ascii="Arial" w:hAnsi="Arial" w:cs="Arial"/>
          <w:lang w:val="es-CO"/>
        </w:rPr>
        <w:t>Instituto Distrital para la Recreación y el Deporte y la Unión temporal Publiestadios</w:t>
      </w:r>
      <w:r w:rsidRPr="004F681E">
        <w:rPr>
          <w:rFonts w:ascii="Arial" w:hAnsi="Arial" w:cs="Arial"/>
          <w:lang w:val="es-MX"/>
        </w:rPr>
        <w:t>.</w:t>
      </w:r>
    </w:p>
    <w:p w:rsidR="00390707" w:rsidRPr="004F681E" w:rsidRDefault="00390707" w:rsidP="00390707">
      <w:pPr>
        <w:spacing w:line="360" w:lineRule="auto"/>
        <w:jc w:val="both"/>
        <w:rPr>
          <w:rFonts w:ascii="Arial" w:hAnsi="Arial" w:cs="Arial"/>
          <w:lang w:val="es-CO"/>
        </w:rPr>
      </w:pPr>
    </w:p>
    <w:p w:rsidR="00390707" w:rsidRPr="004F681E" w:rsidRDefault="00390707" w:rsidP="00390707">
      <w:pPr>
        <w:spacing w:line="360" w:lineRule="auto"/>
        <w:jc w:val="both"/>
        <w:rPr>
          <w:rFonts w:ascii="Arial" w:hAnsi="Arial" w:cs="Arial"/>
          <w:lang w:val="es-CO"/>
        </w:rPr>
      </w:pPr>
      <w:r w:rsidRPr="004F681E">
        <w:rPr>
          <w:rFonts w:ascii="Arial" w:hAnsi="Arial" w:cs="Arial"/>
          <w:lang w:val="es-CO"/>
        </w:rPr>
        <w:t>Así las cosas, se precisa que la entidad contratante</w:t>
      </w:r>
      <w:r w:rsidR="00B70BBB" w:rsidRPr="004F681E">
        <w:rPr>
          <w:rFonts w:ascii="Arial" w:hAnsi="Arial" w:cs="Arial"/>
          <w:lang w:val="es-CO"/>
        </w:rPr>
        <w:t>, Instituto Distrital para la Recreación y el Deporte</w:t>
      </w:r>
      <w:r w:rsidR="006B2460" w:rsidRPr="004F681E">
        <w:rPr>
          <w:rStyle w:val="Refdenotaalpie"/>
          <w:rFonts w:ascii="Arial" w:hAnsi="Arial" w:cs="Arial"/>
          <w:lang w:val="es-CO"/>
        </w:rPr>
        <w:footnoteReference w:id="2"/>
      </w:r>
      <w:r w:rsidR="00B70BBB" w:rsidRPr="004F681E">
        <w:rPr>
          <w:rFonts w:ascii="Arial" w:hAnsi="Arial" w:cs="Arial"/>
          <w:lang w:val="es-CO"/>
        </w:rPr>
        <w:t>,</w:t>
      </w:r>
      <w:r w:rsidRPr="004F681E">
        <w:rPr>
          <w:rFonts w:ascii="Arial" w:hAnsi="Arial" w:cs="Arial"/>
          <w:lang w:val="es-CO"/>
        </w:rPr>
        <w:t xml:space="preserve"> de conformidad con lo dispuesto en</w:t>
      </w:r>
      <w:r w:rsidRPr="004F681E">
        <w:rPr>
          <w:rFonts w:ascii="Arial" w:hAnsi="Arial" w:cs="Arial"/>
        </w:rPr>
        <w:t xml:space="preserve"> la letra a) del numeral primero del artículo 2º de la Ley 80 de 1993</w:t>
      </w:r>
      <w:r w:rsidRPr="004F681E">
        <w:rPr>
          <w:rFonts w:ascii="Arial" w:hAnsi="Arial" w:cs="Arial"/>
          <w:i/>
          <w:iCs/>
          <w:vertAlign w:val="superscript"/>
        </w:rPr>
        <w:footnoteReference w:id="3"/>
      </w:r>
      <w:r w:rsidRPr="004F681E">
        <w:rPr>
          <w:rFonts w:ascii="Arial" w:hAnsi="Arial" w:cs="Arial"/>
        </w:rPr>
        <w:t xml:space="preserve">, es un </w:t>
      </w:r>
      <w:r w:rsidR="00347736" w:rsidRPr="004F681E">
        <w:rPr>
          <w:rFonts w:ascii="Arial" w:hAnsi="Arial" w:cs="Arial"/>
        </w:rPr>
        <w:t>establecimiento</w:t>
      </w:r>
      <w:r w:rsidR="006B2460" w:rsidRPr="004F681E">
        <w:rPr>
          <w:rFonts w:ascii="Arial" w:hAnsi="Arial" w:cs="Arial"/>
        </w:rPr>
        <w:t xml:space="preserve"> público</w:t>
      </w:r>
      <w:r w:rsidR="00347736" w:rsidRPr="004F681E">
        <w:rPr>
          <w:rFonts w:ascii="Arial" w:hAnsi="Arial" w:cs="Arial"/>
        </w:rPr>
        <w:t xml:space="preserve"> </w:t>
      </w:r>
      <w:r w:rsidRPr="004F681E">
        <w:rPr>
          <w:rFonts w:ascii="Arial" w:hAnsi="Arial" w:cs="Arial"/>
        </w:rPr>
        <w:t xml:space="preserve">y, por tanto, </w:t>
      </w:r>
      <w:r w:rsidRPr="004F681E">
        <w:rPr>
          <w:rFonts w:ascii="Arial" w:hAnsi="Arial" w:cs="Arial"/>
          <w:lang w:val="es-MX"/>
        </w:rPr>
        <w:t xml:space="preserve">tiene el carácter de </w:t>
      </w:r>
      <w:r w:rsidRPr="004F681E">
        <w:rPr>
          <w:rFonts w:ascii="Arial" w:hAnsi="Arial" w:cs="Arial"/>
        </w:rPr>
        <w:t xml:space="preserve">entidad estatal. </w:t>
      </w:r>
    </w:p>
    <w:p w:rsidR="00390707" w:rsidRPr="004F681E" w:rsidRDefault="00390707" w:rsidP="00390707">
      <w:pPr>
        <w:spacing w:line="360" w:lineRule="auto"/>
        <w:jc w:val="both"/>
        <w:rPr>
          <w:rFonts w:ascii="Arial" w:hAnsi="Arial" w:cs="Arial"/>
          <w:lang w:val="es-CO"/>
        </w:rPr>
      </w:pPr>
    </w:p>
    <w:p w:rsidR="00390707" w:rsidRPr="004F681E" w:rsidRDefault="00390707" w:rsidP="00390707">
      <w:pPr>
        <w:spacing w:line="360" w:lineRule="auto"/>
        <w:jc w:val="both"/>
        <w:rPr>
          <w:rFonts w:ascii="Arial" w:hAnsi="Arial" w:cs="Arial"/>
          <w:lang w:val="es-ES_tradnl"/>
        </w:rPr>
      </w:pPr>
      <w:r w:rsidRPr="004F681E">
        <w:rPr>
          <w:rFonts w:ascii="Arial" w:hAnsi="Arial" w:cs="Arial"/>
          <w:lang w:val="es-ES_tradnl"/>
        </w:rPr>
        <w:t xml:space="preserve">Hechas las anteriores precisiones, se concluye que es esta Jurisdicción la competente para conocer de la presente controversia. </w:t>
      </w:r>
    </w:p>
    <w:p w:rsidR="00390707" w:rsidRPr="004F681E" w:rsidRDefault="00390707" w:rsidP="00390707">
      <w:pPr>
        <w:rPr>
          <w:rFonts w:ascii="Arial" w:hAnsi="Arial" w:cs="Arial"/>
          <w:lang w:val="es-CO" w:eastAsia="es-CO"/>
        </w:rPr>
      </w:pPr>
    </w:p>
    <w:p w:rsidR="00390707" w:rsidRPr="004F681E" w:rsidRDefault="00390707" w:rsidP="00390707">
      <w:pPr>
        <w:spacing w:line="360" w:lineRule="auto"/>
        <w:jc w:val="both"/>
        <w:rPr>
          <w:rFonts w:ascii="Arial" w:hAnsi="Arial" w:cs="Arial"/>
          <w:lang w:val="es-CO" w:eastAsia="es-CO"/>
        </w:rPr>
      </w:pPr>
      <w:r w:rsidRPr="004F681E">
        <w:rPr>
          <w:rFonts w:ascii="Arial" w:hAnsi="Arial" w:cs="Arial"/>
          <w:lang w:val="es-CO" w:eastAsia="es-CO"/>
        </w:rPr>
        <w:lastRenderedPageBreak/>
        <w:t>También le asiste competencia a la Sala para conocer de la presente causa en segunda instancia, toda vez que la mayor de las pretensiones de contenido econó</w:t>
      </w:r>
      <w:r w:rsidR="00D97731" w:rsidRPr="004F681E">
        <w:rPr>
          <w:rFonts w:ascii="Arial" w:hAnsi="Arial" w:cs="Arial"/>
          <w:lang w:val="es-CO" w:eastAsia="es-CO"/>
        </w:rPr>
        <w:t>mico se estimó en la suma de $597’000.000</w:t>
      </w:r>
      <w:r w:rsidRPr="004F681E">
        <w:rPr>
          <w:rFonts w:ascii="Arial" w:hAnsi="Arial" w:cs="Arial"/>
          <w:lang w:val="es-CO" w:eastAsia="es-CO"/>
        </w:rPr>
        <w:t>, monto que resulta superior a la suma eq</w:t>
      </w:r>
      <w:r w:rsidR="003637A9" w:rsidRPr="004F681E">
        <w:rPr>
          <w:rFonts w:ascii="Arial" w:hAnsi="Arial" w:cs="Arial"/>
          <w:lang w:val="es-CO" w:eastAsia="es-CO"/>
        </w:rPr>
        <w:t>uivalente a 500 S.M.L.M.V. ($283’35</w:t>
      </w:r>
      <w:r w:rsidRPr="004F681E">
        <w:rPr>
          <w:rFonts w:ascii="Arial" w:hAnsi="Arial" w:cs="Arial"/>
          <w:lang w:val="es-CO" w:eastAsia="es-CO"/>
        </w:rPr>
        <w:t>0.000)</w:t>
      </w:r>
      <w:r w:rsidRPr="004F681E">
        <w:rPr>
          <w:rFonts w:ascii="Arial" w:hAnsi="Arial" w:cs="Arial"/>
          <w:vertAlign w:val="superscript"/>
          <w:lang w:val="es-CO" w:eastAsia="es-CO"/>
        </w:rPr>
        <w:footnoteReference w:id="4"/>
      </w:r>
      <w:r w:rsidRPr="004F681E">
        <w:rPr>
          <w:rFonts w:ascii="Arial" w:hAnsi="Arial" w:cs="Arial"/>
          <w:lang w:val="es-CO" w:eastAsia="es-CO"/>
        </w:rPr>
        <w:t xml:space="preserve">, exigida en la Ley 954, promulgada el 28 de abril de 2005, para que el proceso tuviera vocación de doble instancia. </w:t>
      </w:r>
    </w:p>
    <w:p w:rsidR="0044597B" w:rsidRPr="004F681E" w:rsidRDefault="0044597B" w:rsidP="00390707">
      <w:pPr>
        <w:spacing w:line="360" w:lineRule="auto"/>
        <w:jc w:val="both"/>
        <w:rPr>
          <w:rFonts w:ascii="Arial" w:hAnsi="Arial" w:cs="Arial"/>
          <w:lang w:val="es-CO" w:eastAsia="es-CO"/>
        </w:rPr>
      </w:pPr>
    </w:p>
    <w:p w:rsidR="0044597B" w:rsidRPr="004F681E" w:rsidRDefault="0044597B" w:rsidP="00390707">
      <w:pPr>
        <w:spacing w:line="360" w:lineRule="auto"/>
        <w:jc w:val="both"/>
        <w:rPr>
          <w:rFonts w:ascii="Arial" w:hAnsi="Arial" w:cs="Arial"/>
          <w:lang w:val="es-CO" w:eastAsia="es-CO"/>
        </w:rPr>
      </w:pPr>
    </w:p>
    <w:p w:rsidR="00390707" w:rsidRPr="004F681E" w:rsidRDefault="00390707" w:rsidP="00390707">
      <w:pPr>
        <w:spacing w:line="360" w:lineRule="auto"/>
        <w:jc w:val="both"/>
        <w:rPr>
          <w:rFonts w:ascii="Arial" w:hAnsi="Arial" w:cs="Arial"/>
          <w:b/>
          <w:lang w:val="es-CO" w:eastAsia="es-CO"/>
        </w:rPr>
      </w:pPr>
      <w:r w:rsidRPr="004F681E">
        <w:rPr>
          <w:rFonts w:ascii="Arial" w:hAnsi="Arial" w:cs="Arial"/>
          <w:b/>
          <w:lang w:val="es-CO" w:eastAsia="es-CO"/>
        </w:rPr>
        <w:t>2. Presupuestos procesales</w:t>
      </w:r>
    </w:p>
    <w:p w:rsidR="00390707" w:rsidRPr="004F681E" w:rsidRDefault="00390707" w:rsidP="00390707">
      <w:pPr>
        <w:spacing w:line="360" w:lineRule="auto"/>
        <w:jc w:val="both"/>
        <w:rPr>
          <w:rFonts w:ascii="Arial" w:hAnsi="Arial" w:cs="Arial"/>
          <w:b/>
          <w:lang w:val="es-CO" w:eastAsia="es-CO"/>
        </w:rPr>
      </w:pPr>
      <w:r w:rsidRPr="004F681E">
        <w:rPr>
          <w:rFonts w:ascii="Arial" w:hAnsi="Arial" w:cs="Arial"/>
          <w:b/>
          <w:lang w:val="es-CO" w:eastAsia="es-CO"/>
        </w:rPr>
        <w:t xml:space="preserve"> </w:t>
      </w:r>
    </w:p>
    <w:p w:rsidR="00390707" w:rsidRPr="004F681E" w:rsidRDefault="00390707" w:rsidP="00390707">
      <w:pPr>
        <w:spacing w:line="360" w:lineRule="auto"/>
        <w:jc w:val="both"/>
        <w:rPr>
          <w:rFonts w:ascii="Arial" w:hAnsi="Arial" w:cs="Arial"/>
          <w:b/>
          <w:lang w:val="es-CO" w:eastAsia="es-CO"/>
        </w:rPr>
      </w:pPr>
      <w:r w:rsidRPr="004F681E">
        <w:rPr>
          <w:rFonts w:ascii="Arial" w:hAnsi="Arial" w:cs="Arial"/>
          <w:b/>
          <w:lang w:val="es-CO" w:eastAsia="es-CO"/>
        </w:rPr>
        <w:t xml:space="preserve">2.1.- Procedencia y oportunidad de la acción </w:t>
      </w:r>
    </w:p>
    <w:p w:rsidR="00390707" w:rsidRPr="004F681E" w:rsidRDefault="00390707" w:rsidP="00390707">
      <w:pPr>
        <w:spacing w:line="360" w:lineRule="auto"/>
        <w:jc w:val="both"/>
        <w:rPr>
          <w:rFonts w:ascii="Arial" w:hAnsi="Arial" w:cs="Arial"/>
          <w:lang w:val="es-CO" w:eastAsia="es-CO"/>
        </w:rPr>
      </w:pPr>
    </w:p>
    <w:p w:rsidR="00390707" w:rsidRPr="004F681E" w:rsidRDefault="00390707" w:rsidP="00390707">
      <w:pPr>
        <w:spacing w:line="360" w:lineRule="auto"/>
        <w:jc w:val="both"/>
        <w:rPr>
          <w:rFonts w:ascii="Arial" w:hAnsi="Arial" w:cs="Arial"/>
          <w:lang w:val="es-MX"/>
        </w:rPr>
      </w:pPr>
      <w:r w:rsidRPr="004F681E">
        <w:rPr>
          <w:rFonts w:ascii="Arial" w:hAnsi="Arial" w:cs="Arial"/>
          <w:lang w:val="es-CO" w:eastAsia="es-CO"/>
        </w:rPr>
        <w:t>E</w:t>
      </w:r>
      <w:r w:rsidR="00491D46" w:rsidRPr="004F681E">
        <w:rPr>
          <w:rFonts w:ascii="Arial" w:hAnsi="Arial" w:cs="Arial"/>
          <w:lang w:val="es-CO" w:eastAsia="es-CO"/>
        </w:rPr>
        <w:t>l presente debate gira alrededor</w:t>
      </w:r>
      <w:r w:rsidR="000D5E2D" w:rsidRPr="004F681E">
        <w:rPr>
          <w:rFonts w:ascii="Arial" w:hAnsi="Arial" w:cs="Arial"/>
          <w:lang w:val="es-CO" w:eastAsia="es-CO"/>
        </w:rPr>
        <w:t xml:space="preserve"> </w:t>
      </w:r>
      <w:r w:rsidR="00491D46" w:rsidRPr="004F681E">
        <w:rPr>
          <w:rFonts w:ascii="Arial" w:hAnsi="Arial" w:cs="Arial"/>
          <w:lang w:val="es-CO" w:eastAsia="es-CO"/>
        </w:rPr>
        <w:t>d</w:t>
      </w:r>
      <w:r w:rsidR="000D5E2D" w:rsidRPr="004F681E">
        <w:rPr>
          <w:rFonts w:ascii="Arial" w:hAnsi="Arial" w:cs="Arial"/>
          <w:lang w:val="es-CO" w:eastAsia="es-CO"/>
        </w:rPr>
        <w:t>el presunto incumplimiento y/o</w:t>
      </w:r>
      <w:r w:rsidRPr="004F681E">
        <w:rPr>
          <w:rFonts w:ascii="Arial" w:hAnsi="Arial" w:cs="Arial"/>
          <w:lang w:val="es-CO" w:eastAsia="es-CO"/>
        </w:rPr>
        <w:t xml:space="preserve"> ruptura del equilibrio económico del Contrato </w:t>
      </w:r>
      <w:r w:rsidR="000D5E2D" w:rsidRPr="004F681E">
        <w:rPr>
          <w:rFonts w:ascii="Arial" w:hAnsi="Arial" w:cs="Arial"/>
          <w:lang w:val="es-CO" w:eastAsia="es-CO"/>
        </w:rPr>
        <w:t>de Concesión No. 475 de 2007</w:t>
      </w:r>
      <w:r w:rsidR="00E83FBA" w:rsidRPr="004F681E">
        <w:rPr>
          <w:rFonts w:ascii="Arial" w:hAnsi="Arial" w:cs="Arial"/>
          <w:lang w:val="es-CO" w:eastAsia="es-CO"/>
        </w:rPr>
        <w:t>,</w:t>
      </w:r>
      <w:r w:rsidRPr="004F681E">
        <w:rPr>
          <w:rFonts w:ascii="Arial" w:hAnsi="Arial" w:cs="Arial"/>
          <w:lang w:val="es-CO" w:eastAsia="es-CO"/>
        </w:rPr>
        <w:t xml:space="preserve"> celebrado entre el</w:t>
      </w:r>
      <w:r w:rsidR="000D5E2D" w:rsidRPr="004F681E">
        <w:rPr>
          <w:rFonts w:ascii="Arial" w:hAnsi="Arial" w:cs="Arial"/>
          <w:lang w:val="es-CO"/>
        </w:rPr>
        <w:t xml:space="preserve"> Instituto Distrital para la Recreación y el Deporte y la Unión temporal Publiestadios</w:t>
      </w:r>
      <w:r w:rsidRPr="004F681E">
        <w:rPr>
          <w:rFonts w:ascii="Arial" w:hAnsi="Arial" w:cs="Arial"/>
          <w:lang w:val="es-MX"/>
        </w:rPr>
        <w:t xml:space="preserve">, aspecto que, al tenor de lo dispuesto en el artículo 87 del C.C.A., corresponde ventilarse a través del cauce de la acción contractual impetrada. </w:t>
      </w:r>
    </w:p>
    <w:p w:rsidR="00390707" w:rsidRPr="004F681E" w:rsidRDefault="00390707" w:rsidP="00390707">
      <w:pPr>
        <w:spacing w:line="360" w:lineRule="auto"/>
        <w:jc w:val="both"/>
        <w:rPr>
          <w:rFonts w:ascii="Arial" w:hAnsi="Arial" w:cs="Arial"/>
          <w:lang w:val="es-CO" w:eastAsia="es-CO"/>
        </w:rPr>
      </w:pPr>
    </w:p>
    <w:p w:rsidR="00390707" w:rsidRPr="004F681E" w:rsidRDefault="00390707" w:rsidP="00390707">
      <w:pPr>
        <w:spacing w:line="360" w:lineRule="auto"/>
        <w:jc w:val="both"/>
        <w:rPr>
          <w:rFonts w:ascii="Arial" w:hAnsi="Arial" w:cs="Arial"/>
        </w:rPr>
      </w:pPr>
      <w:r w:rsidRPr="004F681E">
        <w:rPr>
          <w:rFonts w:ascii="Arial" w:hAnsi="Arial" w:cs="Arial"/>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rsidR="00390707" w:rsidRPr="004F681E" w:rsidRDefault="00390707" w:rsidP="00390707">
      <w:pPr>
        <w:spacing w:before="100" w:beforeAutospacing="1" w:after="100" w:afterAutospacing="1" w:line="276" w:lineRule="auto"/>
        <w:ind w:left="567" w:right="567"/>
        <w:jc w:val="both"/>
        <w:rPr>
          <w:rFonts w:ascii="Arial" w:hAnsi="Arial" w:cs="Arial"/>
          <w:i/>
          <w:lang w:val="es-CO" w:eastAsia="es-CO"/>
        </w:rPr>
      </w:pPr>
      <w:r w:rsidRPr="004F681E">
        <w:rPr>
          <w:rFonts w:ascii="Arial" w:hAnsi="Arial" w:cs="Arial"/>
          <w:i/>
          <w:lang w:val="es-CO" w:eastAsia="es-CO"/>
        </w:rPr>
        <w:t>“10. En las relativas a contratos, el término de caducidad será de dos (2) años que se contará a partir del día siguiente a la ocurrencia de los motivos de hecho o de derecho que les sirvan de fundamento.</w:t>
      </w:r>
    </w:p>
    <w:p w:rsidR="00390707" w:rsidRPr="004F681E" w:rsidRDefault="00390707" w:rsidP="00390707">
      <w:pPr>
        <w:spacing w:before="100" w:beforeAutospacing="1" w:after="100" w:afterAutospacing="1" w:line="276" w:lineRule="auto"/>
        <w:ind w:left="567" w:right="567"/>
        <w:jc w:val="both"/>
        <w:rPr>
          <w:rFonts w:ascii="Arial" w:hAnsi="Arial" w:cs="Arial"/>
          <w:i/>
          <w:lang w:val="es-CO" w:eastAsia="es-CO"/>
        </w:rPr>
      </w:pPr>
      <w:r w:rsidRPr="004F681E">
        <w:rPr>
          <w:rFonts w:ascii="Arial" w:hAnsi="Arial" w:cs="Arial"/>
          <w:i/>
          <w:lang w:val="es-CO" w:eastAsia="es-CO"/>
        </w:rPr>
        <w:t>“En los siguientes contratos, el término de caducidad se contará así:</w:t>
      </w:r>
    </w:p>
    <w:p w:rsidR="00390707" w:rsidRDefault="00390707" w:rsidP="00390707">
      <w:pPr>
        <w:spacing w:before="100" w:beforeAutospacing="1" w:after="100" w:afterAutospacing="1" w:line="276" w:lineRule="auto"/>
        <w:ind w:left="567" w:right="567"/>
        <w:jc w:val="both"/>
        <w:rPr>
          <w:rFonts w:ascii="Arial" w:hAnsi="Arial" w:cs="Arial"/>
          <w:i/>
          <w:lang w:val="es-CO" w:eastAsia="es-CO"/>
        </w:rPr>
      </w:pPr>
      <w:r w:rsidRPr="004F681E">
        <w:rPr>
          <w:rFonts w:ascii="Arial" w:hAnsi="Arial" w:cs="Arial"/>
          <w:i/>
          <w:lang w:val="es-CO" w:eastAsia="es-CO"/>
        </w:rPr>
        <w:t>“c) En los que requieran de liquidación y ésta sea efectuada de común acuerdo por las partes, a más tardar dentro de los dos (2) años contados desde la firma del acta; (…)”.</w:t>
      </w:r>
    </w:p>
    <w:p w:rsidR="004F681E" w:rsidRPr="004F681E" w:rsidRDefault="004F681E" w:rsidP="00390707">
      <w:pPr>
        <w:spacing w:before="100" w:beforeAutospacing="1" w:after="100" w:afterAutospacing="1" w:line="276" w:lineRule="auto"/>
        <w:ind w:left="567" w:right="567"/>
        <w:jc w:val="both"/>
        <w:rPr>
          <w:rFonts w:ascii="Arial" w:hAnsi="Arial" w:cs="Arial"/>
          <w:i/>
          <w:lang w:val="es-CO" w:eastAsia="es-CO"/>
        </w:rPr>
      </w:pPr>
    </w:p>
    <w:p w:rsidR="00AC3C9A" w:rsidRPr="004F681E" w:rsidRDefault="00390707" w:rsidP="00390707">
      <w:pPr>
        <w:spacing w:line="360" w:lineRule="auto"/>
        <w:jc w:val="both"/>
        <w:rPr>
          <w:rFonts w:ascii="Arial" w:hAnsi="Arial" w:cs="Arial"/>
        </w:rPr>
      </w:pPr>
      <w:r w:rsidRPr="004F681E">
        <w:rPr>
          <w:rFonts w:ascii="Arial" w:hAnsi="Arial" w:cs="Arial"/>
        </w:rPr>
        <w:t xml:space="preserve">En consonancia con lo anterior, resulta pertinente destacar que </w:t>
      </w:r>
      <w:r w:rsidR="00AC3C9A" w:rsidRPr="004F681E">
        <w:rPr>
          <w:rFonts w:ascii="Arial" w:hAnsi="Arial" w:cs="Arial"/>
        </w:rPr>
        <w:t>el Contrato de Concesión objeto de análisis</w:t>
      </w:r>
      <w:r w:rsidR="00E83FBA" w:rsidRPr="004F681E">
        <w:rPr>
          <w:rFonts w:ascii="Arial" w:hAnsi="Arial" w:cs="Arial"/>
        </w:rPr>
        <w:t>,</w:t>
      </w:r>
      <w:r w:rsidR="00C44E65" w:rsidRPr="004F681E">
        <w:rPr>
          <w:rFonts w:ascii="Arial" w:hAnsi="Arial" w:cs="Arial"/>
        </w:rPr>
        <w:t xml:space="preserve"> celebrado el 27 de abril d</w:t>
      </w:r>
      <w:r w:rsidR="00491D46" w:rsidRPr="004F681E">
        <w:rPr>
          <w:rFonts w:ascii="Arial" w:hAnsi="Arial" w:cs="Arial"/>
        </w:rPr>
        <w:t>e 2007, por un plazo de 10 años,</w:t>
      </w:r>
      <w:r w:rsidR="00C44E65" w:rsidRPr="004F681E">
        <w:rPr>
          <w:rFonts w:ascii="Arial" w:hAnsi="Arial" w:cs="Arial"/>
        </w:rPr>
        <w:t xml:space="preserve"> </w:t>
      </w:r>
      <w:r w:rsidR="00AC3C9A" w:rsidRPr="004F681E">
        <w:rPr>
          <w:rFonts w:ascii="Arial" w:hAnsi="Arial" w:cs="Arial"/>
        </w:rPr>
        <w:t>aún se encuentra en etapa de ejecuci</w:t>
      </w:r>
      <w:r w:rsidR="00C44E65" w:rsidRPr="004F681E">
        <w:rPr>
          <w:rFonts w:ascii="Arial" w:hAnsi="Arial" w:cs="Arial"/>
        </w:rPr>
        <w:t>ón.</w:t>
      </w:r>
    </w:p>
    <w:p w:rsidR="00C44E65" w:rsidRPr="004F681E" w:rsidRDefault="00C44E65" w:rsidP="00390707">
      <w:pPr>
        <w:spacing w:line="360" w:lineRule="auto"/>
        <w:jc w:val="both"/>
        <w:rPr>
          <w:rFonts w:ascii="Arial" w:hAnsi="Arial" w:cs="Arial"/>
        </w:rPr>
      </w:pPr>
    </w:p>
    <w:p w:rsidR="005E1EC0" w:rsidRPr="004F681E" w:rsidRDefault="00C44E65" w:rsidP="00390707">
      <w:pPr>
        <w:spacing w:line="360" w:lineRule="auto"/>
        <w:jc w:val="both"/>
        <w:rPr>
          <w:rFonts w:ascii="Arial" w:hAnsi="Arial" w:cs="Arial"/>
        </w:rPr>
      </w:pPr>
      <w:r w:rsidRPr="004F681E">
        <w:rPr>
          <w:rFonts w:ascii="Arial" w:hAnsi="Arial" w:cs="Arial"/>
        </w:rPr>
        <w:t>En línea con lo anotado</w:t>
      </w:r>
      <w:r w:rsidR="00E83FBA" w:rsidRPr="004F681E">
        <w:rPr>
          <w:rFonts w:ascii="Arial" w:hAnsi="Arial" w:cs="Arial"/>
        </w:rPr>
        <w:t>,</w:t>
      </w:r>
      <w:r w:rsidR="00307169" w:rsidRPr="004F681E">
        <w:rPr>
          <w:rFonts w:ascii="Arial" w:hAnsi="Arial" w:cs="Arial"/>
        </w:rPr>
        <w:t xml:space="preserve"> se resalta</w:t>
      </w:r>
      <w:r w:rsidR="005E1EC0" w:rsidRPr="004F681E">
        <w:rPr>
          <w:rFonts w:ascii="Arial" w:hAnsi="Arial" w:cs="Arial"/>
        </w:rPr>
        <w:t xml:space="preserve"> que los hechos </w:t>
      </w:r>
      <w:r w:rsidRPr="004F681E">
        <w:rPr>
          <w:rFonts w:ascii="Arial" w:hAnsi="Arial" w:cs="Arial"/>
        </w:rPr>
        <w:t>materia de censura que dieron lugar a la presente reclamación tuvieron ocurrencia</w:t>
      </w:r>
      <w:r w:rsidR="00491D46" w:rsidRPr="004F681E">
        <w:rPr>
          <w:rFonts w:ascii="Arial" w:hAnsi="Arial" w:cs="Arial"/>
        </w:rPr>
        <w:t>,</w:t>
      </w:r>
      <w:r w:rsidRPr="004F681E">
        <w:rPr>
          <w:rFonts w:ascii="Arial" w:hAnsi="Arial" w:cs="Arial"/>
        </w:rPr>
        <w:t xml:space="preserve"> </w:t>
      </w:r>
      <w:r w:rsidR="00491D46" w:rsidRPr="004F681E">
        <w:rPr>
          <w:rFonts w:ascii="Arial" w:hAnsi="Arial" w:cs="Arial"/>
        </w:rPr>
        <w:t xml:space="preserve">por un lado, </w:t>
      </w:r>
      <w:r w:rsidRPr="004F681E">
        <w:rPr>
          <w:rFonts w:ascii="Arial" w:hAnsi="Arial" w:cs="Arial"/>
        </w:rPr>
        <w:t>entre el 28 de septiembre de 2010 y el 8 de abril de 2011, lapso en que se suspendió la operación y explotación de la pantalla exterior objeto del contrato</w:t>
      </w:r>
      <w:r w:rsidR="00E83FBA" w:rsidRPr="004F681E">
        <w:rPr>
          <w:rFonts w:ascii="Arial" w:hAnsi="Arial" w:cs="Arial"/>
        </w:rPr>
        <w:t>,</w:t>
      </w:r>
      <w:r w:rsidRPr="004F681E">
        <w:rPr>
          <w:rFonts w:ascii="Arial" w:hAnsi="Arial" w:cs="Arial"/>
        </w:rPr>
        <w:t xml:space="preserve"> debido a las obras de reubicación</w:t>
      </w:r>
      <w:r w:rsidR="00491D46" w:rsidRPr="004F681E">
        <w:rPr>
          <w:rFonts w:ascii="Arial" w:hAnsi="Arial" w:cs="Arial"/>
        </w:rPr>
        <w:t xml:space="preserve"> de la misma y, por otro, </w:t>
      </w:r>
      <w:r w:rsidRPr="004F681E">
        <w:rPr>
          <w:rFonts w:ascii="Arial" w:hAnsi="Arial" w:cs="Arial"/>
        </w:rPr>
        <w:t>entre el 14 de julio y el 29 de agosto de 2011</w:t>
      </w:r>
      <w:r w:rsidR="00E83FBA" w:rsidRPr="004F681E">
        <w:rPr>
          <w:rFonts w:ascii="Arial" w:hAnsi="Arial" w:cs="Arial"/>
        </w:rPr>
        <w:t>,</w:t>
      </w:r>
      <w:r w:rsidRPr="004F681E">
        <w:rPr>
          <w:rFonts w:ascii="Arial" w:hAnsi="Arial" w:cs="Arial"/>
        </w:rPr>
        <w:t xml:space="preserve"> período en que cesó la operación de las pantallas por parte del concesionario</w:t>
      </w:r>
      <w:r w:rsidR="00E83FBA" w:rsidRPr="004F681E">
        <w:rPr>
          <w:rFonts w:ascii="Arial" w:hAnsi="Arial" w:cs="Arial"/>
        </w:rPr>
        <w:t>, porque</w:t>
      </w:r>
      <w:r w:rsidR="00307169" w:rsidRPr="004F681E">
        <w:rPr>
          <w:rFonts w:ascii="Arial" w:hAnsi="Arial" w:cs="Arial"/>
        </w:rPr>
        <w:t xml:space="preserve"> debió entregarlas a la entidad contratante mientras se desarrollaba el mundial de fútbol Sub-20 en la ciudad de Bogotá. </w:t>
      </w:r>
    </w:p>
    <w:p w:rsidR="00307169" w:rsidRPr="004F681E" w:rsidRDefault="00307169" w:rsidP="00390707">
      <w:pPr>
        <w:spacing w:line="360" w:lineRule="auto"/>
        <w:jc w:val="both"/>
        <w:rPr>
          <w:rFonts w:ascii="Arial" w:hAnsi="Arial" w:cs="Arial"/>
        </w:rPr>
      </w:pPr>
    </w:p>
    <w:p w:rsidR="00307169" w:rsidRPr="004F681E" w:rsidRDefault="0044597B" w:rsidP="00390707">
      <w:pPr>
        <w:spacing w:line="360" w:lineRule="auto"/>
        <w:jc w:val="both"/>
        <w:rPr>
          <w:rFonts w:ascii="Arial" w:hAnsi="Arial" w:cs="Arial"/>
        </w:rPr>
      </w:pPr>
      <w:r w:rsidRPr="004F681E">
        <w:rPr>
          <w:rFonts w:ascii="Arial" w:hAnsi="Arial" w:cs="Arial"/>
        </w:rPr>
        <w:t>Así</w:t>
      </w:r>
      <w:r w:rsidR="00307169" w:rsidRPr="004F681E">
        <w:rPr>
          <w:rFonts w:ascii="Arial" w:hAnsi="Arial" w:cs="Arial"/>
        </w:rPr>
        <w:t xml:space="preserve"> pues, atendiendo a la </w:t>
      </w:r>
      <w:r w:rsidR="00C00279" w:rsidRPr="004F681E">
        <w:rPr>
          <w:rFonts w:ascii="Arial" w:hAnsi="Arial" w:cs="Arial"/>
        </w:rPr>
        <w:t xml:space="preserve">regla </w:t>
      </w:r>
      <w:r w:rsidR="00307169" w:rsidRPr="004F681E">
        <w:rPr>
          <w:rFonts w:ascii="Arial" w:hAnsi="Arial" w:cs="Arial"/>
        </w:rPr>
        <w:t>general de caducidad de la acción contractual que orienta a que su cómputo inicial se asiente al día siguiente de ocurrido</w:t>
      </w:r>
      <w:r w:rsidR="00C00279" w:rsidRPr="004F681E">
        <w:rPr>
          <w:rFonts w:ascii="Arial" w:hAnsi="Arial" w:cs="Arial"/>
        </w:rPr>
        <w:t>s</w:t>
      </w:r>
      <w:r w:rsidR="00307169" w:rsidRPr="004F681E">
        <w:rPr>
          <w:rFonts w:ascii="Arial" w:hAnsi="Arial" w:cs="Arial"/>
        </w:rPr>
        <w:t xml:space="preserve"> los motivos de hecho y de derecho que le sirv</w:t>
      </w:r>
      <w:r w:rsidR="00C00279" w:rsidRPr="004F681E">
        <w:rPr>
          <w:rFonts w:ascii="Arial" w:hAnsi="Arial" w:cs="Arial"/>
        </w:rPr>
        <w:t>en</w:t>
      </w:r>
      <w:r w:rsidR="00307169" w:rsidRPr="004F681E">
        <w:rPr>
          <w:rFonts w:ascii="Arial" w:hAnsi="Arial" w:cs="Arial"/>
        </w:rPr>
        <w:t xml:space="preserve"> de fundamento</w:t>
      </w:r>
      <w:r w:rsidR="00491D46" w:rsidRPr="004F681E">
        <w:rPr>
          <w:rFonts w:ascii="Arial" w:hAnsi="Arial" w:cs="Arial"/>
        </w:rPr>
        <w:t>,</w:t>
      </w:r>
      <w:r w:rsidR="00307169" w:rsidRPr="004F681E">
        <w:rPr>
          <w:rFonts w:ascii="Arial" w:hAnsi="Arial" w:cs="Arial"/>
        </w:rPr>
        <w:t xml:space="preserve"> ha de concluirse entonces que al haberse interpuesto la demanda el 13 de febrero de 2012, el ejercicio de la acción fue oportuno</w:t>
      </w:r>
      <w:r w:rsidR="00C00279" w:rsidRPr="004F681E">
        <w:rPr>
          <w:rFonts w:ascii="Arial" w:hAnsi="Arial" w:cs="Arial"/>
        </w:rPr>
        <w:t xml:space="preserve"> ya que</w:t>
      </w:r>
      <w:r w:rsidR="00307169" w:rsidRPr="004F681E">
        <w:rPr>
          <w:rFonts w:ascii="Arial" w:hAnsi="Arial" w:cs="Arial"/>
        </w:rPr>
        <w:t xml:space="preserve"> para ese entonces no habían transcurrido los dos años</w:t>
      </w:r>
      <w:r w:rsidR="00491D46" w:rsidRPr="004F681E">
        <w:rPr>
          <w:rFonts w:ascii="Arial" w:hAnsi="Arial" w:cs="Arial"/>
        </w:rPr>
        <w:t xml:space="preserve"> contados</w:t>
      </w:r>
      <w:r w:rsidR="00C00279" w:rsidRPr="004F681E">
        <w:rPr>
          <w:rFonts w:ascii="Arial" w:hAnsi="Arial" w:cs="Arial"/>
        </w:rPr>
        <w:t>,</w:t>
      </w:r>
      <w:r w:rsidR="00307169" w:rsidRPr="004F681E">
        <w:rPr>
          <w:rFonts w:ascii="Arial" w:hAnsi="Arial" w:cs="Arial"/>
        </w:rPr>
        <w:t xml:space="preserve"> </w:t>
      </w:r>
      <w:r w:rsidR="00C00279" w:rsidRPr="004F681E">
        <w:rPr>
          <w:rFonts w:ascii="Arial" w:hAnsi="Arial" w:cs="Arial"/>
        </w:rPr>
        <w:t xml:space="preserve">incluso, </w:t>
      </w:r>
      <w:r w:rsidR="00307169" w:rsidRPr="004F681E">
        <w:rPr>
          <w:rFonts w:ascii="Arial" w:hAnsi="Arial" w:cs="Arial"/>
        </w:rPr>
        <w:t>desde el inicio del primero de los per</w:t>
      </w:r>
      <w:r w:rsidR="00C00279" w:rsidRPr="004F681E">
        <w:rPr>
          <w:rFonts w:ascii="Arial" w:hAnsi="Arial" w:cs="Arial"/>
        </w:rPr>
        <w:t>í</w:t>
      </w:r>
      <w:r w:rsidR="00307169" w:rsidRPr="004F681E">
        <w:rPr>
          <w:rFonts w:ascii="Arial" w:hAnsi="Arial" w:cs="Arial"/>
        </w:rPr>
        <w:t xml:space="preserve">odos señalados. </w:t>
      </w:r>
    </w:p>
    <w:p w:rsidR="00491D46" w:rsidRPr="004F681E" w:rsidRDefault="00491D46" w:rsidP="00390707">
      <w:pPr>
        <w:widowControl w:val="0"/>
        <w:spacing w:line="360" w:lineRule="auto"/>
        <w:jc w:val="both"/>
        <w:rPr>
          <w:rFonts w:ascii="Arial" w:hAnsi="Arial" w:cs="Arial"/>
          <w:lang w:val="es-ES_tradnl"/>
        </w:rPr>
      </w:pPr>
    </w:p>
    <w:p w:rsidR="00390707" w:rsidRPr="004F681E" w:rsidRDefault="00390707" w:rsidP="00390707">
      <w:pPr>
        <w:spacing w:line="360" w:lineRule="auto"/>
        <w:jc w:val="both"/>
        <w:rPr>
          <w:rFonts w:ascii="Arial" w:hAnsi="Arial" w:cs="Arial"/>
        </w:rPr>
      </w:pPr>
      <w:r w:rsidRPr="004F681E">
        <w:rPr>
          <w:rFonts w:ascii="Arial" w:hAnsi="Arial" w:cs="Arial"/>
          <w:b/>
        </w:rPr>
        <w:t>2.2 Legitimación en la causa</w:t>
      </w:r>
      <w:r w:rsidRPr="004F681E">
        <w:rPr>
          <w:rFonts w:ascii="Arial" w:hAnsi="Arial" w:cs="Arial"/>
        </w:rPr>
        <w:t xml:space="preserve"> </w:t>
      </w:r>
    </w:p>
    <w:p w:rsidR="00390707" w:rsidRPr="004F681E" w:rsidRDefault="00390707" w:rsidP="00390707">
      <w:pPr>
        <w:spacing w:line="360" w:lineRule="auto"/>
        <w:jc w:val="both"/>
        <w:rPr>
          <w:rFonts w:ascii="Arial" w:hAnsi="Arial" w:cs="Arial"/>
        </w:rPr>
      </w:pPr>
    </w:p>
    <w:p w:rsidR="00390707" w:rsidRPr="004F681E" w:rsidRDefault="00390707" w:rsidP="00390707">
      <w:pPr>
        <w:spacing w:line="360" w:lineRule="auto"/>
        <w:jc w:val="both"/>
        <w:rPr>
          <w:rFonts w:ascii="Arial" w:hAnsi="Arial" w:cs="Arial"/>
        </w:rPr>
      </w:pPr>
      <w:r w:rsidRPr="004F681E">
        <w:rPr>
          <w:rFonts w:ascii="Arial" w:hAnsi="Arial" w:cs="Arial"/>
        </w:rPr>
        <w:t>La Sala encuentra que le asiste legitima</w:t>
      </w:r>
      <w:r w:rsidR="00C00279" w:rsidRPr="004F681E">
        <w:rPr>
          <w:rFonts w:ascii="Arial" w:hAnsi="Arial" w:cs="Arial"/>
        </w:rPr>
        <w:t xml:space="preserve">ción en la causa por activa a las sociedades Marketmedios Comunicaciones S.A. y Publik Tecnologías, </w:t>
      </w:r>
      <w:r w:rsidR="00AC55D5" w:rsidRPr="004F681E">
        <w:rPr>
          <w:rFonts w:ascii="Arial" w:hAnsi="Arial" w:cs="Arial"/>
        </w:rPr>
        <w:t>Información</w:t>
      </w:r>
      <w:r w:rsidR="00C00279" w:rsidRPr="004F681E">
        <w:rPr>
          <w:rFonts w:ascii="Arial" w:hAnsi="Arial" w:cs="Arial"/>
        </w:rPr>
        <w:t xml:space="preserve"> y Comunicaciones y Medio Ambiente S.A.S. p</w:t>
      </w:r>
      <w:r w:rsidRPr="004F681E">
        <w:rPr>
          <w:rFonts w:ascii="Arial" w:hAnsi="Arial" w:cs="Arial"/>
        </w:rPr>
        <w:t>ara integrar el extremo demandante, en su condición de miembros de</w:t>
      </w:r>
      <w:r w:rsidR="00E83FBA" w:rsidRPr="004F681E">
        <w:rPr>
          <w:rFonts w:ascii="Arial" w:hAnsi="Arial" w:cs="Arial"/>
        </w:rPr>
        <w:t xml:space="preserve"> </w:t>
      </w:r>
      <w:r w:rsidRPr="004F681E">
        <w:rPr>
          <w:rFonts w:ascii="Arial" w:hAnsi="Arial" w:cs="Arial"/>
        </w:rPr>
        <w:t>l</w:t>
      </w:r>
      <w:r w:rsidR="00E83FBA" w:rsidRPr="004F681E">
        <w:rPr>
          <w:rFonts w:ascii="Arial" w:hAnsi="Arial" w:cs="Arial"/>
        </w:rPr>
        <w:t>a</w:t>
      </w:r>
      <w:r w:rsidRPr="004F681E">
        <w:rPr>
          <w:rFonts w:ascii="Arial" w:hAnsi="Arial" w:cs="Arial"/>
        </w:rPr>
        <w:t xml:space="preserve"> </w:t>
      </w:r>
      <w:r w:rsidR="00C00279" w:rsidRPr="004F681E">
        <w:rPr>
          <w:rFonts w:ascii="Arial" w:hAnsi="Arial" w:cs="Arial"/>
        </w:rPr>
        <w:t xml:space="preserve">unión temporal Publiestadios que fungió como </w:t>
      </w:r>
      <w:r w:rsidRPr="004F681E">
        <w:rPr>
          <w:rFonts w:ascii="Arial" w:hAnsi="Arial" w:cs="Arial"/>
        </w:rPr>
        <w:t>contratista den</w:t>
      </w:r>
      <w:r w:rsidR="00C00279" w:rsidRPr="004F681E">
        <w:rPr>
          <w:rFonts w:ascii="Arial" w:hAnsi="Arial" w:cs="Arial"/>
        </w:rPr>
        <w:t>tro del negocio jurídico No. 475</w:t>
      </w:r>
      <w:r w:rsidRPr="004F681E">
        <w:rPr>
          <w:rFonts w:ascii="Arial" w:hAnsi="Arial" w:cs="Arial"/>
        </w:rPr>
        <w:t xml:space="preserve">, </w:t>
      </w:r>
      <w:r w:rsidR="00C00279" w:rsidRPr="004F681E">
        <w:rPr>
          <w:rFonts w:ascii="Arial" w:hAnsi="Arial" w:cs="Arial"/>
        </w:rPr>
        <w:t>en cuyo desarrollo se produjo el presunto incumplimiento y/o</w:t>
      </w:r>
      <w:r w:rsidRPr="004F681E">
        <w:rPr>
          <w:rFonts w:ascii="Arial" w:hAnsi="Arial" w:cs="Arial"/>
        </w:rPr>
        <w:t xml:space="preserve"> supuesta ruptura del equilibrio económico </w:t>
      </w:r>
      <w:r w:rsidR="00AC55D5" w:rsidRPr="004F681E">
        <w:rPr>
          <w:rFonts w:ascii="Arial" w:hAnsi="Arial" w:cs="Arial"/>
        </w:rPr>
        <w:t xml:space="preserve">en que </w:t>
      </w:r>
      <w:r w:rsidR="00F46EF8" w:rsidRPr="004F681E">
        <w:rPr>
          <w:rFonts w:ascii="Arial" w:hAnsi="Arial" w:cs="Arial"/>
        </w:rPr>
        <w:t xml:space="preserve">se </w:t>
      </w:r>
      <w:r w:rsidR="00AC55D5" w:rsidRPr="004F681E">
        <w:rPr>
          <w:rFonts w:ascii="Arial" w:hAnsi="Arial" w:cs="Arial"/>
        </w:rPr>
        <w:t>erige el conflicto.</w:t>
      </w:r>
      <w:r w:rsidRPr="004F681E">
        <w:rPr>
          <w:rFonts w:ascii="Arial" w:hAnsi="Arial" w:cs="Arial"/>
        </w:rPr>
        <w:t xml:space="preserve"> </w:t>
      </w:r>
    </w:p>
    <w:p w:rsidR="00390707" w:rsidRPr="004F681E" w:rsidRDefault="00390707" w:rsidP="00390707">
      <w:pPr>
        <w:spacing w:line="360" w:lineRule="auto"/>
        <w:jc w:val="both"/>
        <w:rPr>
          <w:rFonts w:ascii="Arial" w:hAnsi="Arial" w:cs="Arial"/>
        </w:rPr>
      </w:pPr>
    </w:p>
    <w:p w:rsidR="00390707" w:rsidRPr="004F681E" w:rsidRDefault="00390707" w:rsidP="00390707">
      <w:pPr>
        <w:spacing w:line="360" w:lineRule="auto"/>
        <w:jc w:val="both"/>
        <w:rPr>
          <w:rFonts w:ascii="Arial" w:hAnsi="Arial" w:cs="Arial"/>
          <w:lang w:val="es-CO"/>
        </w:rPr>
      </w:pPr>
      <w:r w:rsidRPr="004F681E">
        <w:rPr>
          <w:rFonts w:ascii="Arial" w:hAnsi="Arial" w:cs="Arial"/>
        </w:rPr>
        <w:t>Igualmente, halla la Sala legitimado en la causa por pasiva a</w:t>
      </w:r>
      <w:r w:rsidRPr="004F681E">
        <w:rPr>
          <w:rFonts w:ascii="Arial" w:hAnsi="Arial" w:cs="Arial"/>
          <w:lang w:val="es-MX"/>
        </w:rPr>
        <w:t>l</w:t>
      </w:r>
      <w:r w:rsidR="00C00279" w:rsidRPr="004F681E">
        <w:rPr>
          <w:rFonts w:ascii="Arial" w:hAnsi="Arial" w:cs="Arial"/>
          <w:lang w:val="es-MX"/>
        </w:rPr>
        <w:t xml:space="preserve"> Instituto Distrital para la Recreación y el Deporte</w:t>
      </w:r>
      <w:r w:rsidRPr="004F681E">
        <w:rPr>
          <w:rFonts w:ascii="Arial" w:hAnsi="Arial" w:cs="Arial"/>
          <w:lang w:val="es-CO"/>
        </w:rPr>
        <w:t xml:space="preserve">, dada su condición de entidad contratante del negocio jurídico presuntamente </w:t>
      </w:r>
      <w:r w:rsidR="00C00279" w:rsidRPr="004F681E">
        <w:rPr>
          <w:rFonts w:ascii="Arial" w:hAnsi="Arial" w:cs="Arial"/>
          <w:lang w:val="es-CO"/>
        </w:rPr>
        <w:t xml:space="preserve">incumplido y/o </w:t>
      </w:r>
      <w:r w:rsidRPr="004F681E">
        <w:rPr>
          <w:rFonts w:ascii="Arial" w:hAnsi="Arial" w:cs="Arial"/>
          <w:lang w:val="es-CO"/>
        </w:rPr>
        <w:t xml:space="preserve">alterado por la ruptura de su equilibrio económico. </w:t>
      </w:r>
    </w:p>
    <w:p w:rsidR="00386D98" w:rsidRPr="004F681E" w:rsidRDefault="00386D98" w:rsidP="00390707">
      <w:pPr>
        <w:overflowPunct w:val="0"/>
        <w:autoSpaceDE w:val="0"/>
        <w:autoSpaceDN w:val="0"/>
        <w:adjustRightInd w:val="0"/>
        <w:spacing w:line="360" w:lineRule="auto"/>
        <w:ind w:right="-58"/>
        <w:jc w:val="both"/>
        <w:textAlignment w:val="baseline"/>
        <w:rPr>
          <w:rFonts w:ascii="Arial" w:hAnsi="Arial" w:cs="Arial"/>
          <w:b/>
        </w:rPr>
      </w:pP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b/>
        </w:rPr>
      </w:pPr>
      <w:r w:rsidRPr="004F681E">
        <w:rPr>
          <w:rFonts w:ascii="Arial" w:hAnsi="Arial" w:cs="Arial"/>
          <w:b/>
        </w:rPr>
        <w:t xml:space="preserve">3.- Precisiones en torno a los institutos del equilibrio económico del contrato y del incumplimiento contractual. Causas y consecuencias </w:t>
      </w: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p>
    <w:p w:rsidR="00386D98" w:rsidRPr="004F681E" w:rsidRDefault="00386D98"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Advierte la Sala que tanto en la demanda como en el recurso formulado en contra de la sentencia de primera instancia</w:t>
      </w:r>
      <w:r w:rsidR="008055AB" w:rsidRPr="004F681E">
        <w:rPr>
          <w:rFonts w:ascii="Arial" w:hAnsi="Arial" w:cs="Arial"/>
        </w:rPr>
        <w:t>,</w:t>
      </w:r>
      <w:r w:rsidRPr="004F681E">
        <w:rPr>
          <w:rFonts w:ascii="Arial" w:hAnsi="Arial" w:cs="Arial"/>
        </w:rPr>
        <w:t xml:space="preserve"> la parte actora fue categórica en atribuir </w:t>
      </w:r>
      <w:r w:rsidR="008055AB" w:rsidRPr="004F681E">
        <w:rPr>
          <w:rFonts w:ascii="Arial" w:hAnsi="Arial" w:cs="Arial"/>
        </w:rPr>
        <w:t xml:space="preserve">la </w:t>
      </w:r>
      <w:r w:rsidR="008055AB" w:rsidRPr="004F681E">
        <w:rPr>
          <w:rFonts w:ascii="Arial" w:hAnsi="Arial" w:cs="Arial"/>
        </w:rPr>
        <w:lastRenderedPageBreak/>
        <w:t>ocurrencia de los perjuicios deprecados, derivados de la inoperatividad</w:t>
      </w:r>
      <w:r w:rsidR="00D25997" w:rsidRPr="004F681E">
        <w:rPr>
          <w:rFonts w:ascii="Arial" w:hAnsi="Arial" w:cs="Arial"/>
        </w:rPr>
        <w:t>, por dos perí</w:t>
      </w:r>
      <w:r w:rsidR="008055AB" w:rsidRPr="004F681E">
        <w:rPr>
          <w:rFonts w:ascii="Arial" w:hAnsi="Arial" w:cs="Arial"/>
        </w:rPr>
        <w:t>odos</w:t>
      </w:r>
      <w:r w:rsidR="00D25997" w:rsidRPr="004F681E">
        <w:rPr>
          <w:rFonts w:ascii="Arial" w:hAnsi="Arial" w:cs="Arial"/>
        </w:rPr>
        <w:t>,</w:t>
      </w:r>
      <w:r w:rsidR="008055AB" w:rsidRPr="004F681E">
        <w:rPr>
          <w:rFonts w:ascii="Arial" w:hAnsi="Arial" w:cs="Arial"/>
        </w:rPr>
        <w:t xml:space="preserve"> de las pantallas objeto de concesión, al incumplimiento contractual en que </w:t>
      </w:r>
      <w:r w:rsidR="00817AE9" w:rsidRPr="004F681E">
        <w:rPr>
          <w:rFonts w:ascii="Arial" w:hAnsi="Arial" w:cs="Arial"/>
        </w:rPr>
        <w:t xml:space="preserve">presuntamente </w:t>
      </w:r>
      <w:r w:rsidR="008055AB" w:rsidRPr="004F681E">
        <w:rPr>
          <w:rFonts w:ascii="Arial" w:hAnsi="Arial" w:cs="Arial"/>
        </w:rPr>
        <w:t>incurrió la entidad estatal contratante, incumplimiento que</w:t>
      </w:r>
      <w:r w:rsidR="001635EC" w:rsidRPr="004F681E">
        <w:rPr>
          <w:rFonts w:ascii="Arial" w:hAnsi="Arial" w:cs="Arial"/>
        </w:rPr>
        <w:t>, según la actora,</w:t>
      </w:r>
      <w:r w:rsidR="008055AB" w:rsidRPr="004F681E">
        <w:rPr>
          <w:rFonts w:ascii="Arial" w:hAnsi="Arial" w:cs="Arial"/>
        </w:rPr>
        <w:t xml:space="preserve"> se concretó, por un lado</w:t>
      </w:r>
      <w:r w:rsidR="00F46EF8" w:rsidRPr="004F681E">
        <w:rPr>
          <w:rFonts w:ascii="Arial" w:hAnsi="Arial" w:cs="Arial"/>
        </w:rPr>
        <w:t>,</w:t>
      </w:r>
      <w:r w:rsidR="008055AB" w:rsidRPr="004F681E">
        <w:rPr>
          <w:rFonts w:ascii="Arial" w:hAnsi="Arial" w:cs="Arial"/>
        </w:rPr>
        <w:t xml:space="preserve"> en la inobservancia del compromiso relativo al reconocimiento del lucro cesante contraído por la IDRD en el acto mediante el cual modificó unilateralmente el</w:t>
      </w:r>
      <w:r w:rsidR="00817AE9" w:rsidRPr="004F681E">
        <w:rPr>
          <w:rFonts w:ascii="Arial" w:hAnsi="Arial" w:cs="Arial"/>
        </w:rPr>
        <w:t xml:space="preserve"> contrato</w:t>
      </w:r>
      <w:r w:rsidR="008055AB" w:rsidRPr="004F681E">
        <w:rPr>
          <w:rFonts w:ascii="Arial" w:hAnsi="Arial" w:cs="Arial"/>
        </w:rPr>
        <w:t>,</w:t>
      </w:r>
      <w:r w:rsidR="00817AE9" w:rsidRPr="004F681E">
        <w:rPr>
          <w:rFonts w:ascii="Arial" w:hAnsi="Arial" w:cs="Arial"/>
        </w:rPr>
        <w:t xml:space="preserve"> </w:t>
      </w:r>
      <w:r w:rsidR="008055AB" w:rsidRPr="004F681E">
        <w:rPr>
          <w:rFonts w:ascii="Arial" w:hAnsi="Arial" w:cs="Arial"/>
        </w:rPr>
        <w:t xml:space="preserve">y de otro, en el hecho de que le impidió su explotación durante un certamen deportivo por cuenta de un convenio realizado por el </w:t>
      </w:r>
      <w:r w:rsidR="00817AE9" w:rsidRPr="004F681E">
        <w:rPr>
          <w:rFonts w:ascii="Arial" w:hAnsi="Arial" w:cs="Arial"/>
        </w:rPr>
        <w:t>I</w:t>
      </w:r>
      <w:r w:rsidR="008055AB" w:rsidRPr="004F681E">
        <w:rPr>
          <w:rFonts w:ascii="Arial" w:hAnsi="Arial" w:cs="Arial"/>
        </w:rPr>
        <w:t xml:space="preserve">nstituto </w:t>
      </w:r>
      <w:r w:rsidR="00DC3347" w:rsidRPr="004F681E">
        <w:rPr>
          <w:rFonts w:ascii="Arial" w:hAnsi="Arial" w:cs="Arial"/>
        </w:rPr>
        <w:t xml:space="preserve">con la Federación Internacional de Fútbol. </w:t>
      </w:r>
    </w:p>
    <w:p w:rsidR="00E0419E" w:rsidRPr="004F681E" w:rsidRDefault="00E0419E" w:rsidP="00390707">
      <w:pPr>
        <w:overflowPunct w:val="0"/>
        <w:autoSpaceDE w:val="0"/>
        <w:autoSpaceDN w:val="0"/>
        <w:adjustRightInd w:val="0"/>
        <w:spacing w:line="360" w:lineRule="auto"/>
        <w:ind w:right="-58"/>
        <w:jc w:val="both"/>
        <w:textAlignment w:val="baseline"/>
        <w:rPr>
          <w:rFonts w:ascii="Arial" w:hAnsi="Arial" w:cs="Arial"/>
        </w:rPr>
      </w:pPr>
    </w:p>
    <w:p w:rsidR="00390707" w:rsidRPr="004F681E" w:rsidRDefault="00DC3347"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Con todo, no puede pasarse por alto el hecho de que los argumentos de la de</w:t>
      </w:r>
      <w:r w:rsidR="00194E9D" w:rsidRPr="004F681E">
        <w:rPr>
          <w:rFonts w:ascii="Arial" w:hAnsi="Arial" w:cs="Arial"/>
        </w:rPr>
        <w:t xml:space="preserve">fensa y las consideraciones del </w:t>
      </w:r>
      <w:r w:rsidR="00817AE9" w:rsidRPr="004F681E">
        <w:rPr>
          <w:rFonts w:ascii="Arial" w:hAnsi="Arial" w:cs="Arial"/>
        </w:rPr>
        <w:t>fallo impugnado se edificaron sobre</w:t>
      </w:r>
      <w:r w:rsidR="00194E9D" w:rsidRPr="004F681E">
        <w:rPr>
          <w:rFonts w:ascii="Arial" w:hAnsi="Arial" w:cs="Arial"/>
        </w:rPr>
        <w:t xml:space="preserve"> la </w:t>
      </w:r>
      <w:r w:rsidR="00817AE9" w:rsidRPr="004F681E">
        <w:rPr>
          <w:rFonts w:ascii="Arial" w:hAnsi="Arial" w:cs="Arial"/>
        </w:rPr>
        <w:t xml:space="preserve">base de la </w:t>
      </w:r>
      <w:r w:rsidR="00194E9D" w:rsidRPr="004F681E">
        <w:rPr>
          <w:rFonts w:ascii="Arial" w:hAnsi="Arial" w:cs="Arial"/>
        </w:rPr>
        <w:t>ausencia de ruptura del equilibrio económico del Contrato de Concesi</w:t>
      </w:r>
      <w:r w:rsidR="00B44B12" w:rsidRPr="004F681E">
        <w:rPr>
          <w:rFonts w:ascii="Arial" w:hAnsi="Arial" w:cs="Arial"/>
        </w:rPr>
        <w:t xml:space="preserve">ón No. </w:t>
      </w:r>
      <w:r w:rsidR="008A0EBE" w:rsidRPr="004F681E">
        <w:rPr>
          <w:rFonts w:ascii="Arial" w:hAnsi="Arial" w:cs="Arial"/>
        </w:rPr>
        <w:t xml:space="preserve">475 de 2007. </w:t>
      </w:r>
    </w:p>
    <w:p w:rsidR="00817AE9" w:rsidRPr="004F681E" w:rsidRDefault="00817AE9" w:rsidP="00390707">
      <w:pPr>
        <w:overflowPunct w:val="0"/>
        <w:autoSpaceDE w:val="0"/>
        <w:autoSpaceDN w:val="0"/>
        <w:adjustRightInd w:val="0"/>
        <w:spacing w:line="360" w:lineRule="auto"/>
        <w:ind w:right="-58"/>
        <w:jc w:val="both"/>
        <w:textAlignment w:val="baseline"/>
        <w:rPr>
          <w:rFonts w:ascii="Arial" w:hAnsi="Arial" w:cs="Arial"/>
        </w:rPr>
      </w:pP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 xml:space="preserve">Teniendo en cuenta el escenario </w:t>
      </w:r>
      <w:r w:rsidR="00817AE9" w:rsidRPr="004F681E">
        <w:rPr>
          <w:rFonts w:ascii="Arial" w:hAnsi="Arial" w:cs="Arial"/>
        </w:rPr>
        <w:t>argumentativo en que se cimentaron la causa petendi, la contradicción y la sentencia impugnada</w:t>
      </w:r>
      <w:r w:rsidRPr="004F681E">
        <w:rPr>
          <w:rFonts w:ascii="Arial" w:hAnsi="Arial" w:cs="Arial"/>
        </w:rPr>
        <w:t xml:space="preserve">, la Sala advierte la necesidad de realizar algunas puntualizaciones sobre el particular, con el fin de determinar el tratamiento jurídico que debe dispensarse para resolver el caso concreto. </w:t>
      </w: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 xml:space="preserve">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 </w:t>
      </w: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p>
    <w:p w:rsidR="00390707" w:rsidRPr="004F681E" w:rsidRDefault="00390707" w:rsidP="00390707">
      <w:pPr>
        <w:autoSpaceDN w:val="0"/>
        <w:spacing w:line="360" w:lineRule="auto"/>
        <w:jc w:val="both"/>
        <w:rPr>
          <w:rFonts w:ascii="Arial" w:hAnsi="Arial" w:cs="Arial"/>
        </w:rPr>
      </w:pPr>
      <w:r w:rsidRPr="004F681E">
        <w:rPr>
          <w:rFonts w:ascii="Arial" w:hAnsi="Arial" w:cs="Arial"/>
        </w:rPr>
        <w:t xml:space="preserve">En efecto, </w:t>
      </w:r>
      <w:bookmarkStart w:id="1" w:name="_Hlk29560017"/>
      <w:r w:rsidRPr="004F681E">
        <w:rPr>
          <w:rFonts w:ascii="Arial" w:hAnsi="Arial" w:cs="Arial"/>
        </w:rPr>
        <w:t>no han sido po</w:t>
      </w:r>
      <w:r w:rsidR="00F2301F" w:rsidRPr="004F681E">
        <w:rPr>
          <w:rFonts w:ascii="Arial" w:hAnsi="Arial" w:cs="Arial"/>
        </w:rPr>
        <w:t>cos los pronunciamientos de esta</w:t>
      </w:r>
      <w:r w:rsidRPr="004F681E">
        <w:rPr>
          <w:rFonts w:ascii="Arial" w:hAnsi="Arial" w:cs="Arial"/>
        </w:rPr>
        <w:t xml:space="preserv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w:t>
      </w:r>
      <w:bookmarkEnd w:id="1"/>
    </w:p>
    <w:p w:rsidR="00390707" w:rsidRPr="004F681E" w:rsidRDefault="00390707" w:rsidP="00390707">
      <w:pPr>
        <w:autoSpaceDN w:val="0"/>
        <w:spacing w:line="360" w:lineRule="auto"/>
        <w:jc w:val="both"/>
        <w:rPr>
          <w:rFonts w:ascii="Arial" w:hAnsi="Arial" w:cs="Arial"/>
        </w:rPr>
      </w:pPr>
    </w:p>
    <w:p w:rsidR="00390707" w:rsidRPr="004F681E" w:rsidRDefault="00390707" w:rsidP="00390707">
      <w:pPr>
        <w:autoSpaceDN w:val="0"/>
        <w:spacing w:line="360" w:lineRule="auto"/>
        <w:jc w:val="both"/>
        <w:rPr>
          <w:rFonts w:ascii="Arial" w:hAnsi="Arial" w:cs="Arial"/>
        </w:rPr>
      </w:pPr>
      <w:r w:rsidRPr="004F681E">
        <w:rPr>
          <w:rFonts w:ascii="Arial" w:hAnsi="Arial" w:cs="Arial"/>
        </w:rPr>
        <w:t xml:space="preserve">En ese sentido, </w:t>
      </w:r>
      <w:bookmarkStart w:id="2" w:name="_Hlk29560045"/>
      <w:r w:rsidRPr="004F681E">
        <w:rPr>
          <w:rFonts w:ascii="Arial" w:hAnsi="Arial" w:cs="Arial"/>
        </w:rPr>
        <w:t>ha sostenido que dicha equivalencia puede verse afectada ya fuere por factores externos a las partes</w:t>
      </w:r>
      <w:r w:rsidR="00E83FBA" w:rsidRPr="004F681E">
        <w:rPr>
          <w:rFonts w:ascii="Arial" w:hAnsi="Arial" w:cs="Arial"/>
        </w:rPr>
        <w:t>,</w:t>
      </w:r>
      <w:r w:rsidRPr="004F681E">
        <w:rPr>
          <w:rFonts w:ascii="Arial" w:hAnsi="Arial" w:cs="Arial"/>
        </w:rPr>
        <w:t xml:space="preserve">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4F681E">
        <w:rPr>
          <w:rFonts w:ascii="Arial" w:hAnsi="Arial" w:cs="Arial"/>
          <w:i/>
        </w:rPr>
        <w:t>Hecho del Príncipe</w:t>
      </w:r>
      <w:r w:rsidRPr="004F681E">
        <w:rPr>
          <w:rFonts w:ascii="Arial" w:hAnsi="Arial" w:cs="Arial"/>
        </w:rPr>
        <w:t>” o “</w:t>
      </w:r>
      <w:r w:rsidRPr="004F681E">
        <w:rPr>
          <w:rFonts w:ascii="Arial" w:hAnsi="Arial" w:cs="Arial"/>
          <w:i/>
        </w:rPr>
        <w:t xml:space="preserve">Ius variandi”, </w:t>
      </w:r>
      <w:r w:rsidRPr="004F681E">
        <w:rPr>
          <w:rFonts w:ascii="Arial" w:hAnsi="Arial" w:cs="Arial"/>
        </w:rPr>
        <w:t xml:space="preserve">dependiendo de la entidad de donde emanen, pero que no se derivan de la conducta antijurídica del extremo público contratante. </w:t>
      </w:r>
    </w:p>
    <w:bookmarkEnd w:id="2"/>
    <w:p w:rsidR="00390707" w:rsidRPr="004F681E" w:rsidRDefault="00390707" w:rsidP="00390707">
      <w:pPr>
        <w:autoSpaceDN w:val="0"/>
        <w:spacing w:line="360" w:lineRule="auto"/>
        <w:jc w:val="both"/>
        <w:rPr>
          <w:rFonts w:ascii="Arial" w:hAnsi="Arial" w:cs="Arial"/>
        </w:rPr>
      </w:pPr>
    </w:p>
    <w:p w:rsidR="00390707" w:rsidRPr="004F681E" w:rsidRDefault="00390707" w:rsidP="00390707">
      <w:pPr>
        <w:autoSpaceDN w:val="0"/>
        <w:spacing w:line="360" w:lineRule="auto"/>
        <w:jc w:val="both"/>
        <w:rPr>
          <w:rFonts w:ascii="Arial" w:hAnsi="Arial" w:cs="Arial"/>
          <w:color w:val="000000"/>
          <w:lang w:val="es-ES_tradnl"/>
        </w:rPr>
      </w:pPr>
      <w:r w:rsidRPr="004F681E">
        <w:rPr>
          <w:rFonts w:ascii="Arial" w:hAnsi="Arial" w:cs="Arial"/>
        </w:rPr>
        <w:t xml:space="preserve">Ahora bien, </w:t>
      </w:r>
      <w:bookmarkStart w:id="3" w:name="_Hlk29560089"/>
      <w:r w:rsidRPr="004F681E">
        <w:rPr>
          <w:rFonts w:ascii="Arial" w:hAnsi="Arial" w:cs="Arial"/>
        </w:rPr>
        <w:t xml:space="preserve">este acontecimiento dará lugar a que la parte afectada solicite a su co-contratante la adopción de </w:t>
      </w:r>
      <w:r w:rsidRPr="004F681E">
        <w:rPr>
          <w:rFonts w:ascii="Arial" w:hAnsi="Arial" w:cs="Arial"/>
          <w:color w:val="000000"/>
          <w:lang w:val="es-ES_tradnl"/>
        </w:rPr>
        <w:t xml:space="preserve">los mecanismos de ajuste y revisión de precios, así como la implementación de los procedimientos de revisión y corrección de tales mecanismos si fracasan los supuestos o hipótesis para la ejecución del contrato. </w:t>
      </w:r>
    </w:p>
    <w:bookmarkEnd w:id="3"/>
    <w:p w:rsidR="00390707" w:rsidRPr="004F681E" w:rsidRDefault="00390707" w:rsidP="00390707">
      <w:pPr>
        <w:overflowPunct w:val="0"/>
        <w:autoSpaceDE w:val="0"/>
        <w:autoSpaceDN w:val="0"/>
        <w:adjustRightInd w:val="0"/>
        <w:spacing w:line="276" w:lineRule="auto"/>
        <w:ind w:right="567"/>
        <w:jc w:val="both"/>
        <w:rPr>
          <w:rFonts w:ascii="Arial" w:hAnsi="Arial" w:cs="Arial"/>
          <w:i/>
        </w:rPr>
      </w:pPr>
    </w:p>
    <w:p w:rsidR="00390707" w:rsidRPr="004F681E" w:rsidRDefault="00390707" w:rsidP="00390707">
      <w:pPr>
        <w:overflowPunct w:val="0"/>
        <w:autoSpaceDE w:val="0"/>
        <w:autoSpaceDN w:val="0"/>
        <w:adjustRightInd w:val="0"/>
        <w:spacing w:line="360" w:lineRule="auto"/>
        <w:jc w:val="both"/>
        <w:rPr>
          <w:rFonts w:ascii="Arial" w:hAnsi="Arial" w:cs="Arial"/>
        </w:rPr>
      </w:pPr>
      <w:r w:rsidRPr="004F681E">
        <w:rPr>
          <w:rFonts w:ascii="Arial" w:hAnsi="Arial" w:cs="Arial"/>
        </w:rPr>
        <w:t xml:space="preserve">Contrario seunsu, </w:t>
      </w:r>
      <w:bookmarkStart w:id="4" w:name="_Hlk29560399"/>
      <w:r w:rsidRPr="004F681E">
        <w:rPr>
          <w:rFonts w:ascii="Arial" w:hAnsi="Arial" w:cs="Arial"/>
        </w:rPr>
        <w:t>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bookmarkEnd w:id="4"/>
    <w:p w:rsidR="00390707" w:rsidRPr="004F681E" w:rsidRDefault="00390707" w:rsidP="00390707">
      <w:pPr>
        <w:overflowPunct w:val="0"/>
        <w:autoSpaceDE w:val="0"/>
        <w:autoSpaceDN w:val="0"/>
        <w:adjustRightInd w:val="0"/>
        <w:spacing w:line="360" w:lineRule="auto"/>
        <w:jc w:val="both"/>
        <w:rPr>
          <w:rFonts w:ascii="Arial" w:hAnsi="Arial" w:cs="Arial"/>
        </w:rPr>
      </w:pPr>
    </w:p>
    <w:p w:rsidR="00390707" w:rsidRPr="004F681E" w:rsidRDefault="00390707" w:rsidP="00390707">
      <w:pPr>
        <w:overflowPunct w:val="0"/>
        <w:autoSpaceDE w:val="0"/>
        <w:autoSpaceDN w:val="0"/>
        <w:adjustRightInd w:val="0"/>
        <w:spacing w:line="360" w:lineRule="auto"/>
        <w:jc w:val="both"/>
        <w:rPr>
          <w:rFonts w:ascii="Arial" w:hAnsi="Arial" w:cs="Arial"/>
        </w:rPr>
      </w:pPr>
      <w:r w:rsidRPr="004F681E">
        <w:rPr>
          <w:rFonts w:ascii="Arial" w:hAnsi="Arial" w:cs="Arial"/>
        </w:rPr>
        <w:t xml:space="preserve">Cabe agregar que </w:t>
      </w:r>
      <w:bookmarkStart w:id="5" w:name="_Hlk29560424"/>
      <w:r w:rsidRPr="004F681E">
        <w:rPr>
          <w:rFonts w:ascii="Arial" w:hAnsi="Arial" w:cs="Arial"/>
        </w:rPr>
        <w:t xml:space="preserve">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bookmarkEnd w:id="5"/>
    <w:p w:rsidR="00390707" w:rsidRPr="004F681E" w:rsidRDefault="00390707" w:rsidP="00390707">
      <w:pPr>
        <w:overflowPunct w:val="0"/>
        <w:autoSpaceDE w:val="0"/>
        <w:autoSpaceDN w:val="0"/>
        <w:adjustRightInd w:val="0"/>
        <w:spacing w:line="360" w:lineRule="auto"/>
        <w:jc w:val="both"/>
        <w:rPr>
          <w:rFonts w:ascii="Arial" w:hAnsi="Arial" w:cs="Arial"/>
        </w:rPr>
      </w:pPr>
    </w:p>
    <w:p w:rsidR="00390707" w:rsidRPr="004F681E" w:rsidRDefault="00390707" w:rsidP="00390707">
      <w:pPr>
        <w:overflowPunct w:val="0"/>
        <w:autoSpaceDE w:val="0"/>
        <w:autoSpaceDN w:val="0"/>
        <w:adjustRightInd w:val="0"/>
        <w:spacing w:line="360" w:lineRule="auto"/>
        <w:jc w:val="both"/>
        <w:rPr>
          <w:rFonts w:ascii="Arial" w:hAnsi="Arial" w:cs="Arial"/>
        </w:rPr>
      </w:pPr>
      <w:r w:rsidRPr="004F681E">
        <w:rPr>
          <w:rFonts w:ascii="Arial" w:hAnsi="Arial" w:cs="Arial"/>
        </w:rPr>
        <w:t xml:space="preserve">Así mismo, </w:t>
      </w:r>
      <w:bookmarkStart w:id="6" w:name="_Hlk29560438"/>
      <w:r w:rsidRPr="004F681E">
        <w:rPr>
          <w:rFonts w:ascii="Arial" w:hAnsi="Arial" w:cs="Arial"/>
        </w:rPr>
        <w:t>tiene ocurrencia cuando la actuación de las partes desconoce el catálogo de principios que orientan la contratación estatal y que igualmente se entienden incorporados en la relación jurídica bilateral</w:t>
      </w:r>
      <w:bookmarkEnd w:id="6"/>
      <w:r w:rsidRPr="004F681E">
        <w:rPr>
          <w:rFonts w:ascii="Arial" w:hAnsi="Arial" w:cs="Arial"/>
          <w:vertAlign w:val="superscript"/>
        </w:rPr>
        <w:footnoteReference w:id="5"/>
      </w:r>
      <w:r w:rsidRPr="004F681E">
        <w:rPr>
          <w:rFonts w:ascii="Arial" w:hAnsi="Arial" w:cs="Arial"/>
        </w:rPr>
        <w:t xml:space="preserve">. </w:t>
      </w:r>
    </w:p>
    <w:p w:rsidR="00390707" w:rsidRPr="004F681E" w:rsidRDefault="00390707" w:rsidP="00390707">
      <w:pPr>
        <w:overflowPunct w:val="0"/>
        <w:autoSpaceDE w:val="0"/>
        <w:autoSpaceDN w:val="0"/>
        <w:adjustRightInd w:val="0"/>
        <w:spacing w:line="360" w:lineRule="auto"/>
        <w:jc w:val="both"/>
        <w:rPr>
          <w:rFonts w:ascii="Arial" w:hAnsi="Arial" w:cs="Arial"/>
        </w:rPr>
      </w:pPr>
    </w:p>
    <w:p w:rsidR="00390707" w:rsidRPr="004F681E" w:rsidRDefault="00390707" w:rsidP="00390707">
      <w:pPr>
        <w:overflowPunct w:val="0"/>
        <w:autoSpaceDE w:val="0"/>
        <w:autoSpaceDN w:val="0"/>
        <w:adjustRightInd w:val="0"/>
        <w:spacing w:line="360" w:lineRule="auto"/>
        <w:jc w:val="both"/>
        <w:rPr>
          <w:rFonts w:ascii="Arial" w:hAnsi="Arial" w:cs="Arial"/>
        </w:rPr>
      </w:pPr>
      <w:r w:rsidRPr="004F681E">
        <w:rPr>
          <w:rFonts w:ascii="Arial" w:hAnsi="Arial" w:cs="Arial"/>
        </w:rPr>
        <w:t xml:space="preserve">Como se aprecia, </w:t>
      </w:r>
      <w:bookmarkStart w:id="7" w:name="_Hlk29560449"/>
      <w:r w:rsidRPr="004F681E">
        <w:rPr>
          <w:rFonts w:ascii="Arial" w:hAnsi="Arial" w:cs="Arial"/>
        </w:rPr>
        <w:t>el incumplimiento se origina en una conducta alejada de la juridicidad de uno de los extremos co-contratantes que, de manera injustificada</w:t>
      </w:r>
      <w:r w:rsidR="00E83FBA" w:rsidRPr="004F681E">
        <w:rPr>
          <w:rFonts w:ascii="Arial" w:hAnsi="Arial" w:cs="Arial"/>
        </w:rPr>
        <w:t>,</w:t>
      </w:r>
      <w:r w:rsidRPr="004F681E">
        <w:rPr>
          <w:rFonts w:ascii="Arial" w:hAnsi="Arial" w:cs="Arial"/>
        </w:rPr>
        <w:t xml:space="preserve"> se sustrae de la satisfacción de las prestaciones a su cargo en el tiempo y en la forma estipulados. Su ocurrencia invade la órbita de la responsabilidad contractual y</w:t>
      </w:r>
      <w:r w:rsidR="00E83FBA" w:rsidRPr="004F681E">
        <w:rPr>
          <w:rFonts w:ascii="Arial" w:hAnsi="Arial" w:cs="Arial"/>
        </w:rPr>
        <w:t>,</w:t>
      </w:r>
      <w:r w:rsidRPr="004F681E">
        <w:rPr>
          <w:rFonts w:ascii="Arial" w:hAnsi="Arial" w:cs="Arial"/>
        </w:rPr>
        <w:t xml:space="preserve"> desde esa perspectiva, la parte cumplida podrá acudir a la jurisdicción en procura de obtener la resolución del vínculo obligación, el cumplimiento del compromiso insatisfecho y la indemnización de los perjuicios causados. </w:t>
      </w:r>
    </w:p>
    <w:bookmarkEnd w:id="7"/>
    <w:p w:rsidR="00390707" w:rsidRPr="004F681E" w:rsidRDefault="00390707" w:rsidP="00390707">
      <w:pPr>
        <w:overflowPunct w:val="0"/>
        <w:autoSpaceDE w:val="0"/>
        <w:autoSpaceDN w:val="0"/>
        <w:adjustRightInd w:val="0"/>
        <w:spacing w:line="360" w:lineRule="auto"/>
        <w:jc w:val="both"/>
        <w:rPr>
          <w:rFonts w:ascii="Arial" w:hAnsi="Arial" w:cs="Arial"/>
        </w:rPr>
      </w:pPr>
    </w:p>
    <w:p w:rsidR="00390707" w:rsidRPr="004F681E" w:rsidRDefault="00390707" w:rsidP="00390707">
      <w:pPr>
        <w:overflowPunct w:val="0"/>
        <w:autoSpaceDE w:val="0"/>
        <w:autoSpaceDN w:val="0"/>
        <w:adjustRightInd w:val="0"/>
        <w:spacing w:line="360" w:lineRule="auto"/>
        <w:jc w:val="both"/>
        <w:rPr>
          <w:rFonts w:ascii="Arial" w:hAnsi="Arial" w:cs="Arial"/>
          <w:color w:val="000000"/>
          <w:lang w:val="es-ES_tradnl"/>
        </w:rPr>
      </w:pPr>
      <w:r w:rsidRPr="004F681E">
        <w:rPr>
          <w:rFonts w:ascii="Arial" w:hAnsi="Arial" w:cs="Arial"/>
          <w:color w:val="000000"/>
          <w:lang w:val="es-ES_tradnl"/>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Pr="004F681E">
        <w:rPr>
          <w:rFonts w:ascii="Arial" w:hAnsi="Arial" w:cs="Arial"/>
          <w:i/>
          <w:color w:val="000000"/>
          <w:vertAlign w:val="superscript"/>
          <w:lang w:val="es-ES_tradnl"/>
        </w:rPr>
        <w:footnoteReference w:id="6"/>
      </w:r>
      <w:r w:rsidRPr="004F681E">
        <w:rPr>
          <w:rFonts w:ascii="Arial" w:hAnsi="Arial" w:cs="Arial"/>
          <w:i/>
          <w:color w:val="000000"/>
          <w:lang w:val="es-ES_tradnl"/>
        </w:rPr>
        <w:t>.</w:t>
      </w:r>
    </w:p>
    <w:p w:rsidR="00390707" w:rsidRPr="004F681E" w:rsidRDefault="00390707" w:rsidP="00390707">
      <w:pPr>
        <w:overflowPunct w:val="0"/>
        <w:autoSpaceDE w:val="0"/>
        <w:autoSpaceDN w:val="0"/>
        <w:adjustRightInd w:val="0"/>
        <w:ind w:right="-58"/>
        <w:jc w:val="both"/>
        <w:textAlignment w:val="baseline"/>
        <w:rPr>
          <w:rFonts w:ascii="Arial" w:hAnsi="Arial" w:cs="Arial"/>
        </w:rPr>
      </w:pPr>
    </w:p>
    <w:p w:rsidR="00F77B93" w:rsidRPr="004F681E" w:rsidRDefault="00390707" w:rsidP="00390707">
      <w:pPr>
        <w:overflowPunct w:val="0"/>
        <w:autoSpaceDE w:val="0"/>
        <w:autoSpaceDN w:val="0"/>
        <w:adjustRightInd w:val="0"/>
        <w:spacing w:line="360" w:lineRule="auto"/>
        <w:jc w:val="both"/>
        <w:rPr>
          <w:rFonts w:ascii="Arial" w:hAnsi="Arial" w:cs="Arial"/>
          <w:color w:val="000000"/>
          <w:lang w:val="es-ES_tradnl"/>
        </w:rPr>
      </w:pPr>
      <w:r w:rsidRPr="004F681E">
        <w:rPr>
          <w:rFonts w:ascii="Arial" w:hAnsi="Arial" w:cs="Arial"/>
          <w:color w:val="000000"/>
          <w:lang w:val="es-ES_tradnl"/>
        </w:rPr>
        <w:t xml:space="preserve">Ahora bien, aunque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 </w:t>
      </w:r>
    </w:p>
    <w:p w:rsidR="00B415E3" w:rsidRPr="004F681E" w:rsidRDefault="00B415E3" w:rsidP="00390707">
      <w:pPr>
        <w:overflowPunct w:val="0"/>
        <w:autoSpaceDE w:val="0"/>
        <w:autoSpaceDN w:val="0"/>
        <w:adjustRightInd w:val="0"/>
        <w:spacing w:line="360" w:lineRule="auto"/>
        <w:jc w:val="both"/>
        <w:rPr>
          <w:rFonts w:ascii="Arial" w:hAnsi="Arial" w:cs="Arial"/>
          <w:color w:val="000000"/>
          <w:lang w:val="es-ES_tradnl"/>
        </w:rPr>
      </w:pPr>
    </w:p>
    <w:p w:rsidR="00390707" w:rsidRPr="004F681E" w:rsidRDefault="00390707" w:rsidP="00390707">
      <w:pPr>
        <w:overflowPunct w:val="0"/>
        <w:autoSpaceDE w:val="0"/>
        <w:autoSpaceDN w:val="0"/>
        <w:adjustRightInd w:val="0"/>
        <w:spacing w:line="276" w:lineRule="auto"/>
        <w:ind w:left="567" w:right="567"/>
        <w:jc w:val="both"/>
        <w:rPr>
          <w:rFonts w:ascii="Arial" w:hAnsi="Arial" w:cs="Arial"/>
          <w:i/>
          <w:color w:val="000000"/>
          <w:lang w:val="es-ES_tradnl"/>
        </w:rPr>
      </w:pPr>
      <w:r w:rsidRPr="004F681E">
        <w:rPr>
          <w:rFonts w:ascii="Arial" w:hAnsi="Arial" w:cs="Arial"/>
          <w:i/>
          <w:lang w:val="es-ES_tradnl"/>
        </w:rPr>
        <w:t>“Realizadas</w:t>
      </w:r>
      <w:r w:rsidRPr="004F681E">
        <w:rPr>
          <w:rFonts w:ascii="Arial" w:hAnsi="Arial" w:cs="Arial"/>
          <w:i/>
        </w:rPr>
        <w:t xml:space="preserve"> las anteriores precisiones conceptuales en torno a la figura del restablecimiento del equilibrio económico, conviene agregar </w:t>
      </w:r>
      <w:r w:rsidRPr="004F681E">
        <w:rPr>
          <w:rFonts w:ascii="Arial" w:hAnsi="Arial" w:cs="Arial"/>
          <w:i/>
          <w:color w:val="000000"/>
          <w:lang w:val="es-ES_tradnl"/>
        </w:rPr>
        <w:t>que el tratamiento jurisprudencial en torno al tema de incumplimiento contractual, como causal generadora de la ruptura del equilibrio económico del negocio jurídico, ha sido pendular en cuanto en veces se han adoptado posturas que permiten que su ubicación se radique en el terreno de la responsabilidad contractual</w:t>
      </w:r>
      <w:r w:rsidRPr="004F681E">
        <w:rPr>
          <w:rFonts w:ascii="Arial" w:hAnsi="Arial" w:cs="Arial"/>
          <w:i/>
          <w:color w:val="000000"/>
          <w:vertAlign w:val="superscript"/>
          <w:lang w:val="es-ES_tradnl"/>
        </w:rPr>
        <w:footnoteReference w:id="7"/>
      </w:r>
      <w:r w:rsidRPr="004F681E">
        <w:rPr>
          <w:rFonts w:ascii="Arial" w:hAnsi="Arial" w:cs="Arial"/>
          <w:i/>
          <w:color w:val="000000"/>
          <w:lang w:val="es-ES_tradnl"/>
        </w:rPr>
        <w:t xml:space="preserve"> aceptando así la inobservancia del contenido obligacional de uno de los extremos contratantes como causa eficiente de dicho quebranto, mientras que en otras tantas se ha hecho y mantenido la distinción para efectos de identificar el equilibrio económico y su ruptura como un fenómeno ajeno por completo a las nociones de incumplimiento y/o de responsabilidad contractual</w:t>
      </w:r>
      <w:r w:rsidRPr="004F681E">
        <w:rPr>
          <w:rFonts w:ascii="Arial" w:hAnsi="Arial" w:cs="Arial"/>
          <w:i/>
          <w:color w:val="000000"/>
          <w:vertAlign w:val="superscript"/>
          <w:lang w:val="es-ES_tradnl"/>
        </w:rPr>
        <w:footnoteReference w:id="8"/>
      </w:r>
      <w:r w:rsidRPr="004F681E">
        <w:rPr>
          <w:rFonts w:ascii="Arial" w:hAnsi="Arial" w:cs="Arial"/>
          <w:i/>
          <w:color w:val="000000"/>
          <w:lang w:val="es-ES_tradnl"/>
        </w:rPr>
        <w:t>.</w:t>
      </w:r>
    </w:p>
    <w:p w:rsidR="00390707" w:rsidRPr="004F681E" w:rsidRDefault="00390707" w:rsidP="00390707">
      <w:pPr>
        <w:overflowPunct w:val="0"/>
        <w:autoSpaceDE w:val="0"/>
        <w:autoSpaceDN w:val="0"/>
        <w:adjustRightInd w:val="0"/>
        <w:spacing w:line="276" w:lineRule="auto"/>
        <w:ind w:right="567"/>
        <w:jc w:val="both"/>
        <w:rPr>
          <w:rFonts w:ascii="Arial" w:hAnsi="Arial" w:cs="Arial"/>
          <w:i/>
          <w:color w:val="000000"/>
          <w:lang w:val="es-ES_tradnl"/>
        </w:rPr>
      </w:pPr>
    </w:p>
    <w:p w:rsidR="00390707" w:rsidRPr="004F681E" w:rsidRDefault="00390707" w:rsidP="00390707">
      <w:pPr>
        <w:overflowPunct w:val="0"/>
        <w:autoSpaceDE w:val="0"/>
        <w:autoSpaceDN w:val="0"/>
        <w:adjustRightInd w:val="0"/>
        <w:spacing w:line="276" w:lineRule="auto"/>
        <w:ind w:left="567" w:right="567"/>
        <w:jc w:val="both"/>
        <w:rPr>
          <w:rFonts w:ascii="Arial" w:hAnsi="Arial" w:cs="Arial"/>
          <w:i/>
          <w:color w:val="000000"/>
          <w:lang w:val="es-ES_tradnl"/>
        </w:rPr>
      </w:pPr>
      <w:r w:rsidRPr="004F681E">
        <w:rPr>
          <w:rFonts w:ascii="Arial" w:hAnsi="Arial" w:cs="Arial"/>
          <w:i/>
          <w:color w:val="000000"/>
          <w:lang w:val="es-ES_tradnl"/>
        </w:rPr>
        <w:t>“(…).</w:t>
      </w:r>
    </w:p>
    <w:p w:rsidR="00390707" w:rsidRPr="004F681E" w:rsidRDefault="00390707" w:rsidP="00390707">
      <w:pPr>
        <w:overflowPunct w:val="0"/>
        <w:autoSpaceDE w:val="0"/>
        <w:autoSpaceDN w:val="0"/>
        <w:adjustRightInd w:val="0"/>
        <w:spacing w:line="276" w:lineRule="auto"/>
        <w:ind w:left="567" w:right="567"/>
        <w:jc w:val="both"/>
        <w:rPr>
          <w:rFonts w:ascii="Arial" w:hAnsi="Arial" w:cs="Arial"/>
          <w:i/>
          <w:color w:val="000000"/>
          <w:lang w:val="es-ES_tradnl"/>
        </w:rPr>
      </w:pPr>
    </w:p>
    <w:p w:rsidR="00390707" w:rsidRPr="004F681E" w:rsidRDefault="00390707" w:rsidP="00390707">
      <w:pPr>
        <w:overflowPunct w:val="0"/>
        <w:autoSpaceDE w:val="0"/>
        <w:autoSpaceDN w:val="0"/>
        <w:adjustRightInd w:val="0"/>
        <w:spacing w:line="276" w:lineRule="auto"/>
        <w:ind w:left="567" w:right="567"/>
        <w:jc w:val="both"/>
        <w:rPr>
          <w:rFonts w:ascii="Arial" w:hAnsi="Arial" w:cs="Arial"/>
          <w:i/>
          <w:color w:val="000000"/>
          <w:lang w:val="es-ES_tradnl"/>
        </w:rPr>
      </w:pPr>
      <w:r w:rsidRPr="004F681E">
        <w:rPr>
          <w:rFonts w:ascii="Arial" w:hAnsi="Arial" w:cs="Arial"/>
          <w:i/>
          <w:color w:val="000000"/>
          <w:lang w:val="es-ES_tradnl"/>
        </w:rPr>
        <w:t>“Para la Sala, en estricto rigor, aun cuando las normas vigentes propician ese tratamiento indiscriminado de la figura del incumplimiento contractual como una de las génesis del desbalance de la ecuación contractual, imperativo resulta puntualizar, una vez más, que el instituto del equilibrio económico en materia de contratación estatal tiene y ha tenido como propósito fundamental la conservación, durante la vida del contrato, de las condiciones técnicas, económicas y financieras existentes al momento del nacimiento del vínculo”</w:t>
      </w:r>
      <w:r w:rsidRPr="004F681E">
        <w:rPr>
          <w:rFonts w:ascii="Arial" w:hAnsi="Arial" w:cs="Arial"/>
          <w:i/>
          <w:color w:val="000000"/>
          <w:vertAlign w:val="superscript"/>
          <w:lang w:val="es-ES_tradnl"/>
        </w:rPr>
        <w:footnoteReference w:id="9"/>
      </w:r>
      <w:r w:rsidRPr="004F681E">
        <w:rPr>
          <w:rFonts w:ascii="Arial" w:hAnsi="Arial" w:cs="Arial"/>
          <w:i/>
          <w:color w:val="000000"/>
          <w:lang w:val="es-ES_tradnl"/>
        </w:rPr>
        <w:t>.</w:t>
      </w: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i/>
          <w:color w:val="000000"/>
          <w:lang w:val="es-ES_tradnl"/>
        </w:rPr>
      </w:pP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color w:val="000000"/>
          <w:lang w:val="es-ES_tradnl"/>
        </w:rPr>
      </w:pPr>
      <w:r w:rsidRPr="004F681E">
        <w:rPr>
          <w:rFonts w:ascii="Arial" w:hAnsi="Arial" w:cs="Arial"/>
          <w:color w:val="000000"/>
          <w:lang w:val="es-ES_tradnl"/>
        </w:rPr>
        <w:t xml:space="preserve">De cualquier modo, en atención al principio constitucional que impone la prevalencia de lo sustancial sobre la forma, corresponderá al Juez de la causa determinar en cada caso concreto desde cuál óptica debe emprenderse el respectivo análisis. </w:t>
      </w:r>
    </w:p>
    <w:p w:rsidR="00390707"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p>
    <w:p w:rsidR="0044597B" w:rsidRPr="004F681E" w:rsidRDefault="00390707"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Descendido lo anterior al caso concreto, la Sala evidencia que</w:t>
      </w:r>
      <w:r w:rsidR="004C0525" w:rsidRPr="004F681E">
        <w:rPr>
          <w:rFonts w:ascii="Arial" w:hAnsi="Arial" w:cs="Arial"/>
        </w:rPr>
        <w:t xml:space="preserve"> el su</w:t>
      </w:r>
      <w:r w:rsidR="00ED08C7" w:rsidRPr="004F681E">
        <w:rPr>
          <w:rFonts w:ascii="Arial" w:hAnsi="Arial" w:cs="Arial"/>
        </w:rPr>
        <w:t xml:space="preserve">puesto </w:t>
      </w:r>
      <w:r w:rsidR="004C0525" w:rsidRPr="004F681E">
        <w:rPr>
          <w:rFonts w:ascii="Arial" w:hAnsi="Arial" w:cs="Arial"/>
        </w:rPr>
        <w:t>f</w:t>
      </w:r>
      <w:r w:rsidR="00ED08C7" w:rsidRPr="004F681E">
        <w:rPr>
          <w:rFonts w:ascii="Arial" w:hAnsi="Arial" w:cs="Arial"/>
        </w:rPr>
        <w:t>áctico</w:t>
      </w:r>
      <w:r w:rsidR="004C0525" w:rsidRPr="004F681E">
        <w:rPr>
          <w:rFonts w:ascii="Arial" w:hAnsi="Arial" w:cs="Arial"/>
        </w:rPr>
        <w:t xml:space="preserve"> reclamación y la causa del daño alegado se centra en la conducta de la entidad estatal materializada en: </w:t>
      </w:r>
    </w:p>
    <w:p w:rsidR="003C7F2A" w:rsidRPr="004F681E" w:rsidRDefault="003C7F2A" w:rsidP="003C7F2A">
      <w:pPr>
        <w:numPr>
          <w:ilvl w:val="0"/>
          <w:numId w:val="7"/>
        </w:num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 xml:space="preserve">      El </w:t>
      </w:r>
      <w:r w:rsidR="004C0525" w:rsidRPr="004F681E">
        <w:rPr>
          <w:rFonts w:ascii="Arial" w:hAnsi="Arial" w:cs="Arial"/>
        </w:rPr>
        <w:t>desconocimiento de su propio acto contractual</w:t>
      </w:r>
      <w:r w:rsidR="00E83FBA" w:rsidRPr="004F681E">
        <w:rPr>
          <w:rFonts w:ascii="Arial" w:hAnsi="Arial" w:cs="Arial"/>
        </w:rPr>
        <w:t>,</w:t>
      </w:r>
      <w:r w:rsidR="004C0525" w:rsidRPr="004F681E">
        <w:rPr>
          <w:rFonts w:ascii="Arial" w:hAnsi="Arial" w:cs="Arial"/>
        </w:rPr>
        <w:t xml:space="preserve"> expedido en etapa de ejecución</w:t>
      </w:r>
      <w:r w:rsidR="00E83FBA" w:rsidRPr="004F681E">
        <w:rPr>
          <w:rFonts w:ascii="Arial" w:hAnsi="Arial" w:cs="Arial"/>
        </w:rPr>
        <w:t>,</w:t>
      </w:r>
      <w:r w:rsidR="004C0525" w:rsidRPr="004F681E">
        <w:rPr>
          <w:rFonts w:ascii="Arial" w:hAnsi="Arial" w:cs="Arial"/>
        </w:rPr>
        <w:t xml:space="preserve"> en virtud el cual como consecuencia de la modificación unilateral del contrato, consistente en la reubicación de la pantalla exterior, se obligó a si misma a reconocer el lucro cesante que de esa situación podría derivarse y</w:t>
      </w:r>
      <w:r w:rsidR="00F77B93" w:rsidRPr="004F681E">
        <w:rPr>
          <w:rFonts w:ascii="Arial" w:hAnsi="Arial" w:cs="Arial"/>
        </w:rPr>
        <w:t>, no obstante ello,</w:t>
      </w:r>
      <w:r w:rsidR="004C0525" w:rsidRPr="004F681E">
        <w:rPr>
          <w:rFonts w:ascii="Arial" w:hAnsi="Arial" w:cs="Arial"/>
        </w:rPr>
        <w:t xml:space="preserve"> posteriormente se negó a su pago aduciendo que no se había presentado una alteración al equilibrio econ</w:t>
      </w:r>
      <w:r w:rsidRPr="004F681E">
        <w:rPr>
          <w:rFonts w:ascii="Arial" w:hAnsi="Arial" w:cs="Arial"/>
        </w:rPr>
        <w:t>ómico.</w:t>
      </w:r>
    </w:p>
    <w:p w:rsidR="00ED08C7" w:rsidRPr="004F681E" w:rsidRDefault="003C7F2A" w:rsidP="00390707">
      <w:pPr>
        <w:numPr>
          <w:ilvl w:val="0"/>
          <w:numId w:val="7"/>
        </w:num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 xml:space="preserve">     Q</w:t>
      </w:r>
      <w:r w:rsidR="0082775B" w:rsidRPr="004F681E">
        <w:rPr>
          <w:rFonts w:ascii="Arial" w:hAnsi="Arial" w:cs="Arial"/>
        </w:rPr>
        <w:t xml:space="preserve">ue privó </w:t>
      </w:r>
      <w:r w:rsidR="00F77B93" w:rsidRPr="004F681E">
        <w:rPr>
          <w:rFonts w:ascii="Arial" w:hAnsi="Arial" w:cs="Arial"/>
        </w:rPr>
        <w:t xml:space="preserve">al concesionario </w:t>
      </w:r>
      <w:r w:rsidR="0082775B" w:rsidRPr="004F681E">
        <w:rPr>
          <w:rFonts w:ascii="Arial" w:hAnsi="Arial" w:cs="Arial"/>
        </w:rPr>
        <w:t xml:space="preserve">de la explotación de las pantallas objeto del contrato de concesión </w:t>
      </w:r>
      <w:r w:rsidRPr="004F681E">
        <w:rPr>
          <w:rFonts w:ascii="Arial" w:hAnsi="Arial" w:cs="Arial"/>
        </w:rPr>
        <w:t>durante el certamen del futbol Sub-20</w:t>
      </w:r>
      <w:r w:rsidR="00E83FBA" w:rsidRPr="004F681E">
        <w:rPr>
          <w:rFonts w:ascii="Arial" w:hAnsi="Arial" w:cs="Arial"/>
        </w:rPr>
        <w:t>,</w:t>
      </w:r>
      <w:r w:rsidR="00F46EF8" w:rsidRPr="004F681E">
        <w:rPr>
          <w:rFonts w:ascii="Arial" w:hAnsi="Arial" w:cs="Arial"/>
        </w:rPr>
        <w:t xml:space="preserve"> por cuenta de</w:t>
      </w:r>
      <w:r w:rsidRPr="004F681E">
        <w:rPr>
          <w:rFonts w:ascii="Arial" w:hAnsi="Arial" w:cs="Arial"/>
        </w:rPr>
        <w:t xml:space="preserve"> una obligación adquirida</w:t>
      </w:r>
      <w:r w:rsidR="00ED08C7" w:rsidRPr="004F681E">
        <w:rPr>
          <w:rFonts w:ascii="Arial" w:hAnsi="Arial" w:cs="Arial"/>
        </w:rPr>
        <w:t xml:space="preserve"> por la entidad con</w:t>
      </w:r>
      <w:r w:rsidR="00E83FBA" w:rsidRPr="004F681E">
        <w:rPr>
          <w:rFonts w:ascii="Arial" w:hAnsi="Arial" w:cs="Arial"/>
        </w:rPr>
        <w:t xml:space="preserve">tratante con la FIFA que </w:t>
      </w:r>
      <w:r w:rsidR="000515ED" w:rsidRPr="004F681E">
        <w:rPr>
          <w:rFonts w:ascii="Arial" w:hAnsi="Arial" w:cs="Arial"/>
        </w:rPr>
        <w:t xml:space="preserve">estribó </w:t>
      </w:r>
      <w:r w:rsidR="00ED08C7" w:rsidRPr="004F681E">
        <w:rPr>
          <w:rFonts w:ascii="Arial" w:hAnsi="Arial" w:cs="Arial"/>
        </w:rPr>
        <w:t xml:space="preserve">en no presentar </w:t>
      </w:r>
      <w:r w:rsidR="009B0A82" w:rsidRPr="004F681E">
        <w:rPr>
          <w:rFonts w:ascii="Arial" w:hAnsi="Arial" w:cs="Arial"/>
        </w:rPr>
        <w:t>algún</w:t>
      </w:r>
      <w:r w:rsidR="00ED08C7" w:rsidRPr="004F681E">
        <w:rPr>
          <w:rFonts w:ascii="Arial" w:hAnsi="Arial" w:cs="Arial"/>
        </w:rPr>
        <w:t xml:space="preserve"> tipo de publicidad promocional durante el evento deportivo. </w:t>
      </w:r>
    </w:p>
    <w:p w:rsidR="00390707" w:rsidRPr="004F681E" w:rsidRDefault="00595409"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Ante el panorama expuesto</w:t>
      </w:r>
      <w:r w:rsidR="00ED08C7" w:rsidRPr="004F681E">
        <w:rPr>
          <w:rFonts w:ascii="Arial" w:hAnsi="Arial" w:cs="Arial"/>
        </w:rPr>
        <w:t>, la Sala considera que</w:t>
      </w:r>
      <w:r w:rsidR="00740CF3" w:rsidRPr="004F681E">
        <w:rPr>
          <w:rFonts w:ascii="Arial" w:hAnsi="Arial" w:cs="Arial"/>
        </w:rPr>
        <w:t xml:space="preserve"> ambos supuestos </w:t>
      </w:r>
      <w:r w:rsidR="00D41059" w:rsidRPr="004F681E">
        <w:rPr>
          <w:rFonts w:ascii="Arial" w:hAnsi="Arial" w:cs="Arial"/>
        </w:rPr>
        <w:t>concierne</w:t>
      </w:r>
      <w:r w:rsidR="00740CF3" w:rsidRPr="004F681E">
        <w:rPr>
          <w:rFonts w:ascii="Arial" w:hAnsi="Arial" w:cs="Arial"/>
        </w:rPr>
        <w:t>n</w:t>
      </w:r>
      <w:r w:rsidR="00E0419E" w:rsidRPr="004F681E">
        <w:rPr>
          <w:rFonts w:ascii="Arial" w:hAnsi="Arial" w:cs="Arial"/>
        </w:rPr>
        <w:t xml:space="preserve"> examinarse a la luz del instituto del eq</w:t>
      </w:r>
      <w:r w:rsidR="00307169" w:rsidRPr="004F681E">
        <w:rPr>
          <w:rFonts w:ascii="Arial" w:hAnsi="Arial" w:cs="Arial"/>
        </w:rPr>
        <w:t>uilibrio económico del contrato</w:t>
      </w:r>
      <w:r w:rsidR="00FC176D" w:rsidRPr="004F681E">
        <w:rPr>
          <w:rFonts w:ascii="Arial" w:hAnsi="Arial" w:cs="Arial"/>
        </w:rPr>
        <w:t xml:space="preserve"> por las razones que se expondrán en acápites subsiguientes</w:t>
      </w:r>
      <w:r w:rsidR="00307169" w:rsidRPr="004F681E">
        <w:rPr>
          <w:rFonts w:ascii="Arial" w:hAnsi="Arial" w:cs="Arial"/>
        </w:rPr>
        <w:t xml:space="preserve">. </w:t>
      </w:r>
    </w:p>
    <w:p w:rsidR="00307169" w:rsidRPr="004F681E" w:rsidRDefault="00307169" w:rsidP="00390707">
      <w:pPr>
        <w:overflowPunct w:val="0"/>
        <w:autoSpaceDE w:val="0"/>
        <w:autoSpaceDN w:val="0"/>
        <w:adjustRightInd w:val="0"/>
        <w:spacing w:line="360" w:lineRule="auto"/>
        <w:ind w:right="-58"/>
        <w:jc w:val="both"/>
        <w:textAlignment w:val="baseline"/>
        <w:rPr>
          <w:rFonts w:ascii="Arial" w:hAnsi="Arial" w:cs="Arial"/>
        </w:rPr>
      </w:pPr>
    </w:p>
    <w:p w:rsidR="00307169" w:rsidRPr="004F681E" w:rsidRDefault="00FC176D"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rPr>
        <w:t>E</w:t>
      </w:r>
      <w:r w:rsidR="00307169" w:rsidRPr="004F681E">
        <w:rPr>
          <w:rFonts w:ascii="Arial" w:hAnsi="Arial" w:cs="Arial"/>
        </w:rPr>
        <w:t>n orden</w:t>
      </w:r>
      <w:r w:rsidR="00F77B93" w:rsidRPr="004F681E">
        <w:rPr>
          <w:rFonts w:ascii="Arial" w:hAnsi="Arial" w:cs="Arial"/>
        </w:rPr>
        <w:t xml:space="preserve"> a descender las explicaciones</w:t>
      </w:r>
      <w:r w:rsidR="00307169" w:rsidRPr="004F681E">
        <w:rPr>
          <w:rFonts w:ascii="Arial" w:hAnsi="Arial" w:cs="Arial"/>
        </w:rPr>
        <w:t xml:space="preserve"> que anteceden a</w:t>
      </w:r>
      <w:r w:rsidR="00F77B93" w:rsidRPr="004F681E">
        <w:rPr>
          <w:rFonts w:ascii="Arial" w:hAnsi="Arial" w:cs="Arial"/>
        </w:rPr>
        <w:t xml:space="preserve">l caso concreto, la Sala iniciará por </w:t>
      </w:r>
      <w:r w:rsidR="00307169" w:rsidRPr="004F681E">
        <w:rPr>
          <w:rFonts w:ascii="Arial" w:hAnsi="Arial" w:cs="Arial"/>
        </w:rPr>
        <w:t>referirse a los hechos que</w:t>
      </w:r>
      <w:r w:rsidR="00F77B93" w:rsidRPr="004F681E">
        <w:rPr>
          <w:rFonts w:ascii="Arial" w:hAnsi="Arial" w:cs="Arial"/>
        </w:rPr>
        <w:t>,</w:t>
      </w:r>
      <w:r w:rsidR="00307169" w:rsidRPr="004F681E">
        <w:rPr>
          <w:rFonts w:ascii="Arial" w:hAnsi="Arial" w:cs="Arial"/>
        </w:rPr>
        <w:t xml:space="preserve"> de manera genérica</w:t>
      </w:r>
      <w:r w:rsidR="00F77B93" w:rsidRPr="004F681E">
        <w:rPr>
          <w:rFonts w:ascii="Arial" w:hAnsi="Arial" w:cs="Arial"/>
        </w:rPr>
        <w:t>,</w:t>
      </w:r>
      <w:r w:rsidR="00307169" w:rsidRPr="004F681E">
        <w:rPr>
          <w:rFonts w:ascii="Arial" w:hAnsi="Arial" w:cs="Arial"/>
        </w:rPr>
        <w:t xml:space="preserve"> han sido materia de demostración y que interesan al caso concreto</w:t>
      </w:r>
      <w:r w:rsidR="00D41059" w:rsidRPr="004F681E">
        <w:rPr>
          <w:rFonts w:ascii="Arial" w:hAnsi="Arial" w:cs="Arial"/>
        </w:rPr>
        <w:t>,</w:t>
      </w:r>
      <w:r w:rsidR="00DF48CA" w:rsidRPr="004F681E">
        <w:rPr>
          <w:rFonts w:ascii="Arial" w:hAnsi="Arial" w:cs="Arial"/>
        </w:rPr>
        <w:t xml:space="preserve"> para luego circunscribirse al análisis espec</w:t>
      </w:r>
      <w:r w:rsidR="00D41059" w:rsidRPr="004F681E">
        <w:rPr>
          <w:rFonts w:ascii="Arial" w:hAnsi="Arial" w:cs="Arial"/>
        </w:rPr>
        <w:t>í</w:t>
      </w:r>
      <w:r w:rsidR="00DF48CA" w:rsidRPr="004F681E">
        <w:rPr>
          <w:rFonts w:ascii="Arial" w:hAnsi="Arial" w:cs="Arial"/>
        </w:rPr>
        <w:t xml:space="preserve">fico de los cargos en que se fundamentó la apelación. </w:t>
      </w:r>
    </w:p>
    <w:p w:rsidR="007B6C98" w:rsidRPr="004F681E" w:rsidRDefault="007B6C98" w:rsidP="00390707">
      <w:pPr>
        <w:overflowPunct w:val="0"/>
        <w:autoSpaceDE w:val="0"/>
        <w:autoSpaceDN w:val="0"/>
        <w:adjustRightInd w:val="0"/>
        <w:spacing w:line="360" w:lineRule="auto"/>
        <w:ind w:right="-58"/>
        <w:jc w:val="both"/>
        <w:textAlignment w:val="baseline"/>
        <w:rPr>
          <w:rFonts w:ascii="Arial" w:hAnsi="Arial" w:cs="Arial"/>
        </w:rPr>
      </w:pPr>
    </w:p>
    <w:p w:rsidR="00F17B2B" w:rsidRPr="004F681E" w:rsidRDefault="00031A5E" w:rsidP="00390707">
      <w:pPr>
        <w:overflowPunct w:val="0"/>
        <w:autoSpaceDE w:val="0"/>
        <w:autoSpaceDN w:val="0"/>
        <w:adjustRightInd w:val="0"/>
        <w:spacing w:line="360" w:lineRule="auto"/>
        <w:ind w:right="-58"/>
        <w:jc w:val="both"/>
        <w:textAlignment w:val="baseline"/>
        <w:rPr>
          <w:rFonts w:ascii="Arial" w:hAnsi="Arial" w:cs="Arial"/>
        </w:rPr>
      </w:pPr>
      <w:r w:rsidRPr="004F681E">
        <w:rPr>
          <w:rFonts w:ascii="Arial" w:hAnsi="Arial" w:cs="Arial"/>
          <w:b/>
        </w:rPr>
        <w:t xml:space="preserve">4.- </w:t>
      </w:r>
      <w:r w:rsidR="00F17B2B" w:rsidRPr="004F681E">
        <w:rPr>
          <w:rFonts w:ascii="Arial" w:hAnsi="Arial" w:cs="Arial"/>
          <w:b/>
        </w:rPr>
        <w:t>Hechos probados</w:t>
      </w:r>
      <w:r w:rsidR="00F17B2B" w:rsidRPr="004F681E">
        <w:rPr>
          <w:rFonts w:ascii="Arial" w:hAnsi="Arial" w:cs="Arial"/>
        </w:rPr>
        <w:t xml:space="preserve">: </w:t>
      </w:r>
    </w:p>
    <w:p w:rsidR="00F17B2B" w:rsidRPr="004F681E" w:rsidRDefault="00F17B2B" w:rsidP="00390707">
      <w:pPr>
        <w:overflowPunct w:val="0"/>
        <w:autoSpaceDE w:val="0"/>
        <w:autoSpaceDN w:val="0"/>
        <w:adjustRightInd w:val="0"/>
        <w:spacing w:line="360" w:lineRule="auto"/>
        <w:ind w:right="-58"/>
        <w:jc w:val="both"/>
        <w:textAlignment w:val="baseline"/>
        <w:rPr>
          <w:rFonts w:ascii="Arial" w:hAnsi="Arial" w:cs="Arial"/>
        </w:rPr>
      </w:pPr>
    </w:p>
    <w:p w:rsidR="00D30E86" w:rsidRPr="004F681E" w:rsidRDefault="00F17B2B" w:rsidP="00307169">
      <w:pPr>
        <w:spacing w:line="360" w:lineRule="auto"/>
        <w:jc w:val="both"/>
        <w:rPr>
          <w:rFonts w:ascii="Arial" w:hAnsi="Arial" w:cs="Arial"/>
          <w:lang w:val="es-CO"/>
        </w:rPr>
      </w:pPr>
      <w:r w:rsidRPr="004F681E">
        <w:rPr>
          <w:rFonts w:ascii="Arial" w:hAnsi="Arial" w:cs="Arial"/>
          <w:lang w:val="es-CO"/>
        </w:rPr>
        <w:t xml:space="preserve">-. </w:t>
      </w:r>
      <w:r w:rsidR="00D30E86" w:rsidRPr="004F681E">
        <w:rPr>
          <w:rFonts w:ascii="Arial" w:hAnsi="Arial" w:cs="Arial"/>
          <w:lang w:val="es-CO"/>
        </w:rPr>
        <w:t xml:space="preserve">Mediante Resolución </w:t>
      </w:r>
      <w:r w:rsidRPr="004F681E">
        <w:rPr>
          <w:rFonts w:ascii="Arial" w:hAnsi="Arial" w:cs="Arial"/>
          <w:lang w:val="es-CO"/>
        </w:rPr>
        <w:t>No. 774 del 29 de diciembre de 2006</w:t>
      </w:r>
      <w:r w:rsidR="003E05CD" w:rsidRPr="004F681E">
        <w:rPr>
          <w:rFonts w:ascii="Arial" w:hAnsi="Arial" w:cs="Arial"/>
          <w:lang w:val="es-CO"/>
        </w:rPr>
        <w:t>,</w:t>
      </w:r>
      <w:r w:rsidRPr="004F681E">
        <w:rPr>
          <w:rFonts w:ascii="Arial" w:hAnsi="Arial" w:cs="Arial"/>
          <w:lang w:val="es-CO"/>
        </w:rPr>
        <w:t xml:space="preserve"> el Instituto </w:t>
      </w:r>
      <w:r w:rsidR="0042015C" w:rsidRPr="004F681E">
        <w:rPr>
          <w:rFonts w:ascii="Arial" w:hAnsi="Arial" w:cs="Arial"/>
          <w:lang w:val="es-CO"/>
        </w:rPr>
        <w:t>Distrital</w:t>
      </w:r>
      <w:r w:rsidRPr="004F681E">
        <w:rPr>
          <w:rFonts w:ascii="Arial" w:hAnsi="Arial" w:cs="Arial"/>
          <w:lang w:val="es-CO"/>
        </w:rPr>
        <w:t xml:space="preserve"> para la Recreación y el Deporte dio apertura a la Licitación Pública No. IDRD-STP-LP-036-2006</w:t>
      </w:r>
      <w:r w:rsidR="003E05CD" w:rsidRPr="004F681E">
        <w:rPr>
          <w:rFonts w:ascii="Arial" w:hAnsi="Arial" w:cs="Arial"/>
          <w:lang w:val="es-CO"/>
        </w:rPr>
        <w:t>,</w:t>
      </w:r>
      <w:r w:rsidRPr="004F681E">
        <w:rPr>
          <w:rFonts w:ascii="Arial" w:hAnsi="Arial" w:cs="Arial"/>
          <w:lang w:val="es-CO"/>
        </w:rPr>
        <w:t xml:space="preserve"> con el objeto de entregar en concesión el suministro, instalación, mantenimiento, operación y prestación del servicio de la pantalla gigante del estadio Nemesio Camacho El </w:t>
      </w:r>
      <w:r w:rsidR="009870ED" w:rsidRPr="004F681E">
        <w:rPr>
          <w:rFonts w:ascii="Arial" w:hAnsi="Arial" w:cs="Arial"/>
          <w:lang w:val="es-CO"/>
        </w:rPr>
        <w:t>Campín</w:t>
      </w:r>
      <w:r w:rsidRPr="004F681E">
        <w:rPr>
          <w:rFonts w:ascii="Arial" w:hAnsi="Arial" w:cs="Arial"/>
          <w:lang w:val="es-CO"/>
        </w:rPr>
        <w:t>.</w:t>
      </w:r>
    </w:p>
    <w:p w:rsidR="00F17B2B" w:rsidRPr="004F681E" w:rsidRDefault="00F17B2B" w:rsidP="00307169">
      <w:pPr>
        <w:spacing w:line="360" w:lineRule="auto"/>
        <w:jc w:val="both"/>
        <w:rPr>
          <w:rFonts w:ascii="Arial" w:hAnsi="Arial" w:cs="Arial"/>
          <w:lang w:val="es-CO"/>
        </w:rPr>
      </w:pPr>
    </w:p>
    <w:p w:rsidR="00307169" w:rsidRPr="004F681E" w:rsidRDefault="00307169" w:rsidP="00307169">
      <w:pPr>
        <w:spacing w:line="360" w:lineRule="auto"/>
        <w:jc w:val="both"/>
        <w:rPr>
          <w:rFonts w:ascii="Arial" w:hAnsi="Arial" w:cs="Arial"/>
          <w:lang w:val="es-CO"/>
        </w:rPr>
      </w:pPr>
      <w:r w:rsidRPr="004F681E">
        <w:rPr>
          <w:rFonts w:ascii="Arial" w:hAnsi="Arial" w:cs="Arial"/>
          <w:lang w:val="es-CO"/>
        </w:rPr>
        <w:t>Según el pliego de condiciones base</w:t>
      </w:r>
      <w:r w:rsidR="003654AC" w:rsidRPr="004F681E">
        <w:rPr>
          <w:rFonts w:ascii="Arial" w:hAnsi="Arial" w:cs="Arial"/>
          <w:lang w:val="es-CO"/>
        </w:rPr>
        <w:t xml:space="preserve"> de</w:t>
      </w:r>
      <w:r w:rsidRPr="004F681E">
        <w:rPr>
          <w:rFonts w:ascii="Arial" w:hAnsi="Arial" w:cs="Arial"/>
          <w:lang w:val="es-CO"/>
        </w:rPr>
        <w:t xml:space="preserve"> </w:t>
      </w:r>
      <w:r w:rsidR="0042015C" w:rsidRPr="004F681E">
        <w:rPr>
          <w:rFonts w:ascii="Arial" w:hAnsi="Arial" w:cs="Arial"/>
          <w:lang w:val="es-CO"/>
        </w:rPr>
        <w:t>la Licitación P</w:t>
      </w:r>
      <w:r w:rsidRPr="004F681E">
        <w:rPr>
          <w:rFonts w:ascii="Arial" w:hAnsi="Arial" w:cs="Arial"/>
          <w:lang w:val="es-CO"/>
        </w:rPr>
        <w:t xml:space="preserve">ública No. IDRD-STP-LP-036-2006, las características técnicas de los elementos objeto de la concesión </w:t>
      </w:r>
      <w:r w:rsidRPr="004F681E">
        <w:rPr>
          <w:rFonts w:ascii="Arial" w:hAnsi="Arial" w:cs="Arial"/>
          <w:lang w:val="es-CO"/>
        </w:rPr>
        <w:lastRenderedPageBreak/>
        <w:t>destinado</w:t>
      </w:r>
      <w:r w:rsidR="0042015C" w:rsidRPr="004F681E">
        <w:rPr>
          <w:rFonts w:ascii="Arial" w:hAnsi="Arial" w:cs="Arial"/>
          <w:lang w:val="es-CO"/>
        </w:rPr>
        <w:t>s</w:t>
      </w:r>
      <w:r w:rsidRPr="004F681E">
        <w:rPr>
          <w:rFonts w:ascii="Arial" w:hAnsi="Arial" w:cs="Arial"/>
          <w:lang w:val="es-CO"/>
        </w:rPr>
        <w:t xml:space="preserve"> para la </w:t>
      </w:r>
      <w:r w:rsidR="00BB762D" w:rsidRPr="004F681E">
        <w:rPr>
          <w:rFonts w:ascii="Arial" w:hAnsi="Arial" w:cs="Arial"/>
          <w:lang w:val="es-CO"/>
        </w:rPr>
        <w:t xml:space="preserve">operación y </w:t>
      </w:r>
      <w:r w:rsidRPr="004F681E">
        <w:rPr>
          <w:rFonts w:ascii="Arial" w:hAnsi="Arial" w:cs="Arial"/>
          <w:lang w:val="es-CO"/>
        </w:rPr>
        <w:t xml:space="preserve">prestación del servicio de pantalla gigante en el Estadio el </w:t>
      </w:r>
      <w:r w:rsidR="009870ED" w:rsidRPr="004F681E">
        <w:rPr>
          <w:rFonts w:ascii="Arial" w:hAnsi="Arial" w:cs="Arial"/>
          <w:lang w:val="es-CO"/>
        </w:rPr>
        <w:t>Campín</w:t>
      </w:r>
      <w:r w:rsidRPr="004F681E">
        <w:rPr>
          <w:rFonts w:ascii="Arial" w:hAnsi="Arial" w:cs="Arial"/>
          <w:lang w:val="es-CO"/>
        </w:rPr>
        <w:t xml:space="preserve"> fueron las siguientes</w:t>
      </w:r>
      <w:r w:rsidRPr="004F681E">
        <w:rPr>
          <w:rStyle w:val="Refdenotaalpie"/>
          <w:rFonts w:ascii="Arial" w:hAnsi="Arial" w:cs="Arial"/>
          <w:lang w:val="es-CO"/>
        </w:rPr>
        <w:footnoteReference w:id="10"/>
      </w:r>
      <w:r w:rsidRPr="004F681E">
        <w:rPr>
          <w:rFonts w:ascii="Arial" w:hAnsi="Arial" w:cs="Arial"/>
          <w:lang w:val="es-CO"/>
        </w:rPr>
        <w:t xml:space="preserve">: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“7.2. TABLERO INTERIOR.</w:t>
      </w:r>
    </w:p>
    <w:p w:rsidR="00307169" w:rsidRPr="004F681E" w:rsidRDefault="00BB762D" w:rsidP="00307169">
      <w:pPr>
        <w:spacing w:line="276" w:lineRule="auto"/>
        <w:ind w:left="567" w:right="567"/>
        <w:jc w:val="both"/>
        <w:rPr>
          <w:rFonts w:ascii="Arial" w:hAnsi="Arial" w:cs="Arial"/>
          <w:i/>
          <w:lang w:val="es-CO"/>
        </w:rPr>
      </w:pPr>
      <w:r w:rsidRPr="004F681E">
        <w:rPr>
          <w:rFonts w:ascii="Arial" w:hAnsi="Arial" w:cs="Arial"/>
          <w:i/>
          <w:lang w:val="es-CO"/>
        </w:rPr>
        <w:t>“</w:t>
      </w:r>
      <w:r w:rsidR="00307169" w:rsidRPr="004F681E">
        <w:rPr>
          <w:rFonts w:ascii="Arial" w:hAnsi="Arial" w:cs="Arial"/>
          <w:i/>
          <w:lang w:val="es-CO"/>
        </w:rPr>
        <w:t>Denominado así por tratarse del tablero que exhibirá la información que podrán ver las personas que se encuentren en el interior del escenario deportivo; y es el espacio total que el IDRD ha destinado para la explotación comercial a través de anuncios publicitarios por parte del contratista, y en donde deberá estar ubicada la Pantalla electrónica. Debe tener en cuenta, que el IDRD ha considerado en sus estudios previos dejar a criterio del futuro contratista el aprovechamiento de la cara posterior del tablero interior.</w:t>
      </w:r>
    </w:p>
    <w:p w:rsidR="00307169" w:rsidRPr="004F681E" w:rsidRDefault="00BB762D" w:rsidP="00307169">
      <w:pPr>
        <w:spacing w:line="276" w:lineRule="auto"/>
        <w:ind w:left="567" w:right="567"/>
        <w:jc w:val="both"/>
        <w:rPr>
          <w:rFonts w:ascii="Arial" w:hAnsi="Arial" w:cs="Arial"/>
          <w:i/>
          <w:lang w:val="es-CO"/>
        </w:rPr>
      </w:pPr>
      <w:r w:rsidRPr="004F681E">
        <w:rPr>
          <w:rFonts w:ascii="Arial" w:hAnsi="Arial" w:cs="Arial"/>
          <w:i/>
          <w:lang w:val="es-CO"/>
        </w:rPr>
        <w:t>“</w:t>
      </w:r>
      <w:r w:rsidR="00307169" w:rsidRPr="004F681E">
        <w:rPr>
          <w:rFonts w:ascii="Arial" w:hAnsi="Arial" w:cs="Arial"/>
          <w:i/>
          <w:lang w:val="es-CO"/>
        </w:rPr>
        <w:t>(…)</w:t>
      </w:r>
    </w:p>
    <w:p w:rsidR="00307169" w:rsidRPr="004F681E" w:rsidRDefault="00BB762D" w:rsidP="00307169">
      <w:pPr>
        <w:spacing w:line="276" w:lineRule="auto"/>
        <w:ind w:left="567" w:right="567"/>
        <w:jc w:val="both"/>
        <w:rPr>
          <w:rFonts w:ascii="Arial" w:hAnsi="Arial" w:cs="Arial"/>
          <w:i/>
          <w:lang w:val="es-CO"/>
        </w:rPr>
      </w:pPr>
      <w:r w:rsidRPr="004F681E">
        <w:rPr>
          <w:rFonts w:ascii="Arial" w:hAnsi="Arial" w:cs="Arial"/>
          <w:i/>
          <w:lang w:val="es-CO"/>
        </w:rPr>
        <w:t>“</w:t>
      </w:r>
      <w:r w:rsidR="00307169" w:rsidRPr="004F681E">
        <w:rPr>
          <w:rFonts w:ascii="Arial" w:hAnsi="Arial" w:cs="Arial"/>
          <w:i/>
          <w:lang w:val="es-CO"/>
        </w:rPr>
        <w:t>7.2.1. Dimensiones</w:t>
      </w:r>
    </w:p>
    <w:p w:rsidR="00307169" w:rsidRPr="004F681E" w:rsidRDefault="00307169" w:rsidP="00307169">
      <w:pPr>
        <w:spacing w:line="276" w:lineRule="auto"/>
        <w:ind w:left="567" w:right="567"/>
        <w:jc w:val="both"/>
        <w:rPr>
          <w:rFonts w:ascii="Arial" w:hAnsi="Arial" w:cs="Arial"/>
          <w:i/>
          <w:lang w:val="es-CO"/>
        </w:rPr>
      </w:pPr>
    </w:p>
    <w:p w:rsidR="00307169" w:rsidRPr="004F681E" w:rsidRDefault="009061FE" w:rsidP="00307169">
      <w:pPr>
        <w:spacing w:line="276" w:lineRule="auto"/>
        <w:ind w:left="567" w:right="567"/>
        <w:jc w:val="both"/>
        <w:rPr>
          <w:rFonts w:ascii="Arial" w:hAnsi="Arial" w:cs="Arial"/>
          <w:i/>
          <w:lang w:val="es-CO"/>
        </w:rPr>
      </w:pPr>
      <w:r w:rsidRPr="004F681E">
        <w:rPr>
          <w:rFonts w:ascii="Arial" w:hAnsi="Arial" w:cs="Arial"/>
          <w:i/>
          <w:lang w:val="es-CO"/>
        </w:rPr>
        <w:t>“El tablero interior cuen</w:t>
      </w:r>
      <w:r w:rsidR="00307169" w:rsidRPr="004F681E">
        <w:rPr>
          <w:rFonts w:ascii="Arial" w:hAnsi="Arial" w:cs="Arial"/>
          <w:i/>
          <w:lang w:val="es-CO"/>
        </w:rPr>
        <w:t>ta con un largo total de 18.5 metros y una altura máxima de 8 metros, de los cuales al menos 9.5 metros de su longitud y 5.5 metros de su altura deben estar ocupados por la Pantalla Electrónica. El área restante será distribuida para exhibir publicidad fija y/o electrónica, la hora, el tiempo de juego y un indicador o marcador de juego (…).</w:t>
      </w:r>
    </w:p>
    <w:p w:rsidR="00307169" w:rsidRPr="004F681E" w:rsidRDefault="00307169" w:rsidP="00307169">
      <w:pPr>
        <w:spacing w:line="276" w:lineRule="auto"/>
        <w:ind w:left="567" w:right="567"/>
        <w:jc w:val="both"/>
        <w:rPr>
          <w:rFonts w:ascii="Arial" w:hAnsi="Arial" w:cs="Arial"/>
          <w:i/>
          <w:lang w:val="es-CO"/>
        </w:rPr>
      </w:pP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“7.2.2. características técnicas:</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 xml:space="preserve">“-. El tablero interior deberá </w:t>
      </w:r>
      <w:r w:rsidR="003E05CD" w:rsidRPr="004F681E">
        <w:rPr>
          <w:rFonts w:ascii="Arial" w:hAnsi="Arial" w:cs="Arial"/>
          <w:i/>
          <w:lang w:val="es-CO"/>
        </w:rPr>
        <w:t xml:space="preserve">estar </w:t>
      </w:r>
      <w:r w:rsidRPr="004F681E">
        <w:rPr>
          <w:rFonts w:ascii="Arial" w:hAnsi="Arial" w:cs="Arial"/>
          <w:i/>
          <w:lang w:val="es-CO"/>
        </w:rPr>
        <w:t xml:space="preserve">soportado por la estructura requerida, de acuerdo con los estudios y diseños estructurales adelantados por el concesionario para tal fin. </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 Consta de una electrónica, y dos áreas adicionales para publicidad electrónica y/o fija y una última para indicador electrónico del marcador y tiempo de juego.</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“7.3. TABLERO EXTERIOR</w:t>
      </w:r>
      <w:r w:rsidR="00307D05" w:rsidRPr="004F681E">
        <w:rPr>
          <w:rFonts w:ascii="Arial" w:hAnsi="Arial" w:cs="Arial"/>
          <w:i/>
          <w:lang w:val="es-CO"/>
        </w:rPr>
        <w:t>.</w:t>
      </w:r>
    </w:p>
    <w:p w:rsidR="00307169" w:rsidRPr="004F681E" w:rsidRDefault="00BB762D" w:rsidP="00307169">
      <w:pPr>
        <w:spacing w:line="276" w:lineRule="auto"/>
        <w:ind w:left="567" w:right="567"/>
        <w:jc w:val="both"/>
        <w:rPr>
          <w:rFonts w:ascii="Arial" w:hAnsi="Arial" w:cs="Arial"/>
          <w:i/>
          <w:lang w:val="es-CO"/>
        </w:rPr>
      </w:pPr>
      <w:r w:rsidRPr="004F681E">
        <w:rPr>
          <w:rFonts w:ascii="Arial" w:hAnsi="Arial" w:cs="Arial"/>
          <w:i/>
          <w:lang w:val="es-CO"/>
        </w:rPr>
        <w:t>“</w:t>
      </w:r>
      <w:r w:rsidR="00307169" w:rsidRPr="004F681E">
        <w:rPr>
          <w:rFonts w:ascii="Arial" w:hAnsi="Arial" w:cs="Arial"/>
          <w:i/>
          <w:lang w:val="es-CO"/>
        </w:rPr>
        <w:t>Denominado así por tratarse del tablero que exhibirá la información que podrán ver las personas que se encuentren en las afueras del escenario deportivo, en especial por quienes circulan por la CARRERA 30; y es el lugar que el IDRD ha destinado para la explotación comercial a través de anuncios publicitarios por parte del contratista, y en donde podrá estar ubicada una segunda pantalla electrónica.</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“7.3.2. Ubicación.</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“El tablero exterior estará ubicado, eventualmente, en el muro posterior de los ascensores (utilizando solo el costado occidental apoyada en el muro de la cara posterior de los ascensores, con exclusión de los muros laterales), de acuerdo con los estudios y diseños estructurales previos adelantados por el contratista con personal idóneo para tal fin”.</w:t>
      </w:r>
    </w:p>
    <w:p w:rsidR="00B415E3" w:rsidRPr="004F681E" w:rsidRDefault="00B415E3" w:rsidP="00307169">
      <w:pPr>
        <w:spacing w:line="360" w:lineRule="auto"/>
        <w:jc w:val="both"/>
        <w:rPr>
          <w:rFonts w:ascii="Arial" w:hAnsi="Arial" w:cs="Arial"/>
          <w:lang w:val="es-CO"/>
        </w:rPr>
      </w:pPr>
    </w:p>
    <w:p w:rsidR="00307169" w:rsidRPr="004F681E" w:rsidRDefault="00307169" w:rsidP="00307169">
      <w:pPr>
        <w:spacing w:line="360" w:lineRule="auto"/>
        <w:jc w:val="both"/>
        <w:rPr>
          <w:rFonts w:ascii="Arial" w:hAnsi="Arial" w:cs="Arial"/>
          <w:lang w:val="es-CO"/>
        </w:rPr>
      </w:pPr>
      <w:r w:rsidRPr="004F681E">
        <w:rPr>
          <w:rFonts w:ascii="Arial" w:hAnsi="Arial" w:cs="Arial"/>
          <w:lang w:val="es-CO"/>
        </w:rPr>
        <w:lastRenderedPageBreak/>
        <w:t xml:space="preserve">Esta última previsión fue modificada mediante Adendo No. 01 del pliego de condiciones, al siguiente tenor: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“7.3.2. Ubicación.</w:t>
      </w: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 xml:space="preserve">“El tablero exterior estará ubicado, eventualmente, en la parte posterior de la torre de ascensores (utilizando únicamente uno cualquiera de los muros de la cara posterior de la torre de ascensores); de acuerdo con los estudios y diseños estructurales previos adelantados por el contratista con personal idóneo para tal fin”.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360" w:lineRule="auto"/>
        <w:jc w:val="both"/>
        <w:rPr>
          <w:rFonts w:ascii="Arial" w:hAnsi="Arial" w:cs="Arial"/>
          <w:lang w:val="es-CO"/>
        </w:rPr>
      </w:pPr>
      <w:r w:rsidRPr="004F681E">
        <w:rPr>
          <w:rFonts w:ascii="Arial" w:hAnsi="Arial" w:cs="Arial"/>
          <w:lang w:val="es-CO"/>
        </w:rPr>
        <w:t>Mediante Resolución No. 176 del 20 de abril de 2007, el Instituto Distrital para la Recreación y el Deporte adjudicó la Licitación Pública No. IDRD-STP-LP-036-2006 a la Unión Temporal Publiestadios</w:t>
      </w:r>
      <w:r w:rsidRPr="004F681E">
        <w:rPr>
          <w:rStyle w:val="Refdenotaalpie"/>
          <w:rFonts w:ascii="Arial" w:hAnsi="Arial" w:cs="Arial"/>
          <w:lang w:val="es-CO"/>
        </w:rPr>
        <w:footnoteReference w:id="11"/>
      </w:r>
      <w:r w:rsidRPr="004F681E">
        <w:rPr>
          <w:rFonts w:ascii="Arial" w:hAnsi="Arial" w:cs="Arial"/>
          <w:lang w:val="es-CO"/>
        </w:rPr>
        <w:t xml:space="preserve">.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360" w:lineRule="auto"/>
        <w:jc w:val="both"/>
        <w:rPr>
          <w:rFonts w:ascii="Arial" w:hAnsi="Arial" w:cs="Arial"/>
          <w:lang w:val="es-CO"/>
        </w:rPr>
      </w:pPr>
      <w:r w:rsidRPr="004F681E">
        <w:rPr>
          <w:rFonts w:ascii="Arial" w:hAnsi="Arial" w:cs="Arial"/>
          <w:lang w:val="es-CO"/>
        </w:rPr>
        <w:t>Como resultado de lo anterior, el 27 de abril de 2007</w:t>
      </w:r>
      <w:r w:rsidR="00496470" w:rsidRPr="004F681E">
        <w:rPr>
          <w:rFonts w:ascii="Arial" w:hAnsi="Arial" w:cs="Arial"/>
          <w:lang w:val="es-CO"/>
        </w:rPr>
        <w:t>,</w:t>
      </w:r>
      <w:r w:rsidRPr="004F681E">
        <w:rPr>
          <w:rFonts w:ascii="Arial" w:hAnsi="Arial" w:cs="Arial"/>
          <w:lang w:val="es-CO"/>
        </w:rPr>
        <w:t xml:space="preserve"> el Instituto Distrital para la Recreación y el Deporte y la unión temporal Publiestadios celebraron el Contrato de Concesión No. 475 de 2007</w:t>
      </w:r>
      <w:r w:rsidR="00496470" w:rsidRPr="004F681E">
        <w:rPr>
          <w:rFonts w:ascii="Arial" w:hAnsi="Arial" w:cs="Arial"/>
          <w:lang w:val="es-CO"/>
        </w:rPr>
        <w:t>,</w:t>
      </w:r>
      <w:r w:rsidRPr="004F681E">
        <w:rPr>
          <w:rFonts w:ascii="Arial" w:hAnsi="Arial" w:cs="Arial"/>
          <w:lang w:val="es-CO"/>
        </w:rPr>
        <w:t xml:space="preserve"> cuyo objeto, de conformidad co</w:t>
      </w:r>
      <w:r w:rsidR="00F46EF8" w:rsidRPr="004F681E">
        <w:rPr>
          <w:rFonts w:ascii="Arial" w:hAnsi="Arial" w:cs="Arial"/>
          <w:lang w:val="es-CO"/>
        </w:rPr>
        <w:t>n la cláusula segunda, radicó</w:t>
      </w:r>
      <w:r w:rsidRPr="004F681E">
        <w:rPr>
          <w:rFonts w:ascii="Arial" w:hAnsi="Arial" w:cs="Arial"/>
          <w:lang w:val="es-CO"/>
        </w:rPr>
        <w:t xml:space="preserve"> en entregar en concesión al concesionario el suministro, instalación, mantenimiento, operación y prestación del servicio de la pantalla gigante del estadio Nemesio Camacho el </w:t>
      </w:r>
      <w:r w:rsidR="009870ED" w:rsidRPr="004F681E">
        <w:rPr>
          <w:rFonts w:ascii="Arial" w:hAnsi="Arial" w:cs="Arial"/>
          <w:lang w:val="es-CO"/>
        </w:rPr>
        <w:t>Campín</w:t>
      </w:r>
      <w:r w:rsidRPr="004F681E">
        <w:rPr>
          <w:rFonts w:ascii="Arial" w:hAnsi="Arial" w:cs="Arial"/>
          <w:lang w:val="es-CO"/>
        </w:rPr>
        <w:t xml:space="preserve"> ubicada en el sector norte </w:t>
      </w:r>
      <w:r w:rsidR="00496470" w:rsidRPr="004F681E">
        <w:rPr>
          <w:rFonts w:ascii="Arial" w:hAnsi="Arial" w:cs="Arial"/>
          <w:lang w:val="es-CO"/>
        </w:rPr>
        <w:t>del estadio y su cara posterior</w:t>
      </w:r>
      <w:r w:rsidRPr="004F681E">
        <w:rPr>
          <w:rFonts w:ascii="Arial" w:hAnsi="Arial" w:cs="Arial"/>
          <w:lang w:val="es-CO"/>
        </w:rPr>
        <w:t xml:space="preserve"> de la pantalla exterior ubicada sobre alguno de los muros laterales que componen la estructura de la torre de los ascensores y una pantalla móvil o itinerante referencia </w:t>
      </w:r>
      <w:r w:rsidR="009061FE" w:rsidRPr="004F681E">
        <w:rPr>
          <w:rFonts w:ascii="Arial" w:hAnsi="Arial" w:cs="Arial"/>
          <w:lang w:val="es-CO"/>
        </w:rPr>
        <w:t>estectacolor</w:t>
      </w:r>
      <w:r w:rsidRPr="004F681E">
        <w:rPr>
          <w:rStyle w:val="Refdenotaalpie"/>
          <w:rFonts w:ascii="Arial" w:hAnsi="Arial" w:cs="Arial"/>
          <w:lang w:val="es-CO"/>
        </w:rPr>
        <w:footnoteReference w:id="12"/>
      </w:r>
      <w:r w:rsidRPr="004F681E">
        <w:rPr>
          <w:rFonts w:ascii="Arial" w:hAnsi="Arial" w:cs="Arial"/>
          <w:lang w:val="es-CO"/>
        </w:rPr>
        <w:t xml:space="preserve">.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360" w:lineRule="auto"/>
        <w:jc w:val="both"/>
        <w:rPr>
          <w:rFonts w:ascii="Arial" w:hAnsi="Arial" w:cs="Arial"/>
          <w:lang w:val="es-CO"/>
        </w:rPr>
      </w:pPr>
      <w:r w:rsidRPr="004F681E">
        <w:rPr>
          <w:rFonts w:ascii="Arial" w:hAnsi="Arial" w:cs="Arial"/>
          <w:lang w:val="es-CO"/>
        </w:rPr>
        <w:t>El plazo del contrato se pactó en diez años y cuatro meses, período respecto del cual los cuatro primeros meses se destinaría</w:t>
      </w:r>
      <w:r w:rsidR="009061FE" w:rsidRPr="004F681E">
        <w:rPr>
          <w:rFonts w:ascii="Arial" w:hAnsi="Arial" w:cs="Arial"/>
          <w:lang w:val="es-CO"/>
        </w:rPr>
        <w:t>n</w:t>
      </w:r>
      <w:r w:rsidRPr="004F681E">
        <w:rPr>
          <w:rFonts w:ascii="Arial" w:hAnsi="Arial" w:cs="Arial"/>
          <w:lang w:val="es-CO"/>
        </w:rPr>
        <w:t xml:space="preserve"> para una etapa de suministro e instalación de la pa</w:t>
      </w:r>
      <w:r w:rsidR="009061FE" w:rsidRPr="004F681E">
        <w:rPr>
          <w:rFonts w:ascii="Arial" w:hAnsi="Arial" w:cs="Arial"/>
          <w:lang w:val="es-CO"/>
        </w:rPr>
        <w:t xml:space="preserve">ntalla exterior e interior </w:t>
      </w:r>
      <w:r w:rsidR="0042015C" w:rsidRPr="004F681E">
        <w:rPr>
          <w:rFonts w:ascii="Arial" w:hAnsi="Arial" w:cs="Arial"/>
          <w:lang w:val="es-CO"/>
        </w:rPr>
        <w:t xml:space="preserve">a cargo del concesionario </w:t>
      </w:r>
      <w:r w:rsidR="009061FE" w:rsidRPr="004F681E">
        <w:rPr>
          <w:rFonts w:ascii="Arial" w:hAnsi="Arial" w:cs="Arial"/>
          <w:lang w:val="es-CO"/>
        </w:rPr>
        <w:t>y los</w:t>
      </w:r>
      <w:r w:rsidRPr="004F681E">
        <w:rPr>
          <w:rFonts w:ascii="Arial" w:hAnsi="Arial" w:cs="Arial"/>
          <w:lang w:val="es-CO"/>
        </w:rPr>
        <w:t xml:space="preserve"> diez años siguientes se dedicaría</w:t>
      </w:r>
      <w:r w:rsidR="009061FE" w:rsidRPr="004F681E">
        <w:rPr>
          <w:rFonts w:ascii="Arial" w:hAnsi="Arial" w:cs="Arial"/>
          <w:lang w:val="es-CO"/>
        </w:rPr>
        <w:t>n</w:t>
      </w:r>
      <w:r w:rsidRPr="004F681E">
        <w:rPr>
          <w:rFonts w:ascii="Arial" w:hAnsi="Arial" w:cs="Arial"/>
          <w:lang w:val="es-CO"/>
        </w:rPr>
        <w:t xml:space="preserve"> a la operación</w:t>
      </w:r>
      <w:r w:rsidR="009061FE" w:rsidRPr="004F681E">
        <w:rPr>
          <w:rFonts w:ascii="Arial" w:hAnsi="Arial" w:cs="Arial"/>
          <w:lang w:val="es-CO"/>
        </w:rPr>
        <w:t>,</w:t>
      </w:r>
      <w:r w:rsidRPr="004F681E">
        <w:rPr>
          <w:rFonts w:ascii="Arial" w:hAnsi="Arial" w:cs="Arial"/>
          <w:lang w:val="es-CO"/>
        </w:rPr>
        <w:t xml:space="preserve"> mantenimiento y prestación del servicio de la pantalla.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360" w:lineRule="auto"/>
        <w:jc w:val="both"/>
        <w:rPr>
          <w:rFonts w:ascii="Arial" w:hAnsi="Arial" w:cs="Arial"/>
          <w:lang w:val="es-CO"/>
        </w:rPr>
      </w:pPr>
      <w:r w:rsidRPr="004F681E">
        <w:rPr>
          <w:rFonts w:ascii="Arial" w:hAnsi="Arial" w:cs="Arial"/>
          <w:lang w:val="es-CO"/>
        </w:rPr>
        <w:t xml:space="preserve">El valor estimado del contrato para efectos fiscales se convino en cuantía de $3.000’000.000. En la cláusula sexta del contrato se acordó la contraprestación y forma de pago en los siguientes términos: </w:t>
      </w:r>
    </w:p>
    <w:p w:rsidR="00307169" w:rsidRPr="004F681E" w:rsidRDefault="00307169" w:rsidP="00307169">
      <w:pPr>
        <w:spacing w:line="360" w:lineRule="auto"/>
        <w:jc w:val="both"/>
        <w:rPr>
          <w:rFonts w:ascii="Arial" w:hAnsi="Arial" w:cs="Arial"/>
          <w:lang w:val="es-CO"/>
        </w:rPr>
      </w:pPr>
    </w:p>
    <w:p w:rsidR="00307169" w:rsidRPr="004F681E" w:rsidRDefault="00307169" w:rsidP="00307169">
      <w:pPr>
        <w:spacing w:line="276" w:lineRule="auto"/>
        <w:ind w:left="567" w:right="567"/>
        <w:jc w:val="both"/>
        <w:rPr>
          <w:rFonts w:ascii="Arial" w:hAnsi="Arial" w:cs="Arial"/>
          <w:i/>
          <w:lang w:val="es-CO"/>
        </w:rPr>
      </w:pPr>
      <w:r w:rsidRPr="004F681E">
        <w:rPr>
          <w:rFonts w:ascii="Arial" w:hAnsi="Arial" w:cs="Arial"/>
          <w:i/>
          <w:lang w:val="es-CO"/>
        </w:rPr>
        <w:t xml:space="preserve">“El concesionario pagará como contraprestación al IDRD, una vez vencida la etapa de estudios técnicos, diseños, suministro e instalación los siguientes valores: a) $11’100.000 (once millones cien mil pesos) </w:t>
      </w:r>
      <w:r w:rsidRPr="004F681E">
        <w:rPr>
          <w:rFonts w:ascii="Arial" w:hAnsi="Arial" w:cs="Arial"/>
          <w:i/>
          <w:lang w:val="es-CO"/>
        </w:rPr>
        <w:lastRenderedPageBreak/>
        <w:t xml:space="preserve">Moneda Legal mensuales cancelados en efectivo o cheque de gerencia dentro de los cinco (5) primeros días de cada mes en la tesorería general del IDRD, los cuales serán reajustados anualmente de acuerdo con el IPC. b) El equivalente a $9’400.000 (nueve millones cuatrocientos mil pesos) Moneda Legal en especie y representados en el uso de una pantalla portátil o itinerante referencia Publik Espectacolor, la cual será dispuesta para los eventos recreodeportivos desarrollados por la entidad de acuerdo a la programación acordada con el supervisor del contrato en cuanto a las fechas y horarios, para lo cual el supervisor deberá comunicar con por lo menos cinco (5) días de anticipación la programación adoptada al concesionario. Los $9’400.000 (nueve millones cuatrocientos mil pesos) son la base para el cálculo en la determinación de los segundos mensuales a que tendría derecho el IDRD, los cuales se emitirán con base en utilizar 15,5 minutos por transmisión, previa evaluación del costo por segundo de transmisión de este tipo de pantallas en el mercado. Los segundos no utilizados de los 15.5 por minuto a los que el IDRD tiene derecho para información institucional, podrán ser acumulables mes a mes, dicho valor será reajustado anualmente de acuerdo con el IPC”.   </w:t>
      </w:r>
    </w:p>
    <w:p w:rsidR="007E08B1" w:rsidRPr="004F681E" w:rsidRDefault="007E08B1" w:rsidP="003017AF">
      <w:pPr>
        <w:spacing w:line="360" w:lineRule="auto"/>
        <w:jc w:val="both"/>
        <w:rPr>
          <w:rFonts w:ascii="Arial" w:hAnsi="Arial" w:cs="Arial"/>
          <w:lang w:val="es-CO"/>
        </w:rPr>
      </w:pPr>
    </w:p>
    <w:p w:rsidR="003017AF" w:rsidRPr="004F681E" w:rsidRDefault="007E08B1" w:rsidP="003017AF">
      <w:pPr>
        <w:spacing w:line="360" w:lineRule="auto"/>
        <w:jc w:val="both"/>
        <w:rPr>
          <w:rFonts w:ascii="Arial" w:hAnsi="Arial" w:cs="Arial"/>
          <w:lang w:val="es-CO"/>
        </w:rPr>
      </w:pPr>
      <w:r w:rsidRPr="004F681E">
        <w:rPr>
          <w:rFonts w:ascii="Arial" w:hAnsi="Arial" w:cs="Arial"/>
          <w:lang w:val="es-CO"/>
        </w:rPr>
        <w:t>En la cláusula décima tercera del texto contrac</w:t>
      </w:r>
      <w:r w:rsidR="00AC350F" w:rsidRPr="004F681E">
        <w:rPr>
          <w:rFonts w:ascii="Arial" w:hAnsi="Arial" w:cs="Arial"/>
          <w:lang w:val="es-CO"/>
        </w:rPr>
        <w:t xml:space="preserve">tual se introdujo la </w:t>
      </w:r>
      <w:r w:rsidRPr="004F681E">
        <w:rPr>
          <w:rFonts w:ascii="Arial" w:hAnsi="Arial" w:cs="Arial"/>
          <w:lang w:val="es-CO"/>
        </w:rPr>
        <w:t>potestad de modificación unilateral del contrato</w:t>
      </w:r>
      <w:r w:rsidR="00AC350F" w:rsidRPr="004F681E">
        <w:rPr>
          <w:rFonts w:ascii="Arial" w:hAnsi="Arial" w:cs="Arial"/>
          <w:lang w:val="es-CO"/>
        </w:rPr>
        <w:t xml:space="preserve"> que rezó así</w:t>
      </w:r>
      <w:r w:rsidRPr="004F681E">
        <w:rPr>
          <w:rFonts w:ascii="Arial" w:hAnsi="Arial" w:cs="Arial"/>
          <w:lang w:val="es-CO"/>
        </w:rPr>
        <w:t xml:space="preserve">: </w:t>
      </w:r>
    </w:p>
    <w:p w:rsidR="007E08B1" w:rsidRPr="004F681E" w:rsidRDefault="007E08B1" w:rsidP="003017AF">
      <w:pPr>
        <w:spacing w:line="360" w:lineRule="auto"/>
        <w:jc w:val="both"/>
        <w:rPr>
          <w:rFonts w:ascii="Arial" w:hAnsi="Arial" w:cs="Arial"/>
          <w:lang w:val="es-CO"/>
        </w:rPr>
      </w:pPr>
    </w:p>
    <w:p w:rsidR="007E08B1" w:rsidRPr="004F681E" w:rsidRDefault="007E08B1" w:rsidP="00FA2E71">
      <w:pPr>
        <w:spacing w:line="276" w:lineRule="auto"/>
        <w:ind w:left="567" w:right="567"/>
        <w:jc w:val="both"/>
        <w:rPr>
          <w:rFonts w:ascii="Arial" w:hAnsi="Arial" w:cs="Arial"/>
          <w:i/>
          <w:lang w:val="es-CO"/>
        </w:rPr>
      </w:pPr>
      <w:r w:rsidRPr="004F681E">
        <w:rPr>
          <w:rFonts w:ascii="Arial" w:hAnsi="Arial" w:cs="Arial"/>
          <w:i/>
          <w:lang w:val="es-CO"/>
        </w:rPr>
        <w:t xml:space="preserve">“Si durante la ejecución del presente contrato y para evitar la paralización o afectación grave del servicio, fuere necesario introducir variaciones en el mismo, EL IDRD, convocará al </w:t>
      </w:r>
      <w:r w:rsidR="00B45095" w:rsidRPr="004F681E">
        <w:rPr>
          <w:rFonts w:ascii="Arial" w:hAnsi="Arial" w:cs="Arial"/>
          <w:i/>
          <w:lang w:val="es-CO"/>
        </w:rPr>
        <w:t>CONCESIONARIO y le expondrá su criterio sobre las modificaciones requeridas de acuerdo con lo señalado en el artículo 16 de la Ley 80 de 1993</w:t>
      </w:r>
      <w:r w:rsidR="00FA2E71" w:rsidRPr="004F681E">
        <w:rPr>
          <w:rFonts w:ascii="Arial" w:hAnsi="Arial" w:cs="Arial"/>
          <w:i/>
          <w:lang w:val="es-CO"/>
        </w:rPr>
        <w:t>”</w:t>
      </w:r>
      <w:r w:rsidR="00B45095" w:rsidRPr="004F681E">
        <w:rPr>
          <w:rFonts w:ascii="Arial" w:hAnsi="Arial" w:cs="Arial"/>
          <w:i/>
          <w:lang w:val="es-CO"/>
        </w:rPr>
        <w:t xml:space="preserve">. </w:t>
      </w:r>
    </w:p>
    <w:p w:rsidR="007E08B1" w:rsidRPr="004F681E" w:rsidRDefault="007E08B1" w:rsidP="00390707">
      <w:pPr>
        <w:autoSpaceDN w:val="0"/>
        <w:spacing w:line="360" w:lineRule="auto"/>
        <w:jc w:val="both"/>
        <w:rPr>
          <w:rFonts w:ascii="Arial" w:hAnsi="Arial" w:cs="Arial"/>
        </w:rPr>
      </w:pPr>
    </w:p>
    <w:p w:rsidR="003017AF" w:rsidRPr="004F681E" w:rsidRDefault="009061FE" w:rsidP="00390707">
      <w:pPr>
        <w:autoSpaceDN w:val="0"/>
        <w:spacing w:line="360" w:lineRule="auto"/>
        <w:jc w:val="both"/>
        <w:rPr>
          <w:rFonts w:ascii="Arial" w:hAnsi="Arial" w:cs="Arial"/>
        </w:rPr>
      </w:pPr>
      <w:r w:rsidRPr="004F681E">
        <w:rPr>
          <w:rFonts w:ascii="Arial" w:hAnsi="Arial" w:cs="Arial"/>
        </w:rPr>
        <w:t xml:space="preserve">Finalmente, en el numeral décimo sexto se pactó la cláusula de reversión </w:t>
      </w:r>
      <w:r w:rsidR="00C02A47" w:rsidRPr="004F681E">
        <w:rPr>
          <w:rFonts w:ascii="Arial" w:hAnsi="Arial" w:cs="Arial"/>
        </w:rPr>
        <w:t>de conformidad con la cual “</w:t>
      </w:r>
      <w:r w:rsidR="00C02A47" w:rsidRPr="004F681E">
        <w:rPr>
          <w:rFonts w:ascii="Arial" w:hAnsi="Arial" w:cs="Arial"/>
          <w:i/>
        </w:rPr>
        <w:t>el concesionario deberá en los términos del numeral 2 del artículo 14 de la Ley 80 de 1993, una vez vencido el plazo de la concesión (operación y explotación publicitaria de las pantallas suministradas e instaladas), entregar al IDRD la</w:t>
      </w:r>
      <w:r w:rsidR="00F331FF" w:rsidRPr="004F681E">
        <w:rPr>
          <w:rFonts w:ascii="Arial" w:hAnsi="Arial" w:cs="Arial"/>
          <w:i/>
        </w:rPr>
        <w:t>s pantallas interior y exterior del Estadio, actualizadas y en perfecto estado de funcionamiento con todos los elementos necesarios para continuar su ejecución</w:t>
      </w:r>
      <w:r w:rsidR="00172BF2" w:rsidRPr="004F681E">
        <w:rPr>
          <w:rFonts w:ascii="Arial" w:hAnsi="Arial" w:cs="Arial"/>
        </w:rPr>
        <w:t>”.</w:t>
      </w:r>
    </w:p>
    <w:p w:rsidR="007E08B1" w:rsidRPr="004F681E" w:rsidRDefault="007E08B1" w:rsidP="00390707">
      <w:pPr>
        <w:autoSpaceDN w:val="0"/>
        <w:spacing w:line="360" w:lineRule="auto"/>
        <w:jc w:val="both"/>
        <w:rPr>
          <w:rFonts w:ascii="Arial" w:hAnsi="Arial" w:cs="Arial"/>
        </w:rPr>
      </w:pPr>
    </w:p>
    <w:p w:rsidR="007E08B1" w:rsidRPr="004F681E" w:rsidRDefault="00FA2E71" w:rsidP="00390707">
      <w:pPr>
        <w:autoSpaceDN w:val="0"/>
        <w:spacing w:line="360" w:lineRule="auto"/>
        <w:jc w:val="both"/>
        <w:rPr>
          <w:rFonts w:ascii="Arial" w:hAnsi="Arial" w:cs="Arial"/>
        </w:rPr>
      </w:pPr>
      <w:r w:rsidRPr="004F681E">
        <w:rPr>
          <w:rFonts w:ascii="Arial" w:hAnsi="Arial" w:cs="Arial"/>
        </w:rPr>
        <w:t xml:space="preserve">-. </w:t>
      </w:r>
      <w:r w:rsidR="007E08B1" w:rsidRPr="004F681E">
        <w:rPr>
          <w:rFonts w:ascii="Arial" w:hAnsi="Arial" w:cs="Arial"/>
        </w:rPr>
        <w:t>A los tre</w:t>
      </w:r>
      <w:r w:rsidR="00AC350F" w:rsidRPr="004F681E">
        <w:rPr>
          <w:rFonts w:ascii="Arial" w:hAnsi="Arial" w:cs="Arial"/>
        </w:rPr>
        <w:t>s años de haberse celebrado el C</w:t>
      </w:r>
      <w:r w:rsidR="007E08B1" w:rsidRPr="004F681E">
        <w:rPr>
          <w:rFonts w:ascii="Arial" w:hAnsi="Arial" w:cs="Arial"/>
        </w:rPr>
        <w:t xml:space="preserve">ontrato </w:t>
      </w:r>
      <w:r w:rsidR="00AC350F" w:rsidRPr="004F681E">
        <w:rPr>
          <w:rFonts w:ascii="Arial" w:hAnsi="Arial" w:cs="Arial"/>
        </w:rPr>
        <w:t>de C</w:t>
      </w:r>
      <w:r w:rsidRPr="004F681E">
        <w:rPr>
          <w:rFonts w:ascii="Arial" w:hAnsi="Arial" w:cs="Arial"/>
        </w:rPr>
        <w:t>oncesión No. 475</w:t>
      </w:r>
      <w:r w:rsidR="00AC350F" w:rsidRPr="004F681E">
        <w:rPr>
          <w:rFonts w:ascii="Arial" w:hAnsi="Arial" w:cs="Arial"/>
        </w:rPr>
        <w:t>,</w:t>
      </w:r>
      <w:r w:rsidRPr="004F681E">
        <w:rPr>
          <w:rFonts w:ascii="Arial" w:hAnsi="Arial" w:cs="Arial"/>
        </w:rPr>
        <w:t xml:space="preserve"> el IDRD expidió la Resolución No. 327 del 23 de julio de 2010, a través de la cual modificó unilateralmente el negocio jurídico y en virtud de ello dispuso que por su cuenta y riesgo se ejecutarían las </w:t>
      </w:r>
      <w:r w:rsidR="00AC350F" w:rsidRPr="004F681E">
        <w:rPr>
          <w:rFonts w:ascii="Arial" w:hAnsi="Arial" w:cs="Arial"/>
        </w:rPr>
        <w:t xml:space="preserve">actividades </w:t>
      </w:r>
      <w:r w:rsidRPr="004F681E">
        <w:rPr>
          <w:rFonts w:ascii="Arial" w:hAnsi="Arial" w:cs="Arial"/>
        </w:rPr>
        <w:t>de desmonte, traslado y montaje de la pantalla exterior</w:t>
      </w:r>
      <w:r w:rsidR="00496470" w:rsidRPr="004F681E">
        <w:rPr>
          <w:rFonts w:ascii="Arial" w:hAnsi="Arial" w:cs="Arial"/>
        </w:rPr>
        <w:t>,</w:t>
      </w:r>
      <w:r w:rsidRPr="004F681E">
        <w:rPr>
          <w:rFonts w:ascii="Arial" w:hAnsi="Arial" w:cs="Arial"/>
        </w:rPr>
        <w:t xml:space="preserve"> habida consideración de que su reubicación era indispensable para poder </w:t>
      </w:r>
      <w:r w:rsidRPr="004F681E">
        <w:rPr>
          <w:rFonts w:ascii="Arial" w:hAnsi="Arial" w:cs="Arial"/>
        </w:rPr>
        <w:lastRenderedPageBreak/>
        <w:t xml:space="preserve">realizar las obras civiles de adecuación del estadio El </w:t>
      </w:r>
      <w:r w:rsidR="009870ED" w:rsidRPr="004F681E">
        <w:rPr>
          <w:rFonts w:ascii="Arial" w:hAnsi="Arial" w:cs="Arial"/>
        </w:rPr>
        <w:t>Campín</w:t>
      </w:r>
      <w:r w:rsidR="00496470" w:rsidRPr="004F681E">
        <w:rPr>
          <w:rFonts w:ascii="Arial" w:hAnsi="Arial" w:cs="Arial"/>
        </w:rPr>
        <w:t>,</w:t>
      </w:r>
      <w:r w:rsidRPr="004F681E">
        <w:rPr>
          <w:rFonts w:ascii="Arial" w:hAnsi="Arial" w:cs="Arial"/>
        </w:rPr>
        <w:t xml:space="preserve"> necesarias para  atender el próximo</w:t>
      </w:r>
      <w:r w:rsidR="00AC350F" w:rsidRPr="004F681E">
        <w:rPr>
          <w:rFonts w:ascii="Arial" w:hAnsi="Arial" w:cs="Arial"/>
        </w:rPr>
        <w:t xml:space="preserve"> mundial de fú</w:t>
      </w:r>
      <w:r w:rsidRPr="004F681E">
        <w:rPr>
          <w:rFonts w:ascii="Arial" w:hAnsi="Arial" w:cs="Arial"/>
        </w:rPr>
        <w:t xml:space="preserve">tbol Sub-20. </w:t>
      </w:r>
    </w:p>
    <w:p w:rsidR="00710358" w:rsidRPr="004F681E" w:rsidRDefault="00710358" w:rsidP="00390707">
      <w:pPr>
        <w:autoSpaceDN w:val="0"/>
        <w:spacing w:line="360" w:lineRule="auto"/>
        <w:jc w:val="both"/>
        <w:rPr>
          <w:rFonts w:ascii="Arial" w:hAnsi="Arial" w:cs="Arial"/>
        </w:rPr>
      </w:pPr>
    </w:p>
    <w:p w:rsidR="00710358" w:rsidRPr="004F681E" w:rsidRDefault="00710358" w:rsidP="00710358">
      <w:pPr>
        <w:spacing w:line="360" w:lineRule="auto"/>
        <w:jc w:val="both"/>
        <w:rPr>
          <w:rFonts w:ascii="Arial" w:hAnsi="Arial" w:cs="Arial"/>
          <w:lang w:val="es-CO"/>
        </w:rPr>
      </w:pPr>
      <w:r w:rsidRPr="004F681E">
        <w:rPr>
          <w:rFonts w:ascii="Arial" w:hAnsi="Arial" w:cs="Arial"/>
        </w:rPr>
        <w:t>-.</w:t>
      </w:r>
      <w:r w:rsidRPr="004F681E">
        <w:rPr>
          <w:rFonts w:ascii="Arial" w:hAnsi="Arial" w:cs="Arial"/>
          <w:lang w:val="es-CO"/>
        </w:rPr>
        <w:t xml:space="preserve"> Inconf</w:t>
      </w:r>
      <w:r w:rsidR="00AC350F" w:rsidRPr="004F681E">
        <w:rPr>
          <w:rFonts w:ascii="Arial" w:hAnsi="Arial" w:cs="Arial"/>
          <w:lang w:val="es-CO"/>
        </w:rPr>
        <w:t>orme con la anterior decisión,</w:t>
      </w:r>
      <w:r w:rsidRPr="004F681E">
        <w:rPr>
          <w:rFonts w:ascii="Arial" w:hAnsi="Arial" w:cs="Arial"/>
          <w:lang w:val="es-CO"/>
        </w:rPr>
        <w:t xml:space="preserve"> la unión temporal interpuso recurso de reposición en su contra</w:t>
      </w:r>
      <w:r w:rsidR="00496470" w:rsidRPr="004F681E">
        <w:rPr>
          <w:rFonts w:ascii="Arial" w:hAnsi="Arial" w:cs="Arial"/>
          <w:lang w:val="es-CO"/>
        </w:rPr>
        <w:t>, el que</w:t>
      </w:r>
      <w:r w:rsidRPr="004F681E">
        <w:rPr>
          <w:rFonts w:ascii="Arial" w:hAnsi="Arial" w:cs="Arial"/>
          <w:lang w:val="es-CO"/>
        </w:rPr>
        <w:t xml:space="preserve"> fue resuelto a través de</w:t>
      </w:r>
      <w:r w:rsidR="00EE33DF" w:rsidRPr="004F681E">
        <w:rPr>
          <w:rFonts w:ascii="Arial" w:hAnsi="Arial" w:cs="Arial"/>
          <w:lang w:val="es-CO"/>
        </w:rPr>
        <w:t xml:space="preserve"> la</w:t>
      </w:r>
      <w:r w:rsidRPr="004F681E">
        <w:rPr>
          <w:rFonts w:ascii="Arial" w:hAnsi="Arial" w:cs="Arial"/>
          <w:lang w:val="es-CO"/>
        </w:rPr>
        <w:t xml:space="preserve"> Resolución No. 347</w:t>
      </w:r>
      <w:r w:rsidR="00EE33DF" w:rsidRPr="004F681E">
        <w:rPr>
          <w:rFonts w:ascii="Arial" w:hAnsi="Arial" w:cs="Arial"/>
          <w:lang w:val="es-CO"/>
        </w:rPr>
        <w:t xml:space="preserve"> del 4 de agosto de 2010</w:t>
      </w:r>
      <w:r w:rsidR="00496470" w:rsidRPr="004F681E">
        <w:rPr>
          <w:rFonts w:ascii="Arial" w:hAnsi="Arial" w:cs="Arial"/>
          <w:lang w:val="es-CO"/>
        </w:rPr>
        <w:t>, mediante la cual</w:t>
      </w:r>
      <w:r w:rsidR="00EE33DF" w:rsidRPr="004F681E">
        <w:rPr>
          <w:rFonts w:ascii="Arial" w:hAnsi="Arial" w:cs="Arial"/>
          <w:lang w:val="es-CO"/>
        </w:rPr>
        <w:t xml:space="preserve"> </w:t>
      </w:r>
      <w:r w:rsidRPr="004F681E">
        <w:rPr>
          <w:rFonts w:ascii="Arial" w:hAnsi="Arial" w:cs="Arial"/>
          <w:lang w:val="es-CO"/>
        </w:rPr>
        <w:t>se confirmó el acto recurrido</w:t>
      </w:r>
      <w:r w:rsidRPr="004F681E">
        <w:rPr>
          <w:rStyle w:val="Refdenotaalpie"/>
          <w:rFonts w:ascii="Arial" w:hAnsi="Arial" w:cs="Arial"/>
          <w:lang w:val="es-CO"/>
        </w:rPr>
        <w:footnoteReference w:id="13"/>
      </w:r>
      <w:r w:rsidRPr="004F681E">
        <w:rPr>
          <w:rFonts w:ascii="Arial" w:hAnsi="Arial" w:cs="Arial"/>
          <w:lang w:val="es-CO"/>
        </w:rPr>
        <w:t xml:space="preserve">. </w:t>
      </w:r>
    </w:p>
    <w:p w:rsidR="00FA2E71" w:rsidRPr="004F681E" w:rsidRDefault="00710358" w:rsidP="00710358">
      <w:pPr>
        <w:spacing w:line="360" w:lineRule="auto"/>
        <w:jc w:val="both"/>
        <w:rPr>
          <w:rFonts w:ascii="Arial" w:hAnsi="Arial" w:cs="Arial"/>
          <w:lang w:val="es-CO"/>
        </w:rPr>
      </w:pPr>
      <w:r w:rsidRPr="004F681E">
        <w:rPr>
          <w:rFonts w:ascii="Arial" w:hAnsi="Arial" w:cs="Arial"/>
          <w:lang w:val="es-CO"/>
        </w:rPr>
        <w:t xml:space="preserve"> </w:t>
      </w:r>
    </w:p>
    <w:p w:rsidR="00FA2E71" w:rsidRPr="004F681E" w:rsidRDefault="00FA2E71" w:rsidP="00390707">
      <w:pPr>
        <w:autoSpaceDN w:val="0"/>
        <w:spacing w:line="360" w:lineRule="auto"/>
        <w:jc w:val="both"/>
        <w:rPr>
          <w:rFonts w:ascii="Arial" w:hAnsi="Arial" w:cs="Arial"/>
        </w:rPr>
      </w:pPr>
      <w:r w:rsidRPr="004F681E">
        <w:rPr>
          <w:rFonts w:ascii="Arial" w:hAnsi="Arial" w:cs="Arial"/>
        </w:rPr>
        <w:t>-. Las actividades de desmonte, traslado y reubicación de la pantalla exterior llevadas a cabo por la entidad co</w:t>
      </w:r>
      <w:r w:rsidR="00EE33DF" w:rsidRPr="004F681E">
        <w:rPr>
          <w:rFonts w:ascii="Arial" w:hAnsi="Arial" w:cs="Arial"/>
        </w:rPr>
        <w:t>ntratante se ejecutaron entre el</w:t>
      </w:r>
      <w:r w:rsidRPr="004F681E">
        <w:rPr>
          <w:rFonts w:ascii="Arial" w:hAnsi="Arial" w:cs="Arial"/>
        </w:rPr>
        <w:t xml:space="preserve"> 28 de septiembre de 2010 y el 8 de abril de 2011, fecha en que el artefac</w:t>
      </w:r>
      <w:r w:rsidR="00F46EF8" w:rsidRPr="004F681E">
        <w:rPr>
          <w:rFonts w:ascii="Arial" w:hAnsi="Arial" w:cs="Arial"/>
        </w:rPr>
        <w:t xml:space="preserve">to electrónico fue entregado </w:t>
      </w:r>
      <w:r w:rsidR="00EE33DF" w:rsidRPr="004F681E">
        <w:rPr>
          <w:rFonts w:ascii="Arial" w:hAnsi="Arial" w:cs="Arial"/>
        </w:rPr>
        <w:t xml:space="preserve">nuevamente </w:t>
      </w:r>
      <w:r w:rsidR="00F46EF8" w:rsidRPr="004F681E">
        <w:rPr>
          <w:rFonts w:ascii="Arial" w:hAnsi="Arial" w:cs="Arial"/>
        </w:rPr>
        <w:t xml:space="preserve">al </w:t>
      </w:r>
      <w:r w:rsidRPr="004F681E">
        <w:rPr>
          <w:rFonts w:ascii="Arial" w:hAnsi="Arial" w:cs="Arial"/>
        </w:rPr>
        <w:t xml:space="preserve">concesionario para que continuara con la explotación publicitaria de dicho elemento. </w:t>
      </w:r>
    </w:p>
    <w:p w:rsidR="009061FE" w:rsidRPr="004F681E" w:rsidRDefault="009061FE" w:rsidP="00390707">
      <w:pPr>
        <w:autoSpaceDN w:val="0"/>
        <w:spacing w:line="360" w:lineRule="auto"/>
        <w:jc w:val="both"/>
        <w:rPr>
          <w:rFonts w:ascii="Arial" w:hAnsi="Arial" w:cs="Arial"/>
        </w:rPr>
      </w:pPr>
    </w:p>
    <w:p w:rsidR="00FA2E71" w:rsidRPr="004F681E" w:rsidRDefault="00FA2E71" w:rsidP="00390707">
      <w:pPr>
        <w:autoSpaceDN w:val="0"/>
        <w:spacing w:line="360" w:lineRule="auto"/>
        <w:jc w:val="both"/>
        <w:rPr>
          <w:rFonts w:ascii="Arial" w:hAnsi="Arial" w:cs="Arial"/>
          <w:lang w:val="es-CO"/>
        </w:rPr>
      </w:pPr>
      <w:r w:rsidRPr="004F681E">
        <w:rPr>
          <w:rFonts w:ascii="Arial" w:hAnsi="Arial" w:cs="Arial"/>
        </w:rPr>
        <w:t xml:space="preserve">-. </w:t>
      </w:r>
      <w:r w:rsidR="00654B7C" w:rsidRPr="004F681E">
        <w:rPr>
          <w:rFonts w:ascii="Arial" w:hAnsi="Arial" w:cs="Arial"/>
          <w:lang w:val="es-CO"/>
        </w:rPr>
        <w:t>A través de oficio del 7 de abril de 2011 el Instituto le informó a la unión temporal Publiestadios que dentro del marco de los acuerdos de país y ciudad suscritos con la FIFA existía el compromiso de no autorizar a terceros para participar en ninguna actividad promocional comercial o de publicidad de cualquier naturaleza dentro ni alrededor del estadio.</w:t>
      </w:r>
    </w:p>
    <w:p w:rsidR="00654B7C" w:rsidRPr="004F681E" w:rsidRDefault="00654B7C" w:rsidP="00390707">
      <w:pPr>
        <w:autoSpaceDN w:val="0"/>
        <w:spacing w:line="360" w:lineRule="auto"/>
        <w:jc w:val="both"/>
        <w:rPr>
          <w:rFonts w:ascii="Arial" w:hAnsi="Arial" w:cs="Arial"/>
          <w:lang w:val="es-CO"/>
        </w:rPr>
      </w:pPr>
    </w:p>
    <w:p w:rsidR="00654B7C" w:rsidRPr="004F681E" w:rsidRDefault="00654B7C" w:rsidP="00390707">
      <w:pPr>
        <w:autoSpaceDN w:val="0"/>
        <w:spacing w:line="360" w:lineRule="auto"/>
        <w:jc w:val="both"/>
        <w:rPr>
          <w:rFonts w:ascii="Arial" w:hAnsi="Arial" w:cs="Arial"/>
          <w:lang w:val="es-CO"/>
        </w:rPr>
      </w:pPr>
      <w:r w:rsidRPr="004F681E">
        <w:rPr>
          <w:rFonts w:ascii="Arial" w:hAnsi="Arial" w:cs="Arial"/>
          <w:lang w:val="es-CO"/>
        </w:rPr>
        <w:t>Como consecuencia</w:t>
      </w:r>
      <w:r w:rsidR="00EE33DF" w:rsidRPr="004F681E">
        <w:rPr>
          <w:rFonts w:ascii="Arial" w:hAnsi="Arial" w:cs="Arial"/>
          <w:lang w:val="es-CO"/>
        </w:rPr>
        <w:t>,</w:t>
      </w:r>
      <w:r w:rsidRPr="004F681E">
        <w:rPr>
          <w:rFonts w:ascii="Arial" w:hAnsi="Arial" w:cs="Arial"/>
          <w:lang w:val="es-CO"/>
        </w:rPr>
        <w:t xml:space="preserve"> </w:t>
      </w:r>
      <w:r w:rsidR="00E449BF" w:rsidRPr="004F681E">
        <w:rPr>
          <w:rFonts w:ascii="Arial" w:hAnsi="Arial" w:cs="Arial"/>
          <w:lang w:val="es-CO"/>
        </w:rPr>
        <w:t>la entidad solicitó al concesionario que le entregara la operación de las pantallas mientras se desarrollaba el alud</w:t>
      </w:r>
      <w:r w:rsidR="00924A7C" w:rsidRPr="004F681E">
        <w:rPr>
          <w:rFonts w:ascii="Arial" w:hAnsi="Arial" w:cs="Arial"/>
          <w:lang w:val="es-CO"/>
        </w:rPr>
        <w:t>ido campeonato de fú</w:t>
      </w:r>
      <w:r w:rsidR="00E449BF" w:rsidRPr="004F681E">
        <w:rPr>
          <w:rFonts w:ascii="Arial" w:hAnsi="Arial" w:cs="Arial"/>
          <w:lang w:val="es-CO"/>
        </w:rPr>
        <w:t xml:space="preserve">tbol y así procedió el contratista. </w:t>
      </w:r>
    </w:p>
    <w:p w:rsidR="00654B7C" w:rsidRPr="004F681E" w:rsidRDefault="00654B7C" w:rsidP="00390707">
      <w:pPr>
        <w:autoSpaceDN w:val="0"/>
        <w:spacing w:line="360" w:lineRule="auto"/>
        <w:jc w:val="both"/>
        <w:rPr>
          <w:rFonts w:ascii="Arial" w:hAnsi="Arial" w:cs="Arial"/>
          <w:u w:val="single"/>
        </w:rPr>
      </w:pPr>
    </w:p>
    <w:p w:rsidR="007D6B51" w:rsidRPr="004F681E" w:rsidRDefault="007D6B51" w:rsidP="00390707">
      <w:pPr>
        <w:autoSpaceDN w:val="0"/>
        <w:spacing w:line="360" w:lineRule="auto"/>
        <w:jc w:val="both"/>
        <w:rPr>
          <w:rFonts w:ascii="Arial" w:hAnsi="Arial" w:cs="Arial"/>
          <w:b/>
        </w:rPr>
      </w:pPr>
      <w:r w:rsidRPr="004F681E">
        <w:rPr>
          <w:rFonts w:ascii="Arial" w:hAnsi="Arial" w:cs="Arial"/>
          <w:b/>
        </w:rPr>
        <w:t xml:space="preserve">5-. </w:t>
      </w:r>
      <w:r w:rsidR="00307D05" w:rsidRPr="004F681E">
        <w:rPr>
          <w:rFonts w:ascii="Arial" w:hAnsi="Arial" w:cs="Arial"/>
          <w:b/>
        </w:rPr>
        <w:t>Análisis de la apelación</w:t>
      </w:r>
    </w:p>
    <w:p w:rsidR="00307D05" w:rsidRPr="004F681E" w:rsidRDefault="00307D05" w:rsidP="00390707">
      <w:pPr>
        <w:autoSpaceDN w:val="0"/>
        <w:spacing w:line="360" w:lineRule="auto"/>
        <w:jc w:val="both"/>
        <w:rPr>
          <w:rFonts w:ascii="Arial" w:hAnsi="Arial" w:cs="Arial"/>
          <w:b/>
        </w:rPr>
      </w:pPr>
    </w:p>
    <w:p w:rsidR="005A3F1E" w:rsidRPr="004F681E" w:rsidRDefault="00307D05" w:rsidP="00390707">
      <w:pPr>
        <w:autoSpaceDN w:val="0"/>
        <w:spacing w:line="360" w:lineRule="auto"/>
        <w:jc w:val="both"/>
        <w:rPr>
          <w:rFonts w:ascii="Arial" w:hAnsi="Arial" w:cs="Arial"/>
        </w:rPr>
      </w:pPr>
      <w:r w:rsidRPr="004F681E">
        <w:rPr>
          <w:rFonts w:ascii="Arial" w:hAnsi="Arial" w:cs="Arial"/>
        </w:rPr>
        <w:t xml:space="preserve">Se recuerda que el primer cargo de censura </w:t>
      </w:r>
      <w:r w:rsidR="00EE6262" w:rsidRPr="004F681E">
        <w:rPr>
          <w:rFonts w:ascii="Arial" w:hAnsi="Arial" w:cs="Arial"/>
        </w:rPr>
        <w:t>reside en</w:t>
      </w:r>
      <w:r w:rsidR="00807B0E" w:rsidRPr="004F681E">
        <w:rPr>
          <w:rFonts w:ascii="Arial" w:hAnsi="Arial" w:cs="Arial"/>
        </w:rPr>
        <w:t xml:space="preserve"> que</w:t>
      </w:r>
      <w:r w:rsidR="00EE6262" w:rsidRPr="004F681E">
        <w:rPr>
          <w:rFonts w:ascii="Arial" w:hAnsi="Arial" w:cs="Arial"/>
        </w:rPr>
        <w:t xml:space="preserve"> </w:t>
      </w:r>
      <w:r w:rsidR="005441C2" w:rsidRPr="004F681E">
        <w:rPr>
          <w:rFonts w:ascii="Arial" w:hAnsi="Arial" w:cs="Arial"/>
        </w:rPr>
        <w:t xml:space="preserve">la </w:t>
      </w:r>
      <w:r w:rsidRPr="004F681E">
        <w:rPr>
          <w:rFonts w:ascii="Arial" w:hAnsi="Arial" w:cs="Arial"/>
        </w:rPr>
        <w:t xml:space="preserve">entidad demandada </w:t>
      </w:r>
      <w:r w:rsidR="00807B0E" w:rsidRPr="004F681E">
        <w:rPr>
          <w:rFonts w:ascii="Arial" w:hAnsi="Arial" w:cs="Arial"/>
        </w:rPr>
        <w:t>desconoció</w:t>
      </w:r>
      <w:r w:rsidR="00975E61" w:rsidRPr="004F681E">
        <w:rPr>
          <w:rFonts w:ascii="Arial" w:hAnsi="Arial" w:cs="Arial"/>
        </w:rPr>
        <w:t xml:space="preserve"> su propio acto</w:t>
      </w:r>
      <w:r w:rsidR="00EE6262" w:rsidRPr="004F681E">
        <w:rPr>
          <w:rFonts w:ascii="Arial" w:hAnsi="Arial" w:cs="Arial"/>
        </w:rPr>
        <w:t xml:space="preserve"> expedido en </w:t>
      </w:r>
      <w:r w:rsidR="00807B0E" w:rsidRPr="004F681E">
        <w:rPr>
          <w:rFonts w:ascii="Arial" w:hAnsi="Arial" w:cs="Arial"/>
        </w:rPr>
        <w:t xml:space="preserve">la </w:t>
      </w:r>
      <w:r w:rsidR="00EE6262" w:rsidRPr="004F681E">
        <w:rPr>
          <w:rFonts w:ascii="Arial" w:hAnsi="Arial" w:cs="Arial"/>
        </w:rPr>
        <w:t>etapa de ejecución</w:t>
      </w:r>
      <w:r w:rsidR="00807B0E" w:rsidRPr="004F681E">
        <w:rPr>
          <w:rFonts w:ascii="Arial" w:hAnsi="Arial" w:cs="Arial"/>
        </w:rPr>
        <w:t>,</w:t>
      </w:r>
      <w:r w:rsidR="00EE6262" w:rsidRPr="004F681E">
        <w:rPr>
          <w:rFonts w:ascii="Arial" w:hAnsi="Arial" w:cs="Arial"/>
        </w:rPr>
        <w:t xml:space="preserve"> en virtud </w:t>
      </w:r>
      <w:r w:rsidR="005441C2" w:rsidRPr="004F681E">
        <w:rPr>
          <w:rFonts w:ascii="Arial" w:hAnsi="Arial" w:cs="Arial"/>
        </w:rPr>
        <w:t>d</w:t>
      </w:r>
      <w:r w:rsidR="00EE6262" w:rsidRPr="004F681E">
        <w:rPr>
          <w:rFonts w:ascii="Arial" w:hAnsi="Arial" w:cs="Arial"/>
        </w:rPr>
        <w:t>el cual</w:t>
      </w:r>
      <w:r w:rsidR="005441C2" w:rsidRPr="004F681E">
        <w:rPr>
          <w:rFonts w:ascii="Arial" w:hAnsi="Arial" w:cs="Arial"/>
        </w:rPr>
        <w:t>,</w:t>
      </w:r>
      <w:r w:rsidR="00EE6262" w:rsidRPr="004F681E">
        <w:rPr>
          <w:rFonts w:ascii="Arial" w:hAnsi="Arial" w:cs="Arial"/>
        </w:rPr>
        <w:t xml:space="preserve"> como consecuencia de la modificación unilateral del contrato, consistente en la reubicación de la pantalla exterior, el Instituto se obligó a reconocer el lucro cesante que de esa situación podría derivarse en perjuicio del contratista y</w:t>
      </w:r>
      <w:r w:rsidR="00807B0E" w:rsidRPr="004F681E">
        <w:rPr>
          <w:rFonts w:ascii="Arial" w:hAnsi="Arial" w:cs="Arial"/>
        </w:rPr>
        <w:t>,</w:t>
      </w:r>
      <w:r w:rsidR="00EE6262" w:rsidRPr="004F681E">
        <w:rPr>
          <w:rFonts w:ascii="Arial" w:hAnsi="Arial" w:cs="Arial"/>
        </w:rPr>
        <w:t xml:space="preserve"> posteriormente</w:t>
      </w:r>
      <w:r w:rsidR="00807B0E" w:rsidRPr="004F681E">
        <w:rPr>
          <w:rFonts w:ascii="Arial" w:hAnsi="Arial" w:cs="Arial"/>
        </w:rPr>
        <w:t>,</w:t>
      </w:r>
      <w:r w:rsidR="00EE6262" w:rsidRPr="004F681E">
        <w:rPr>
          <w:rFonts w:ascii="Arial" w:hAnsi="Arial" w:cs="Arial"/>
        </w:rPr>
        <w:t xml:space="preserve"> se negó a </w:t>
      </w:r>
      <w:r w:rsidR="00CD6D46" w:rsidRPr="004F681E">
        <w:rPr>
          <w:rFonts w:ascii="Arial" w:hAnsi="Arial" w:cs="Arial"/>
        </w:rPr>
        <w:t xml:space="preserve">realizar </w:t>
      </w:r>
      <w:r w:rsidR="00EE6262" w:rsidRPr="004F681E">
        <w:rPr>
          <w:rFonts w:ascii="Arial" w:hAnsi="Arial" w:cs="Arial"/>
        </w:rPr>
        <w:t>su pago aduciendo que no se había presentado una alteración al equilibrio económico.</w:t>
      </w:r>
    </w:p>
    <w:p w:rsidR="00EE6262" w:rsidRPr="004F681E" w:rsidRDefault="00EE6262" w:rsidP="00390707">
      <w:pPr>
        <w:autoSpaceDN w:val="0"/>
        <w:spacing w:line="360" w:lineRule="auto"/>
        <w:jc w:val="both"/>
        <w:rPr>
          <w:rFonts w:ascii="Arial" w:hAnsi="Arial" w:cs="Arial"/>
        </w:rPr>
      </w:pPr>
    </w:p>
    <w:p w:rsidR="00595409" w:rsidRPr="004F681E" w:rsidRDefault="00595409" w:rsidP="00390707">
      <w:pPr>
        <w:autoSpaceDN w:val="0"/>
        <w:spacing w:line="360" w:lineRule="auto"/>
        <w:jc w:val="both"/>
        <w:rPr>
          <w:rFonts w:ascii="Arial" w:hAnsi="Arial" w:cs="Arial"/>
        </w:rPr>
      </w:pPr>
      <w:r w:rsidRPr="004F681E">
        <w:rPr>
          <w:rFonts w:ascii="Arial" w:hAnsi="Arial" w:cs="Arial"/>
        </w:rPr>
        <w:t xml:space="preserve">En relación con el primer supuesto en que descansa el petitum, la Sala debe </w:t>
      </w:r>
      <w:r w:rsidR="005441C2" w:rsidRPr="004F681E">
        <w:rPr>
          <w:rFonts w:ascii="Arial" w:hAnsi="Arial" w:cs="Arial"/>
        </w:rPr>
        <w:t xml:space="preserve">empezar por </w:t>
      </w:r>
      <w:r w:rsidRPr="004F681E">
        <w:rPr>
          <w:rFonts w:ascii="Arial" w:hAnsi="Arial" w:cs="Arial"/>
        </w:rPr>
        <w:t>reflexionar acerca de la naturaleza</w:t>
      </w:r>
      <w:r w:rsidR="00652F52" w:rsidRPr="004F681E">
        <w:rPr>
          <w:rFonts w:ascii="Arial" w:hAnsi="Arial" w:cs="Arial"/>
        </w:rPr>
        <w:t xml:space="preserve"> del</w:t>
      </w:r>
      <w:r w:rsidRPr="004F681E">
        <w:rPr>
          <w:rFonts w:ascii="Arial" w:hAnsi="Arial" w:cs="Arial"/>
        </w:rPr>
        <w:t xml:space="preserve"> </w:t>
      </w:r>
      <w:r w:rsidR="00604ADF" w:rsidRPr="004F681E">
        <w:rPr>
          <w:rFonts w:ascii="Arial" w:hAnsi="Arial" w:cs="Arial"/>
        </w:rPr>
        <w:t>compromiso</w:t>
      </w:r>
      <w:r w:rsidR="005441C2" w:rsidRPr="004F681E">
        <w:rPr>
          <w:rFonts w:ascii="Arial" w:hAnsi="Arial" w:cs="Arial"/>
        </w:rPr>
        <w:t xml:space="preserve"> sobre el </w:t>
      </w:r>
      <w:r w:rsidR="005441C2" w:rsidRPr="004F681E">
        <w:rPr>
          <w:rFonts w:ascii="Arial" w:hAnsi="Arial" w:cs="Arial"/>
        </w:rPr>
        <w:lastRenderedPageBreak/>
        <w:t>reconocimiento del lucro cesante, insertado por la entidad pública en el acto de modificación unilateral del contrato y</w:t>
      </w:r>
      <w:r w:rsidR="00604ADF" w:rsidRPr="004F681E">
        <w:rPr>
          <w:rFonts w:ascii="Arial" w:hAnsi="Arial" w:cs="Arial"/>
        </w:rPr>
        <w:t xml:space="preserve"> presuntamente desatendido</w:t>
      </w:r>
      <w:r w:rsidR="005441C2" w:rsidRPr="004F681E">
        <w:rPr>
          <w:rFonts w:ascii="Arial" w:hAnsi="Arial" w:cs="Arial"/>
        </w:rPr>
        <w:t xml:space="preserve"> con posteridad</w:t>
      </w:r>
      <w:r w:rsidR="00092AFB" w:rsidRPr="004F681E">
        <w:rPr>
          <w:rFonts w:ascii="Arial" w:hAnsi="Arial" w:cs="Arial"/>
        </w:rPr>
        <w:t>.</w:t>
      </w:r>
      <w:r w:rsidRPr="004F681E">
        <w:rPr>
          <w:rFonts w:ascii="Arial" w:hAnsi="Arial" w:cs="Arial"/>
        </w:rPr>
        <w:t xml:space="preserve"> </w:t>
      </w:r>
    </w:p>
    <w:p w:rsidR="002C04B2" w:rsidRPr="004F681E" w:rsidRDefault="002C04B2" w:rsidP="00390707">
      <w:pPr>
        <w:autoSpaceDN w:val="0"/>
        <w:spacing w:line="360" w:lineRule="auto"/>
        <w:jc w:val="both"/>
        <w:rPr>
          <w:rFonts w:ascii="Arial" w:hAnsi="Arial" w:cs="Arial"/>
        </w:rPr>
      </w:pPr>
    </w:p>
    <w:p w:rsidR="005A3F1E" w:rsidRPr="004F681E" w:rsidRDefault="007D6B51" w:rsidP="00390707">
      <w:pPr>
        <w:autoSpaceDN w:val="0"/>
        <w:spacing w:line="360" w:lineRule="auto"/>
        <w:jc w:val="both"/>
        <w:rPr>
          <w:rFonts w:ascii="Arial" w:hAnsi="Arial" w:cs="Arial"/>
        </w:rPr>
      </w:pPr>
      <w:r w:rsidRPr="004F681E">
        <w:rPr>
          <w:rFonts w:ascii="Arial" w:hAnsi="Arial" w:cs="Arial"/>
        </w:rPr>
        <w:t xml:space="preserve">5.1. </w:t>
      </w:r>
      <w:r w:rsidR="00652F52" w:rsidRPr="004F681E">
        <w:rPr>
          <w:rFonts w:ascii="Arial" w:hAnsi="Arial" w:cs="Arial"/>
          <w:u w:val="single"/>
        </w:rPr>
        <w:t>De la naturaleza del compromiso insertado por la entidad en el acto q</w:t>
      </w:r>
      <w:r w:rsidR="005441C2" w:rsidRPr="004F681E">
        <w:rPr>
          <w:rFonts w:ascii="Arial" w:hAnsi="Arial" w:cs="Arial"/>
          <w:u w:val="single"/>
        </w:rPr>
        <w:t>ue modificó unilateralmente el C</w:t>
      </w:r>
      <w:r w:rsidR="00652F52" w:rsidRPr="004F681E">
        <w:rPr>
          <w:rFonts w:ascii="Arial" w:hAnsi="Arial" w:cs="Arial"/>
          <w:u w:val="single"/>
        </w:rPr>
        <w:t xml:space="preserve">ontrato No. </w:t>
      </w:r>
      <w:r w:rsidR="005441C2" w:rsidRPr="004F681E">
        <w:rPr>
          <w:rFonts w:ascii="Arial" w:hAnsi="Arial" w:cs="Arial"/>
          <w:u w:val="single"/>
        </w:rPr>
        <w:t>475 de 2007</w:t>
      </w:r>
    </w:p>
    <w:p w:rsidR="00652F52" w:rsidRPr="004F681E" w:rsidRDefault="00652F52" w:rsidP="00390707">
      <w:pPr>
        <w:autoSpaceDN w:val="0"/>
        <w:spacing w:line="360" w:lineRule="auto"/>
        <w:jc w:val="both"/>
        <w:rPr>
          <w:rFonts w:ascii="Arial" w:hAnsi="Arial" w:cs="Arial"/>
        </w:rPr>
      </w:pPr>
    </w:p>
    <w:p w:rsidR="005441C2" w:rsidRPr="004F681E" w:rsidRDefault="00652F52" w:rsidP="00FC5D0A">
      <w:pPr>
        <w:autoSpaceDN w:val="0"/>
        <w:spacing w:line="360" w:lineRule="auto"/>
        <w:jc w:val="both"/>
        <w:rPr>
          <w:rFonts w:ascii="Arial" w:hAnsi="Arial" w:cs="Arial"/>
          <w:lang w:val="es-CO"/>
        </w:rPr>
      </w:pPr>
      <w:r w:rsidRPr="004F681E">
        <w:rPr>
          <w:rFonts w:ascii="Arial" w:hAnsi="Arial" w:cs="Arial"/>
        </w:rPr>
        <w:t xml:space="preserve">Para desatar esta cuestión, la Sala observa que </w:t>
      </w:r>
      <w:r w:rsidR="00604ADF" w:rsidRPr="004F681E">
        <w:rPr>
          <w:rFonts w:ascii="Arial" w:hAnsi="Arial" w:cs="Arial"/>
        </w:rPr>
        <w:t>el aludido compromiso</w:t>
      </w:r>
      <w:r w:rsidR="003D60AC" w:rsidRPr="004F681E">
        <w:rPr>
          <w:rFonts w:ascii="Arial" w:hAnsi="Arial" w:cs="Arial"/>
        </w:rPr>
        <w:t xml:space="preserve"> fue ensamblado</w:t>
      </w:r>
      <w:r w:rsidR="00604ADF" w:rsidRPr="004F681E">
        <w:rPr>
          <w:rFonts w:ascii="Arial" w:hAnsi="Arial" w:cs="Arial"/>
        </w:rPr>
        <w:t xml:space="preserve"> </w:t>
      </w:r>
      <w:r w:rsidR="005441C2" w:rsidRPr="004F681E">
        <w:rPr>
          <w:rFonts w:ascii="Arial" w:hAnsi="Arial" w:cs="Arial"/>
        </w:rPr>
        <w:t>en el contenido de la</w:t>
      </w:r>
      <w:r w:rsidR="003D60AC" w:rsidRPr="004F681E">
        <w:rPr>
          <w:rFonts w:ascii="Arial" w:hAnsi="Arial" w:cs="Arial"/>
        </w:rPr>
        <w:t xml:space="preserve"> Resolución No. </w:t>
      </w:r>
      <w:r w:rsidR="00FC5D0A" w:rsidRPr="004F681E">
        <w:rPr>
          <w:rFonts w:ascii="Arial" w:hAnsi="Arial" w:cs="Arial"/>
          <w:lang w:val="es-CO"/>
        </w:rPr>
        <w:t>327 del 23 de julio de 2010</w:t>
      </w:r>
      <w:r w:rsidR="0088756E" w:rsidRPr="004F681E">
        <w:rPr>
          <w:rFonts w:ascii="Arial" w:hAnsi="Arial" w:cs="Arial"/>
          <w:lang w:val="es-CO"/>
        </w:rPr>
        <w:t>,</w:t>
      </w:r>
      <w:r w:rsidR="005441C2" w:rsidRPr="004F681E">
        <w:rPr>
          <w:rFonts w:ascii="Arial" w:hAnsi="Arial" w:cs="Arial"/>
          <w:lang w:val="es-CO"/>
        </w:rPr>
        <w:t xml:space="preserve"> por medio de l</w:t>
      </w:r>
      <w:r w:rsidR="00FC5D0A" w:rsidRPr="004F681E">
        <w:rPr>
          <w:rFonts w:ascii="Arial" w:hAnsi="Arial" w:cs="Arial"/>
          <w:lang w:val="es-CO"/>
        </w:rPr>
        <w:t>a cual el Instituto Dis</w:t>
      </w:r>
      <w:r w:rsidR="005441C2" w:rsidRPr="004F681E">
        <w:rPr>
          <w:rFonts w:ascii="Arial" w:hAnsi="Arial" w:cs="Arial"/>
          <w:lang w:val="es-CO"/>
        </w:rPr>
        <w:t>trital para la</w:t>
      </w:r>
      <w:r w:rsidR="00FC5D0A" w:rsidRPr="004F681E">
        <w:rPr>
          <w:rFonts w:ascii="Arial" w:hAnsi="Arial" w:cs="Arial"/>
          <w:lang w:val="es-CO"/>
        </w:rPr>
        <w:t xml:space="preserve"> Recreación y </w:t>
      </w:r>
      <w:r w:rsidR="005441C2" w:rsidRPr="004F681E">
        <w:rPr>
          <w:rFonts w:ascii="Arial" w:hAnsi="Arial" w:cs="Arial"/>
          <w:lang w:val="es-CO"/>
        </w:rPr>
        <w:t xml:space="preserve">el </w:t>
      </w:r>
      <w:r w:rsidR="00FC5D0A" w:rsidRPr="004F681E">
        <w:rPr>
          <w:rFonts w:ascii="Arial" w:hAnsi="Arial" w:cs="Arial"/>
          <w:lang w:val="es-CO"/>
        </w:rPr>
        <w:t>Deporte modificó unilateralment</w:t>
      </w:r>
      <w:r w:rsidR="005441C2" w:rsidRPr="004F681E">
        <w:rPr>
          <w:rFonts w:ascii="Arial" w:hAnsi="Arial" w:cs="Arial"/>
          <w:lang w:val="es-CO"/>
        </w:rPr>
        <w:t xml:space="preserve">e el Contrato de Concesión No. </w:t>
      </w:r>
      <w:r w:rsidR="00FC5D0A" w:rsidRPr="004F681E">
        <w:rPr>
          <w:rFonts w:ascii="Arial" w:hAnsi="Arial" w:cs="Arial"/>
          <w:lang w:val="es-CO"/>
        </w:rPr>
        <w:t xml:space="preserve">475, bajo el argumento de que </w:t>
      </w:r>
      <w:r w:rsidR="005441C2" w:rsidRPr="004F681E">
        <w:rPr>
          <w:rFonts w:ascii="Arial" w:hAnsi="Arial" w:cs="Arial"/>
          <w:lang w:val="es-CO"/>
        </w:rPr>
        <w:t xml:space="preserve">el traslado de la pantalla exterior ubicada en la parte occidental del estadio a la torre de iluminación sur occidental con una altura de 16 metros </w:t>
      </w:r>
      <w:r w:rsidR="00FC5D0A" w:rsidRPr="004F681E">
        <w:rPr>
          <w:rFonts w:ascii="Arial" w:hAnsi="Arial" w:cs="Arial"/>
          <w:lang w:val="es-CO"/>
        </w:rPr>
        <w:t xml:space="preserve">se hacía necesario para la ejecución de las obras </w:t>
      </w:r>
      <w:r w:rsidR="005441C2" w:rsidRPr="004F681E">
        <w:rPr>
          <w:rFonts w:ascii="Arial" w:hAnsi="Arial" w:cs="Arial"/>
          <w:lang w:val="es-CO"/>
        </w:rPr>
        <w:t>c</w:t>
      </w:r>
      <w:r w:rsidR="00092AFB" w:rsidRPr="004F681E">
        <w:rPr>
          <w:rFonts w:ascii="Arial" w:hAnsi="Arial" w:cs="Arial"/>
          <w:lang w:val="es-CO"/>
        </w:rPr>
        <w:t>iviles de adecuación del recinto deportivo</w:t>
      </w:r>
      <w:r w:rsidR="005441C2" w:rsidRPr="004F681E">
        <w:rPr>
          <w:rFonts w:ascii="Arial" w:hAnsi="Arial" w:cs="Arial"/>
          <w:lang w:val="es-CO"/>
        </w:rPr>
        <w:t xml:space="preserve">. </w:t>
      </w:r>
    </w:p>
    <w:p w:rsidR="005441C2" w:rsidRPr="004F681E" w:rsidRDefault="005441C2" w:rsidP="00FC5D0A">
      <w:pPr>
        <w:autoSpaceDN w:val="0"/>
        <w:spacing w:line="360" w:lineRule="auto"/>
        <w:jc w:val="both"/>
        <w:rPr>
          <w:rFonts w:ascii="Arial" w:hAnsi="Arial" w:cs="Arial"/>
          <w:lang w:val="es-CO"/>
        </w:rPr>
      </w:pPr>
    </w:p>
    <w:p w:rsidR="00FC5D0A" w:rsidRPr="004F681E" w:rsidRDefault="005441C2" w:rsidP="00FC5D0A">
      <w:pPr>
        <w:autoSpaceDN w:val="0"/>
        <w:spacing w:line="360" w:lineRule="auto"/>
        <w:jc w:val="both"/>
        <w:rPr>
          <w:rFonts w:ascii="Arial" w:hAnsi="Arial" w:cs="Arial"/>
        </w:rPr>
      </w:pPr>
      <w:r w:rsidRPr="004F681E">
        <w:rPr>
          <w:rFonts w:ascii="Arial" w:hAnsi="Arial" w:cs="Arial"/>
          <w:lang w:val="es-CO"/>
        </w:rPr>
        <w:t>La motivación expuesta en el acto en ref</w:t>
      </w:r>
      <w:r w:rsidR="00924A7C" w:rsidRPr="004F681E">
        <w:rPr>
          <w:rFonts w:ascii="Arial" w:hAnsi="Arial" w:cs="Arial"/>
          <w:lang w:val="es-CO"/>
        </w:rPr>
        <w:t>erencia fue del siguiente orden</w:t>
      </w:r>
      <w:r w:rsidR="00FC5D0A" w:rsidRPr="004F681E">
        <w:rPr>
          <w:rStyle w:val="Refdenotaalpie"/>
          <w:rFonts w:ascii="Arial" w:hAnsi="Arial" w:cs="Arial"/>
          <w:lang w:val="es-CO"/>
        </w:rPr>
        <w:footnoteReference w:id="14"/>
      </w:r>
      <w:r w:rsidR="00FC5D0A" w:rsidRPr="004F681E">
        <w:rPr>
          <w:rFonts w:ascii="Arial" w:hAnsi="Arial" w:cs="Arial"/>
          <w:lang w:val="es-CO"/>
        </w:rPr>
        <w:t xml:space="preserve">: </w:t>
      </w:r>
    </w:p>
    <w:p w:rsidR="00FC5D0A" w:rsidRPr="004F681E" w:rsidRDefault="00FC5D0A" w:rsidP="00FC5D0A">
      <w:pPr>
        <w:spacing w:line="360" w:lineRule="auto"/>
        <w:jc w:val="both"/>
        <w:rPr>
          <w:rFonts w:ascii="Arial" w:hAnsi="Arial" w:cs="Arial"/>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“OCTAVO. - Que como consecuencia de lo anterior la Subdirección Técnica de Parques comunicó a la Unión Temporal PUBLIESTADIOS UT mediante oficio radicado bajo el No. 201060000046741 del 13 de mayo de 2010 la decisión de reubicación adoptada, solicitando la información del caso.</w:t>
      </w:r>
    </w:p>
    <w:p w:rsidR="00FC5D0A" w:rsidRPr="004F681E" w:rsidRDefault="00FC5D0A" w:rsidP="00975E61">
      <w:pPr>
        <w:spacing w:line="276" w:lineRule="auto"/>
        <w:ind w:left="567" w:right="567"/>
        <w:jc w:val="both"/>
        <w:rPr>
          <w:rFonts w:ascii="Arial" w:hAnsi="Arial" w:cs="Arial"/>
          <w:i/>
          <w:lang w:val="es-CO"/>
        </w:rPr>
      </w:pPr>
      <w:r w:rsidRPr="004F681E">
        <w:rPr>
          <w:rFonts w:ascii="Arial" w:hAnsi="Arial" w:cs="Arial"/>
          <w:i/>
          <w:lang w:val="es-CO"/>
        </w:rPr>
        <w:t>“NOVENO. - Que las partes del contrato de Concesión No. 475 de 2007 se reunieron en diferentes oportunidades, el 26 de mayo, 2, 10 y 16 de junio de 2010, a fin de tratar temas como el desmonte, traslado e instalaría de la pantalla externa del Estadio Nemesio El Campín y costos de la misma.</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 xml:space="preserve">“DÉCIMO. - Que como producto de dichas reuniones y con base en la autorización previa de la Secretaría de Ambiente del Distrito, el Instituto Distrital para la Recreación y el Deporte y la Unión Temporal PUBLIESTADIOS UT acordaron el nuevo sitio de ubicación de la pantalla externa del </w:t>
      </w:r>
      <w:r w:rsidR="009870ED" w:rsidRPr="004F681E">
        <w:rPr>
          <w:rFonts w:ascii="Arial" w:hAnsi="Arial" w:cs="Arial"/>
          <w:i/>
          <w:lang w:val="es-CO"/>
        </w:rPr>
        <w:t>Campín</w:t>
      </w:r>
      <w:r w:rsidRPr="004F681E">
        <w:rPr>
          <w:rFonts w:ascii="Arial" w:hAnsi="Arial" w:cs="Arial"/>
          <w:i/>
          <w:lang w:val="es-CO"/>
        </w:rPr>
        <w:t xml:space="preserve"> sobre la torre de iluminación Sur occidental d</w:t>
      </w:r>
      <w:r w:rsidR="00924A7C" w:rsidRPr="004F681E">
        <w:rPr>
          <w:rFonts w:ascii="Arial" w:hAnsi="Arial" w:cs="Arial"/>
          <w:i/>
          <w:lang w:val="es-CO"/>
        </w:rPr>
        <w:t>el escenario, más sin embargo no</w:t>
      </w:r>
      <w:r w:rsidRPr="004F681E">
        <w:rPr>
          <w:rFonts w:ascii="Arial" w:hAnsi="Arial" w:cs="Arial"/>
          <w:i/>
          <w:lang w:val="es-CO"/>
        </w:rPr>
        <w:t xml:space="preserve"> lograron acuerdo sobre las actividades de obra necesarias para el desmonte, traslado e instalación de la pantalla en el nuevo sitio y los costos o lucro cesante para el concesionario. </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“DÉCIMO PRIMERO. Que, ante la a</w:t>
      </w:r>
      <w:r w:rsidR="00462AD8" w:rsidRPr="004F681E">
        <w:rPr>
          <w:rFonts w:ascii="Arial" w:hAnsi="Arial" w:cs="Arial"/>
          <w:i/>
          <w:lang w:val="es-CO"/>
        </w:rPr>
        <w:t>us</w:t>
      </w:r>
      <w:r w:rsidRPr="004F681E">
        <w:rPr>
          <w:rFonts w:ascii="Arial" w:hAnsi="Arial" w:cs="Arial"/>
          <w:i/>
          <w:lang w:val="es-CO"/>
        </w:rPr>
        <w:t xml:space="preserve">encia de acuerdo mutuo sobre lo anterior, la entidad distrital considera conveniente y necesario en aras de cumplir con los fines estatales modificar unilateralmente el contrato de concesión No. 475 de 2007 celebrado con el concesionario Unión </w:t>
      </w:r>
      <w:r w:rsidRPr="004F681E">
        <w:rPr>
          <w:rFonts w:ascii="Arial" w:hAnsi="Arial" w:cs="Arial"/>
          <w:i/>
          <w:lang w:val="es-CO"/>
        </w:rPr>
        <w:lastRenderedPageBreak/>
        <w:t>Temporal PUBLIESTADIOS UT en concordancia con lo dispuesto en el artículo 16 de la Ley 80 de 1993.</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“DÉCIMO OCTAVO. Que así las cosas, la entidad Distrital reconocerá a su concesionario, bajo los parámetros de proporcionalidad y equidad y la normativa actualmente vigente, el lucro cesante, suma dejada de percibir durante la ejecución de las actividades de desmonte, traslado y ubicación y puesta en funcionamiento de la pantalla exterior ubicada en la parte occidental del Estadio a la torre de iluminación Sur Occidental, para lo cual deberá la Unión Temporal PUBLIESTADIOS UT presentar a la Entidad los soportes jurídicos, contables y financieros que acrediten la existencia real del lucro cesante del cas</w:t>
      </w:r>
      <w:r w:rsidR="00924A7C" w:rsidRPr="004F681E">
        <w:rPr>
          <w:rFonts w:ascii="Arial" w:hAnsi="Arial" w:cs="Arial"/>
          <w:i/>
          <w:lang w:val="es-CO"/>
        </w:rPr>
        <w:t>o</w:t>
      </w:r>
      <w:r w:rsidRPr="004F681E">
        <w:rPr>
          <w:rFonts w:ascii="Arial" w:hAnsi="Arial" w:cs="Arial"/>
          <w:i/>
          <w:lang w:val="es-CO"/>
        </w:rPr>
        <w:t xml:space="preserve">”. </w:t>
      </w:r>
    </w:p>
    <w:p w:rsidR="00FC5D0A" w:rsidRPr="004F681E" w:rsidRDefault="00FC5D0A" w:rsidP="00FC5D0A">
      <w:pPr>
        <w:spacing w:line="276" w:lineRule="auto"/>
        <w:ind w:right="567"/>
        <w:jc w:val="both"/>
        <w:rPr>
          <w:rFonts w:ascii="Arial" w:hAnsi="Arial" w:cs="Arial"/>
          <w:i/>
          <w:lang w:val="es-CO"/>
        </w:rPr>
      </w:pPr>
    </w:p>
    <w:p w:rsidR="00FC5D0A" w:rsidRPr="004F681E" w:rsidRDefault="00FC5D0A" w:rsidP="00FC5D0A">
      <w:pPr>
        <w:spacing w:line="276" w:lineRule="auto"/>
        <w:ind w:right="567"/>
        <w:jc w:val="both"/>
        <w:rPr>
          <w:rFonts w:ascii="Arial" w:hAnsi="Arial" w:cs="Arial"/>
          <w:lang w:val="es-CO"/>
        </w:rPr>
      </w:pPr>
      <w:r w:rsidRPr="004F681E">
        <w:rPr>
          <w:rFonts w:ascii="Arial" w:hAnsi="Arial" w:cs="Arial"/>
          <w:lang w:val="es-CO"/>
        </w:rPr>
        <w:t xml:space="preserve">Con apoyo en las consideraciones transcritas la entidad decidió: </w:t>
      </w:r>
    </w:p>
    <w:p w:rsidR="00FC5D0A" w:rsidRPr="004F681E" w:rsidRDefault="00FC5D0A" w:rsidP="00FC5D0A">
      <w:pPr>
        <w:spacing w:line="276" w:lineRule="auto"/>
        <w:ind w:right="567"/>
        <w:jc w:val="both"/>
        <w:rPr>
          <w:rFonts w:ascii="Arial" w:hAnsi="Arial" w:cs="Arial"/>
          <w:i/>
          <w:lang w:val="es-CO"/>
        </w:rPr>
      </w:pPr>
      <w:r w:rsidRPr="004F681E">
        <w:rPr>
          <w:rFonts w:ascii="Arial" w:hAnsi="Arial" w:cs="Arial"/>
          <w:i/>
          <w:lang w:val="es-CO"/>
        </w:rPr>
        <w:t xml:space="preserve"> </w:t>
      </w: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“ARTÍCULO PRIMERO. - Modificar Unilateralmente, por no haberse logrado la misma de mutuo acuerdo, el contrato 475 de 2007 incorporándose la siguiente cláusula:</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850" w:right="850"/>
        <w:jc w:val="both"/>
        <w:rPr>
          <w:rFonts w:ascii="Arial" w:hAnsi="Arial" w:cs="Arial"/>
          <w:b/>
          <w:i/>
          <w:lang w:val="es-CO"/>
        </w:rPr>
      </w:pPr>
      <w:r w:rsidRPr="004F681E">
        <w:rPr>
          <w:rFonts w:ascii="Arial" w:hAnsi="Arial" w:cs="Arial"/>
          <w:b/>
          <w:i/>
          <w:lang w:val="es-CO"/>
        </w:rPr>
        <w:t>‘PRIMERA: OBJETO: LAS PARTES ACUERDAN EL DESMONTE Y MONTAJE DE LA PANTALLA EXTERIOR UBICADA SOBRE EL MURO LATERAL QUE COMPONE LA ESTRUCTURA DE LA TORRE DE LOS ASCENSORES’.</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 xml:space="preserve">“ARTÍCULO SEGUNDO. - Como consecuencia de la anterior decisión, el IDRD realizará por su cuenta y riesgo el desmonte y posterior montaje de la pantalla exterior ubicada en el muro lateral que compone la estructura de la torre de los ascensores la cual será ubicada en la torre de iluminación del costado sur occidental del Estadio Nemesio Camacho el </w:t>
      </w:r>
      <w:r w:rsidR="009870ED" w:rsidRPr="004F681E">
        <w:rPr>
          <w:rFonts w:ascii="Arial" w:hAnsi="Arial" w:cs="Arial"/>
          <w:i/>
          <w:lang w:val="es-CO"/>
        </w:rPr>
        <w:t>Campín</w:t>
      </w:r>
      <w:r w:rsidRPr="004F681E">
        <w:rPr>
          <w:rFonts w:ascii="Arial" w:hAnsi="Arial" w:cs="Arial"/>
          <w:i/>
          <w:lang w:val="es-CO"/>
        </w:rPr>
        <w:t>.</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 xml:space="preserve">“ARTÍCULO TERCERO. - </w:t>
      </w:r>
      <w:r w:rsidRPr="004F681E">
        <w:rPr>
          <w:rFonts w:ascii="Arial" w:hAnsi="Arial" w:cs="Arial"/>
          <w:i/>
          <w:u w:val="single"/>
          <w:lang w:val="es-CO"/>
        </w:rPr>
        <w:t xml:space="preserve">Reconocerá el Instituto Distrital para la Recreación y el Deporte al CONCESIONARIO siguiendo los parámetros legales establecidos en nuestra normatividad vigente la utilidad dejada de percibir por el CONCESIONARIO durante el </w:t>
      </w:r>
      <w:r w:rsidR="0088688F" w:rsidRPr="004F681E">
        <w:rPr>
          <w:rFonts w:ascii="Arial" w:hAnsi="Arial" w:cs="Arial"/>
          <w:i/>
          <w:u w:val="single"/>
          <w:lang w:val="es-CO"/>
        </w:rPr>
        <w:t>término</w:t>
      </w:r>
      <w:r w:rsidRPr="004F681E">
        <w:rPr>
          <w:rFonts w:ascii="Arial" w:hAnsi="Arial" w:cs="Arial"/>
          <w:i/>
          <w:u w:val="single"/>
          <w:lang w:val="es-CO"/>
        </w:rPr>
        <w:t xml:space="preserve"> de ejecución de las labores de desmonte y montaje de la referida pantalla. Para el efecto el CONCESIONARIO se compromete a presentar al IDRD la estimación de la utilidad que ha dejado de recibir con los debidos soportes contables jurídicos y financieros a que haya lugar</w:t>
      </w:r>
      <w:r w:rsidRPr="004F681E">
        <w:rPr>
          <w:rFonts w:ascii="Arial" w:hAnsi="Arial" w:cs="Arial"/>
          <w:i/>
          <w:lang w:val="es-CO"/>
        </w:rPr>
        <w:t xml:space="preserve">. </w:t>
      </w:r>
    </w:p>
    <w:p w:rsidR="00FC5D0A" w:rsidRPr="004F681E" w:rsidRDefault="00FC5D0A" w:rsidP="00FC5D0A">
      <w:pPr>
        <w:spacing w:line="276" w:lineRule="auto"/>
        <w:ind w:left="567" w:right="567"/>
        <w:jc w:val="both"/>
        <w:rPr>
          <w:rFonts w:ascii="Arial" w:hAnsi="Arial" w:cs="Arial"/>
          <w:i/>
          <w:lang w:val="es-CO"/>
        </w:rPr>
      </w:pPr>
    </w:p>
    <w:p w:rsidR="00FC5D0A" w:rsidRPr="004F681E" w:rsidRDefault="00FC5D0A" w:rsidP="00FC5D0A">
      <w:pPr>
        <w:spacing w:line="276" w:lineRule="auto"/>
        <w:ind w:left="567" w:right="567"/>
        <w:jc w:val="both"/>
        <w:rPr>
          <w:rFonts w:ascii="Arial" w:hAnsi="Arial" w:cs="Arial"/>
          <w:i/>
          <w:lang w:val="es-CO"/>
        </w:rPr>
      </w:pPr>
      <w:r w:rsidRPr="004F681E">
        <w:rPr>
          <w:rFonts w:ascii="Arial" w:hAnsi="Arial" w:cs="Arial"/>
          <w:i/>
          <w:lang w:val="es-CO"/>
        </w:rPr>
        <w:t>“ARTÍCULO TERCERO. - Entregar el Instituto Distrital para la Recreación y el Deporte la pantalla una vez reubicada a la Unión Temporal PUBLIESTADIOS UT en el día y hora señala</w:t>
      </w:r>
      <w:r w:rsidR="00924A7C" w:rsidRPr="004F681E">
        <w:rPr>
          <w:rFonts w:ascii="Arial" w:hAnsi="Arial" w:cs="Arial"/>
          <w:i/>
          <w:lang w:val="es-CO"/>
        </w:rPr>
        <w:t>da</w:t>
      </w:r>
      <w:r w:rsidRPr="004F681E">
        <w:rPr>
          <w:rFonts w:ascii="Arial" w:hAnsi="Arial" w:cs="Arial"/>
          <w:i/>
          <w:lang w:val="es-CO"/>
        </w:rPr>
        <w:t xml:space="preserve"> oportunamente por la entidad distrital, advirtiéndole que de concurrir a la diligencia se entenderá que la ha recibido la misma a entera satisfacción”.</w:t>
      </w:r>
    </w:p>
    <w:p w:rsidR="00390707" w:rsidRPr="004F681E" w:rsidRDefault="00390707" w:rsidP="00386D98">
      <w:pPr>
        <w:autoSpaceDN w:val="0"/>
        <w:spacing w:line="360" w:lineRule="auto"/>
        <w:jc w:val="both"/>
        <w:rPr>
          <w:rFonts w:ascii="Arial" w:hAnsi="Arial" w:cs="Arial"/>
        </w:rPr>
      </w:pPr>
    </w:p>
    <w:p w:rsidR="00234244" w:rsidRPr="004F681E" w:rsidRDefault="00234244" w:rsidP="00386D98">
      <w:pPr>
        <w:autoSpaceDN w:val="0"/>
        <w:spacing w:line="360" w:lineRule="auto"/>
        <w:jc w:val="both"/>
        <w:rPr>
          <w:rFonts w:ascii="Arial" w:hAnsi="Arial" w:cs="Arial"/>
        </w:rPr>
      </w:pPr>
      <w:r w:rsidRPr="004F681E">
        <w:rPr>
          <w:rFonts w:ascii="Arial" w:hAnsi="Arial" w:cs="Arial"/>
        </w:rPr>
        <w:lastRenderedPageBreak/>
        <w:t>Según se observ</w:t>
      </w:r>
      <w:r w:rsidR="00E9373C" w:rsidRPr="004F681E">
        <w:rPr>
          <w:rFonts w:ascii="Arial" w:hAnsi="Arial" w:cs="Arial"/>
        </w:rPr>
        <w:t>a</w:t>
      </w:r>
      <w:r w:rsidR="005441C2" w:rsidRPr="004F681E">
        <w:rPr>
          <w:rFonts w:ascii="Arial" w:hAnsi="Arial" w:cs="Arial"/>
        </w:rPr>
        <w:t>,</w:t>
      </w:r>
      <w:r w:rsidR="00E9373C" w:rsidRPr="004F681E">
        <w:rPr>
          <w:rFonts w:ascii="Arial" w:hAnsi="Arial" w:cs="Arial"/>
        </w:rPr>
        <w:t xml:space="preserve"> el</w:t>
      </w:r>
      <w:r w:rsidRPr="004F681E">
        <w:rPr>
          <w:rFonts w:ascii="Arial" w:hAnsi="Arial" w:cs="Arial"/>
        </w:rPr>
        <w:t xml:space="preserve"> compromiso presuntamente desatend</w:t>
      </w:r>
      <w:r w:rsidR="005441C2" w:rsidRPr="004F681E">
        <w:rPr>
          <w:rFonts w:ascii="Arial" w:hAnsi="Arial" w:cs="Arial"/>
        </w:rPr>
        <w:t>ido por la entidad fue incorporado</w:t>
      </w:r>
      <w:r w:rsidRPr="004F681E">
        <w:rPr>
          <w:rFonts w:ascii="Arial" w:hAnsi="Arial" w:cs="Arial"/>
        </w:rPr>
        <w:t xml:space="preserve"> en el acto expedido en ejercicio de la potestad excepcional consagrada en el artículo </w:t>
      </w:r>
      <w:r w:rsidR="00411D74" w:rsidRPr="004F681E">
        <w:rPr>
          <w:rFonts w:ascii="Arial" w:hAnsi="Arial" w:cs="Arial"/>
        </w:rPr>
        <w:t>16 del Estatuto de Contratación Estatal con arreglo a</w:t>
      </w:r>
      <w:r w:rsidR="005441C2" w:rsidRPr="004F681E">
        <w:rPr>
          <w:rFonts w:ascii="Arial" w:hAnsi="Arial" w:cs="Arial"/>
        </w:rPr>
        <w:t xml:space="preserve"> </w:t>
      </w:r>
      <w:r w:rsidR="00411D74" w:rsidRPr="004F681E">
        <w:rPr>
          <w:rFonts w:ascii="Arial" w:hAnsi="Arial" w:cs="Arial"/>
        </w:rPr>
        <w:t>l</w:t>
      </w:r>
      <w:r w:rsidR="005441C2" w:rsidRPr="004F681E">
        <w:rPr>
          <w:rFonts w:ascii="Arial" w:hAnsi="Arial" w:cs="Arial"/>
        </w:rPr>
        <w:t>a</w:t>
      </w:r>
      <w:r w:rsidR="00411D74" w:rsidRPr="004F681E">
        <w:rPr>
          <w:rFonts w:ascii="Arial" w:hAnsi="Arial" w:cs="Arial"/>
        </w:rPr>
        <w:t xml:space="preserve"> </w:t>
      </w:r>
      <w:r w:rsidR="00D663E4" w:rsidRPr="004F681E">
        <w:rPr>
          <w:rFonts w:ascii="Arial" w:hAnsi="Arial" w:cs="Arial"/>
        </w:rPr>
        <w:t xml:space="preserve">cual </w:t>
      </w:r>
      <w:r w:rsidR="00411D74" w:rsidRPr="004F681E">
        <w:rPr>
          <w:rFonts w:ascii="Arial" w:hAnsi="Arial" w:cs="Arial"/>
        </w:rPr>
        <w:t>“</w:t>
      </w:r>
      <w:r w:rsidR="00411D74" w:rsidRPr="004F681E">
        <w:rPr>
          <w:rFonts w:ascii="Arial" w:hAnsi="Arial" w:cs="Arial"/>
          <w:i/>
        </w:rPr>
        <w:t>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r w:rsidR="00A32AEF" w:rsidRPr="004F681E">
        <w:rPr>
          <w:rFonts w:ascii="Arial" w:hAnsi="Arial" w:cs="Arial"/>
        </w:rPr>
        <w:t>”</w:t>
      </w:r>
      <w:r w:rsidR="00411D74" w:rsidRPr="004F681E">
        <w:rPr>
          <w:rFonts w:ascii="Arial" w:hAnsi="Arial" w:cs="Arial"/>
        </w:rPr>
        <w:t>.</w:t>
      </w:r>
    </w:p>
    <w:p w:rsidR="00E9373C" w:rsidRPr="004F681E" w:rsidRDefault="00E9373C" w:rsidP="00386D98">
      <w:pPr>
        <w:autoSpaceDN w:val="0"/>
        <w:spacing w:line="360" w:lineRule="auto"/>
        <w:jc w:val="both"/>
        <w:rPr>
          <w:rFonts w:ascii="Arial" w:hAnsi="Arial" w:cs="Arial"/>
        </w:rPr>
      </w:pPr>
    </w:p>
    <w:p w:rsidR="00720441" w:rsidRPr="004F681E" w:rsidRDefault="00E9373C" w:rsidP="00386D98">
      <w:pPr>
        <w:autoSpaceDN w:val="0"/>
        <w:spacing w:line="360" w:lineRule="auto"/>
        <w:jc w:val="both"/>
        <w:rPr>
          <w:rFonts w:ascii="Arial" w:hAnsi="Arial" w:cs="Arial"/>
        </w:rPr>
      </w:pPr>
      <w:r w:rsidRPr="004F681E">
        <w:rPr>
          <w:rFonts w:ascii="Arial" w:hAnsi="Arial" w:cs="Arial"/>
        </w:rPr>
        <w:t xml:space="preserve">Ahora bien, </w:t>
      </w:r>
      <w:r w:rsidR="00604ADF" w:rsidRPr="004F681E">
        <w:rPr>
          <w:rFonts w:ascii="Arial" w:hAnsi="Arial" w:cs="Arial"/>
        </w:rPr>
        <w:t xml:space="preserve">de </w:t>
      </w:r>
      <w:r w:rsidR="005441C2" w:rsidRPr="004F681E">
        <w:rPr>
          <w:rFonts w:ascii="Arial" w:hAnsi="Arial" w:cs="Arial"/>
        </w:rPr>
        <w:t>entrada,</w:t>
      </w:r>
      <w:r w:rsidR="00604ADF" w:rsidRPr="004F681E">
        <w:rPr>
          <w:rFonts w:ascii="Arial" w:hAnsi="Arial" w:cs="Arial"/>
        </w:rPr>
        <w:t xml:space="preserve"> cabe precisar </w:t>
      </w:r>
      <w:r w:rsidRPr="004F681E">
        <w:rPr>
          <w:rFonts w:ascii="Arial" w:hAnsi="Arial" w:cs="Arial"/>
        </w:rPr>
        <w:t>que en modo alguno la parte actora sometió a discusión la legalidad de la dec</w:t>
      </w:r>
      <w:r w:rsidR="00924A2E" w:rsidRPr="004F681E">
        <w:rPr>
          <w:rFonts w:ascii="Arial" w:hAnsi="Arial" w:cs="Arial"/>
        </w:rPr>
        <w:t>isión en referencia</w:t>
      </w:r>
      <w:r w:rsidR="00720441" w:rsidRPr="004F681E">
        <w:rPr>
          <w:rStyle w:val="Refdenotaalpie"/>
          <w:rFonts w:ascii="Arial" w:hAnsi="Arial" w:cs="Arial"/>
        </w:rPr>
        <w:footnoteReference w:id="15"/>
      </w:r>
      <w:r w:rsidR="00720441" w:rsidRPr="004F681E">
        <w:rPr>
          <w:rFonts w:ascii="Arial" w:hAnsi="Arial" w:cs="Arial"/>
        </w:rPr>
        <w:t>,</w:t>
      </w:r>
      <w:r w:rsidR="00924A2E" w:rsidRPr="004F681E">
        <w:rPr>
          <w:rFonts w:ascii="Arial" w:hAnsi="Arial" w:cs="Arial"/>
        </w:rPr>
        <w:t xml:space="preserve"> </w:t>
      </w:r>
      <w:r w:rsidR="00720441" w:rsidRPr="004F681E">
        <w:rPr>
          <w:rFonts w:ascii="Arial" w:hAnsi="Arial" w:cs="Arial"/>
        </w:rPr>
        <w:t>de tal suerte que lo que resulta</w:t>
      </w:r>
      <w:r w:rsidR="005441C2" w:rsidRPr="004F681E">
        <w:rPr>
          <w:rFonts w:ascii="Arial" w:hAnsi="Arial" w:cs="Arial"/>
        </w:rPr>
        <w:t xml:space="preserve"> </w:t>
      </w:r>
      <w:r w:rsidR="006030B3" w:rsidRPr="004F681E">
        <w:rPr>
          <w:rFonts w:ascii="Arial" w:hAnsi="Arial" w:cs="Arial"/>
        </w:rPr>
        <w:t xml:space="preserve">realmente </w:t>
      </w:r>
      <w:r w:rsidR="005441C2" w:rsidRPr="004F681E">
        <w:rPr>
          <w:rFonts w:ascii="Arial" w:hAnsi="Arial" w:cs="Arial"/>
        </w:rPr>
        <w:t>relevante</w:t>
      </w:r>
      <w:r w:rsidR="008670C8" w:rsidRPr="004F681E">
        <w:rPr>
          <w:rFonts w:ascii="Arial" w:hAnsi="Arial" w:cs="Arial"/>
        </w:rPr>
        <w:t xml:space="preserve"> es</w:t>
      </w:r>
      <w:r w:rsidR="00720441" w:rsidRPr="004F681E">
        <w:rPr>
          <w:rFonts w:ascii="Arial" w:hAnsi="Arial" w:cs="Arial"/>
        </w:rPr>
        <w:t xml:space="preserve"> establecer los efectos vinculant</w:t>
      </w:r>
      <w:r w:rsidR="005441C2" w:rsidRPr="004F681E">
        <w:rPr>
          <w:rFonts w:ascii="Arial" w:hAnsi="Arial" w:cs="Arial"/>
        </w:rPr>
        <w:t>es</w:t>
      </w:r>
      <w:r w:rsidR="006030B3" w:rsidRPr="004F681E">
        <w:rPr>
          <w:rFonts w:ascii="Arial" w:hAnsi="Arial" w:cs="Arial"/>
        </w:rPr>
        <w:t xml:space="preserve"> del compromiso allí incrustado</w:t>
      </w:r>
      <w:r w:rsidR="00720441" w:rsidRPr="004F681E">
        <w:rPr>
          <w:rFonts w:ascii="Arial" w:hAnsi="Arial" w:cs="Arial"/>
        </w:rPr>
        <w:t>.</w:t>
      </w:r>
    </w:p>
    <w:p w:rsidR="00545EDF" w:rsidRPr="004F681E" w:rsidRDefault="00545EDF" w:rsidP="00386D98">
      <w:pPr>
        <w:autoSpaceDN w:val="0"/>
        <w:spacing w:line="360" w:lineRule="auto"/>
        <w:jc w:val="both"/>
        <w:rPr>
          <w:rFonts w:ascii="Arial" w:hAnsi="Arial" w:cs="Arial"/>
        </w:rPr>
      </w:pPr>
    </w:p>
    <w:p w:rsidR="00545EDF" w:rsidRPr="004F681E" w:rsidRDefault="00720441" w:rsidP="00386D98">
      <w:pPr>
        <w:autoSpaceDN w:val="0"/>
        <w:spacing w:line="360" w:lineRule="auto"/>
        <w:jc w:val="both"/>
        <w:rPr>
          <w:rFonts w:ascii="Arial" w:hAnsi="Arial" w:cs="Arial"/>
        </w:rPr>
      </w:pPr>
      <w:r w:rsidRPr="004F681E">
        <w:rPr>
          <w:rFonts w:ascii="Arial" w:hAnsi="Arial" w:cs="Arial"/>
        </w:rPr>
        <w:t>Para ese propósito</w:t>
      </w:r>
      <w:r w:rsidR="00924A7C" w:rsidRPr="004F681E">
        <w:rPr>
          <w:rFonts w:ascii="Arial" w:hAnsi="Arial" w:cs="Arial"/>
        </w:rPr>
        <w:t>,</w:t>
      </w:r>
      <w:r w:rsidR="00E9373C" w:rsidRPr="004F681E">
        <w:rPr>
          <w:rFonts w:ascii="Arial" w:hAnsi="Arial" w:cs="Arial"/>
        </w:rPr>
        <w:t xml:space="preserve"> </w:t>
      </w:r>
      <w:bookmarkStart w:id="8" w:name="_Hlk29561756"/>
      <w:r w:rsidR="00E9373C" w:rsidRPr="004F681E">
        <w:rPr>
          <w:rFonts w:ascii="Arial" w:hAnsi="Arial" w:cs="Arial"/>
        </w:rPr>
        <w:t>s</w:t>
      </w:r>
      <w:r w:rsidR="006030B3" w:rsidRPr="004F681E">
        <w:rPr>
          <w:rFonts w:ascii="Arial" w:hAnsi="Arial" w:cs="Arial"/>
        </w:rPr>
        <w:t>e vislumbra</w:t>
      </w:r>
      <w:r w:rsidRPr="004F681E">
        <w:rPr>
          <w:rFonts w:ascii="Arial" w:hAnsi="Arial" w:cs="Arial"/>
        </w:rPr>
        <w:t xml:space="preserve"> que la expedición del acto</w:t>
      </w:r>
      <w:r w:rsidR="006030B3" w:rsidRPr="004F681E">
        <w:rPr>
          <w:rFonts w:ascii="Arial" w:hAnsi="Arial" w:cs="Arial"/>
        </w:rPr>
        <w:t xml:space="preserve"> en comento</w:t>
      </w:r>
      <w:r w:rsidR="00E9373C" w:rsidRPr="004F681E">
        <w:rPr>
          <w:rFonts w:ascii="Arial" w:hAnsi="Arial" w:cs="Arial"/>
        </w:rPr>
        <w:t xml:space="preserve"> </w:t>
      </w:r>
      <w:r w:rsidR="003B575F" w:rsidRPr="004F681E">
        <w:rPr>
          <w:rFonts w:ascii="Arial" w:hAnsi="Arial" w:cs="Arial"/>
        </w:rPr>
        <w:t xml:space="preserve">comportó un verdadero ejercicio del </w:t>
      </w:r>
      <w:r w:rsidR="003B575F" w:rsidRPr="004F681E">
        <w:rPr>
          <w:rFonts w:ascii="Arial" w:hAnsi="Arial" w:cs="Arial"/>
          <w:i/>
        </w:rPr>
        <w:t>ius variandi</w:t>
      </w:r>
      <w:r w:rsidR="00B64B46" w:rsidRPr="004F681E">
        <w:rPr>
          <w:rStyle w:val="Refdenotaalpie"/>
          <w:rFonts w:ascii="Arial" w:hAnsi="Arial" w:cs="Arial"/>
          <w:i/>
        </w:rPr>
        <w:footnoteReference w:id="16"/>
      </w:r>
      <w:r w:rsidR="002C04B2" w:rsidRPr="004F681E">
        <w:rPr>
          <w:rFonts w:ascii="Arial" w:hAnsi="Arial" w:cs="Arial"/>
          <w:i/>
        </w:rPr>
        <w:t xml:space="preserve"> </w:t>
      </w:r>
      <w:r w:rsidR="006030B3" w:rsidRPr="004F681E">
        <w:rPr>
          <w:rFonts w:ascii="Arial" w:hAnsi="Arial" w:cs="Arial"/>
        </w:rPr>
        <w:t>en cabeza de la entidad estatal contratante,</w:t>
      </w:r>
      <w:r w:rsidR="003B575F" w:rsidRPr="004F681E">
        <w:rPr>
          <w:rFonts w:ascii="Arial" w:hAnsi="Arial" w:cs="Arial"/>
        </w:rPr>
        <w:t xml:space="preserve"> </w:t>
      </w:r>
      <w:r w:rsidR="006030B3" w:rsidRPr="004F681E">
        <w:rPr>
          <w:rFonts w:ascii="Arial" w:hAnsi="Arial" w:cs="Arial"/>
        </w:rPr>
        <w:t xml:space="preserve">toda vez que </w:t>
      </w:r>
      <w:r w:rsidR="00813C9C" w:rsidRPr="004F681E">
        <w:rPr>
          <w:rFonts w:ascii="Arial" w:hAnsi="Arial" w:cs="Arial"/>
        </w:rPr>
        <w:t xml:space="preserve">la modificación </w:t>
      </w:r>
      <w:r w:rsidR="00E9373C" w:rsidRPr="004F681E">
        <w:rPr>
          <w:rFonts w:ascii="Arial" w:hAnsi="Arial" w:cs="Arial"/>
        </w:rPr>
        <w:t>obedeció</w:t>
      </w:r>
      <w:r w:rsidR="00545EDF" w:rsidRPr="004F681E">
        <w:rPr>
          <w:rFonts w:ascii="Arial" w:hAnsi="Arial" w:cs="Arial"/>
        </w:rPr>
        <w:t xml:space="preserve"> a</w:t>
      </w:r>
      <w:r w:rsidR="00E9373C" w:rsidRPr="004F681E">
        <w:rPr>
          <w:rFonts w:ascii="Arial" w:hAnsi="Arial" w:cs="Arial"/>
        </w:rPr>
        <w:t xml:space="preserve"> </w:t>
      </w:r>
      <w:r w:rsidR="00BC7DA6" w:rsidRPr="004F681E">
        <w:rPr>
          <w:rFonts w:ascii="Arial" w:hAnsi="Arial" w:cs="Arial"/>
        </w:rPr>
        <w:t xml:space="preserve">razones que conducían </w:t>
      </w:r>
      <w:r w:rsidR="00E0419E" w:rsidRPr="004F681E">
        <w:rPr>
          <w:rFonts w:ascii="Arial" w:hAnsi="Arial" w:cs="Arial"/>
        </w:rPr>
        <w:t>a ejecutar</w:t>
      </w:r>
      <w:r w:rsidR="00545EDF" w:rsidRPr="004F681E">
        <w:rPr>
          <w:rFonts w:ascii="Arial" w:hAnsi="Arial" w:cs="Arial"/>
        </w:rPr>
        <w:t xml:space="preserve"> las obras civiles de adecuación del Estadio para alistar el escena</w:t>
      </w:r>
      <w:r w:rsidR="00924A7C" w:rsidRPr="004F681E">
        <w:rPr>
          <w:rFonts w:ascii="Arial" w:hAnsi="Arial" w:cs="Arial"/>
        </w:rPr>
        <w:t xml:space="preserve">rio del certamen deportivo que en el ámbito </w:t>
      </w:r>
      <w:r w:rsidR="00545EDF" w:rsidRPr="004F681E">
        <w:rPr>
          <w:rFonts w:ascii="Arial" w:hAnsi="Arial" w:cs="Arial"/>
        </w:rPr>
        <w:t>mundial se llevaría a cabo en esas instalaciones y en desarrollo de las mismas era necesario disponer la reubi</w:t>
      </w:r>
      <w:r w:rsidR="00E0419E" w:rsidRPr="004F681E">
        <w:rPr>
          <w:rFonts w:ascii="Arial" w:hAnsi="Arial" w:cs="Arial"/>
        </w:rPr>
        <w:t>cación del elemento electrónico y</w:t>
      </w:r>
      <w:r w:rsidR="00545EDF" w:rsidRPr="004F681E">
        <w:rPr>
          <w:rFonts w:ascii="Arial" w:hAnsi="Arial" w:cs="Arial"/>
        </w:rPr>
        <w:t xml:space="preserve"> </w:t>
      </w:r>
      <w:r w:rsidR="00E0419E" w:rsidRPr="004F681E">
        <w:rPr>
          <w:rFonts w:ascii="Arial" w:hAnsi="Arial" w:cs="Arial"/>
        </w:rPr>
        <w:t xml:space="preserve">adoptar las medidas dirigidas a evitar la parálisis del servicio de publicidad que se dispensaba a través de la pantalla exterior objeto de concesión en el estadio el </w:t>
      </w:r>
      <w:r w:rsidR="009870ED" w:rsidRPr="004F681E">
        <w:rPr>
          <w:rFonts w:ascii="Arial" w:hAnsi="Arial" w:cs="Arial"/>
        </w:rPr>
        <w:t>Campín</w:t>
      </w:r>
      <w:r w:rsidR="009042DB" w:rsidRPr="004F681E">
        <w:rPr>
          <w:rFonts w:ascii="Arial" w:hAnsi="Arial" w:cs="Arial"/>
        </w:rPr>
        <w:t>.</w:t>
      </w:r>
    </w:p>
    <w:p w:rsidR="00924A2E" w:rsidRPr="004F681E" w:rsidRDefault="00924A2E" w:rsidP="00386D98">
      <w:pPr>
        <w:autoSpaceDN w:val="0"/>
        <w:spacing w:line="360" w:lineRule="auto"/>
        <w:jc w:val="both"/>
        <w:rPr>
          <w:rFonts w:ascii="Arial" w:hAnsi="Arial" w:cs="Arial"/>
        </w:rPr>
      </w:pPr>
    </w:p>
    <w:p w:rsidR="00545EDF" w:rsidRPr="004F681E" w:rsidRDefault="00545EDF" w:rsidP="00386D98">
      <w:pPr>
        <w:autoSpaceDN w:val="0"/>
        <w:spacing w:line="360" w:lineRule="auto"/>
        <w:jc w:val="both"/>
        <w:rPr>
          <w:rFonts w:ascii="Arial" w:hAnsi="Arial" w:cs="Arial"/>
        </w:rPr>
      </w:pPr>
      <w:r w:rsidRPr="004F681E">
        <w:rPr>
          <w:rFonts w:ascii="Arial" w:hAnsi="Arial" w:cs="Arial"/>
        </w:rPr>
        <w:t xml:space="preserve">En el </w:t>
      </w:r>
      <w:r w:rsidR="00C0044B" w:rsidRPr="004F681E">
        <w:rPr>
          <w:rFonts w:ascii="Arial" w:hAnsi="Arial" w:cs="Arial"/>
        </w:rPr>
        <w:t xml:space="preserve">mismo </w:t>
      </w:r>
      <w:r w:rsidR="006F1932" w:rsidRPr="004F681E">
        <w:rPr>
          <w:rFonts w:ascii="Arial" w:hAnsi="Arial" w:cs="Arial"/>
        </w:rPr>
        <w:t>sentido, el material probatorio revela</w:t>
      </w:r>
      <w:r w:rsidRPr="004F681E">
        <w:rPr>
          <w:rFonts w:ascii="Arial" w:hAnsi="Arial" w:cs="Arial"/>
        </w:rPr>
        <w:t xml:space="preserve"> que con antelación </w:t>
      </w:r>
      <w:r w:rsidR="006F1932" w:rsidRPr="004F681E">
        <w:rPr>
          <w:rFonts w:ascii="Arial" w:hAnsi="Arial" w:cs="Arial"/>
        </w:rPr>
        <w:t>a la expedición del acto, los extremos co-co</w:t>
      </w:r>
      <w:r w:rsidR="00B97AF7" w:rsidRPr="004F681E">
        <w:rPr>
          <w:rFonts w:ascii="Arial" w:hAnsi="Arial" w:cs="Arial"/>
        </w:rPr>
        <w:t>n</w:t>
      </w:r>
      <w:r w:rsidR="006F1932" w:rsidRPr="004F681E">
        <w:rPr>
          <w:rFonts w:ascii="Arial" w:hAnsi="Arial" w:cs="Arial"/>
        </w:rPr>
        <w:t xml:space="preserve">tratantes llevaron a cabo varios intentos de acercamiento con el fin de analizar la viabilidad de </w:t>
      </w:r>
      <w:r w:rsidR="00712B46" w:rsidRPr="004F681E">
        <w:rPr>
          <w:rFonts w:ascii="Arial" w:hAnsi="Arial" w:cs="Arial"/>
        </w:rPr>
        <w:t xml:space="preserve">suscribir un contrato modificatorio en el que se acordara la ejecución de la obras de reubicación a cargo del concesionario, el valor que por las mismas debía reconocerse </w:t>
      </w:r>
      <w:r w:rsidR="0028409A" w:rsidRPr="004F681E">
        <w:rPr>
          <w:rFonts w:ascii="Arial" w:hAnsi="Arial" w:cs="Arial"/>
        </w:rPr>
        <w:t xml:space="preserve">y el valor del lucro </w:t>
      </w:r>
      <w:r w:rsidR="0028409A" w:rsidRPr="004F681E">
        <w:rPr>
          <w:rFonts w:ascii="Arial" w:hAnsi="Arial" w:cs="Arial"/>
        </w:rPr>
        <w:lastRenderedPageBreak/>
        <w:t>cesante que se causara por raz</w:t>
      </w:r>
      <w:r w:rsidR="00C431D8" w:rsidRPr="004F681E">
        <w:rPr>
          <w:rFonts w:ascii="Arial" w:hAnsi="Arial" w:cs="Arial"/>
        </w:rPr>
        <w:t>ón del perí</w:t>
      </w:r>
      <w:r w:rsidR="0028409A" w:rsidRPr="004F681E">
        <w:rPr>
          <w:rFonts w:ascii="Arial" w:hAnsi="Arial" w:cs="Arial"/>
        </w:rPr>
        <w:t>odo de inactividad de la pantalla durante el tiempo que tardara</w:t>
      </w:r>
      <w:r w:rsidR="005E0FC8" w:rsidRPr="004F681E">
        <w:rPr>
          <w:rFonts w:ascii="Arial" w:hAnsi="Arial" w:cs="Arial"/>
        </w:rPr>
        <w:t>n</w:t>
      </w:r>
      <w:r w:rsidR="0028409A" w:rsidRPr="004F681E">
        <w:rPr>
          <w:rFonts w:ascii="Arial" w:hAnsi="Arial" w:cs="Arial"/>
        </w:rPr>
        <w:t xml:space="preserve"> las obras de reubicación</w:t>
      </w:r>
      <w:bookmarkEnd w:id="8"/>
      <w:r w:rsidR="0028409A" w:rsidRPr="004F681E">
        <w:rPr>
          <w:rFonts w:ascii="Arial" w:hAnsi="Arial" w:cs="Arial"/>
        </w:rPr>
        <w:t xml:space="preserve">. </w:t>
      </w:r>
    </w:p>
    <w:p w:rsidR="00545EDF" w:rsidRPr="004F681E" w:rsidRDefault="00545EDF" w:rsidP="00386D98">
      <w:pPr>
        <w:autoSpaceDN w:val="0"/>
        <w:spacing w:line="360" w:lineRule="auto"/>
        <w:jc w:val="both"/>
        <w:rPr>
          <w:rFonts w:ascii="Arial" w:hAnsi="Arial" w:cs="Arial"/>
        </w:rPr>
      </w:pPr>
    </w:p>
    <w:p w:rsidR="000416F6" w:rsidRPr="004F681E" w:rsidRDefault="004C7CE7" w:rsidP="000416F6">
      <w:pPr>
        <w:autoSpaceDN w:val="0"/>
        <w:spacing w:line="360" w:lineRule="auto"/>
        <w:jc w:val="both"/>
        <w:rPr>
          <w:rFonts w:ascii="Arial" w:hAnsi="Arial" w:cs="Arial"/>
        </w:rPr>
      </w:pPr>
      <w:r w:rsidRPr="004F681E">
        <w:rPr>
          <w:rFonts w:ascii="Arial" w:hAnsi="Arial" w:cs="Arial"/>
        </w:rPr>
        <w:t xml:space="preserve">Lo anterior se desprende del contenido del </w:t>
      </w:r>
      <w:r w:rsidR="000416F6" w:rsidRPr="004F681E">
        <w:rPr>
          <w:rFonts w:ascii="Arial" w:hAnsi="Arial" w:cs="Arial"/>
          <w:lang w:val="es-CO"/>
        </w:rPr>
        <w:t>oficio del 12 de mayo de 2010, a través</w:t>
      </w:r>
      <w:r w:rsidR="007B4720" w:rsidRPr="004F681E">
        <w:rPr>
          <w:rFonts w:ascii="Arial" w:hAnsi="Arial" w:cs="Arial"/>
          <w:lang w:val="es-CO"/>
        </w:rPr>
        <w:t xml:space="preserve"> del cual </w:t>
      </w:r>
      <w:r w:rsidR="000416F6" w:rsidRPr="004F681E">
        <w:rPr>
          <w:rFonts w:ascii="Arial" w:hAnsi="Arial" w:cs="Arial"/>
          <w:lang w:val="es-CO"/>
        </w:rPr>
        <w:t xml:space="preserve">la Subdirección Técnica de Parques informó a la unión temporal Publiestadios que en </w:t>
      </w:r>
      <w:r w:rsidR="007B4720" w:rsidRPr="004F681E">
        <w:rPr>
          <w:rFonts w:ascii="Arial" w:hAnsi="Arial" w:cs="Arial"/>
          <w:lang w:val="es-CO"/>
        </w:rPr>
        <w:t>atención a</w:t>
      </w:r>
      <w:r w:rsidR="000416F6" w:rsidRPr="004F681E">
        <w:rPr>
          <w:rFonts w:ascii="Arial" w:hAnsi="Arial" w:cs="Arial"/>
          <w:lang w:val="es-CO"/>
        </w:rPr>
        <w:t xml:space="preserve"> las obras de remodelación de la tribuna occidental del estadio Nemesio Camacho El </w:t>
      </w:r>
      <w:r w:rsidR="009870ED" w:rsidRPr="004F681E">
        <w:rPr>
          <w:rFonts w:ascii="Arial" w:hAnsi="Arial" w:cs="Arial"/>
          <w:lang w:val="es-CO"/>
        </w:rPr>
        <w:t>Campín</w:t>
      </w:r>
      <w:r w:rsidR="000416F6" w:rsidRPr="004F681E">
        <w:rPr>
          <w:rFonts w:ascii="Arial" w:hAnsi="Arial" w:cs="Arial"/>
          <w:lang w:val="es-CO"/>
        </w:rPr>
        <w:t xml:space="preserve"> se encontraba en estudio la posibilidad de reubicar la pantalla externa objeto del contrato No. 475 de 2007</w:t>
      </w:r>
      <w:r w:rsidR="000416F6" w:rsidRPr="004F681E">
        <w:rPr>
          <w:rStyle w:val="Refdenotaalpie"/>
          <w:rFonts w:ascii="Arial" w:hAnsi="Arial" w:cs="Arial"/>
          <w:lang w:val="es-CO"/>
        </w:rPr>
        <w:footnoteReference w:id="17"/>
      </w:r>
      <w:r w:rsidR="000416F6" w:rsidRPr="004F681E">
        <w:rPr>
          <w:rFonts w:ascii="Arial" w:hAnsi="Arial" w:cs="Arial"/>
          <w:lang w:val="es-CO"/>
        </w:rPr>
        <w:t>.</w:t>
      </w:r>
    </w:p>
    <w:p w:rsidR="000416F6" w:rsidRPr="004F681E" w:rsidRDefault="000416F6" w:rsidP="000416F6">
      <w:pPr>
        <w:spacing w:line="360" w:lineRule="auto"/>
        <w:jc w:val="both"/>
        <w:rPr>
          <w:rFonts w:ascii="Arial" w:hAnsi="Arial" w:cs="Arial"/>
          <w:lang w:val="es-CO"/>
        </w:rPr>
      </w:pPr>
    </w:p>
    <w:p w:rsidR="000416F6" w:rsidRPr="004F681E" w:rsidRDefault="004C7CE7" w:rsidP="000416F6">
      <w:pPr>
        <w:spacing w:line="360" w:lineRule="auto"/>
        <w:jc w:val="both"/>
        <w:rPr>
          <w:rFonts w:ascii="Arial" w:hAnsi="Arial" w:cs="Arial"/>
          <w:lang w:val="es-CO"/>
        </w:rPr>
      </w:pPr>
      <w:r w:rsidRPr="004F681E">
        <w:rPr>
          <w:rFonts w:ascii="Arial" w:hAnsi="Arial" w:cs="Arial"/>
          <w:lang w:val="es-CO"/>
        </w:rPr>
        <w:t xml:space="preserve">Igualmente, </w:t>
      </w:r>
      <w:r w:rsidR="00C431D8" w:rsidRPr="004F681E">
        <w:rPr>
          <w:rFonts w:ascii="Arial" w:hAnsi="Arial" w:cs="Arial"/>
          <w:lang w:val="es-CO"/>
        </w:rPr>
        <w:t xml:space="preserve">a </w:t>
      </w:r>
      <w:r w:rsidR="000416F6" w:rsidRPr="004F681E">
        <w:rPr>
          <w:rFonts w:ascii="Arial" w:hAnsi="Arial" w:cs="Arial"/>
          <w:lang w:val="es-CO"/>
        </w:rPr>
        <w:t>través de escrito del 23 de junio de 2010</w:t>
      </w:r>
      <w:r w:rsidR="00924A7C" w:rsidRPr="004F681E">
        <w:rPr>
          <w:rFonts w:ascii="Arial" w:hAnsi="Arial" w:cs="Arial"/>
          <w:lang w:val="es-CO"/>
        </w:rPr>
        <w:t>,</w:t>
      </w:r>
      <w:r w:rsidR="000416F6" w:rsidRPr="004F681E">
        <w:rPr>
          <w:rFonts w:ascii="Arial" w:hAnsi="Arial" w:cs="Arial"/>
          <w:lang w:val="es-CO"/>
        </w:rPr>
        <w:t xml:space="preserve"> el concesionario manifestó al IDRD que analizadas las alternativas propuestas por la entidad para la reubicación de la pantalla, consideraba necesaria la ejecu</w:t>
      </w:r>
      <w:r w:rsidR="005E0FC8" w:rsidRPr="004F681E">
        <w:rPr>
          <w:rFonts w:ascii="Arial" w:hAnsi="Arial" w:cs="Arial"/>
          <w:lang w:val="es-CO"/>
        </w:rPr>
        <w:t>ción de varias obras para efectuar</w:t>
      </w:r>
      <w:r w:rsidR="000416F6" w:rsidRPr="004F681E">
        <w:rPr>
          <w:rFonts w:ascii="Arial" w:hAnsi="Arial" w:cs="Arial"/>
          <w:lang w:val="es-CO"/>
        </w:rPr>
        <w:t xml:space="preserve"> su traslado y también estimaba la conveniencia de analizar el reconocimiento de lucro cesante que acarrearía el incumplimiento de contratos comerciales vigentes con marca</w:t>
      </w:r>
      <w:r w:rsidR="00924A7C" w:rsidRPr="004F681E">
        <w:rPr>
          <w:rFonts w:ascii="Arial" w:hAnsi="Arial" w:cs="Arial"/>
          <w:lang w:val="es-CO"/>
        </w:rPr>
        <w:t>s</w:t>
      </w:r>
      <w:r w:rsidR="000416F6" w:rsidRPr="004F681E">
        <w:rPr>
          <w:rFonts w:ascii="Arial" w:hAnsi="Arial" w:cs="Arial"/>
          <w:lang w:val="es-CO"/>
        </w:rPr>
        <w:t xml:space="preserve"> de productos</w:t>
      </w:r>
      <w:r w:rsidR="000416F6" w:rsidRPr="004F681E">
        <w:rPr>
          <w:rStyle w:val="Refdenotaalpie"/>
          <w:rFonts w:ascii="Arial" w:hAnsi="Arial" w:cs="Arial"/>
          <w:lang w:val="es-CO"/>
        </w:rPr>
        <w:footnoteReference w:id="18"/>
      </w:r>
      <w:r w:rsidR="000416F6" w:rsidRPr="004F681E">
        <w:rPr>
          <w:rFonts w:ascii="Arial" w:hAnsi="Arial" w:cs="Arial"/>
          <w:lang w:val="es-CO"/>
        </w:rPr>
        <w:t xml:space="preserve">. </w:t>
      </w:r>
    </w:p>
    <w:p w:rsidR="000416F6" w:rsidRPr="004F681E" w:rsidRDefault="000416F6" w:rsidP="000416F6">
      <w:pPr>
        <w:spacing w:line="360" w:lineRule="auto"/>
        <w:jc w:val="both"/>
        <w:rPr>
          <w:rFonts w:ascii="Arial" w:hAnsi="Arial" w:cs="Arial"/>
          <w:lang w:val="es-CO"/>
        </w:rPr>
      </w:pPr>
    </w:p>
    <w:p w:rsidR="000416F6" w:rsidRPr="004F681E" w:rsidRDefault="000416F6" w:rsidP="000416F6">
      <w:pPr>
        <w:spacing w:line="360" w:lineRule="auto"/>
        <w:jc w:val="both"/>
        <w:rPr>
          <w:rFonts w:ascii="Arial" w:hAnsi="Arial" w:cs="Arial"/>
          <w:lang w:val="es-CO"/>
        </w:rPr>
      </w:pPr>
      <w:r w:rsidRPr="004F681E">
        <w:rPr>
          <w:rFonts w:ascii="Arial" w:hAnsi="Arial" w:cs="Arial"/>
          <w:lang w:val="es-CO"/>
        </w:rPr>
        <w:t>A los</w:t>
      </w:r>
      <w:r w:rsidR="005E0FC8" w:rsidRPr="004F681E">
        <w:rPr>
          <w:rFonts w:ascii="Arial" w:hAnsi="Arial" w:cs="Arial"/>
          <w:lang w:val="es-CO"/>
        </w:rPr>
        <w:t xml:space="preserve"> dos </w:t>
      </w:r>
      <w:r w:rsidRPr="004F681E">
        <w:rPr>
          <w:rFonts w:ascii="Arial" w:hAnsi="Arial" w:cs="Arial"/>
          <w:lang w:val="es-CO"/>
        </w:rPr>
        <w:t>días, el 25 de junio de 2010</w:t>
      </w:r>
      <w:r w:rsidR="00924A7C" w:rsidRPr="004F681E">
        <w:rPr>
          <w:rFonts w:ascii="Arial" w:hAnsi="Arial" w:cs="Arial"/>
          <w:lang w:val="es-CO"/>
        </w:rPr>
        <w:t>,</w:t>
      </w:r>
      <w:r w:rsidRPr="004F681E">
        <w:rPr>
          <w:rFonts w:ascii="Arial" w:hAnsi="Arial" w:cs="Arial"/>
          <w:lang w:val="es-CO"/>
        </w:rPr>
        <w:t xml:space="preserve"> la entidad solicitó al contratista, reconociendo su experticia </w:t>
      </w:r>
      <w:r w:rsidR="005E0FC8" w:rsidRPr="004F681E">
        <w:rPr>
          <w:rFonts w:ascii="Arial" w:hAnsi="Arial" w:cs="Arial"/>
          <w:lang w:val="es-CO"/>
        </w:rPr>
        <w:t>e</w:t>
      </w:r>
      <w:r w:rsidRPr="004F681E">
        <w:rPr>
          <w:rFonts w:ascii="Arial" w:hAnsi="Arial" w:cs="Arial"/>
          <w:lang w:val="es-CO"/>
        </w:rPr>
        <w:t>n el diseño, instalación y puesta en funcionamiento de este tipo de estructuras digitales, que realizara un presupuesto estimado de las actividades de reinstalación de la pantalla externa en el sitio concertado</w:t>
      </w:r>
      <w:r w:rsidRPr="004F681E">
        <w:rPr>
          <w:rStyle w:val="Refdenotaalpie"/>
          <w:rFonts w:ascii="Arial" w:hAnsi="Arial" w:cs="Arial"/>
          <w:lang w:val="es-CO"/>
        </w:rPr>
        <w:footnoteReference w:id="19"/>
      </w:r>
      <w:r w:rsidRPr="004F681E">
        <w:rPr>
          <w:rFonts w:ascii="Arial" w:hAnsi="Arial" w:cs="Arial"/>
          <w:lang w:val="es-CO"/>
        </w:rPr>
        <w:t xml:space="preserve">. </w:t>
      </w:r>
    </w:p>
    <w:p w:rsidR="000416F6" w:rsidRPr="004F681E" w:rsidRDefault="000416F6" w:rsidP="000416F6">
      <w:pPr>
        <w:spacing w:line="360" w:lineRule="auto"/>
        <w:jc w:val="both"/>
        <w:rPr>
          <w:rFonts w:ascii="Arial" w:hAnsi="Arial" w:cs="Arial"/>
          <w:lang w:val="es-CO"/>
        </w:rPr>
      </w:pPr>
    </w:p>
    <w:p w:rsidR="000416F6" w:rsidRPr="004F681E" w:rsidRDefault="000416F6" w:rsidP="000416F6">
      <w:pPr>
        <w:spacing w:line="360" w:lineRule="auto"/>
        <w:jc w:val="both"/>
        <w:rPr>
          <w:rFonts w:ascii="Arial" w:hAnsi="Arial" w:cs="Arial"/>
          <w:lang w:val="es-CO"/>
        </w:rPr>
      </w:pPr>
      <w:r w:rsidRPr="004F681E">
        <w:rPr>
          <w:rFonts w:ascii="Arial" w:hAnsi="Arial" w:cs="Arial"/>
          <w:lang w:val="es-CO"/>
        </w:rPr>
        <w:t>Como repuesta</w:t>
      </w:r>
      <w:r w:rsidR="004312BA" w:rsidRPr="004F681E">
        <w:rPr>
          <w:rFonts w:ascii="Arial" w:hAnsi="Arial" w:cs="Arial"/>
          <w:lang w:val="es-CO"/>
        </w:rPr>
        <w:t>s</w:t>
      </w:r>
      <w:r w:rsidRPr="004F681E">
        <w:rPr>
          <w:rFonts w:ascii="Arial" w:hAnsi="Arial" w:cs="Arial"/>
          <w:lang w:val="es-CO"/>
        </w:rPr>
        <w:t xml:space="preserve"> de lo anterior, en la misma fecha</w:t>
      </w:r>
      <w:r w:rsidR="00924A7C" w:rsidRPr="004F681E">
        <w:rPr>
          <w:rFonts w:ascii="Arial" w:hAnsi="Arial" w:cs="Arial"/>
          <w:lang w:val="es-CO"/>
        </w:rPr>
        <w:t>,</w:t>
      </w:r>
      <w:r w:rsidRPr="004F681E">
        <w:rPr>
          <w:rFonts w:ascii="Arial" w:hAnsi="Arial" w:cs="Arial"/>
          <w:lang w:val="es-CO"/>
        </w:rPr>
        <w:t xml:space="preserve"> el concesionario informó al instituto que las obras de reubicación de la pantalla tenían un valor aproximado de $582’000.000 y que el lucro cesante relacionado con la inoperatividad de las pantallas por 90 días ascendía a $336’000.000</w:t>
      </w:r>
      <w:r w:rsidRPr="004F681E">
        <w:rPr>
          <w:rStyle w:val="Refdenotaalpie"/>
          <w:rFonts w:ascii="Arial" w:hAnsi="Arial" w:cs="Arial"/>
          <w:lang w:val="es-CO"/>
        </w:rPr>
        <w:footnoteReference w:id="20"/>
      </w:r>
      <w:r w:rsidRPr="004F681E">
        <w:rPr>
          <w:rFonts w:ascii="Arial" w:hAnsi="Arial" w:cs="Arial"/>
          <w:lang w:val="es-CO"/>
        </w:rPr>
        <w:t xml:space="preserve">. </w:t>
      </w:r>
    </w:p>
    <w:p w:rsidR="000416F6" w:rsidRPr="004F681E" w:rsidRDefault="000416F6" w:rsidP="000416F6">
      <w:pPr>
        <w:spacing w:line="360" w:lineRule="auto"/>
        <w:jc w:val="both"/>
        <w:rPr>
          <w:rFonts w:ascii="Arial" w:hAnsi="Arial" w:cs="Arial"/>
          <w:lang w:val="es-CO"/>
        </w:rPr>
      </w:pPr>
    </w:p>
    <w:p w:rsidR="000416F6" w:rsidRPr="004F681E" w:rsidRDefault="000416F6" w:rsidP="000416F6">
      <w:pPr>
        <w:spacing w:line="360" w:lineRule="auto"/>
        <w:jc w:val="both"/>
        <w:rPr>
          <w:rFonts w:ascii="Arial" w:hAnsi="Arial" w:cs="Arial"/>
          <w:lang w:val="es-CO"/>
        </w:rPr>
      </w:pPr>
      <w:r w:rsidRPr="004F681E">
        <w:rPr>
          <w:rFonts w:ascii="Arial" w:hAnsi="Arial" w:cs="Arial"/>
          <w:lang w:val="es-CO"/>
        </w:rPr>
        <w:t>En oficio del 2 de julio de 2010 el IDRD le comunicó al contratis</w:t>
      </w:r>
      <w:r w:rsidR="005E0FC8" w:rsidRPr="004F681E">
        <w:rPr>
          <w:rFonts w:ascii="Arial" w:hAnsi="Arial" w:cs="Arial"/>
          <w:lang w:val="es-CO"/>
        </w:rPr>
        <w:t>ta que el presupuesto presentado</w:t>
      </w:r>
      <w:r w:rsidRPr="004F681E">
        <w:rPr>
          <w:rFonts w:ascii="Arial" w:hAnsi="Arial" w:cs="Arial"/>
          <w:lang w:val="es-CO"/>
        </w:rPr>
        <w:t xml:space="preserve"> para las labores de traslado de la pantalla externa en cuantía de $402’604.000 no era </w:t>
      </w:r>
      <w:r w:rsidR="005E0FC8" w:rsidRPr="004F681E">
        <w:rPr>
          <w:rFonts w:ascii="Arial" w:hAnsi="Arial" w:cs="Arial"/>
          <w:lang w:val="es-CO"/>
        </w:rPr>
        <w:t xml:space="preserve">admisible, </w:t>
      </w:r>
      <w:r w:rsidRPr="004F681E">
        <w:rPr>
          <w:rFonts w:ascii="Arial" w:hAnsi="Arial" w:cs="Arial"/>
          <w:lang w:val="es-CO"/>
        </w:rPr>
        <w:t>dado que</w:t>
      </w:r>
      <w:r w:rsidR="005E0FC8" w:rsidRPr="004F681E">
        <w:rPr>
          <w:rFonts w:ascii="Arial" w:hAnsi="Arial" w:cs="Arial"/>
          <w:lang w:val="es-CO"/>
        </w:rPr>
        <w:t>,</w:t>
      </w:r>
      <w:r w:rsidRPr="004F681E">
        <w:rPr>
          <w:rFonts w:ascii="Arial" w:hAnsi="Arial" w:cs="Arial"/>
          <w:lang w:val="es-CO"/>
        </w:rPr>
        <w:t xml:space="preserve"> según las indagaciones internas</w:t>
      </w:r>
      <w:r w:rsidR="005E0FC8" w:rsidRPr="004F681E">
        <w:rPr>
          <w:rFonts w:ascii="Arial" w:hAnsi="Arial" w:cs="Arial"/>
          <w:lang w:val="es-CO"/>
        </w:rPr>
        <w:t>,</w:t>
      </w:r>
      <w:r w:rsidRPr="004F681E">
        <w:rPr>
          <w:rFonts w:ascii="Arial" w:hAnsi="Arial" w:cs="Arial"/>
          <w:lang w:val="es-CO"/>
        </w:rPr>
        <w:t xml:space="preserve"> dicha actividad no superaba la suma de $194’600.000. </w:t>
      </w:r>
      <w:r w:rsidR="005E0FC8" w:rsidRPr="004F681E">
        <w:rPr>
          <w:rFonts w:ascii="Arial" w:hAnsi="Arial" w:cs="Arial"/>
          <w:lang w:val="es-CO"/>
        </w:rPr>
        <w:t>En</w:t>
      </w:r>
      <w:r w:rsidRPr="004F681E">
        <w:rPr>
          <w:rFonts w:ascii="Arial" w:hAnsi="Arial" w:cs="Arial"/>
          <w:lang w:val="es-CO"/>
        </w:rPr>
        <w:t xml:space="preserve"> ese orden, la entidad propuso descontar este último monto del contrato de concesión</w:t>
      </w:r>
      <w:r w:rsidRPr="004F681E">
        <w:rPr>
          <w:rStyle w:val="Refdenotaalpie"/>
          <w:rFonts w:ascii="Arial" w:hAnsi="Arial" w:cs="Arial"/>
          <w:lang w:val="es-CO"/>
        </w:rPr>
        <w:footnoteReference w:id="21"/>
      </w:r>
      <w:r w:rsidRPr="004F681E">
        <w:rPr>
          <w:rFonts w:ascii="Arial" w:hAnsi="Arial" w:cs="Arial"/>
          <w:lang w:val="es-CO"/>
        </w:rPr>
        <w:t>.</w:t>
      </w:r>
    </w:p>
    <w:p w:rsidR="000416F6" w:rsidRPr="004F681E" w:rsidRDefault="000416F6" w:rsidP="000416F6">
      <w:pPr>
        <w:spacing w:line="360" w:lineRule="auto"/>
        <w:jc w:val="both"/>
        <w:rPr>
          <w:rFonts w:ascii="Arial" w:hAnsi="Arial" w:cs="Arial"/>
          <w:lang w:val="es-CO"/>
        </w:rPr>
      </w:pPr>
    </w:p>
    <w:p w:rsidR="000416F6" w:rsidRPr="004F681E" w:rsidRDefault="000416F6" w:rsidP="000416F6">
      <w:pPr>
        <w:spacing w:line="360" w:lineRule="auto"/>
        <w:jc w:val="both"/>
        <w:rPr>
          <w:rFonts w:ascii="Arial" w:hAnsi="Arial" w:cs="Arial"/>
          <w:lang w:val="es-CO"/>
        </w:rPr>
      </w:pPr>
      <w:r w:rsidRPr="004F681E">
        <w:rPr>
          <w:rFonts w:ascii="Arial" w:hAnsi="Arial" w:cs="Arial"/>
          <w:lang w:val="es-CO"/>
        </w:rPr>
        <w:lastRenderedPageBreak/>
        <w:t>Mediante escrito del 14 de julio de 2010</w:t>
      </w:r>
      <w:r w:rsidR="00924A7C" w:rsidRPr="004F681E">
        <w:rPr>
          <w:rFonts w:ascii="Arial" w:hAnsi="Arial" w:cs="Arial"/>
          <w:lang w:val="es-CO"/>
        </w:rPr>
        <w:t>,</w:t>
      </w:r>
      <w:r w:rsidRPr="004F681E">
        <w:rPr>
          <w:rFonts w:ascii="Arial" w:hAnsi="Arial" w:cs="Arial"/>
          <w:lang w:val="es-CO"/>
        </w:rPr>
        <w:t xml:space="preserve"> el IDRD advirtió a la unión temporal que ante la falta de acuerdo con la concesionaria sobre el cos</w:t>
      </w:r>
      <w:r w:rsidR="00995EEB" w:rsidRPr="004F681E">
        <w:rPr>
          <w:rFonts w:ascii="Arial" w:hAnsi="Arial" w:cs="Arial"/>
          <w:lang w:val="es-CO"/>
        </w:rPr>
        <w:t>to de traslado de la pantalla, la</w:t>
      </w:r>
      <w:r w:rsidRPr="004F681E">
        <w:rPr>
          <w:rFonts w:ascii="Arial" w:hAnsi="Arial" w:cs="Arial"/>
          <w:lang w:val="es-CO"/>
        </w:rPr>
        <w:t xml:space="preserve"> entidad había deci</w:t>
      </w:r>
      <w:r w:rsidR="00783EF6" w:rsidRPr="004F681E">
        <w:rPr>
          <w:rFonts w:ascii="Arial" w:hAnsi="Arial" w:cs="Arial"/>
          <w:lang w:val="es-CO"/>
        </w:rPr>
        <w:t>di</w:t>
      </w:r>
      <w:r w:rsidRPr="004F681E">
        <w:rPr>
          <w:rFonts w:ascii="Arial" w:hAnsi="Arial" w:cs="Arial"/>
          <w:lang w:val="es-CO"/>
        </w:rPr>
        <w:t>do asumir por su cuenta y riesgo las actividades de traslado y d</w:t>
      </w:r>
      <w:r w:rsidR="00783EF6" w:rsidRPr="004F681E">
        <w:rPr>
          <w:rFonts w:ascii="Arial" w:hAnsi="Arial" w:cs="Arial"/>
          <w:lang w:val="es-CO"/>
        </w:rPr>
        <w:t>emás aspectos relacionados con la reubicación de</w:t>
      </w:r>
      <w:r w:rsidRPr="004F681E">
        <w:rPr>
          <w:rFonts w:ascii="Arial" w:hAnsi="Arial" w:cs="Arial"/>
          <w:lang w:val="es-CO"/>
        </w:rPr>
        <w:t xml:space="preserve"> dicho elemento y la cabina de operación de las dos pantallas instaladas. </w:t>
      </w:r>
    </w:p>
    <w:p w:rsidR="000416F6" w:rsidRPr="004F681E" w:rsidRDefault="000416F6" w:rsidP="000416F6">
      <w:pPr>
        <w:spacing w:line="360" w:lineRule="auto"/>
        <w:jc w:val="both"/>
        <w:rPr>
          <w:rFonts w:ascii="Arial" w:hAnsi="Arial" w:cs="Arial"/>
          <w:lang w:val="es-CO"/>
        </w:rPr>
      </w:pPr>
    </w:p>
    <w:p w:rsidR="000416F6" w:rsidRPr="004F681E" w:rsidRDefault="000416F6" w:rsidP="000416F6">
      <w:pPr>
        <w:spacing w:line="360" w:lineRule="auto"/>
        <w:jc w:val="both"/>
        <w:rPr>
          <w:rFonts w:ascii="Arial" w:hAnsi="Arial" w:cs="Arial"/>
          <w:lang w:val="es-CO"/>
        </w:rPr>
      </w:pPr>
      <w:r w:rsidRPr="004F681E">
        <w:rPr>
          <w:rFonts w:ascii="Arial" w:hAnsi="Arial" w:cs="Arial"/>
          <w:lang w:val="es-CO"/>
        </w:rPr>
        <w:t>Igualmente</w:t>
      </w:r>
      <w:r w:rsidR="00924A7C" w:rsidRPr="004F681E">
        <w:rPr>
          <w:rFonts w:ascii="Arial" w:hAnsi="Arial" w:cs="Arial"/>
          <w:lang w:val="es-CO"/>
        </w:rPr>
        <w:t>,</w:t>
      </w:r>
      <w:r w:rsidRPr="004F681E">
        <w:rPr>
          <w:rFonts w:ascii="Arial" w:hAnsi="Arial" w:cs="Arial"/>
          <w:lang w:val="es-CO"/>
        </w:rPr>
        <w:t xml:space="preserve"> le solicitó que estudiara la posibilidad de efectuar una modificación al contrato y que</w:t>
      </w:r>
      <w:r w:rsidR="00924A7C" w:rsidRPr="004F681E">
        <w:rPr>
          <w:rFonts w:ascii="Arial" w:hAnsi="Arial" w:cs="Arial"/>
          <w:lang w:val="es-CO"/>
        </w:rPr>
        <w:t>,</w:t>
      </w:r>
      <w:r w:rsidRPr="004F681E">
        <w:rPr>
          <w:rFonts w:ascii="Arial" w:hAnsi="Arial" w:cs="Arial"/>
          <w:lang w:val="es-CO"/>
        </w:rPr>
        <w:t xml:space="preserve"> en caso de no aceptar</w:t>
      </w:r>
      <w:r w:rsidR="00924A7C" w:rsidRPr="004F681E">
        <w:rPr>
          <w:rFonts w:ascii="Arial" w:hAnsi="Arial" w:cs="Arial"/>
          <w:lang w:val="es-CO"/>
        </w:rPr>
        <w:t>,</w:t>
      </w:r>
      <w:r w:rsidRPr="004F681E">
        <w:rPr>
          <w:rFonts w:ascii="Arial" w:hAnsi="Arial" w:cs="Arial"/>
          <w:lang w:val="es-CO"/>
        </w:rPr>
        <w:t xml:space="preserve"> la entidad procedería a analizar la </w:t>
      </w:r>
      <w:r w:rsidR="00783EF6" w:rsidRPr="004F681E">
        <w:rPr>
          <w:rFonts w:ascii="Arial" w:hAnsi="Arial" w:cs="Arial"/>
          <w:lang w:val="es-CO"/>
        </w:rPr>
        <w:t>alternativa de</w:t>
      </w:r>
      <w:r w:rsidRPr="004F681E">
        <w:rPr>
          <w:rFonts w:ascii="Arial" w:hAnsi="Arial" w:cs="Arial"/>
          <w:lang w:val="es-CO"/>
        </w:rPr>
        <w:t xml:space="preserve"> aplicar la cláusula de modificación unilateral del contrato. </w:t>
      </w:r>
      <w:r w:rsidR="005403EA" w:rsidRPr="004F681E">
        <w:rPr>
          <w:rFonts w:ascii="Arial" w:hAnsi="Arial" w:cs="Arial"/>
          <w:lang w:val="es-CO"/>
        </w:rPr>
        <w:t>D</w:t>
      </w:r>
      <w:r w:rsidR="00995EEB" w:rsidRPr="004F681E">
        <w:rPr>
          <w:rFonts w:ascii="Arial" w:hAnsi="Arial" w:cs="Arial"/>
          <w:lang w:val="es-CO"/>
        </w:rPr>
        <w:t>e la misma forma</w:t>
      </w:r>
      <w:r w:rsidR="00924A7C" w:rsidRPr="004F681E">
        <w:rPr>
          <w:rFonts w:ascii="Arial" w:hAnsi="Arial" w:cs="Arial"/>
          <w:lang w:val="es-CO"/>
        </w:rPr>
        <w:t>,</w:t>
      </w:r>
      <w:r w:rsidR="00995EEB" w:rsidRPr="004F681E">
        <w:rPr>
          <w:rFonts w:ascii="Arial" w:hAnsi="Arial" w:cs="Arial"/>
          <w:lang w:val="es-CO"/>
        </w:rPr>
        <w:t xml:space="preserve"> </w:t>
      </w:r>
      <w:r w:rsidRPr="004F681E">
        <w:rPr>
          <w:rFonts w:ascii="Arial" w:hAnsi="Arial" w:cs="Arial"/>
          <w:lang w:val="es-CO"/>
        </w:rPr>
        <w:t xml:space="preserve">le indicó que la entidad se hallaba en disposición de reconocer el lucro cesante que a la luz de la norma vigente </w:t>
      </w:r>
      <w:r w:rsidR="00995EEB" w:rsidRPr="004F681E">
        <w:rPr>
          <w:rFonts w:ascii="Arial" w:hAnsi="Arial" w:cs="Arial"/>
          <w:lang w:val="es-CO"/>
        </w:rPr>
        <w:t>y de la jurisprudencia se generara</w:t>
      </w:r>
      <w:r w:rsidRPr="004F681E">
        <w:rPr>
          <w:rFonts w:ascii="Arial" w:hAnsi="Arial" w:cs="Arial"/>
          <w:lang w:val="es-CO"/>
        </w:rPr>
        <w:t xml:space="preserve"> d</w:t>
      </w:r>
      <w:r w:rsidR="00995EEB" w:rsidRPr="004F681E">
        <w:rPr>
          <w:rFonts w:ascii="Arial" w:hAnsi="Arial" w:cs="Arial"/>
          <w:lang w:val="es-CO"/>
        </w:rPr>
        <w:t>urante el término en que se hiciera</w:t>
      </w:r>
      <w:r w:rsidR="00783EF6" w:rsidRPr="004F681E">
        <w:rPr>
          <w:rFonts w:ascii="Arial" w:hAnsi="Arial" w:cs="Arial"/>
          <w:lang w:val="es-CO"/>
        </w:rPr>
        <w:t xml:space="preserve"> necesaria</w:t>
      </w:r>
      <w:r w:rsidR="00B97AF7" w:rsidRPr="004F681E">
        <w:rPr>
          <w:rFonts w:ascii="Arial" w:hAnsi="Arial" w:cs="Arial"/>
          <w:lang w:val="es-CO"/>
        </w:rPr>
        <w:t xml:space="preserve"> la suspensión de la pantalla</w:t>
      </w:r>
      <w:r w:rsidRPr="004F681E">
        <w:rPr>
          <w:rFonts w:ascii="Arial" w:hAnsi="Arial" w:cs="Arial"/>
          <w:lang w:val="es-CO"/>
        </w:rPr>
        <w:t>, siempre que se acreditara con los respectivos soportes legales</w:t>
      </w:r>
      <w:r w:rsidRPr="004F681E">
        <w:rPr>
          <w:rStyle w:val="Refdenotaalpie"/>
          <w:rFonts w:ascii="Arial" w:hAnsi="Arial" w:cs="Arial"/>
          <w:lang w:val="es-CO"/>
        </w:rPr>
        <w:footnoteReference w:id="22"/>
      </w:r>
      <w:r w:rsidRPr="004F681E">
        <w:rPr>
          <w:rFonts w:ascii="Arial" w:hAnsi="Arial" w:cs="Arial"/>
          <w:lang w:val="es-CO"/>
        </w:rPr>
        <w:t xml:space="preserve">. </w:t>
      </w:r>
    </w:p>
    <w:p w:rsidR="007F2625" w:rsidRPr="004F681E" w:rsidRDefault="007F2625" w:rsidP="007F2625">
      <w:pPr>
        <w:spacing w:line="360" w:lineRule="auto"/>
        <w:jc w:val="both"/>
        <w:rPr>
          <w:rFonts w:ascii="Arial" w:hAnsi="Arial" w:cs="Arial"/>
          <w:lang w:val="es-CO"/>
        </w:rPr>
      </w:pPr>
    </w:p>
    <w:p w:rsidR="007F2625" w:rsidRPr="004F681E" w:rsidRDefault="00783EF6" w:rsidP="007F2625">
      <w:pPr>
        <w:spacing w:line="360" w:lineRule="auto"/>
        <w:jc w:val="both"/>
        <w:rPr>
          <w:rFonts w:ascii="Arial" w:hAnsi="Arial" w:cs="Arial"/>
          <w:lang w:val="es-CO"/>
        </w:rPr>
      </w:pPr>
      <w:r w:rsidRPr="004F681E">
        <w:rPr>
          <w:rFonts w:ascii="Arial" w:hAnsi="Arial" w:cs="Arial"/>
          <w:lang w:val="es-CO"/>
        </w:rPr>
        <w:t>El 16 de julio del</w:t>
      </w:r>
      <w:r w:rsidR="007F2625" w:rsidRPr="004F681E">
        <w:rPr>
          <w:rFonts w:ascii="Arial" w:hAnsi="Arial" w:cs="Arial"/>
          <w:lang w:val="es-CO"/>
        </w:rPr>
        <w:t xml:space="preserve"> mismo año, la Subdirección de Parques del IDRD puso de presente al contratista que la intervención de la tribuna occiden</w:t>
      </w:r>
      <w:r w:rsidR="001A6585" w:rsidRPr="004F681E">
        <w:rPr>
          <w:rFonts w:ascii="Arial" w:hAnsi="Arial" w:cs="Arial"/>
          <w:lang w:val="es-CO"/>
        </w:rPr>
        <w:t>te del estadio Nemesio Camacho E</w:t>
      </w:r>
      <w:r w:rsidR="007F2625" w:rsidRPr="004F681E">
        <w:rPr>
          <w:rFonts w:ascii="Arial" w:hAnsi="Arial" w:cs="Arial"/>
          <w:lang w:val="es-CO"/>
        </w:rPr>
        <w:t xml:space="preserve">l </w:t>
      </w:r>
      <w:r w:rsidR="009870ED" w:rsidRPr="004F681E">
        <w:rPr>
          <w:rFonts w:ascii="Arial" w:hAnsi="Arial" w:cs="Arial"/>
          <w:lang w:val="es-CO"/>
        </w:rPr>
        <w:t>Campín</w:t>
      </w:r>
      <w:r w:rsidR="007F2625" w:rsidRPr="004F681E">
        <w:rPr>
          <w:rFonts w:ascii="Arial" w:hAnsi="Arial" w:cs="Arial"/>
          <w:lang w:val="es-CO"/>
        </w:rPr>
        <w:t xml:space="preserve"> constituía un hecho notorio publicado en los medios de comunicación y añadió que la necesidad de la reubicación de la pantalla ya le había sido informada al contratista en oportunidad anterior, no obstante lo cual no se llegó a acuerdo alguno en relación con los costos de dicha actividad. </w:t>
      </w:r>
    </w:p>
    <w:p w:rsidR="00710358" w:rsidRPr="004F681E" w:rsidRDefault="00710358" w:rsidP="00710358">
      <w:pPr>
        <w:spacing w:line="360" w:lineRule="auto"/>
        <w:jc w:val="both"/>
        <w:rPr>
          <w:rFonts w:ascii="Arial" w:hAnsi="Arial" w:cs="Arial"/>
          <w:lang w:val="es-CO"/>
        </w:rPr>
      </w:pPr>
    </w:p>
    <w:p w:rsidR="005403EA" w:rsidRPr="004F681E" w:rsidRDefault="00710358" w:rsidP="00710358">
      <w:pPr>
        <w:spacing w:line="360" w:lineRule="auto"/>
        <w:jc w:val="both"/>
        <w:rPr>
          <w:rFonts w:ascii="Arial" w:hAnsi="Arial" w:cs="Arial"/>
          <w:lang w:val="es-CO"/>
        </w:rPr>
      </w:pPr>
      <w:r w:rsidRPr="004F681E">
        <w:rPr>
          <w:rFonts w:ascii="Arial" w:hAnsi="Arial" w:cs="Arial"/>
          <w:lang w:val="es-CO"/>
        </w:rPr>
        <w:t>Señaló que en caso de asumir por cuenta del Instituto el traslado del aparato</w:t>
      </w:r>
      <w:r w:rsidR="00924A7C" w:rsidRPr="004F681E">
        <w:rPr>
          <w:rFonts w:ascii="Arial" w:hAnsi="Arial" w:cs="Arial"/>
          <w:lang w:val="es-CO"/>
        </w:rPr>
        <w:t>,</w:t>
      </w:r>
      <w:r w:rsidRPr="004F681E">
        <w:rPr>
          <w:rFonts w:ascii="Arial" w:hAnsi="Arial" w:cs="Arial"/>
          <w:lang w:val="es-CO"/>
        </w:rPr>
        <w:t xml:space="preserve"> se adoptarían las medidas en orden a garantizar los derechos del contratista, la entidad y la comunidad</w:t>
      </w:r>
      <w:r w:rsidRPr="004F681E">
        <w:rPr>
          <w:rStyle w:val="Refdenotaalpie"/>
          <w:rFonts w:ascii="Arial" w:hAnsi="Arial" w:cs="Arial"/>
          <w:lang w:val="es-CO"/>
        </w:rPr>
        <w:footnoteReference w:id="23"/>
      </w:r>
      <w:r w:rsidRPr="004F681E">
        <w:rPr>
          <w:rFonts w:ascii="Arial" w:hAnsi="Arial" w:cs="Arial"/>
          <w:lang w:val="es-CO"/>
        </w:rPr>
        <w:t>.</w:t>
      </w:r>
    </w:p>
    <w:p w:rsidR="00710358" w:rsidRPr="004F681E" w:rsidRDefault="00710358" w:rsidP="00710358">
      <w:pPr>
        <w:spacing w:line="360" w:lineRule="auto"/>
        <w:jc w:val="both"/>
        <w:rPr>
          <w:rFonts w:ascii="Arial" w:hAnsi="Arial" w:cs="Arial"/>
          <w:lang w:val="es-CO"/>
        </w:rPr>
      </w:pPr>
    </w:p>
    <w:p w:rsidR="005403EA" w:rsidRPr="004F681E" w:rsidRDefault="005403EA" w:rsidP="00390707">
      <w:pPr>
        <w:autoSpaceDN w:val="0"/>
        <w:spacing w:line="360" w:lineRule="auto"/>
        <w:jc w:val="both"/>
        <w:rPr>
          <w:rFonts w:ascii="Arial" w:hAnsi="Arial" w:cs="Arial"/>
        </w:rPr>
      </w:pPr>
      <w:r w:rsidRPr="004F681E">
        <w:rPr>
          <w:rFonts w:ascii="Arial" w:hAnsi="Arial" w:cs="Arial"/>
        </w:rPr>
        <w:t>Del recorrido fáctico que acaba de reseñarse</w:t>
      </w:r>
      <w:r w:rsidR="00924A7C" w:rsidRPr="004F681E">
        <w:rPr>
          <w:rFonts w:ascii="Arial" w:hAnsi="Arial" w:cs="Arial"/>
        </w:rPr>
        <w:t>,</w:t>
      </w:r>
      <w:r w:rsidRPr="004F681E">
        <w:rPr>
          <w:rFonts w:ascii="Arial" w:hAnsi="Arial" w:cs="Arial"/>
        </w:rPr>
        <w:t xml:space="preserve"> resulta claro para la Sala que la modificación unilateral del contrato no obedeció al arbitrio injustificado de la entidad</w:t>
      </w:r>
      <w:r w:rsidR="00D436B2" w:rsidRPr="004F681E">
        <w:rPr>
          <w:rFonts w:ascii="Arial" w:hAnsi="Arial" w:cs="Arial"/>
        </w:rPr>
        <w:t>, sino a la necesidad de evitar</w:t>
      </w:r>
      <w:r w:rsidRPr="004F681E">
        <w:rPr>
          <w:rFonts w:ascii="Arial" w:hAnsi="Arial" w:cs="Arial"/>
        </w:rPr>
        <w:t xml:space="preserve"> que se paralizara la ejecución del objeto concesionado </w:t>
      </w:r>
      <w:r w:rsidR="00D436B2" w:rsidRPr="004F681E">
        <w:rPr>
          <w:rFonts w:ascii="Arial" w:hAnsi="Arial" w:cs="Arial"/>
        </w:rPr>
        <w:t xml:space="preserve">ante el imperativo que surgió </w:t>
      </w:r>
      <w:r w:rsidR="001A6585" w:rsidRPr="004F681E">
        <w:rPr>
          <w:rFonts w:ascii="Arial" w:hAnsi="Arial" w:cs="Arial"/>
        </w:rPr>
        <w:t>en relación</w:t>
      </w:r>
      <w:r w:rsidRPr="004F681E">
        <w:rPr>
          <w:rFonts w:ascii="Arial" w:hAnsi="Arial" w:cs="Arial"/>
        </w:rPr>
        <w:t xml:space="preserve"> con la realización de las obras civiles de adecuación del estadio para el campeonato </w:t>
      </w:r>
      <w:r w:rsidR="00A3145C" w:rsidRPr="004F681E">
        <w:rPr>
          <w:rFonts w:ascii="Arial" w:hAnsi="Arial" w:cs="Arial"/>
        </w:rPr>
        <w:t>mundial de fú</w:t>
      </w:r>
      <w:r w:rsidRPr="004F681E">
        <w:rPr>
          <w:rFonts w:ascii="Arial" w:hAnsi="Arial" w:cs="Arial"/>
        </w:rPr>
        <w:t>tbol Sub-20</w:t>
      </w:r>
      <w:r w:rsidR="00720441" w:rsidRPr="004F681E">
        <w:rPr>
          <w:rFonts w:ascii="Arial" w:hAnsi="Arial" w:cs="Arial"/>
        </w:rPr>
        <w:t xml:space="preserve"> que se aproximaba</w:t>
      </w:r>
      <w:r w:rsidRPr="004F681E">
        <w:rPr>
          <w:rFonts w:ascii="Arial" w:hAnsi="Arial" w:cs="Arial"/>
        </w:rPr>
        <w:t xml:space="preserve">. </w:t>
      </w:r>
    </w:p>
    <w:p w:rsidR="005403EA" w:rsidRPr="004F681E" w:rsidRDefault="005403EA" w:rsidP="00390707">
      <w:pPr>
        <w:autoSpaceDN w:val="0"/>
        <w:spacing w:line="360" w:lineRule="auto"/>
        <w:jc w:val="both"/>
        <w:rPr>
          <w:rFonts w:ascii="Arial" w:hAnsi="Arial" w:cs="Arial"/>
        </w:rPr>
      </w:pPr>
    </w:p>
    <w:p w:rsidR="00A3053E" w:rsidRPr="004F681E" w:rsidRDefault="005403EA" w:rsidP="00390707">
      <w:pPr>
        <w:autoSpaceDN w:val="0"/>
        <w:spacing w:line="360" w:lineRule="auto"/>
        <w:jc w:val="both"/>
        <w:rPr>
          <w:rFonts w:ascii="Arial" w:hAnsi="Arial" w:cs="Arial"/>
        </w:rPr>
      </w:pPr>
      <w:r w:rsidRPr="004F681E">
        <w:rPr>
          <w:rFonts w:ascii="Arial" w:hAnsi="Arial" w:cs="Arial"/>
        </w:rPr>
        <w:t>Ahora, a pesar de mediar varias comunicaciones entre las partes en las que se trataron asuntos relativos a la po</w:t>
      </w:r>
      <w:r w:rsidR="00A3145C" w:rsidRPr="004F681E">
        <w:rPr>
          <w:rFonts w:ascii="Arial" w:hAnsi="Arial" w:cs="Arial"/>
        </w:rPr>
        <w:t xml:space="preserve">sibilidad de que el contratista llevara a cabo las </w:t>
      </w:r>
      <w:r w:rsidR="00A3145C" w:rsidRPr="004F681E">
        <w:rPr>
          <w:rFonts w:ascii="Arial" w:hAnsi="Arial" w:cs="Arial"/>
        </w:rPr>
        <w:lastRenderedPageBreak/>
        <w:t>obras de traslado y reubicación de la pantalla</w:t>
      </w:r>
      <w:r w:rsidR="001A6585" w:rsidRPr="004F681E">
        <w:rPr>
          <w:rFonts w:ascii="Arial" w:hAnsi="Arial" w:cs="Arial"/>
        </w:rPr>
        <w:t>,</w:t>
      </w:r>
      <w:r w:rsidR="00A3145C" w:rsidRPr="004F681E">
        <w:rPr>
          <w:rFonts w:ascii="Arial" w:hAnsi="Arial" w:cs="Arial"/>
        </w:rPr>
        <w:t xml:space="preserve"> a cambio de la correspondiente contraprestación</w:t>
      </w:r>
      <w:r w:rsidR="00924A7C" w:rsidRPr="004F681E">
        <w:rPr>
          <w:rFonts w:ascii="Arial" w:hAnsi="Arial" w:cs="Arial"/>
        </w:rPr>
        <w:t>,</w:t>
      </w:r>
      <w:r w:rsidR="00A3145C" w:rsidRPr="004F681E">
        <w:rPr>
          <w:rFonts w:ascii="Arial" w:hAnsi="Arial" w:cs="Arial"/>
        </w:rPr>
        <w:t xml:space="preserve"> finalmente no se llegó a acuerdo alguno. </w:t>
      </w:r>
    </w:p>
    <w:p w:rsidR="00B415E3" w:rsidRPr="004F681E" w:rsidRDefault="00B415E3" w:rsidP="00390707">
      <w:pPr>
        <w:autoSpaceDN w:val="0"/>
        <w:spacing w:line="360" w:lineRule="auto"/>
        <w:jc w:val="both"/>
        <w:rPr>
          <w:rFonts w:ascii="Arial" w:hAnsi="Arial" w:cs="Arial"/>
        </w:rPr>
      </w:pPr>
    </w:p>
    <w:p w:rsidR="005403EA" w:rsidRPr="004F681E" w:rsidRDefault="00A3145C" w:rsidP="00390707">
      <w:pPr>
        <w:autoSpaceDN w:val="0"/>
        <w:spacing w:line="360" w:lineRule="auto"/>
        <w:jc w:val="both"/>
        <w:rPr>
          <w:rFonts w:ascii="Arial" w:hAnsi="Arial" w:cs="Arial"/>
        </w:rPr>
      </w:pPr>
      <w:r w:rsidRPr="004F681E">
        <w:rPr>
          <w:rFonts w:ascii="Arial" w:hAnsi="Arial" w:cs="Arial"/>
        </w:rPr>
        <w:t>Esta situación condujo</w:t>
      </w:r>
      <w:r w:rsidR="007B4720" w:rsidRPr="004F681E">
        <w:rPr>
          <w:rFonts w:ascii="Arial" w:hAnsi="Arial" w:cs="Arial"/>
        </w:rPr>
        <w:t>,</w:t>
      </w:r>
      <w:r w:rsidR="00A3053E" w:rsidRPr="004F681E">
        <w:rPr>
          <w:rFonts w:ascii="Arial" w:hAnsi="Arial" w:cs="Arial"/>
        </w:rPr>
        <w:t xml:space="preserve"> por un lado</w:t>
      </w:r>
      <w:r w:rsidR="007B4720" w:rsidRPr="004F681E">
        <w:rPr>
          <w:rFonts w:ascii="Arial" w:hAnsi="Arial" w:cs="Arial"/>
        </w:rPr>
        <w:t>,</w:t>
      </w:r>
      <w:r w:rsidRPr="004F681E">
        <w:rPr>
          <w:rFonts w:ascii="Arial" w:hAnsi="Arial" w:cs="Arial"/>
        </w:rPr>
        <w:t xml:space="preserve"> a que la entidad decidiera asumir por su cuenta y riesgo las obras de desmonte, traslado y reinstalación de la pantalla en el nuevo lugar destinado para su ubicación</w:t>
      </w:r>
      <w:r w:rsidR="008E7A3D" w:rsidRPr="004F681E">
        <w:rPr>
          <w:rFonts w:ascii="Arial" w:hAnsi="Arial" w:cs="Arial"/>
        </w:rPr>
        <w:t xml:space="preserve"> y, </w:t>
      </w:r>
      <w:r w:rsidR="00A3053E" w:rsidRPr="004F681E">
        <w:rPr>
          <w:rFonts w:ascii="Arial" w:hAnsi="Arial" w:cs="Arial"/>
        </w:rPr>
        <w:t>por otro</w:t>
      </w:r>
      <w:r w:rsidR="008E7A3D" w:rsidRPr="004F681E">
        <w:rPr>
          <w:rFonts w:ascii="Arial" w:hAnsi="Arial" w:cs="Arial"/>
        </w:rPr>
        <w:t>,</w:t>
      </w:r>
      <w:r w:rsidR="00A3053E" w:rsidRPr="004F681E">
        <w:rPr>
          <w:rFonts w:ascii="Arial" w:hAnsi="Arial" w:cs="Arial"/>
        </w:rPr>
        <w:t xml:space="preserve"> </w:t>
      </w:r>
      <w:r w:rsidR="008E7A3D" w:rsidRPr="004F681E">
        <w:rPr>
          <w:rFonts w:ascii="Arial" w:hAnsi="Arial" w:cs="Arial"/>
        </w:rPr>
        <w:t xml:space="preserve">a </w:t>
      </w:r>
      <w:r w:rsidR="00A3053E" w:rsidRPr="004F681E">
        <w:rPr>
          <w:rFonts w:ascii="Arial" w:hAnsi="Arial" w:cs="Arial"/>
        </w:rPr>
        <w:t xml:space="preserve">que acudiera al ejercicio de la potestad excepcional de modificación </w:t>
      </w:r>
      <w:r w:rsidR="00D6020B" w:rsidRPr="004F681E">
        <w:rPr>
          <w:rFonts w:ascii="Arial" w:hAnsi="Arial" w:cs="Arial"/>
        </w:rPr>
        <w:t>unilateral</w:t>
      </w:r>
      <w:r w:rsidR="008E7A3D" w:rsidRPr="004F681E">
        <w:rPr>
          <w:rFonts w:ascii="Arial" w:hAnsi="Arial" w:cs="Arial"/>
        </w:rPr>
        <w:t xml:space="preserve"> del contrato a través de la expedición del aludido acto administrativo</w:t>
      </w:r>
      <w:r w:rsidR="00D6020B" w:rsidRPr="004F681E">
        <w:rPr>
          <w:rFonts w:ascii="Arial" w:hAnsi="Arial" w:cs="Arial"/>
        </w:rPr>
        <w:t>.</w:t>
      </w:r>
      <w:r w:rsidRPr="004F681E">
        <w:rPr>
          <w:rFonts w:ascii="Arial" w:hAnsi="Arial" w:cs="Arial"/>
        </w:rPr>
        <w:t xml:space="preserve">  </w:t>
      </w:r>
    </w:p>
    <w:p w:rsidR="00A3145C" w:rsidRPr="004F681E" w:rsidRDefault="00A3145C" w:rsidP="00390707">
      <w:pPr>
        <w:autoSpaceDN w:val="0"/>
        <w:spacing w:line="360" w:lineRule="auto"/>
        <w:jc w:val="both"/>
        <w:rPr>
          <w:rFonts w:ascii="Arial" w:hAnsi="Arial" w:cs="Arial"/>
        </w:rPr>
      </w:pPr>
    </w:p>
    <w:p w:rsidR="00A3053E" w:rsidRPr="004F681E" w:rsidRDefault="00720441" w:rsidP="00390707">
      <w:pPr>
        <w:autoSpaceDN w:val="0"/>
        <w:spacing w:line="360" w:lineRule="auto"/>
        <w:jc w:val="both"/>
        <w:rPr>
          <w:rFonts w:ascii="Arial" w:hAnsi="Arial" w:cs="Arial"/>
          <w:i/>
          <w:lang w:val="es-CO"/>
        </w:rPr>
      </w:pPr>
      <w:r w:rsidRPr="004F681E">
        <w:rPr>
          <w:rFonts w:ascii="Arial" w:hAnsi="Arial" w:cs="Arial"/>
        </w:rPr>
        <w:t>Atendiendo</w:t>
      </w:r>
      <w:r w:rsidR="00D436B2" w:rsidRPr="004F681E">
        <w:rPr>
          <w:rFonts w:ascii="Arial" w:hAnsi="Arial" w:cs="Arial"/>
        </w:rPr>
        <w:t xml:space="preserve"> al contexto planteado</w:t>
      </w:r>
      <w:r w:rsidR="00924A7C" w:rsidRPr="004F681E">
        <w:rPr>
          <w:rFonts w:ascii="Arial" w:hAnsi="Arial" w:cs="Arial"/>
        </w:rPr>
        <w:t>,</w:t>
      </w:r>
      <w:r w:rsidR="00D436B2" w:rsidRPr="004F681E">
        <w:rPr>
          <w:rFonts w:ascii="Arial" w:hAnsi="Arial" w:cs="Arial"/>
        </w:rPr>
        <w:t xml:space="preserve"> </w:t>
      </w:r>
      <w:r w:rsidRPr="004F681E">
        <w:rPr>
          <w:rFonts w:ascii="Arial" w:hAnsi="Arial" w:cs="Arial"/>
        </w:rPr>
        <w:t xml:space="preserve">se desprende </w:t>
      </w:r>
      <w:r w:rsidR="00A3145C" w:rsidRPr="004F681E">
        <w:rPr>
          <w:rFonts w:ascii="Arial" w:hAnsi="Arial" w:cs="Arial"/>
        </w:rPr>
        <w:t>que</w:t>
      </w:r>
      <w:r w:rsidR="001A6585" w:rsidRPr="004F681E">
        <w:rPr>
          <w:rFonts w:ascii="Arial" w:hAnsi="Arial" w:cs="Arial"/>
        </w:rPr>
        <w:t>,</w:t>
      </w:r>
      <w:r w:rsidR="00A3145C" w:rsidRPr="004F681E">
        <w:rPr>
          <w:rFonts w:ascii="Arial" w:hAnsi="Arial" w:cs="Arial"/>
        </w:rPr>
        <w:t xml:space="preserve"> cons</w:t>
      </w:r>
      <w:r w:rsidR="001A60F5" w:rsidRPr="004F681E">
        <w:rPr>
          <w:rFonts w:ascii="Arial" w:hAnsi="Arial" w:cs="Arial"/>
        </w:rPr>
        <w:t>c</w:t>
      </w:r>
      <w:r w:rsidR="00A3145C" w:rsidRPr="004F681E">
        <w:rPr>
          <w:rFonts w:ascii="Arial" w:hAnsi="Arial" w:cs="Arial"/>
        </w:rPr>
        <w:t>iente de que el advenimiento de esta circunstancia alteraría la normal ejecución del contrato de concesión</w:t>
      </w:r>
      <w:r w:rsidR="00A3053E" w:rsidRPr="004F681E">
        <w:rPr>
          <w:rFonts w:ascii="Arial" w:hAnsi="Arial" w:cs="Arial"/>
        </w:rPr>
        <w:t>, debido a que</w:t>
      </w:r>
      <w:r w:rsidR="00A3145C" w:rsidRPr="004F681E">
        <w:rPr>
          <w:rFonts w:ascii="Arial" w:hAnsi="Arial" w:cs="Arial"/>
        </w:rPr>
        <w:t xml:space="preserve"> las obras de</w:t>
      </w:r>
      <w:r w:rsidR="001A6585" w:rsidRPr="004F681E">
        <w:rPr>
          <w:rFonts w:ascii="Arial" w:hAnsi="Arial" w:cs="Arial"/>
        </w:rPr>
        <w:t xml:space="preserve"> traslado</w:t>
      </w:r>
      <w:r w:rsidR="00EC1221" w:rsidRPr="004F681E">
        <w:rPr>
          <w:rFonts w:ascii="Arial" w:hAnsi="Arial" w:cs="Arial"/>
        </w:rPr>
        <w:t>, como habría de resultar</w:t>
      </w:r>
      <w:r w:rsidR="008E7A3D" w:rsidRPr="004F681E">
        <w:rPr>
          <w:rFonts w:ascii="Arial" w:hAnsi="Arial" w:cs="Arial"/>
        </w:rPr>
        <w:t xml:space="preserve"> apenas natural, </w:t>
      </w:r>
      <w:r w:rsidR="00A3145C" w:rsidRPr="004F681E">
        <w:rPr>
          <w:rFonts w:ascii="Arial" w:hAnsi="Arial" w:cs="Arial"/>
        </w:rPr>
        <w:t>generarían la inoperatividad de la pantalla por el término que durara su reinstalación</w:t>
      </w:r>
      <w:r w:rsidR="00563DD2" w:rsidRPr="004F681E">
        <w:rPr>
          <w:rFonts w:ascii="Arial" w:hAnsi="Arial" w:cs="Arial"/>
        </w:rPr>
        <w:t xml:space="preserve">, </w:t>
      </w:r>
      <w:r w:rsidR="00A3053E" w:rsidRPr="004F681E">
        <w:rPr>
          <w:rFonts w:ascii="Arial" w:hAnsi="Arial" w:cs="Arial"/>
        </w:rPr>
        <w:t>la entidad</w:t>
      </w:r>
      <w:r w:rsidR="00D436B2" w:rsidRPr="004F681E">
        <w:rPr>
          <w:rFonts w:ascii="Arial" w:hAnsi="Arial" w:cs="Arial"/>
        </w:rPr>
        <w:t>,</w:t>
      </w:r>
      <w:r w:rsidR="00A3053E" w:rsidRPr="004F681E">
        <w:rPr>
          <w:rFonts w:ascii="Arial" w:hAnsi="Arial" w:cs="Arial"/>
        </w:rPr>
        <w:t xml:space="preserve"> al ejercer </w:t>
      </w:r>
      <w:r w:rsidR="008E7A3D" w:rsidRPr="004F681E">
        <w:rPr>
          <w:rFonts w:ascii="Arial" w:hAnsi="Arial" w:cs="Arial"/>
        </w:rPr>
        <w:t xml:space="preserve">la </w:t>
      </w:r>
      <w:r w:rsidR="00A3053E" w:rsidRPr="004F681E">
        <w:rPr>
          <w:rFonts w:ascii="Arial" w:hAnsi="Arial" w:cs="Arial"/>
        </w:rPr>
        <w:t xml:space="preserve">potestad en </w:t>
      </w:r>
      <w:r w:rsidR="008E7A3D" w:rsidRPr="004F681E">
        <w:rPr>
          <w:rFonts w:ascii="Arial" w:hAnsi="Arial" w:cs="Arial"/>
        </w:rPr>
        <w:t>desarrollo</w:t>
      </w:r>
      <w:r w:rsidR="00A3053E" w:rsidRPr="004F681E">
        <w:rPr>
          <w:rFonts w:ascii="Arial" w:hAnsi="Arial" w:cs="Arial"/>
        </w:rPr>
        <w:t xml:space="preserve"> de la cual dispuso la reubicación de</w:t>
      </w:r>
      <w:r w:rsidR="001A6585" w:rsidRPr="004F681E">
        <w:rPr>
          <w:rFonts w:ascii="Arial" w:hAnsi="Arial" w:cs="Arial"/>
        </w:rPr>
        <w:t>l artefacto en el costado suroccidental del estadio</w:t>
      </w:r>
      <w:r w:rsidR="00D436B2" w:rsidRPr="004F681E">
        <w:rPr>
          <w:rFonts w:ascii="Arial" w:hAnsi="Arial" w:cs="Arial"/>
        </w:rPr>
        <w:t>,</w:t>
      </w:r>
      <w:r w:rsidR="008B092C" w:rsidRPr="004F681E">
        <w:rPr>
          <w:rFonts w:ascii="Arial" w:hAnsi="Arial" w:cs="Arial"/>
        </w:rPr>
        <w:t xml:space="preserve"> </w:t>
      </w:r>
      <w:r w:rsidR="001A6585" w:rsidRPr="004F681E">
        <w:rPr>
          <w:rFonts w:ascii="Arial" w:hAnsi="Arial" w:cs="Arial"/>
        </w:rPr>
        <w:t xml:space="preserve">introdujo </w:t>
      </w:r>
      <w:r w:rsidR="00220226" w:rsidRPr="004F681E">
        <w:rPr>
          <w:rFonts w:ascii="Arial" w:hAnsi="Arial" w:cs="Arial"/>
        </w:rPr>
        <w:t xml:space="preserve">de manera simultánea </w:t>
      </w:r>
      <w:r w:rsidR="008E7A3D" w:rsidRPr="004F681E">
        <w:rPr>
          <w:rFonts w:ascii="Arial" w:hAnsi="Arial" w:cs="Arial"/>
        </w:rPr>
        <w:t>en la</w:t>
      </w:r>
      <w:r w:rsidR="00A3053E" w:rsidRPr="004F681E">
        <w:rPr>
          <w:rFonts w:ascii="Arial" w:hAnsi="Arial" w:cs="Arial"/>
        </w:rPr>
        <w:t xml:space="preserve"> correspondiente </w:t>
      </w:r>
      <w:r w:rsidR="008E7A3D" w:rsidRPr="004F681E">
        <w:rPr>
          <w:rFonts w:ascii="Arial" w:hAnsi="Arial" w:cs="Arial"/>
        </w:rPr>
        <w:t xml:space="preserve">resolución </w:t>
      </w:r>
      <w:r w:rsidR="008B092C" w:rsidRPr="004F681E">
        <w:rPr>
          <w:rFonts w:ascii="Arial" w:hAnsi="Arial" w:cs="Arial"/>
        </w:rPr>
        <w:t>una previsión</w:t>
      </w:r>
      <w:r w:rsidR="008E7A3D" w:rsidRPr="004F681E">
        <w:rPr>
          <w:rFonts w:ascii="Arial" w:hAnsi="Arial" w:cs="Arial"/>
        </w:rPr>
        <w:t xml:space="preserve"> según la cual </w:t>
      </w:r>
      <w:r w:rsidR="00C96135" w:rsidRPr="004F681E">
        <w:rPr>
          <w:rFonts w:ascii="Arial" w:hAnsi="Arial" w:cs="Arial"/>
        </w:rPr>
        <w:t>el Instituto reconocería</w:t>
      </w:r>
      <w:r w:rsidR="0088688F" w:rsidRPr="004F681E">
        <w:rPr>
          <w:rFonts w:ascii="Arial" w:hAnsi="Arial" w:cs="Arial"/>
          <w:i/>
          <w:lang w:val="es-CO"/>
        </w:rPr>
        <w:t xml:space="preserve"> </w:t>
      </w:r>
      <w:r w:rsidR="00924A7C" w:rsidRPr="004F681E">
        <w:rPr>
          <w:rFonts w:ascii="Arial" w:hAnsi="Arial" w:cs="Arial"/>
          <w:i/>
          <w:lang w:val="es-CO"/>
        </w:rPr>
        <w:t>“</w:t>
      </w:r>
      <w:r w:rsidR="0088688F" w:rsidRPr="004F681E">
        <w:rPr>
          <w:rFonts w:ascii="Arial" w:hAnsi="Arial" w:cs="Arial"/>
          <w:i/>
          <w:u w:val="single"/>
          <w:lang w:val="es-CO"/>
        </w:rPr>
        <w:t>al CONCESIONARIO siguiendo los parámetros legales establecidos en nuestra normatividad vigente</w:t>
      </w:r>
      <w:r w:rsidR="00490EBC" w:rsidRPr="004F681E">
        <w:rPr>
          <w:rFonts w:ascii="Arial" w:hAnsi="Arial" w:cs="Arial"/>
          <w:b/>
          <w:i/>
          <w:u w:val="single"/>
          <w:lang w:val="es-CO"/>
        </w:rPr>
        <w:t>,</w:t>
      </w:r>
      <w:r w:rsidR="0088688F" w:rsidRPr="004F681E">
        <w:rPr>
          <w:rFonts w:ascii="Arial" w:hAnsi="Arial" w:cs="Arial"/>
          <w:b/>
          <w:i/>
          <w:u w:val="single"/>
          <w:lang w:val="es-CO"/>
        </w:rPr>
        <w:t xml:space="preserve"> la utilidad</w:t>
      </w:r>
      <w:r w:rsidR="0088688F" w:rsidRPr="004F681E">
        <w:rPr>
          <w:rFonts w:ascii="Arial" w:hAnsi="Arial" w:cs="Arial"/>
          <w:i/>
          <w:u w:val="single"/>
          <w:lang w:val="es-CO"/>
        </w:rPr>
        <w:t xml:space="preserve"> dejada de percibir por el C</w:t>
      </w:r>
      <w:r w:rsidR="00220226" w:rsidRPr="004F681E">
        <w:rPr>
          <w:rFonts w:ascii="Arial" w:hAnsi="Arial" w:cs="Arial"/>
          <w:i/>
          <w:u w:val="single"/>
          <w:lang w:val="es-CO"/>
        </w:rPr>
        <w:t>ONCESIONARIO durante el té</w:t>
      </w:r>
      <w:r w:rsidR="0088688F" w:rsidRPr="004F681E">
        <w:rPr>
          <w:rFonts w:ascii="Arial" w:hAnsi="Arial" w:cs="Arial"/>
          <w:i/>
          <w:u w:val="single"/>
          <w:lang w:val="es-CO"/>
        </w:rPr>
        <w:t>rmino de ejecución de las labores de desmonte y montaje de la referida</w:t>
      </w:r>
      <w:r w:rsidR="00D436B2" w:rsidRPr="004F681E">
        <w:rPr>
          <w:rFonts w:ascii="Arial" w:hAnsi="Arial" w:cs="Arial"/>
          <w:i/>
          <w:u w:val="single"/>
          <w:lang w:val="es-CO"/>
        </w:rPr>
        <w:t xml:space="preserve"> pantalla</w:t>
      </w:r>
      <w:r w:rsidR="00924A7C" w:rsidRPr="004F681E">
        <w:rPr>
          <w:rFonts w:ascii="Arial" w:hAnsi="Arial" w:cs="Arial"/>
          <w:i/>
          <w:lang w:val="es-CO"/>
        </w:rPr>
        <w:t>”</w:t>
      </w:r>
      <w:r w:rsidR="0088688F" w:rsidRPr="004F681E">
        <w:rPr>
          <w:rFonts w:ascii="Arial" w:hAnsi="Arial" w:cs="Arial"/>
          <w:i/>
          <w:lang w:val="es-CO"/>
        </w:rPr>
        <w:t>.</w:t>
      </w:r>
    </w:p>
    <w:p w:rsidR="00220226" w:rsidRPr="004F681E" w:rsidRDefault="00220226" w:rsidP="00390707">
      <w:pPr>
        <w:autoSpaceDN w:val="0"/>
        <w:spacing w:line="360" w:lineRule="auto"/>
        <w:jc w:val="both"/>
        <w:rPr>
          <w:rFonts w:ascii="Arial" w:hAnsi="Arial" w:cs="Arial"/>
          <w:i/>
          <w:lang w:val="es-CO"/>
        </w:rPr>
      </w:pPr>
    </w:p>
    <w:p w:rsidR="002C04B2" w:rsidRPr="004F681E" w:rsidRDefault="00220226" w:rsidP="00390707">
      <w:pPr>
        <w:autoSpaceDN w:val="0"/>
        <w:spacing w:line="360" w:lineRule="auto"/>
        <w:jc w:val="both"/>
        <w:rPr>
          <w:rFonts w:ascii="Arial" w:hAnsi="Arial" w:cs="Arial"/>
          <w:lang w:val="es-CO"/>
        </w:rPr>
      </w:pPr>
      <w:r w:rsidRPr="004F681E">
        <w:rPr>
          <w:rFonts w:ascii="Arial" w:hAnsi="Arial" w:cs="Arial"/>
          <w:lang w:val="es-CO"/>
        </w:rPr>
        <w:t>Así pues</w:t>
      </w:r>
      <w:r w:rsidR="007B4720" w:rsidRPr="004F681E">
        <w:rPr>
          <w:rFonts w:ascii="Arial" w:hAnsi="Arial" w:cs="Arial"/>
          <w:lang w:val="es-CO"/>
        </w:rPr>
        <w:t>,</w:t>
      </w:r>
      <w:r w:rsidRPr="004F681E">
        <w:rPr>
          <w:rFonts w:ascii="Arial" w:hAnsi="Arial" w:cs="Arial"/>
          <w:lang w:val="es-CO"/>
        </w:rPr>
        <w:t xml:space="preserve"> se tiene que la causa que habría de generar un impacto en la normal ejecución del contrato y que obligaba al cambio de ubicación de la pantalla exterior</w:t>
      </w:r>
      <w:r w:rsidR="00F46B74" w:rsidRPr="004F681E">
        <w:rPr>
          <w:rFonts w:ascii="Arial" w:hAnsi="Arial" w:cs="Arial"/>
          <w:lang w:val="es-CO"/>
        </w:rPr>
        <w:t xml:space="preserve"> y en cuyo mérito válidamente acudió al ejercicio del </w:t>
      </w:r>
      <w:r w:rsidR="00F46B74" w:rsidRPr="004F681E">
        <w:rPr>
          <w:rFonts w:ascii="Arial" w:hAnsi="Arial" w:cs="Arial"/>
          <w:i/>
          <w:lang w:val="es-CO"/>
        </w:rPr>
        <w:t>ius variandi</w:t>
      </w:r>
      <w:r w:rsidR="00CD6D46" w:rsidRPr="004F681E">
        <w:rPr>
          <w:rFonts w:ascii="Arial" w:hAnsi="Arial" w:cs="Arial"/>
          <w:lang w:val="es-CO"/>
        </w:rPr>
        <w:t>,</w:t>
      </w:r>
      <w:r w:rsidRPr="004F681E">
        <w:rPr>
          <w:rFonts w:ascii="Arial" w:hAnsi="Arial" w:cs="Arial"/>
          <w:lang w:val="es-CO"/>
        </w:rPr>
        <w:t xml:space="preserve"> no comportó antijuridicidad alguna en la conducta de la entidad pública </w:t>
      </w:r>
      <w:r w:rsidR="00720441" w:rsidRPr="004F681E">
        <w:rPr>
          <w:rFonts w:ascii="Arial" w:hAnsi="Arial" w:cs="Arial"/>
          <w:lang w:val="es-CO"/>
        </w:rPr>
        <w:t>que</w:t>
      </w:r>
      <w:r w:rsidR="002C04B2" w:rsidRPr="004F681E">
        <w:rPr>
          <w:rFonts w:ascii="Arial" w:hAnsi="Arial" w:cs="Arial"/>
          <w:lang w:val="es-CO"/>
        </w:rPr>
        <w:t xml:space="preserve"> </w:t>
      </w:r>
      <w:r w:rsidR="008808CB" w:rsidRPr="004F681E">
        <w:rPr>
          <w:rFonts w:ascii="Arial" w:hAnsi="Arial" w:cs="Arial"/>
          <w:lang w:val="es-CO"/>
        </w:rPr>
        <w:t>invadiera la órbita de</w:t>
      </w:r>
      <w:r w:rsidRPr="004F681E">
        <w:rPr>
          <w:rFonts w:ascii="Arial" w:hAnsi="Arial" w:cs="Arial"/>
          <w:lang w:val="es-CO"/>
        </w:rPr>
        <w:t xml:space="preserve"> su responsabilidad contractual</w:t>
      </w:r>
      <w:r w:rsidR="00CD6D46" w:rsidRPr="004F681E">
        <w:rPr>
          <w:rFonts w:ascii="Arial" w:hAnsi="Arial" w:cs="Arial"/>
          <w:lang w:val="es-CO"/>
        </w:rPr>
        <w:t>.</w:t>
      </w:r>
    </w:p>
    <w:p w:rsidR="00F46B74" w:rsidRPr="004F681E" w:rsidRDefault="00F46B74" w:rsidP="00F85CE1">
      <w:pPr>
        <w:autoSpaceDN w:val="0"/>
        <w:spacing w:line="360" w:lineRule="auto"/>
        <w:jc w:val="both"/>
        <w:rPr>
          <w:rFonts w:ascii="Arial" w:hAnsi="Arial" w:cs="Arial"/>
          <w:lang w:val="es-CO"/>
        </w:rPr>
      </w:pPr>
    </w:p>
    <w:p w:rsidR="00F85CE1" w:rsidRPr="004F681E" w:rsidRDefault="00B415E3" w:rsidP="00F85CE1">
      <w:pPr>
        <w:autoSpaceDN w:val="0"/>
        <w:spacing w:line="360" w:lineRule="auto"/>
        <w:jc w:val="both"/>
        <w:rPr>
          <w:rFonts w:ascii="Arial" w:hAnsi="Arial" w:cs="Arial"/>
          <w:lang w:val="es-CO"/>
        </w:rPr>
      </w:pPr>
      <w:r w:rsidRPr="004F681E">
        <w:rPr>
          <w:rFonts w:ascii="Arial" w:hAnsi="Arial" w:cs="Arial"/>
          <w:lang w:val="es-CO"/>
        </w:rPr>
        <w:t>De cara a lo anotado</w:t>
      </w:r>
      <w:r w:rsidR="00CD6D46" w:rsidRPr="004F681E">
        <w:rPr>
          <w:rFonts w:ascii="Arial" w:hAnsi="Arial" w:cs="Arial"/>
          <w:lang w:val="es-CO"/>
        </w:rPr>
        <w:t>,</w:t>
      </w:r>
      <w:r w:rsidR="00F85CE1" w:rsidRPr="004F681E">
        <w:rPr>
          <w:rFonts w:ascii="Arial" w:hAnsi="Arial" w:cs="Arial"/>
          <w:lang w:val="es-CO"/>
        </w:rPr>
        <w:t xml:space="preserve"> </w:t>
      </w:r>
      <w:r w:rsidR="00220226" w:rsidRPr="004F681E">
        <w:rPr>
          <w:rFonts w:ascii="Arial" w:hAnsi="Arial" w:cs="Arial"/>
          <w:lang w:val="es-CO"/>
        </w:rPr>
        <w:t xml:space="preserve">ocurre que </w:t>
      </w:r>
      <w:r w:rsidR="00F85CE1" w:rsidRPr="004F681E">
        <w:rPr>
          <w:rFonts w:ascii="Arial" w:hAnsi="Arial" w:cs="Arial"/>
          <w:lang w:val="es-CO"/>
        </w:rPr>
        <w:t>la modificación del contrato dispuesta a través de la Resolución en comento</w:t>
      </w:r>
      <w:r w:rsidR="002E5ED5" w:rsidRPr="004F681E">
        <w:rPr>
          <w:rFonts w:ascii="Arial" w:hAnsi="Arial" w:cs="Arial"/>
          <w:lang w:val="es-CO"/>
        </w:rPr>
        <w:t>,</w:t>
      </w:r>
      <w:r w:rsidR="00F85CE1" w:rsidRPr="004F681E">
        <w:rPr>
          <w:rFonts w:ascii="Arial" w:hAnsi="Arial" w:cs="Arial"/>
          <w:lang w:val="es-CO"/>
        </w:rPr>
        <w:t xml:space="preserve"> en cuanto comportó un cambio a las condiciones </w:t>
      </w:r>
      <w:r w:rsidR="00E731E2" w:rsidRPr="004F681E">
        <w:rPr>
          <w:rFonts w:ascii="Arial" w:hAnsi="Arial" w:cs="Arial"/>
          <w:lang w:val="es-CO"/>
        </w:rPr>
        <w:t xml:space="preserve">inicialmente </w:t>
      </w:r>
      <w:r w:rsidR="00F85CE1" w:rsidRPr="004F681E">
        <w:rPr>
          <w:rFonts w:ascii="Arial" w:hAnsi="Arial" w:cs="Arial"/>
          <w:lang w:val="es-CO"/>
        </w:rPr>
        <w:t>pactadas</w:t>
      </w:r>
      <w:r w:rsidR="001B26CD" w:rsidRPr="004F681E">
        <w:rPr>
          <w:rFonts w:ascii="Arial" w:hAnsi="Arial" w:cs="Arial"/>
          <w:lang w:val="es-CO"/>
        </w:rPr>
        <w:t>,</w:t>
      </w:r>
      <w:r w:rsidR="00F85CE1" w:rsidRPr="004F681E">
        <w:rPr>
          <w:rFonts w:ascii="Arial" w:hAnsi="Arial" w:cs="Arial"/>
          <w:lang w:val="es-CO"/>
        </w:rPr>
        <w:t xml:space="preserve"> relacionadas con la ubicación de la pantalla exterior</w:t>
      </w:r>
      <w:r w:rsidR="00022515" w:rsidRPr="004F681E">
        <w:rPr>
          <w:rFonts w:ascii="Arial" w:hAnsi="Arial" w:cs="Arial"/>
          <w:lang w:val="es-CO"/>
        </w:rPr>
        <w:t>,</w:t>
      </w:r>
      <w:r w:rsidR="00F85CE1" w:rsidRPr="004F681E">
        <w:rPr>
          <w:rFonts w:ascii="Arial" w:hAnsi="Arial" w:cs="Arial"/>
          <w:lang w:val="es-CO"/>
        </w:rPr>
        <w:t xml:space="preserve"> claramente estaba llamada a formar parte integral del acuerdo contractual primigenio</w:t>
      </w:r>
      <w:r w:rsidR="002E5ED5" w:rsidRPr="004F681E">
        <w:rPr>
          <w:rFonts w:ascii="Arial" w:hAnsi="Arial" w:cs="Arial"/>
          <w:lang w:val="es-CO"/>
        </w:rPr>
        <w:t xml:space="preserve">. </w:t>
      </w:r>
      <w:r w:rsidR="00F85CE1" w:rsidRPr="004F681E">
        <w:rPr>
          <w:rFonts w:ascii="Arial" w:hAnsi="Arial" w:cs="Arial"/>
          <w:lang w:val="es-CO"/>
        </w:rPr>
        <w:t xml:space="preserve"> </w:t>
      </w:r>
    </w:p>
    <w:p w:rsidR="00F85CE1" w:rsidRPr="004F681E" w:rsidRDefault="00F85CE1" w:rsidP="00F85CE1">
      <w:pPr>
        <w:autoSpaceDN w:val="0"/>
        <w:spacing w:line="360" w:lineRule="auto"/>
        <w:jc w:val="both"/>
        <w:rPr>
          <w:rFonts w:ascii="Arial" w:hAnsi="Arial" w:cs="Arial"/>
          <w:lang w:val="es-CO"/>
        </w:rPr>
      </w:pPr>
    </w:p>
    <w:p w:rsidR="00F85CE1" w:rsidRPr="004F681E" w:rsidRDefault="00F85CE1" w:rsidP="00F85CE1">
      <w:pPr>
        <w:spacing w:line="360" w:lineRule="auto"/>
        <w:jc w:val="both"/>
        <w:rPr>
          <w:rFonts w:ascii="Arial" w:hAnsi="Arial" w:cs="Arial"/>
          <w:lang w:val="es-CO"/>
        </w:rPr>
      </w:pPr>
      <w:r w:rsidRPr="004F681E">
        <w:rPr>
          <w:rFonts w:ascii="Arial" w:hAnsi="Arial" w:cs="Arial"/>
          <w:lang w:val="es-CO"/>
        </w:rPr>
        <w:t xml:space="preserve">Sobre el particular, es oportuno recordar que en la cláusula vigésima sexta del Contrato de Concesión No. 475 de 2007 se convino que harían parte integral de este negocio, entre otros, los actos administrativos que el IDRD dictara en ejercicio de sus atribuciones como entidad contratante. </w:t>
      </w:r>
    </w:p>
    <w:p w:rsidR="00F85CE1" w:rsidRPr="004F681E" w:rsidRDefault="00F85CE1" w:rsidP="00390707">
      <w:pPr>
        <w:autoSpaceDN w:val="0"/>
        <w:spacing w:line="360" w:lineRule="auto"/>
        <w:jc w:val="both"/>
        <w:rPr>
          <w:rFonts w:ascii="Arial" w:hAnsi="Arial" w:cs="Arial"/>
          <w:lang w:val="es-CO"/>
        </w:rPr>
      </w:pPr>
    </w:p>
    <w:p w:rsidR="00E731E2" w:rsidRPr="004F681E" w:rsidRDefault="00E731E2" w:rsidP="00F85CE1">
      <w:pPr>
        <w:autoSpaceDN w:val="0"/>
        <w:spacing w:line="360" w:lineRule="auto"/>
        <w:jc w:val="both"/>
        <w:rPr>
          <w:rFonts w:ascii="Arial" w:hAnsi="Arial" w:cs="Arial"/>
          <w:lang w:val="es-CO"/>
        </w:rPr>
      </w:pPr>
      <w:r w:rsidRPr="004F681E">
        <w:rPr>
          <w:rFonts w:ascii="Arial" w:hAnsi="Arial" w:cs="Arial"/>
          <w:lang w:val="es-CO"/>
        </w:rPr>
        <w:t xml:space="preserve">Con todo, </w:t>
      </w:r>
      <w:r w:rsidR="00220226" w:rsidRPr="004F681E">
        <w:rPr>
          <w:rFonts w:ascii="Arial" w:hAnsi="Arial" w:cs="Arial"/>
          <w:lang w:val="es-CO"/>
        </w:rPr>
        <w:t xml:space="preserve">el mecanismo dispositivo de conformidad con el cual el Instituto </w:t>
      </w:r>
      <w:r w:rsidRPr="004F681E">
        <w:rPr>
          <w:rFonts w:ascii="Arial" w:hAnsi="Arial" w:cs="Arial"/>
          <w:lang w:val="es-CO"/>
        </w:rPr>
        <w:t>se obligó a reconocer al contratista</w:t>
      </w:r>
      <w:r w:rsidR="00220226" w:rsidRPr="004F681E">
        <w:rPr>
          <w:rFonts w:ascii="Arial" w:hAnsi="Arial" w:cs="Arial"/>
          <w:lang w:val="es-CO"/>
        </w:rPr>
        <w:t xml:space="preserve"> </w:t>
      </w:r>
      <w:r w:rsidR="008808CB" w:rsidRPr="004F681E">
        <w:rPr>
          <w:rFonts w:ascii="Arial" w:hAnsi="Arial" w:cs="Arial"/>
          <w:lang w:val="es-CO"/>
        </w:rPr>
        <w:t xml:space="preserve">los perjuicios </w:t>
      </w:r>
      <w:r w:rsidR="006536E7" w:rsidRPr="004F681E">
        <w:rPr>
          <w:rFonts w:ascii="Arial" w:hAnsi="Arial" w:cs="Arial"/>
          <w:lang w:val="es-CO"/>
        </w:rPr>
        <w:t>que se le causaran y que se derivaran</w:t>
      </w:r>
      <w:r w:rsidR="008808CB" w:rsidRPr="004F681E">
        <w:rPr>
          <w:rFonts w:ascii="Arial" w:hAnsi="Arial" w:cs="Arial"/>
          <w:lang w:val="es-CO"/>
        </w:rPr>
        <w:t xml:space="preserve"> de dicha situación, materializados en las utilidades dejadas de percibir por el respectivo período,</w:t>
      </w:r>
      <w:r w:rsidR="001B26CD" w:rsidRPr="004F681E">
        <w:rPr>
          <w:rFonts w:ascii="Arial" w:hAnsi="Arial" w:cs="Arial"/>
          <w:lang w:val="es-CO"/>
        </w:rPr>
        <w:t xml:space="preserve"> más allá de identificar su génesis</w:t>
      </w:r>
      <w:r w:rsidRPr="004F681E">
        <w:rPr>
          <w:rFonts w:ascii="Arial" w:hAnsi="Arial" w:cs="Arial"/>
          <w:lang w:val="es-CO"/>
        </w:rPr>
        <w:t xml:space="preserve"> en el contenido obligacional</w:t>
      </w:r>
      <w:r w:rsidR="00BC1EA1" w:rsidRPr="004F681E">
        <w:rPr>
          <w:rFonts w:ascii="Arial" w:hAnsi="Arial" w:cs="Arial"/>
          <w:lang w:val="es-CO"/>
        </w:rPr>
        <w:t xml:space="preserve"> relativo a la contraprestación</w:t>
      </w:r>
      <w:r w:rsidRPr="004F681E">
        <w:rPr>
          <w:rFonts w:ascii="Arial" w:hAnsi="Arial" w:cs="Arial"/>
          <w:lang w:val="es-CO"/>
        </w:rPr>
        <w:t xml:space="preserve"> del negocio jurídico inicial al cual se incorporó el acto de modificación, en realidad se derivó de manera directa y autónoma del válido ejercicio del </w:t>
      </w:r>
      <w:r w:rsidRPr="004F681E">
        <w:rPr>
          <w:rFonts w:ascii="Arial" w:hAnsi="Arial" w:cs="Arial"/>
          <w:i/>
          <w:lang w:val="es-CO"/>
        </w:rPr>
        <w:t>ius variandi</w:t>
      </w:r>
      <w:r w:rsidRPr="004F681E">
        <w:rPr>
          <w:rFonts w:ascii="Arial" w:hAnsi="Arial" w:cs="Arial"/>
          <w:lang w:val="es-CO"/>
        </w:rPr>
        <w:t xml:space="preserve"> implementado a través de</w:t>
      </w:r>
      <w:r w:rsidR="00C52662" w:rsidRPr="004F681E">
        <w:rPr>
          <w:rFonts w:ascii="Arial" w:hAnsi="Arial" w:cs="Arial"/>
          <w:lang w:val="es-CO"/>
        </w:rPr>
        <w:t xml:space="preserve"> </w:t>
      </w:r>
      <w:r w:rsidRPr="004F681E">
        <w:rPr>
          <w:rFonts w:ascii="Arial" w:hAnsi="Arial" w:cs="Arial"/>
          <w:lang w:val="es-CO"/>
        </w:rPr>
        <w:t>l</w:t>
      </w:r>
      <w:r w:rsidR="00C52662" w:rsidRPr="004F681E">
        <w:rPr>
          <w:rFonts w:ascii="Arial" w:hAnsi="Arial" w:cs="Arial"/>
          <w:lang w:val="es-CO"/>
        </w:rPr>
        <w:t>a</w:t>
      </w:r>
      <w:r w:rsidRPr="004F681E">
        <w:rPr>
          <w:rFonts w:ascii="Arial" w:hAnsi="Arial" w:cs="Arial"/>
          <w:lang w:val="es-CO"/>
        </w:rPr>
        <w:t xml:space="preserve"> </w:t>
      </w:r>
      <w:r w:rsidR="00C52662" w:rsidRPr="004F681E">
        <w:rPr>
          <w:rFonts w:ascii="Arial" w:hAnsi="Arial" w:cs="Arial"/>
        </w:rPr>
        <w:t xml:space="preserve">Resolución No. </w:t>
      </w:r>
      <w:r w:rsidR="00C52662" w:rsidRPr="004F681E">
        <w:rPr>
          <w:rFonts w:ascii="Arial" w:hAnsi="Arial" w:cs="Arial"/>
          <w:lang w:val="es-CO"/>
        </w:rPr>
        <w:t xml:space="preserve">327 del 23 de julio de 2010. </w:t>
      </w:r>
    </w:p>
    <w:p w:rsidR="00E731E2" w:rsidRPr="004F681E" w:rsidRDefault="00E731E2" w:rsidP="00F85CE1">
      <w:pPr>
        <w:autoSpaceDN w:val="0"/>
        <w:spacing w:line="360" w:lineRule="auto"/>
        <w:jc w:val="both"/>
        <w:rPr>
          <w:rFonts w:ascii="Arial" w:hAnsi="Arial" w:cs="Arial"/>
          <w:lang w:val="es-CO"/>
        </w:rPr>
      </w:pPr>
    </w:p>
    <w:p w:rsidR="00351295" w:rsidRPr="004F681E" w:rsidRDefault="001A6585" w:rsidP="00446E81">
      <w:pPr>
        <w:spacing w:line="360" w:lineRule="auto"/>
        <w:jc w:val="both"/>
        <w:rPr>
          <w:rFonts w:ascii="Arial" w:hAnsi="Arial" w:cs="Arial"/>
          <w:lang w:val="es-CO"/>
        </w:rPr>
      </w:pPr>
      <w:r w:rsidRPr="004F681E">
        <w:rPr>
          <w:rFonts w:ascii="Arial" w:hAnsi="Arial" w:cs="Arial"/>
          <w:lang w:val="es-CO"/>
        </w:rPr>
        <w:t xml:space="preserve">En el </w:t>
      </w:r>
      <w:r w:rsidR="006B0AA1" w:rsidRPr="004F681E">
        <w:rPr>
          <w:rFonts w:ascii="Arial" w:hAnsi="Arial" w:cs="Arial"/>
          <w:lang w:val="es-CO"/>
        </w:rPr>
        <w:t>orden</w:t>
      </w:r>
      <w:r w:rsidRPr="004F681E">
        <w:rPr>
          <w:rFonts w:ascii="Arial" w:hAnsi="Arial" w:cs="Arial"/>
          <w:lang w:val="es-CO"/>
        </w:rPr>
        <w:t xml:space="preserve"> trazado</w:t>
      </w:r>
      <w:r w:rsidR="00664430" w:rsidRPr="004F681E">
        <w:rPr>
          <w:rFonts w:ascii="Arial" w:hAnsi="Arial" w:cs="Arial"/>
          <w:lang w:val="es-CO"/>
        </w:rPr>
        <w:t xml:space="preserve"> se concluye que la </w:t>
      </w:r>
      <w:r w:rsidR="00FE2AE4" w:rsidRPr="004F681E">
        <w:rPr>
          <w:rFonts w:ascii="Arial" w:hAnsi="Arial" w:cs="Arial"/>
          <w:lang w:val="es-CO"/>
        </w:rPr>
        <w:t>manifestación</w:t>
      </w:r>
      <w:r w:rsidR="00664430" w:rsidRPr="004F681E">
        <w:rPr>
          <w:rFonts w:ascii="Arial" w:hAnsi="Arial" w:cs="Arial"/>
          <w:lang w:val="es-CO"/>
        </w:rPr>
        <w:t xml:space="preserve"> de la entidad </w:t>
      </w:r>
      <w:r w:rsidR="00F01D1C" w:rsidRPr="004F681E">
        <w:rPr>
          <w:rFonts w:ascii="Arial" w:hAnsi="Arial" w:cs="Arial"/>
          <w:lang w:val="es-CO"/>
        </w:rPr>
        <w:t>relacionada con el reconocimiento de utilidades en favor del contratista</w:t>
      </w:r>
      <w:r w:rsidR="00BB5969" w:rsidRPr="004F681E">
        <w:rPr>
          <w:rFonts w:ascii="Arial" w:hAnsi="Arial" w:cs="Arial"/>
          <w:lang w:val="es-CO"/>
        </w:rPr>
        <w:t>,</w:t>
      </w:r>
      <w:r w:rsidR="003D1C81" w:rsidRPr="004F681E">
        <w:rPr>
          <w:rFonts w:ascii="Arial" w:hAnsi="Arial" w:cs="Arial"/>
          <w:lang w:val="es-CO"/>
        </w:rPr>
        <w:t xml:space="preserve"> dejadas de percibir durante la realización</w:t>
      </w:r>
      <w:r w:rsidRPr="004F681E">
        <w:rPr>
          <w:rFonts w:ascii="Arial" w:hAnsi="Arial" w:cs="Arial"/>
          <w:lang w:val="es-CO"/>
        </w:rPr>
        <w:t xml:space="preserve"> de las actividades de desmonte, traslado </w:t>
      </w:r>
      <w:r w:rsidR="003D1C81" w:rsidRPr="004F681E">
        <w:rPr>
          <w:rFonts w:ascii="Arial" w:hAnsi="Arial" w:cs="Arial"/>
          <w:lang w:val="es-CO"/>
        </w:rPr>
        <w:t>y montaje de la pantalla</w:t>
      </w:r>
      <w:r w:rsidR="00F01D1C" w:rsidRPr="004F681E">
        <w:rPr>
          <w:rFonts w:ascii="Arial" w:hAnsi="Arial" w:cs="Arial"/>
          <w:lang w:val="es-CO"/>
        </w:rPr>
        <w:t xml:space="preserve">, </w:t>
      </w:r>
      <w:r w:rsidRPr="004F681E">
        <w:rPr>
          <w:rFonts w:ascii="Arial" w:hAnsi="Arial" w:cs="Arial"/>
          <w:lang w:val="es-CO"/>
        </w:rPr>
        <w:t>implantada</w:t>
      </w:r>
      <w:r w:rsidR="00FE2AE4" w:rsidRPr="004F681E">
        <w:rPr>
          <w:rFonts w:ascii="Arial" w:hAnsi="Arial" w:cs="Arial"/>
          <w:lang w:val="es-CO"/>
        </w:rPr>
        <w:t xml:space="preserve"> en el acto </w:t>
      </w:r>
      <w:r w:rsidRPr="004F681E">
        <w:rPr>
          <w:rFonts w:ascii="Arial" w:hAnsi="Arial" w:cs="Arial"/>
          <w:lang w:val="es-CO"/>
        </w:rPr>
        <w:t>admin</w:t>
      </w:r>
      <w:r w:rsidR="00F01D1C" w:rsidRPr="004F681E">
        <w:rPr>
          <w:rFonts w:ascii="Arial" w:hAnsi="Arial" w:cs="Arial"/>
          <w:lang w:val="es-CO"/>
        </w:rPr>
        <w:t>istrativo de modificación unilateral</w:t>
      </w:r>
      <w:r w:rsidR="00924A7C" w:rsidRPr="004F681E">
        <w:rPr>
          <w:rFonts w:ascii="Arial" w:hAnsi="Arial" w:cs="Arial"/>
          <w:lang w:val="es-CO"/>
        </w:rPr>
        <w:t>,</w:t>
      </w:r>
      <w:r w:rsidR="00F01D1C" w:rsidRPr="004F681E">
        <w:rPr>
          <w:rFonts w:ascii="Arial" w:hAnsi="Arial" w:cs="Arial"/>
          <w:lang w:val="es-CO"/>
        </w:rPr>
        <w:t xml:space="preserve"> </w:t>
      </w:r>
      <w:r w:rsidR="00CD5F56" w:rsidRPr="004F681E">
        <w:rPr>
          <w:rFonts w:ascii="Arial" w:hAnsi="Arial" w:cs="Arial"/>
          <w:lang w:val="es-CO"/>
        </w:rPr>
        <w:t xml:space="preserve">constituyó una medida adoptada por la entidad en desarrollo de la autonomía de su voluntad, dirigida a </w:t>
      </w:r>
      <w:r w:rsidR="00351295" w:rsidRPr="004F681E">
        <w:rPr>
          <w:rFonts w:ascii="Arial" w:hAnsi="Arial" w:cs="Arial"/>
          <w:lang w:val="es-CO"/>
        </w:rPr>
        <w:t xml:space="preserve">contener los efectos del ejercicio de la potestad excepcional como causa generadora de ruptura del equilibrio económico del contrato. </w:t>
      </w:r>
    </w:p>
    <w:p w:rsidR="00813083" w:rsidRPr="004F681E" w:rsidRDefault="00813083" w:rsidP="00446E81">
      <w:pPr>
        <w:spacing w:line="360" w:lineRule="auto"/>
        <w:jc w:val="both"/>
        <w:rPr>
          <w:rFonts w:ascii="Arial" w:hAnsi="Arial" w:cs="Arial"/>
          <w:lang w:val="es-CO"/>
        </w:rPr>
      </w:pPr>
    </w:p>
    <w:p w:rsidR="007526E2" w:rsidRPr="004F681E" w:rsidRDefault="00813083" w:rsidP="00446E81">
      <w:pPr>
        <w:spacing w:line="360" w:lineRule="auto"/>
        <w:jc w:val="both"/>
        <w:rPr>
          <w:rFonts w:ascii="Arial" w:hAnsi="Arial" w:cs="Arial"/>
          <w:lang w:val="es-CO"/>
        </w:rPr>
      </w:pPr>
      <w:r w:rsidRPr="004F681E">
        <w:rPr>
          <w:rFonts w:ascii="Arial" w:hAnsi="Arial" w:cs="Arial"/>
          <w:lang w:val="es-CO"/>
        </w:rPr>
        <w:t>Por esta razón</w:t>
      </w:r>
      <w:r w:rsidR="00CD6D46" w:rsidRPr="004F681E">
        <w:rPr>
          <w:rFonts w:ascii="Arial" w:hAnsi="Arial" w:cs="Arial"/>
          <w:lang w:val="es-CO"/>
        </w:rPr>
        <w:t>,</w:t>
      </w:r>
      <w:r w:rsidRPr="004F681E">
        <w:rPr>
          <w:rFonts w:ascii="Arial" w:hAnsi="Arial" w:cs="Arial"/>
          <w:lang w:val="es-CO"/>
        </w:rPr>
        <w:t xml:space="preserve"> el análisis del caso merece abordar</w:t>
      </w:r>
      <w:r w:rsidR="00606D43" w:rsidRPr="004F681E">
        <w:rPr>
          <w:rFonts w:ascii="Arial" w:hAnsi="Arial" w:cs="Arial"/>
          <w:lang w:val="es-CO"/>
        </w:rPr>
        <w:t>se</w:t>
      </w:r>
      <w:r w:rsidRPr="004F681E">
        <w:rPr>
          <w:rFonts w:ascii="Arial" w:hAnsi="Arial" w:cs="Arial"/>
          <w:lang w:val="es-CO"/>
        </w:rPr>
        <w:t xml:space="preserve"> desde la perspectiva </w:t>
      </w:r>
      <w:r w:rsidR="00FE6BAF" w:rsidRPr="004F681E">
        <w:rPr>
          <w:rFonts w:ascii="Arial" w:hAnsi="Arial" w:cs="Arial"/>
          <w:lang w:val="es-CO"/>
        </w:rPr>
        <w:t xml:space="preserve">de la ruptura del equilibrio económico del contrato derivada del </w:t>
      </w:r>
      <w:r w:rsidR="00FE6BAF" w:rsidRPr="004F681E">
        <w:rPr>
          <w:rFonts w:ascii="Arial" w:hAnsi="Arial" w:cs="Arial"/>
          <w:i/>
          <w:lang w:val="es-CO"/>
        </w:rPr>
        <w:t>ius variandi</w:t>
      </w:r>
      <w:r w:rsidR="001C2BC5" w:rsidRPr="004F681E">
        <w:rPr>
          <w:rFonts w:ascii="Arial" w:hAnsi="Arial" w:cs="Arial"/>
          <w:lang w:val="es-CO"/>
        </w:rPr>
        <w:t xml:space="preserve">, para cuyo restablecimiento </w:t>
      </w:r>
      <w:r w:rsidR="00FE6BAF" w:rsidRPr="004F681E">
        <w:rPr>
          <w:rFonts w:ascii="Arial" w:hAnsi="Arial" w:cs="Arial"/>
          <w:lang w:val="es-CO"/>
        </w:rPr>
        <w:t xml:space="preserve">la entidad </w:t>
      </w:r>
      <w:r w:rsidR="003D1C81" w:rsidRPr="004F681E">
        <w:rPr>
          <w:rFonts w:ascii="Arial" w:hAnsi="Arial" w:cs="Arial"/>
          <w:lang w:val="es-CO"/>
        </w:rPr>
        <w:t>s</w:t>
      </w:r>
      <w:r w:rsidR="00F01D1C" w:rsidRPr="004F681E">
        <w:rPr>
          <w:rFonts w:ascii="Arial" w:hAnsi="Arial" w:cs="Arial"/>
          <w:lang w:val="es-CO"/>
        </w:rPr>
        <w:t>e comprometió</w:t>
      </w:r>
      <w:r w:rsidR="001C2BC5" w:rsidRPr="004F681E">
        <w:rPr>
          <w:rFonts w:ascii="Arial" w:hAnsi="Arial" w:cs="Arial"/>
          <w:lang w:val="es-CO"/>
        </w:rPr>
        <w:t xml:space="preserve"> a reconocer a favor del contratista las utilidades dejadas de percibir por el interregno </w:t>
      </w:r>
      <w:r w:rsidR="00606D43" w:rsidRPr="004F681E">
        <w:rPr>
          <w:rFonts w:ascii="Arial" w:hAnsi="Arial" w:cs="Arial"/>
          <w:lang w:val="es-CO"/>
        </w:rPr>
        <w:t>en el que se ejecutaran la</w:t>
      </w:r>
      <w:r w:rsidR="003341ED" w:rsidRPr="004F681E">
        <w:rPr>
          <w:rFonts w:ascii="Arial" w:hAnsi="Arial" w:cs="Arial"/>
          <w:lang w:val="es-CO"/>
        </w:rPr>
        <w:t>s</w:t>
      </w:r>
      <w:r w:rsidR="003C55C0" w:rsidRPr="004F681E">
        <w:rPr>
          <w:rFonts w:ascii="Arial" w:hAnsi="Arial" w:cs="Arial"/>
          <w:lang w:val="es-CO"/>
        </w:rPr>
        <w:t xml:space="preserve"> </w:t>
      </w:r>
      <w:r w:rsidR="00606D43" w:rsidRPr="004F681E">
        <w:rPr>
          <w:rFonts w:ascii="Arial" w:hAnsi="Arial" w:cs="Arial"/>
          <w:lang w:val="es-CO"/>
        </w:rPr>
        <w:t>obras de traslado de la pantalla</w:t>
      </w:r>
      <w:r w:rsidR="00924A7C" w:rsidRPr="004F681E">
        <w:rPr>
          <w:rFonts w:ascii="Arial" w:hAnsi="Arial" w:cs="Arial"/>
          <w:lang w:val="es-CO"/>
        </w:rPr>
        <w:t>,</w:t>
      </w:r>
      <w:r w:rsidR="00F01D1C" w:rsidRPr="004F681E">
        <w:rPr>
          <w:rFonts w:ascii="Arial" w:hAnsi="Arial" w:cs="Arial"/>
          <w:lang w:val="es-CO"/>
        </w:rPr>
        <w:t xml:space="preserve"> siempre que </w:t>
      </w:r>
      <w:r w:rsidR="006536E7" w:rsidRPr="004F681E">
        <w:rPr>
          <w:rFonts w:ascii="Arial" w:hAnsi="Arial" w:cs="Arial"/>
          <w:lang w:val="es-CO"/>
        </w:rPr>
        <w:t xml:space="preserve">el contratista </w:t>
      </w:r>
      <w:r w:rsidR="00AC3141" w:rsidRPr="004F681E">
        <w:rPr>
          <w:rFonts w:ascii="Arial" w:hAnsi="Arial" w:cs="Arial"/>
          <w:lang w:val="es-CO"/>
        </w:rPr>
        <w:t xml:space="preserve">presentara su estimación </w:t>
      </w:r>
      <w:r w:rsidR="00BB5969" w:rsidRPr="004F681E">
        <w:rPr>
          <w:rFonts w:ascii="Arial" w:hAnsi="Arial" w:cs="Arial"/>
          <w:lang w:val="es-CO"/>
        </w:rPr>
        <w:t xml:space="preserve">ante el IDRD </w:t>
      </w:r>
      <w:r w:rsidR="00AC3141" w:rsidRPr="004F681E">
        <w:rPr>
          <w:rFonts w:ascii="Arial" w:hAnsi="Arial" w:cs="Arial"/>
          <w:lang w:val="es-CO"/>
        </w:rPr>
        <w:t>con los</w:t>
      </w:r>
      <w:r w:rsidR="007526E2" w:rsidRPr="004F681E">
        <w:rPr>
          <w:rFonts w:ascii="Arial" w:hAnsi="Arial" w:cs="Arial"/>
          <w:lang w:val="es-CO"/>
        </w:rPr>
        <w:t xml:space="preserve"> respectivos soportes contables. </w:t>
      </w:r>
    </w:p>
    <w:p w:rsidR="007526E2" w:rsidRPr="004F681E" w:rsidRDefault="007526E2" w:rsidP="00446E81">
      <w:pPr>
        <w:spacing w:line="360" w:lineRule="auto"/>
        <w:jc w:val="both"/>
        <w:rPr>
          <w:rFonts w:ascii="Arial" w:hAnsi="Arial" w:cs="Arial"/>
          <w:lang w:val="es-CO"/>
        </w:rPr>
      </w:pPr>
    </w:p>
    <w:p w:rsidR="003B0B96" w:rsidRPr="004F681E" w:rsidRDefault="007526E2" w:rsidP="00446E81">
      <w:pPr>
        <w:spacing w:line="360" w:lineRule="auto"/>
        <w:jc w:val="both"/>
        <w:rPr>
          <w:rFonts w:ascii="Arial" w:hAnsi="Arial" w:cs="Arial"/>
          <w:lang w:val="es-CO"/>
        </w:rPr>
      </w:pPr>
      <w:r w:rsidRPr="004F681E">
        <w:rPr>
          <w:rFonts w:ascii="Arial" w:hAnsi="Arial" w:cs="Arial"/>
          <w:lang w:val="es-CO"/>
        </w:rPr>
        <w:t>Surge con claridad que la obligación de pago de la utilidad sometida</w:t>
      </w:r>
      <w:r w:rsidR="003341ED" w:rsidRPr="004F681E">
        <w:rPr>
          <w:rFonts w:ascii="Arial" w:hAnsi="Arial" w:cs="Arial"/>
          <w:lang w:val="es-CO"/>
        </w:rPr>
        <w:t xml:space="preserve"> </w:t>
      </w:r>
      <w:r w:rsidRPr="004F681E">
        <w:rPr>
          <w:rFonts w:ascii="Arial" w:hAnsi="Arial" w:cs="Arial"/>
          <w:lang w:val="es-CO"/>
        </w:rPr>
        <w:t>a discusión no surgió del acuerdo que en torno a la contraprestación del concesionario se pact</w:t>
      </w:r>
      <w:r w:rsidR="007B7192" w:rsidRPr="004F681E">
        <w:rPr>
          <w:rFonts w:ascii="Arial" w:hAnsi="Arial" w:cs="Arial"/>
          <w:lang w:val="es-CO"/>
        </w:rPr>
        <w:t xml:space="preserve">ó en el contrato primario, caso </w:t>
      </w:r>
      <w:r w:rsidRPr="004F681E">
        <w:rPr>
          <w:rFonts w:ascii="Arial" w:hAnsi="Arial" w:cs="Arial"/>
          <w:lang w:val="es-CO"/>
        </w:rPr>
        <w:t xml:space="preserve">en el cual la reclamación </w:t>
      </w:r>
      <w:r w:rsidR="00207EEE" w:rsidRPr="004F681E">
        <w:rPr>
          <w:rFonts w:ascii="Arial" w:hAnsi="Arial" w:cs="Arial"/>
          <w:lang w:val="es-CO"/>
        </w:rPr>
        <w:t xml:space="preserve">se </w:t>
      </w:r>
      <w:r w:rsidR="00A41F31" w:rsidRPr="004F681E">
        <w:rPr>
          <w:rFonts w:ascii="Arial" w:hAnsi="Arial" w:cs="Arial"/>
          <w:lang w:val="es-CO"/>
        </w:rPr>
        <w:t>habría ubicado</w:t>
      </w:r>
      <w:r w:rsidR="00207EEE" w:rsidRPr="004F681E">
        <w:rPr>
          <w:rFonts w:ascii="Arial" w:hAnsi="Arial" w:cs="Arial"/>
          <w:lang w:val="es-CO"/>
        </w:rPr>
        <w:t xml:space="preserve"> </w:t>
      </w:r>
      <w:r w:rsidRPr="004F681E">
        <w:rPr>
          <w:rFonts w:ascii="Arial" w:hAnsi="Arial" w:cs="Arial"/>
          <w:lang w:val="es-CO"/>
        </w:rPr>
        <w:t>en un evento de incumplimiento</w:t>
      </w:r>
      <w:r w:rsidR="007B7192" w:rsidRPr="004F681E">
        <w:rPr>
          <w:rFonts w:ascii="Arial" w:hAnsi="Arial" w:cs="Arial"/>
          <w:lang w:val="es-CO"/>
        </w:rPr>
        <w:t xml:space="preserve"> contractual</w:t>
      </w:r>
      <w:r w:rsidRPr="004F681E">
        <w:rPr>
          <w:rFonts w:ascii="Arial" w:hAnsi="Arial" w:cs="Arial"/>
          <w:lang w:val="es-CO"/>
        </w:rPr>
        <w:t xml:space="preserve">. </w:t>
      </w:r>
    </w:p>
    <w:p w:rsidR="003B0B96" w:rsidRPr="004F681E" w:rsidRDefault="003B0B96" w:rsidP="00446E81">
      <w:pPr>
        <w:spacing w:line="360" w:lineRule="auto"/>
        <w:jc w:val="both"/>
        <w:rPr>
          <w:rFonts w:ascii="Arial" w:hAnsi="Arial" w:cs="Arial"/>
          <w:lang w:val="es-CO"/>
        </w:rPr>
      </w:pPr>
    </w:p>
    <w:p w:rsidR="007526E2" w:rsidRPr="004F681E" w:rsidRDefault="007526E2" w:rsidP="00446E81">
      <w:pPr>
        <w:spacing w:line="360" w:lineRule="auto"/>
        <w:jc w:val="both"/>
        <w:rPr>
          <w:rFonts w:ascii="Arial" w:hAnsi="Arial" w:cs="Arial"/>
          <w:lang w:val="es-CO"/>
        </w:rPr>
      </w:pPr>
      <w:r w:rsidRPr="004F681E">
        <w:rPr>
          <w:rFonts w:ascii="Arial" w:hAnsi="Arial" w:cs="Arial"/>
          <w:lang w:val="es-CO"/>
        </w:rPr>
        <w:t>Contrario sensu</w:t>
      </w:r>
      <w:r w:rsidR="00207EEE" w:rsidRPr="004F681E">
        <w:rPr>
          <w:rFonts w:ascii="Arial" w:hAnsi="Arial" w:cs="Arial"/>
          <w:lang w:val="es-CO"/>
        </w:rPr>
        <w:t>,</w:t>
      </w:r>
      <w:r w:rsidR="003C55C0" w:rsidRPr="004F681E">
        <w:rPr>
          <w:rFonts w:ascii="Arial" w:hAnsi="Arial" w:cs="Arial"/>
          <w:lang w:val="es-CO"/>
        </w:rPr>
        <w:t xml:space="preserve"> la fuente</w:t>
      </w:r>
      <w:r w:rsidRPr="004F681E">
        <w:rPr>
          <w:rFonts w:ascii="Arial" w:hAnsi="Arial" w:cs="Arial"/>
          <w:lang w:val="es-CO"/>
        </w:rPr>
        <w:t xml:space="preserve"> del reconocimiento de la utilidad presuntamente desentendido </w:t>
      </w:r>
      <w:r w:rsidR="00207EEE" w:rsidRPr="004F681E">
        <w:rPr>
          <w:rFonts w:ascii="Arial" w:hAnsi="Arial" w:cs="Arial"/>
          <w:lang w:val="es-CO"/>
        </w:rPr>
        <w:t xml:space="preserve">por la contratante se arraigó </w:t>
      </w:r>
      <w:r w:rsidR="00B2097B" w:rsidRPr="004F681E">
        <w:rPr>
          <w:rFonts w:ascii="Arial" w:hAnsi="Arial" w:cs="Arial"/>
          <w:lang w:val="es-CO"/>
        </w:rPr>
        <w:t xml:space="preserve">en un acto administrativo dictado </w:t>
      </w:r>
      <w:r w:rsidR="003B0B96" w:rsidRPr="004F681E">
        <w:rPr>
          <w:rFonts w:ascii="Arial" w:hAnsi="Arial" w:cs="Arial"/>
          <w:lang w:val="es-CO"/>
        </w:rPr>
        <w:t xml:space="preserve">válidamente </w:t>
      </w:r>
      <w:r w:rsidR="00B2097B" w:rsidRPr="004F681E">
        <w:rPr>
          <w:rFonts w:ascii="Arial" w:hAnsi="Arial" w:cs="Arial"/>
          <w:lang w:val="es-CO"/>
        </w:rPr>
        <w:t>por la entidad y fue concebido</w:t>
      </w:r>
      <w:r w:rsidR="00FF266D" w:rsidRPr="004F681E">
        <w:rPr>
          <w:rFonts w:ascii="Arial" w:hAnsi="Arial" w:cs="Arial"/>
          <w:lang w:val="es-CO"/>
        </w:rPr>
        <w:t>, en cumplimiento de lo dispuesto en el inciso segundo del numero1) del artículo 14 de la Ley 80</w:t>
      </w:r>
      <w:r w:rsidR="00CD6D46" w:rsidRPr="004F681E">
        <w:rPr>
          <w:rFonts w:ascii="Arial" w:hAnsi="Arial" w:cs="Arial"/>
          <w:lang w:val="es-CO"/>
        </w:rPr>
        <w:t>,</w:t>
      </w:r>
      <w:r w:rsidR="00FF266D" w:rsidRPr="004F681E">
        <w:rPr>
          <w:rFonts w:ascii="Arial" w:hAnsi="Arial" w:cs="Arial"/>
          <w:lang w:val="es-CO"/>
        </w:rPr>
        <w:t xml:space="preserve"> en concordancia con lo dispuesto en el artículo 27 de esa misma compilación, </w:t>
      </w:r>
      <w:r w:rsidR="00B2097B" w:rsidRPr="004F681E">
        <w:rPr>
          <w:rFonts w:ascii="Arial" w:hAnsi="Arial" w:cs="Arial"/>
          <w:lang w:val="es-CO"/>
        </w:rPr>
        <w:t xml:space="preserve">como medida para </w:t>
      </w:r>
      <w:r w:rsidR="00F56D12" w:rsidRPr="004F681E">
        <w:rPr>
          <w:rFonts w:ascii="Arial" w:hAnsi="Arial" w:cs="Arial"/>
          <w:lang w:val="es-CO"/>
        </w:rPr>
        <w:t xml:space="preserve">compensar la alteración económica que se habría podido producir con ocasión </w:t>
      </w:r>
      <w:r w:rsidR="00573EC6" w:rsidRPr="004F681E">
        <w:rPr>
          <w:rFonts w:ascii="Arial" w:hAnsi="Arial" w:cs="Arial"/>
          <w:lang w:val="es-CO"/>
        </w:rPr>
        <w:t xml:space="preserve">de </w:t>
      </w:r>
      <w:r w:rsidR="00573EC6" w:rsidRPr="004F681E">
        <w:rPr>
          <w:rFonts w:ascii="Arial" w:hAnsi="Arial" w:cs="Arial"/>
          <w:lang w:val="es-CO"/>
        </w:rPr>
        <w:lastRenderedPageBreak/>
        <w:t>uno de los supuestos generadores del desbalance financiero</w:t>
      </w:r>
      <w:r w:rsidR="00B51B30" w:rsidRPr="004F681E">
        <w:rPr>
          <w:rFonts w:ascii="Arial" w:hAnsi="Arial" w:cs="Arial"/>
          <w:lang w:val="es-CO"/>
        </w:rPr>
        <w:t xml:space="preserve">, que en este caso obedeció al </w:t>
      </w:r>
      <w:r w:rsidR="00B51B30" w:rsidRPr="004F681E">
        <w:rPr>
          <w:rFonts w:ascii="Arial" w:hAnsi="Arial" w:cs="Arial"/>
          <w:i/>
          <w:lang w:val="es-CO"/>
        </w:rPr>
        <w:t>ius variandi</w:t>
      </w:r>
      <w:r w:rsidR="00573EC6" w:rsidRPr="004F681E">
        <w:rPr>
          <w:rFonts w:ascii="Arial" w:hAnsi="Arial" w:cs="Arial"/>
          <w:i/>
          <w:lang w:val="es-CO"/>
        </w:rPr>
        <w:t xml:space="preserve">. </w:t>
      </w:r>
      <w:r w:rsidR="00F56D12" w:rsidRPr="004F681E">
        <w:rPr>
          <w:rFonts w:ascii="Arial" w:hAnsi="Arial" w:cs="Arial"/>
          <w:i/>
          <w:lang w:val="es-CO"/>
        </w:rPr>
        <w:t xml:space="preserve"> </w:t>
      </w:r>
    </w:p>
    <w:p w:rsidR="007526E2" w:rsidRPr="004F681E" w:rsidRDefault="007526E2" w:rsidP="00446E81">
      <w:pPr>
        <w:spacing w:line="360" w:lineRule="auto"/>
        <w:jc w:val="both"/>
        <w:rPr>
          <w:rFonts w:ascii="Arial" w:hAnsi="Arial" w:cs="Arial"/>
          <w:lang w:val="es-CO"/>
        </w:rPr>
      </w:pPr>
    </w:p>
    <w:p w:rsidR="00F72DC4" w:rsidRPr="004F681E" w:rsidRDefault="0001506E" w:rsidP="00F72DC4">
      <w:pPr>
        <w:autoSpaceDN w:val="0"/>
        <w:spacing w:line="360" w:lineRule="auto"/>
        <w:jc w:val="both"/>
        <w:rPr>
          <w:rFonts w:ascii="Arial" w:hAnsi="Arial" w:cs="Arial"/>
        </w:rPr>
      </w:pPr>
      <w:r w:rsidRPr="004F681E">
        <w:rPr>
          <w:rFonts w:ascii="Arial" w:hAnsi="Arial" w:cs="Arial"/>
          <w:lang w:val="es-CO" w:eastAsia="es-CO"/>
        </w:rPr>
        <w:t>Precisado</w:t>
      </w:r>
      <w:r w:rsidR="00F72DC4" w:rsidRPr="004F681E">
        <w:rPr>
          <w:rFonts w:ascii="Arial" w:hAnsi="Arial" w:cs="Arial"/>
          <w:lang w:val="es-CO" w:eastAsia="es-CO"/>
        </w:rPr>
        <w:t xml:space="preserve"> lo anterior</w:t>
      </w:r>
      <w:r w:rsidR="00CD6D46" w:rsidRPr="004F681E">
        <w:rPr>
          <w:rFonts w:ascii="Arial" w:hAnsi="Arial" w:cs="Arial"/>
          <w:lang w:val="es-CO" w:eastAsia="es-CO"/>
        </w:rPr>
        <w:t>,</w:t>
      </w:r>
      <w:r w:rsidR="00F72DC4" w:rsidRPr="004F681E">
        <w:rPr>
          <w:rFonts w:ascii="Arial" w:hAnsi="Arial" w:cs="Arial"/>
          <w:lang w:val="es-CO" w:eastAsia="es-CO"/>
        </w:rPr>
        <w:t xml:space="preserve"> </w:t>
      </w:r>
      <w:r w:rsidR="0037428B" w:rsidRPr="004F681E">
        <w:rPr>
          <w:rFonts w:ascii="Arial" w:hAnsi="Arial" w:cs="Arial"/>
          <w:lang w:val="es-CO" w:eastAsia="es-CO"/>
        </w:rPr>
        <w:t xml:space="preserve">es pertinente ahora referirse a los términos en que quedó insertado el compromiso. Para ese propósito </w:t>
      </w:r>
      <w:r w:rsidR="00F72DC4" w:rsidRPr="004F681E">
        <w:rPr>
          <w:rFonts w:ascii="Arial" w:hAnsi="Arial" w:cs="Arial"/>
          <w:lang w:val="es-CO" w:eastAsia="es-CO"/>
        </w:rPr>
        <w:t>se recuerda</w:t>
      </w:r>
      <w:r w:rsidR="00B55E3D" w:rsidRPr="004F681E">
        <w:rPr>
          <w:rFonts w:ascii="Arial" w:hAnsi="Arial" w:cs="Arial"/>
          <w:lang w:val="es-CO" w:eastAsia="es-CO"/>
        </w:rPr>
        <w:t xml:space="preserve"> que</w:t>
      </w:r>
      <w:r w:rsidR="00F72DC4" w:rsidRPr="004F681E">
        <w:rPr>
          <w:rFonts w:ascii="Arial" w:hAnsi="Arial" w:cs="Arial"/>
          <w:lang w:val="es-CO" w:eastAsia="es-CO"/>
        </w:rPr>
        <w:t xml:space="preserve"> </w:t>
      </w:r>
      <w:r w:rsidR="00F72DC4" w:rsidRPr="004F681E">
        <w:rPr>
          <w:rFonts w:ascii="Arial" w:hAnsi="Arial" w:cs="Arial"/>
        </w:rPr>
        <w:t>e</w:t>
      </w:r>
      <w:r w:rsidR="006B0AA1" w:rsidRPr="004F681E">
        <w:rPr>
          <w:rFonts w:ascii="Arial" w:hAnsi="Arial" w:cs="Arial"/>
        </w:rPr>
        <w:t>n la época</w:t>
      </w:r>
      <w:r w:rsidR="00F72DC4" w:rsidRPr="004F681E">
        <w:rPr>
          <w:rFonts w:ascii="Arial" w:hAnsi="Arial" w:cs="Arial"/>
        </w:rPr>
        <w:t xml:space="preserve"> p</w:t>
      </w:r>
      <w:r w:rsidR="006B0AA1" w:rsidRPr="004F681E">
        <w:rPr>
          <w:rFonts w:ascii="Arial" w:hAnsi="Arial" w:cs="Arial"/>
        </w:rPr>
        <w:t>revia</w:t>
      </w:r>
      <w:r w:rsidR="00F72DC4" w:rsidRPr="004F681E">
        <w:rPr>
          <w:rFonts w:ascii="Arial" w:hAnsi="Arial" w:cs="Arial"/>
        </w:rPr>
        <w:t xml:space="preserve"> a la expedición del acto </w:t>
      </w:r>
      <w:r w:rsidR="007B73EE" w:rsidRPr="004F681E">
        <w:rPr>
          <w:rFonts w:ascii="Arial" w:hAnsi="Arial" w:cs="Arial"/>
        </w:rPr>
        <w:t>de modificación, l</w:t>
      </w:r>
      <w:r w:rsidR="00F72DC4" w:rsidRPr="004F681E">
        <w:rPr>
          <w:rFonts w:ascii="Arial" w:hAnsi="Arial" w:cs="Arial"/>
        </w:rPr>
        <w:t>a entidad reveló su clara intención de reconocer al concesionario los perjuicios concretados, según el dicho de la propia contratante</w:t>
      </w:r>
      <w:r w:rsidR="00CD6D46" w:rsidRPr="004F681E">
        <w:rPr>
          <w:rFonts w:ascii="Arial" w:hAnsi="Arial" w:cs="Arial"/>
        </w:rPr>
        <w:t>,</w:t>
      </w:r>
      <w:r w:rsidR="007B73EE" w:rsidRPr="004F681E">
        <w:rPr>
          <w:rFonts w:ascii="Arial" w:hAnsi="Arial" w:cs="Arial"/>
        </w:rPr>
        <w:t xml:space="preserve"> condensado en las comunicaciones a la</w:t>
      </w:r>
      <w:r w:rsidR="006B0AA1" w:rsidRPr="004F681E">
        <w:rPr>
          <w:rFonts w:ascii="Arial" w:hAnsi="Arial" w:cs="Arial"/>
        </w:rPr>
        <w:t>s</w:t>
      </w:r>
      <w:r w:rsidR="007B73EE" w:rsidRPr="004F681E">
        <w:rPr>
          <w:rFonts w:ascii="Arial" w:hAnsi="Arial" w:cs="Arial"/>
        </w:rPr>
        <w:t xml:space="preserve"> que </w:t>
      </w:r>
      <w:r w:rsidR="006B0AA1" w:rsidRPr="004F681E">
        <w:rPr>
          <w:rFonts w:ascii="Arial" w:hAnsi="Arial" w:cs="Arial"/>
        </w:rPr>
        <w:t xml:space="preserve">se </w:t>
      </w:r>
      <w:r w:rsidR="007B73EE" w:rsidRPr="004F681E">
        <w:rPr>
          <w:rFonts w:ascii="Arial" w:hAnsi="Arial" w:cs="Arial"/>
        </w:rPr>
        <w:t>hizo anterior mención</w:t>
      </w:r>
      <w:r w:rsidR="00F72DC4" w:rsidRPr="004F681E">
        <w:rPr>
          <w:rFonts w:ascii="Arial" w:hAnsi="Arial" w:cs="Arial"/>
        </w:rPr>
        <w:t>, en el lucr</w:t>
      </w:r>
      <w:r w:rsidR="007B73EE" w:rsidRPr="004F681E">
        <w:rPr>
          <w:rFonts w:ascii="Arial" w:hAnsi="Arial" w:cs="Arial"/>
        </w:rPr>
        <w:t xml:space="preserve">o cesante </w:t>
      </w:r>
      <w:r w:rsidR="002B6E4E" w:rsidRPr="004F681E">
        <w:rPr>
          <w:rFonts w:ascii="Arial" w:hAnsi="Arial" w:cs="Arial"/>
        </w:rPr>
        <w:t>definido por el artículo 1614 del Código Civil como “</w:t>
      </w:r>
      <w:r w:rsidR="002B6E4E" w:rsidRPr="004F681E">
        <w:rPr>
          <w:rFonts w:ascii="Arial" w:hAnsi="Arial" w:cs="Arial"/>
          <w:i/>
        </w:rPr>
        <w:t>la ganancia o provecho que deja de reportarse a consecuencia de no haberse cumplido la obligación, o cumplido imperfectamente, o retardado su cumplimiento</w:t>
      </w:r>
      <w:r w:rsidR="002B6E4E" w:rsidRPr="004F681E">
        <w:rPr>
          <w:rFonts w:ascii="Arial" w:hAnsi="Arial" w:cs="Arial"/>
        </w:rPr>
        <w:t xml:space="preserve">” </w:t>
      </w:r>
      <w:r w:rsidR="007B73EE" w:rsidRPr="004F681E">
        <w:rPr>
          <w:rFonts w:ascii="Arial" w:hAnsi="Arial" w:cs="Arial"/>
        </w:rPr>
        <w:t xml:space="preserve">que se causara por </w:t>
      </w:r>
      <w:r w:rsidR="003D2FDA" w:rsidRPr="004F681E">
        <w:rPr>
          <w:rFonts w:ascii="Arial" w:hAnsi="Arial" w:cs="Arial"/>
        </w:rPr>
        <w:t xml:space="preserve">la inactividad de la pantalla </w:t>
      </w:r>
      <w:r w:rsidR="00475991" w:rsidRPr="004F681E">
        <w:rPr>
          <w:rFonts w:ascii="Arial" w:hAnsi="Arial" w:cs="Arial"/>
        </w:rPr>
        <w:t xml:space="preserve">exterior </w:t>
      </w:r>
      <w:r w:rsidR="003D2FDA" w:rsidRPr="004F681E">
        <w:rPr>
          <w:rFonts w:ascii="Arial" w:hAnsi="Arial" w:cs="Arial"/>
        </w:rPr>
        <w:t xml:space="preserve">durante </w:t>
      </w:r>
      <w:r w:rsidR="007B73EE" w:rsidRPr="004F681E">
        <w:rPr>
          <w:rFonts w:ascii="Arial" w:hAnsi="Arial" w:cs="Arial"/>
        </w:rPr>
        <w:t>el</w:t>
      </w:r>
      <w:r w:rsidR="00F72DC4" w:rsidRPr="004F681E">
        <w:rPr>
          <w:rFonts w:ascii="Arial" w:hAnsi="Arial" w:cs="Arial"/>
        </w:rPr>
        <w:t xml:space="preserve"> interregno</w:t>
      </w:r>
      <w:r w:rsidR="007B73EE" w:rsidRPr="004F681E">
        <w:rPr>
          <w:rFonts w:ascii="Arial" w:hAnsi="Arial" w:cs="Arial"/>
        </w:rPr>
        <w:t xml:space="preserve"> </w:t>
      </w:r>
      <w:r w:rsidR="003D2FDA" w:rsidRPr="004F681E">
        <w:rPr>
          <w:rFonts w:ascii="Arial" w:hAnsi="Arial" w:cs="Arial"/>
        </w:rPr>
        <w:t xml:space="preserve">en el que </w:t>
      </w:r>
      <w:r w:rsidR="007B73EE" w:rsidRPr="004F681E">
        <w:rPr>
          <w:rFonts w:ascii="Arial" w:hAnsi="Arial" w:cs="Arial"/>
        </w:rPr>
        <w:t>se ejecutaran las obras de traslado y montaje</w:t>
      </w:r>
      <w:r w:rsidR="00F72DC4" w:rsidRPr="004F681E">
        <w:rPr>
          <w:rFonts w:ascii="Arial" w:hAnsi="Arial" w:cs="Arial"/>
        </w:rPr>
        <w:t xml:space="preserve">. </w:t>
      </w:r>
    </w:p>
    <w:p w:rsidR="0001506E" w:rsidRPr="004F681E" w:rsidRDefault="0001506E" w:rsidP="0001506E">
      <w:pPr>
        <w:numPr>
          <w:ilvl w:val="12"/>
          <w:numId w:val="0"/>
        </w:numPr>
        <w:autoSpaceDN w:val="0"/>
        <w:spacing w:line="360" w:lineRule="auto"/>
        <w:jc w:val="both"/>
        <w:rPr>
          <w:rFonts w:ascii="Arial" w:hAnsi="Arial" w:cs="Arial"/>
          <w:lang w:val="es-CO"/>
        </w:rPr>
      </w:pPr>
    </w:p>
    <w:p w:rsidR="0001506E" w:rsidRPr="004F681E" w:rsidRDefault="00C92C4C" w:rsidP="0001506E">
      <w:pPr>
        <w:numPr>
          <w:ilvl w:val="12"/>
          <w:numId w:val="0"/>
        </w:numPr>
        <w:autoSpaceDN w:val="0"/>
        <w:spacing w:line="360" w:lineRule="auto"/>
        <w:jc w:val="both"/>
        <w:rPr>
          <w:rFonts w:ascii="Arial" w:hAnsi="Arial" w:cs="Arial"/>
          <w:i/>
          <w:lang w:val="es-CO" w:eastAsia="es-CO"/>
        </w:rPr>
      </w:pPr>
      <w:r w:rsidRPr="004F681E">
        <w:rPr>
          <w:rFonts w:ascii="Arial" w:hAnsi="Arial" w:cs="Arial"/>
          <w:lang w:val="es-CO"/>
        </w:rPr>
        <w:t>De ahí es propio sostener que el reconocimiento al que se obligó</w:t>
      </w:r>
      <w:r w:rsidR="00E84189" w:rsidRPr="004F681E">
        <w:rPr>
          <w:rFonts w:ascii="Arial" w:hAnsi="Arial" w:cs="Arial"/>
          <w:lang w:val="es-CO"/>
        </w:rPr>
        <w:t xml:space="preserve"> unilateralmente</w:t>
      </w:r>
      <w:r w:rsidRPr="004F681E">
        <w:rPr>
          <w:rFonts w:ascii="Arial" w:hAnsi="Arial" w:cs="Arial"/>
          <w:lang w:val="es-CO"/>
        </w:rPr>
        <w:t xml:space="preserve"> </w:t>
      </w:r>
      <w:r w:rsidR="00E84189" w:rsidRPr="004F681E">
        <w:rPr>
          <w:rFonts w:ascii="Arial" w:hAnsi="Arial" w:cs="Arial"/>
          <w:lang w:val="es-CO"/>
        </w:rPr>
        <w:t>la entidad</w:t>
      </w:r>
      <w:r w:rsidR="00CD6D46" w:rsidRPr="004F681E">
        <w:rPr>
          <w:rFonts w:ascii="Arial" w:hAnsi="Arial" w:cs="Arial"/>
          <w:lang w:val="es-CO"/>
        </w:rPr>
        <w:t>,</w:t>
      </w:r>
      <w:r w:rsidR="00E84189" w:rsidRPr="004F681E">
        <w:rPr>
          <w:rFonts w:ascii="Arial" w:hAnsi="Arial" w:cs="Arial"/>
          <w:lang w:val="es-CO"/>
        </w:rPr>
        <w:t xml:space="preserve"> como mecanismo restablecedor de la alteración económica</w:t>
      </w:r>
      <w:r w:rsidR="00CD6D46" w:rsidRPr="004F681E">
        <w:rPr>
          <w:rFonts w:ascii="Arial" w:hAnsi="Arial" w:cs="Arial"/>
          <w:lang w:val="es-CO"/>
        </w:rPr>
        <w:t>,</w:t>
      </w:r>
      <w:r w:rsidR="00E84189" w:rsidRPr="004F681E">
        <w:rPr>
          <w:rFonts w:ascii="Arial" w:hAnsi="Arial" w:cs="Arial"/>
          <w:lang w:val="es-CO"/>
        </w:rPr>
        <w:t xml:space="preserve"> </w:t>
      </w:r>
      <w:r w:rsidRPr="004F681E">
        <w:rPr>
          <w:rFonts w:ascii="Arial" w:hAnsi="Arial" w:cs="Arial"/>
          <w:lang w:val="es-CO"/>
        </w:rPr>
        <w:t xml:space="preserve">se contrajo </w:t>
      </w:r>
      <w:r w:rsidR="00E84189" w:rsidRPr="004F681E">
        <w:rPr>
          <w:rFonts w:ascii="Arial" w:hAnsi="Arial" w:cs="Arial"/>
          <w:lang w:val="es-CO"/>
        </w:rPr>
        <w:t xml:space="preserve">al concepto de utilidad. </w:t>
      </w:r>
      <w:r w:rsidR="0001506E" w:rsidRPr="004F681E">
        <w:rPr>
          <w:rFonts w:ascii="Arial" w:hAnsi="Arial" w:cs="Arial"/>
          <w:lang w:val="es-CO"/>
        </w:rPr>
        <w:t>La anterior premisa encuentra apoyo no solo en el hecho de que así quedó contemplado expresamente en el con</w:t>
      </w:r>
      <w:r w:rsidR="006650F5" w:rsidRPr="004F681E">
        <w:rPr>
          <w:rFonts w:ascii="Arial" w:hAnsi="Arial" w:cs="Arial"/>
          <w:lang w:val="es-CO"/>
        </w:rPr>
        <w:t xml:space="preserve">tenido del acto de modificación, </w:t>
      </w:r>
      <w:r w:rsidR="0001506E" w:rsidRPr="004F681E">
        <w:rPr>
          <w:rFonts w:ascii="Arial" w:hAnsi="Arial" w:cs="Arial"/>
          <w:lang w:val="es-CO"/>
        </w:rPr>
        <w:t xml:space="preserve">sino en </w:t>
      </w:r>
      <w:r w:rsidR="0001506E" w:rsidRPr="004F681E">
        <w:rPr>
          <w:rFonts w:ascii="Arial" w:hAnsi="Arial" w:cs="Arial"/>
          <w:lang w:val="es-CO" w:eastAsia="es-CO"/>
        </w:rPr>
        <w:t>aplicación de las reglas de interpretación de los contratos recogidas en el Código Civil</w:t>
      </w:r>
      <w:r w:rsidR="00CD6D46" w:rsidRPr="004F681E">
        <w:rPr>
          <w:rFonts w:ascii="Arial" w:hAnsi="Arial" w:cs="Arial"/>
          <w:lang w:val="es-CO" w:eastAsia="es-CO"/>
        </w:rPr>
        <w:t xml:space="preserve">, según las cuales </w:t>
      </w:r>
      <w:r w:rsidR="0001506E" w:rsidRPr="004F681E">
        <w:rPr>
          <w:rFonts w:ascii="Arial" w:hAnsi="Arial" w:cs="Arial"/>
          <w:i/>
          <w:lang w:val="es-CO" w:eastAsia="es-CO"/>
        </w:rPr>
        <w:t>“conocida claramente la intención de los contratantes, debe estarse a ella más lo que a lo literal de las palabras”.</w:t>
      </w:r>
    </w:p>
    <w:p w:rsidR="007F2625" w:rsidRPr="004F681E" w:rsidRDefault="007F2625" w:rsidP="00F72DC4">
      <w:pPr>
        <w:autoSpaceDN w:val="0"/>
        <w:spacing w:line="360" w:lineRule="auto"/>
        <w:jc w:val="both"/>
        <w:rPr>
          <w:rFonts w:ascii="Arial" w:hAnsi="Arial" w:cs="Arial"/>
        </w:rPr>
      </w:pPr>
    </w:p>
    <w:p w:rsidR="00635C38" w:rsidRPr="004F681E" w:rsidRDefault="00B97AF7" w:rsidP="00635C38">
      <w:pPr>
        <w:spacing w:line="360" w:lineRule="auto"/>
        <w:jc w:val="both"/>
        <w:rPr>
          <w:rFonts w:ascii="Arial" w:hAnsi="Arial" w:cs="Arial"/>
        </w:rPr>
      </w:pPr>
      <w:r w:rsidRPr="004F681E">
        <w:rPr>
          <w:rFonts w:ascii="Arial" w:hAnsi="Arial" w:cs="Arial"/>
        </w:rPr>
        <w:t>Al respecto, n</w:t>
      </w:r>
      <w:r w:rsidR="00635C38" w:rsidRPr="004F681E">
        <w:rPr>
          <w:rFonts w:ascii="Arial" w:hAnsi="Arial" w:cs="Arial"/>
        </w:rPr>
        <w:t xml:space="preserve">o desconoce la Sala que </w:t>
      </w:r>
      <w:r w:rsidR="00AD61AF" w:rsidRPr="004F681E">
        <w:rPr>
          <w:rFonts w:ascii="Arial" w:hAnsi="Arial" w:cs="Arial"/>
        </w:rPr>
        <w:t xml:space="preserve">uno de los argumentos de la defensa </w:t>
      </w:r>
      <w:r w:rsidR="007D142D" w:rsidRPr="004F681E">
        <w:rPr>
          <w:rFonts w:ascii="Arial" w:hAnsi="Arial" w:cs="Arial"/>
        </w:rPr>
        <w:t xml:space="preserve">consistió en afirmar que, de conformidad con </w:t>
      </w:r>
      <w:r w:rsidR="00635C38" w:rsidRPr="004F681E">
        <w:rPr>
          <w:rFonts w:ascii="Arial" w:hAnsi="Arial" w:cs="Arial"/>
        </w:rPr>
        <w:t>el art</w:t>
      </w:r>
      <w:r w:rsidR="00AD61AF" w:rsidRPr="004F681E">
        <w:rPr>
          <w:rFonts w:ascii="Arial" w:hAnsi="Arial" w:cs="Arial"/>
        </w:rPr>
        <w:t>ículo 32 de la Ley 1150 de 2007</w:t>
      </w:r>
      <w:r w:rsidR="007D142D" w:rsidRPr="004F681E">
        <w:rPr>
          <w:rFonts w:ascii="Arial" w:hAnsi="Arial" w:cs="Arial"/>
        </w:rPr>
        <w:t>,</w:t>
      </w:r>
      <w:r w:rsidR="00AD61AF" w:rsidRPr="004F681E">
        <w:rPr>
          <w:rFonts w:ascii="Arial" w:hAnsi="Arial" w:cs="Arial"/>
        </w:rPr>
        <w:t xml:space="preserve"> el cual, según la entidad, se encontraba</w:t>
      </w:r>
      <w:r w:rsidR="00635C38" w:rsidRPr="004F681E">
        <w:rPr>
          <w:rFonts w:ascii="Arial" w:hAnsi="Arial" w:cs="Arial"/>
        </w:rPr>
        <w:t xml:space="preserve"> vigente al tiempo en </w:t>
      </w:r>
      <w:r w:rsidR="00DB04E7" w:rsidRPr="004F681E">
        <w:rPr>
          <w:rFonts w:ascii="Arial" w:hAnsi="Arial" w:cs="Arial"/>
        </w:rPr>
        <w:t xml:space="preserve">que </w:t>
      </w:r>
      <w:r w:rsidR="00AD61AF" w:rsidRPr="004F681E">
        <w:rPr>
          <w:rFonts w:ascii="Arial" w:hAnsi="Arial" w:cs="Arial"/>
        </w:rPr>
        <w:t xml:space="preserve">se expidió el acto de modificación unilateral y se </w:t>
      </w:r>
      <w:r w:rsidR="00635C38" w:rsidRPr="004F681E">
        <w:rPr>
          <w:rFonts w:ascii="Arial" w:hAnsi="Arial" w:cs="Arial"/>
        </w:rPr>
        <w:t>adquirió el mencionado compromiso, derogó la frase “</w:t>
      </w:r>
      <w:r w:rsidR="00635C38" w:rsidRPr="004F681E">
        <w:rPr>
          <w:rFonts w:ascii="Arial" w:hAnsi="Arial" w:cs="Arial"/>
          <w:i/>
        </w:rPr>
        <w:t>además de la obtención de utilidades cuya protección garantiza el Estado</w:t>
      </w:r>
      <w:r w:rsidR="00635C38" w:rsidRPr="004F681E">
        <w:rPr>
          <w:rFonts w:ascii="Arial" w:hAnsi="Arial" w:cs="Arial"/>
        </w:rPr>
        <w:t xml:space="preserve">” que anteriormente se hallaba consignada en el inciso segundo del artículo 3 de la Ley 80 en el </w:t>
      </w:r>
      <w:r w:rsidR="008F19E4" w:rsidRPr="004F681E">
        <w:rPr>
          <w:rFonts w:ascii="Arial" w:hAnsi="Arial" w:cs="Arial"/>
        </w:rPr>
        <w:t xml:space="preserve">que </w:t>
      </w:r>
      <w:r w:rsidR="00635C38" w:rsidRPr="004F681E">
        <w:rPr>
          <w:rFonts w:ascii="Arial" w:hAnsi="Arial" w:cs="Arial"/>
        </w:rPr>
        <w:t xml:space="preserve">se consagraron los fines de la contratación estatal. </w:t>
      </w:r>
    </w:p>
    <w:p w:rsidR="00AD61AF" w:rsidRPr="004F681E" w:rsidRDefault="00AD61AF" w:rsidP="00635C38">
      <w:pPr>
        <w:spacing w:line="360" w:lineRule="auto"/>
        <w:jc w:val="both"/>
        <w:rPr>
          <w:rFonts w:ascii="Arial" w:hAnsi="Arial" w:cs="Arial"/>
        </w:rPr>
      </w:pPr>
    </w:p>
    <w:p w:rsidR="00AD61AF" w:rsidRPr="004F681E" w:rsidRDefault="00AD61AF" w:rsidP="00635C38">
      <w:pPr>
        <w:spacing w:line="360" w:lineRule="auto"/>
        <w:jc w:val="both"/>
        <w:rPr>
          <w:rFonts w:ascii="Arial" w:hAnsi="Arial" w:cs="Arial"/>
        </w:rPr>
      </w:pPr>
      <w:r w:rsidRPr="004F681E">
        <w:rPr>
          <w:rFonts w:ascii="Arial" w:hAnsi="Arial" w:cs="Arial"/>
        </w:rPr>
        <w:t>Con todo, se impone precisar que el Contrato de Concesión No. 475 fue celebrado el 27 de abril de 2007, esto es, con anterioridad a la expedición de la reforma normativa introducida por la Ley 1150</w:t>
      </w:r>
      <w:r w:rsidR="003376CB" w:rsidRPr="004F681E">
        <w:rPr>
          <w:rFonts w:ascii="Arial" w:hAnsi="Arial" w:cs="Arial"/>
        </w:rPr>
        <w:t xml:space="preserve"> de 2007</w:t>
      </w:r>
      <w:r w:rsidR="00655C48" w:rsidRPr="004F681E">
        <w:rPr>
          <w:rStyle w:val="Refdenotaalpie"/>
          <w:rFonts w:ascii="Arial" w:hAnsi="Arial" w:cs="Arial"/>
        </w:rPr>
        <w:footnoteReference w:id="24"/>
      </w:r>
      <w:r w:rsidR="00441803" w:rsidRPr="004F681E">
        <w:rPr>
          <w:rFonts w:ascii="Arial" w:hAnsi="Arial" w:cs="Arial"/>
        </w:rPr>
        <w:t>,</w:t>
      </w:r>
      <w:r w:rsidR="003376CB" w:rsidRPr="004F681E">
        <w:rPr>
          <w:rFonts w:ascii="Arial" w:hAnsi="Arial" w:cs="Arial"/>
        </w:rPr>
        <w:t xml:space="preserve"> </w:t>
      </w:r>
      <w:r w:rsidR="00441803" w:rsidRPr="004F681E">
        <w:rPr>
          <w:rFonts w:ascii="Arial" w:hAnsi="Arial" w:cs="Arial"/>
        </w:rPr>
        <w:t>publicada en el Diario O</w:t>
      </w:r>
      <w:r w:rsidR="003376CB" w:rsidRPr="004F681E">
        <w:rPr>
          <w:rFonts w:ascii="Arial" w:hAnsi="Arial" w:cs="Arial"/>
        </w:rPr>
        <w:t xml:space="preserve">ficial No. </w:t>
      </w:r>
      <w:r w:rsidR="003376CB" w:rsidRPr="004F681E">
        <w:rPr>
          <w:rFonts w:ascii="Arial" w:hAnsi="Arial" w:cs="Arial"/>
        </w:rPr>
        <w:lastRenderedPageBreak/>
        <w:t>46.691</w:t>
      </w:r>
      <w:r w:rsidR="00677B9F" w:rsidRPr="004F681E">
        <w:rPr>
          <w:rFonts w:ascii="Arial" w:hAnsi="Arial" w:cs="Arial"/>
        </w:rPr>
        <w:t xml:space="preserve"> </w:t>
      </w:r>
      <w:r w:rsidR="003376CB" w:rsidRPr="004F681E">
        <w:rPr>
          <w:rFonts w:ascii="Arial" w:hAnsi="Arial" w:cs="Arial"/>
        </w:rPr>
        <w:t xml:space="preserve">del </w:t>
      </w:r>
      <w:r w:rsidR="00677B9F" w:rsidRPr="004F681E">
        <w:rPr>
          <w:rFonts w:ascii="Arial" w:hAnsi="Arial" w:cs="Arial"/>
        </w:rPr>
        <w:t xml:space="preserve">16 de julio de 2007. Se añade que al tenor de su artículo 33, su </w:t>
      </w:r>
      <w:r w:rsidR="00441803" w:rsidRPr="004F681E">
        <w:rPr>
          <w:rFonts w:ascii="Arial" w:hAnsi="Arial" w:cs="Arial"/>
        </w:rPr>
        <w:t xml:space="preserve">articulado </w:t>
      </w:r>
      <w:r w:rsidR="00677B9F" w:rsidRPr="004F681E">
        <w:rPr>
          <w:rFonts w:ascii="Arial" w:hAnsi="Arial" w:cs="Arial"/>
        </w:rPr>
        <w:t>cobraría vigor seis meses después de su promulgación -16 de enero de enero de 2008-.</w:t>
      </w:r>
    </w:p>
    <w:p w:rsidR="00DB04E7" w:rsidRPr="004F681E" w:rsidRDefault="00DB04E7" w:rsidP="00635C38">
      <w:pPr>
        <w:spacing w:line="360" w:lineRule="auto"/>
        <w:jc w:val="both"/>
        <w:rPr>
          <w:rFonts w:ascii="Arial" w:hAnsi="Arial" w:cs="Arial"/>
        </w:rPr>
      </w:pPr>
    </w:p>
    <w:p w:rsidR="005C4C99" w:rsidRPr="004F681E" w:rsidRDefault="007A13BE" w:rsidP="00635C38">
      <w:pPr>
        <w:spacing w:line="360" w:lineRule="auto"/>
        <w:jc w:val="both"/>
        <w:rPr>
          <w:rFonts w:ascii="Arial" w:hAnsi="Arial" w:cs="Arial"/>
        </w:rPr>
      </w:pPr>
      <w:r w:rsidRPr="004F681E">
        <w:rPr>
          <w:rFonts w:ascii="Arial" w:hAnsi="Arial" w:cs="Arial"/>
        </w:rPr>
        <w:t>En mérito de</w:t>
      </w:r>
      <w:r w:rsidR="00E53495" w:rsidRPr="004F681E">
        <w:rPr>
          <w:rFonts w:ascii="Arial" w:hAnsi="Arial" w:cs="Arial"/>
        </w:rPr>
        <w:t xml:space="preserve"> lo advertido</w:t>
      </w:r>
      <w:r w:rsidR="007D142D" w:rsidRPr="004F681E">
        <w:rPr>
          <w:rFonts w:ascii="Arial" w:hAnsi="Arial" w:cs="Arial"/>
        </w:rPr>
        <w:t>,</w:t>
      </w:r>
      <w:r w:rsidR="00E53495" w:rsidRPr="004F681E">
        <w:rPr>
          <w:rFonts w:ascii="Arial" w:hAnsi="Arial" w:cs="Arial"/>
        </w:rPr>
        <w:t xml:space="preserve"> cabe recordar la</w:t>
      </w:r>
      <w:r w:rsidR="006F625F" w:rsidRPr="004F681E">
        <w:rPr>
          <w:rFonts w:ascii="Arial" w:hAnsi="Arial" w:cs="Arial"/>
        </w:rPr>
        <w:t xml:space="preserve"> preceptiva legal cuyo tenor establece que en </w:t>
      </w:r>
      <w:r w:rsidR="00E1190F" w:rsidRPr="004F681E">
        <w:rPr>
          <w:rFonts w:ascii="Arial" w:hAnsi="Arial" w:cs="Arial"/>
        </w:rPr>
        <w:t>todo contrato se entenderán incorporadas las leyes vigen</w:t>
      </w:r>
      <w:r w:rsidR="00915C29" w:rsidRPr="004F681E">
        <w:rPr>
          <w:rFonts w:ascii="Arial" w:hAnsi="Arial" w:cs="Arial"/>
        </w:rPr>
        <w:t>tes al tiemp</w:t>
      </w:r>
      <w:r w:rsidR="002346CF" w:rsidRPr="004F681E">
        <w:rPr>
          <w:rFonts w:ascii="Arial" w:hAnsi="Arial" w:cs="Arial"/>
        </w:rPr>
        <w:t>o de su celebración. Con arreglo a esa disposición</w:t>
      </w:r>
      <w:r w:rsidR="007D142D" w:rsidRPr="004F681E">
        <w:rPr>
          <w:rFonts w:ascii="Arial" w:hAnsi="Arial" w:cs="Arial"/>
        </w:rPr>
        <w:t>,</w:t>
      </w:r>
      <w:r w:rsidR="002346CF" w:rsidRPr="004F681E">
        <w:rPr>
          <w:rFonts w:ascii="Arial" w:hAnsi="Arial" w:cs="Arial"/>
        </w:rPr>
        <w:t xml:space="preserve"> </w:t>
      </w:r>
      <w:r w:rsidR="006B456E" w:rsidRPr="004F681E">
        <w:rPr>
          <w:rFonts w:ascii="Arial" w:hAnsi="Arial" w:cs="Arial"/>
        </w:rPr>
        <w:t>las normas existentes en el momento en que perfecciona el negocio jurídico deben aplicarse durante toda su existencia jurídica</w:t>
      </w:r>
      <w:r w:rsidR="005C4C99" w:rsidRPr="004F681E">
        <w:rPr>
          <w:rFonts w:ascii="Arial" w:hAnsi="Arial" w:cs="Arial"/>
        </w:rPr>
        <w:t xml:space="preserve"> y hasta su extinción</w:t>
      </w:r>
      <w:r w:rsidR="00441803" w:rsidRPr="004F681E">
        <w:rPr>
          <w:rStyle w:val="Refdenotaalpie"/>
          <w:rFonts w:ascii="Arial" w:hAnsi="Arial" w:cs="Arial"/>
        </w:rPr>
        <w:footnoteReference w:id="25"/>
      </w:r>
      <w:r w:rsidR="005C4C99" w:rsidRPr="004F681E">
        <w:rPr>
          <w:rFonts w:ascii="Arial" w:hAnsi="Arial" w:cs="Arial"/>
        </w:rPr>
        <w:t>.</w:t>
      </w:r>
    </w:p>
    <w:p w:rsidR="005C4C99" w:rsidRPr="004F681E" w:rsidRDefault="005C4C99" w:rsidP="00635C38">
      <w:pPr>
        <w:spacing w:line="360" w:lineRule="auto"/>
        <w:jc w:val="both"/>
        <w:rPr>
          <w:rFonts w:ascii="Arial" w:hAnsi="Arial" w:cs="Arial"/>
        </w:rPr>
      </w:pPr>
    </w:p>
    <w:p w:rsidR="007A13BE" w:rsidRPr="004F681E" w:rsidRDefault="005C4C99" w:rsidP="00635C38">
      <w:pPr>
        <w:spacing w:line="360" w:lineRule="auto"/>
        <w:jc w:val="both"/>
        <w:rPr>
          <w:rFonts w:ascii="Arial" w:hAnsi="Arial" w:cs="Arial"/>
        </w:rPr>
      </w:pPr>
      <w:r w:rsidRPr="004F681E">
        <w:rPr>
          <w:rFonts w:ascii="Arial" w:hAnsi="Arial" w:cs="Arial"/>
        </w:rPr>
        <w:t xml:space="preserve">De la anotada circunstancia se deriva que </w:t>
      </w:r>
      <w:r w:rsidR="00764AA9" w:rsidRPr="004F681E">
        <w:rPr>
          <w:rFonts w:ascii="Arial" w:hAnsi="Arial" w:cs="Arial"/>
        </w:rPr>
        <w:t>el</w:t>
      </w:r>
      <w:r w:rsidR="00441803" w:rsidRPr="004F681E">
        <w:rPr>
          <w:rFonts w:ascii="Arial" w:hAnsi="Arial" w:cs="Arial"/>
        </w:rPr>
        <w:t xml:space="preserve"> Contrato de Concesión No. 475 habría de someterse al amparo de las normas compendiadas en la Ley 80 de 1993 que se hallaren vigentes al tiempo en que fue celebrado, cuesti</w:t>
      </w:r>
      <w:r w:rsidR="00764AA9" w:rsidRPr="004F681E">
        <w:rPr>
          <w:rFonts w:ascii="Arial" w:hAnsi="Arial" w:cs="Arial"/>
        </w:rPr>
        <w:t>ón que de</w:t>
      </w:r>
      <w:r w:rsidR="00441803" w:rsidRPr="004F681E">
        <w:rPr>
          <w:rFonts w:ascii="Arial" w:hAnsi="Arial" w:cs="Arial"/>
        </w:rPr>
        <w:t xml:space="preserve"> suyo implicaba la plena aplicación </w:t>
      </w:r>
      <w:r w:rsidR="00764AA9" w:rsidRPr="004F681E">
        <w:rPr>
          <w:rFonts w:ascii="Arial" w:hAnsi="Arial" w:cs="Arial"/>
        </w:rPr>
        <w:t xml:space="preserve">durante su vida jurídica </w:t>
      </w:r>
      <w:r w:rsidR="00441803" w:rsidRPr="004F681E">
        <w:rPr>
          <w:rFonts w:ascii="Arial" w:hAnsi="Arial" w:cs="Arial"/>
        </w:rPr>
        <w:t>del inciso segundo del artículo 3 de</w:t>
      </w:r>
      <w:r w:rsidR="00764AA9" w:rsidRPr="004F681E">
        <w:rPr>
          <w:rFonts w:ascii="Arial" w:hAnsi="Arial" w:cs="Arial"/>
        </w:rPr>
        <w:t xml:space="preserve"> ese cuerpo normativo</w:t>
      </w:r>
      <w:r w:rsidR="007D142D" w:rsidRPr="004F681E">
        <w:rPr>
          <w:rFonts w:ascii="Arial" w:hAnsi="Arial" w:cs="Arial"/>
        </w:rPr>
        <w:t>,</w:t>
      </w:r>
      <w:r w:rsidR="00764AA9" w:rsidRPr="004F681E">
        <w:rPr>
          <w:rFonts w:ascii="Arial" w:hAnsi="Arial" w:cs="Arial"/>
        </w:rPr>
        <w:t xml:space="preserve"> </w:t>
      </w:r>
      <w:r w:rsidR="00441803" w:rsidRPr="004F681E">
        <w:rPr>
          <w:rFonts w:ascii="Arial" w:hAnsi="Arial" w:cs="Arial"/>
        </w:rPr>
        <w:t>en la forma originariamente concebida</w:t>
      </w:r>
      <w:r w:rsidR="00931680" w:rsidRPr="004F681E">
        <w:rPr>
          <w:rFonts w:ascii="Arial" w:hAnsi="Arial" w:cs="Arial"/>
        </w:rPr>
        <w:t>, con independencia de que a lo largo de su ejecuci</w:t>
      </w:r>
      <w:r w:rsidR="007D142D" w:rsidRPr="004F681E">
        <w:rPr>
          <w:rFonts w:ascii="Arial" w:hAnsi="Arial" w:cs="Arial"/>
        </w:rPr>
        <w:t>ón dicho ca</w:t>
      </w:r>
      <w:r w:rsidR="00931680" w:rsidRPr="004F681E">
        <w:rPr>
          <w:rFonts w:ascii="Arial" w:hAnsi="Arial" w:cs="Arial"/>
        </w:rPr>
        <w:t>no</w:t>
      </w:r>
      <w:r w:rsidR="00A6211B" w:rsidRPr="004F681E">
        <w:rPr>
          <w:rFonts w:ascii="Arial" w:hAnsi="Arial" w:cs="Arial"/>
        </w:rPr>
        <w:t>n hubiera sido objeto de reforma.</w:t>
      </w:r>
    </w:p>
    <w:p w:rsidR="00441803" w:rsidRPr="004F681E" w:rsidRDefault="00441803" w:rsidP="00635C38">
      <w:pPr>
        <w:spacing w:line="360" w:lineRule="auto"/>
        <w:jc w:val="both"/>
        <w:rPr>
          <w:rFonts w:ascii="Arial" w:hAnsi="Arial" w:cs="Arial"/>
        </w:rPr>
      </w:pPr>
    </w:p>
    <w:p w:rsidR="008F19E4" w:rsidRPr="004F681E" w:rsidRDefault="00DB04E7" w:rsidP="00635C38">
      <w:pPr>
        <w:spacing w:line="360" w:lineRule="auto"/>
        <w:jc w:val="both"/>
        <w:rPr>
          <w:rFonts w:ascii="Arial" w:hAnsi="Arial" w:cs="Arial"/>
        </w:rPr>
      </w:pPr>
      <w:r w:rsidRPr="004F681E">
        <w:rPr>
          <w:rFonts w:ascii="Arial" w:hAnsi="Arial" w:cs="Arial"/>
        </w:rPr>
        <w:t>Sin embargo</w:t>
      </w:r>
      <w:r w:rsidR="006F30B4" w:rsidRPr="004F681E">
        <w:rPr>
          <w:rFonts w:ascii="Arial" w:hAnsi="Arial" w:cs="Arial"/>
        </w:rPr>
        <w:t>,</w:t>
      </w:r>
      <w:r w:rsidR="00040F75" w:rsidRPr="004F681E">
        <w:rPr>
          <w:rFonts w:ascii="Arial" w:hAnsi="Arial" w:cs="Arial"/>
        </w:rPr>
        <w:t xml:space="preserve"> si en gracia de discusión se admitiera el hecho de que su derogatoria parcial surtió efect</w:t>
      </w:r>
      <w:r w:rsidR="00981EBA" w:rsidRPr="004F681E">
        <w:rPr>
          <w:rFonts w:ascii="Arial" w:hAnsi="Arial" w:cs="Arial"/>
        </w:rPr>
        <w:t>os respecto del Contrato N</w:t>
      </w:r>
      <w:r w:rsidR="00040F75" w:rsidRPr="004F681E">
        <w:rPr>
          <w:rFonts w:ascii="Arial" w:hAnsi="Arial" w:cs="Arial"/>
        </w:rPr>
        <w:t xml:space="preserve">o. 475 de 2007, como lo sostuvo la demandada, </w:t>
      </w:r>
      <w:r w:rsidR="00930E16" w:rsidRPr="004F681E">
        <w:rPr>
          <w:rFonts w:ascii="Arial" w:hAnsi="Arial" w:cs="Arial"/>
        </w:rPr>
        <w:t>para</w:t>
      </w:r>
      <w:r w:rsidR="00D954CE" w:rsidRPr="004F681E">
        <w:rPr>
          <w:rFonts w:ascii="Arial" w:hAnsi="Arial" w:cs="Arial"/>
        </w:rPr>
        <w:t xml:space="preserve"> esta</w:t>
      </w:r>
      <w:r w:rsidR="00475991" w:rsidRPr="004F681E">
        <w:rPr>
          <w:rFonts w:ascii="Arial" w:hAnsi="Arial" w:cs="Arial"/>
        </w:rPr>
        <w:t xml:space="preserve"> Sala, </w:t>
      </w:r>
      <w:r w:rsidRPr="004F681E">
        <w:rPr>
          <w:rFonts w:ascii="Arial" w:hAnsi="Arial" w:cs="Arial"/>
        </w:rPr>
        <w:t xml:space="preserve">ello no </w:t>
      </w:r>
      <w:r w:rsidR="006F30B4" w:rsidRPr="004F681E">
        <w:rPr>
          <w:rFonts w:ascii="Arial" w:hAnsi="Arial" w:cs="Arial"/>
        </w:rPr>
        <w:t>faculta</w:t>
      </w:r>
      <w:r w:rsidR="00D436B2" w:rsidRPr="004F681E">
        <w:rPr>
          <w:rFonts w:ascii="Arial" w:hAnsi="Arial" w:cs="Arial"/>
        </w:rPr>
        <w:t>ba</w:t>
      </w:r>
      <w:r w:rsidR="006F30B4" w:rsidRPr="004F681E">
        <w:rPr>
          <w:rFonts w:ascii="Arial" w:hAnsi="Arial" w:cs="Arial"/>
        </w:rPr>
        <w:t xml:space="preserve"> a la entidad para desconocer el compromiso que libremente </w:t>
      </w:r>
      <w:r w:rsidR="003B5DD5" w:rsidRPr="004F681E">
        <w:rPr>
          <w:rFonts w:ascii="Arial" w:hAnsi="Arial" w:cs="Arial"/>
        </w:rPr>
        <w:t xml:space="preserve">y en desarrollo de su autonomía </w:t>
      </w:r>
      <w:r w:rsidR="006F30B4" w:rsidRPr="004F681E">
        <w:rPr>
          <w:rFonts w:ascii="Arial" w:hAnsi="Arial" w:cs="Arial"/>
        </w:rPr>
        <w:t xml:space="preserve">adquirió en su acto </w:t>
      </w:r>
      <w:r w:rsidR="006650F5" w:rsidRPr="004F681E">
        <w:rPr>
          <w:rFonts w:ascii="Arial" w:hAnsi="Arial" w:cs="Arial"/>
        </w:rPr>
        <w:t>administrativo</w:t>
      </w:r>
      <w:r w:rsidR="00B97AF7" w:rsidRPr="004F681E">
        <w:rPr>
          <w:rFonts w:ascii="Arial" w:hAnsi="Arial" w:cs="Arial"/>
        </w:rPr>
        <w:t>,</w:t>
      </w:r>
      <w:r w:rsidR="006F30B4" w:rsidRPr="004F681E">
        <w:rPr>
          <w:rFonts w:ascii="Arial" w:hAnsi="Arial" w:cs="Arial"/>
        </w:rPr>
        <w:t xml:space="preserve"> al prever</w:t>
      </w:r>
      <w:r w:rsidR="007101D7" w:rsidRPr="004F681E">
        <w:rPr>
          <w:rFonts w:ascii="Arial" w:hAnsi="Arial" w:cs="Arial"/>
        </w:rPr>
        <w:t>,</w:t>
      </w:r>
      <w:r w:rsidR="006F30B4" w:rsidRPr="004F681E">
        <w:rPr>
          <w:rFonts w:ascii="Arial" w:hAnsi="Arial" w:cs="Arial"/>
        </w:rPr>
        <w:t xml:space="preserve"> como me</w:t>
      </w:r>
      <w:r w:rsidR="008801B8" w:rsidRPr="004F681E">
        <w:rPr>
          <w:rFonts w:ascii="Arial" w:hAnsi="Arial" w:cs="Arial"/>
        </w:rPr>
        <w:t xml:space="preserve">canismo restablecedor por el impacto </w:t>
      </w:r>
      <w:r w:rsidR="007101D7" w:rsidRPr="004F681E">
        <w:rPr>
          <w:rFonts w:ascii="Arial" w:hAnsi="Arial" w:cs="Arial"/>
        </w:rPr>
        <w:t>económico derivado</w:t>
      </w:r>
      <w:r w:rsidR="008801B8" w:rsidRPr="004F681E">
        <w:rPr>
          <w:rFonts w:ascii="Arial" w:hAnsi="Arial" w:cs="Arial"/>
        </w:rPr>
        <w:t xml:space="preserve"> </w:t>
      </w:r>
      <w:r w:rsidR="006F30B4" w:rsidRPr="004F681E">
        <w:rPr>
          <w:rFonts w:ascii="Arial" w:hAnsi="Arial" w:cs="Arial"/>
        </w:rPr>
        <w:t>de la inopera</w:t>
      </w:r>
      <w:r w:rsidR="00924A7C" w:rsidRPr="004F681E">
        <w:rPr>
          <w:rFonts w:ascii="Arial" w:hAnsi="Arial" w:cs="Arial"/>
        </w:rPr>
        <w:t>tividad del objeto concesionado</w:t>
      </w:r>
      <w:r w:rsidR="007101D7" w:rsidRPr="004F681E">
        <w:rPr>
          <w:rFonts w:ascii="Arial" w:hAnsi="Arial" w:cs="Arial"/>
        </w:rPr>
        <w:t>,</w:t>
      </w:r>
      <w:r w:rsidR="006F30B4" w:rsidRPr="004F681E">
        <w:rPr>
          <w:rFonts w:ascii="Arial" w:hAnsi="Arial" w:cs="Arial"/>
        </w:rPr>
        <w:t xml:space="preserve"> el </w:t>
      </w:r>
      <w:r w:rsidR="008F19E4" w:rsidRPr="004F681E">
        <w:rPr>
          <w:rFonts w:ascii="Arial" w:hAnsi="Arial" w:cs="Arial"/>
        </w:rPr>
        <w:t xml:space="preserve">reconocimiento de las utilidades dejadas de percibir por el período en que se prolongaran las actividades de reubicación de la pantalla. </w:t>
      </w:r>
    </w:p>
    <w:p w:rsidR="008F19E4" w:rsidRPr="004F681E" w:rsidRDefault="008F19E4" w:rsidP="00635C38">
      <w:pPr>
        <w:spacing w:line="360" w:lineRule="auto"/>
        <w:jc w:val="both"/>
        <w:rPr>
          <w:rFonts w:ascii="Arial" w:hAnsi="Arial" w:cs="Arial"/>
        </w:rPr>
      </w:pPr>
    </w:p>
    <w:p w:rsidR="0022380A" w:rsidRPr="004F681E" w:rsidRDefault="00AF3DDF" w:rsidP="00635C38">
      <w:pPr>
        <w:spacing w:line="360" w:lineRule="auto"/>
        <w:jc w:val="both"/>
        <w:rPr>
          <w:rFonts w:ascii="Arial" w:hAnsi="Arial" w:cs="Arial"/>
        </w:rPr>
      </w:pPr>
      <w:r w:rsidRPr="004F681E">
        <w:rPr>
          <w:rFonts w:ascii="Arial" w:hAnsi="Arial" w:cs="Arial"/>
        </w:rPr>
        <w:t>P</w:t>
      </w:r>
      <w:r w:rsidR="008F19E4" w:rsidRPr="004F681E">
        <w:rPr>
          <w:rFonts w:ascii="Arial" w:hAnsi="Arial" w:cs="Arial"/>
        </w:rPr>
        <w:t>rivilegiar la interpretación ofrecida por la entidad para abstenerse a su reconocimiento por cuenta de la reforma normativa introducida en la Ley 1150</w:t>
      </w:r>
      <w:r w:rsidR="00A85684" w:rsidRPr="004F681E">
        <w:rPr>
          <w:rFonts w:ascii="Arial" w:hAnsi="Arial" w:cs="Arial"/>
        </w:rPr>
        <w:t xml:space="preserve"> de 2007</w:t>
      </w:r>
      <w:r w:rsidR="007305FC" w:rsidRPr="004F681E">
        <w:rPr>
          <w:rFonts w:ascii="Arial" w:hAnsi="Arial" w:cs="Arial"/>
        </w:rPr>
        <w:t>, continuando en el escenario hipotético en virtud del cual se admitiera su aplicación al Contrato No. 475</w:t>
      </w:r>
      <w:r w:rsidRPr="004F681E">
        <w:rPr>
          <w:rFonts w:ascii="Arial" w:hAnsi="Arial" w:cs="Arial"/>
        </w:rPr>
        <w:t xml:space="preserve">, </w:t>
      </w:r>
      <w:r w:rsidR="007305FC" w:rsidRPr="004F681E">
        <w:rPr>
          <w:rFonts w:ascii="Arial" w:hAnsi="Arial" w:cs="Arial"/>
        </w:rPr>
        <w:t xml:space="preserve">en criterio de la Sala, </w:t>
      </w:r>
      <w:r w:rsidR="00A85684" w:rsidRPr="004F681E">
        <w:rPr>
          <w:rFonts w:ascii="Arial" w:hAnsi="Arial" w:cs="Arial"/>
        </w:rPr>
        <w:t>ir</w:t>
      </w:r>
      <w:r w:rsidR="003B5DD5" w:rsidRPr="004F681E">
        <w:rPr>
          <w:rFonts w:ascii="Arial" w:hAnsi="Arial" w:cs="Arial"/>
        </w:rPr>
        <w:t>ía</w:t>
      </w:r>
      <w:r w:rsidR="00A85684" w:rsidRPr="004F681E">
        <w:rPr>
          <w:rFonts w:ascii="Arial" w:hAnsi="Arial" w:cs="Arial"/>
        </w:rPr>
        <w:t xml:space="preserve"> en absoluta contravía de los principios de confianza legítima y </w:t>
      </w:r>
      <w:r w:rsidRPr="004F681E">
        <w:rPr>
          <w:rFonts w:ascii="Arial" w:hAnsi="Arial" w:cs="Arial"/>
        </w:rPr>
        <w:t xml:space="preserve">de </w:t>
      </w:r>
      <w:r w:rsidR="00A85684" w:rsidRPr="004F681E">
        <w:rPr>
          <w:rFonts w:ascii="Arial" w:hAnsi="Arial" w:cs="Arial"/>
        </w:rPr>
        <w:t>buena fe contractual que debe</w:t>
      </w:r>
      <w:r w:rsidR="003B5DD5" w:rsidRPr="004F681E">
        <w:rPr>
          <w:rFonts w:ascii="Arial" w:hAnsi="Arial" w:cs="Arial"/>
        </w:rPr>
        <w:t>n gobernar</w:t>
      </w:r>
      <w:r w:rsidR="00A85684" w:rsidRPr="004F681E">
        <w:rPr>
          <w:rFonts w:ascii="Arial" w:hAnsi="Arial" w:cs="Arial"/>
        </w:rPr>
        <w:t xml:space="preserve"> todas las actuaciones del Estado</w:t>
      </w:r>
      <w:r w:rsidR="0088622A" w:rsidRPr="004F681E">
        <w:rPr>
          <w:rFonts w:ascii="Arial" w:hAnsi="Arial" w:cs="Arial"/>
        </w:rPr>
        <w:t xml:space="preserve">. </w:t>
      </w:r>
    </w:p>
    <w:p w:rsidR="0022380A" w:rsidRPr="004F681E" w:rsidRDefault="0022380A" w:rsidP="00635C38">
      <w:pPr>
        <w:spacing w:line="360" w:lineRule="auto"/>
        <w:jc w:val="both"/>
        <w:rPr>
          <w:rFonts w:ascii="Arial" w:hAnsi="Arial" w:cs="Arial"/>
        </w:rPr>
      </w:pPr>
    </w:p>
    <w:p w:rsidR="007F2625" w:rsidRPr="004F681E" w:rsidRDefault="0088622A" w:rsidP="00635C38">
      <w:pPr>
        <w:spacing w:line="360" w:lineRule="auto"/>
        <w:jc w:val="both"/>
        <w:rPr>
          <w:rFonts w:ascii="Arial" w:hAnsi="Arial" w:cs="Arial"/>
        </w:rPr>
      </w:pPr>
      <w:r w:rsidRPr="004F681E">
        <w:rPr>
          <w:rFonts w:ascii="Arial" w:hAnsi="Arial" w:cs="Arial"/>
        </w:rPr>
        <w:lastRenderedPageBreak/>
        <w:t>A</w:t>
      </w:r>
      <w:r w:rsidR="00DE3744" w:rsidRPr="004F681E">
        <w:rPr>
          <w:rFonts w:ascii="Arial" w:hAnsi="Arial" w:cs="Arial"/>
        </w:rPr>
        <w:t>demás, incluso atendiendo al supuesto hipotético planteado</w:t>
      </w:r>
      <w:r w:rsidR="007D142D" w:rsidRPr="004F681E">
        <w:rPr>
          <w:rFonts w:ascii="Arial" w:hAnsi="Arial" w:cs="Arial"/>
        </w:rPr>
        <w:t>,</w:t>
      </w:r>
      <w:r w:rsidR="00DE3744" w:rsidRPr="004F681E">
        <w:rPr>
          <w:rFonts w:ascii="Arial" w:hAnsi="Arial" w:cs="Arial"/>
        </w:rPr>
        <w:t xml:space="preserve"> es preciso acotar que</w:t>
      </w:r>
      <w:r w:rsidR="00444351" w:rsidRPr="004F681E">
        <w:rPr>
          <w:rFonts w:ascii="Arial" w:hAnsi="Arial" w:cs="Arial"/>
        </w:rPr>
        <w:t xml:space="preserve"> tal derogatoria </w:t>
      </w:r>
      <w:r w:rsidR="006C6BA0" w:rsidRPr="004F681E">
        <w:rPr>
          <w:rFonts w:ascii="Arial" w:hAnsi="Arial" w:cs="Arial"/>
        </w:rPr>
        <w:t>si bien supondría</w:t>
      </w:r>
      <w:r w:rsidR="00194CED" w:rsidRPr="004F681E">
        <w:rPr>
          <w:rFonts w:ascii="Arial" w:hAnsi="Arial" w:cs="Arial"/>
        </w:rPr>
        <w:t xml:space="preserve"> que la Administración</w:t>
      </w:r>
      <w:r w:rsidR="0022380A" w:rsidRPr="004F681E">
        <w:rPr>
          <w:rFonts w:ascii="Arial" w:hAnsi="Arial" w:cs="Arial"/>
        </w:rPr>
        <w:t xml:space="preserve"> no se encuentra en posición de garantizar la efectiva obtención de provecho económico</w:t>
      </w:r>
      <w:r w:rsidR="00E43A77" w:rsidRPr="004F681E">
        <w:rPr>
          <w:rFonts w:ascii="Arial" w:hAnsi="Arial" w:cs="Arial"/>
        </w:rPr>
        <w:t xml:space="preserve"> como resultado de</w:t>
      </w:r>
      <w:r w:rsidR="0022380A" w:rsidRPr="004F681E">
        <w:rPr>
          <w:rFonts w:ascii="Arial" w:hAnsi="Arial" w:cs="Arial"/>
        </w:rPr>
        <w:t xml:space="preserve"> la ejecución de los contratos que </w:t>
      </w:r>
      <w:r w:rsidR="003F4AE7" w:rsidRPr="004F681E">
        <w:rPr>
          <w:rFonts w:ascii="Arial" w:hAnsi="Arial" w:cs="Arial"/>
        </w:rPr>
        <w:t xml:space="preserve">ella </w:t>
      </w:r>
      <w:r w:rsidR="0022380A" w:rsidRPr="004F681E">
        <w:rPr>
          <w:rFonts w:ascii="Arial" w:hAnsi="Arial" w:cs="Arial"/>
        </w:rPr>
        <w:t xml:space="preserve">celebre, ello </w:t>
      </w:r>
      <w:r w:rsidR="006C6BA0" w:rsidRPr="004F681E">
        <w:rPr>
          <w:rFonts w:ascii="Arial" w:hAnsi="Arial" w:cs="Arial"/>
        </w:rPr>
        <w:t xml:space="preserve">no podría </w:t>
      </w:r>
      <w:r w:rsidR="00444351" w:rsidRPr="004F681E">
        <w:rPr>
          <w:rFonts w:ascii="Arial" w:hAnsi="Arial" w:cs="Arial"/>
        </w:rPr>
        <w:t xml:space="preserve">significar de manera alguna que la entidad se encuentre relevada del </w:t>
      </w:r>
      <w:r w:rsidRPr="004F681E">
        <w:rPr>
          <w:rFonts w:ascii="Arial" w:hAnsi="Arial" w:cs="Arial"/>
        </w:rPr>
        <w:t>reconocimiento</w:t>
      </w:r>
      <w:r w:rsidR="00444351" w:rsidRPr="004F681E">
        <w:rPr>
          <w:rFonts w:ascii="Arial" w:hAnsi="Arial" w:cs="Arial"/>
        </w:rPr>
        <w:t xml:space="preserve"> de utilidades</w:t>
      </w:r>
      <w:r w:rsidR="00E43A77" w:rsidRPr="004F681E">
        <w:rPr>
          <w:rFonts w:ascii="Arial" w:hAnsi="Arial" w:cs="Arial"/>
        </w:rPr>
        <w:t xml:space="preserve"> en favor de su co-contratante</w:t>
      </w:r>
      <w:r w:rsidRPr="004F681E">
        <w:rPr>
          <w:rFonts w:ascii="Arial" w:hAnsi="Arial" w:cs="Arial"/>
        </w:rPr>
        <w:t>, máxime cuando en esta oportunidad se trata de una utilidad dejada de percibir como consecuencia directa de una actuación de la demandada</w:t>
      </w:r>
      <w:r w:rsidR="003F4AE7" w:rsidRPr="004F681E">
        <w:rPr>
          <w:rFonts w:ascii="Arial" w:hAnsi="Arial" w:cs="Arial"/>
        </w:rPr>
        <w:t xml:space="preserve"> y a cuyo pago se obligó</w:t>
      </w:r>
      <w:r w:rsidRPr="004F681E">
        <w:rPr>
          <w:rFonts w:ascii="Arial" w:hAnsi="Arial" w:cs="Arial"/>
        </w:rPr>
        <w:t>.</w:t>
      </w:r>
    </w:p>
    <w:p w:rsidR="006650F5" w:rsidRPr="004F681E" w:rsidRDefault="006650F5" w:rsidP="00635C38">
      <w:pPr>
        <w:spacing w:line="360" w:lineRule="auto"/>
        <w:jc w:val="both"/>
        <w:rPr>
          <w:rFonts w:ascii="Arial" w:hAnsi="Arial" w:cs="Arial"/>
        </w:rPr>
      </w:pPr>
    </w:p>
    <w:p w:rsidR="00905696" w:rsidRPr="004F681E" w:rsidRDefault="00194CED" w:rsidP="00A2083E">
      <w:pPr>
        <w:overflowPunct w:val="0"/>
        <w:autoSpaceDE w:val="0"/>
        <w:autoSpaceDN w:val="0"/>
        <w:adjustRightInd w:val="0"/>
        <w:spacing w:line="360" w:lineRule="auto"/>
        <w:jc w:val="both"/>
        <w:rPr>
          <w:rFonts w:ascii="Arial" w:hAnsi="Arial" w:cs="Arial"/>
          <w:lang w:val="es-CO"/>
        </w:rPr>
      </w:pPr>
      <w:r w:rsidRPr="004F681E">
        <w:rPr>
          <w:rFonts w:ascii="Arial" w:hAnsi="Arial" w:cs="Arial"/>
          <w:lang w:val="es-CO"/>
        </w:rPr>
        <w:t>Retomando lo dicho</w:t>
      </w:r>
      <w:r w:rsidR="00CD6D46" w:rsidRPr="004F681E">
        <w:rPr>
          <w:rFonts w:ascii="Arial" w:hAnsi="Arial" w:cs="Arial"/>
          <w:lang w:val="es-CO"/>
        </w:rPr>
        <w:t>,</w:t>
      </w:r>
      <w:r w:rsidRPr="004F681E">
        <w:rPr>
          <w:rFonts w:ascii="Arial" w:hAnsi="Arial" w:cs="Arial"/>
          <w:lang w:val="es-CO"/>
        </w:rPr>
        <w:t xml:space="preserve"> se precisa que</w:t>
      </w:r>
      <w:r w:rsidR="00905696" w:rsidRPr="004F681E">
        <w:rPr>
          <w:rFonts w:ascii="Arial" w:hAnsi="Arial" w:cs="Arial"/>
          <w:lang w:val="es-CO"/>
        </w:rPr>
        <w:t xml:space="preserve"> existe una relación directa entre la teoría de los</w:t>
      </w:r>
      <w:r w:rsidRPr="004F681E">
        <w:rPr>
          <w:rFonts w:ascii="Arial" w:hAnsi="Arial" w:cs="Arial"/>
          <w:lang w:val="es-CO"/>
        </w:rPr>
        <w:t xml:space="preserve"> actos propios y el principio de</w:t>
      </w:r>
      <w:r w:rsidR="00905696" w:rsidRPr="004F681E">
        <w:rPr>
          <w:rFonts w:ascii="Arial" w:hAnsi="Arial" w:cs="Arial"/>
          <w:lang w:val="es-CO"/>
        </w:rPr>
        <w:t xml:space="preserve"> la confianza legítima que estriba en que de ambos se desprende para los administrados la ga</w:t>
      </w:r>
      <w:r w:rsidR="00E07102" w:rsidRPr="004F681E">
        <w:rPr>
          <w:rFonts w:ascii="Arial" w:hAnsi="Arial" w:cs="Arial"/>
          <w:lang w:val="es-CO"/>
        </w:rPr>
        <w:t>rantía de que al</w:t>
      </w:r>
      <w:r w:rsidR="00905696" w:rsidRPr="004F681E">
        <w:rPr>
          <w:rFonts w:ascii="Arial" w:hAnsi="Arial" w:cs="Arial"/>
          <w:lang w:val="es-CO"/>
        </w:rPr>
        <w:t xml:space="preserve"> Estado, a través de sus entidad</w:t>
      </w:r>
      <w:r w:rsidR="00E07102" w:rsidRPr="004F681E">
        <w:rPr>
          <w:rFonts w:ascii="Arial" w:hAnsi="Arial" w:cs="Arial"/>
          <w:lang w:val="es-CO"/>
        </w:rPr>
        <w:t>es, le</w:t>
      </w:r>
      <w:r w:rsidR="00D954CE" w:rsidRPr="004F681E">
        <w:rPr>
          <w:rFonts w:ascii="Arial" w:hAnsi="Arial" w:cs="Arial"/>
          <w:lang w:val="es-CO"/>
        </w:rPr>
        <w:t xml:space="preserve"> asiste </w:t>
      </w:r>
      <w:r w:rsidR="00905696" w:rsidRPr="004F681E">
        <w:rPr>
          <w:rFonts w:ascii="Arial" w:hAnsi="Arial" w:cs="Arial"/>
          <w:lang w:val="es-CO"/>
        </w:rPr>
        <w:t xml:space="preserve">el deber de obrar con </w:t>
      </w:r>
      <w:r w:rsidR="00475991" w:rsidRPr="004F681E">
        <w:rPr>
          <w:rFonts w:ascii="Arial" w:hAnsi="Arial" w:cs="Arial"/>
          <w:lang w:val="es-CO"/>
        </w:rPr>
        <w:t xml:space="preserve">rectitud, </w:t>
      </w:r>
      <w:r w:rsidR="00905696" w:rsidRPr="004F681E">
        <w:rPr>
          <w:rFonts w:ascii="Arial" w:hAnsi="Arial" w:cs="Arial"/>
          <w:lang w:val="es-CO"/>
        </w:rPr>
        <w:t xml:space="preserve">claridad y precisión, cuestión que </w:t>
      </w:r>
      <w:r w:rsidR="00D436B2" w:rsidRPr="004F681E">
        <w:rPr>
          <w:rFonts w:ascii="Arial" w:hAnsi="Arial" w:cs="Arial"/>
          <w:lang w:val="es-CO"/>
        </w:rPr>
        <w:t xml:space="preserve">a su turno </w:t>
      </w:r>
      <w:r w:rsidR="004C0EA4" w:rsidRPr="004F681E">
        <w:rPr>
          <w:rFonts w:ascii="Arial" w:hAnsi="Arial" w:cs="Arial"/>
          <w:lang w:val="es-CO"/>
        </w:rPr>
        <w:t xml:space="preserve">le impide </w:t>
      </w:r>
      <w:r w:rsidR="00905696" w:rsidRPr="004F681E">
        <w:rPr>
          <w:rFonts w:ascii="Arial" w:hAnsi="Arial" w:cs="Arial"/>
          <w:lang w:val="es-CO"/>
        </w:rPr>
        <w:t>actuar de manera opuesta e inconcordante o de emitir decisiones contrarias a aquellas que anteladamente emanaron de la m</w:t>
      </w:r>
      <w:r w:rsidR="00475991" w:rsidRPr="004F681E">
        <w:rPr>
          <w:rFonts w:ascii="Arial" w:hAnsi="Arial" w:cs="Arial"/>
          <w:lang w:val="es-CO"/>
        </w:rPr>
        <w:t>isma entidad pública y en mérito</w:t>
      </w:r>
      <w:r w:rsidR="00905696" w:rsidRPr="004F681E">
        <w:rPr>
          <w:rFonts w:ascii="Arial" w:hAnsi="Arial" w:cs="Arial"/>
          <w:lang w:val="es-CO"/>
        </w:rPr>
        <w:t xml:space="preserve"> de las cuales se generó un convencimiento frente a determinados asuntos. </w:t>
      </w:r>
    </w:p>
    <w:p w:rsidR="008A3538" w:rsidRPr="004F681E" w:rsidRDefault="008A3538" w:rsidP="00A2083E">
      <w:pPr>
        <w:overflowPunct w:val="0"/>
        <w:autoSpaceDE w:val="0"/>
        <w:autoSpaceDN w:val="0"/>
        <w:adjustRightInd w:val="0"/>
        <w:spacing w:line="360" w:lineRule="auto"/>
        <w:jc w:val="both"/>
        <w:rPr>
          <w:rFonts w:ascii="Arial" w:hAnsi="Arial" w:cs="Arial"/>
          <w:lang w:val="es-CO"/>
        </w:rPr>
      </w:pPr>
    </w:p>
    <w:p w:rsidR="008552F7" w:rsidRPr="004F681E" w:rsidRDefault="004C0EA4" w:rsidP="00C943A0">
      <w:pPr>
        <w:overflowPunct w:val="0"/>
        <w:autoSpaceDE w:val="0"/>
        <w:autoSpaceDN w:val="0"/>
        <w:adjustRightInd w:val="0"/>
        <w:spacing w:line="360" w:lineRule="auto"/>
        <w:jc w:val="both"/>
        <w:rPr>
          <w:rFonts w:ascii="Arial" w:hAnsi="Arial" w:cs="Arial"/>
        </w:rPr>
      </w:pPr>
      <w:r w:rsidRPr="004F681E">
        <w:rPr>
          <w:rFonts w:ascii="Arial" w:hAnsi="Arial" w:cs="Arial"/>
          <w:lang w:val="es-CO" w:eastAsia="es-CO"/>
        </w:rPr>
        <w:t xml:space="preserve">También concurre una relación inescindible entre el </w:t>
      </w:r>
      <w:r w:rsidR="00905696" w:rsidRPr="004F681E">
        <w:rPr>
          <w:rFonts w:ascii="Arial" w:hAnsi="Arial" w:cs="Arial"/>
          <w:lang w:val="es-CO" w:eastAsia="es-CO"/>
        </w:rPr>
        <w:t xml:space="preserve">principio de confianza legítima </w:t>
      </w:r>
      <w:r w:rsidR="00244B87" w:rsidRPr="004F681E">
        <w:rPr>
          <w:rFonts w:ascii="Arial" w:hAnsi="Arial" w:cs="Arial"/>
          <w:lang w:val="es-CO" w:eastAsia="es-CO"/>
        </w:rPr>
        <w:t xml:space="preserve">y el </w:t>
      </w:r>
      <w:r w:rsidR="00905696" w:rsidRPr="004F681E">
        <w:rPr>
          <w:rFonts w:ascii="Arial" w:hAnsi="Arial" w:cs="Arial"/>
          <w:lang w:val="es-CO" w:eastAsia="es-CO"/>
        </w:rPr>
        <w:t>principio de buena fe</w:t>
      </w:r>
      <w:r w:rsidR="00CD6D46" w:rsidRPr="004F681E">
        <w:rPr>
          <w:rFonts w:ascii="Arial" w:hAnsi="Arial" w:cs="Arial"/>
          <w:lang w:val="es-CO" w:eastAsia="es-CO"/>
        </w:rPr>
        <w:t>,</w:t>
      </w:r>
      <w:r w:rsidR="00244B87" w:rsidRPr="004F681E">
        <w:rPr>
          <w:rFonts w:ascii="Arial" w:hAnsi="Arial" w:cs="Arial"/>
          <w:lang w:val="es-CO" w:eastAsia="es-CO"/>
        </w:rPr>
        <w:t xml:space="preserve"> en cuanto este ú</w:t>
      </w:r>
      <w:r w:rsidR="008552F7" w:rsidRPr="004F681E">
        <w:rPr>
          <w:rFonts w:ascii="Arial" w:hAnsi="Arial" w:cs="Arial"/>
          <w:lang w:val="es-CO" w:eastAsia="es-CO"/>
        </w:rPr>
        <w:t>ltimo impone a</w:t>
      </w:r>
      <w:r w:rsidR="008552F7" w:rsidRPr="004F681E">
        <w:rPr>
          <w:rFonts w:ascii="Arial" w:hAnsi="Arial" w:cs="Arial"/>
        </w:rPr>
        <w:t xml:space="preserve"> ambas</w:t>
      </w:r>
      <w:r w:rsidR="009513F0" w:rsidRPr="004F681E">
        <w:rPr>
          <w:rFonts w:ascii="Arial" w:hAnsi="Arial" w:cs="Arial"/>
        </w:rPr>
        <w:t xml:space="preserve"> </w:t>
      </w:r>
      <w:r w:rsidR="008552F7" w:rsidRPr="004F681E">
        <w:rPr>
          <w:rFonts w:ascii="Arial" w:hAnsi="Arial" w:cs="Arial"/>
        </w:rPr>
        <w:t>partes una actitu</w:t>
      </w:r>
      <w:r w:rsidR="00475991" w:rsidRPr="004F681E">
        <w:rPr>
          <w:rFonts w:ascii="Arial" w:hAnsi="Arial" w:cs="Arial"/>
        </w:rPr>
        <w:t>d de lealtad mutua, de fidelidad y</w:t>
      </w:r>
      <w:r w:rsidR="008552F7" w:rsidRPr="004F681E">
        <w:rPr>
          <w:rFonts w:ascii="Arial" w:hAnsi="Arial" w:cs="Arial"/>
        </w:rPr>
        <w:t xml:space="preserve"> honestidad</w:t>
      </w:r>
      <w:r w:rsidR="00475991" w:rsidRPr="004F681E">
        <w:rPr>
          <w:rFonts w:ascii="Arial" w:hAnsi="Arial" w:cs="Arial"/>
        </w:rPr>
        <w:t>,</w:t>
      </w:r>
      <w:r w:rsidR="008552F7" w:rsidRPr="004F681E">
        <w:rPr>
          <w:rFonts w:ascii="Arial" w:hAnsi="Arial" w:cs="Arial"/>
        </w:rPr>
        <w:t xml:space="preserve"> </w:t>
      </w:r>
      <w:r w:rsidR="001F2FBB" w:rsidRPr="004F681E">
        <w:rPr>
          <w:rFonts w:ascii="Arial" w:hAnsi="Arial" w:cs="Arial"/>
        </w:rPr>
        <w:t xml:space="preserve">todo lo cual se traduce en </w:t>
      </w:r>
      <w:r w:rsidR="001F2FBB" w:rsidRPr="004F681E">
        <w:rPr>
          <w:rFonts w:ascii="Arial" w:hAnsi="Arial" w:cs="Arial"/>
          <w:color w:val="000000"/>
          <w:lang w:val="es-ES_tradnl"/>
        </w:rPr>
        <w:t>el respeto a las reglas pre</w:t>
      </w:r>
      <w:r w:rsidR="007D142D" w:rsidRPr="004F681E">
        <w:rPr>
          <w:rFonts w:ascii="Arial" w:hAnsi="Arial" w:cs="Arial"/>
          <w:color w:val="000000"/>
          <w:lang w:val="es-ES_tradnl"/>
        </w:rPr>
        <w:t>e</w:t>
      </w:r>
      <w:r w:rsidR="001F2FBB" w:rsidRPr="004F681E">
        <w:rPr>
          <w:rFonts w:ascii="Arial" w:hAnsi="Arial" w:cs="Arial"/>
          <w:color w:val="000000"/>
          <w:lang w:val="es-ES_tradnl"/>
        </w:rPr>
        <w:t xml:space="preserve">stablecidas y conocidas por ambas partes desde el momento en que surgieron; por contera, cualquier variación sorpresiva de </w:t>
      </w:r>
      <w:r w:rsidR="00D954CE" w:rsidRPr="004F681E">
        <w:rPr>
          <w:rFonts w:ascii="Arial" w:hAnsi="Arial" w:cs="Arial"/>
          <w:color w:val="000000"/>
          <w:lang w:val="es-ES_tradnl"/>
        </w:rPr>
        <w:t>tales cánones</w:t>
      </w:r>
      <w:r w:rsidR="001F2FBB" w:rsidRPr="004F681E">
        <w:rPr>
          <w:rFonts w:ascii="Arial" w:hAnsi="Arial" w:cs="Arial"/>
          <w:color w:val="000000"/>
          <w:lang w:val="es-ES_tradnl"/>
        </w:rPr>
        <w:t xml:space="preserve"> por una de las partes</w:t>
      </w:r>
      <w:r w:rsidR="007D142D" w:rsidRPr="004F681E">
        <w:rPr>
          <w:rFonts w:ascii="Arial" w:hAnsi="Arial" w:cs="Arial"/>
          <w:color w:val="000000"/>
          <w:lang w:val="es-ES_tradnl"/>
        </w:rPr>
        <w:t>,</w:t>
      </w:r>
      <w:r w:rsidR="001F2FBB" w:rsidRPr="004F681E">
        <w:rPr>
          <w:rFonts w:ascii="Arial" w:hAnsi="Arial" w:cs="Arial"/>
          <w:color w:val="000000"/>
          <w:lang w:val="es-ES_tradnl"/>
        </w:rPr>
        <w:t xml:space="preserve"> sin duda resultaría contraria a la esperada y exigible buena fe</w:t>
      </w:r>
      <w:r w:rsidR="00475991" w:rsidRPr="004F681E">
        <w:rPr>
          <w:rFonts w:ascii="Arial" w:hAnsi="Arial" w:cs="Arial"/>
          <w:color w:val="000000"/>
          <w:lang w:val="es-ES_tradnl"/>
        </w:rPr>
        <w:t>.</w:t>
      </w:r>
    </w:p>
    <w:p w:rsidR="00475991" w:rsidRPr="004F681E" w:rsidRDefault="00475991" w:rsidP="00475991">
      <w:pPr>
        <w:spacing w:line="360" w:lineRule="auto"/>
        <w:jc w:val="both"/>
        <w:rPr>
          <w:rFonts w:ascii="Arial" w:hAnsi="Arial" w:cs="Arial"/>
          <w:lang w:val="es-CO"/>
        </w:rPr>
      </w:pPr>
    </w:p>
    <w:p w:rsidR="0088622A" w:rsidRPr="004F681E" w:rsidRDefault="00475991" w:rsidP="00475991">
      <w:pPr>
        <w:spacing w:line="360" w:lineRule="auto"/>
        <w:jc w:val="both"/>
        <w:rPr>
          <w:rFonts w:ascii="Arial" w:hAnsi="Arial" w:cs="Arial"/>
          <w:lang w:val="es-CO"/>
        </w:rPr>
      </w:pPr>
      <w:r w:rsidRPr="004F681E">
        <w:rPr>
          <w:rFonts w:ascii="Arial" w:hAnsi="Arial" w:cs="Arial"/>
          <w:lang w:val="es-CO"/>
        </w:rPr>
        <w:t>Ante el panorama expuesto, se colige que</w:t>
      </w:r>
      <w:r w:rsidR="00CD6D46" w:rsidRPr="004F681E">
        <w:rPr>
          <w:rFonts w:ascii="Arial" w:hAnsi="Arial" w:cs="Arial"/>
          <w:lang w:val="es-CO"/>
        </w:rPr>
        <w:t>,</w:t>
      </w:r>
      <w:r w:rsidRPr="004F681E">
        <w:rPr>
          <w:rFonts w:ascii="Arial" w:hAnsi="Arial" w:cs="Arial"/>
          <w:lang w:val="es-CO"/>
        </w:rPr>
        <w:t xml:space="preserve"> de reunirse el supuesto fáctico previsto para su reconocimiento, es decir, que el concesionario presentara la estimación de la utilidad de</w:t>
      </w:r>
      <w:r w:rsidR="00650D78" w:rsidRPr="004F681E">
        <w:rPr>
          <w:rFonts w:ascii="Arial" w:hAnsi="Arial" w:cs="Arial"/>
          <w:lang w:val="es-CO"/>
        </w:rPr>
        <w:t>jada de percibir durante el perí</w:t>
      </w:r>
      <w:r w:rsidRPr="004F681E">
        <w:rPr>
          <w:rFonts w:ascii="Arial" w:hAnsi="Arial" w:cs="Arial"/>
          <w:lang w:val="es-CO"/>
        </w:rPr>
        <w:t>odo en que duraron las obras de traslado y montaje de la pantalla apoyada en los respectivos soportes contables, la ent</w:t>
      </w:r>
      <w:r w:rsidR="007101D7" w:rsidRPr="004F681E">
        <w:rPr>
          <w:rFonts w:ascii="Arial" w:hAnsi="Arial" w:cs="Arial"/>
          <w:lang w:val="es-CO"/>
        </w:rPr>
        <w:t>idad estaría obligada a su pago.</w:t>
      </w:r>
    </w:p>
    <w:p w:rsidR="00991B6D" w:rsidRPr="004F681E" w:rsidRDefault="00991B6D" w:rsidP="00475991">
      <w:pPr>
        <w:spacing w:line="360" w:lineRule="auto"/>
        <w:jc w:val="both"/>
        <w:rPr>
          <w:rFonts w:ascii="Arial" w:hAnsi="Arial" w:cs="Arial"/>
          <w:lang w:val="es-CO"/>
        </w:rPr>
      </w:pPr>
    </w:p>
    <w:p w:rsidR="00991B6D" w:rsidRPr="004F681E" w:rsidRDefault="002711BA" w:rsidP="00FA45C4">
      <w:pPr>
        <w:spacing w:line="360" w:lineRule="auto"/>
        <w:jc w:val="both"/>
        <w:rPr>
          <w:rFonts w:ascii="Arial" w:hAnsi="Arial" w:cs="Arial"/>
          <w:lang w:val="es-CO"/>
        </w:rPr>
      </w:pPr>
      <w:r w:rsidRPr="004F681E">
        <w:rPr>
          <w:rFonts w:ascii="Arial" w:hAnsi="Arial" w:cs="Arial"/>
          <w:lang w:val="es-CO"/>
        </w:rPr>
        <w:t xml:space="preserve">En síntesis, </w:t>
      </w:r>
      <w:r w:rsidR="00397C19" w:rsidRPr="004F681E">
        <w:rPr>
          <w:rFonts w:ascii="Arial" w:hAnsi="Arial" w:cs="Arial"/>
          <w:lang w:val="es-CO"/>
        </w:rPr>
        <w:t xml:space="preserve">la naturaleza del compromiso adquirido por la entidad </w:t>
      </w:r>
      <w:r w:rsidR="00C95C46" w:rsidRPr="004F681E">
        <w:rPr>
          <w:rFonts w:ascii="Arial" w:hAnsi="Arial" w:cs="Arial"/>
          <w:lang w:val="es-CO"/>
        </w:rPr>
        <w:t xml:space="preserve">corresponde a la </w:t>
      </w:r>
      <w:r w:rsidR="00397C19" w:rsidRPr="004F681E">
        <w:rPr>
          <w:rFonts w:ascii="Arial" w:hAnsi="Arial" w:cs="Arial"/>
          <w:lang w:val="es-CO"/>
        </w:rPr>
        <w:t>de un mecanismo restablecedor adoptado por la entidad para contener los efectos derivados de</w:t>
      </w:r>
      <w:r w:rsidR="00C95C46" w:rsidRPr="004F681E">
        <w:rPr>
          <w:rFonts w:ascii="Arial" w:hAnsi="Arial" w:cs="Arial"/>
          <w:lang w:val="es-CO"/>
        </w:rPr>
        <w:t xml:space="preserve"> un supuesto de ruptura del equilibrio del contrato que se concretó en e</w:t>
      </w:r>
      <w:r w:rsidR="00397C19" w:rsidRPr="004F681E">
        <w:rPr>
          <w:rFonts w:ascii="Arial" w:hAnsi="Arial" w:cs="Arial"/>
          <w:lang w:val="es-CO"/>
        </w:rPr>
        <w:t xml:space="preserve">l ejercicio del </w:t>
      </w:r>
      <w:r w:rsidR="00397C19" w:rsidRPr="004F681E">
        <w:rPr>
          <w:rFonts w:ascii="Arial" w:hAnsi="Arial" w:cs="Arial"/>
          <w:i/>
          <w:lang w:val="es-CO"/>
        </w:rPr>
        <w:t>ius variandi</w:t>
      </w:r>
      <w:r w:rsidR="00C95C46" w:rsidRPr="004F681E">
        <w:rPr>
          <w:rFonts w:ascii="Arial" w:hAnsi="Arial" w:cs="Arial"/>
          <w:lang w:val="es-CO"/>
        </w:rPr>
        <w:t xml:space="preserve"> y se materializó</w:t>
      </w:r>
      <w:r w:rsidR="00397C19" w:rsidRPr="004F681E">
        <w:rPr>
          <w:rFonts w:ascii="Arial" w:hAnsi="Arial" w:cs="Arial"/>
          <w:lang w:val="es-CO"/>
        </w:rPr>
        <w:t xml:space="preserve"> al expedir válidamente un acto </w:t>
      </w:r>
      <w:r w:rsidR="006650F5" w:rsidRPr="004F681E">
        <w:rPr>
          <w:rFonts w:ascii="Arial" w:hAnsi="Arial" w:cs="Arial"/>
          <w:lang w:val="es-CO"/>
        </w:rPr>
        <w:t>de modificación unilateral del Contrato de Concesión No. 475.</w:t>
      </w:r>
    </w:p>
    <w:p w:rsidR="006650F5" w:rsidRPr="004F681E" w:rsidRDefault="006650F5" w:rsidP="00FA45C4">
      <w:pPr>
        <w:spacing w:line="360" w:lineRule="auto"/>
        <w:jc w:val="both"/>
        <w:rPr>
          <w:rFonts w:ascii="Arial" w:hAnsi="Arial" w:cs="Arial"/>
          <w:lang w:val="es-CO"/>
        </w:rPr>
      </w:pPr>
    </w:p>
    <w:p w:rsidR="00004671" w:rsidRPr="004F681E" w:rsidRDefault="006D76B5" w:rsidP="00FA45C4">
      <w:pPr>
        <w:spacing w:line="360" w:lineRule="auto"/>
        <w:jc w:val="both"/>
        <w:rPr>
          <w:rFonts w:ascii="Arial" w:hAnsi="Arial" w:cs="Arial"/>
          <w:u w:val="single"/>
          <w:lang w:val="es-CO"/>
        </w:rPr>
      </w:pPr>
      <w:r w:rsidRPr="004F681E">
        <w:rPr>
          <w:rFonts w:ascii="Arial" w:hAnsi="Arial" w:cs="Arial"/>
          <w:lang w:val="es-CO"/>
        </w:rPr>
        <w:lastRenderedPageBreak/>
        <w:t>5.</w:t>
      </w:r>
      <w:r w:rsidR="00F3709D" w:rsidRPr="004F681E">
        <w:rPr>
          <w:rFonts w:ascii="Arial" w:hAnsi="Arial" w:cs="Arial"/>
          <w:lang w:val="es-CO"/>
        </w:rPr>
        <w:t>2</w:t>
      </w:r>
      <w:r w:rsidRPr="004F681E">
        <w:rPr>
          <w:rFonts w:ascii="Arial" w:hAnsi="Arial" w:cs="Arial"/>
          <w:lang w:val="es-CO"/>
        </w:rPr>
        <w:t xml:space="preserve">. </w:t>
      </w:r>
      <w:r w:rsidR="00475991" w:rsidRPr="004F681E">
        <w:rPr>
          <w:rFonts w:ascii="Arial" w:hAnsi="Arial" w:cs="Arial"/>
          <w:u w:val="single"/>
          <w:lang w:val="es-CO"/>
        </w:rPr>
        <w:t>De</w:t>
      </w:r>
      <w:r w:rsidR="00004671" w:rsidRPr="004F681E">
        <w:rPr>
          <w:rFonts w:ascii="Arial" w:hAnsi="Arial" w:cs="Arial"/>
          <w:u w:val="single"/>
          <w:lang w:val="es-CO"/>
        </w:rPr>
        <w:t xml:space="preserve">l desconocimiento del compromiso adquirido en ejercicio de la potestad excepcional de modificación unilateral del contrato – </w:t>
      </w:r>
      <w:r w:rsidR="00004671" w:rsidRPr="004F681E">
        <w:rPr>
          <w:rFonts w:ascii="Arial" w:hAnsi="Arial" w:cs="Arial"/>
          <w:i/>
          <w:u w:val="single"/>
          <w:lang w:val="es-CO"/>
        </w:rPr>
        <w:t>ius variandi</w:t>
      </w:r>
    </w:p>
    <w:p w:rsidR="00964121" w:rsidRPr="004F681E" w:rsidRDefault="00964121" w:rsidP="00FA45C4">
      <w:pPr>
        <w:spacing w:line="360" w:lineRule="auto"/>
        <w:jc w:val="both"/>
        <w:rPr>
          <w:rFonts w:ascii="Arial" w:hAnsi="Arial" w:cs="Arial"/>
          <w:lang w:val="es-CO"/>
        </w:rPr>
      </w:pPr>
    </w:p>
    <w:p w:rsidR="00D436B2" w:rsidRPr="004F681E" w:rsidRDefault="00D436B2" w:rsidP="00FA45C4">
      <w:pPr>
        <w:spacing w:line="360" w:lineRule="auto"/>
        <w:jc w:val="both"/>
        <w:rPr>
          <w:rFonts w:ascii="Arial" w:hAnsi="Arial" w:cs="Arial"/>
          <w:lang w:val="es-CO"/>
        </w:rPr>
      </w:pPr>
      <w:r w:rsidRPr="004F681E">
        <w:rPr>
          <w:rFonts w:ascii="Arial" w:hAnsi="Arial" w:cs="Arial"/>
          <w:lang w:val="es-CO"/>
        </w:rPr>
        <w:t>Establecida la existencia de</w:t>
      </w:r>
      <w:r w:rsidR="004777D5" w:rsidRPr="004F681E">
        <w:rPr>
          <w:rFonts w:ascii="Arial" w:hAnsi="Arial" w:cs="Arial"/>
          <w:lang w:val="es-CO"/>
        </w:rPr>
        <w:t xml:space="preserve">l compromiso </w:t>
      </w:r>
      <w:r w:rsidR="00383A58" w:rsidRPr="004F681E">
        <w:rPr>
          <w:rFonts w:ascii="Arial" w:hAnsi="Arial" w:cs="Arial"/>
          <w:lang w:val="es-CO"/>
        </w:rPr>
        <w:t>contraído</w:t>
      </w:r>
      <w:r w:rsidR="003B2229" w:rsidRPr="004F681E">
        <w:rPr>
          <w:rFonts w:ascii="Arial" w:hAnsi="Arial" w:cs="Arial"/>
          <w:lang w:val="es-CO"/>
        </w:rPr>
        <w:t xml:space="preserve"> por la entidad como consecuencia del ejercicio del </w:t>
      </w:r>
      <w:r w:rsidR="003B2229" w:rsidRPr="004F681E">
        <w:rPr>
          <w:rFonts w:ascii="Arial" w:hAnsi="Arial" w:cs="Arial"/>
          <w:i/>
          <w:lang w:val="es-CO"/>
        </w:rPr>
        <w:t>ius variandi</w:t>
      </w:r>
      <w:r w:rsidR="004A6938" w:rsidRPr="004F681E">
        <w:rPr>
          <w:rFonts w:ascii="Arial" w:hAnsi="Arial" w:cs="Arial"/>
          <w:lang w:val="es-CO"/>
        </w:rPr>
        <w:t>,</w:t>
      </w:r>
      <w:r w:rsidRPr="004F681E">
        <w:rPr>
          <w:rFonts w:ascii="Arial" w:hAnsi="Arial" w:cs="Arial"/>
          <w:lang w:val="es-CO"/>
        </w:rPr>
        <w:t xml:space="preserve"> </w:t>
      </w:r>
      <w:r w:rsidR="00810FB1" w:rsidRPr="004F681E">
        <w:rPr>
          <w:rFonts w:ascii="Arial" w:hAnsi="Arial" w:cs="Arial"/>
          <w:lang w:val="es-CO"/>
        </w:rPr>
        <w:t>consistente en el reconocimiento de la utilidad dejada de percibir mientras se ejecutó el desmonte, traslado y reinstalación de la panta</w:t>
      </w:r>
      <w:r w:rsidR="00F66F4E" w:rsidRPr="004F681E">
        <w:rPr>
          <w:rFonts w:ascii="Arial" w:hAnsi="Arial" w:cs="Arial"/>
          <w:lang w:val="es-CO"/>
        </w:rPr>
        <w:t>lla exterior, enseguida compete</w:t>
      </w:r>
      <w:r w:rsidR="00810FB1" w:rsidRPr="004F681E">
        <w:rPr>
          <w:rFonts w:ascii="Arial" w:hAnsi="Arial" w:cs="Arial"/>
          <w:lang w:val="es-CO"/>
        </w:rPr>
        <w:t xml:space="preserve"> a la Sala establecer si la </w:t>
      </w:r>
      <w:r w:rsidR="004A6938" w:rsidRPr="004F681E">
        <w:rPr>
          <w:rFonts w:ascii="Arial" w:hAnsi="Arial" w:cs="Arial"/>
          <w:lang w:val="es-CO"/>
        </w:rPr>
        <w:t xml:space="preserve">entidad se sustrajo o no de </w:t>
      </w:r>
      <w:r w:rsidR="0037530C" w:rsidRPr="004F681E">
        <w:rPr>
          <w:rFonts w:ascii="Arial" w:hAnsi="Arial" w:cs="Arial"/>
          <w:lang w:val="es-CO"/>
        </w:rPr>
        <w:t>su reconocimiento</w:t>
      </w:r>
      <w:r w:rsidR="00673E38" w:rsidRPr="004F681E">
        <w:rPr>
          <w:rFonts w:ascii="Arial" w:hAnsi="Arial" w:cs="Arial"/>
          <w:lang w:val="es-CO"/>
        </w:rPr>
        <w:t>.</w:t>
      </w:r>
    </w:p>
    <w:p w:rsidR="00673E38" w:rsidRPr="004F681E" w:rsidRDefault="00673E38" w:rsidP="00FA45C4">
      <w:pPr>
        <w:spacing w:line="360" w:lineRule="auto"/>
        <w:jc w:val="both"/>
        <w:rPr>
          <w:rFonts w:ascii="Arial" w:hAnsi="Arial" w:cs="Arial"/>
          <w:lang w:val="es-CO"/>
        </w:rPr>
      </w:pPr>
    </w:p>
    <w:p w:rsidR="00A2083E" w:rsidRPr="004F681E" w:rsidRDefault="00673E38" w:rsidP="00FA45C4">
      <w:pPr>
        <w:spacing w:line="360" w:lineRule="auto"/>
        <w:jc w:val="both"/>
        <w:rPr>
          <w:rFonts w:ascii="Arial" w:hAnsi="Arial" w:cs="Arial"/>
          <w:lang w:val="es-CO"/>
        </w:rPr>
      </w:pPr>
      <w:r w:rsidRPr="004F681E">
        <w:rPr>
          <w:rFonts w:ascii="Arial" w:hAnsi="Arial" w:cs="Arial"/>
          <w:lang w:val="es-CO"/>
        </w:rPr>
        <w:t>Con la finalidad puesta de manifiesto</w:t>
      </w:r>
      <w:r w:rsidR="00E03D3B" w:rsidRPr="004F681E">
        <w:rPr>
          <w:rFonts w:ascii="Arial" w:hAnsi="Arial" w:cs="Arial"/>
          <w:lang w:val="es-CO"/>
        </w:rPr>
        <w:t xml:space="preserve">, la Sala </w:t>
      </w:r>
      <w:r w:rsidR="006B4FA3" w:rsidRPr="004F681E">
        <w:rPr>
          <w:rFonts w:ascii="Arial" w:hAnsi="Arial" w:cs="Arial"/>
          <w:lang w:val="es-CO"/>
        </w:rPr>
        <w:t>se referirá a las pruebas aportadas para sustenta</w:t>
      </w:r>
      <w:r w:rsidR="00A2083E" w:rsidRPr="004F681E">
        <w:rPr>
          <w:rFonts w:ascii="Arial" w:hAnsi="Arial" w:cs="Arial"/>
          <w:lang w:val="es-CO"/>
        </w:rPr>
        <w:t>r</w:t>
      </w:r>
      <w:r w:rsidR="004777D5" w:rsidRPr="004F681E">
        <w:rPr>
          <w:rFonts w:ascii="Arial" w:hAnsi="Arial" w:cs="Arial"/>
          <w:lang w:val="es-CO"/>
        </w:rPr>
        <w:t xml:space="preserve"> el alegado desconocimiento del acto de modificación unilateral. </w:t>
      </w:r>
    </w:p>
    <w:p w:rsidR="00673E38" w:rsidRPr="004F681E" w:rsidRDefault="006B4FA3" w:rsidP="00FA45C4">
      <w:pPr>
        <w:spacing w:line="360" w:lineRule="auto"/>
        <w:jc w:val="both"/>
        <w:rPr>
          <w:rFonts w:ascii="Arial" w:hAnsi="Arial" w:cs="Arial"/>
          <w:lang w:val="es-CO"/>
        </w:rPr>
      </w:pPr>
      <w:r w:rsidRPr="004F681E">
        <w:rPr>
          <w:rFonts w:ascii="Arial" w:hAnsi="Arial" w:cs="Arial"/>
          <w:lang w:val="es-CO"/>
        </w:rPr>
        <w:t xml:space="preserve"> </w:t>
      </w:r>
    </w:p>
    <w:p w:rsidR="00F40A72" w:rsidRPr="004F681E" w:rsidRDefault="00A2083E" w:rsidP="00F40A72">
      <w:pPr>
        <w:spacing w:line="360" w:lineRule="auto"/>
        <w:jc w:val="both"/>
        <w:rPr>
          <w:rFonts w:ascii="Arial" w:hAnsi="Arial" w:cs="Arial"/>
          <w:lang w:val="es-CO"/>
        </w:rPr>
      </w:pPr>
      <w:r w:rsidRPr="004F681E">
        <w:rPr>
          <w:rFonts w:ascii="Arial" w:hAnsi="Arial" w:cs="Arial"/>
          <w:lang w:val="es-CO"/>
        </w:rPr>
        <w:t>Sobre el particular, se encuentra acreditado en la pres</w:t>
      </w:r>
      <w:r w:rsidR="00A87986" w:rsidRPr="004F681E">
        <w:rPr>
          <w:rFonts w:ascii="Arial" w:hAnsi="Arial" w:cs="Arial"/>
          <w:lang w:val="es-CO"/>
        </w:rPr>
        <w:t>ente causa que como resultado</w:t>
      </w:r>
      <w:r w:rsidRPr="004F681E">
        <w:rPr>
          <w:rFonts w:ascii="Arial" w:hAnsi="Arial" w:cs="Arial"/>
          <w:lang w:val="es-CO"/>
        </w:rPr>
        <w:t xml:space="preserve"> de lo dispuesto en la Resolución No.</w:t>
      </w:r>
      <w:r w:rsidRPr="004F681E">
        <w:rPr>
          <w:rFonts w:ascii="Arial" w:hAnsi="Arial" w:cs="Arial"/>
        </w:rPr>
        <w:t xml:space="preserve"> </w:t>
      </w:r>
      <w:r w:rsidRPr="004F681E">
        <w:rPr>
          <w:rFonts w:ascii="Arial" w:hAnsi="Arial" w:cs="Arial"/>
          <w:lang w:val="es-CO"/>
        </w:rPr>
        <w:t>327 del 23 de julio de 2010</w:t>
      </w:r>
      <w:r w:rsidR="00A87986" w:rsidRPr="004F681E">
        <w:rPr>
          <w:rFonts w:ascii="Arial" w:hAnsi="Arial" w:cs="Arial"/>
          <w:lang w:val="es-CO"/>
        </w:rPr>
        <w:t>, el</w:t>
      </w:r>
      <w:r w:rsidR="00F40A72" w:rsidRPr="004F681E">
        <w:rPr>
          <w:rFonts w:ascii="Arial" w:hAnsi="Arial" w:cs="Arial"/>
          <w:lang w:val="es-CO"/>
        </w:rPr>
        <w:t xml:space="preserve"> 20 de agosto</w:t>
      </w:r>
      <w:r w:rsidR="00A87986" w:rsidRPr="004F681E">
        <w:rPr>
          <w:rFonts w:ascii="Arial" w:hAnsi="Arial" w:cs="Arial"/>
          <w:lang w:val="es-CO"/>
        </w:rPr>
        <w:t xml:space="preserve"> siguiente </w:t>
      </w:r>
      <w:r w:rsidR="00F40A72" w:rsidRPr="004F681E">
        <w:rPr>
          <w:rFonts w:ascii="Arial" w:hAnsi="Arial" w:cs="Arial"/>
          <w:lang w:val="es-CO"/>
        </w:rPr>
        <w:t>el IDRD informó al concesiona</w:t>
      </w:r>
      <w:r w:rsidR="00A87986" w:rsidRPr="004F681E">
        <w:rPr>
          <w:rFonts w:ascii="Arial" w:hAnsi="Arial" w:cs="Arial"/>
          <w:lang w:val="es-CO"/>
        </w:rPr>
        <w:t>rio que la entrega formal de la</w:t>
      </w:r>
      <w:r w:rsidR="00F40A72" w:rsidRPr="004F681E">
        <w:rPr>
          <w:rFonts w:ascii="Arial" w:hAnsi="Arial" w:cs="Arial"/>
          <w:lang w:val="es-CO"/>
        </w:rPr>
        <w:t xml:space="preserve"> </w:t>
      </w:r>
      <w:r w:rsidR="00A87986" w:rsidRPr="004F681E">
        <w:rPr>
          <w:rFonts w:ascii="Arial" w:hAnsi="Arial" w:cs="Arial"/>
          <w:lang w:val="es-CO"/>
        </w:rPr>
        <w:t>pantalla</w:t>
      </w:r>
      <w:r w:rsidR="00F40A72" w:rsidRPr="004F681E">
        <w:rPr>
          <w:rFonts w:ascii="Arial" w:hAnsi="Arial" w:cs="Arial"/>
          <w:lang w:val="es-CO"/>
        </w:rPr>
        <w:t xml:space="preserve"> para proceder a su traslado se llevaría a cabo el lunes 23 de agosto de 2010</w:t>
      </w:r>
      <w:r w:rsidR="00F40A72" w:rsidRPr="004F681E">
        <w:rPr>
          <w:rStyle w:val="Refdenotaalpie"/>
          <w:rFonts w:ascii="Arial" w:hAnsi="Arial" w:cs="Arial"/>
          <w:lang w:val="es-CO"/>
        </w:rPr>
        <w:footnoteReference w:id="26"/>
      </w:r>
      <w:r w:rsidR="00F40A72" w:rsidRPr="004F681E">
        <w:rPr>
          <w:rFonts w:ascii="Arial" w:hAnsi="Arial" w:cs="Arial"/>
          <w:lang w:val="es-CO"/>
        </w:rPr>
        <w:t xml:space="preserve">. </w:t>
      </w:r>
      <w:r w:rsidR="00A87986" w:rsidRPr="004F681E">
        <w:rPr>
          <w:rFonts w:ascii="Arial" w:hAnsi="Arial" w:cs="Arial"/>
          <w:lang w:val="es-CO"/>
        </w:rPr>
        <w:t xml:space="preserve">Frente a lo anterior, </w:t>
      </w:r>
      <w:r w:rsidR="00F40A72" w:rsidRPr="004F681E">
        <w:rPr>
          <w:rFonts w:ascii="Arial" w:hAnsi="Arial" w:cs="Arial"/>
          <w:lang w:val="es-CO"/>
        </w:rPr>
        <w:t>el concesionario manifestó que el IDRD era el responsable</w:t>
      </w:r>
      <w:r w:rsidR="00A87986" w:rsidRPr="004F681E">
        <w:rPr>
          <w:rFonts w:ascii="Arial" w:hAnsi="Arial" w:cs="Arial"/>
          <w:lang w:val="es-CO"/>
        </w:rPr>
        <w:t>,</w:t>
      </w:r>
      <w:r w:rsidR="00F40A72" w:rsidRPr="004F681E">
        <w:rPr>
          <w:rFonts w:ascii="Arial" w:hAnsi="Arial" w:cs="Arial"/>
          <w:lang w:val="es-CO"/>
        </w:rPr>
        <w:t xml:space="preserve"> </w:t>
      </w:r>
      <w:r w:rsidR="00A87986" w:rsidRPr="004F681E">
        <w:rPr>
          <w:rFonts w:ascii="Arial" w:hAnsi="Arial" w:cs="Arial"/>
          <w:lang w:val="es-CO"/>
        </w:rPr>
        <w:t xml:space="preserve">por su cuenta y riesgo, </w:t>
      </w:r>
      <w:r w:rsidR="00F40A72" w:rsidRPr="004F681E">
        <w:rPr>
          <w:rFonts w:ascii="Arial" w:hAnsi="Arial" w:cs="Arial"/>
          <w:lang w:val="es-CO"/>
        </w:rPr>
        <w:t xml:space="preserve">del desmonte y traslado de la pantalla externa del Estadio el </w:t>
      </w:r>
      <w:r w:rsidR="009870ED" w:rsidRPr="004F681E">
        <w:rPr>
          <w:rFonts w:ascii="Arial" w:hAnsi="Arial" w:cs="Arial"/>
          <w:lang w:val="es-CO"/>
        </w:rPr>
        <w:t>Campín</w:t>
      </w:r>
      <w:r w:rsidR="00F40A72" w:rsidRPr="004F681E">
        <w:rPr>
          <w:rFonts w:ascii="Arial" w:hAnsi="Arial" w:cs="Arial"/>
          <w:lang w:val="es-CO"/>
        </w:rPr>
        <w:t xml:space="preserve"> y de entregarla en perfecto </w:t>
      </w:r>
      <w:r w:rsidR="003F4AE7" w:rsidRPr="004F681E">
        <w:rPr>
          <w:rFonts w:ascii="Arial" w:hAnsi="Arial" w:cs="Arial"/>
          <w:lang w:val="es-CO"/>
        </w:rPr>
        <w:t xml:space="preserve">estado de </w:t>
      </w:r>
      <w:r w:rsidR="00F40A72" w:rsidRPr="004F681E">
        <w:rPr>
          <w:rFonts w:ascii="Arial" w:hAnsi="Arial" w:cs="Arial"/>
          <w:lang w:val="es-CO"/>
        </w:rPr>
        <w:t>funcionamiento a Publiestadios</w:t>
      </w:r>
      <w:r w:rsidR="00F40A72" w:rsidRPr="004F681E">
        <w:rPr>
          <w:rStyle w:val="Refdenotaalpie"/>
          <w:rFonts w:ascii="Arial" w:hAnsi="Arial" w:cs="Arial"/>
          <w:lang w:val="es-CO"/>
        </w:rPr>
        <w:footnoteReference w:id="27"/>
      </w:r>
      <w:r w:rsidR="00F40A72" w:rsidRPr="004F681E">
        <w:rPr>
          <w:rFonts w:ascii="Arial" w:hAnsi="Arial" w:cs="Arial"/>
          <w:lang w:val="es-CO"/>
        </w:rPr>
        <w:t xml:space="preserve">. </w:t>
      </w:r>
    </w:p>
    <w:p w:rsidR="00A87986" w:rsidRPr="004F681E" w:rsidRDefault="00A87986"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28 de septiembre de 2010</w:t>
      </w:r>
      <w:r w:rsidR="004A6938" w:rsidRPr="004F681E">
        <w:rPr>
          <w:rFonts w:ascii="Arial" w:hAnsi="Arial" w:cs="Arial"/>
          <w:lang w:val="es-CO"/>
        </w:rPr>
        <w:t>,</w:t>
      </w:r>
      <w:r w:rsidRPr="004F681E">
        <w:rPr>
          <w:rFonts w:ascii="Arial" w:hAnsi="Arial" w:cs="Arial"/>
          <w:lang w:val="es-CO"/>
        </w:rPr>
        <w:t xml:space="preserve"> la unión temporal Publiestadios realizó la entrega de la pantalla exterior del Estadio Nemesio Camacho El </w:t>
      </w:r>
      <w:r w:rsidR="009870ED" w:rsidRPr="004F681E">
        <w:rPr>
          <w:rFonts w:ascii="Arial" w:hAnsi="Arial" w:cs="Arial"/>
          <w:lang w:val="es-CO"/>
        </w:rPr>
        <w:t>Campín</w:t>
      </w:r>
      <w:r w:rsidRPr="004F681E">
        <w:rPr>
          <w:rFonts w:ascii="Arial" w:hAnsi="Arial" w:cs="Arial"/>
          <w:lang w:val="es-CO"/>
        </w:rPr>
        <w:t xml:space="preserve"> con sus respectivos equipos y accesorios</w:t>
      </w:r>
      <w:r w:rsidR="00B83DD2" w:rsidRPr="004F681E">
        <w:rPr>
          <w:rFonts w:ascii="Arial" w:hAnsi="Arial" w:cs="Arial"/>
          <w:lang w:val="es-CO"/>
        </w:rPr>
        <w:t xml:space="preserve"> al IDRD</w:t>
      </w:r>
      <w:r w:rsidRPr="004F681E">
        <w:rPr>
          <w:rFonts w:ascii="Arial" w:hAnsi="Arial" w:cs="Arial"/>
          <w:lang w:val="es-CO"/>
        </w:rPr>
        <w:t>. En esa oportunidad se dejó constancia de que la pantalla se recib</w:t>
      </w:r>
      <w:r w:rsidR="00B83DD2" w:rsidRPr="004F681E">
        <w:rPr>
          <w:rFonts w:ascii="Arial" w:hAnsi="Arial" w:cs="Arial"/>
          <w:lang w:val="es-CO"/>
        </w:rPr>
        <w:t>ía en buen estado y funciona</w:t>
      </w:r>
      <w:r w:rsidR="004D4507" w:rsidRPr="004F681E">
        <w:rPr>
          <w:rFonts w:ascii="Arial" w:hAnsi="Arial" w:cs="Arial"/>
          <w:lang w:val="es-CO"/>
        </w:rPr>
        <w:t>n</w:t>
      </w:r>
      <w:r w:rsidR="00B83DD2" w:rsidRPr="004F681E">
        <w:rPr>
          <w:rFonts w:ascii="Arial" w:hAnsi="Arial" w:cs="Arial"/>
          <w:lang w:val="es-CO"/>
        </w:rPr>
        <w:t>do, a la par con lo cual</w:t>
      </w:r>
      <w:r w:rsidR="004D4507" w:rsidRPr="004F681E">
        <w:rPr>
          <w:rFonts w:ascii="Arial" w:hAnsi="Arial" w:cs="Arial"/>
          <w:lang w:val="es-CO"/>
        </w:rPr>
        <w:t xml:space="preserve"> se registró</w:t>
      </w:r>
      <w:r w:rsidRPr="004F681E">
        <w:rPr>
          <w:rFonts w:ascii="Arial" w:hAnsi="Arial" w:cs="Arial"/>
          <w:lang w:val="es-CO"/>
        </w:rPr>
        <w:t xml:space="preserve"> que el contratista del IDRD, </w:t>
      </w:r>
      <w:r w:rsidR="00B83DD2" w:rsidRPr="004F681E">
        <w:rPr>
          <w:rFonts w:ascii="Arial" w:hAnsi="Arial" w:cs="Arial"/>
          <w:lang w:val="es-CO"/>
        </w:rPr>
        <w:t xml:space="preserve">sociedad </w:t>
      </w:r>
      <w:r w:rsidRPr="004F681E">
        <w:rPr>
          <w:rFonts w:ascii="Arial" w:hAnsi="Arial" w:cs="Arial"/>
          <w:lang w:val="es-CO"/>
        </w:rPr>
        <w:t>Traing Ltda., encargado de las obras de desmonte y montaje, la entregaría en su nueva ubicación con todos los equipos instalados y funcionando en óptimas condiciones</w:t>
      </w:r>
      <w:r w:rsidR="004A6938" w:rsidRPr="004F681E">
        <w:rPr>
          <w:rFonts w:ascii="Arial" w:hAnsi="Arial" w:cs="Arial"/>
          <w:lang w:val="es-CO"/>
        </w:rPr>
        <w:t>,</w:t>
      </w:r>
      <w:r w:rsidRPr="004F681E">
        <w:rPr>
          <w:rFonts w:ascii="Arial" w:hAnsi="Arial" w:cs="Arial"/>
          <w:lang w:val="es-CO"/>
        </w:rPr>
        <w:t xml:space="preserve"> como había sido recibida</w:t>
      </w:r>
      <w:r w:rsidRPr="004F681E">
        <w:rPr>
          <w:rStyle w:val="Refdenotaalpie"/>
          <w:rFonts w:ascii="Arial" w:hAnsi="Arial" w:cs="Arial"/>
          <w:lang w:val="es-CO"/>
        </w:rPr>
        <w:footnoteReference w:id="28"/>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B83DD2" w:rsidP="00F40A72">
      <w:pPr>
        <w:spacing w:line="360" w:lineRule="auto"/>
        <w:jc w:val="both"/>
        <w:rPr>
          <w:rFonts w:ascii="Arial" w:hAnsi="Arial" w:cs="Arial"/>
          <w:lang w:val="es-CO"/>
        </w:rPr>
      </w:pPr>
      <w:r w:rsidRPr="004F681E">
        <w:rPr>
          <w:rFonts w:ascii="Arial" w:hAnsi="Arial" w:cs="Arial"/>
          <w:lang w:val="es-CO"/>
        </w:rPr>
        <w:t>Posteriormente, e</w:t>
      </w:r>
      <w:r w:rsidR="00F40A72" w:rsidRPr="004F681E">
        <w:rPr>
          <w:rFonts w:ascii="Arial" w:hAnsi="Arial" w:cs="Arial"/>
          <w:lang w:val="es-CO"/>
        </w:rPr>
        <w:t>l 5 de noviembre de 2010</w:t>
      </w:r>
      <w:r w:rsidR="004A6938" w:rsidRPr="004F681E">
        <w:rPr>
          <w:rFonts w:ascii="Arial" w:hAnsi="Arial" w:cs="Arial"/>
          <w:lang w:val="es-CO"/>
        </w:rPr>
        <w:t>,</w:t>
      </w:r>
      <w:r w:rsidR="00F40A72" w:rsidRPr="004F681E">
        <w:rPr>
          <w:rFonts w:ascii="Arial" w:hAnsi="Arial" w:cs="Arial"/>
          <w:lang w:val="es-CO"/>
        </w:rPr>
        <w:t xml:space="preserve"> el IDRD manifestó a la unión temporal que</w:t>
      </w:r>
      <w:r w:rsidRPr="004F681E">
        <w:rPr>
          <w:rFonts w:ascii="Arial" w:hAnsi="Arial" w:cs="Arial"/>
          <w:lang w:val="es-CO"/>
        </w:rPr>
        <w:t>,</w:t>
      </w:r>
      <w:r w:rsidR="00F40A72" w:rsidRPr="004F681E">
        <w:rPr>
          <w:rFonts w:ascii="Arial" w:hAnsi="Arial" w:cs="Arial"/>
          <w:lang w:val="es-CO"/>
        </w:rPr>
        <w:t xml:space="preserve"> una vez terminados los trabajos de traslado, adecuación y puesta en funcionamiento de la pantalla</w:t>
      </w:r>
      <w:r w:rsidRPr="004F681E">
        <w:rPr>
          <w:rFonts w:ascii="Arial" w:hAnsi="Arial" w:cs="Arial"/>
          <w:lang w:val="es-CO"/>
        </w:rPr>
        <w:t>,</w:t>
      </w:r>
      <w:r w:rsidR="00F40A72" w:rsidRPr="004F681E">
        <w:rPr>
          <w:rFonts w:ascii="Arial" w:hAnsi="Arial" w:cs="Arial"/>
          <w:lang w:val="es-CO"/>
        </w:rPr>
        <w:t xml:space="preserve"> analizarían su solicitud de reconocimiento de lucro cesante</w:t>
      </w:r>
      <w:r w:rsidR="00D35596" w:rsidRPr="004F681E">
        <w:rPr>
          <w:rFonts w:ascii="Arial" w:hAnsi="Arial" w:cs="Arial"/>
          <w:lang w:val="es-CO"/>
        </w:rPr>
        <w:t>,</w:t>
      </w:r>
      <w:r w:rsidR="00F40A72" w:rsidRPr="004F681E">
        <w:rPr>
          <w:rFonts w:ascii="Arial" w:hAnsi="Arial" w:cs="Arial"/>
          <w:lang w:val="es-CO"/>
        </w:rPr>
        <w:t xml:space="preserve"> </w:t>
      </w:r>
      <w:r w:rsidR="00D35596" w:rsidRPr="004F681E">
        <w:rPr>
          <w:rFonts w:ascii="Arial" w:hAnsi="Arial" w:cs="Arial"/>
          <w:lang w:val="es-CO"/>
        </w:rPr>
        <w:t>para lo cual se fundarían en los documentos que debía</w:t>
      </w:r>
      <w:r w:rsidR="00F40A72" w:rsidRPr="004F681E">
        <w:rPr>
          <w:rFonts w:ascii="Arial" w:hAnsi="Arial" w:cs="Arial"/>
          <w:lang w:val="es-CO"/>
        </w:rPr>
        <w:t xml:space="preserve"> aportar </w:t>
      </w:r>
      <w:r w:rsidR="00D35596" w:rsidRPr="004F681E">
        <w:rPr>
          <w:rFonts w:ascii="Arial" w:hAnsi="Arial" w:cs="Arial"/>
          <w:lang w:val="es-CO"/>
        </w:rPr>
        <w:t xml:space="preserve">el concesionario </w:t>
      </w:r>
      <w:r w:rsidR="00F40A72" w:rsidRPr="004F681E">
        <w:rPr>
          <w:rFonts w:ascii="Arial" w:hAnsi="Arial" w:cs="Arial"/>
          <w:lang w:val="es-CO"/>
        </w:rPr>
        <w:t xml:space="preserve">para demostrar las sumas que dejó de percibir durante la suspensión </w:t>
      </w:r>
      <w:r w:rsidR="00F40A72" w:rsidRPr="004F681E">
        <w:rPr>
          <w:rFonts w:ascii="Arial" w:hAnsi="Arial" w:cs="Arial"/>
          <w:lang w:val="es-CO"/>
        </w:rPr>
        <w:lastRenderedPageBreak/>
        <w:t>del servicio de pantalla. Así mismo, le solicitó adjuntar copias de los contratos que se encontraban en ejecución por el servicio de pantalla, estudios financieros y declaración de renta</w:t>
      </w:r>
      <w:r w:rsidRPr="004F681E">
        <w:rPr>
          <w:rFonts w:ascii="Arial" w:hAnsi="Arial" w:cs="Arial"/>
          <w:lang w:val="es-CO"/>
        </w:rPr>
        <w:t>, los cuales hasta ese</w:t>
      </w:r>
      <w:r w:rsidR="00F40A72" w:rsidRPr="004F681E">
        <w:rPr>
          <w:rFonts w:ascii="Arial" w:hAnsi="Arial" w:cs="Arial"/>
          <w:lang w:val="es-CO"/>
        </w:rPr>
        <w:t xml:space="preserve"> momento no habían sido aportados. </w:t>
      </w:r>
    </w:p>
    <w:p w:rsidR="00F40A72" w:rsidRPr="004F681E" w:rsidRDefault="00F40A72" w:rsidP="00F40A72">
      <w:pPr>
        <w:spacing w:line="360" w:lineRule="auto"/>
        <w:jc w:val="both"/>
        <w:rPr>
          <w:rFonts w:ascii="Arial" w:hAnsi="Arial" w:cs="Arial"/>
          <w:lang w:val="es-CO"/>
        </w:rPr>
      </w:pPr>
    </w:p>
    <w:p w:rsidR="00F40A72" w:rsidRPr="004F681E" w:rsidRDefault="00B83DD2" w:rsidP="00F40A72">
      <w:pPr>
        <w:spacing w:line="360" w:lineRule="auto"/>
        <w:jc w:val="both"/>
        <w:rPr>
          <w:rFonts w:ascii="Arial" w:hAnsi="Arial" w:cs="Arial"/>
          <w:lang w:val="es-CO"/>
        </w:rPr>
      </w:pPr>
      <w:r w:rsidRPr="004F681E">
        <w:rPr>
          <w:rFonts w:ascii="Arial" w:hAnsi="Arial" w:cs="Arial"/>
          <w:lang w:val="es-CO"/>
        </w:rPr>
        <w:t>Señaló</w:t>
      </w:r>
      <w:r w:rsidR="004A6938" w:rsidRPr="004F681E">
        <w:rPr>
          <w:rFonts w:ascii="Arial" w:hAnsi="Arial" w:cs="Arial"/>
          <w:lang w:val="es-CO"/>
        </w:rPr>
        <w:t>,</w:t>
      </w:r>
      <w:r w:rsidR="00F40A72" w:rsidRPr="004F681E">
        <w:rPr>
          <w:rFonts w:ascii="Arial" w:hAnsi="Arial" w:cs="Arial"/>
          <w:lang w:val="es-CO"/>
        </w:rPr>
        <w:t xml:space="preserve"> además</w:t>
      </w:r>
      <w:r w:rsidR="004A6938" w:rsidRPr="004F681E">
        <w:rPr>
          <w:rFonts w:ascii="Arial" w:hAnsi="Arial" w:cs="Arial"/>
          <w:lang w:val="es-CO"/>
        </w:rPr>
        <w:t>,</w:t>
      </w:r>
      <w:r w:rsidR="00F40A72" w:rsidRPr="004F681E">
        <w:rPr>
          <w:rFonts w:ascii="Arial" w:hAnsi="Arial" w:cs="Arial"/>
          <w:lang w:val="es-CO"/>
        </w:rPr>
        <w:t xml:space="preserve"> que el 5 de noviembre de 2010 el Instituto llevaría a cabo la entrega formal de la pantalla para que se reanudara la prestación del servicio</w:t>
      </w:r>
      <w:r w:rsidR="00F40A72" w:rsidRPr="004F681E">
        <w:rPr>
          <w:rStyle w:val="Refdenotaalpie"/>
          <w:rFonts w:ascii="Arial" w:hAnsi="Arial" w:cs="Arial"/>
          <w:lang w:val="es-CO"/>
        </w:rPr>
        <w:footnoteReference w:id="29"/>
      </w:r>
      <w:r w:rsidR="00F40A72"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12 de noviembre de 2010, el concesionario solicitó al Instituto que se agendara para el 17 de noviembre de 2010 la diligencia de inspección sobre los elementos y equipos entregados con el fin de verificar su estado y así determinar la procedencia de su recibo</w:t>
      </w:r>
      <w:r w:rsidRPr="004F681E">
        <w:rPr>
          <w:rStyle w:val="Refdenotaalpie"/>
          <w:rFonts w:ascii="Arial" w:hAnsi="Arial" w:cs="Arial"/>
          <w:lang w:val="es-CO"/>
        </w:rPr>
        <w:footnoteReference w:id="30"/>
      </w:r>
      <w:r w:rsidRPr="004F681E">
        <w:rPr>
          <w:rFonts w:ascii="Arial" w:hAnsi="Arial" w:cs="Arial"/>
          <w:lang w:val="es-CO"/>
        </w:rPr>
        <w:t xml:space="preserve">. </w:t>
      </w:r>
    </w:p>
    <w:p w:rsidR="008A3538" w:rsidRPr="004F681E" w:rsidRDefault="008A3538" w:rsidP="00F40A72">
      <w:pPr>
        <w:spacing w:line="360" w:lineRule="auto"/>
        <w:jc w:val="both"/>
        <w:rPr>
          <w:rFonts w:ascii="Arial" w:hAnsi="Arial" w:cs="Arial"/>
          <w:lang w:val="es-CO"/>
        </w:rPr>
      </w:pPr>
    </w:p>
    <w:p w:rsidR="00F40A72" w:rsidRPr="004F681E" w:rsidRDefault="00AE3347" w:rsidP="00F40A72">
      <w:pPr>
        <w:spacing w:line="360" w:lineRule="auto"/>
        <w:jc w:val="both"/>
        <w:rPr>
          <w:rFonts w:ascii="Arial" w:hAnsi="Arial" w:cs="Arial"/>
          <w:lang w:val="es-CO"/>
        </w:rPr>
      </w:pPr>
      <w:r w:rsidRPr="004F681E">
        <w:rPr>
          <w:rFonts w:ascii="Arial" w:hAnsi="Arial" w:cs="Arial"/>
          <w:lang w:val="es-CO"/>
        </w:rPr>
        <w:t>Como consecuencia de la solicitud elevada por el concesionario, el 17 de noviembre de 2010</w:t>
      </w:r>
      <w:r w:rsidR="004A6938" w:rsidRPr="004F681E">
        <w:rPr>
          <w:rFonts w:ascii="Arial" w:hAnsi="Arial" w:cs="Arial"/>
          <w:lang w:val="es-CO"/>
        </w:rPr>
        <w:t>,</w:t>
      </w:r>
      <w:r w:rsidR="00F40A72" w:rsidRPr="004F681E">
        <w:rPr>
          <w:rFonts w:ascii="Arial" w:hAnsi="Arial" w:cs="Arial"/>
          <w:lang w:val="es-CO"/>
        </w:rPr>
        <w:t xml:space="preserve"> se llevó a cabo una reunión entre las partes</w:t>
      </w:r>
      <w:r w:rsidR="004A6938" w:rsidRPr="004F681E">
        <w:rPr>
          <w:rFonts w:ascii="Arial" w:hAnsi="Arial" w:cs="Arial"/>
          <w:lang w:val="es-CO"/>
        </w:rPr>
        <w:t>,</w:t>
      </w:r>
      <w:r w:rsidR="00F40A72" w:rsidRPr="004F681E">
        <w:rPr>
          <w:rFonts w:ascii="Arial" w:hAnsi="Arial" w:cs="Arial"/>
          <w:lang w:val="es-CO"/>
        </w:rPr>
        <w:t xml:space="preserve"> con el objeto de que la UT Publiestadios inspeccionara </w:t>
      </w:r>
      <w:r w:rsidRPr="004F681E">
        <w:rPr>
          <w:rFonts w:ascii="Arial" w:hAnsi="Arial" w:cs="Arial"/>
          <w:lang w:val="es-CO"/>
        </w:rPr>
        <w:t>las obras de reubi</w:t>
      </w:r>
      <w:r w:rsidR="00D35596" w:rsidRPr="004F681E">
        <w:rPr>
          <w:rFonts w:ascii="Arial" w:hAnsi="Arial" w:cs="Arial"/>
          <w:lang w:val="es-CO"/>
        </w:rPr>
        <w:t>cación de la pantalla</w:t>
      </w:r>
      <w:r w:rsidR="004A6938" w:rsidRPr="004F681E">
        <w:rPr>
          <w:rFonts w:ascii="Arial" w:hAnsi="Arial" w:cs="Arial"/>
          <w:lang w:val="es-CO"/>
        </w:rPr>
        <w:t>,</w:t>
      </w:r>
      <w:r w:rsidR="00D35596" w:rsidRPr="004F681E">
        <w:rPr>
          <w:rFonts w:ascii="Arial" w:hAnsi="Arial" w:cs="Arial"/>
          <w:lang w:val="es-CO"/>
        </w:rPr>
        <w:t xml:space="preserve"> relativas a</w:t>
      </w:r>
      <w:r w:rsidRPr="004F681E">
        <w:rPr>
          <w:rFonts w:ascii="Arial" w:hAnsi="Arial" w:cs="Arial"/>
          <w:lang w:val="es-CO"/>
        </w:rPr>
        <w:t xml:space="preserve"> su </w:t>
      </w:r>
      <w:r w:rsidR="00F40A72" w:rsidRPr="004F681E">
        <w:rPr>
          <w:rFonts w:ascii="Arial" w:hAnsi="Arial" w:cs="Arial"/>
          <w:lang w:val="es-CO"/>
        </w:rPr>
        <w:t xml:space="preserve">cimentación y </w:t>
      </w:r>
      <w:r w:rsidR="00D35596" w:rsidRPr="004F681E">
        <w:rPr>
          <w:rFonts w:ascii="Arial" w:hAnsi="Arial" w:cs="Arial"/>
          <w:lang w:val="es-CO"/>
        </w:rPr>
        <w:t xml:space="preserve">a </w:t>
      </w:r>
      <w:r w:rsidRPr="004F681E">
        <w:rPr>
          <w:rFonts w:ascii="Arial" w:hAnsi="Arial" w:cs="Arial"/>
          <w:lang w:val="es-CO"/>
        </w:rPr>
        <w:t xml:space="preserve">las </w:t>
      </w:r>
      <w:r w:rsidR="00F40A72" w:rsidRPr="004F681E">
        <w:rPr>
          <w:rFonts w:ascii="Arial" w:hAnsi="Arial" w:cs="Arial"/>
          <w:lang w:val="es-CO"/>
        </w:rPr>
        <w:t xml:space="preserve">obras civiles, </w:t>
      </w:r>
      <w:r w:rsidR="00D35596" w:rsidRPr="004F681E">
        <w:rPr>
          <w:rFonts w:ascii="Arial" w:hAnsi="Arial" w:cs="Arial"/>
          <w:lang w:val="es-CO"/>
        </w:rPr>
        <w:t>al</w:t>
      </w:r>
      <w:r w:rsidRPr="004F681E">
        <w:rPr>
          <w:rFonts w:ascii="Arial" w:hAnsi="Arial" w:cs="Arial"/>
          <w:lang w:val="es-CO"/>
        </w:rPr>
        <w:t xml:space="preserve"> </w:t>
      </w:r>
      <w:r w:rsidR="00F40A72" w:rsidRPr="004F681E">
        <w:rPr>
          <w:rFonts w:ascii="Arial" w:hAnsi="Arial" w:cs="Arial"/>
          <w:lang w:val="es-CO"/>
        </w:rPr>
        <w:t xml:space="preserve">sistema estructural de obra metalmecánica, </w:t>
      </w:r>
      <w:r w:rsidR="00D35596" w:rsidRPr="004F681E">
        <w:rPr>
          <w:rFonts w:ascii="Arial" w:hAnsi="Arial" w:cs="Arial"/>
          <w:lang w:val="es-CO"/>
        </w:rPr>
        <w:t>al</w:t>
      </w:r>
      <w:r w:rsidRPr="004F681E">
        <w:rPr>
          <w:rFonts w:ascii="Arial" w:hAnsi="Arial" w:cs="Arial"/>
          <w:lang w:val="es-CO"/>
        </w:rPr>
        <w:t xml:space="preserve"> </w:t>
      </w:r>
      <w:r w:rsidR="00F40A72" w:rsidRPr="004F681E">
        <w:rPr>
          <w:rFonts w:ascii="Arial" w:hAnsi="Arial" w:cs="Arial"/>
          <w:lang w:val="es-CO"/>
        </w:rPr>
        <w:t xml:space="preserve">sistema de anclaje de la pantalla hacia las columnas de fijación, </w:t>
      </w:r>
      <w:r w:rsidR="00D35596" w:rsidRPr="004F681E">
        <w:rPr>
          <w:rFonts w:ascii="Arial" w:hAnsi="Arial" w:cs="Arial"/>
          <w:lang w:val="es-CO"/>
        </w:rPr>
        <w:t xml:space="preserve">a </w:t>
      </w:r>
      <w:r w:rsidRPr="004F681E">
        <w:rPr>
          <w:rFonts w:ascii="Arial" w:hAnsi="Arial" w:cs="Arial"/>
          <w:lang w:val="es-CO"/>
        </w:rPr>
        <w:t xml:space="preserve">la </w:t>
      </w:r>
      <w:r w:rsidR="00F40A72" w:rsidRPr="004F681E">
        <w:rPr>
          <w:rFonts w:ascii="Arial" w:hAnsi="Arial" w:cs="Arial"/>
          <w:lang w:val="es-CO"/>
        </w:rPr>
        <w:t>alineación estructural y</w:t>
      </w:r>
      <w:r w:rsidR="00D35596" w:rsidRPr="004F681E">
        <w:rPr>
          <w:rFonts w:ascii="Arial" w:hAnsi="Arial" w:cs="Arial"/>
          <w:lang w:val="es-CO"/>
        </w:rPr>
        <w:t xml:space="preserve"> a</w:t>
      </w:r>
      <w:r w:rsidR="00F40A72" w:rsidRPr="004F681E">
        <w:rPr>
          <w:rFonts w:ascii="Arial" w:hAnsi="Arial" w:cs="Arial"/>
          <w:lang w:val="es-CO"/>
        </w:rPr>
        <w:t xml:space="preserve"> </w:t>
      </w:r>
      <w:r w:rsidRPr="004F681E">
        <w:rPr>
          <w:rFonts w:ascii="Arial" w:hAnsi="Arial" w:cs="Arial"/>
          <w:lang w:val="es-CO"/>
        </w:rPr>
        <w:t xml:space="preserve">los </w:t>
      </w:r>
      <w:r w:rsidR="00F40A72" w:rsidRPr="004F681E">
        <w:rPr>
          <w:rFonts w:ascii="Arial" w:hAnsi="Arial" w:cs="Arial"/>
          <w:lang w:val="es-CO"/>
        </w:rPr>
        <w:t xml:space="preserve">módulos, </w:t>
      </w:r>
      <w:r w:rsidR="00D35596" w:rsidRPr="004F681E">
        <w:rPr>
          <w:rFonts w:ascii="Arial" w:hAnsi="Arial" w:cs="Arial"/>
          <w:lang w:val="es-CO"/>
        </w:rPr>
        <w:t>a</w:t>
      </w:r>
      <w:r w:rsidRPr="004F681E">
        <w:rPr>
          <w:rFonts w:ascii="Arial" w:hAnsi="Arial" w:cs="Arial"/>
          <w:lang w:val="es-CO"/>
        </w:rPr>
        <w:t xml:space="preserve">l </w:t>
      </w:r>
      <w:r w:rsidR="00F40A72" w:rsidRPr="004F681E">
        <w:rPr>
          <w:rFonts w:ascii="Arial" w:hAnsi="Arial" w:cs="Arial"/>
          <w:lang w:val="es-CO"/>
        </w:rPr>
        <w:t>sistema de seguridad para el ingreso y trabajo en sitio,</w:t>
      </w:r>
      <w:r w:rsidRPr="004F681E">
        <w:rPr>
          <w:rFonts w:ascii="Arial" w:hAnsi="Arial" w:cs="Arial"/>
          <w:lang w:val="es-CO"/>
        </w:rPr>
        <w:t xml:space="preserve"> </w:t>
      </w:r>
      <w:r w:rsidR="00D35596" w:rsidRPr="004F681E">
        <w:rPr>
          <w:rFonts w:ascii="Arial" w:hAnsi="Arial" w:cs="Arial"/>
          <w:lang w:val="es-CO"/>
        </w:rPr>
        <w:t xml:space="preserve">a </w:t>
      </w:r>
      <w:r w:rsidRPr="004F681E">
        <w:rPr>
          <w:rFonts w:ascii="Arial" w:hAnsi="Arial" w:cs="Arial"/>
          <w:lang w:val="es-CO"/>
        </w:rPr>
        <w:t>la</w:t>
      </w:r>
      <w:r w:rsidR="00F40A72" w:rsidRPr="004F681E">
        <w:rPr>
          <w:rFonts w:ascii="Arial" w:hAnsi="Arial" w:cs="Arial"/>
          <w:lang w:val="es-CO"/>
        </w:rPr>
        <w:t xml:space="preserve"> nivelación horizontal y vertical, </w:t>
      </w:r>
      <w:r w:rsidR="00D35596" w:rsidRPr="004F681E">
        <w:rPr>
          <w:rFonts w:ascii="Arial" w:hAnsi="Arial" w:cs="Arial"/>
          <w:lang w:val="es-CO"/>
        </w:rPr>
        <w:t xml:space="preserve">a </w:t>
      </w:r>
      <w:r w:rsidR="00D67282" w:rsidRPr="004F681E">
        <w:rPr>
          <w:rFonts w:ascii="Arial" w:hAnsi="Arial" w:cs="Arial"/>
          <w:lang w:val="es-CO"/>
        </w:rPr>
        <w:t xml:space="preserve">la </w:t>
      </w:r>
      <w:r w:rsidR="00F40A72" w:rsidRPr="004F681E">
        <w:rPr>
          <w:rFonts w:ascii="Arial" w:hAnsi="Arial" w:cs="Arial"/>
          <w:lang w:val="es-CO"/>
        </w:rPr>
        <w:t xml:space="preserve">verificación de </w:t>
      </w:r>
      <w:r w:rsidR="00D67282" w:rsidRPr="004F681E">
        <w:rPr>
          <w:rFonts w:ascii="Arial" w:hAnsi="Arial" w:cs="Arial"/>
          <w:lang w:val="es-CO"/>
        </w:rPr>
        <w:t xml:space="preserve">la </w:t>
      </w:r>
      <w:r w:rsidR="00F40A72" w:rsidRPr="004F681E">
        <w:rPr>
          <w:rFonts w:ascii="Arial" w:hAnsi="Arial" w:cs="Arial"/>
          <w:lang w:val="es-CO"/>
        </w:rPr>
        <w:t>impermeabilización,</w:t>
      </w:r>
      <w:r w:rsidR="00D35596" w:rsidRPr="004F681E">
        <w:rPr>
          <w:rFonts w:ascii="Arial" w:hAnsi="Arial" w:cs="Arial"/>
          <w:lang w:val="es-CO"/>
        </w:rPr>
        <w:t xml:space="preserve"> a</w:t>
      </w:r>
      <w:r w:rsidR="00D67282" w:rsidRPr="004F681E">
        <w:rPr>
          <w:rFonts w:ascii="Arial" w:hAnsi="Arial" w:cs="Arial"/>
          <w:lang w:val="es-CO"/>
        </w:rPr>
        <w:t>l</w:t>
      </w:r>
      <w:r w:rsidR="00F40A72" w:rsidRPr="004F681E">
        <w:rPr>
          <w:rFonts w:ascii="Arial" w:hAnsi="Arial" w:cs="Arial"/>
          <w:lang w:val="es-CO"/>
        </w:rPr>
        <w:t xml:space="preserve"> sistema de fijació</w:t>
      </w:r>
      <w:r w:rsidR="00D67282" w:rsidRPr="004F681E">
        <w:rPr>
          <w:rFonts w:ascii="Arial" w:hAnsi="Arial" w:cs="Arial"/>
          <w:lang w:val="es-CO"/>
        </w:rPr>
        <w:t>n entre gabinetes estructurales</w:t>
      </w:r>
      <w:r w:rsidR="00D35596" w:rsidRPr="004F681E">
        <w:rPr>
          <w:rFonts w:ascii="Arial" w:hAnsi="Arial" w:cs="Arial"/>
          <w:lang w:val="es-CO"/>
        </w:rPr>
        <w:t xml:space="preserve"> y a</w:t>
      </w:r>
      <w:r w:rsidR="00D67282" w:rsidRPr="004F681E">
        <w:rPr>
          <w:rFonts w:ascii="Arial" w:hAnsi="Arial" w:cs="Arial"/>
          <w:lang w:val="es-CO"/>
        </w:rPr>
        <w:t>l</w:t>
      </w:r>
      <w:r w:rsidR="00F40A72" w:rsidRPr="004F681E">
        <w:rPr>
          <w:rFonts w:ascii="Arial" w:hAnsi="Arial" w:cs="Arial"/>
          <w:lang w:val="es-CO"/>
        </w:rPr>
        <w:t xml:space="preserve"> sistema de potencia. En esa ocasión se evidenciaron varias novedades que</w:t>
      </w:r>
      <w:r w:rsidR="00D67282" w:rsidRPr="004F681E">
        <w:rPr>
          <w:rFonts w:ascii="Arial" w:hAnsi="Arial" w:cs="Arial"/>
          <w:lang w:val="es-CO"/>
        </w:rPr>
        <w:t>, según se convino,</w:t>
      </w:r>
      <w:r w:rsidR="00F40A72" w:rsidRPr="004F681E">
        <w:rPr>
          <w:rFonts w:ascii="Arial" w:hAnsi="Arial" w:cs="Arial"/>
          <w:lang w:val="es-CO"/>
        </w:rPr>
        <w:t xml:space="preserve"> serían dadas a conocer </w:t>
      </w:r>
      <w:r w:rsidR="00D67282" w:rsidRPr="004F681E">
        <w:rPr>
          <w:rFonts w:ascii="Arial" w:hAnsi="Arial" w:cs="Arial"/>
          <w:lang w:val="es-CO"/>
        </w:rPr>
        <w:t xml:space="preserve">por </w:t>
      </w:r>
      <w:r w:rsidR="00F40A72" w:rsidRPr="004F681E">
        <w:rPr>
          <w:rFonts w:ascii="Arial" w:hAnsi="Arial" w:cs="Arial"/>
          <w:lang w:val="es-CO"/>
        </w:rPr>
        <w:t>Publiestadios en i</w:t>
      </w:r>
      <w:r w:rsidR="00D35596" w:rsidRPr="004F681E">
        <w:rPr>
          <w:rFonts w:ascii="Arial" w:hAnsi="Arial" w:cs="Arial"/>
          <w:lang w:val="es-CO"/>
        </w:rPr>
        <w:t>nforme de ingenie</w:t>
      </w:r>
      <w:r w:rsidR="00D67282" w:rsidRPr="004F681E">
        <w:rPr>
          <w:rFonts w:ascii="Arial" w:hAnsi="Arial" w:cs="Arial"/>
          <w:lang w:val="es-CO"/>
        </w:rPr>
        <w:t>ría presentado</w:t>
      </w:r>
      <w:r w:rsidR="00F40A72" w:rsidRPr="004F681E">
        <w:rPr>
          <w:rFonts w:ascii="Arial" w:hAnsi="Arial" w:cs="Arial"/>
          <w:lang w:val="es-CO"/>
        </w:rPr>
        <w:t xml:space="preserve"> dentro de los tres días siguientes</w:t>
      </w:r>
      <w:r w:rsidR="00F40A72" w:rsidRPr="004F681E">
        <w:rPr>
          <w:rStyle w:val="Refdenotaalpie"/>
          <w:rFonts w:ascii="Arial" w:hAnsi="Arial" w:cs="Arial"/>
          <w:lang w:val="es-CO"/>
        </w:rPr>
        <w:footnoteReference w:id="31"/>
      </w:r>
      <w:r w:rsidR="00F40A72"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En esa misma fecha, la firma Prodigy Company se refirió a las observaciones presentadas por el concesionario en relación con el estado de deterioro de la pantalla</w:t>
      </w:r>
      <w:r w:rsidR="004A6938" w:rsidRPr="004F681E">
        <w:rPr>
          <w:rFonts w:ascii="Arial" w:hAnsi="Arial" w:cs="Arial"/>
          <w:lang w:val="es-CO"/>
        </w:rPr>
        <w:t xml:space="preserve"> e indicó que cuando fue recibida</w:t>
      </w:r>
      <w:r w:rsidRPr="004F681E">
        <w:rPr>
          <w:rFonts w:ascii="Arial" w:hAnsi="Arial" w:cs="Arial"/>
          <w:lang w:val="es-CO"/>
        </w:rPr>
        <w:t xml:space="preserve"> por el IDRD la misma ya contaba con oxidación natural y advirtió que la pantalla podía funcionar perfectamente en las condiciones en que se instaló</w:t>
      </w:r>
      <w:r w:rsidRPr="004F681E">
        <w:rPr>
          <w:rStyle w:val="Refdenotaalpie"/>
          <w:rFonts w:ascii="Arial" w:hAnsi="Arial" w:cs="Arial"/>
          <w:lang w:val="es-CO"/>
        </w:rPr>
        <w:footnoteReference w:id="32"/>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D43C4" w:rsidP="00F40A72">
      <w:pPr>
        <w:spacing w:line="360" w:lineRule="auto"/>
        <w:jc w:val="both"/>
        <w:rPr>
          <w:rFonts w:ascii="Arial" w:hAnsi="Arial" w:cs="Arial"/>
          <w:lang w:val="es-CO"/>
        </w:rPr>
      </w:pPr>
      <w:r w:rsidRPr="004F681E">
        <w:rPr>
          <w:rFonts w:ascii="Arial" w:hAnsi="Arial" w:cs="Arial"/>
          <w:lang w:val="es-CO"/>
        </w:rPr>
        <w:t>Luego, e</w:t>
      </w:r>
      <w:r w:rsidR="00F40A72" w:rsidRPr="004F681E">
        <w:rPr>
          <w:rFonts w:ascii="Arial" w:hAnsi="Arial" w:cs="Arial"/>
          <w:lang w:val="es-CO"/>
        </w:rPr>
        <w:t>l 23 de noviembre de 2010</w:t>
      </w:r>
      <w:r w:rsidR="004A6938" w:rsidRPr="004F681E">
        <w:rPr>
          <w:rFonts w:ascii="Arial" w:hAnsi="Arial" w:cs="Arial"/>
          <w:lang w:val="es-CO"/>
        </w:rPr>
        <w:t>,</w:t>
      </w:r>
      <w:r w:rsidR="00F40A72" w:rsidRPr="004F681E">
        <w:rPr>
          <w:rFonts w:ascii="Arial" w:hAnsi="Arial" w:cs="Arial"/>
          <w:lang w:val="es-CO"/>
        </w:rPr>
        <w:t xml:space="preserve"> el contratista Publiestadios presentó un informe ante el Instituto en el cual puso de </w:t>
      </w:r>
      <w:r w:rsidR="00D35596" w:rsidRPr="004F681E">
        <w:rPr>
          <w:rFonts w:ascii="Arial" w:hAnsi="Arial" w:cs="Arial"/>
          <w:lang w:val="es-CO"/>
        </w:rPr>
        <w:t xml:space="preserve">presente </w:t>
      </w:r>
      <w:r w:rsidR="00594B23" w:rsidRPr="004F681E">
        <w:rPr>
          <w:rFonts w:ascii="Arial" w:hAnsi="Arial" w:cs="Arial"/>
          <w:lang w:val="es-CO"/>
        </w:rPr>
        <w:t xml:space="preserve">las </w:t>
      </w:r>
      <w:r w:rsidR="00563F72" w:rsidRPr="004F681E">
        <w:rPr>
          <w:rFonts w:ascii="Arial" w:hAnsi="Arial" w:cs="Arial"/>
          <w:lang w:val="es-CO"/>
        </w:rPr>
        <w:t>inconformidades en</w:t>
      </w:r>
      <w:r w:rsidR="00594B23" w:rsidRPr="004F681E">
        <w:rPr>
          <w:rFonts w:ascii="Arial" w:hAnsi="Arial" w:cs="Arial"/>
          <w:lang w:val="es-CO"/>
        </w:rPr>
        <w:t xml:space="preserve"> torno a los hallazgos de</w:t>
      </w:r>
      <w:r w:rsidR="00F40A72" w:rsidRPr="004F681E">
        <w:rPr>
          <w:rFonts w:ascii="Arial" w:hAnsi="Arial" w:cs="Arial"/>
          <w:lang w:val="es-CO"/>
        </w:rPr>
        <w:t xml:space="preserve"> la pantalla y </w:t>
      </w:r>
      <w:r w:rsidR="00D35596" w:rsidRPr="004F681E">
        <w:rPr>
          <w:rFonts w:ascii="Arial" w:hAnsi="Arial" w:cs="Arial"/>
          <w:lang w:val="es-CO"/>
        </w:rPr>
        <w:t xml:space="preserve">a </w:t>
      </w:r>
      <w:r w:rsidR="00F40A72" w:rsidRPr="004F681E">
        <w:rPr>
          <w:rFonts w:ascii="Arial" w:hAnsi="Arial" w:cs="Arial"/>
          <w:lang w:val="es-CO"/>
        </w:rPr>
        <w:t xml:space="preserve">las obras de </w:t>
      </w:r>
      <w:r w:rsidR="00D35596" w:rsidRPr="004F681E">
        <w:rPr>
          <w:rFonts w:ascii="Arial" w:hAnsi="Arial" w:cs="Arial"/>
          <w:lang w:val="es-CO"/>
        </w:rPr>
        <w:t>ingenie</w:t>
      </w:r>
      <w:r w:rsidR="00F40A72" w:rsidRPr="004F681E">
        <w:rPr>
          <w:rFonts w:ascii="Arial" w:hAnsi="Arial" w:cs="Arial"/>
          <w:lang w:val="es-CO"/>
        </w:rPr>
        <w:t>ría realizadas para su</w:t>
      </w:r>
      <w:r w:rsidR="00D35596" w:rsidRPr="004F681E">
        <w:rPr>
          <w:rFonts w:ascii="Arial" w:hAnsi="Arial" w:cs="Arial"/>
          <w:lang w:val="es-CO"/>
        </w:rPr>
        <w:t xml:space="preserve"> desmonte, montaje y conexión, concernientes a </w:t>
      </w:r>
      <w:r w:rsidR="00F40A72" w:rsidRPr="004F681E">
        <w:rPr>
          <w:rFonts w:ascii="Arial" w:hAnsi="Arial" w:cs="Arial"/>
          <w:lang w:val="es-CO"/>
        </w:rPr>
        <w:t xml:space="preserve">la seguridad industrial, </w:t>
      </w:r>
      <w:r w:rsidR="00D35596" w:rsidRPr="004F681E">
        <w:rPr>
          <w:rFonts w:ascii="Arial" w:hAnsi="Arial" w:cs="Arial"/>
          <w:lang w:val="es-CO"/>
        </w:rPr>
        <w:t xml:space="preserve">a </w:t>
      </w:r>
      <w:r w:rsidR="00F40A72" w:rsidRPr="004F681E">
        <w:rPr>
          <w:rFonts w:ascii="Arial" w:hAnsi="Arial" w:cs="Arial"/>
          <w:lang w:val="es-CO"/>
        </w:rPr>
        <w:t xml:space="preserve">las obras </w:t>
      </w:r>
      <w:r w:rsidR="00F40A72" w:rsidRPr="004F681E">
        <w:rPr>
          <w:rFonts w:ascii="Arial" w:hAnsi="Arial" w:cs="Arial"/>
          <w:lang w:val="es-CO"/>
        </w:rPr>
        <w:lastRenderedPageBreak/>
        <w:t xml:space="preserve">estructurales y mecánicas, </w:t>
      </w:r>
      <w:r w:rsidR="00D35596" w:rsidRPr="004F681E">
        <w:rPr>
          <w:rFonts w:ascii="Arial" w:hAnsi="Arial" w:cs="Arial"/>
          <w:lang w:val="es-CO"/>
        </w:rPr>
        <w:t xml:space="preserve">a </w:t>
      </w:r>
      <w:r w:rsidR="00F40A72" w:rsidRPr="004F681E">
        <w:rPr>
          <w:rFonts w:ascii="Arial" w:hAnsi="Arial" w:cs="Arial"/>
          <w:lang w:val="es-CO"/>
        </w:rPr>
        <w:t xml:space="preserve">las acometidas eléctricas, </w:t>
      </w:r>
      <w:r w:rsidR="00D35596" w:rsidRPr="004F681E">
        <w:rPr>
          <w:rFonts w:ascii="Arial" w:hAnsi="Arial" w:cs="Arial"/>
          <w:lang w:val="es-CO"/>
        </w:rPr>
        <w:t>a</w:t>
      </w:r>
      <w:r w:rsidR="00594B23" w:rsidRPr="004F681E">
        <w:rPr>
          <w:rFonts w:ascii="Arial" w:hAnsi="Arial" w:cs="Arial"/>
          <w:lang w:val="es-CO"/>
        </w:rPr>
        <w:t xml:space="preserve">l cableado interno y </w:t>
      </w:r>
      <w:r w:rsidR="00D35596" w:rsidRPr="004F681E">
        <w:rPr>
          <w:rFonts w:ascii="Arial" w:hAnsi="Arial" w:cs="Arial"/>
          <w:lang w:val="es-CO"/>
        </w:rPr>
        <w:t xml:space="preserve">a </w:t>
      </w:r>
      <w:r w:rsidR="00594B23" w:rsidRPr="004F681E">
        <w:rPr>
          <w:rFonts w:ascii="Arial" w:hAnsi="Arial" w:cs="Arial"/>
          <w:lang w:val="es-CO"/>
        </w:rPr>
        <w:t>la</w:t>
      </w:r>
      <w:r w:rsidR="00F40A72" w:rsidRPr="004F681E">
        <w:rPr>
          <w:rFonts w:ascii="Arial" w:hAnsi="Arial" w:cs="Arial"/>
          <w:lang w:val="es-CO"/>
        </w:rPr>
        <w:t xml:space="preserve"> iluminación,</w:t>
      </w:r>
      <w:r w:rsidR="00D35596" w:rsidRPr="004F681E">
        <w:rPr>
          <w:rFonts w:ascii="Arial" w:hAnsi="Arial" w:cs="Arial"/>
          <w:lang w:val="es-CO"/>
        </w:rPr>
        <w:t xml:space="preserve"> a</w:t>
      </w:r>
      <w:r w:rsidR="00F40A72" w:rsidRPr="004F681E">
        <w:rPr>
          <w:rFonts w:ascii="Arial" w:hAnsi="Arial" w:cs="Arial"/>
          <w:lang w:val="es-CO"/>
        </w:rPr>
        <w:t xml:space="preserve"> la inundación interna de la pantalla y </w:t>
      </w:r>
      <w:r w:rsidR="00D35596" w:rsidRPr="004F681E">
        <w:rPr>
          <w:rFonts w:ascii="Arial" w:hAnsi="Arial" w:cs="Arial"/>
          <w:lang w:val="es-CO"/>
        </w:rPr>
        <w:t xml:space="preserve">a </w:t>
      </w:r>
      <w:r w:rsidR="00F40A72" w:rsidRPr="004F681E">
        <w:rPr>
          <w:rFonts w:ascii="Arial" w:hAnsi="Arial" w:cs="Arial"/>
          <w:lang w:val="es-CO"/>
        </w:rPr>
        <w:t>todos sus componentes eléctricos</w:t>
      </w:r>
      <w:r w:rsidR="00F40A72" w:rsidRPr="004F681E">
        <w:rPr>
          <w:rStyle w:val="Refdenotaalpie"/>
          <w:rFonts w:ascii="Arial" w:hAnsi="Arial" w:cs="Arial"/>
          <w:lang w:val="es-CO"/>
        </w:rPr>
        <w:footnoteReference w:id="33"/>
      </w:r>
      <w:r w:rsidR="00594B23"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4A6938" w:rsidP="00F40A72">
      <w:pPr>
        <w:spacing w:line="360" w:lineRule="auto"/>
        <w:jc w:val="both"/>
        <w:rPr>
          <w:rFonts w:ascii="Arial" w:hAnsi="Arial" w:cs="Arial"/>
          <w:lang w:val="es-CO"/>
        </w:rPr>
      </w:pPr>
      <w:r w:rsidRPr="004F681E">
        <w:rPr>
          <w:rFonts w:ascii="Arial" w:hAnsi="Arial" w:cs="Arial"/>
          <w:lang w:val="es-CO"/>
        </w:rPr>
        <w:t>El</w:t>
      </w:r>
      <w:r w:rsidR="00594B23" w:rsidRPr="004F681E">
        <w:rPr>
          <w:rFonts w:ascii="Arial" w:hAnsi="Arial" w:cs="Arial"/>
          <w:lang w:val="es-CO"/>
        </w:rPr>
        <w:t xml:space="preserve"> </w:t>
      </w:r>
      <w:r w:rsidR="00F40A72" w:rsidRPr="004F681E">
        <w:rPr>
          <w:rFonts w:ascii="Arial" w:hAnsi="Arial" w:cs="Arial"/>
          <w:lang w:val="es-CO"/>
        </w:rPr>
        <w:t>30 de</w:t>
      </w:r>
      <w:r w:rsidR="00594B23" w:rsidRPr="004F681E">
        <w:rPr>
          <w:rFonts w:ascii="Arial" w:hAnsi="Arial" w:cs="Arial"/>
          <w:lang w:val="es-CO"/>
        </w:rPr>
        <w:t xml:space="preserve"> los mismo</w:t>
      </w:r>
      <w:r w:rsidR="0048353C" w:rsidRPr="004F681E">
        <w:rPr>
          <w:rFonts w:ascii="Arial" w:hAnsi="Arial" w:cs="Arial"/>
          <w:lang w:val="es-CO"/>
        </w:rPr>
        <w:t>s</w:t>
      </w:r>
      <w:r w:rsidR="00594B23" w:rsidRPr="004F681E">
        <w:rPr>
          <w:rFonts w:ascii="Arial" w:hAnsi="Arial" w:cs="Arial"/>
          <w:lang w:val="es-CO"/>
        </w:rPr>
        <w:t xml:space="preserve"> mes y año, </w:t>
      </w:r>
      <w:r w:rsidR="00F40A72" w:rsidRPr="004F681E">
        <w:rPr>
          <w:rFonts w:ascii="Arial" w:hAnsi="Arial" w:cs="Arial"/>
          <w:lang w:val="es-CO"/>
        </w:rPr>
        <w:t>la firma Medina y Rivera Ingenieros Asociados S.A.S.</w:t>
      </w:r>
      <w:r w:rsidR="00594B23" w:rsidRPr="004F681E">
        <w:rPr>
          <w:rFonts w:ascii="Arial" w:hAnsi="Arial" w:cs="Arial"/>
          <w:lang w:val="es-CO"/>
        </w:rPr>
        <w:t>, contratada por el IDRD,</w:t>
      </w:r>
      <w:r w:rsidR="00F40A72" w:rsidRPr="004F681E">
        <w:rPr>
          <w:rFonts w:ascii="Arial" w:hAnsi="Arial" w:cs="Arial"/>
          <w:lang w:val="es-CO"/>
        </w:rPr>
        <w:t xml:space="preserve"> rindió un informe </w:t>
      </w:r>
      <w:r w:rsidR="00594B23" w:rsidRPr="004F681E">
        <w:rPr>
          <w:rFonts w:ascii="Arial" w:hAnsi="Arial" w:cs="Arial"/>
          <w:lang w:val="es-CO"/>
        </w:rPr>
        <w:t>acerca de</w:t>
      </w:r>
      <w:r w:rsidR="00F40A72" w:rsidRPr="004F681E">
        <w:rPr>
          <w:rFonts w:ascii="Arial" w:hAnsi="Arial" w:cs="Arial"/>
          <w:lang w:val="es-CO"/>
        </w:rPr>
        <w:t xml:space="preserve"> la entrega de </w:t>
      </w:r>
      <w:r w:rsidR="00594B23" w:rsidRPr="004F681E">
        <w:rPr>
          <w:rFonts w:ascii="Arial" w:hAnsi="Arial" w:cs="Arial"/>
          <w:lang w:val="es-CO"/>
        </w:rPr>
        <w:t xml:space="preserve">la </w:t>
      </w:r>
      <w:r w:rsidR="00F40A72" w:rsidRPr="004F681E">
        <w:rPr>
          <w:rFonts w:ascii="Arial" w:hAnsi="Arial" w:cs="Arial"/>
          <w:lang w:val="es-CO"/>
        </w:rPr>
        <w:t>pantalla a Publiestadios y</w:t>
      </w:r>
      <w:r w:rsidRPr="004F681E">
        <w:rPr>
          <w:rFonts w:ascii="Arial" w:hAnsi="Arial" w:cs="Arial"/>
          <w:lang w:val="es-CO"/>
        </w:rPr>
        <w:t>,</w:t>
      </w:r>
      <w:r w:rsidR="00F40A72" w:rsidRPr="004F681E">
        <w:rPr>
          <w:rFonts w:ascii="Arial" w:hAnsi="Arial" w:cs="Arial"/>
          <w:lang w:val="es-CO"/>
        </w:rPr>
        <w:t xml:space="preserve"> en desarrollo del mismo</w:t>
      </w:r>
      <w:r w:rsidRPr="004F681E">
        <w:rPr>
          <w:rFonts w:ascii="Arial" w:hAnsi="Arial" w:cs="Arial"/>
          <w:lang w:val="es-CO"/>
        </w:rPr>
        <w:t>,</w:t>
      </w:r>
      <w:r w:rsidR="00F40A72" w:rsidRPr="004F681E">
        <w:rPr>
          <w:rFonts w:ascii="Arial" w:hAnsi="Arial" w:cs="Arial"/>
          <w:lang w:val="es-CO"/>
        </w:rPr>
        <w:t xml:space="preserve"> se concluyó que el artefacto se devolvía en perfectas condiciones de estabilidad estructural, garantizando su operación con su actual conexión provisional hasta el momento de conexión de la alimentación definitiva</w:t>
      </w:r>
      <w:r w:rsidR="00F40A72" w:rsidRPr="004F681E">
        <w:rPr>
          <w:rStyle w:val="Refdenotaalpie"/>
          <w:rFonts w:ascii="Arial" w:hAnsi="Arial" w:cs="Arial"/>
          <w:lang w:val="es-CO"/>
        </w:rPr>
        <w:footnoteReference w:id="34"/>
      </w:r>
      <w:r w:rsidR="00F40A72" w:rsidRPr="004F681E">
        <w:rPr>
          <w:rFonts w:ascii="Arial" w:hAnsi="Arial" w:cs="Arial"/>
          <w:lang w:val="es-CO"/>
        </w:rPr>
        <w:t xml:space="preserve">. </w:t>
      </w:r>
    </w:p>
    <w:p w:rsidR="001963DF" w:rsidRPr="004F681E" w:rsidRDefault="001963DF"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Nuevamente</w:t>
      </w:r>
      <w:r w:rsidR="001A7AA8" w:rsidRPr="004F681E">
        <w:rPr>
          <w:rFonts w:ascii="Arial" w:hAnsi="Arial" w:cs="Arial"/>
          <w:lang w:val="es-CO"/>
        </w:rPr>
        <w:t>,</w:t>
      </w:r>
      <w:r w:rsidRPr="004F681E">
        <w:rPr>
          <w:rFonts w:ascii="Arial" w:hAnsi="Arial" w:cs="Arial"/>
          <w:lang w:val="es-CO"/>
        </w:rPr>
        <w:t xml:space="preserve"> el 13 de diciembre de 2010</w:t>
      </w:r>
      <w:r w:rsidR="004A6938" w:rsidRPr="004F681E">
        <w:rPr>
          <w:rFonts w:ascii="Arial" w:hAnsi="Arial" w:cs="Arial"/>
          <w:lang w:val="es-CO"/>
        </w:rPr>
        <w:t>,</w:t>
      </w:r>
      <w:r w:rsidRPr="004F681E">
        <w:rPr>
          <w:rFonts w:ascii="Arial" w:hAnsi="Arial" w:cs="Arial"/>
          <w:lang w:val="es-CO"/>
        </w:rPr>
        <w:t xml:space="preserve"> el IDRD comunicó a Publiestadios que al encontrarse finalizadas las actividades de obra civil adelantadas en el estadio, la pantalla Leeds reubicada en la torre de iluminación sur occidental se encontraba a su disposición para que procediera a su recibo</w:t>
      </w:r>
      <w:r w:rsidRPr="004F681E">
        <w:rPr>
          <w:rStyle w:val="Refdenotaalpie"/>
          <w:rFonts w:ascii="Arial" w:hAnsi="Arial" w:cs="Arial"/>
          <w:lang w:val="es-CO"/>
        </w:rPr>
        <w:footnoteReference w:id="35"/>
      </w:r>
      <w:r w:rsidRPr="004F681E">
        <w:rPr>
          <w:rFonts w:ascii="Arial" w:hAnsi="Arial" w:cs="Arial"/>
          <w:lang w:val="es-CO"/>
        </w:rPr>
        <w:t>.</w:t>
      </w:r>
    </w:p>
    <w:p w:rsidR="00BA4121" w:rsidRPr="004F681E" w:rsidRDefault="00BA4121"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15 de diciembre de 2010</w:t>
      </w:r>
      <w:r w:rsidR="004A6938" w:rsidRPr="004F681E">
        <w:rPr>
          <w:rFonts w:ascii="Arial" w:hAnsi="Arial" w:cs="Arial"/>
          <w:lang w:val="es-CO"/>
        </w:rPr>
        <w:t>,</w:t>
      </w:r>
      <w:r w:rsidRPr="004F681E">
        <w:rPr>
          <w:rFonts w:ascii="Arial" w:hAnsi="Arial" w:cs="Arial"/>
          <w:lang w:val="es-CO"/>
        </w:rPr>
        <w:t xml:space="preserve"> la entidad contratante le </w:t>
      </w:r>
      <w:r w:rsidR="00BA4121" w:rsidRPr="004F681E">
        <w:rPr>
          <w:rFonts w:ascii="Arial" w:hAnsi="Arial" w:cs="Arial"/>
          <w:lang w:val="es-CO"/>
        </w:rPr>
        <w:t xml:space="preserve">expresó </w:t>
      </w:r>
      <w:r w:rsidRPr="004F681E">
        <w:rPr>
          <w:rFonts w:ascii="Arial" w:hAnsi="Arial" w:cs="Arial"/>
          <w:lang w:val="es-CO"/>
        </w:rPr>
        <w:t>al concesionario que el reconocimiento del lucro cesante por la suspensión del servicio de pantalla durante el período comprendido entre el 28 de octubre y el 27 de noviembre de 2010 debía s</w:t>
      </w:r>
      <w:r w:rsidR="004A6938" w:rsidRPr="004F681E">
        <w:rPr>
          <w:rFonts w:ascii="Arial" w:hAnsi="Arial" w:cs="Arial"/>
          <w:lang w:val="es-CO"/>
        </w:rPr>
        <w:t>er soportado con los documentos</w:t>
      </w:r>
      <w:r w:rsidRPr="004F681E">
        <w:rPr>
          <w:rFonts w:ascii="Arial" w:hAnsi="Arial" w:cs="Arial"/>
          <w:lang w:val="es-CO"/>
        </w:rPr>
        <w:t xml:space="preserve"> contractuales, financieros y contables. Reiteró que desde el 13 de diciembre la pantalla se encontraba a su disposición para que procediera a su recibo</w:t>
      </w:r>
      <w:r w:rsidRPr="004F681E">
        <w:rPr>
          <w:rStyle w:val="Refdenotaalpie"/>
          <w:rFonts w:ascii="Arial" w:hAnsi="Arial" w:cs="Arial"/>
          <w:lang w:val="es-CO"/>
        </w:rPr>
        <w:footnoteReference w:id="36"/>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BA4121" w:rsidP="00F40A72">
      <w:pPr>
        <w:spacing w:line="360" w:lineRule="auto"/>
        <w:jc w:val="both"/>
        <w:rPr>
          <w:rFonts w:ascii="Arial" w:hAnsi="Arial" w:cs="Arial"/>
          <w:lang w:val="es-CO"/>
        </w:rPr>
      </w:pPr>
      <w:r w:rsidRPr="004F681E">
        <w:rPr>
          <w:rFonts w:ascii="Arial" w:hAnsi="Arial" w:cs="Arial"/>
          <w:lang w:val="es-CO"/>
        </w:rPr>
        <w:t>A la semana siguiente, e</w:t>
      </w:r>
      <w:r w:rsidR="00F40A72" w:rsidRPr="004F681E">
        <w:rPr>
          <w:rFonts w:ascii="Arial" w:hAnsi="Arial" w:cs="Arial"/>
          <w:lang w:val="es-CO"/>
        </w:rPr>
        <w:t xml:space="preserve">l </w:t>
      </w:r>
      <w:r w:rsidR="00550391" w:rsidRPr="004F681E">
        <w:rPr>
          <w:rFonts w:ascii="Arial" w:hAnsi="Arial" w:cs="Arial"/>
          <w:lang w:val="es-CO"/>
        </w:rPr>
        <w:t>21 de diciembre de 2010</w:t>
      </w:r>
      <w:r w:rsidR="004A6938" w:rsidRPr="004F681E">
        <w:rPr>
          <w:rFonts w:ascii="Arial" w:hAnsi="Arial" w:cs="Arial"/>
          <w:lang w:val="es-CO"/>
        </w:rPr>
        <w:t>,</w:t>
      </w:r>
      <w:r w:rsidR="00F40A72" w:rsidRPr="004F681E">
        <w:rPr>
          <w:rFonts w:ascii="Arial" w:hAnsi="Arial" w:cs="Arial"/>
          <w:lang w:val="es-CO"/>
        </w:rPr>
        <w:t xml:space="preserve"> la entidad demandada</w:t>
      </w:r>
      <w:r w:rsidR="001A7AA8" w:rsidRPr="004F681E">
        <w:rPr>
          <w:rFonts w:ascii="Arial" w:hAnsi="Arial" w:cs="Arial"/>
          <w:lang w:val="es-CO"/>
        </w:rPr>
        <w:t>,</w:t>
      </w:r>
      <w:r w:rsidR="00F40A72" w:rsidRPr="004F681E">
        <w:rPr>
          <w:rFonts w:ascii="Arial" w:hAnsi="Arial" w:cs="Arial"/>
          <w:lang w:val="es-CO"/>
        </w:rPr>
        <w:t xml:space="preserve"> una vez más</w:t>
      </w:r>
      <w:r w:rsidR="001A7AA8" w:rsidRPr="004F681E">
        <w:rPr>
          <w:rFonts w:ascii="Arial" w:hAnsi="Arial" w:cs="Arial"/>
          <w:lang w:val="es-CO"/>
        </w:rPr>
        <w:t>,</w:t>
      </w:r>
      <w:r w:rsidR="00F40A72" w:rsidRPr="004F681E">
        <w:rPr>
          <w:rFonts w:ascii="Arial" w:hAnsi="Arial" w:cs="Arial"/>
          <w:lang w:val="es-CO"/>
        </w:rPr>
        <w:t xml:space="preserve"> le informó al contratista que la pantalla se encontraba </w:t>
      </w:r>
      <w:r w:rsidR="001A7AA8" w:rsidRPr="004F681E">
        <w:rPr>
          <w:rFonts w:ascii="Arial" w:hAnsi="Arial" w:cs="Arial"/>
          <w:lang w:val="es-CO"/>
        </w:rPr>
        <w:t xml:space="preserve">disponible </w:t>
      </w:r>
      <w:r w:rsidR="00F40A72" w:rsidRPr="004F681E">
        <w:rPr>
          <w:rFonts w:ascii="Arial" w:hAnsi="Arial" w:cs="Arial"/>
          <w:lang w:val="es-CO"/>
        </w:rPr>
        <w:t>desde el pasado 13 de diciembre de 2010</w:t>
      </w:r>
      <w:r w:rsidR="00F40A72" w:rsidRPr="004F681E">
        <w:rPr>
          <w:rStyle w:val="Refdenotaalpie"/>
          <w:rFonts w:ascii="Arial" w:hAnsi="Arial" w:cs="Arial"/>
          <w:lang w:val="es-CO"/>
        </w:rPr>
        <w:footnoteReference w:id="37"/>
      </w:r>
      <w:r w:rsidR="00F40A72"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Como respuesta, en escrito del 22 de diciembre de 2010</w:t>
      </w:r>
      <w:r w:rsidR="004A6938" w:rsidRPr="004F681E">
        <w:rPr>
          <w:rFonts w:ascii="Arial" w:hAnsi="Arial" w:cs="Arial"/>
          <w:lang w:val="es-CO"/>
        </w:rPr>
        <w:t>,</w:t>
      </w:r>
      <w:r w:rsidRPr="004F681E">
        <w:rPr>
          <w:rFonts w:ascii="Arial" w:hAnsi="Arial" w:cs="Arial"/>
          <w:lang w:val="es-CO"/>
        </w:rPr>
        <w:t xml:space="preserve"> el concesionario</w:t>
      </w:r>
      <w:r w:rsidR="00877D0C" w:rsidRPr="004F681E">
        <w:rPr>
          <w:rFonts w:ascii="Arial" w:hAnsi="Arial" w:cs="Arial"/>
          <w:lang w:val="es-CO"/>
        </w:rPr>
        <w:t xml:space="preserve"> sostuvo </w:t>
      </w:r>
      <w:r w:rsidRPr="004F681E">
        <w:rPr>
          <w:rFonts w:ascii="Arial" w:hAnsi="Arial" w:cs="Arial"/>
          <w:lang w:val="es-CO"/>
        </w:rPr>
        <w:t>que los procedimientos de inspección técnica llevados a cabo resultaban necesarios para establecer si la pantalla se encontraba en óptimas condiciones para ser recibida y continuar prestando el servicio concesionado. En ese sentido</w:t>
      </w:r>
      <w:r w:rsidR="004A6938" w:rsidRPr="004F681E">
        <w:rPr>
          <w:rFonts w:ascii="Arial" w:hAnsi="Arial" w:cs="Arial"/>
          <w:lang w:val="es-CO"/>
        </w:rPr>
        <w:t>,</w:t>
      </w:r>
      <w:r w:rsidRPr="004F681E">
        <w:rPr>
          <w:rFonts w:ascii="Arial" w:hAnsi="Arial" w:cs="Arial"/>
          <w:lang w:val="es-CO"/>
        </w:rPr>
        <w:t xml:space="preserve"> argumentó que los contratistas escogidos por el IDRD para el traslado y reubicación de la pantalla obraron con negligencia y pusieron en riesgo la seguridad de ese </w:t>
      </w:r>
      <w:r w:rsidRPr="004F681E">
        <w:rPr>
          <w:rFonts w:ascii="Arial" w:hAnsi="Arial" w:cs="Arial"/>
          <w:lang w:val="es-CO"/>
        </w:rPr>
        <w:lastRenderedPageBreak/>
        <w:t>artefacto</w:t>
      </w:r>
      <w:r w:rsidRPr="004F681E">
        <w:rPr>
          <w:rStyle w:val="Refdenotaalpie"/>
          <w:rFonts w:ascii="Arial" w:hAnsi="Arial" w:cs="Arial"/>
          <w:lang w:val="es-CO"/>
        </w:rPr>
        <w:footnoteReference w:id="38"/>
      </w:r>
      <w:r w:rsidRPr="004F681E">
        <w:rPr>
          <w:rFonts w:ascii="Arial" w:hAnsi="Arial" w:cs="Arial"/>
          <w:lang w:val="es-CO"/>
        </w:rPr>
        <w:t>.</w:t>
      </w:r>
      <w:r w:rsidR="00B415E3" w:rsidRPr="004F681E">
        <w:rPr>
          <w:rFonts w:ascii="Arial" w:hAnsi="Arial" w:cs="Arial"/>
          <w:lang w:val="es-CO"/>
        </w:rPr>
        <w:t xml:space="preserve"> </w:t>
      </w:r>
      <w:r w:rsidRPr="004F681E">
        <w:rPr>
          <w:rFonts w:ascii="Arial" w:hAnsi="Arial" w:cs="Arial"/>
          <w:lang w:val="es-CO"/>
        </w:rPr>
        <w:t>Ese mismo día, la Universidad Tecnológica</w:t>
      </w:r>
      <w:r w:rsidR="004A6938" w:rsidRPr="004F681E">
        <w:rPr>
          <w:rFonts w:ascii="Arial" w:hAnsi="Arial" w:cs="Arial"/>
          <w:lang w:val="es-CO"/>
        </w:rPr>
        <w:t xml:space="preserve"> de Pereira</w:t>
      </w:r>
      <w:r w:rsidRPr="004F681E">
        <w:rPr>
          <w:rFonts w:ascii="Arial" w:hAnsi="Arial" w:cs="Arial"/>
          <w:lang w:val="es-CO"/>
        </w:rPr>
        <w:t xml:space="preserve">, a petición del concesionario, rindió un informe de diagnóstico sobre el estado de la pantalla </w:t>
      </w:r>
      <w:r w:rsidR="00650D78" w:rsidRPr="004F681E">
        <w:rPr>
          <w:rFonts w:ascii="Arial" w:hAnsi="Arial" w:cs="Arial"/>
          <w:lang w:val="es-CO"/>
        </w:rPr>
        <w:t>exterior</w:t>
      </w:r>
      <w:r w:rsidRPr="004F681E">
        <w:rPr>
          <w:rStyle w:val="Refdenotaalpie"/>
          <w:rFonts w:ascii="Arial" w:hAnsi="Arial" w:cs="Arial"/>
          <w:lang w:val="es-CO"/>
        </w:rPr>
        <w:footnoteReference w:id="39"/>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24 de diciembre de 2010</w:t>
      </w:r>
      <w:r w:rsidR="008034C6" w:rsidRPr="004F681E">
        <w:rPr>
          <w:rFonts w:ascii="Arial" w:hAnsi="Arial" w:cs="Arial"/>
          <w:lang w:val="es-CO"/>
        </w:rPr>
        <w:t>,</w:t>
      </w:r>
      <w:r w:rsidRPr="004F681E">
        <w:rPr>
          <w:rFonts w:ascii="Arial" w:hAnsi="Arial" w:cs="Arial"/>
          <w:lang w:val="es-CO"/>
        </w:rPr>
        <w:t xml:space="preserve"> Publiestadios presentó ante e</w:t>
      </w:r>
      <w:r w:rsidR="00E57B5A" w:rsidRPr="004F681E">
        <w:rPr>
          <w:rFonts w:ascii="Arial" w:hAnsi="Arial" w:cs="Arial"/>
          <w:lang w:val="es-CO"/>
        </w:rPr>
        <w:t>l</w:t>
      </w:r>
      <w:r w:rsidRPr="004F681E">
        <w:rPr>
          <w:rFonts w:ascii="Arial" w:hAnsi="Arial" w:cs="Arial"/>
          <w:lang w:val="es-CO"/>
        </w:rPr>
        <w:t xml:space="preserve"> IDRD </w:t>
      </w:r>
      <w:r w:rsidR="00E57B5A" w:rsidRPr="004F681E">
        <w:rPr>
          <w:rFonts w:ascii="Arial" w:hAnsi="Arial" w:cs="Arial"/>
          <w:lang w:val="es-CO"/>
        </w:rPr>
        <w:t xml:space="preserve">un </w:t>
      </w:r>
      <w:r w:rsidRPr="004F681E">
        <w:rPr>
          <w:rFonts w:ascii="Arial" w:hAnsi="Arial" w:cs="Arial"/>
          <w:lang w:val="es-CO"/>
        </w:rPr>
        <w:t xml:space="preserve">informe de </w:t>
      </w:r>
      <w:r w:rsidR="00E57B5A" w:rsidRPr="004F681E">
        <w:rPr>
          <w:rFonts w:ascii="Arial" w:hAnsi="Arial" w:cs="Arial"/>
          <w:lang w:val="es-CO"/>
        </w:rPr>
        <w:t xml:space="preserve">la </w:t>
      </w:r>
      <w:r w:rsidRPr="004F681E">
        <w:rPr>
          <w:rFonts w:ascii="Arial" w:hAnsi="Arial" w:cs="Arial"/>
          <w:lang w:val="es-CO"/>
        </w:rPr>
        <w:t xml:space="preserve">inspección técnica </w:t>
      </w:r>
      <w:r w:rsidR="00E57B5A" w:rsidRPr="004F681E">
        <w:rPr>
          <w:rFonts w:ascii="Arial" w:hAnsi="Arial" w:cs="Arial"/>
          <w:lang w:val="es-CO"/>
        </w:rPr>
        <w:t xml:space="preserve">realizado por la Universidad Tecnológica de Pereira </w:t>
      </w:r>
      <w:r w:rsidRPr="004F681E">
        <w:rPr>
          <w:rFonts w:ascii="Arial" w:hAnsi="Arial" w:cs="Arial"/>
          <w:lang w:val="es-CO"/>
        </w:rPr>
        <w:t>a la pantalla electrónica exterior</w:t>
      </w:r>
      <w:r w:rsidR="00E57B5A" w:rsidRPr="004F681E">
        <w:rPr>
          <w:rFonts w:ascii="Arial" w:hAnsi="Arial" w:cs="Arial"/>
          <w:lang w:val="es-CO"/>
        </w:rPr>
        <w:t xml:space="preserve"> del </w:t>
      </w:r>
      <w:r w:rsidR="009870ED" w:rsidRPr="004F681E">
        <w:rPr>
          <w:rFonts w:ascii="Arial" w:hAnsi="Arial" w:cs="Arial"/>
          <w:lang w:val="es-CO"/>
        </w:rPr>
        <w:t>Campín</w:t>
      </w:r>
      <w:r w:rsidR="008034C6" w:rsidRPr="004F681E">
        <w:rPr>
          <w:rFonts w:ascii="Arial" w:hAnsi="Arial" w:cs="Arial"/>
          <w:lang w:val="es-CO"/>
        </w:rPr>
        <w:t>, en el cual,</w:t>
      </w:r>
      <w:r w:rsidRPr="004F681E">
        <w:rPr>
          <w:rFonts w:ascii="Arial" w:hAnsi="Arial" w:cs="Arial"/>
          <w:lang w:val="es-CO"/>
        </w:rPr>
        <w:t xml:space="preserve"> según su dicho</w:t>
      </w:r>
      <w:r w:rsidR="008034C6" w:rsidRPr="004F681E">
        <w:rPr>
          <w:rFonts w:ascii="Arial" w:hAnsi="Arial" w:cs="Arial"/>
          <w:lang w:val="es-CO"/>
        </w:rPr>
        <w:t>,</w:t>
      </w:r>
      <w:r w:rsidRPr="004F681E">
        <w:rPr>
          <w:rFonts w:ascii="Arial" w:hAnsi="Arial" w:cs="Arial"/>
          <w:lang w:val="es-CO"/>
        </w:rPr>
        <w:t xml:space="preserve"> se evidenciaba el maltrato sufrido por la pantalla al ser objeto de desmonte y nuevo montaje</w:t>
      </w:r>
      <w:r w:rsidRPr="004F681E">
        <w:rPr>
          <w:rStyle w:val="Refdenotaalpie"/>
          <w:rFonts w:ascii="Arial" w:hAnsi="Arial" w:cs="Arial"/>
          <w:lang w:val="es-CO"/>
        </w:rPr>
        <w:footnoteReference w:id="40"/>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Por su parte, el 31 de diciembre de 2010</w:t>
      </w:r>
      <w:r w:rsidR="000E3930" w:rsidRPr="004F681E">
        <w:rPr>
          <w:rFonts w:ascii="Arial" w:hAnsi="Arial" w:cs="Arial"/>
          <w:lang w:val="es-CO"/>
        </w:rPr>
        <w:t>,</w:t>
      </w:r>
      <w:r w:rsidRPr="004F681E">
        <w:rPr>
          <w:rFonts w:ascii="Arial" w:hAnsi="Arial" w:cs="Arial"/>
          <w:lang w:val="es-CO"/>
        </w:rPr>
        <w:t xml:space="preserve"> la firma Prodigy Company</w:t>
      </w:r>
      <w:r w:rsidR="00E57B5A" w:rsidRPr="004F681E">
        <w:rPr>
          <w:rFonts w:ascii="Arial" w:hAnsi="Arial" w:cs="Arial"/>
          <w:lang w:val="es-CO"/>
        </w:rPr>
        <w:t xml:space="preserve"> </w:t>
      </w:r>
      <w:r w:rsidRPr="004F681E">
        <w:rPr>
          <w:rFonts w:ascii="Arial" w:hAnsi="Arial" w:cs="Arial"/>
          <w:lang w:val="es-CO"/>
        </w:rPr>
        <w:t xml:space="preserve">se pronunció frente al anterior documento y advirtió que sus observaciones solo pretendían retardar la recepción de la pantalla leed en el estadio El </w:t>
      </w:r>
      <w:r w:rsidR="009870ED" w:rsidRPr="004F681E">
        <w:rPr>
          <w:rFonts w:ascii="Arial" w:hAnsi="Arial" w:cs="Arial"/>
          <w:lang w:val="es-CO"/>
        </w:rPr>
        <w:t>Campín</w:t>
      </w:r>
      <w:r w:rsidRPr="004F681E">
        <w:rPr>
          <w:rStyle w:val="Refdenotaalpie"/>
          <w:rFonts w:ascii="Arial" w:hAnsi="Arial" w:cs="Arial"/>
          <w:lang w:val="es-CO"/>
        </w:rPr>
        <w:footnoteReference w:id="41"/>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B415E3" w:rsidRPr="004F681E" w:rsidRDefault="00F40A72" w:rsidP="00F40A72">
      <w:pPr>
        <w:spacing w:line="360" w:lineRule="auto"/>
        <w:jc w:val="both"/>
        <w:rPr>
          <w:rFonts w:ascii="Arial" w:hAnsi="Arial" w:cs="Arial"/>
          <w:lang w:val="es-CO"/>
        </w:rPr>
      </w:pPr>
      <w:r w:rsidRPr="004F681E">
        <w:rPr>
          <w:rFonts w:ascii="Arial" w:hAnsi="Arial" w:cs="Arial"/>
          <w:lang w:val="es-CO"/>
        </w:rPr>
        <w:t>El 11 de enero de 2011</w:t>
      </w:r>
      <w:r w:rsidR="000E3930" w:rsidRPr="004F681E">
        <w:rPr>
          <w:rFonts w:ascii="Arial" w:hAnsi="Arial" w:cs="Arial"/>
          <w:lang w:val="es-CO"/>
        </w:rPr>
        <w:t>,</w:t>
      </w:r>
      <w:r w:rsidRPr="004F681E">
        <w:rPr>
          <w:rFonts w:ascii="Arial" w:hAnsi="Arial" w:cs="Arial"/>
          <w:lang w:val="es-CO"/>
        </w:rPr>
        <w:t xml:space="preserve"> el concesionario manifestó al IDRD que el traslado de la pantalla no se </w:t>
      </w:r>
      <w:r w:rsidR="001A7AA8" w:rsidRPr="004F681E">
        <w:rPr>
          <w:rFonts w:ascii="Arial" w:hAnsi="Arial" w:cs="Arial"/>
          <w:lang w:val="es-CO"/>
        </w:rPr>
        <w:t>había llevado</w:t>
      </w:r>
      <w:r w:rsidRPr="004F681E">
        <w:rPr>
          <w:rFonts w:ascii="Arial" w:hAnsi="Arial" w:cs="Arial"/>
          <w:lang w:val="es-CO"/>
        </w:rPr>
        <w:t xml:space="preserve"> a cabo bajo las condiciones adecuadas de seguridad</w:t>
      </w:r>
      <w:r w:rsidR="004C61C6" w:rsidRPr="004F681E">
        <w:rPr>
          <w:rFonts w:ascii="Arial" w:hAnsi="Arial" w:cs="Arial"/>
          <w:lang w:val="es-CO"/>
        </w:rPr>
        <w:t xml:space="preserve"> y,</w:t>
      </w:r>
      <w:r w:rsidRPr="004F681E">
        <w:rPr>
          <w:rFonts w:ascii="Arial" w:hAnsi="Arial" w:cs="Arial"/>
          <w:lang w:val="es-CO"/>
        </w:rPr>
        <w:t xml:space="preserve"> como consecuencia</w:t>
      </w:r>
      <w:r w:rsidR="004C61C6" w:rsidRPr="004F681E">
        <w:rPr>
          <w:rFonts w:ascii="Arial" w:hAnsi="Arial" w:cs="Arial"/>
          <w:lang w:val="es-CO"/>
        </w:rPr>
        <w:t>,</w:t>
      </w:r>
      <w:r w:rsidRPr="004F681E">
        <w:rPr>
          <w:rFonts w:ascii="Arial" w:hAnsi="Arial" w:cs="Arial"/>
          <w:lang w:val="es-CO"/>
        </w:rPr>
        <w:t xml:space="preserve"> pusieron en ries</w:t>
      </w:r>
      <w:r w:rsidR="002A6CB4" w:rsidRPr="004F681E">
        <w:rPr>
          <w:rFonts w:ascii="Arial" w:hAnsi="Arial" w:cs="Arial"/>
          <w:lang w:val="es-CO"/>
        </w:rPr>
        <w:t>go la vida útil de la pantalla. Así mismo</w:t>
      </w:r>
      <w:r w:rsidR="000E3930" w:rsidRPr="004F681E">
        <w:rPr>
          <w:rFonts w:ascii="Arial" w:hAnsi="Arial" w:cs="Arial"/>
          <w:lang w:val="es-CO"/>
        </w:rPr>
        <w:t>,</w:t>
      </w:r>
      <w:r w:rsidR="002A6CB4" w:rsidRPr="004F681E">
        <w:rPr>
          <w:rFonts w:ascii="Arial" w:hAnsi="Arial" w:cs="Arial"/>
          <w:lang w:val="es-CO"/>
        </w:rPr>
        <w:t xml:space="preserve"> afirmó</w:t>
      </w:r>
      <w:r w:rsidRPr="004F681E">
        <w:rPr>
          <w:rFonts w:ascii="Arial" w:hAnsi="Arial" w:cs="Arial"/>
          <w:lang w:val="es-CO"/>
        </w:rPr>
        <w:t xml:space="preserve"> que su intención no era entrabar </w:t>
      </w:r>
      <w:r w:rsidR="004C61C6" w:rsidRPr="004F681E">
        <w:rPr>
          <w:rFonts w:ascii="Arial" w:hAnsi="Arial" w:cs="Arial"/>
          <w:lang w:val="es-CO"/>
        </w:rPr>
        <w:t>el servicio y que su voluntad se encaminaba a</w:t>
      </w:r>
      <w:r w:rsidRPr="004F681E">
        <w:rPr>
          <w:rFonts w:ascii="Arial" w:hAnsi="Arial" w:cs="Arial"/>
          <w:lang w:val="es-CO"/>
        </w:rPr>
        <w:t xml:space="preserve"> buscar conjuntamente una solución definitiva a las anomalías presentadas en torno a la operatividad de la pantalla</w:t>
      </w:r>
      <w:r w:rsidRPr="004F681E">
        <w:rPr>
          <w:rStyle w:val="Refdenotaalpie"/>
          <w:rFonts w:ascii="Arial" w:hAnsi="Arial" w:cs="Arial"/>
          <w:lang w:val="es-CO"/>
        </w:rPr>
        <w:footnoteReference w:id="42"/>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20 de enero 2011</w:t>
      </w:r>
      <w:r w:rsidR="000E3930" w:rsidRPr="004F681E">
        <w:rPr>
          <w:rFonts w:ascii="Arial" w:hAnsi="Arial" w:cs="Arial"/>
          <w:lang w:val="es-CO"/>
        </w:rPr>
        <w:t>,</w:t>
      </w:r>
      <w:r w:rsidRPr="004F681E">
        <w:rPr>
          <w:rFonts w:ascii="Arial" w:hAnsi="Arial" w:cs="Arial"/>
          <w:lang w:val="es-CO"/>
        </w:rPr>
        <w:t xml:space="preserve"> se llevó a cabo una reunión entre las partes con el fin de concertar los aspectos relativos al recibo de la pantalla por parte del contratista. La junta fracasó por no llegar a un acuerdo</w:t>
      </w:r>
      <w:r w:rsidRPr="004F681E">
        <w:rPr>
          <w:rStyle w:val="Refdenotaalpie"/>
          <w:rFonts w:ascii="Arial" w:hAnsi="Arial" w:cs="Arial"/>
          <w:lang w:val="es-CO"/>
        </w:rPr>
        <w:footnoteReference w:id="43"/>
      </w:r>
      <w:r w:rsidRPr="004F681E">
        <w:rPr>
          <w:rFonts w:ascii="Arial" w:hAnsi="Arial" w:cs="Arial"/>
          <w:lang w:val="es-CO"/>
        </w:rPr>
        <w:t>.</w:t>
      </w:r>
      <w:r w:rsidR="004C61C6" w:rsidRPr="004F681E">
        <w:rPr>
          <w:rFonts w:ascii="Arial" w:hAnsi="Arial" w:cs="Arial"/>
          <w:lang w:val="es-CO"/>
        </w:rPr>
        <w:t xml:space="preserve"> </w:t>
      </w:r>
      <w:r w:rsidRPr="004F681E">
        <w:rPr>
          <w:rFonts w:ascii="Arial" w:hAnsi="Arial" w:cs="Arial"/>
          <w:lang w:val="es-CO"/>
        </w:rPr>
        <w:t>Sin e</w:t>
      </w:r>
      <w:r w:rsidR="004C61C6" w:rsidRPr="004F681E">
        <w:rPr>
          <w:rFonts w:ascii="Arial" w:hAnsi="Arial" w:cs="Arial"/>
          <w:lang w:val="es-CO"/>
        </w:rPr>
        <w:t>mbargo, según lo discutido en ese encuentro</w:t>
      </w:r>
      <w:r w:rsidRPr="004F681E">
        <w:rPr>
          <w:rFonts w:ascii="Arial" w:hAnsi="Arial" w:cs="Arial"/>
          <w:lang w:val="es-CO"/>
        </w:rPr>
        <w:t>, en memorando del 26 de enero de 2011</w:t>
      </w:r>
      <w:r w:rsidR="004C61C6" w:rsidRPr="004F681E">
        <w:rPr>
          <w:rFonts w:ascii="Arial" w:hAnsi="Arial" w:cs="Arial"/>
          <w:lang w:val="es-CO"/>
        </w:rPr>
        <w:t>,</w:t>
      </w:r>
      <w:r w:rsidRPr="004F681E">
        <w:rPr>
          <w:rFonts w:ascii="Arial" w:hAnsi="Arial" w:cs="Arial"/>
          <w:lang w:val="es-CO"/>
        </w:rPr>
        <w:t xml:space="preserve"> el IDRD remitió al contratista un diagrama unifilar contentivo del diseño eléctrico para que pud</w:t>
      </w:r>
      <w:r w:rsidR="004C61C6" w:rsidRPr="004F681E">
        <w:rPr>
          <w:rFonts w:ascii="Arial" w:hAnsi="Arial" w:cs="Arial"/>
          <w:lang w:val="es-CO"/>
        </w:rPr>
        <w:t>iera entrar en funcionamiento</w:t>
      </w:r>
      <w:r w:rsidRPr="004F681E">
        <w:rPr>
          <w:rFonts w:ascii="Arial" w:hAnsi="Arial" w:cs="Arial"/>
          <w:lang w:val="es-CO"/>
        </w:rPr>
        <w:t xml:space="preserve"> la pantalla y para lo cual debía tenerse en cuenta que se proyectaba instalar un transformador adicional al utilizado, se instalaría una celda adicional en triplex</w:t>
      </w:r>
      <w:r w:rsidR="001A7AA8" w:rsidRPr="004F681E">
        <w:rPr>
          <w:rFonts w:ascii="Arial" w:hAnsi="Arial" w:cs="Arial"/>
          <w:lang w:val="es-CO"/>
        </w:rPr>
        <w:t>,</w:t>
      </w:r>
      <w:r w:rsidRPr="004F681E">
        <w:rPr>
          <w:rFonts w:ascii="Arial" w:hAnsi="Arial" w:cs="Arial"/>
          <w:lang w:val="es-CO"/>
        </w:rPr>
        <w:t xml:space="preserve"> en paralelo a la actual</w:t>
      </w:r>
      <w:r w:rsidR="001A7AA8" w:rsidRPr="004F681E">
        <w:rPr>
          <w:rFonts w:ascii="Arial" w:hAnsi="Arial" w:cs="Arial"/>
          <w:lang w:val="es-CO"/>
        </w:rPr>
        <w:t>,</w:t>
      </w:r>
      <w:r w:rsidRPr="004F681E">
        <w:rPr>
          <w:rFonts w:ascii="Arial" w:hAnsi="Arial" w:cs="Arial"/>
          <w:lang w:val="es-CO"/>
        </w:rPr>
        <w:t xml:space="preserve"> con sus respectivas protecciones en media y baja tensión y se instalaría un tablero desde el cual se alimentaría directamente la pantalla</w:t>
      </w:r>
      <w:r w:rsidRPr="004F681E">
        <w:rPr>
          <w:rStyle w:val="Refdenotaalpie"/>
          <w:rFonts w:ascii="Arial" w:hAnsi="Arial" w:cs="Arial"/>
          <w:lang w:val="es-CO"/>
        </w:rPr>
        <w:footnoteReference w:id="44"/>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lastRenderedPageBreak/>
        <w:t>El 27 de enero de 2011</w:t>
      </w:r>
      <w:r w:rsidR="000E3930" w:rsidRPr="004F681E">
        <w:rPr>
          <w:rFonts w:ascii="Arial" w:hAnsi="Arial" w:cs="Arial"/>
          <w:lang w:val="es-CO"/>
        </w:rPr>
        <w:t>,</w:t>
      </w:r>
      <w:r w:rsidRPr="004F681E">
        <w:rPr>
          <w:rFonts w:ascii="Arial" w:hAnsi="Arial" w:cs="Arial"/>
          <w:lang w:val="es-CO"/>
        </w:rPr>
        <w:t xml:space="preserve"> el contratista solicitó al Instituto que se reunieran nuevamente a tratar los temas referentes a la puesta en funcionamiento de la pantalla y a </w:t>
      </w:r>
      <w:r w:rsidR="004C61C6" w:rsidRPr="004F681E">
        <w:rPr>
          <w:rFonts w:ascii="Arial" w:hAnsi="Arial" w:cs="Arial"/>
          <w:lang w:val="es-CO"/>
        </w:rPr>
        <w:t xml:space="preserve">discutir asuntos </w:t>
      </w:r>
      <w:r w:rsidRPr="004F681E">
        <w:rPr>
          <w:rFonts w:ascii="Arial" w:hAnsi="Arial" w:cs="Arial"/>
          <w:lang w:val="es-CO"/>
        </w:rPr>
        <w:t>como la acometida eléctrica que no cumplía las normas técnicas exigidas para ese tipo de dispositivos</w:t>
      </w:r>
      <w:r w:rsidRPr="004F681E">
        <w:rPr>
          <w:rStyle w:val="Refdenotaalpie"/>
          <w:rFonts w:ascii="Arial" w:hAnsi="Arial" w:cs="Arial"/>
          <w:lang w:val="es-CO"/>
        </w:rPr>
        <w:footnoteReference w:id="45"/>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1A7AA8" w:rsidP="00F40A72">
      <w:pPr>
        <w:spacing w:line="360" w:lineRule="auto"/>
        <w:jc w:val="both"/>
        <w:rPr>
          <w:rFonts w:ascii="Arial" w:hAnsi="Arial" w:cs="Arial"/>
          <w:lang w:val="es-CO"/>
        </w:rPr>
      </w:pPr>
      <w:r w:rsidRPr="004F681E">
        <w:rPr>
          <w:rFonts w:ascii="Arial" w:hAnsi="Arial" w:cs="Arial"/>
          <w:lang w:val="es-CO"/>
        </w:rPr>
        <w:t>Al día siguiente,</w:t>
      </w:r>
      <w:r w:rsidR="00F40A72" w:rsidRPr="004F681E">
        <w:rPr>
          <w:rFonts w:ascii="Arial" w:hAnsi="Arial" w:cs="Arial"/>
          <w:lang w:val="es-CO"/>
        </w:rPr>
        <w:t xml:space="preserve"> el IDRD se pronunció frente a lo anterior y le pidió al contratista que para solucionar lo referente al cambio de la acometida eléctrica enviara los cálculos de los conductores eléctricos y el cálculo de las cargas de regulación</w:t>
      </w:r>
      <w:r w:rsidR="00F40A72" w:rsidRPr="004F681E">
        <w:rPr>
          <w:rStyle w:val="Refdenotaalpie"/>
          <w:rFonts w:ascii="Arial" w:hAnsi="Arial" w:cs="Arial"/>
          <w:lang w:val="es-CO"/>
        </w:rPr>
        <w:footnoteReference w:id="46"/>
      </w:r>
      <w:r w:rsidR="004C61C6" w:rsidRPr="004F681E">
        <w:rPr>
          <w:rFonts w:ascii="Arial" w:hAnsi="Arial" w:cs="Arial"/>
          <w:lang w:val="es-CO"/>
        </w:rPr>
        <w:t>.</w:t>
      </w:r>
      <w:r w:rsidR="00F40A72"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 xml:space="preserve">Mediante oficio del 4 de febrero de 2011, la firma Traing Trabajos de Ingeniería Ltda., contratada para la reubicación de la pantalla, manifestó al Instituto que desde el mes de noviembre de 2010 </w:t>
      </w:r>
      <w:r w:rsidR="00D9789F" w:rsidRPr="004F681E">
        <w:rPr>
          <w:rFonts w:ascii="Arial" w:hAnsi="Arial" w:cs="Arial"/>
          <w:lang w:val="es-CO"/>
        </w:rPr>
        <w:t xml:space="preserve">ese artefacto </w:t>
      </w:r>
      <w:r w:rsidR="001A7AA8" w:rsidRPr="004F681E">
        <w:rPr>
          <w:rFonts w:ascii="Arial" w:hAnsi="Arial" w:cs="Arial"/>
          <w:lang w:val="es-CO"/>
        </w:rPr>
        <w:t>se encontraba listo</w:t>
      </w:r>
      <w:r w:rsidR="000E3930" w:rsidRPr="004F681E">
        <w:rPr>
          <w:rFonts w:ascii="Arial" w:hAnsi="Arial" w:cs="Arial"/>
          <w:lang w:val="es-CO"/>
        </w:rPr>
        <w:t xml:space="preserve"> para ser recibido</w:t>
      </w:r>
      <w:r w:rsidRPr="004F681E">
        <w:rPr>
          <w:rFonts w:ascii="Arial" w:hAnsi="Arial" w:cs="Arial"/>
          <w:lang w:val="es-CO"/>
        </w:rPr>
        <w:t xml:space="preserve"> por el concesionario</w:t>
      </w:r>
      <w:r w:rsidRPr="004F681E">
        <w:rPr>
          <w:rStyle w:val="Refdenotaalpie"/>
          <w:rFonts w:ascii="Arial" w:hAnsi="Arial" w:cs="Arial"/>
          <w:lang w:val="es-CO"/>
        </w:rPr>
        <w:footnoteReference w:id="47"/>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 xml:space="preserve">En ese escrito indicó que en la primera reunión programada para su entrega existieron reparos para </w:t>
      </w:r>
      <w:r w:rsidR="005043A3" w:rsidRPr="004F681E">
        <w:rPr>
          <w:rFonts w:ascii="Arial" w:hAnsi="Arial" w:cs="Arial"/>
          <w:lang w:val="es-CO"/>
        </w:rPr>
        <w:t xml:space="preserve">su </w:t>
      </w:r>
      <w:r w:rsidRPr="004F681E">
        <w:rPr>
          <w:rFonts w:ascii="Arial" w:hAnsi="Arial" w:cs="Arial"/>
          <w:lang w:val="es-CO"/>
        </w:rPr>
        <w:t>recibimiento por parte del concesionario</w:t>
      </w:r>
      <w:r w:rsidR="000E3930" w:rsidRPr="004F681E">
        <w:rPr>
          <w:rFonts w:ascii="Arial" w:hAnsi="Arial" w:cs="Arial"/>
          <w:lang w:val="es-CO"/>
        </w:rPr>
        <w:t>,</w:t>
      </w:r>
      <w:r w:rsidRPr="004F681E">
        <w:rPr>
          <w:rFonts w:ascii="Arial" w:hAnsi="Arial" w:cs="Arial"/>
          <w:lang w:val="es-CO"/>
        </w:rPr>
        <w:t xml:space="preserve"> por aspectos relacionados con los gabinetes de la misma y con asuntos de seguridad industrial, los cuales se solucionaron en el término de tres días</w:t>
      </w:r>
      <w:r w:rsidR="005043A3" w:rsidRPr="004F681E">
        <w:rPr>
          <w:rFonts w:ascii="Arial" w:hAnsi="Arial" w:cs="Arial"/>
          <w:lang w:val="es-CO"/>
        </w:rPr>
        <w:t>,</w:t>
      </w:r>
      <w:r w:rsidRPr="004F681E">
        <w:rPr>
          <w:rFonts w:ascii="Arial" w:hAnsi="Arial" w:cs="Arial"/>
          <w:lang w:val="es-CO"/>
        </w:rPr>
        <w:t xml:space="preserve"> período durante el cual se realizó un desmonte de todos los gabinetes y un mantenimiento preventivo. </w:t>
      </w:r>
    </w:p>
    <w:p w:rsidR="00F40A72" w:rsidRPr="004F681E" w:rsidRDefault="00F40A72" w:rsidP="00F40A72">
      <w:pPr>
        <w:spacing w:line="360" w:lineRule="auto"/>
        <w:jc w:val="both"/>
        <w:rPr>
          <w:rFonts w:ascii="Arial" w:hAnsi="Arial" w:cs="Arial"/>
          <w:lang w:val="es-CO"/>
        </w:rPr>
      </w:pPr>
    </w:p>
    <w:p w:rsidR="005913F1" w:rsidRPr="004F681E" w:rsidRDefault="00F40A72" w:rsidP="00F40A72">
      <w:pPr>
        <w:spacing w:line="360" w:lineRule="auto"/>
        <w:jc w:val="both"/>
        <w:rPr>
          <w:rFonts w:ascii="Arial" w:hAnsi="Arial" w:cs="Arial"/>
          <w:lang w:val="es-CO"/>
        </w:rPr>
      </w:pPr>
      <w:r w:rsidRPr="004F681E">
        <w:rPr>
          <w:rFonts w:ascii="Arial" w:hAnsi="Arial" w:cs="Arial"/>
          <w:lang w:val="es-CO"/>
        </w:rPr>
        <w:t>Agregó que durante la segunda reunión se presentó una novedad relativa a un error de hardware arrojado por el computador que manejaba la pantalla, cuestión que</w:t>
      </w:r>
      <w:r w:rsidR="001A7AA8" w:rsidRPr="004F681E">
        <w:rPr>
          <w:rFonts w:ascii="Arial" w:hAnsi="Arial" w:cs="Arial"/>
          <w:lang w:val="es-CO"/>
        </w:rPr>
        <w:t>,</w:t>
      </w:r>
      <w:r w:rsidRPr="004F681E">
        <w:rPr>
          <w:rFonts w:ascii="Arial" w:hAnsi="Arial" w:cs="Arial"/>
          <w:lang w:val="es-CO"/>
        </w:rPr>
        <w:t xml:space="preserve"> además de no ser grave</w:t>
      </w:r>
      <w:r w:rsidR="001A7AA8" w:rsidRPr="004F681E">
        <w:rPr>
          <w:rFonts w:ascii="Arial" w:hAnsi="Arial" w:cs="Arial"/>
          <w:lang w:val="es-CO"/>
        </w:rPr>
        <w:t>,</w:t>
      </w:r>
      <w:r w:rsidRPr="004F681E">
        <w:rPr>
          <w:rFonts w:ascii="Arial" w:hAnsi="Arial" w:cs="Arial"/>
          <w:lang w:val="es-CO"/>
        </w:rPr>
        <w:t xml:space="preserve"> se subsanó cambiando la tarjeta send card y reemplazando el software obsoleto que tenía por uno actualizado.</w:t>
      </w:r>
    </w:p>
    <w:p w:rsidR="001A7AA8" w:rsidRPr="004F681E" w:rsidRDefault="001A7AA8"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Advirtió además que</w:t>
      </w:r>
      <w:r w:rsidR="001A7AA8" w:rsidRPr="004F681E">
        <w:rPr>
          <w:rFonts w:ascii="Arial" w:hAnsi="Arial" w:cs="Arial"/>
          <w:lang w:val="es-CO"/>
        </w:rPr>
        <w:t>,</w:t>
      </w:r>
      <w:r w:rsidRPr="004F681E">
        <w:rPr>
          <w:rFonts w:ascii="Arial" w:hAnsi="Arial" w:cs="Arial"/>
          <w:lang w:val="es-CO"/>
        </w:rPr>
        <w:t xml:space="preserve"> de acue</w:t>
      </w:r>
      <w:r w:rsidR="000E3930" w:rsidRPr="004F681E">
        <w:rPr>
          <w:rFonts w:ascii="Arial" w:hAnsi="Arial" w:cs="Arial"/>
          <w:lang w:val="es-CO"/>
        </w:rPr>
        <w:t>rdo con las directrices impartidas</w:t>
      </w:r>
      <w:r w:rsidRPr="004F681E">
        <w:rPr>
          <w:rFonts w:ascii="Arial" w:hAnsi="Arial" w:cs="Arial"/>
          <w:lang w:val="es-CO"/>
        </w:rPr>
        <w:t xml:space="preserve"> en los comités de reunión</w:t>
      </w:r>
      <w:r w:rsidR="001A7AA8" w:rsidRPr="004F681E">
        <w:rPr>
          <w:rFonts w:ascii="Arial" w:hAnsi="Arial" w:cs="Arial"/>
          <w:lang w:val="es-CO"/>
        </w:rPr>
        <w:t>,</w:t>
      </w:r>
      <w:r w:rsidRPr="004F681E">
        <w:rPr>
          <w:rFonts w:ascii="Arial" w:hAnsi="Arial" w:cs="Arial"/>
          <w:lang w:val="es-CO"/>
        </w:rPr>
        <w:t xml:space="preserve"> se había decidido realizar la prolongación de la conexión existente de manera provisional</w:t>
      </w:r>
      <w:r w:rsidR="000E3930" w:rsidRPr="004F681E">
        <w:rPr>
          <w:rFonts w:ascii="Arial" w:hAnsi="Arial" w:cs="Arial"/>
          <w:lang w:val="es-CO"/>
        </w:rPr>
        <w:t>,</w:t>
      </w:r>
      <w:r w:rsidRPr="004F681E">
        <w:rPr>
          <w:rFonts w:ascii="Arial" w:hAnsi="Arial" w:cs="Arial"/>
          <w:lang w:val="es-CO"/>
        </w:rPr>
        <w:t xml:space="preserve"> por cuanto la acometida eléctrica definitiva estaba siendo realizada por el consorcio Contein </w:t>
      </w:r>
      <w:r w:rsidR="000E3930" w:rsidRPr="004F681E">
        <w:rPr>
          <w:rFonts w:ascii="Arial" w:hAnsi="Arial" w:cs="Arial"/>
          <w:lang w:val="es-CO"/>
        </w:rPr>
        <w:t>–</w:t>
      </w:r>
      <w:r w:rsidRPr="004F681E">
        <w:rPr>
          <w:rFonts w:ascii="Arial" w:hAnsi="Arial" w:cs="Arial"/>
          <w:lang w:val="es-CO"/>
        </w:rPr>
        <w:t xml:space="preserve"> Tecmo</w:t>
      </w:r>
      <w:r w:rsidR="000E3930" w:rsidRPr="004F681E">
        <w:rPr>
          <w:rFonts w:ascii="Arial" w:hAnsi="Arial" w:cs="Arial"/>
          <w:lang w:val="es-CO"/>
        </w:rPr>
        <w:t>,</w:t>
      </w:r>
      <w:r w:rsidRPr="004F681E">
        <w:rPr>
          <w:rFonts w:ascii="Arial" w:hAnsi="Arial" w:cs="Arial"/>
          <w:lang w:val="es-CO"/>
        </w:rPr>
        <w:t xml:space="preserve"> a cuyo cargo se encontraban las obras de adecuación del estadio. Anotó que dentro de la pantalla se colocó un equipo de medición para verificar el voltaje de dicha conexión provisional y se encontró que el voltaje de la corriente suministrada era el adecuado para el funcionamiento de la pantalla en condiciones normales.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lastRenderedPageBreak/>
        <w:t xml:space="preserve">Finalmente señaló: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276" w:lineRule="auto"/>
        <w:ind w:left="567" w:right="567"/>
        <w:jc w:val="both"/>
        <w:rPr>
          <w:rFonts w:ascii="Arial" w:hAnsi="Arial" w:cs="Arial"/>
          <w:i/>
          <w:lang w:val="es-CO"/>
        </w:rPr>
      </w:pPr>
      <w:r w:rsidRPr="004F681E">
        <w:rPr>
          <w:rFonts w:ascii="Arial" w:hAnsi="Arial" w:cs="Arial"/>
          <w:i/>
          <w:lang w:val="es-CO"/>
        </w:rPr>
        <w:t>“Es claro que a la luz de los nuevos acontecimientos y de acuerdo con el</w:t>
      </w:r>
      <w:r w:rsidR="00812A14" w:rsidRPr="004F681E">
        <w:rPr>
          <w:rFonts w:ascii="Arial" w:hAnsi="Arial" w:cs="Arial"/>
          <w:i/>
          <w:lang w:val="es-CO"/>
        </w:rPr>
        <w:t xml:space="preserve"> informe de interventoría, en los (sic)</w:t>
      </w:r>
      <w:r w:rsidRPr="004F681E">
        <w:rPr>
          <w:rFonts w:ascii="Arial" w:hAnsi="Arial" w:cs="Arial"/>
          <w:i/>
          <w:lang w:val="es-CO"/>
        </w:rPr>
        <w:t xml:space="preserve"> que el consorcio mencionado destrozó involuntariamente la conexión realizada, no es posible en este momento prender la pantalla; adicionalmente tenemos que corroborar si durante el jalonazo que la retroexcavadora le ocasionó a la red no ocasionaría alguna desconexión interna de la pantalla”.</w:t>
      </w:r>
    </w:p>
    <w:p w:rsidR="00F40A72" w:rsidRPr="004F681E" w:rsidRDefault="00F40A72" w:rsidP="00F40A72">
      <w:pPr>
        <w:spacing w:line="276" w:lineRule="auto"/>
        <w:ind w:left="567" w:right="567"/>
        <w:jc w:val="both"/>
        <w:rPr>
          <w:rFonts w:ascii="Arial" w:hAnsi="Arial" w:cs="Arial"/>
          <w:i/>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A través de documento del 16 de febrero de 2011</w:t>
      </w:r>
      <w:r w:rsidR="001A7AA8" w:rsidRPr="004F681E">
        <w:rPr>
          <w:rFonts w:ascii="Arial" w:hAnsi="Arial" w:cs="Arial"/>
          <w:lang w:val="es-CO"/>
        </w:rPr>
        <w:t>,</w:t>
      </w:r>
      <w:r w:rsidRPr="004F681E">
        <w:rPr>
          <w:rFonts w:ascii="Arial" w:hAnsi="Arial" w:cs="Arial"/>
          <w:lang w:val="es-CO"/>
        </w:rPr>
        <w:t xml:space="preserve"> el Instituto se pronunció nuevamente frente a la solicitud de lucro cesante elevada por el contratista y le solicitó que aportara los soportes documen</w:t>
      </w:r>
      <w:r w:rsidR="000E3930" w:rsidRPr="004F681E">
        <w:rPr>
          <w:rFonts w:ascii="Arial" w:hAnsi="Arial" w:cs="Arial"/>
          <w:lang w:val="es-CO"/>
        </w:rPr>
        <w:t>tales anteriormente requeridos</w:t>
      </w:r>
      <w:r w:rsidRPr="004F681E">
        <w:rPr>
          <w:rFonts w:ascii="Arial" w:hAnsi="Arial" w:cs="Arial"/>
          <w:lang w:val="es-CO"/>
        </w:rPr>
        <w:t xml:space="preserve"> que hasta esa fecha no se habían allegado</w:t>
      </w:r>
      <w:r w:rsidRPr="004F681E">
        <w:rPr>
          <w:rStyle w:val="Refdenotaalpie"/>
          <w:rFonts w:ascii="Arial" w:hAnsi="Arial" w:cs="Arial"/>
          <w:lang w:val="es-CO"/>
        </w:rPr>
        <w:footnoteReference w:id="48"/>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1A7AA8" w:rsidRPr="004F681E" w:rsidRDefault="00F40A72" w:rsidP="00F40A72">
      <w:pPr>
        <w:spacing w:line="360" w:lineRule="auto"/>
        <w:jc w:val="both"/>
        <w:rPr>
          <w:rFonts w:ascii="Arial" w:hAnsi="Arial" w:cs="Arial"/>
          <w:lang w:val="es-CO"/>
        </w:rPr>
      </w:pPr>
      <w:r w:rsidRPr="004F681E">
        <w:rPr>
          <w:rFonts w:ascii="Arial" w:hAnsi="Arial" w:cs="Arial"/>
          <w:lang w:val="es-CO"/>
        </w:rPr>
        <w:t xml:space="preserve">En comité llevado a cabo </w:t>
      </w:r>
      <w:r w:rsidR="001A7AA8" w:rsidRPr="004F681E">
        <w:rPr>
          <w:rFonts w:ascii="Arial" w:hAnsi="Arial" w:cs="Arial"/>
          <w:lang w:val="es-CO"/>
        </w:rPr>
        <w:t>el 17 d</w:t>
      </w:r>
      <w:r w:rsidRPr="004F681E">
        <w:rPr>
          <w:rFonts w:ascii="Arial" w:hAnsi="Arial" w:cs="Arial"/>
          <w:lang w:val="es-CO"/>
        </w:rPr>
        <w:t>e febrer</w:t>
      </w:r>
      <w:r w:rsidR="001A7AA8" w:rsidRPr="004F681E">
        <w:rPr>
          <w:rFonts w:ascii="Arial" w:hAnsi="Arial" w:cs="Arial"/>
          <w:lang w:val="es-CO"/>
        </w:rPr>
        <w:t>o de 2011 entre las partes del C</w:t>
      </w:r>
      <w:r w:rsidRPr="004F681E">
        <w:rPr>
          <w:rFonts w:ascii="Arial" w:hAnsi="Arial" w:cs="Arial"/>
          <w:lang w:val="es-CO"/>
        </w:rPr>
        <w:t xml:space="preserve">ontrato </w:t>
      </w:r>
      <w:r w:rsidR="001A7AA8" w:rsidRPr="004F681E">
        <w:rPr>
          <w:rFonts w:ascii="Arial" w:hAnsi="Arial" w:cs="Arial"/>
          <w:lang w:val="es-CO"/>
        </w:rPr>
        <w:t>de C</w:t>
      </w:r>
      <w:r w:rsidRPr="004F681E">
        <w:rPr>
          <w:rFonts w:ascii="Arial" w:hAnsi="Arial" w:cs="Arial"/>
          <w:lang w:val="es-CO"/>
        </w:rPr>
        <w:t>oncesión No. 425 se analizó lo concerniente a la entrega de la panta</w:t>
      </w:r>
      <w:r w:rsidR="002244CE" w:rsidRPr="004F681E">
        <w:rPr>
          <w:rFonts w:ascii="Arial" w:hAnsi="Arial" w:cs="Arial"/>
          <w:lang w:val="es-CO"/>
        </w:rPr>
        <w:t xml:space="preserve">lla exterior. </w:t>
      </w:r>
    </w:p>
    <w:p w:rsidR="00F40A72" w:rsidRPr="004F681E" w:rsidRDefault="002244CE" w:rsidP="00F40A72">
      <w:pPr>
        <w:spacing w:line="360" w:lineRule="auto"/>
        <w:jc w:val="both"/>
        <w:rPr>
          <w:rFonts w:ascii="Arial" w:hAnsi="Arial" w:cs="Arial"/>
          <w:lang w:val="es-CO"/>
        </w:rPr>
      </w:pPr>
      <w:r w:rsidRPr="004F681E">
        <w:rPr>
          <w:rFonts w:ascii="Arial" w:hAnsi="Arial" w:cs="Arial"/>
          <w:lang w:val="es-CO"/>
        </w:rPr>
        <w:t>En esa ocasión</w:t>
      </w:r>
      <w:r w:rsidR="00F40A72" w:rsidRPr="004F681E">
        <w:rPr>
          <w:rFonts w:ascii="Arial" w:hAnsi="Arial" w:cs="Arial"/>
          <w:lang w:val="es-CO"/>
        </w:rPr>
        <w:t xml:space="preserve"> se concertó que el Instituto ejecutaría la conexión definitiva d</w:t>
      </w:r>
      <w:r w:rsidRPr="004F681E">
        <w:rPr>
          <w:rFonts w:ascii="Arial" w:hAnsi="Arial" w:cs="Arial"/>
          <w:lang w:val="es-CO"/>
        </w:rPr>
        <w:t>e la pantalla con sujeción a</w:t>
      </w:r>
      <w:r w:rsidR="00F40A72" w:rsidRPr="004F681E">
        <w:rPr>
          <w:rFonts w:ascii="Arial" w:hAnsi="Arial" w:cs="Arial"/>
          <w:lang w:val="es-CO"/>
        </w:rPr>
        <w:t xml:space="preserve"> la normativa </w:t>
      </w:r>
      <w:r w:rsidRPr="004F681E">
        <w:rPr>
          <w:rFonts w:ascii="Arial" w:hAnsi="Arial" w:cs="Arial"/>
          <w:lang w:val="es-CO"/>
        </w:rPr>
        <w:t xml:space="preserve">vigente </w:t>
      </w:r>
      <w:r w:rsidR="00F40A72" w:rsidRPr="004F681E">
        <w:rPr>
          <w:rFonts w:ascii="Arial" w:hAnsi="Arial" w:cs="Arial"/>
          <w:lang w:val="es-CO"/>
        </w:rPr>
        <w:t>y la entregaría a más tardar el 10 de marzo de 2010</w:t>
      </w:r>
      <w:r w:rsidRPr="004F681E">
        <w:rPr>
          <w:rFonts w:ascii="Arial" w:hAnsi="Arial" w:cs="Arial"/>
          <w:lang w:val="es-CO"/>
        </w:rPr>
        <w:t xml:space="preserve">, fecha en que ya se </w:t>
      </w:r>
      <w:r w:rsidR="00F40A72" w:rsidRPr="004F681E">
        <w:rPr>
          <w:rFonts w:ascii="Arial" w:hAnsi="Arial" w:cs="Arial"/>
          <w:lang w:val="es-CO"/>
        </w:rPr>
        <w:t>encontraba programada su entrega</w:t>
      </w:r>
      <w:r w:rsidR="000E3930" w:rsidRPr="004F681E">
        <w:rPr>
          <w:rFonts w:ascii="Arial" w:hAnsi="Arial" w:cs="Arial"/>
          <w:lang w:val="es-CO"/>
        </w:rPr>
        <w:t>,</w:t>
      </w:r>
      <w:r w:rsidR="00F40A72" w:rsidRPr="004F681E">
        <w:rPr>
          <w:rFonts w:ascii="Arial" w:hAnsi="Arial" w:cs="Arial"/>
          <w:lang w:val="es-CO"/>
        </w:rPr>
        <w:t xml:space="preserve"> por cuanto el consorcio C</w:t>
      </w:r>
      <w:r w:rsidRPr="004F681E">
        <w:rPr>
          <w:rFonts w:ascii="Arial" w:hAnsi="Arial" w:cs="Arial"/>
          <w:lang w:val="es-CO"/>
        </w:rPr>
        <w:t>onten-termo había realizado</w:t>
      </w:r>
      <w:r w:rsidR="00F40A72" w:rsidRPr="004F681E">
        <w:rPr>
          <w:rFonts w:ascii="Arial" w:hAnsi="Arial" w:cs="Arial"/>
          <w:lang w:val="es-CO"/>
        </w:rPr>
        <w:t xml:space="preserve"> los a</w:t>
      </w:r>
      <w:r w:rsidR="000E3930" w:rsidRPr="004F681E">
        <w:rPr>
          <w:rFonts w:ascii="Arial" w:hAnsi="Arial" w:cs="Arial"/>
          <w:lang w:val="es-CO"/>
        </w:rPr>
        <w:t>rreglos de la conexión dañada con</w:t>
      </w:r>
      <w:r w:rsidR="00F40A72" w:rsidRPr="004F681E">
        <w:rPr>
          <w:rFonts w:ascii="Arial" w:hAnsi="Arial" w:cs="Arial"/>
          <w:lang w:val="es-CO"/>
        </w:rPr>
        <w:t xml:space="preserve"> las obras civiles. Se manifestó que la interventoría solicitó la revisión detallada de dicho arreglo con el fin de autorizar el encendido y pruebas de puesta en funcionamiento de la pantalla</w:t>
      </w:r>
      <w:r w:rsidR="00F40A72" w:rsidRPr="004F681E">
        <w:rPr>
          <w:rStyle w:val="Refdenotaalpie"/>
          <w:rFonts w:ascii="Arial" w:hAnsi="Arial" w:cs="Arial"/>
          <w:lang w:val="es-CO"/>
        </w:rPr>
        <w:footnoteReference w:id="49"/>
      </w:r>
      <w:r w:rsidR="00F40A72" w:rsidRPr="004F681E">
        <w:rPr>
          <w:rFonts w:ascii="Arial" w:hAnsi="Arial" w:cs="Arial"/>
          <w:lang w:val="es-CO"/>
        </w:rPr>
        <w:t xml:space="preserve">. </w:t>
      </w:r>
    </w:p>
    <w:p w:rsidR="0044597B" w:rsidRPr="004F681E" w:rsidRDefault="0044597B"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De la misma manera</w:t>
      </w:r>
      <w:r w:rsidR="001A7AA8" w:rsidRPr="004F681E">
        <w:rPr>
          <w:rFonts w:ascii="Arial" w:hAnsi="Arial" w:cs="Arial"/>
          <w:lang w:val="es-CO"/>
        </w:rPr>
        <w:t>,</w:t>
      </w:r>
      <w:r w:rsidRPr="004F681E">
        <w:rPr>
          <w:rFonts w:ascii="Arial" w:hAnsi="Arial" w:cs="Arial"/>
          <w:lang w:val="es-CO"/>
        </w:rPr>
        <w:t xml:space="preserve"> en dicha acta se dejó constancia de que existían problemas de oxidación de la pantalla, por lo cual habían solicitado al interventor del concesionario que rindiera un informe sobre la corrosión del elemento</w:t>
      </w:r>
      <w:r w:rsidR="000E3930" w:rsidRPr="004F681E">
        <w:rPr>
          <w:rFonts w:ascii="Arial" w:hAnsi="Arial" w:cs="Arial"/>
          <w:lang w:val="es-CO"/>
        </w:rPr>
        <w:t>,</w:t>
      </w:r>
      <w:r w:rsidRPr="004F681E">
        <w:rPr>
          <w:rFonts w:ascii="Arial" w:hAnsi="Arial" w:cs="Arial"/>
          <w:lang w:val="es-CO"/>
        </w:rPr>
        <w:t xml:space="preserve"> para efectos de verificar si pre</w:t>
      </w:r>
      <w:r w:rsidR="006E6F2A" w:rsidRPr="004F681E">
        <w:rPr>
          <w:rFonts w:ascii="Arial" w:hAnsi="Arial" w:cs="Arial"/>
          <w:lang w:val="es-CO"/>
        </w:rPr>
        <w:t>e</w:t>
      </w:r>
      <w:r w:rsidRPr="004F681E">
        <w:rPr>
          <w:rFonts w:ascii="Arial" w:hAnsi="Arial" w:cs="Arial"/>
          <w:lang w:val="es-CO"/>
        </w:rPr>
        <w:t xml:space="preserve">xistían esas falencias al momento de ejecutar las obras de desmonte y traslado. </w:t>
      </w:r>
      <w:r w:rsidR="002244CE" w:rsidRPr="004F681E">
        <w:rPr>
          <w:rFonts w:ascii="Arial" w:hAnsi="Arial" w:cs="Arial"/>
          <w:lang w:val="es-CO"/>
        </w:rPr>
        <w:t xml:space="preserve">Producto </w:t>
      </w:r>
      <w:r w:rsidRPr="004F681E">
        <w:rPr>
          <w:rFonts w:ascii="Arial" w:hAnsi="Arial" w:cs="Arial"/>
          <w:lang w:val="es-CO"/>
        </w:rPr>
        <w:t xml:space="preserve">de lo anterior, la firma Informática y Tecnológica realizó un estudio en el cual hizo constar la existencia de corrosión y humedad previas a las actividades de desmonte y traslado con presencia de filtración de agua. </w:t>
      </w:r>
    </w:p>
    <w:p w:rsidR="00F40A72" w:rsidRPr="004F681E" w:rsidRDefault="00F40A72" w:rsidP="00F40A72">
      <w:pPr>
        <w:spacing w:line="360" w:lineRule="auto"/>
        <w:jc w:val="both"/>
        <w:rPr>
          <w:rFonts w:ascii="Arial" w:hAnsi="Arial" w:cs="Arial"/>
          <w:lang w:val="es-CO"/>
        </w:rPr>
      </w:pPr>
    </w:p>
    <w:p w:rsidR="00F40A72" w:rsidRPr="004F681E" w:rsidRDefault="001A7AA8" w:rsidP="00F40A72">
      <w:pPr>
        <w:spacing w:line="360" w:lineRule="auto"/>
        <w:jc w:val="both"/>
        <w:rPr>
          <w:rFonts w:ascii="Arial" w:hAnsi="Arial" w:cs="Arial"/>
          <w:lang w:val="es-CO"/>
        </w:rPr>
      </w:pPr>
      <w:r w:rsidRPr="004F681E">
        <w:rPr>
          <w:rFonts w:ascii="Arial" w:hAnsi="Arial" w:cs="Arial"/>
          <w:lang w:val="es-CO"/>
        </w:rPr>
        <w:t xml:space="preserve">También </w:t>
      </w:r>
      <w:r w:rsidR="00F40A72" w:rsidRPr="004F681E">
        <w:rPr>
          <w:rFonts w:ascii="Arial" w:hAnsi="Arial" w:cs="Arial"/>
          <w:lang w:val="es-CO"/>
        </w:rPr>
        <w:t xml:space="preserve">se analizó lo atinente a la estructura, </w:t>
      </w:r>
      <w:r w:rsidR="002244CE" w:rsidRPr="004F681E">
        <w:rPr>
          <w:rFonts w:ascii="Arial" w:hAnsi="Arial" w:cs="Arial"/>
          <w:lang w:val="es-CO"/>
        </w:rPr>
        <w:t xml:space="preserve">el </w:t>
      </w:r>
      <w:r w:rsidR="00F40A72" w:rsidRPr="004F681E">
        <w:rPr>
          <w:rFonts w:ascii="Arial" w:hAnsi="Arial" w:cs="Arial"/>
          <w:lang w:val="es-CO"/>
        </w:rPr>
        <w:t xml:space="preserve">montaje </w:t>
      </w:r>
      <w:r w:rsidR="002244CE" w:rsidRPr="004F681E">
        <w:rPr>
          <w:rFonts w:ascii="Arial" w:hAnsi="Arial" w:cs="Arial"/>
          <w:lang w:val="es-CO"/>
        </w:rPr>
        <w:t xml:space="preserve">y </w:t>
      </w:r>
      <w:r w:rsidR="00F40A72" w:rsidRPr="004F681E">
        <w:rPr>
          <w:rFonts w:ascii="Arial" w:hAnsi="Arial" w:cs="Arial"/>
          <w:lang w:val="es-CO"/>
        </w:rPr>
        <w:t xml:space="preserve">esquema de soporte de la pantalla en la torre suroccidental </w:t>
      </w:r>
      <w:r w:rsidR="002244CE" w:rsidRPr="004F681E">
        <w:rPr>
          <w:rFonts w:ascii="Arial" w:hAnsi="Arial" w:cs="Arial"/>
          <w:lang w:val="es-CO"/>
        </w:rPr>
        <w:t xml:space="preserve">y </w:t>
      </w:r>
      <w:r w:rsidR="00F40A72" w:rsidRPr="004F681E">
        <w:rPr>
          <w:rFonts w:ascii="Arial" w:hAnsi="Arial" w:cs="Arial"/>
          <w:lang w:val="es-CO"/>
        </w:rPr>
        <w:t xml:space="preserve">se advirtió que los trabajos habían sido realizados por la firma PCA con amplia experiencia en ese tipo de obras civiles.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lastRenderedPageBreak/>
        <w:t>Una vez más, el 9 de marzo de 2011</w:t>
      </w:r>
      <w:r w:rsidR="000E3930" w:rsidRPr="004F681E">
        <w:rPr>
          <w:rFonts w:ascii="Arial" w:hAnsi="Arial" w:cs="Arial"/>
          <w:lang w:val="es-CO"/>
        </w:rPr>
        <w:t>,</w:t>
      </w:r>
      <w:r w:rsidRPr="004F681E">
        <w:rPr>
          <w:rFonts w:ascii="Arial" w:hAnsi="Arial" w:cs="Arial"/>
          <w:lang w:val="es-CO"/>
        </w:rPr>
        <w:t xml:space="preserve"> el Instituto inf</w:t>
      </w:r>
      <w:r w:rsidR="002244CE" w:rsidRPr="004F681E">
        <w:rPr>
          <w:rFonts w:ascii="Arial" w:hAnsi="Arial" w:cs="Arial"/>
          <w:lang w:val="es-CO"/>
        </w:rPr>
        <w:t>ormó al concesionario que debía</w:t>
      </w:r>
      <w:r w:rsidRPr="004F681E">
        <w:rPr>
          <w:rFonts w:ascii="Arial" w:hAnsi="Arial" w:cs="Arial"/>
          <w:lang w:val="es-CO"/>
        </w:rPr>
        <w:t xml:space="preserve"> allegar los soportes contables pertinentes para calcular el valor del lucro cesante reclamado</w:t>
      </w:r>
      <w:r w:rsidRPr="004F681E">
        <w:rPr>
          <w:rStyle w:val="Refdenotaalpie"/>
          <w:rFonts w:ascii="Arial" w:hAnsi="Arial" w:cs="Arial"/>
          <w:lang w:val="es-CO"/>
        </w:rPr>
        <w:footnoteReference w:id="50"/>
      </w:r>
      <w:r w:rsidR="002244CE" w:rsidRPr="004F681E">
        <w:rPr>
          <w:rFonts w:ascii="Arial" w:hAnsi="Arial" w:cs="Arial"/>
          <w:lang w:val="es-CO"/>
        </w:rPr>
        <w:t xml:space="preserve"> por razón del período de inactividad de la pantalla</w:t>
      </w:r>
      <w:r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A través de oficio del 4 de abril de 2011</w:t>
      </w:r>
      <w:r w:rsidR="000E3930" w:rsidRPr="004F681E">
        <w:rPr>
          <w:rFonts w:ascii="Arial" w:hAnsi="Arial" w:cs="Arial"/>
          <w:lang w:val="es-CO"/>
        </w:rPr>
        <w:t>,</w:t>
      </w:r>
      <w:r w:rsidRPr="004F681E">
        <w:rPr>
          <w:rFonts w:ascii="Arial" w:hAnsi="Arial" w:cs="Arial"/>
          <w:lang w:val="es-CO"/>
        </w:rPr>
        <w:t xml:space="preserve"> el ente contratante comunicó a la UT Publiestadios que el estado de la pantalla se encontraba en óptimas condiciones de instalación y funcionamiento y que su entrega se realizaría el 8 de abril de ese año en horas de la mañana. En ese mismo escrito</w:t>
      </w:r>
      <w:r w:rsidR="001A7AA8" w:rsidRPr="004F681E">
        <w:rPr>
          <w:rFonts w:ascii="Arial" w:hAnsi="Arial" w:cs="Arial"/>
          <w:lang w:val="es-CO"/>
        </w:rPr>
        <w:t>,</w:t>
      </w:r>
      <w:r w:rsidRPr="004F681E">
        <w:rPr>
          <w:rFonts w:ascii="Arial" w:hAnsi="Arial" w:cs="Arial"/>
          <w:lang w:val="es-CO"/>
        </w:rPr>
        <w:t xml:space="preserve"> el IDRD se refirió a cada una de los asuntos frente a los cuales el contratista había manifestado in</w:t>
      </w:r>
      <w:r w:rsidR="00466060" w:rsidRPr="004F681E">
        <w:rPr>
          <w:rFonts w:ascii="Arial" w:hAnsi="Arial" w:cs="Arial"/>
          <w:lang w:val="es-CO"/>
        </w:rPr>
        <w:t>conformidades en oportunidades</w:t>
      </w:r>
      <w:r w:rsidRPr="004F681E">
        <w:rPr>
          <w:rFonts w:ascii="Arial" w:hAnsi="Arial" w:cs="Arial"/>
          <w:lang w:val="es-CO"/>
        </w:rPr>
        <w:t xml:space="preserve"> anteriores, </w:t>
      </w:r>
      <w:r w:rsidR="000E3930" w:rsidRPr="004F681E">
        <w:rPr>
          <w:rFonts w:ascii="Arial" w:hAnsi="Arial" w:cs="Arial"/>
          <w:lang w:val="es-CO"/>
        </w:rPr>
        <w:t>como el estado de la pantalla,</w:t>
      </w:r>
      <w:r w:rsidRPr="004F681E">
        <w:rPr>
          <w:rFonts w:ascii="Arial" w:hAnsi="Arial" w:cs="Arial"/>
          <w:lang w:val="es-CO"/>
        </w:rPr>
        <w:t xml:space="preserve"> su ubicación en el lugar inicial y el reconocimiento del lucro cesante</w:t>
      </w:r>
      <w:r w:rsidRPr="004F681E">
        <w:rPr>
          <w:rStyle w:val="Refdenotaalpie"/>
          <w:rFonts w:ascii="Arial" w:hAnsi="Arial" w:cs="Arial"/>
          <w:lang w:val="es-CO"/>
        </w:rPr>
        <w:footnoteReference w:id="51"/>
      </w:r>
      <w:r w:rsidRPr="004F681E">
        <w:rPr>
          <w:rFonts w:ascii="Arial" w:hAnsi="Arial" w:cs="Arial"/>
          <w:lang w:val="es-CO"/>
        </w:rPr>
        <w:t xml:space="preserve">. </w:t>
      </w:r>
    </w:p>
    <w:p w:rsidR="006D76B5" w:rsidRPr="004F681E" w:rsidRDefault="006D76B5"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8 de abril de 2011</w:t>
      </w:r>
      <w:r w:rsidR="000E3930" w:rsidRPr="004F681E">
        <w:rPr>
          <w:rFonts w:ascii="Arial" w:hAnsi="Arial" w:cs="Arial"/>
          <w:lang w:val="es-CO"/>
        </w:rPr>
        <w:t>,</w:t>
      </w:r>
      <w:r w:rsidRPr="004F681E">
        <w:rPr>
          <w:rFonts w:ascii="Arial" w:hAnsi="Arial" w:cs="Arial"/>
          <w:lang w:val="es-CO"/>
        </w:rPr>
        <w:t xml:space="preserve"> las partes suscribieron el acta en la que se hizo constar la entrega por parte del IDRD y el recibo por el concesionario de la pantalla exterior ubicada en la torre suroccidental del estadio El </w:t>
      </w:r>
      <w:r w:rsidR="009870ED" w:rsidRPr="004F681E">
        <w:rPr>
          <w:rFonts w:ascii="Arial" w:hAnsi="Arial" w:cs="Arial"/>
          <w:lang w:val="es-CO"/>
        </w:rPr>
        <w:t>Campín</w:t>
      </w:r>
      <w:r w:rsidRPr="004F681E">
        <w:rPr>
          <w:rStyle w:val="Refdenotaalpie"/>
          <w:rFonts w:ascii="Arial" w:hAnsi="Arial" w:cs="Arial"/>
          <w:lang w:val="es-CO"/>
        </w:rPr>
        <w:footnoteReference w:id="52"/>
      </w:r>
      <w:r w:rsidRPr="004F681E">
        <w:rPr>
          <w:rFonts w:ascii="Arial" w:hAnsi="Arial" w:cs="Arial"/>
          <w:lang w:val="es-CO"/>
        </w:rPr>
        <w:t xml:space="preserve">. En ese documento se dejó constancia de que la pantalla se recibía en óptimas condiciones. </w:t>
      </w:r>
    </w:p>
    <w:p w:rsidR="00B61BF6" w:rsidRPr="004F681E" w:rsidRDefault="00B61BF6"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 xml:space="preserve">Mediante escrito del 20 de abril de 2011 el contratista allegó </w:t>
      </w:r>
      <w:r w:rsidR="005B33BF" w:rsidRPr="004F681E">
        <w:rPr>
          <w:rFonts w:ascii="Arial" w:hAnsi="Arial" w:cs="Arial"/>
          <w:lang w:val="es-CO"/>
        </w:rPr>
        <w:t>ante la entidad los documentos</w:t>
      </w:r>
      <w:r w:rsidRPr="004F681E">
        <w:rPr>
          <w:rFonts w:ascii="Arial" w:hAnsi="Arial" w:cs="Arial"/>
          <w:lang w:val="es-CO"/>
        </w:rPr>
        <w:t xml:space="preserve"> solicitados en anteriores ocasiones</w:t>
      </w:r>
      <w:r w:rsidR="000E3930" w:rsidRPr="004F681E">
        <w:rPr>
          <w:rFonts w:ascii="Arial" w:hAnsi="Arial" w:cs="Arial"/>
          <w:lang w:val="es-CO"/>
        </w:rPr>
        <w:t>,</w:t>
      </w:r>
      <w:r w:rsidRPr="004F681E">
        <w:rPr>
          <w:rFonts w:ascii="Arial" w:hAnsi="Arial" w:cs="Arial"/>
          <w:lang w:val="es-CO"/>
        </w:rPr>
        <w:t xml:space="preserve"> con el fin de acreditar el lucro cesante sufrido como consecuencia de la inoperatividad de la pantalla, consistentes en estados financieros y declaraciones de renta y advirtió que el monto del lucro cesante padecido hasta ese momento ascendía a $597’000.000</w:t>
      </w:r>
      <w:r w:rsidRPr="004F681E">
        <w:rPr>
          <w:rStyle w:val="Refdenotaalpie"/>
          <w:rFonts w:ascii="Arial" w:hAnsi="Arial" w:cs="Arial"/>
          <w:lang w:val="es-CO"/>
        </w:rPr>
        <w:footnoteReference w:id="53"/>
      </w:r>
      <w:r w:rsidR="00987E64" w:rsidRPr="004F681E">
        <w:rPr>
          <w:rFonts w:ascii="Arial" w:hAnsi="Arial" w:cs="Arial"/>
          <w:lang w:val="es-CO"/>
        </w:rPr>
        <w:t>.</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19 de mayo de 2011</w:t>
      </w:r>
      <w:r w:rsidR="000E3930" w:rsidRPr="004F681E">
        <w:rPr>
          <w:rFonts w:ascii="Arial" w:hAnsi="Arial" w:cs="Arial"/>
          <w:lang w:val="es-CO"/>
        </w:rPr>
        <w:t>,</w:t>
      </w:r>
      <w:r w:rsidRPr="004F681E">
        <w:rPr>
          <w:rFonts w:ascii="Arial" w:hAnsi="Arial" w:cs="Arial"/>
          <w:lang w:val="es-CO"/>
        </w:rPr>
        <w:t xml:space="preserve"> la unión temporal Publiestadios presentó </w:t>
      </w:r>
      <w:r w:rsidR="000E3930" w:rsidRPr="004F681E">
        <w:rPr>
          <w:rFonts w:ascii="Arial" w:hAnsi="Arial" w:cs="Arial"/>
          <w:lang w:val="es-CO"/>
        </w:rPr>
        <w:t xml:space="preserve">al Instituto un escrito en ejercicio del </w:t>
      </w:r>
      <w:r w:rsidR="000B0539" w:rsidRPr="004F681E">
        <w:rPr>
          <w:rFonts w:ascii="Arial" w:hAnsi="Arial" w:cs="Arial"/>
          <w:lang w:val="es-CO"/>
        </w:rPr>
        <w:t xml:space="preserve">derecho de petición, </w:t>
      </w:r>
      <w:r w:rsidRPr="004F681E">
        <w:rPr>
          <w:rFonts w:ascii="Arial" w:hAnsi="Arial" w:cs="Arial"/>
          <w:lang w:val="es-CO"/>
        </w:rPr>
        <w:t>con el fin de que diera respuesta a su solicitud de reconocimiento de lucro cesante</w:t>
      </w:r>
      <w:r w:rsidR="000B0539" w:rsidRPr="004F681E">
        <w:rPr>
          <w:rFonts w:ascii="Arial" w:hAnsi="Arial" w:cs="Arial"/>
          <w:lang w:val="es-CO"/>
        </w:rPr>
        <w:t>,</w:t>
      </w:r>
      <w:r w:rsidRPr="004F681E">
        <w:rPr>
          <w:rFonts w:ascii="Arial" w:hAnsi="Arial" w:cs="Arial"/>
          <w:lang w:val="es-CO"/>
        </w:rPr>
        <w:t xml:space="preserve"> toda vez que los documentos requeridos ya habían sido presentados</w:t>
      </w:r>
      <w:r w:rsidRPr="004F681E">
        <w:rPr>
          <w:rStyle w:val="Refdenotaalpie"/>
          <w:rFonts w:ascii="Arial" w:hAnsi="Arial" w:cs="Arial"/>
          <w:lang w:val="es-CO"/>
        </w:rPr>
        <w:footnoteReference w:id="54"/>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El 2 de junio de 2011</w:t>
      </w:r>
      <w:r w:rsidR="000B0539" w:rsidRPr="004F681E">
        <w:rPr>
          <w:rFonts w:ascii="Arial" w:hAnsi="Arial" w:cs="Arial"/>
          <w:lang w:val="es-CO"/>
        </w:rPr>
        <w:t>,</w:t>
      </w:r>
      <w:r w:rsidRPr="004F681E">
        <w:rPr>
          <w:rFonts w:ascii="Arial" w:hAnsi="Arial" w:cs="Arial"/>
          <w:lang w:val="es-CO"/>
        </w:rPr>
        <w:t xml:space="preserve"> el IDRD informó al </w:t>
      </w:r>
      <w:r w:rsidR="000B0539" w:rsidRPr="004F681E">
        <w:rPr>
          <w:rFonts w:ascii="Arial" w:hAnsi="Arial" w:cs="Arial"/>
          <w:lang w:val="es-CO"/>
        </w:rPr>
        <w:t>concesionario que la documentación</w:t>
      </w:r>
      <w:r w:rsidRPr="004F681E">
        <w:rPr>
          <w:rFonts w:ascii="Arial" w:hAnsi="Arial" w:cs="Arial"/>
          <w:lang w:val="es-CO"/>
        </w:rPr>
        <w:t xml:space="preserve"> remitida por ese contratista el 3 de mayo anterior, según lo había conceptuado la Oficina Asesora de Apoyo a la Contratación</w:t>
      </w:r>
      <w:r w:rsidR="00980680" w:rsidRPr="004F681E">
        <w:rPr>
          <w:rFonts w:ascii="Arial" w:hAnsi="Arial" w:cs="Arial"/>
          <w:lang w:val="es-CO"/>
        </w:rPr>
        <w:t>,</w:t>
      </w:r>
      <w:r w:rsidRPr="004F681E">
        <w:rPr>
          <w:rFonts w:ascii="Arial" w:hAnsi="Arial" w:cs="Arial"/>
          <w:lang w:val="es-CO"/>
        </w:rPr>
        <w:t xml:space="preserve"> no resultaba pertinente y suficiente para realizar un análisis del lucro cesante solicitado</w:t>
      </w:r>
      <w:r w:rsidRPr="004F681E">
        <w:rPr>
          <w:rStyle w:val="Refdenotaalpie"/>
          <w:rFonts w:ascii="Arial" w:hAnsi="Arial" w:cs="Arial"/>
          <w:lang w:val="es-CO"/>
        </w:rPr>
        <w:footnoteReference w:id="55"/>
      </w:r>
      <w:r w:rsidRPr="004F681E">
        <w:rPr>
          <w:rFonts w:ascii="Arial" w:hAnsi="Arial" w:cs="Arial"/>
          <w:lang w:val="es-CO"/>
        </w:rPr>
        <w:t xml:space="preserve">. </w:t>
      </w:r>
    </w:p>
    <w:p w:rsidR="00F40A72" w:rsidRPr="004F681E" w:rsidRDefault="00F40A72"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lastRenderedPageBreak/>
        <w:t>Para ese propósito</w:t>
      </w:r>
      <w:r w:rsidR="000B0539" w:rsidRPr="004F681E">
        <w:rPr>
          <w:rFonts w:ascii="Arial" w:hAnsi="Arial" w:cs="Arial"/>
          <w:lang w:val="es-CO"/>
        </w:rPr>
        <w:t>,</w:t>
      </w:r>
      <w:r w:rsidRPr="004F681E">
        <w:rPr>
          <w:rFonts w:ascii="Arial" w:hAnsi="Arial" w:cs="Arial"/>
          <w:lang w:val="es-CO"/>
        </w:rPr>
        <w:t xml:space="preserve"> la entidad requirió nuevamente que se aportara el balance general de resultados con corte a 31 de diciembre de los años 2008, 2009 y 2010, fotocopia de los contratos vigentes suscritos </w:t>
      </w:r>
      <w:r w:rsidR="000B0539" w:rsidRPr="004F681E">
        <w:rPr>
          <w:rFonts w:ascii="Arial" w:hAnsi="Arial" w:cs="Arial"/>
          <w:lang w:val="es-CO"/>
        </w:rPr>
        <w:t>a partir del 1 de enero de 2011</w:t>
      </w:r>
      <w:r w:rsidRPr="004F681E">
        <w:rPr>
          <w:rFonts w:ascii="Arial" w:hAnsi="Arial" w:cs="Arial"/>
          <w:lang w:val="es-CO"/>
        </w:rPr>
        <w:t xml:space="preserve"> o</w:t>
      </w:r>
      <w:r w:rsidR="000B0539" w:rsidRPr="004F681E">
        <w:rPr>
          <w:rFonts w:ascii="Arial" w:hAnsi="Arial" w:cs="Arial"/>
          <w:lang w:val="es-CO"/>
        </w:rPr>
        <w:t>,</w:t>
      </w:r>
      <w:r w:rsidRPr="004F681E">
        <w:rPr>
          <w:rFonts w:ascii="Arial" w:hAnsi="Arial" w:cs="Arial"/>
          <w:lang w:val="es-CO"/>
        </w:rPr>
        <w:t xml:space="preserve"> en su defecto</w:t>
      </w:r>
      <w:r w:rsidR="001A7AA8" w:rsidRPr="004F681E">
        <w:rPr>
          <w:rFonts w:ascii="Arial" w:hAnsi="Arial" w:cs="Arial"/>
          <w:lang w:val="es-CO"/>
        </w:rPr>
        <w:t>,</w:t>
      </w:r>
      <w:r w:rsidRPr="004F681E">
        <w:rPr>
          <w:rFonts w:ascii="Arial" w:hAnsi="Arial" w:cs="Arial"/>
          <w:lang w:val="es-CO"/>
        </w:rPr>
        <w:t xml:space="preserve"> copia de la facturas aceptadas por los contratantes en desarrollo de la explotación comercial de la pantalla exterior LED establecida en el contrato, fotocopias legibles de las declaraciones de renta de los años 2008, 2009 y 2010 y fotocopias de las declaraciones de Industria y Comercio a partir del </w:t>
      </w:r>
      <w:r w:rsidR="00915C34" w:rsidRPr="004F681E">
        <w:rPr>
          <w:rFonts w:ascii="Arial" w:hAnsi="Arial" w:cs="Arial"/>
          <w:lang w:val="es-CO"/>
        </w:rPr>
        <w:t xml:space="preserve">primer </w:t>
      </w:r>
      <w:r w:rsidRPr="004F681E">
        <w:rPr>
          <w:rFonts w:ascii="Arial" w:hAnsi="Arial" w:cs="Arial"/>
          <w:lang w:val="es-CO"/>
        </w:rPr>
        <w:t>bimestre del año 2008 a la fecha</w:t>
      </w:r>
      <w:r w:rsidR="00915C34" w:rsidRPr="004F681E">
        <w:rPr>
          <w:rFonts w:ascii="Arial" w:hAnsi="Arial" w:cs="Arial"/>
          <w:lang w:val="es-CO"/>
        </w:rPr>
        <w:t xml:space="preserve"> del requerimiento</w:t>
      </w:r>
      <w:r w:rsidRPr="004F681E">
        <w:rPr>
          <w:rFonts w:ascii="Arial" w:hAnsi="Arial" w:cs="Arial"/>
          <w:lang w:val="es-CO"/>
        </w:rPr>
        <w:t>.</w:t>
      </w:r>
    </w:p>
    <w:p w:rsidR="003F3811" w:rsidRPr="004F681E" w:rsidRDefault="003F3811" w:rsidP="00F40A72">
      <w:pPr>
        <w:spacing w:line="360" w:lineRule="auto"/>
        <w:jc w:val="both"/>
        <w:rPr>
          <w:rFonts w:ascii="Arial" w:hAnsi="Arial" w:cs="Arial"/>
          <w:lang w:val="es-CO"/>
        </w:rPr>
      </w:pPr>
    </w:p>
    <w:p w:rsidR="00F40A72" w:rsidRPr="004F681E" w:rsidRDefault="00F40A72" w:rsidP="00F40A72">
      <w:pPr>
        <w:spacing w:line="360" w:lineRule="auto"/>
        <w:jc w:val="both"/>
        <w:rPr>
          <w:rFonts w:ascii="Arial" w:hAnsi="Arial" w:cs="Arial"/>
          <w:lang w:val="es-CO"/>
        </w:rPr>
      </w:pPr>
      <w:r w:rsidRPr="004F681E">
        <w:rPr>
          <w:rFonts w:ascii="Arial" w:hAnsi="Arial" w:cs="Arial"/>
          <w:lang w:val="es-CO"/>
        </w:rPr>
        <w:t>Según oficio del 2 de junio de 2011, suscrito por el Instituto, la información aportada por el contratista no resultaba suficiente para hacer un análisis del lucro cesante solicitado</w:t>
      </w:r>
      <w:r w:rsidRPr="004F681E">
        <w:rPr>
          <w:rStyle w:val="Refdenotaalpie"/>
          <w:rFonts w:ascii="Arial" w:hAnsi="Arial" w:cs="Arial"/>
          <w:lang w:val="es-CO"/>
        </w:rPr>
        <w:footnoteReference w:id="56"/>
      </w:r>
      <w:r w:rsidRPr="004F681E">
        <w:rPr>
          <w:rFonts w:ascii="Arial" w:hAnsi="Arial" w:cs="Arial"/>
          <w:lang w:val="es-CO"/>
        </w:rPr>
        <w:t xml:space="preserve">. </w:t>
      </w:r>
    </w:p>
    <w:p w:rsidR="008A3538" w:rsidRPr="004F681E" w:rsidRDefault="008A3538" w:rsidP="00F40A72">
      <w:pPr>
        <w:spacing w:line="360" w:lineRule="auto"/>
        <w:jc w:val="both"/>
        <w:rPr>
          <w:rFonts w:ascii="Arial" w:hAnsi="Arial" w:cs="Arial"/>
          <w:lang w:val="es-CO"/>
        </w:rPr>
      </w:pPr>
    </w:p>
    <w:p w:rsidR="005B0CCE" w:rsidRPr="004F681E" w:rsidRDefault="005B0CCE" w:rsidP="005B0CCE">
      <w:pPr>
        <w:spacing w:line="360" w:lineRule="auto"/>
        <w:jc w:val="both"/>
        <w:rPr>
          <w:rFonts w:ascii="Arial" w:hAnsi="Arial" w:cs="Arial"/>
          <w:lang w:val="es-CO"/>
        </w:rPr>
      </w:pPr>
      <w:r w:rsidRPr="004F681E">
        <w:rPr>
          <w:rFonts w:ascii="Arial" w:hAnsi="Arial" w:cs="Arial"/>
          <w:lang w:val="es-CO"/>
        </w:rPr>
        <w:t xml:space="preserve">El 15 de junio de 2011, el contratista allegó ante la entidad </w:t>
      </w:r>
      <w:r w:rsidR="00F50FD6" w:rsidRPr="004F681E">
        <w:rPr>
          <w:rFonts w:ascii="Arial" w:hAnsi="Arial" w:cs="Arial"/>
          <w:lang w:val="es-CO"/>
        </w:rPr>
        <w:t xml:space="preserve">el </w:t>
      </w:r>
      <w:r w:rsidRPr="004F681E">
        <w:rPr>
          <w:rFonts w:ascii="Arial" w:hAnsi="Arial" w:cs="Arial"/>
          <w:lang w:val="es-CO"/>
        </w:rPr>
        <w:t xml:space="preserve">balance general y </w:t>
      </w:r>
      <w:r w:rsidR="00F50FD6" w:rsidRPr="004F681E">
        <w:rPr>
          <w:rFonts w:ascii="Arial" w:hAnsi="Arial" w:cs="Arial"/>
          <w:lang w:val="es-CO"/>
        </w:rPr>
        <w:t xml:space="preserve">el </w:t>
      </w:r>
      <w:r w:rsidRPr="004F681E">
        <w:rPr>
          <w:rFonts w:ascii="Arial" w:hAnsi="Arial" w:cs="Arial"/>
          <w:lang w:val="es-CO"/>
        </w:rPr>
        <w:t xml:space="preserve">estado de resultados con corte a 31 de diciembre de los años 2007, 2008, 2009 y 2010, facturas de venta del año 2011, declaraciones de IVA del año 2011 y declaraciones de industria y comercio del año 2011 e igualmente </w:t>
      </w:r>
      <w:r w:rsidR="00F50FD6" w:rsidRPr="004F681E">
        <w:rPr>
          <w:rFonts w:ascii="Arial" w:hAnsi="Arial" w:cs="Arial"/>
          <w:lang w:val="es-CO"/>
        </w:rPr>
        <w:t xml:space="preserve">se refirió </w:t>
      </w:r>
      <w:r w:rsidRPr="004F681E">
        <w:rPr>
          <w:rFonts w:ascii="Arial" w:hAnsi="Arial" w:cs="Arial"/>
          <w:lang w:val="es-CO"/>
        </w:rPr>
        <w:t>a la impertinencia de aportar algunos otros de los documentos requeridos por la entidad</w:t>
      </w:r>
      <w:r w:rsidRPr="004F681E">
        <w:rPr>
          <w:rStyle w:val="Refdenotaalpie"/>
          <w:rFonts w:ascii="Arial" w:hAnsi="Arial" w:cs="Arial"/>
          <w:lang w:val="es-CO"/>
        </w:rPr>
        <w:footnoteReference w:id="57"/>
      </w:r>
      <w:r w:rsidRPr="004F681E">
        <w:rPr>
          <w:rFonts w:ascii="Arial" w:hAnsi="Arial" w:cs="Arial"/>
          <w:lang w:val="es-CO"/>
        </w:rPr>
        <w:t>.</w:t>
      </w:r>
    </w:p>
    <w:p w:rsidR="005B0CCE" w:rsidRPr="004F681E" w:rsidRDefault="005B0CCE" w:rsidP="005B0CCE">
      <w:pPr>
        <w:spacing w:line="360" w:lineRule="auto"/>
        <w:jc w:val="both"/>
        <w:rPr>
          <w:rFonts w:ascii="Arial" w:hAnsi="Arial" w:cs="Arial"/>
          <w:lang w:val="es-CO"/>
        </w:rPr>
      </w:pPr>
    </w:p>
    <w:p w:rsidR="005B0CCE" w:rsidRPr="004F681E" w:rsidRDefault="00980680" w:rsidP="005B0CCE">
      <w:pPr>
        <w:spacing w:line="360" w:lineRule="auto"/>
        <w:jc w:val="both"/>
        <w:rPr>
          <w:rFonts w:ascii="Arial" w:hAnsi="Arial" w:cs="Arial"/>
          <w:lang w:val="es-CO"/>
        </w:rPr>
      </w:pPr>
      <w:r w:rsidRPr="004F681E">
        <w:rPr>
          <w:rFonts w:ascii="Arial" w:hAnsi="Arial" w:cs="Arial"/>
          <w:lang w:val="es-CO"/>
        </w:rPr>
        <w:t xml:space="preserve">En </w:t>
      </w:r>
      <w:r w:rsidR="005B0CCE" w:rsidRPr="004F681E">
        <w:rPr>
          <w:rFonts w:ascii="Arial" w:hAnsi="Arial" w:cs="Arial"/>
          <w:lang w:val="es-CO"/>
        </w:rPr>
        <w:t>memorando del 8 de julio de 2011</w:t>
      </w:r>
      <w:r w:rsidR="00915C34" w:rsidRPr="004F681E">
        <w:rPr>
          <w:rFonts w:ascii="Arial" w:hAnsi="Arial" w:cs="Arial"/>
          <w:lang w:val="es-CO"/>
        </w:rPr>
        <w:t>,</w:t>
      </w:r>
      <w:r w:rsidR="005B0CCE" w:rsidRPr="004F681E">
        <w:rPr>
          <w:rFonts w:ascii="Arial" w:hAnsi="Arial" w:cs="Arial"/>
          <w:lang w:val="es-CO"/>
        </w:rPr>
        <w:t xml:space="preserve"> la Subdirección Técnica de Parques del IDRD solicitó al Área de Apoyo a la Contratación que le informara acerca del avance de la revisión contable y financiera del concesionario Pu</w:t>
      </w:r>
      <w:r w:rsidR="001A7AA8" w:rsidRPr="004F681E">
        <w:rPr>
          <w:rFonts w:ascii="Arial" w:hAnsi="Arial" w:cs="Arial"/>
          <w:lang w:val="es-CO"/>
        </w:rPr>
        <w:t>bliestadios para determinar la procedencia del</w:t>
      </w:r>
      <w:r w:rsidR="005B0CCE" w:rsidRPr="004F681E">
        <w:rPr>
          <w:rFonts w:ascii="Arial" w:hAnsi="Arial" w:cs="Arial"/>
          <w:lang w:val="es-CO"/>
        </w:rPr>
        <w:t xml:space="preserve"> reconocimiento del lucro cesante solicitado</w:t>
      </w:r>
      <w:r w:rsidR="005B0CCE" w:rsidRPr="004F681E">
        <w:rPr>
          <w:rStyle w:val="Refdenotaalpie"/>
          <w:rFonts w:ascii="Arial" w:hAnsi="Arial" w:cs="Arial"/>
          <w:lang w:val="es-CO"/>
        </w:rPr>
        <w:footnoteReference w:id="58"/>
      </w:r>
      <w:r w:rsidR="005B0CCE" w:rsidRPr="004F681E">
        <w:rPr>
          <w:rFonts w:ascii="Arial" w:hAnsi="Arial" w:cs="Arial"/>
          <w:lang w:val="es-CO"/>
        </w:rPr>
        <w:t>.</w:t>
      </w:r>
    </w:p>
    <w:p w:rsidR="005B0CCE" w:rsidRPr="004F681E" w:rsidRDefault="005B0CCE" w:rsidP="005B0CCE">
      <w:pPr>
        <w:spacing w:line="360" w:lineRule="auto"/>
        <w:jc w:val="both"/>
        <w:rPr>
          <w:rFonts w:ascii="Arial" w:hAnsi="Arial" w:cs="Arial"/>
          <w:lang w:val="es-CO"/>
        </w:rPr>
      </w:pPr>
    </w:p>
    <w:p w:rsidR="005B0CCE" w:rsidRPr="004F681E" w:rsidRDefault="00F50FD6" w:rsidP="005B0CCE">
      <w:pPr>
        <w:spacing w:line="360" w:lineRule="auto"/>
        <w:jc w:val="both"/>
        <w:rPr>
          <w:rFonts w:ascii="Arial" w:hAnsi="Arial" w:cs="Arial"/>
          <w:lang w:val="es-CO"/>
        </w:rPr>
      </w:pPr>
      <w:r w:rsidRPr="004F681E">
        <w:rPr>
          <w:rFonts w:ascii="Arial" w:hAnsi="Arial" w:cs="Arial"/>
          <w:lang w:val="es-CO"/>
        </w:rPr>
        <w:t xml:space="preserve">Por </w:t>
      </w:r>
      <w:r w:rsidR="005B0CCE" w:rsidRPr="004F681E">
        <w:rPr>
          <w:rFonts w:ascii="Arial" w:hAnsi="Arial" w:cs="Arial"/>
          <w:lang w:val="es-CO"/>
        </w:rPr>
        <w:t>oficio del 12 de agosto de 2011, el Área de Apoyo a la Contratación se pronunció frente a la solicitud de lu</w:t>
      </w:r>
      <w:r w:rsidR="005E6BFA" w:rsidRPr="004F681E">
        <w:rPr>
          <w:rFonts w:ascii="Arial" w:hAnsi="Arial" w:cs="Arial"/>
          <w:lang w:val="es-CO"/>
        </w:rPr>
        <w:t>cro cesante elevada dentro del Contrato de C</w:t>
      </w:r>
      <w:r w:rsidR="005B0CCE" w:rsidRPr="004F681E">
        <w:rPr>
          <w:rFonts w:ascii="Arial" w:hAnsi="Arial" w:cs="Arial"/>
          <w:lang w:val="es-CO"/>
        </w:rPr>
        <w:t>oncesión No. 475 de 2007</w:t>
      </w:r>
      <w:r w:rsidR="00915C34" w:rsidRPr="004F681E">
        <w:rPr>
          <w:rFonts w:ascii="Arial" w:hAnsi="Arial" w:cs="Arial"/>
          <w:lang w:val="es-CO"/>
        </w:rPr>
        <w:t>,</w:t>
      </w:r>
      <w:r w:rsidR="005B0CCE" w:rsidRPr="004F681E">
        <w:rPr>
          <w:rFonts w:ascii="Arial" w:hAnsi="Arial" w:cs="Arial"/>
          <w:lang w:val="es-CO"/>
        </w:rPr>
        <w:t xml:space="preserve"> con ocasión del </w:t>
      </w:r>
      <w:r w:rsidR="005E6BFA" w:rsidRPr="004F681E">
        <w:rPr>
          <w:rFonts w:ascii="Arial" w:hAnsi="Arial" w:cs="Arial"/>
          <w:lang w:val="es-CO"/>
        </w:rPr>
        <w:t>interregno en que estuvo inopera</w:t>
      </w:r>
      <w:r w:rsidR="00330526" w:rsidRPr="004F681E">
        <w:rPr>
          <w:rFonts w:ascii="Arial" w:hAnsi="Arial" w:cs="Arial"/>
          <w:lang w:val="es-CO"/>
        </w:rPr>
        <w:t>n</w:t>
      </w:r>
      <w:r w:rsidR="005E6BFA" w:rsidRPr="004F681E">
        <w:rPr>
          <w:rFonts w:ascii="Arial" w:hAnsi="Arial" w:cs="Arial"/>
          <w:lang w:val="es-CO"/>
        </w:rPr>
        <w:t>te la pantalla por las obras del desmonte y traslado.</w:t>
      </w:r>
    </w:p>
    <w:p w:rsidR="005E6BFA" w:rsidRPr="004F681E" w:rsidRDefault="005E6BFA" w:rsidP="005B0CCE">
      <w:pPr>
        <w:spacing w:line="360" w:lineRule="auto"/>
        <w:jc w:val="both"/>
        <w:rPr>
          <w:rFonts w:ascii="Arial" w:hAnsi="Arial" w:cs="Arial"/>
          <w:lang w:val="es-CO"/>
        </w:rPr>
      </w:pPr>
    </w:p>
    <w:p w:rsidR="005B0CCE" w:rsidRPr="004F681E" w:rsidRDefault="005B0CCE" w:rsidP="005B0CCE">
      <w:pPr>
        <w:spacing w:line="360" w:lineRule="auto"/>
        <w:jc w:val="both"/>
        <w:rPr>
          <w:rFonts w:ascii="Arial" w:hAnsi="Arial" w:cs="Arial"/>
          <w:lang w:val="es-CO"/>
        </w:rPr>
      </w:pPr>
      <w:r w:rsidRPr="004F681E">
        <w:rPr>
          <w:rFonts w:ascii="Arial" w:hAnsi="Arial" w:cs="Arial"/>
          <w:lang w:val="es-CO"/>
        </w:rPr>
        <w:t>En su respuesta manifestó que no existía prueba cierta que demostrara los perjuicios sufridos por el concesionario</w:t>
      </w:r>
      <w:r w:rsidR="00915C34" w:rsidRPr="004F681E">
        <w:rPr>
          <w:rFonts w:ascii="Arial" w:hAnsi="Arial" w:cs="Arial"/>
          <w:lang w:val="es-CO"/>
        </w:rPr>
        <w:t>,</w:t>
      </w:r>
      <w:r w:rsidRPr="004F681E">
        <w:rPr>
          <w:rFonts w:ascii="Arial" w:hAnsi="Arial" w:cs="Arial"/>
          <w:lang w:val="es-CO"/>
        </w:rPr>
        <w:t xml:space="preserve"> como tampoco la cuantía de los mismos</w:t>
      </w:r>
      <w:r w:rsidR="005E6BFA" w:rsidRPr="004F681E">
        <w:rPr>
          <w:rFonts w:ascii="Arial" w:hAnsi="Arial" w:cs="Arial"/>
          <w:lang w:val="es-CO"/>
        </w:rPr>
        <w:t>,</w:t>
      </w:r>
      <w:r w:rsidRPr="004F681E">
        <w:rPr>
          <w:rFonts w:ascii="Arial" w:hAnsi="Arial" w:cs="Arial"/>
          <w:lang w:val="es-CO"/>
        </w:rPr>
        <w:t xml:space="preserve"> en consideración a que de la revisión de la información contable se </w:t>
      </w:r>
      <w:r w:rsidR="00D34AD7" w:rsidRPr="004F681E">
        <w:rPr>
          <w:rFonts w:ascii="Arial" w:hAnsi="Arial" w:cs="Arial"/>
          <w:lang w:val="es-CO"/>
        </w:rPr>
        <w:t>había evidenciado</w:t>
      </w:r>
      <w:r w:rsidRPr="004F681E">
        <w:rPr>
          <w:rFonts w:ascii="Arial" w:hAnsi="Arial" w:cs="Arial"/>
          <w:lang w:val="es-CO"/>
        </w:rPr>
        <w:t xml:space="preserve"> que el concesionari</w:t>
      </w:r>
      <w:r w:rsidR="00D34AD7" w:rsidRPr="004F681E">
        <w:rPr>
          <w:rFonts w:ascii="Arial" w:hAnsi="Arial" w:cs="Arial"/>
          <w:lang w:val="es-CO"/>
        </w:rPr>
        <w:t>o percibió utilidades durante la</w:t>
      </w:r>
      <w:r w:rsidRPr="004F681E">
        <w:rPr>
          <w:rFonts w:ascii="Arial" w:hAnsi="Arial" w:cs="Arial"/>
          <w:lang w:val="es-CO"/>
        </w:rPr>
        <w:t xml:space="preserve"> ejecución</w:t>
      </w:r>
      <w:r w:rsidR="00D34AD7" w:rsidRPr="004F681E">
        <w:rPr>
          <w:rFonts w:ascii="Arial" w:hAnsi="Arial" w:cs="Arial"/>
          <w:lang w:val="es-CO"/>
        </w:rPr>
        <w:t xml:space="preserve"> del contrato</w:t>
      </w:r>
      <w:r w:rsidRPr="004F681E">
        <w:rPr>
          <w:rFonts w:ascii="Arial" w:hAnsi="Arial" w:cs="Arial"/>
          <w:lang w:val="es-CO"/>
        </w:rPr>
        <w:t xml:space="preserve">. </w:t>
      </w:r>
    </w:p>
    <w:p w:rsidR="005B0CCE" w:rsidRPr="004F681E" w:rsidRDefault="005B0CCE" w:rsidP="005B0CCE">
      <w:pPr>
        <w:spacing w:line="360" w:lineRule="auto"/>
        <w:jc w:val="both"/>
        <w:rPr>
          <w:rFonts w:ascii="Arial" w:hAnsi="Arial" w:cs="Arial"/>
          <w:lang w:val="es-CO"/>
        </w:rPr>
      </w:pPr>
    </w:p>
    <w:p w:rsidR="005B0CCE" w:rsidRPr="004F681E" w:rsidRDefault="005B0CCE" w:rsidP="005B0CCE">
      <w:pPr>
        <w:spacing w:line="360" w:lineRule="auto"/>
        <w:jc w:val="both"/>
        <w:rPr>
          <w:rFonts w:ascii="Arial" w:hAnsi="Arial" w:cs="Arial"/>
          <w:lang w:val="es-CO"/>
        </w:rPr>
      </w:pPr>
      <w:r w:rsidRPr="004F681E">
        <w:rPr>
          <w:rFonts w:ascii="Arial" w:hAnsi="Arial" w:cs="Arial"/>
          <w:lang w:val="es-CO"/>
        </w:rPr>
        <w:t>Advirtió también que</w:t>
      </w:r>
      <w:r w:rsidR="006E08BD" w:rsidRPr="004F681E">
        <w:rPr>
          <w:rFonts w:ascii="Arial" w:hAnsi="Arial" w:cs="Arial"/>
          <w:lang w:val="es-CO"/>
        </w:rPr>
        <w:t>,</w:t>
      </w:r>
      <w:r w:rsidRPr="004F681E">
        <w:rPr>
          <w:rFonts w:ascii="Arial" w:hAnsi="Arial" w:cs="Arial"/>
          <w:lang w:val="es-CO"/>
        </w:rPr>
        <w:t xml:space="preserve"> de conformidad con lo estipulado en el contrato, el contratista no podría reclamar al Instituto el reconocimiento del desequilibrio económico por cuanto</w:t>
      </w:r>
      <w:r w:rsidR="00CF421E" w:rsidRPr="004F681E">
        <w:rPr>
          <w:rFonts w:ascii="Arial" w:hAnsi="Arial" w:cs="Arial"/>
          <w:lang w:val="es-CO"/>
        </w:rPr>
        <w:t>, según se acordó en el contrato,</w:t>
      </w:r>
      <w:r w:rsidRPr="004F681E">
        <w:rPr>
          <w:rFonts w:ascii="Arial" w:hAnsi="Arial" w:cs="Arial"/>
          <w:lang w:val="es-CO"/>
        </w:rPr>
        <w:t xml:space="preserve"> a él se </w:t>
      </w:r>
      <w:r w:rsidR="00CF421E" w:rsidRPr="004F681E">
        <w:rPr>
          <w:rFonts w:ascii="Arial" w:hAnsi="Arial" w:cs="Arial"/>
          <w:lang w:val="es-CO"/>
        </w:rPr>
        <w:t>había</w:t>
      </w:r>
      <w:r w:rsidR="00915C34" w:rsidRPr="004F681E">
        <w:rPr>
          <w:rFonts w:ascii="Arial" w:hAnsi="Arial" w:cs="Arial"/>
          <w:lang w:val="es-CO"/>
        </w:rPr>
        <w:t>n</w:t>
      </w:r>
      <w:r w:rsidR="00CF421E" w:rsidRPr="004F681E">
        <w:rPr>
          <w:rFonts w:ascii="Arial" w:hAnsi="Arial" w:cs="Arial"/>
          <w:lang w:val="es-CO"/>
        </w:rPr>
        <w:t xml:space="preserve"> trasladado</w:t>
      </w:r>
      <w:r w:rsidRPr="004F681E">
        <w:rPr>
          <w:rFonts w:ascii="Arial" w:hAnsi="Arial" w:cs="Arial"/>
          <w:lang w:val="es-CO"/>
        </w:rPr>
        <w:t xml:space="preserve"> todos los riesgos inherentes a su ejecución. Agregó que la única obligación de la entidad estatal ante la presencia de una presunta fractura de la ecuación económica consistía en restablecerla a un punto de no pérdida y en manera </w:t>
      </w:r>
      <w:r w:rsidR="006E08BD" w:rsidRPr="004F681E">
        <w:rPr>
          <w:rFonts w:ascii="Arial" w:hAnsi="Arial" w:cs="Arial"/>
          <w:lang w:val="es-CO"/>
        </w:rPr>
        <w:t xml:space="preserve">alguna </w:t>
      </w:r>
      <w:r w:rsidRPr="004F681E">
        <w:rPr>
          <w:rFonts w:ascii="Arial" w:hAnsi="Arial" w:cs="Arial"/>
          <w:lang w:val="es-CO"/>
        </w:rPr>
        <w:t xml:space="preserve">dicha protección se extendía a garantizar la obtención de utilidades. </w:t>
      </w:r>
    </w:p>
    <w:p w:rsidR="005B0CCE" w:rsidRPr="004F681E" w:rsidRDefault="005B0CCE" w:rsidP="005B0CCE">
      <w:pPr>
        <w:spacing w:line="360" w:lineRule="auto"/>
        <w:jc w:val="both"/>
        <w:rPr>
          <w:rFonts w:ascii="Arial" w:hAnsi="Arial" w:cs="Arial"/>
          <w:lang w:val="es-CO"/>
        </w:rPr>
      </w:pPr>
    </w:p>
    <w:p w:rsidR="005B0CCE" w:rsidRPr="004F681E" w:rsidRDefault="005B0CCE" w:rsidP="005B0CCE">
      <w:pPr>
        <w:spacing w:line="360" w:lineRule="auto"/>
        <w:jc w:val="both"/>
        <w:rPr>
          <w:rFonts w:ascii="Arial" w:hAnsi="Arial" w:cs="Arial"/>
          <w:lang w:val="es-CO"/>
        </w:rPr>
      </w:pPr>
      <w:r w:rsidRPr="004F681E">
        <w:rPr>
          <w:rFonts w:ascii="Arial" w:hAnsi="Arial" w:cs="Arial"/>
          <w:lang w:val="es-CO"/>
        </w:rPr>
        <w:t>Con fundamento en lo expuesto, dicha dependencia conceptuó que no había lugar a reconocer el lucro cesante a favor del contratista, pu</w:t>
      </w:r>
      <w:r w:rsidR="006E08BD" w:rsidRPr="004F681E">
        <w:rPr>
          <w:rFonts w:ascii="Arial" w:hAnsi="Arial" w:cs="Arial"/>
          <w:lang w:val="es-CO"/>
        </w:rPr>
        <w:t>es con la documentación allegada</w:t>
      </w:r>
      <w:r w:rsidR="005B5858" w:rsidRPr="004F681E">
        <w:rPr>
          <w:rFonts w:ascii="Arial" w:hAnsi="Arial" w:cs="Arial"/>
          <w:lang w:val="es-CO"/>
        </w:rPr>
        <w:t xml:space="preserve"> no se demostró</w:t>
      </w:r>
      <w:r w:rsidRPr="004F681E">
        <w:rPr>
          <w:rFonts w:ascii="Arial" w:hAnsi="Arial" w:cs="Arial"/>
          <w:lang w:val="es-CO"/>
        </w:rPr>
        <w:t xml:space="preserve"> la configuración de un desequilibrio económico</w:t>
      </w:r>
      <w:r w:rsidRPr="004F681E">
        <w:rPr>
          <w:rStyle w:val="Refdenotaalpie"/>
          <w:rFonts w:ascii="Arial" w:hAnsi="Arial" w:cs="Arial"/>
          <w:lang w:val="es-CO"/>
        </w:rPr>
        <w:footnoteReference w:id="59"/>
      </w:r>
      <w:r w:rsidRPr="004F681E">
        <w:rPr>
          <w:rFonts w:ascii="Arial" w:hAnsi="Arial" w:cs="Arial"/>
          <w:lang w:val="es-CO"/>
        </w:rPr>
        <w:t xml:space="preserve">. </w:t>
      </w:r>
    </w:p>
    <w:p w:rsidR="005B0CCE" w:rsidRPr="004F681E" w:rsidRDefault="005B0CCE" w:rsidP="005B0CCE">
      <w:pPr>
        <w:spacing w:line="360" w:lineRule="auto"/>
        <w:jc w:val="both"/>
        <w:rPr>
          <w:rFonts w:ascii="Arial" w:hAnsi="Arial" w:cs="Arial"/>
          <w:lang w:val="es-CO"/>
        </w:rPr>
      </w:pPr>
    </w:p>
    <w:p w:rsidR="005B0CCE" w:rsidRPr="004F681E" w:rsidRDefault="006E08BD" w:rsidP="005B0CCE">
      <w:pPr>
        <w:spacing w:line="360" w:lineRule="auto"/>
        <w:jc w:val="both"/>
        <w:rPr>
          <w:rFonts w:ascii="Arial" w:hAnsi="Arial" w:cs="Arial"/>
          <w:lang w:val="es-CO"/>
        </w:rPr>
      </w:pPr>
      <w:r w:rsidRPr="004F681E">
        <w:rPr>
          <w:rFonts w:ascii="Arial" w:hAnsi="Arial" w:cs="Arial"/>
          <w:lang w:val="es-CO"/>
        </w:rPr>
        <w:t>Finalmente</w:t>
      </w:r>
      <w:r w:rsidR="005B0CCE" w:rsidRPr="004F681E">
        <w:rPr>
          <w:rFonts w:ascii="Arial" w:hAnsi="Arial" w:cs="Arial"/>
          <w:lang w:val="es-CO"/>
        </w:rPr>
        <w:t>, la Subdirección Técnica de Parques</w:t>
      </w:r>
      <w:r w:rsidR="00915C34" w:rsidRPr="004F681E">
        <w:rPr>
          <w:rFonts w:ascii="Arial" w:hAnsi="Arial" w:cs="Arial"/>
          <w:lang w:val="es-CO"/>
        </w:rPr>
        <w:t>,</w:t>
      </w:r>
      <w:r w:rsidR="003F3811" w:rsidRPr="004F681E">
        <w:rPr>
          <w:rFonts w:ascii="Arial" w:hAnsi="Arial" w:cs="Arial"/>
          <w:lang w:val="es-CO"/>
        </w:rPr>
        <w:t xml:space="preserve"> en oficio </w:t>
      </w:r>
      <w:r w:rsidR="005B0CCE" w:rsidRPr="004F681E">
        <w:rPr>
          <w:rFonts w:ascii="Arial" w:hAnsi="Arial" w:cs="Arial"/>
          <w:lang w:val="es-CO"/>
        </w:rPr>
        <w:t>del 16 de agosto de 2011</w:t>
      </w:r>
      <w:r w:rsidR="00915C34" w:rsidRPr="004F681E">
        <w:rPr>
          <w:rFonts w:ascii="Arial" w:hAnsi="Arial" w:cs="Arial"/>
          <w:lang w:val="es-CO"/>
        </w:rPr>
        <w:t>,</w:t>
      </w:r>
      <w:r w:rsidR="005B0CCE" w:rsidRPr="004F681E">
        <w:rPr>
          <w:rFonts w:ascii="Arial" w:hAnsi="Arial" w:cs="Arial"/>
          <w:lang w:val="es-CO"/>
        </w:rPr>
        <w:t xml:space="preserve"> puso en conocimiento del concesionario el anterior concepto rendido por el área de contratación</w:t>
      </w:r>
      <w:r w:rsidR="00876805" w:rsidRPr="004F681E">
        <w:rPr>
          <w:rFonts w:ascii="Arial" w:hAnsi="Arial" w:cs="Arial"/>
          <w:lang w:val="es-CO"/>
        </w:rPr>
        <w:t xml:space="preserve"> y</w:t>
      </w:r>
      <w:r w:rsidR="005B5858" w:rsidRPr="004F681E">
        <w:rPr>
          <w:rFonts w:ascii="Arial" w:hAnsi="Arial" w:cs="Arial"/>
          <w:lang w:val="es-CO"/>
        </w:rPr>
        <w:t xml:space="preserve"> con apoyo en el mismo se negó al reconocimiento de los perjuicios solicitados</w:t>
      </w:r>
      <w:r w:rsidR="005B0CCE" w:rsidRPr="004F681E">
        <w:rPr>
          <w:rStyle w:val="Refdenotaalpie"/>
          <w:rFonts w:ascii="Arial" w:hAnsi="Arial" w:cs="Arial"/>
          <w:lang w:val="es-CO"/>
        </w:rPr>
        <w:footnoteReference w:id="60"/>
      </w:r>
      <w:r w:rsidR="005B0CCE" w:rsidRPr="004F681E">
        <w:rPr>
          <w:rFonts w:ascii="Arial" w:hAnsi="Arial" w:cs="Arial"/>
          <w:lang w:val="es-CO"/>
        </w:rPr>
        <w:t>.</w:t>
      </w:r>
    </w:p>
    <w:p w:rsidR="006E08BD" w:rsidRPr="004F681E" w:rsidRDefault="006E08BD" w:rsidP="005B0CCE">
      <w:pPr>
        <w:spacing w:line="360" w:lineRule="auto"/>
        <w:jc w:val="both"/>
        <w:rPr>
          <w:rFonts w:ascii="Arial" w:hAnsi="Arial" w:cs="Arial"/>
          <w:lang w:val="es-CO"/>
        </w:rPr>
      </w:pPr>
    </w:p>
    <w:p w:rsidR="006E08BD" w:rsidRPr="004F681E" w:rsidRDefault="006E08BD" w:rsidP="005B0CCE">
      <w:pPr>
        <w:spacing w:line="360" w:lineRule="auto"/>
        <w:jc w:val="both"/>
        <w:rPr>
          <w:rFonts w:ascii="Arial" w:hAnsi="Arial" w:cs="Arial"/>
          <w:lang w:val="es-CO"/>
        </w:rPr>
      </w:pPr>
      <w:r w:rsidRPr="004F681E">
        <w:rPr>
          <w:rFonts w:ascii="Arial" w:hAnsi="Arial" w:cs="Arial"/>
          <w:lang w:val="es-CO"/>
        </w:rPr>
        <w:t>El escenario fáctico que acaba de plasmarse merece varios comentarios:</w:t>
      </w:r>
    </w:p>
    <w:p w:rsidR="006E08BD" w:rsidRPr="004F681E" w:rsidRDefault="006E08BD" w:rsidP="005B0CCE">
      <w:pPr>
        <w:spacing w:line="360" w:lineRule="auto"/>
        <w:jc w:val="both"/>
        <w:rPr>
          <w:rFonts w:ascii="Arial" w:hAnsi="Arial" w:cs="Arial"/>
          <w:lang w:val="es-CO"/>
        </w:rPr>
      </w:pPr>
    </w:p>
    <w:p w:rsidR="00A23E06" w:rsidRPr="004F681E" w:rsidRDefault="006E08BD" w:rsidP="005B0CCE">
      <w:pPr>
        <w:spacing w:line="360" w:lineRule="auto"/>
        <w:jc w:val="both"/>
        <w:rPr>
          <w:rFonts w:ascii="Arial" w:hAnsi="Arial" w:cs="Arial"/>
          <w:lang w:val="es-CO"/>
        </w:rPr>
      </w:pPr>
      <w:r w:rsidRPr="004F681E">
        <w:rPr>
          <w:rFonts w:ascii="Arial" w:hAnsi="Arial" w:cs="Arial"/>
          <w:lang w:val="es-CO"/>
        </w:rPr>
        <w:t>En primer lugar</w:t>
      </w:r>
      <w:r w:rsidR="00EF0AE2" w:rsidRPr="004F681E">
        <w:rPr>
          <w:rFonts w:ascii="Arial" w:hAnsi="Arial" w:cs="Arial"/>
          <w:lang w:val="es-CO"/>
        </w:rPr>
        <w:t>,</w:t>
      </w:r>
      <w:r w:rsidRPr="004F681E">
        <w:rPr>
          <w:rFonts w:ascii="Arial" w:hAnsi="Arial" w:cs="Arial"/>
          <w:lang w:val="es-CO"/>
        </w:rPr>
        <w:t xml:space="preserve"> se encuentra plenamente acreditado que </w:t>
      </w:r>
      <w:r w:rsidR="00BE6128" w:rsidRPr="004F681E">
        <w:rPr>
          <w:rFonts w:ascii="Arial" w:hAnsi="Arial" w:cs="Arial"/>
          <w:lang w:val="es-CO"/>
        </w:rPr>
        <w:t xml:space="preserve">como </w:t>
      </w:r>
      <w:r w:rsidR="00EF0AE2" w:rsidRPr="004F681E">
        <w:rPr>
          <w:rFonts w:ascii="Arial" w:hAnsi="Arial" w:cs="Arial"/>
          <w:lang w:val="es-CO"/>
        </w:rPr>
        <w:t xml:space="preserve">consecuencia de las actividades de desmonte, traslado y reinstalación de la pantalla exterior del estadio El </w:t>
      </w:r>
      <w:r w:rsidR="009870ED" w:rsidRPr="004F681E">
        <w:rPr>
          <w:rFonts w:ascii="Arial" w:hAnsi="Arial" w:cs="Arial"/>
          <w:lang w:val="es-CO"/>
        </w:rPr>
        <w:t>Campín</w:t>
      </w:r>
      <w:r w:rsidR="00EF0AE2" w:rsidRPr="004F681E">
        <w:rPr>
          <w:rFonts w:ascii="Arial" w:hAnsi="Arial" w:cs="Arial"/>
          <w:lang w:val="es-CO"/>
        </w:rPr>
        <w:t>, llevadas a cabo en acatamiento del acto que modificó unilateralmente el contrato de concesión y para viabilizar la ejecución de las obras civiles de adecuación de sus instalaciones</w:t>
      </w:r>
      <w:r w:rsidR="00165E6C" w:rsidRPr="004F681E">
        <w:rPr>
          <w:rFonts w:ascii="Arial" w:hAnsi="Arial" w:cs="Arial"/>
          <w:lang w:val="es-CO"/>
        </w:rPr>
        <w:t xml:space="preserve">, la operación de dicho artefacto estuvo suspendida por el </w:t>
      </w:r>
      <w:r w:rsidR="00A23E06" w:rsidRPr="004F681E">
        <w:rPr>
          <w:rFonts w:ascii="Arial" w:hAnsi="Arial" w:cs="Arial"/>
          <w:lang w:val="es-CO"/>
        </w:rPr>
        <w:t>período</w:t>
      </w:r>
      <w:r w:rsidR="00165E6C" w:rsidRPr="004F681E">
        <w:rPr>
          <w:rFonts w:ascii="Arial" w:hAnsi="Arial" w:cs="Arial"/>
          <w:lang w:val="es-CO"/>
        </w:rPr>
        <w:t xml:space="preserve"> comprendido entre el </w:t>
      </w:r>
      <w:r w:rsidR="00A23E06" w:rsidRPr="004F681E">
        <w:rPr>
          <w:rFonts w:ascii="Arial" w:hAnsi="Arial" w:cs="Arial"/>
          <w:lang w:val="es-CO"/>
        </w:rPr>
        <w:t xml:space="preserve">28 de septiembre de 2010, fecha en que el concesionario hizo entrega del elemento al Instituto para que procediera a cambiarlo de lugar y el 8 de abril de 2011, </w:t>
      </w:r>
      <w:r w:rsidR="001959EE" w:rsidRPr="004F681E">
        <w:rPr>
          <w:rFonts w:ascii="Arial" w:hAnsi="Arial" w:cs="Arial"/>
          <w:lang w:val="es-CO"/>
        </w:rPr>
        <w:t>día</w:t>
      </w:r>
      <w:r w:rsidR="00A23E06" w:rsidRPr="004F681E">
        <w:rPr>
          <w:rFonts w:ascii="Arial" w:hAnsi="Arial" w:cs="Arial"/>
          <w:lang w:val="es-CO"/>
        </w:rPr>
        <w:t xml:space="preserve"> en que la entidad entregó</w:t>
      </w:r>
      <w:r w:rsidR="00B25070" w:rsidRPr="004F681E">
        <w:rPr>
          <w:rFonts w:ascii="Arial" w:hAnsi="Arial" w:cs="Arial"/>
          <w:lang w:val="es-CO"/>
        </w:rPr>
        <w:t xml:space="preserve"> la pantalla al concesionario </w:t>
      </w:r>
      <w:r w:rsidR="00A23E06" w:rsidRPr="004F681E">
        <w:rPr>
          <w:rFonts w:ascii="Arial" w:hAnsi="Arial" w:cs="Arial"/>
          <w:lang w:val="es-CO"/>
        </w:rPr>
        <w:t>en su nueva ubicación para que continuar</w:t>
      </w:r>
      <w:r w:rsidR="00B25070" w:rsidRPr="004F681E">
        <w:rPr>
          <w:rFonts w:ascii="Arial" w:hAnsi="Arial" w:cs="Arial"/>
          <w:lang w:val="es-CO"/>
        </w:rPr>
        <w:t>a con la ejecución del contrato</w:t>
      </w:r>
      <w:r w:rsidR="00A23E06" w:rsidRPr="004F681E">
        <w:rPr>
          <w:rFonts w:ascii="Arial" w:hAnsi="Arial" w:cs="Arial"/>
          <w:lang w:val="es-CO"/>
        </w:rPr>
        <w:t xml:space="preserve">. </w:t>
      </w:r>
    </w:p>
    <w:p w:rsidR="001959EE" w:rsidRPr="004F681E" w:rsidRDefault="001959EE" w:rsidP="005B0CCE">
      <w:pPr>
        <w:spacing w:line="360" w:lineRule="auto"/>
        <w:jc w:val="both"/>
        <w:rPr>
          <w:rFonts w:ascii="Arial" w:hAnsi="Arial" w:cs="Arial"/>
          <w:lang w:val="es-CO"/>
        </w:rPr>
      </w:pPr>
    </w:p>
    <w:p w:rsidR="0089456F" w:rsidRDefault="001959EE" w:rsidP="005B0CCE">
      <w:pPr>
        <w:spacing w:line="360" w:lineRule="auto"/>
        <w:jc w:val="both"/>
        <w:rPr>
          <w:rFonts w:ascii="Arial" w:hAnsi="Arial" w:cs="Arial"/>
          <w:lang w:val="es-CO"/>
        </w:rPr>
      </w:pPr>
      <w:r w:rsidRPr="004F681E">
        <w:rPr>
          <w:rFonts w:ascii="Arial" w:hAnsi="Arial" w:cs="Arial"/>
          <w:lang w:val="es-CO"/>
        </w:rPr>
        <w:t xml:space="preserve">Como segundo aspecto </w:t>
      </w:r>
      <w:r w:rsidR="00130288" w:rsidRPr="004F681E">
        <w:rPr>
          <w:rFonts w:ascii="Arial" w:hAnsi="Arial" w:cs="Arial"/>
          <w:lang w:val="es-CO"/>
        </w:rPr>
        <w:t>de capital importancia</w:t>
      </w:r>
      <w:r w:rsidR="00915C34" w:rsidRPr="004F681E">
        <w:rPr>
          <w:rFonts w:ascii="Arial" w:hAnsi="Arial" w:cs="Arial"/>
          <w:lang w:val="es-CO"/>
        </w:rPr>
        <w:t>,</w:t>
      </w:r>
      <w:r w:rsidR="00130288" w:rsidRPr="004F681E">
        <w:rPr>
          <w:rFonts w:ascii="Arial" w:hAnsi="Arial" w:cs="Arial"/>
          <w:lang w:val="es-CO"/>
        </w:rPr>
        <w:t xml:space="preserve"> </w:t>
      </w:r>
      <w:r w:rsidRPr="004F681E">
        <w:rPr>
          <w:rFonts w:ascii="Arial" w:hAnsi="Arial" w:cs="Arial"/>
          <w:lang w:val="es-CO"/>
        </w:rPr>
        <w:t>se demostr</w:t>
      </w:r>
      <w:r w:rsidR="004971D2" w:rsidRPr="004F681E">
        <w:rPr>
          <w:rFonts w:ascii="Arial" w:hAnsi="Arial" w:cs="Arial"/>
          <w:lang w:val="es-CO"/>
        </w:rPr>
        <w:t>ó que habiendo depositado su confianza</w:t>
      </w:r>
      <w:r w:rsidRPr="004F681E">
        <w:rPr>
          <w:rFonts w:ascii="Arial" w:hAnsi="Arial" w:cs="Arial"/>
          <w:lang w:val="es-CO"/>
        </w:rPr>
        <w:t xml:space="preserve"> en la previsi</w:t>
      </w:r>
      <w:r w:rsidR="00611824" w:rsidRPr="004F681E">
        <w:rPr>
          <w:rFonts w:ascii="Arial" w:hAnsi="Arial" w:cs="Arial"/>
          <w:lang w:val="es-CO"/>
        </w:rPr>
        <w:t xml:space="preserve">ón </w:t>
      </w:r>
      <w:r w:rsidRPr="004F681E">
        <w:rPr>
          <w:rFonts w:ascii="Arial" w:hAnsi="Arial" w:cs="Arial"/>
          <w:lang w:val="es-CO"/>
        </w:rPr>
        <w:t xml:space="preserve">contenida en la Resolución No. </w:t>
      </w:r>
      <w:r w:rsidR="004971D2" w:rsidRPr="004F681E">
        <w:rPr>
          <w:rFonts w:ascii="Arial" w:hAnsi="Arial" w:cs="Arial"/>
          <w:lang w:val="es-CO"/>
        </w:rPr>
        <w:t>327 del 23 de julio de 2010</w:t>
      </w:r>
      <w:r w:rsidR="00D477FB" w:rsidRPr="004F681E">
        <w:rPr>
          <w:rFonts w:ascii="Arial" w:hAnsi="Arial" w:cs="Arial"/>
          <w:lang w:val="es-CO"/>
        </w:rPr>
        <w:t>,</w:t>
      </w:r>
      <w:r w:rsidR="00611824" w:rsidRPr="004F681E">
        <w:rPr>
          <w:rFonts w:ascii="Arial" w:hAnsi="Arial" w:cs="Arial"/>
          <w:lang w:val="es-CO"/>
        </w:rPr>
        <w:t xml:space="preserve"> relativa </w:t>
      </w:r>
      <w:r w:rsidR="00B61437" w:rsidRPr="004F681E">
        <w:rPr>
          <w:rFonts w:ascii="Arial" w:hAnsi="Arial" w:cs="Arial"/>
          <w:lang w:val="es-CO"/>
        </w:rPr>
        <w:t>al reconocimiento de</w:t>
      </w:r>
      <w:r w:rsidR="00313DEC" w:rsidRPr="004F681E">
        <w:rPr>
          <w:rFonts w:ascii="Arial" w:hAnsi="Arial" w:cs="Arial"/>
          <w:lang w:val="es-CO"/>
        </w:rPr>
        <w:t xml:space="preserve"> las utilidades dejadas de percibir durante el la</w:t>
      </w:r>
      <w:r w:rsidR="0031621E" w:rsidRPr="004F681E">
        <w:rPr>
          <w:rFonts w:ascii="Arial" w:hAnsi="Arial" w:cs="Arial"/>
          <w:lang w:val="es-CO"/>
        </w:rPr>
        <w:t xml:space="preserve">pso señalado, </w:t>
      </w:r>
      <w:r w:rsidR="00611824" w:rsidRPr="004F681E">
        <w:rPr>
          <w:rFonts w:ascii="Arial" w:hAnsi="Arial" w:cs="Arial"/>
          <w:lang w:val="es-CO"/>
        </w:rPr>
        <w:t>desde noviembre de 2010 y en adelante</w:t>
      </w:r>
      <w:r w:rsidR="00915C34" w:rsidRPr="004F681E">
        <w:rPr>
          <w:rFonts w:ascii="Arial" w:hAnsi="Arial" w:cs="Arial"/>
          <w:lang w:val="es-CO"/>
        </w:rPr>
        <w:t>,</w:t>
      </w:r>
      <w:r w:rsidR="00611824" w:rsidRPr="004F681E">
        <w:rPr>
          <w:rFonts w:ascii="Arial" w:hAnsi="Arial" w:cs="Arial"/>
          <w:lang w:val="es-CO"/>
        </w:rPr>
        <w:t xml:space="preserve"> el conces</w:t>
      </w:r>
      <w:r w:rsidR="00915C34" w:rsidRPr="004F681E">
        <w:rPr>
          <w:rFonts w:ascii="Arial" w:hAnsi="Arial" w:cs="Arial"/>
          <w:lang w:val="es-CO"/>
        </w:rPr>
        <w:t xml:space="preserve">ionario </w:t>
      </w:r>
      <w:r w:rsidR="00915C34" w:rsidRPr="004F681E">
        <w:rPr>
          <w:rFonts w:ascii="Arial" w:hAnsi="Arial" w:cs="Arial"/>
          <w:lang w:val="es-CO"/>
        </w:rPr>
        <w:lastRenderedPageBreak/>
        <w:t>elevó varias comunicaciones</w:t>
      </w:r>
      <w:r w:rsidR="00611824" w:rsidRPr="004F681E">
        <w:rPr>
          <w:rFonts w:ascii="Arial" w:hAnsi="Arial" w:cs="Arial"/>
          <w:lang w:val="es-CO"/>
        </w:rPr>
        <w:t xml:space="preserve"> ante la entidad</w:t>
      </w:r>
      <w:r w:rsidR="00915C34" w:rsidRPr="004F681E">
        <w:rPr>
          <w:rFonts w:ascii="Arial" w:hAnsi="Arial" w:cs="Arial"/>
          <w:lang w:val="es-CO"/>
        </w:rPr>
        <w:t>,</w:t>
      </w:r>
      <w:r w:rsidR="00611824" w:rsidRPr="004F681E">
        <w:rPr>
          <w:rFonts w:ascii="Arial" w:hAnsi="Arial" w:cs="Arial"/>
          <w:lang w:val="es-CO"/>
        </w:rPr>
        <w:t xml:space="preserve"> con el fin de solicitar</w:t>
      </w:r>
      <w:r w:rsidR="00915C34" w:rsidRPr="004F681E">
        <w:rPr>
          <w:rFonts w:ascii="Arial" w:hAnsi="Arial" w:cs="Arial"/>
          <w:lang w:val="es-CO"/>
        </w:rPr>
        <w:t>le</w:t>
      </w:r>
      <w:r w:rsidR="00611824" w:rsidRPr="004F681E">
        <w:rPr>
          <w:rFonts w:ascii="Arial" w:hAnsi="Arial" w:cs="Arial"/>
          <w:lang w:val="es-CO"/>
        </w:rPr>
        <w:t xml:space="preserve"> el reconocimiento del lucro cesante presentado</w:t>
      </w:r>
      <w:r w:rsidR="00807A53" w:rsidRPr="004F681E">
        <w:rPr>
          <w:rFonts w:ascii="Arial" w:hAnsi="Arial" w:cs="Arial"/>
          <w:lang w:val="es-CO"/>
        </w:rPr>
        <w:t xml:space="preserve"> durante el perí</w:t>
      </w:r>
      <w:r w:rsidR="00611824" w:rsidRPr="004F681E">
        <w:rPr>
          <w:rFonts w:ascii="Arial" w:hAnsi="Arial" w:cs="Arial"/>
          <w:lang w:val="es-CO"/>
        </w:rPr>
        <w:t xml:space="preserve">odo de inactividad de la pantalla. </w:t>
      </w:r>
    </w:p>
    <w:p w:rsidR="004F681E" w:rsidRPr="004F681E" w:rsidRDefault="004F681E" w:rsidP="005B0CCE">
      <w:pPr>
        <w:spacing w:line="360" w:lineRule="auto"/>
        <w:jc w:val="both"/>
        <w:rPr>
          <w:rFonts w:ascii="Arial" w:hAnsi="Arial" w:cs="Arial"/>
          <w:lang w:val="es-CO"/>
        </w:rPr>
      </w:pPr>
    </w:p>
    <w:p w:rsidR="00807A53" w:rsidRPr="004F681E" w:rsidRDefault="0089456F" w:rsidP="005B0CCE">
      <w:pPr>
        <w:spacing w:line="360" w:lineRule="auto"/>
        <w:jc w:val="both"/>
        <w:rPr>
          <w:rFonts w:ascii="Arial" w:hAnsi="Arial" w:cs="Arial"/>
          <w:lang w:val="es-CO"/>
        </w:rPr>
      </w:pPr>
      <w:r w:rsidRPr="004F681E">
        <w:rPr>
          <w:rFonts w:ascii="Arial" w:hAnsi="Arial" w:cs="Arial"/>
          <w:lang w:val="es-CO"/>
        </w:rPr>
        <w:t>A su turno</w:t>
      </w:r>
      <w:r w:rsidR="00915C34" w:rsidRPr="004F681E">
        <w:rPr>
          <w:rFonts w:ascii="Arial" w:hAnsi="Arial" w:cs="Arial"/>
          <w:lang w:val="es-CO"/>
        </w:rPr>
        <w:t>,</w:t>
      </w:r>
      <w:r w:rsidRPr="004F681E">
        <w:rPr>
          <w:rFonts w:ascii="Arial" w:hAnsi="Arial" w:cs="Arial"/>
          <w:lang w:val="es-CO"/>
        </w:rPr>
        <w:t xml:space="preserve"> la entidad en todo momento expuso que para su reconocimiento resultaba</w:t>
      </w:r>
      <w:r w:rsidR="00453ACC" w:rsidRPr="004F681E">
        <w:rPr>
          <w:rFonts w:ascii="Arial" w:hAnsi="Arial" w:cs="Arial"/>
          <w:lang w:val="es-CO"/>
        </w:rPr>
        <w:t xml:space="preserve"> indis</w:t>
      </w:r>
      <w:r w:rsidR="00807A53" w:rsidRPr="004F681E">
        <w:rPr>
          <w:rFonts w:ascii="Arial" w:hAnsi="Arial" w:cs="Arial"/>
          <w:lang w:val="es-CO"/>
        </w:rPr>
        <w:t>pensable que se aportaran los</w:t>
      </w:r>
      <w:r w:rsidR="00453ACC" w:rsidRPr="004F681E">
        <w:rPr>
          <w:rFonts w:ascii="Arial" w:hAnsi="Arial" w:cs="Arial"/>
          <w:lang w:val="es-CO"/>
        </w:rPr>
        <w:t xml:space="preserve"> documentos </w:t>
      </w:r>
      <w:r w:rsidR="00807A53" w:rsidRPr="004F681E">
        <w:rPr>
          <w:rFonts w:ascii="Arial" w:hAnsi="Arial" w:cs="Arial"/>
          <w:lang w:val="es-CO"/>
        </w:rPr>
        <w:t>por ella indicados expresamente</w:t>
      </w:r>
      <w:r w:rsidR="00915C34" w:rsidRPr="004F681E">
        <w:rPr>
          <w:rFonts w:ascii="Arial" w:hAnsi="Arial" w:cs="Arial"/>
          <w:lang w:val="es-CO"/>
        </w:rPr>
        <w:t>,</w:t>
      </w:r>
      <w:r w:rsidR="00807A53" w:rsidRPr="004F681E">
        <w:rPr>
          <w:rFonts w:ascii="Arial" w:hAnsi="Arial" w:cs="Arial"/>
          <w:lang w:val="es-CO"/>
        </w:rPr>
        <w:t xml:space="preserve"> </w:t>
      </w:r>
      <w:r w:rsidR="00453ACC" w:rsidRPr="004F681E">
        <w:rPr>
          <w:rFonts w:ascii="Arial" w:hAnsi="Arial" w:cs="Arial"/>
          <w:lang w:val="es-CO"/>
        </w:rPr>
        <w:t xml:space="preserve">que sirvieran de soporte para acreditar su causación. </w:t>
      </w:r>
    </w:p>
    <w:p w:rsidR="00807A53" w:rsidRPr="004F681E" w:rsidRDefault="00807A53" w:rsidP="005B0CCE">
      <w:pPr>
        <w:spacing w:line="360" w:lineRule="auto"/>
        <w:jc w:val="both"/>
        <w:rPr>
          <w:rFonts w:ascii="Arial" w:hAnsi="Arial" w:cs="Arial"/>
          <w:lang w:val="es-CO"/>
        </w:rPr>
      </w:pPr>
    </w:p>
    <w:p w:rsidR="00C704C3" w:rsidRPr="004F681E" w:rsidRDefault="00453ACC" w:rsidP="005B0CCE">
      <w:pPr>
        <w:spacing w:line="360" w:lineRule="auto"/>
        <w:jc w:val="both"/>
        <w:rPr>
          <w:rFonts w:ascii="Arial" w:hAnsi="Arial" w:cs="Arial"/>
          <w:lang w:val="es-CO"/>
        </w:rPr>
      </w:pPr>
      <w:r w:rsidRPr="004F681E">
        <w:rPr>
          <w:rFonts w:ascii="Arial" w:hAnsi="Arial" w:cs="Arial"/>
          <w:lang w:val="es-CO"/>
        </w:rPr>
        <w:t xml:space="preserve">Con todo, </w:t>
      </w:r>
      <w:r w:rsidR="00807A53" w:rsidRPr="004F681E">
        <w:rPr>
          <w:rFonts w:ascii="Arial" w:hAnsi="Arial" w:cs="Arial"/>
          <w:lang w:val="es-CO"/>
        </w:rPr>
        <w:t>a pesar de que en el mes de junio de 2011 el contratista presentó</w:t>
      </w:r>
      <w:r w:rsidR="000C4E6E" w:rsidRPr="004F681E">
        <w:rPr>
          <w:rFonts w:ascii="Arial" w:hAnsi="Arial" w:cs="Arial"/>
          <w:lang w:val="es-CO"/>
        </w:rPr>
        <w:t>,</w:t>
      </w:r>
      <w:r w:rsidR="00807A53" w:rsidRPr="004F681E">
        <w:rPr>
          <w:rFonts w:ascii="Arial" w:hAnsi="Arial" w:cs="Arial"/>
          <w:lang w:val="es-CO"/>
        </w:rPr>
        <w:t xml:space="preserve"> al parecer</w:t>
      </w:r>
      <w:r w:rsidR="000C4E6E" w:rsidRPr="004F681E">
        <w:rPr>
          <w:rFonts w:ascii="Arial" w:hAnsi="Arial" w:cs="Arial"/>
          <w:lang w:val="es-CO"/>
        </w:rPr>
        <w:t>,</w:t>
      </w:r>
      <w:r w:rsidR="00807A53" w:rsidRPr="004F681E">
        <w:rPr>
          <w:rFonts w:ascii="Arial" w:hAnsi="Arial" w:cs="Arial"/>
          <w:lang w:val="es-CO"/>
        </w:rPr>
        <w:t xml:space="preserve"> la totalidad de los documentos requeridos </w:t>
      </w:r>
      <w:r w:rsidR="007B5C4A" w:rsidRPr="004F681E">
        <w:rPr>
          <w:rFonts w:ascii="Arial" w:hAnsi="Arial" w:cs="Arial"/>
          <w:lang w:val="es-CO"/>
        </w:rPr>
        <w:t xml:space="preserve">por el Instituto, </w:t>
      </w:r>
      <w:r w:rsidR="00807A53" w:rsidRPr="004F681E">
        <w:rPr>
          <w:rFonts w:ascii="Arial" w:hAnsi="Arial" w:cs="Arial"/>
          <w:lang w:val="es-CO"/>
        </w:rPr>
        <w:t xml:space="preserve">a los dos meses </w:t>
      </w:r>
      <w:r w:rsidR="007B5C4A" w:rsidRPr="004F681E">
        <w:rPr>
          <w:rFonts w:ascii="Arial" w:hAnsi="Arial" w:cs="Arial"/>
          <w:lang w:val="es-CO"/>
        </w:rPr>
        <w:t xml:space="preserve">el Área de Apoyo a la Contratación encargada de la revisión de los soportes contables manifestó que no resultaba viable el reconocimiento del lucro cesante solicitado por el demandante en consideración </w:t>
      </w:r>
      <w:r w:rsidR="00C704C3" w:rsidRPr="004F681E">
        <w:rPr>
          <w:rFonts w:ascii="Arial" w:hAnsi="Arial" w:cs="Arial"/>
          <w:lang w:val="es-CO"/>
        </w:rPr>
        <w:t>a dos razones:</w:t>
      </w:r>
    </w:p>
    <w:p w:rsidR="00C704C3" w:rsidRPr="004F681E" w:rsidRDefault="00C704C3" w:rsidP="005B0CCE">
      <w:pPr>
        <w:spacing w:line="360" w:lineRule="auto"/>
        <w:jc w:val="both"/>
        <w:rPr>
          <w:rFonts w:ascii="Arial" w:hAnsi="Arial" w:cs="Arial"/>
          <w:lang w:val="es-CO"/>
        </w:rPr>
      </w:pPr>
    </w:p>
    <w:p w:rsidR="0089456F" w:rsidRPr="004F681E" w:rsidRDefault="00C704C3" w:rsidP="005B0CCE">
      <w:pPr>
        <w:spacing w:line="360" w:lineRule="auto"/>
        <w:jc w:val="both"/>
        <w:rPr>
          <w:rFonts w:ascii="Arial" w:hAnsi="Arial" w:cs="Arial"/>
          <w:lang w:val="es-CO"/>
        </w:rPr>
      </w:pPr>
      <w:r w:rsidRPr="004F681E">
        <w:rPr>
          <w:rFonts w:ascii="Arial" w:hAnsi="Arial" w:cs="Arial"/>
          <w:lang w:val="es-CO"/>
        </w:rPr>
        <w:t xml:space="preserve">Como primera medida advirtió </w:t>
      </w:r>
      <w:r w:rsidR="00D34AD7" w:rsidRPr="004F681E">
        <w:rPr>
          <w:rFonts w:ascii="Arial" w:hAnsi="Arial" w:cs="Arial"/>
          <w:lang w:val="es-CO"/>
        </w:rPr>
        <w:t>que</w:t>
      </w:r>
      <w:r w:rsidR="007B5C4A" w:rsidRPr="004F681E">
        <w:rPr>
          <w:rFonts w:ascii="Arial" w:hAnsi="Arial" w:cs="Arial"/>
          <w:lang w:val="es-CO"/>
        </w:rPr>
        <w:t xml:space="preserve"> </w:t>
      </w:r>
      <w:r w:rsidR="00D34AD7" w:rsidRPr="004F681E">
        <w:rPr>
          <w:rFonts w:ascii="Arial" w:hAnsi="Arial" w:cs="Arial"/>
          <w:lang w:val="es-CO"/>
        </w:rPr>
        <w:t>no existía prueba de los perjuicios solicitados</w:t>
      </w:r>
      <w:r w:rsidR="00D477FB" w:rsidRPr="004F681E">
        <w:rPr>
          <w:rFonts w:ascii="Arial" w:hAnsi="Arial" w:cs="Arial"/>
          <w:lang w:val="es-CO"/>
        </w:rPr>
        <w:t>,</w:t>
      </w:r>
      <w:r w:rsidR="00D34AD7" w:rsidRPr="004F681E">
        <w:rPr>
          <w:rFonts w:ascii="Arial" w:hAnsi="Arial" w:cs="Arial"/>
          <w:lang w:val="es-CO"/>
        </w:rPr>
        <w:t xml:space="preserve"> como tampoco de su cuantía y </w:t>
      </w:r>
      <w:r w:rsidR="008C22FF" w:rsidRPr="004F681E">
        <w:rPr>
          <w:rFonts w:ascii="Arial" w:hAnsi="Arial" w:cs="Arial"/>
          <w:lang w:val="es-CO"/>
        </w:rPr>
        <w:t>a lo dicho sumó</w:t>
      </w:r>
      <w:r w:rsidR="00D34AD7" w:rsidRPr="004F681E">
        <w:rPr>
          <w:rFonts w:ascii="Arial" w:hAnsi="Arial" w:cs="Arial"/>
          <w:lang w:val="es-CO"/>
        </w:rPr>
        <w:t xml:space="preserve"> que durante la eje</w:t>
      </w:r>
      <w:r w:rsidR="00B22037" w:rsidRPr="004F681E">
        <w:rPr>
          <w:rFonts w:ascii="Arial" w:hAnsi="Arial" w:cs="Arial"/>
          <w:lang w:val="es-CO"/>
        </w:rPr>
        <w:t>c</w:t>
      </w:r>
      <w:r w:rsidR="00D34AD7" w:rsidRPr="004F681E">
        <w:rPr>
          <w:rFonts w:ascii="Arial" w:hAnsi="Arial" w:cs="Arial"/>
          <w:lang w:val="es-CO"/>
        </w:rPr>
        <w:t xml:space="preserve">ución del contrato de concesión </w:t>
      </w:r>
      <w:r w:rsidR="00B22037" w:rsidRPr="004F681E">
        <w:rPr>
          <w:rFonts w:ascii="Arial" w:hAnsi="Arial" w:cs="Arial"/>
          <w:lang w:val="es-CO"/>
        </w:rPr>
        <w:t>el contratista había</w:t>
      </w:r>
      <w:r w:rsidR="00FC1421" w:rsidRPr="004F681E">
        <w:rPr>
          <w:rFonts w:ascii="Arial" w:hAnsi="Arial" w:cs="Arial"/>
          <w:lang w:val="es-CO"/>
        </w:rPr>
        <w:t xml:space="preserve"> recibido utilidades. </w:t>
      </w:r>
    </w:p>
    <w:p w:rsidR="00FC1421" w:rsidRPr="004F681E" w:rsidRDefault="00FC1421" w:rsidP="005B0CCE">
      <w:pPr>
        <w:spacing w:line="360" w:lineRule="auto"/>
        <w:jc w:val="both"/>
        <w:rPr>
          <w:rFonts w:ascii="Arial" w:hAnsi="Arial" w:cs="Arial"/>
          <w:lang w:val="es-CO"/>
        </w:rPr>
      </w:pPr>
    </w:p>
    <w:p w:rsidR="00FC1421" w:rsidRPr="004F681E" w:rsidRDefault="00FC1421" w:rsidP="005B0CCE">
      <w:pPr>
        <w:spacing w:line="360" w:lineRule="auto"/>
        <w:jc w:val="both"/>
        <w:rPr>
          <w:rFonts w:ascii="Arial" w:hAnsi="Arial" w:cs="Arial"/>
          <w:lang w:val="es-CO"/>
        </w:rPr>
      </w:pPr>
      <w:r w:rsidRPr="004F681E">
        <w:rPr>
          <w:rFonts w:ascii="Arial" w:hAnsi="Arial" w:cs="Arial"/>
          <w:lang w:val="es-CO"/>
        </w:rPr>
        <w:t xml:space="preserve">La segunda razón </w:t>
      </w:r>
      <w:r w:rsidR="000C4E6E" w:rsidRPr="004F681E">
        <w:rPr>
          <w:rFonts w:ascii="Arial" w:hAnsi="Arial" w:cs="Arial"/>
          <w:lang w:val="es-CO"/>
        </w:rPr>
        <w:t xml:space="preserve">en que se cimentó </w:t>
      </w:r>
      <w:r w:rsidRPr="004F681E">
        <w:rPr>
          <w:rFonts w:ascii="Arial" w:hAnsi="Arial" w:cs="Arial"/>
          <w:lang w:val="es-CO"/>
        </w:rPr>
        <w:t>el argumento</w:t>
      </w:r>
      <w:r w:rsidR="006E4D49" w:rsidRPr="004F681E">
        <w:rPr>
          <w:rFonts w:ascii="Arial" w:hAnsi="Arial" w:cs="Arial"/>
          <w:lang w:val="es-CO"/>
        </w:rPr>
        <w:t xml:space="preserve"> central de la negativa aludió a</w:t>
      </w:r>
      <w:r w:rsidRPr="004F681E">
        <w:rPr>
          <w:rFonts w:ascii="Arial" w:hAnsi="Arial" w:cs="Arial"/>
          <w:lang w:val="es-CO"/>
        </w:rPr>
        <w:t xml:space="preserve"> que </w:t>
      </w:r>
      <w:r w:rsidR="002E00A4" w:rsidRPr="004F681E">
        <w:rPr>
          <w:rFonts w:ascii="Arial" w:hAnsi="Arial" w:cs="Arial"/>
          <w:lang w:val="es-CO"/>
        </w:rPr>
        <w:t>la única obligación que surgía para la entidad ante la ocurrencia de un desequilibrio económico del contrato consistía en restablecerlo a un punto de no pérdida, cuestión que en el caso</w:t>
      </w:r>
      <w:r w:rsidR="0041479D" w:rsidRPr="004F681E">
        <w:rPr>
          <w:rFonts w:ascii="Arial" w:hAnsi="Arial" w:cs="Arial"/>
          <w:lang w:val="es-CO"/>
        </w:rPr>
        <w:t>, de acuerdo con lo señalado por la entidad,</w:t>
      </w:r>
      <w:r w:rsidR="002E00A4" w:rsidRPr="004F681E">
        <w:rPr>
          <w:rFonts w:ascii="Arial" w:hAnsi="Arial" w:cs="Arial"/>
          <w:lang w:val="es-CO"/>
        </w:rPr>
        <w:t xml:space="preserve"> no se traducía en garantizar la obtención de utilidades, máxime cuando la ejecución del contrato había reportado ganancia y provecho para el demandante. </w:t>
      </w:r>
    </w:p>
    <w:p w:rsidR="007C329F" w:rsidRPr="004F681E" w:rsidRDefault="007C329F" w:rsidP="005B0CCE">
      <w:pPr>
        <w:spacing w:line="360" w:lineRule="auto"/>
        <w:jc w:val="both"/>
        <w:rPr>
          <w:rFonts w:ascii="Arial" w:hAnsi="Arial" w:cs="Arial"/>
          <w:lang w:val="es-CO"/>
        </w:rPr>
      </w:pPr>
    </w:p>
    <w:p w:rsidR="00A732A5" w:rsidRPr="004F681E" w:rsidRDefault="0041479D" w:rsidP="005B0CCE">
      <w:pPr>
        <w:spacing w:line="360" w:lineRule="auto"/>
        <w:jc w:val="both"/>
        <w:rPr>
          <w:rFonts w:ascii="Arial" w:hAnsi="Arial" w:cs="Arial"/>
          <w:lang w:val="es-CO"/>
        </w:rPr>
      </w:pPr>
      <w:r w:rsidRPr="004F681E">
        <w:rPr>
          <w:rFonts w:ascii="Arial" w:hAnsi="Arial" w:cs="Arial"/>
          <w:lang w:val="es-CO"/>
        </w:rPr>
        <w:t>En consideración a lo advertido</w:t>
      </w:r>
      <w:r w:rsidR="007F7CBB" w:rsidRPr="004F681E">
        <w:rPr>
          <w:rFonts w:ascii="Arial" w:hAnsi="Arial" w:cs="Arial"/>
          <w:lang w:val="es-CO"/>
        </w:rPr>
        <w:t>, la Sala observa que la parte demandada</w:t>
      </w:r>
      <w:r w:rsidR="00A732A5" w:rsidRPr="004F681E">
        <w:rPr>
          <w:rFonts w:ascii="Arial" w:hAnsi="Arial" w:cs="Arial"/>
          <w:lang w:val="es-CO"/>
        </w:rPr>
        <w:t>,</w:t>
      </w:r>
      <w:r w:rsidR="007F7CBB" w:rsidRPr="004F681E">
        <w:rPr>
          <w:rFonts w:ascii="Arial" w:hAnsi="Arial" w:cs="Arial"/>
          <w:lang w:val="es-CO"/>
        </w:rPr>
        <w:t xml:space="preserve"> sin lugar a dudas</w:t>
      </w:r>
      <w:r w:rsidR="00A732A5" w:rsidRPr="004F681E">
        <w:rPr>
          <w:rFonts w:ascii="Arial" w:hAnsi="Arial" w:cs="Arial"/>
          <w:lang w:val="es-CO"/>
        </w:rPr>
        <w:t>,</w:t>
      </w:r>
      <w:r w:rsidR="007F7CBB" w:rsidRPr="004F681E">
        <w:rPr>
          <w:rFonts w:ascii="Arial" w:hAnsi="Arial" w:cs="Arial"/>
          <w:lang w:val="es-CO"/>
        </w:rPr>
        <w:t xml:space="preserve"> desconoció el compromiso inicialmente contraído </w:t>
      </w:r>
      <w:r w:rsidR="00AC4304" w:rsidRPr="004F681E">
        <w:rPr>
          <w:rFonts w:ascii="Arial" w:hAnsi="Arial" w:cs="Arial"/>
          <w:lang w:val="es-CO"/>
        </w:rPr>
        <w:t>en su acto</w:t>
      </w:r>
      <w:r w:rsidR="00B61437" w:rsidRPr="004F681E">
        <w:rPr>
          <w:rFonts w:ascii="Arial" w:hAnsi="Arial" w:cs="Arial"/>
          <w:lang w:val="es-CO"/>
        </w:rPr>
        <w:t xml:space="preserve"> de modificación unilateral del contrato</w:t>
      </w:r>
      <w:r w:rsidR="00AC4304" w:rsidRPr="004F681E">
        <w:rPr>
          <w:rFonts w:ascii="Arial" w:hAnsi="Arial" w:cs="Arial"/>
          <w:lang w:val="es-CO"/>
        </w:rPr>
        <w:t xml:space="preserve">, </w:t>
      </w:r>
      <w:r w:rsidR="00915C34" w:rsidRPr="004F681E">
        <w:rPr>
          <w:rFonts w:ascii="Arial" w:hAnsi="Arial" w:cs="Arial"/>
          <w:lang w:val="es-CO"/>
        </w:rPr>
        <w:t xml:space="preserve">al punto de </w:t>
      </w:r>
      <w:r w:rsidR="007F7CBB" w:rsidRPr="004F681E">
        <w:rPr>
          <w:rFonts w:ascii="Arial" w:hAnsi="Arial" w:cs="Arial"/>
          <w:lang w:val="es-CO"/>
        </w:rPr>
        <w:t>que intentó just</w:t>
      </w:r>
      <w:r w:rsidR="00915C34" w:rsidRPr="004F681E">
        <w:rPr>
          <w:rFonts w:ascii="Arial" w:hAnsi="Arial" w:cs="Arial"/>
          <w:lang w:val="es-CO"/>
        </w:rPr>
        <w:t>ificar su negativa en</w:t>
      </w:r>
      <w:r w:rsidR="007F7CBB" w:rsidRPr="004F681E">
        <w:rPr>
          <w:rFonts w:ascii="Arial" w:hAnsi="Arial" w:cs="Arial"/>
          <w:lang w:val="es-CO"/>
        </w:rPr>
        <w:t xml:space="preserve"> la ausencia de configuración de un concepto distinto al que ella </w:t>
      </w:r>
      <w:r w:rsidR="00A732A5" w:rsidRPr="004F681E">
        <w:rPr>
          <w:rFonts w:ascii="Arial" w:hAnsi="Arial" w:cs="Arial"/>
          <w:lang w:val="es-CO"/>
        </w:rPr>
        <w:t xml:space="preserve">misma </w:t>
      </w:r>
      <w:r w:rsidR="00B61437" w:rsidRPr="004F681E">
        <w:rPr>
          <w:rFonts w:ascii="Arial" w:hAnsi="Arial" w:cs="Arial"/>
          <w:lang w:val="es-CO"/>
        </w:rPr>
        <w:t>concibió al ejercer la potestad excepcional</w:t>
      </w:r>
      <w:r w:rsidR="00A732A5" w:rsidRPr="004F681E">
        <w:rPr>
          <w:rFonts w:ascii="Arial" w:hAnsi="Arial" w:cs="Arial"/>
          <w:lang w:val="es-CO"/>
        </w:rPr>
        <w:t>.</w:t>
      </w:r>
    </w:p>
    <w:p w:rsidR="00B61437" w:rsidRPr="004F681E" w:rsidRDefault="00B61437" w:rsidP="005B0CCE">
      <w:pPr>
        <w:spacing w:line="360" w:lineRule="auto"/>
        <w:jc w:val="both"/>
        <w:rPr>
          <w:rFonts w:ascii="Arial" w:hAnsi="Arial" w:cs="Arial"/>
          <w:lang w:val="es-CO"/>
        </w:rPr>
      </w:pPr>
    </w:p>
    <w:p w:rsidR="00320C2F" w:rsidRPr="004F681E" w:rsidRDefault="00A732A5" w:rsidP="005B0CCE">
      <w:pPr>
        <w:spacing w:line="360" w:lineRule="auto"/>
        <w:jc w:val="both"/>
        <w:rPr>
          <w:rFonts w:ascii="Arial" w:hAnsi="Arial" w:cs="Arial"/>
          <w:lang w:val="es-CO"/>
        </w:rPr>
      </w:pPr>
      <w:r w:rsidRPr="004F681E">
        <w:rPr>
          <w:rFonts w:ascii="Arial" w:hAnsi="Arial" w:cs="Arial"/>
          <w:lang w:val="es-CO"/>
        </w:rPr>
        <w:t>Ciertamente</w:t>
      </w:r>
      <w:r w:rsidR="00915C34" w:rsidRPr="004F681E">
        <w:rPr>
          <w:rFonts w:ascii="Arial" w:hAnsi="Arial" w:cs="Arial"/>
          <w:lang w:val="es-CO"/>
        </w:rPr>
        <w:t>,</w:t>
      </w:r>
      <w:r w:rsidRPr="004F681E">
        <w:rPr>
          <w:rFonts w:ascii="Arial" w:hAnsi="Arial" w:cs="Arial"/>
          <w:lang w:val="es-CO"/>
        </w:rPr>
        <w:t xml:space="preserve"> </w:t>
      </w:r>
      <w:r w:rsidR="0041479D" w:rsidRPr="004F681E">
        <w:rPr>
          <w:rFonts w:ascii="Arial" w:hAnsi="Arial" w:cs="Arial"/>
          <w:lang w:val="es-CO"/>
        </w:rPr>
        <w:t xml:space="preserve">no puede perderse de vista que </w:t>
      </w:r>
      <w:r w:rsidRPr="004F681E">
        <w:rPr>
          <w:rFonts w:ascii="Arial" w:hAnsi="Arial" w:cs="Arial"/>
          <w:lang w:val="es-CO"/>
        </w:rPr>
        <w:t xml:space="preserve">la </w:t>
      </w:r>
      <w:r w:rsidR="009C2816" w:rsidRPr="004F681E">
        <w:rPr>
          <w:rFonts w:ascii="Arial" w:hAnsi="Arial" w:cs="Arial"/>
          <w:lang w:val="es-CO"/>
        </w:rPr>
        <w:t xml:space="preserve">medida restablecedora ideada </w:t>
      </w:r>
      <w:r w:rsidR="0041479D" w:rsidRPr="004F681E">
        <w:rPr>
          <w:rFonts w:ascii="Arial" w:hAnsi="Arial" w:cs="Arial"/>
          <w:lang w:val="es-CO"/>
        </w:rPr>
        <w:t>libremente por la entidad</w:t>
      </w:r>
      <w:r w:rsidR="00915C34" w:rsidRPr="004F681E">
        <w:rPr>
          <w:rFonts w:ascii="Arial" w:hAnsi="Arial" w:cs="Arial"/>
          <w:lang w:val="es-CO"/>
        </w:rPr>
        <w:t>,</w:t>
      </w:r>
      <w:r w:rsidR="0041479D" w:rsidRPr="004F681E">
        <w:rPr>
          <w:rFonts w:ascii="Arial" w:hAnsi="Arial" w:cs="Arial"/>
          <w:lang w:val="es-CO"/>
        </w:rPr>
        <w:t xml:space="preserve"> con fundamento en el principio de la autonomía de la volunt</w:t>
      </w:r>
      <w:r w:rsidR="00915C34" w:rsidRPr="004F681E">
        <w:rPr>
          <w:rFonts w:ascii="Arial" w:hAnsi="Arial" w:cs="Arial"/>
          <w:lang w:val="es-CO"/>
        </w:rPr>
        <w:t>ad,</w:t>
      </w:r>
      <w:r w:rsidRPr="004F681E">
        <w:rPr>
          <w:rFonts w:ascii="Arial" w:hAnsi="Arial" w:cs="Arial"/>
          <w:lang w:val="es-CO"/>
        </w:rPr>
        <w:t xml:space="preserve"> cuya naturaleza se analizó en el punto anterior</w:t>
      </w:r>
      <w:r w:rsidR="00915C34" w:rsidRPr="004F681E">
        <w:rPr>
          <w:rFonts w:ascii="Arial" w:hAnsi="Arial" w:cs="Arial"/>
          <w:lang w:val="es-CO"/>
        </w:rPr>
        <w:t>,</w:t>
      </w:r>
      <w:r w:rsidRPr="004F681E">
        <w:rPr>
          <w:rFonts w:ascii="Arial" w:hAnsi="Arial" w:cs="Arial"/>
          <w:lang w:val="es-CO"/>
        </w:rPr>
        <w:t xml:space="preserve"> versó claramente sobre el reconocimiento de utilidades dejadas de percibir por cuenta </w:t>
      </w:r>
      <w:r w:rsidR="0041479D" w:rsidRPr="004F681E">
        <w:rPr>
          <w:rFonts w:ascii="Arial" w:hAnsi="Arial" w:cs="Arial"/>
          <w:lang w:val="es-CO"/>
        </w:rPr>
        <w:t xml:space="preserve">de la inoperancia de la pantalla durante las actividades de desmonte, traslado y reubicación. </w:t>
      </w:r>
    </w:p>
    <w:p w:rsidR="009C2816" w:rsidRPr="004F681E" w:rsidRDefault="009C2816" w:rsidP="005B0CCE">
      <w:pPr>
        <w:spacing w:line="360" w:lineRule="auto"/>
        <w:jc w:val="both"/>
        <w:rPr>
          <w:rFonts w:ascii="Arial" w:hAnsi="Arial" w:cs="Arial"/>
          <w:lang w:val="es-CO"/>
        </w:rPr>
      </w:pPr>
    </w:p>
    <w:p w:rsidR="00A732A5" w:rsidRPr="004F681E" w:rsidRDefault="0041479D" w:rsidP="005B0CCE">
      <w:pPr>
        <w:spacing w:line="360" w:lineRule="auto"/>
        <w:jc w:val="both"/>
        <w:rPr>
          <w:rFonts w:ascii="Arial" w:hAnsi="Arial" w:cs="Arial"/>
          <w:lang w:val="es-CO"/>
        </w:rPr>
      </w:pPr>
      <w:r w:rsidRPr="004F681E">
        <w:rPr>
          <w:rFonts w:ascii="Arial" w:hAnsi="Arial" w:cs="Arial"/>
          <w:lang w:val="es-CO"/>
        </w:rPr>
        <w:lastRenderedPageBreak/>
        <w:t>En momento alguno</w:t>
      </w:r>
      <w:r w:rsidR="00AC4304" w:rsidRPr="004F681E">
        <w:rPr>
          <w:rFonts w:ascii="Arial" w:hAnsi="Arial" w:cs="Arial"/>
          <w:lang w:val="es-CO"/>
        </w:rPr>
        <w:t xml:space="preserve"> se supeditó su reconocimiento a</w:t>
      </w:r>
      <w:r w:rsidR="006A2613" w:rsidRPr="004F681E">
        <w:rPr>
          <w:rFonts w:ascii="Arial" w:hAnsi="Arial" w:cs="Arial"/>
          <w:lang w:val="es-CO"/>
        </w:rPr>
        <w:t>l</w:t>
      </w:r>
      <w:r w:rsidR="00AC4304" w:rsidRPr="004F681E">
        <w:rPr>
          <w:rFonts w:ascii="Arial" w:hAnsi="Arial" w:cs="Arial"/>
          <w:lang w:val="es-CO"/>
        </w:rPr>
        <w:t xml:space="preserve"> </w:t>
      </w:r>
      <w:r w:rsidR="006A2613" w:rsidRPr="004F681E">
        <w:rPr>
          <w:rFonts w:ascii="Arial" w:hAnsi="Arial" w:cs="Arial"/>
          <w:lang w:val="es-CO"/>
        </w:rPr>
        <w:t>mantenimiento de</w:t>
      </w:r>
      <w:r w:rsidR="00320C2F" w:rsidRPr="004F681E">
        <w:rPr>
          <w:rFonts w:ascii="Arial" w:hAnsi="Arial" w:cs="Arial"/>
          <w:lang w:val="es-CO"/>
        </w:rPr>
        <w:t xml:space="preserve"> las condiciones inicialmente pactadas en un punto de no pérdida</w:t>
      </w:r>
      <w:r w:rsidR="00AF406B" w:rsidRPr="004F681E">
        <w:rPr>
          <w:rFonts w:ascii="Arial" w:hAnsi="Arial" w:cs="Arial"/>
          <w:lang w:val="es-CO"/>
        </w:rPr>
        <w:t>, menos aun teniendo en cuenta que</w:t>
      </w:r>
      <w:r w:rsidR="00F02374" w:rsidRPr="004F681E">
        <w:rPr>
          <w:rFonts w:ascii="Arial" w:hAnsi="Arial" w:cs="Arial"/>
          <w:lang w:val="es-CO"/>
        </w:rPr>
        <w:t>,</w:t>
      </w:r>
      <w:r w:rsidR="00AF406B" w:rsidRPr="004F681E">
        <w:rPr>
          <w:rFonts w:ascii="Arial" w:hAnsi="Arial" w:cs="Arial"/>
          <w:lang w:val="es-CO"/>
        </w:rPr>
        <w:t xml:space="preserve"> como se acotó en ac</w:t>
      </w:r>
      <w:r w:rsidR="00F02374" w:rsidRPr="004F681E">
        <w:rPr>
          <w:rFonts w:ascii="Arial" w:hAnsi="Arial" w:cs="Arial"/>
          <w:lang w:val="es-CO"/>
        </w:rPr>
        <w:t xml:space="preserve">ápite anterior, </w:t>
      </w:r>
      <w:r w:rsidR="00AF406B" w:rsidRPr="004F681E">
        <w:rPr>
          <w:rFonts w:ascii="Arial" w:hAnsi="Arial" w:cs="Arial"/>
          <w:lang w:val="es-CO"/>
        </w:rPr>
        <w:t xml:space="preserve">la Ley 1150 de 2007 que derogó </w:t>
      </w:r>
      <w:r w:rsidR="0068656A" w:rsidRPr="004F681E">
        <w:rPr>
          <w:rFonts w:ascii="Arial" w:hAnsi="Arial" w:cs="Arial"/>
        </w:rPr>
        <w:t>la frase “</w:t>
      </w:r>
      <w:r w:rsidR="0068656A" w:rsidRPr="004F681E">
        <w:rPr>
          <w:rFonts w:ascii="Arial" w:hAnsi="Arial" w:cs="Arial"/>
          <w:i/>
        </w:rPr>
        <w:t>además de la obtención de utilidades cuya protección garantiza el Estado</w:t>
      </w:r>
      <w:r w:rsidR="0068656A" w:rsidRPr="004F681E">
        <w:rPr>
          <w:rFonts w:ascii="Arial" w:hAnsi="Arial" w:cs="Arial"/>
        </w:rPr>
        <w:t>”</w:t>
      </w:r>
      <w:r w:rsidR="007D142D" w:rsidRPr="004F681E">
        <w:rPr>
          <w:rFonts w:ascii="Arial" w:hAnsi="Arial" w:cs="Arial"/>
        </w:rPr>
        <w:t>,</w:t>
      </w:r>
      <w:r w:rsidR="0068656A" w:rsidRPr="004F681E">
        <w:rPr>
          <w:rFonts w:ascii="Arial" w:hAnsi="Arial" w:cs="Arial"/>
        </w:rPr>
        <w:t xml:space="preserve"> que anteriormente se hallaba consignada en el inciso segundo del artículo 3 de la Ley 80</w:t>
      </w:r>
      <w:r w:rsidR="007D142D" w:rsidRPr="004F681E">
        <w:rPr>
          <w:rFonts w:ascii="Arial" w:hAnsi="Arial" w:cs="Arial"/>
        </w:rPr>
        <w:t>,</w:t>
      </w:r>
      <w:r w:rsidR="00F4542E" w:rsidRPr="004F681E">
        <w:rPr>
          <w:rFonts w:ascii="Arial" w:hAnsi="Arial" w:cs="Arial"/>
        </w:rPr>
        <w:t xml:space="preserve"> no</w:t>
      </w:r>
      <w:r w:rsidR="0068656A" w:rsidRPr="004F681E">
        <w:rPr>
          <w:rFonts w:ascii="Arial" w:hAnsi="Arial" w:cs="Arial"/>
        </w:rPr>
        <w:t xml:space="preserve"> podría oponerse como sustento de su falta de reco</w:t>
      </w:r>
      <w:r w:rsidR="003B524E" w:rsidRPr="004F681E">
        <w:rPr>
          <w:rFonts w:ascii="Arial" w:hAnsi="Arial" w:cs="Arial"/>
        </w:rPr>
        <w:t xml:space="preserve">nocimiento, pues, por un lado, </w:t>
      </w:r>
      <w:r w:rsidR="0068656A" w:rsidRPr="004F681E">
        <w:rPr>
          <w:rFonts w:ascii="Arial" w:hAnsi="Arial" w:cs="Arial"/>
        </w:rPr>
        <w:t xml:space="preserve">dicha reforma se introdujo con posterioridad a la celebración </w:t>
      </w:r>
      <w:r w:rsidR="00F4542E" w:rsidRPr="004F681E">
        <w:rPr>
          <w:rFonts w:ascii="Arial" w:hAnsi="Arial" w:cs="Arial"/>
        </w:rPr>
        <w:t>del C</w:t>
      </w:r>
      <w:r w:rsidR="0068656A" w:rsidRPr="004F681E">
        <w:rPr>
          <w:rFonts w:ascii="Arial" w:hAnsi="Arial" w:cs="Arial"/>
        </w:rPr>
        <w:t xml:space="preserve">ontrato </w:t>
      </w:r>
      <w:r w:rsidR="00F4542E" w:rsidRPr="004F681E">
        <w:rPr>
          <w:rFonts w:ascii="Arial" w:hAnsi="Arial" w:cs="Arial"/>
        </w:rPr>
        <w:t xml:space="preserve">No. 475 </w:t>
      </w:r>
      <w:r w:rsidR="0068656A" w:rsidRPr="004F681E">
        <w:rPr>
          <w:rFonts w:ascii="Arial" w:hAnsi="Arial" w:cs="Arial"/>
        </w:rPr>
        <w:t>y</w:t>
      </w:r>
      <w:r w:rsidR="003B524E" w:rsidRPr="004F681E">
        <w:rPr>
          <w:rFonts w:ascii="Arial" w:hAnsi="Arial" w:cs="Arial"/>
        </w:rPr>
        <w:t>,</w:t>
      </w:r>
      <w:r w:rsidR="0068656A" w:rsidRPr="004F681E">
        <w:rPr>
          <w:rFonts w:ascii="Arial" w:hAnsi="Arial" w:cs="Arial"/>
        </w:rPr>
        <w:t xml:space="preserve"> por tanto</w:t>
      </w:r>
      <w:r w:rsidR="003B524E" w:rsidRPr="004F681E">
        <w:rPr>
          <w:rFonts w:ascii="Arial" w:hAnsi="Arial" w:cs="Arial"/>
        </w:rPr>
        <w:t>,</w:t>
      </w:r>
      <w:r w:rsidR="0068656A" w:rsidRPr="004F681E">
        <w:rPr>
          <w:rFonts w:ascii="Arial" w:hAnsi="Arial" w:cs="Arial"/>
        </w:rPr>
        <w:t xml:space="preserve"> </w:t>
      </w:r>
      <w:r w:rsidR="003B524E" w:rsidRPr="004F681E">
        <w:rPr>
          <w:rFonts w:ascii="Arial" w:hAnsi="Arial" w:cs="Arial"/>
        </w:rPr>
        <w:t xml:space="preserve">no estaba llamado a informarlo y, por otro, en este punto igualmente </w:t>
      </w:r>
      <w:r w:rsidR="0068656A" w:rsidRPr="004F681E">
        <w:rPr>
          <w:rFonts w:ascii="Arial" w:hAnsi="Arial" w:cs="Arial"/>
        </w:rPr>
        <w:t xml:space="preserve">se deben sumar las explicaciones que anteceden en torno al verdadero alcance de dicha derogatoria. </w:t>
      </w:r>
    </w:p>
    <w:p w:rsidR="0041479D" w:rsidRPr="004F681E" w:rsidRDefault="0041479D" w:rsidP="005B0CCE">
      <w:pPr>
        <w:spacing w:line="360" w:lineRule="auto"/>
        <w:jc w:val="both"/>
        <w:rPr>
          <w:rFonts w:ascii="Arial" w:hAnsi="Arial" w:cs="Arial"/>
          <w:lang w:val="es-CO"/>
        </w:rPr>
      </w:pPr>
    </w:p>
    <w:p w:rsidR="0041479D" w:rsidRPr="004F681E" w:rsidRDefault="0041479D" w:rsidP="005B0CCE">
      <w:pPr>
        <w:spacing w:line="360" w:lineRule="auto"/>
        <w:jc w:val="both"/>
        <w:rPr>
          <w:rFonts w:ascii="Arial" w:hAnsi="Arial" w:cs="Arial"/>
          <w:lang w:val="es-CO"/>
        </w:rPr>
      </w:pPr>
      <w:r w:rsidRPr="004F681E">
        <w:rPr>
          <w:rFonts w:ascii="Arial" w:hAnsi="Arial" w:cs="Arial"/>
          <w:lang w:val="es-CO"/>
        </w:rPr>
        <w:t>Siguiendo esa línea argumentativa</w:t>
      </w:r>
      <w:r w:rsidR="00532FF8" w:rsidRPr="004F681E">
        <w:rPr>
          <w:rFonts w:ascii="Arial" w:hAnsi="Arial" w:cs="Arial"/>
          <w:lang w:val="es-CO"/>
        </w:rPr>
        <w:t>,</w:t>
      </w:r>
      <w:r w:rsidRPr="004F681E">
        <w:rPr>
          <w:rFonts w:ascii="Arial" w:hAnsi="Arial" w:cs="Arial"/>
          <w:lang w:val="es-CO"/>
        </w:rPr>
        <w:t xml:space="preserve"> se tiene que el análisis sobre el reconocimiento de los perjuicios que concernía emprender a la entidad debió centrarse en examinar el porcentaje o proyección de utilidades dejadas de percibir por el lapso de inoperancia de la pantalla</w:t>
      </w:r>
      <w:r w:rsidR="009C2816" w:rsidRPr="004F681E">
        <w:rPr>
          <w:rFonts w:ascii="Arial" w:hAnsi="Arial" w:cs="Arial"/>
          <w:lang w:val="es-CO"/>
        </w:rPr>
        <w:t xml:space="preserve"> exterior</w:t>
      </w:r>
      <w:r w:rsidRPr="004F681E">
        <w:rPr>
          <w:rFonts w:ascii="Arial" w:hAnsi="Arial" w:cs="Arial"/>
          <w:lang w:val="es-CO"/>
        </w:rPr>
        <w:t xml:space="preserve">, atendiendo a factores </w:t>
      </w:r>
      <w:r w:rsidR="005E471D" w:rsidRPr="004F681E">
        <w:rPr>
          <w:rFonts w:ascii="Arial" w:hAnsi="Arial" w:cs="Arial"/>
          <w:lang w:val="es-CO"/>
        </w:rPr>
        <w:t xml:space="preserve">objetivos, </w:t>
      </w:r>
      <w:r w:rsidRPr="004F681E">
        <w:rPr>
          <w:rFonts w:ascii="Arial" w:hAnsi="Arial" w:cs="Arial"/>
          <w:lang w:val="es-CO"/>
        </w:rPr>
        <w:t xml:space="preserve">constantes </w:t>
      </w:r>
      <w:r w:rsidR="00AC4304" w:rsidRPr="004F681E">
        <w:rPr>
          <w:rFonts w:ascii="Arial" w:hAnsi="Arial" w:cs="Arial"/>
          <w:lang w:val="es-CO"/>
        </w:rPr>
        <w:t xml:space="preserve">y verificables </w:t>
      </w:r>
      <w:r w:rsidRPr="004F681E">
        <w:rPr>
          <w:rFonts w:ascii="Arial" w:hAnsi="Arial" w:cs="Arial"/>
          <w:lang w:val="es-CO"/>
        </w:rPr>
        <w:t>presentados durante la ejecución del contrato</w:t>
      </w:r>
      <w:r w:rsidR="00AC4304" w:rsidRPr="004F681E">
        <w:rPr>
          <w:rFonts w:ascii="Arial" w:hAnsi="Arial" w:cs="Arial"/>
          <w:lang w:val="es-CO"/>
        </w:rPr>
        <w:t>, dado que fue en esos términos y no</w:t>
      </w:r>
      <w:r w:rsidR="00532FF8" w:rsidRPr="004F681E">
        <w:rPr>
          <w:rFonts w:ascii="Arial" w:hAnsi="Arial" w:cs="Arial"/>
          <w:lang w:val="es-CO"/>
        </w:rPr>
        <w:t xml:space="preserve"> en</w:t>
      </w:r>
      <w:r w:rsidR="00AC4304" w:rsidRPr="004F681E">
        <w:rPr>
          <w:rFonts w:ascii="Arial" w:hAnsi="Arial" w:cs="Arial"/>
          <w:lang w:val="es-CO"/>
        </w:rPr>
        <w:t xml:space="preserve"> otros en lo</w:t>
      </w:r>
      <w:r w:rsidR="0004777B" w:rsidRPr="004F681E">
        <w:rPr>
          <w:rFonts w:ascii="Arial" w:hAnsi="Arial" w:cs="Arial"/>
          <w:lang w:val="es-CO"/>
        </w:rPr>
        <w:t>s que quedó delimitado el mecanismo de restablecimiento por ella dispuesto.</w:t>
      </w:r>
    </w:p>
    <w:p w:rsidR="0041479D" w:rsidRPr="004F681E" w:rsidRDefault="0041479D" w:rsidP="005B0CCE">
      <w:pPr>
        <w:spacing w:line="360" w:lineRule="auto"/>
        <w:jc w:val="both"/>
        <w:rPr>
          <w:rFonts w:ascii="Arial" w:hAnsi="Arial" w:cs="Arial"/>
          <w:lang w:val="es-CO"/>
        </w:rPr>
      </w:pPr>
    </w:p>
    <w:p w:rsidR="0041479D" w:rsidRPr="004F681E" w:rsidRDefault="00B968F5" w:rsidP="005B0CCE">
      <w:pPr>
        <w:spacing w:line="360" w:lineRule="auto"/>
        <w:jc w:val="both"/>
        <w:rPr>
          <w:rFonts w:ascii="Arial" w:hAnsi="Arial" w:cs="Arial"/>
          <w:lang w:val="es-CO"/>
        </w:rPr>
      </w:pPr>
      <w:r w:rsidRPr="004F681E">
        <w:rPr>
          <w:rFonts w:ascii="Arial" w:hAnsi="Arial" w:cs="Arial"/>
          <w:lang w:val="es-CO"/>
        </w:rPr>
        <w:t>De ninguna manera</w:t>
      </w:r>
      <w:r w:rsidR="0041479D" w:rsidRPr="004F681E">
        <w:rPr>
          <w:rFonts w:ascii="Arial" w:hAnsi="Arial" w:cs="Arial"/>
          <w:lang w:val="es-CO"/>
        </w:rPr>
        <w:t xml:space="preserve"> el análisis de los perjuicios deprecados podía extenderse a determinar si se presentó o no un impacto negativo en la economía del contrato que hubiera llevado al contratista a un estado de pérdida, pues </w:t>
      </w:r>
      <w:r w:rsidRPr="004F681E">
        <w:rPr>
          <w:rFonts w:ascii="Arial" w:hAnsi="Arial" w:cs="Arial"/>
          <w:lang w:val="es-CO"/>
        </w:rPr>
        <w:t xml:space="preserve">no fue ese </w:t>
      </w:r>
      <w:r w:rsidR="0041479D" w:rsidRPr="004F681E">
        <w:rPr>
          <w:rFonts w:ascii="Arial" w:hAnsi="Arial" w:cs="Arial"/>
          <w:lang w:val="es-CO"/>
        </w:rPr>
        <w:t xml:space="preserve">el concepto al que </w:t>
      </w:r>
      <w:r w:rsidR="00AC4304" w:rsidRPr="004F681E">
        <w:rPr>
          <w:rFonts w:ascii="Arial" w:hAnsi="Arial" w:cs="Arial"/>
          <w:lang w:val="es-CO"/>
        </w:rPr>
        <w:t xml:space="preserve">se </w:t>
      </w:r>
      <w:r w:rsidR="0041479D" w:rsidRPr="004F681E">
        <w:rPr>
          <w:rFonts w:ascii="Arial" w:hAnsi="Arial" w:cs="Arial"/>
          <w:lang w:val="es-CO"/>
        </w:rPr>
        <w:t xml:space="preserve">circunscribió el compromiso </w:t>
      </w:r>
      <w:r w:rsidR="00AC4304" w:rsidRPr="004F681E">
        <w:rPr>
          <w:rFonts w:ascii="Arial" w:hAnsi="Arial" w:cs="Arial"/>
          <w:lang w:val="es-CO"/>
        </w:rPr>
        <w:t>contraído.</w:t>
      </w:r>
    </w:p>
    <w:p w:rsidR="000C030A" w:rsidRPr="004F681E" w:rsidRDefault="000C030A" w:rsidP="005B0CCE">
      <w:pPr>
        <w:spacing w:line="360" w:lineRule="auto"/>
        <w:jc w:val="both"/>
        <w:rPr>
          <w:rFonts w:ascii="Arial" w:hAnsi="Arial" w:cs="Arial"/>
          <w:lang w:val="es-CO"/>
        </w:rPr>
      </w:pPr>
    </w:p>
    <w:p w:rsidR="000C030A" w:rsidRPr="004F681E" w:rsidRDefault="000C030A" w:rsidP="005B0CCE">
      <w:pPr>
        <w:spacing w:line="360" w:lineRule="auto"/>
        <w:jc w:val="both"/>
        <w:rPr>
          <w:rFonts w:ascii="Arial" w:hAnsi="Arial" w:cs="Arial"/>
          <w:lang w:val="es-CO"/>
        </w:rPr>
      </w:pPr>
      <w:r w:rsidRPr="004F681E">
        <w:rPr>
          <w:rFonts w:ascii="Arial" w:hAnsi="Arial" w:cs="Arial"/>
          <w:lang w:val="es-CO"/>
        </w:rPr>
        <w:t>Ahora</w:t>
      </w:r>
      <w:r w:rsidR="007C2FDE" w:rsidRPr="004F681E">
        <w:rPr>
          <w:rFonts w:ascii="Arial" w:hAnsi="Arial" w:cs="Arial"/>
          <w:lang w:val="es-CO"/>
        </w:rPr>
        <w:t>,</w:t>
      </w:r>
      <w:r w:rsidRPr="004F681E">
        <w:rPr>
          <w:rFonts w:ascii="Arial" w:hAnsi="Arial" w:cs="Arial"/>
          <w:lang w:val="es-CO"/>
        </w:rPr>
        <w:t xml:space="preserve"> el hecho de que durant</w:t>
      </w:r>
      <w:r w:rsidR="00D2109A" w:rsidRPr="004F681E">
        <w:rPr>
          <w:rFonts w:ascii="Arial" w:hAnsi="Arial" w:cs="Arial"/>
          <w:lang w:val="es-CO"/>
        </w:rPr>
        <w:t>e el p</w:t>
      </w:r>
      <w:r w:rsidR="00E3161E" w:rsidRPr="004F681E">
        <w:rPr>
          <w:rFonts w:ascii="Arial" w:hAnsi="Arial" w:cs="Arial"/>
          <w:lang w:val="es-CO"/>
        </w:rPr>
        <w:t>lazo contractual que antecedió a</w:t>
      </w:r>
      <w:r w:rsidR="00D2109A" w:rsidRPr="004F681E">
        <w:rPr>
          <w:rFonts w:ascii="Arial" w:hAnsi="Arial" w:cs="Arial"/>
          <w:lang w:val="es-CO"/>
        </w:rPr>
        <w:t xml:space="preserve">l </w:t>
      </w:r>
      <w:r w:rsidR="00030981" w:rsidRPr="004F681E">
        <w:rPr>
          <w:rFonts w:ascii="Arial" w:hAnsi="Arial" w:cs="Arial"/>
          <w:lang w:val="es-CO"/>
        </w:rPr>
        <w:t>perí</w:t>
      </w:r>
      <w:r w:rsidRPr="004F681E">
        <w:rPr>
          <w:rFonts w:ascii="Arial" w:hAnsi="Arial" w:cs="Arial"/>
          <w:lang w:val="es-CO"/>
        </w:rPr>
        <w:t>odo en</w:t>
      </w:r>
      <w:r w:rsidR="00E3161E" w:rsidRPr="004F681E">
        <w:rPr>
          <w:rFonts w:ascii="Arial" w:hAnsi="Arial" w:cs="Arial"/>
          <w:lang w:val="es-CO"/>
        </w:rPr>
        <w:t xml:space="preserve"> el cual </w:t>
      </w:r>
      <w:r w:rsidRPr="004F681E">
        <w:rPr>
          <w:rFonts w:ascii="Arial" w:hAnsi="Arial" w:cs="Arial"/>
          <w:lang w:val="es-CO"/>
        </w:rPr>
        <w:t xml:space="preserve">la pantalla estuvo inoperante por cuenta de las </w:t>
      </w:r>
      <w:r w:rsidR="00D2109A" w:rsidRPr="004F681E">
        <w:rPr>
          <w:rFonts w:ascii="Arial" w:hAnsi="Arial" w:cs="Arial"/>
          <w:lang w:val="es-CO"/>
        </w:rPr>
        <w:t xml:space="preserve">actividades </w:t>
      </w:r>
      <w:r w:rsidRPr="004F681E">
        <w:rPr>
          <w:rFonts w:ascii="Arial" w:hAnsi="Arial" w:cs="Arial"/>
          <w:lang w:val="es-CO"/>
        </w:rPr>
        <w:t>de su reubicación el concesionario hubiera recibido utilidades gracias a su explotación</w:t>
      </w:r>
      <w:r w:rsidR="00E3161E" w:rsidRPr="004F681E">
        <w:rPr>
          <w:rFonts w:ascii="Arial" w:hAnsi="Arial" w:cs="Arial"/>
          <w:lang w:val="es-CO"/>
        </w:rPr>
        <w:t>,</w:t>
      </w:r>
      <w:r w:rsidR="00D2109A" w:rsidRPr="004F681E">
        <w:rPr>
          <w:rFonts w:ascii="Arial" w:hAnsi="Arial" w:cs="Arial"/>
          <w:lang w:val="es-CO"/>
        </w:rPr>
        <w:t xml:space="preserve"> no</w:t>
      </w:r>
      <w:r w:rsidRPr="004F681E">
        <w:rPr>
          <w:rFonts w:ascii="Arial" w:hAnsi="Arial" w:cs="Arial"/>
          <w:lang w:val="es-CO"/>
        </w:rPr>
        <w:t xml:space="preserve"> podía constituir una circunstancia que convalidara su negativa</w:t>
      </w:r>
      <w:r w:rsidR="007C2FDE" w:rsidRPr="004F681E">
        <w:rPr>
          <w:rFonts w:ascii="Arial" w:hAnsi="Arial" w:cs="Arial"/>
          <w:lang w:val="es-CO"/>
        </w:rPr>
        <w:t xml:space="preserve">, debido a que la estipulación </w:t>
      </w:r>
      <w:r w:rsidR="00D2109A" w:rsidRPr="004F681E">
        <w:rPr>
          <w:rFonts w:ascii="Arial" w:hAnsi="Arial" w:cs="Arial"/>
          <w:lang w:val="es-CO"/>
        </w:rPr>
        <w:t xml:space="preserve">que se analiza </w:t>
      </w:r>
      <w:r w:rsidR="00030981" w:rsidRPr="004F681E">
        <w:rPr>
          <w:rFonts w:ascii="Arial" w:hAnsi="Arial" w:cs="Arial"/>
          <w:lang w:val="es-CO"/>
        </w:rPr>
        <w:t>se ciñó a</w:t>
      </w:r>
      <w:r w:rsidR="007C2FDE" w:rsidRPr="004F681E">
        <w:rPr>
          <w:rFonts w:ascii="Arial" w:hAnsi="Arial" w:cs="Arial"/>
          <w:lang w:val="es-CO"/>
        </w:rPr>
        <w:t>l reconocimiento de</w:t>
      </w:r>
      <w:r w:rsidR="00030981" w:rsidRPr="004F681E">
        <w:rPr>
          <w:rFonts w:ascii="Arial" w:hAnsi="Arial" w:cs="Arial"/>
          <w:lang w:val="es-CO"/>
        </w:rPr>
        <w:t xml:space="preserve"> las utilidades dejadas de percibir por el interregno en que no se pudo operar el elemento, con independencia de que con antelación a ese lapso la eje</w:t>
      </w:r>
      <w:r w:rsidR="007C2FDE" w:rsidRPr="004F681E">
        <w:rPr>
          <w:rFonts w:ascii="Arial" w:hAnsi="Arial" w:cs="Arial"/>
          <w:lang w:val="es-CO"/>
        </w:rPr>
        <w:t>c</w:t>
      </w:r>
      <w:r w:rsidR="00030981" w:rsidRPr="004F681E">
        <w:rPr>
          <w:rFonts w:ascii="Arial" w:hAnsi="Arial" w:cs="Arial"/>
          <w:lang w:val="es-CO"/>
        </w:rPr>
        <w:t>ución del contrato hubiera reportado</w:t>
      </w:r>
      <w:r w:rsidR="007C2FDE" w:rsidRPr="004F681E">
        <w:rPr>
          <w:rFonts w:ascii="Arial" w:hAnsi="Arial" w:cs="Arial"/>
          <w:lang w:val="es-CO"/>
        </w:rPr>
        <w:t xml:space="preserve"> provecho</w:t>
      </w:r>
      <w:r w:rsidR="00030981" w:rsidRPr="004F681E">
        <w:rPr>
          <w:rFonts w:ascii="Arial" w:hAnsi="Arial" w:cs="Arial"/>
          <w:lang w:val="es-CO"/>
        </w:rPr>
        <w:t xml:space="preserve">.  </w:t>
      </w:r>
      <w:r w:rsidRPr="004F681E">
        <w:rPr>
          <w:rFonts w:ascii="Arial" w:hAnsi="Arial" w:cs="Arial"/>
          <w:lang w:val="es-CO"/>
        </w:rPr>
        <w:t xml:space="preserve"> </w:t>
      </w:r>
    </w:p>
    <w:p w:rsidR="005C01A1" w:rsidRPr="004F681E" w:rsidRDefault="005C01A1" w:rsidP="005B0CCE">
      <w:pPr>
        <w:spacing w:line="360" w:lineRule="auto"/>
        <w:jc w:val="both"/>
        <w:rPr>
          <w:rFonts w:ascii="Arial" w:hAnsi="Arial" w:cs="Arial"/>
          <w:lang w:val="es-CO"/>
        </w:rPr>
      </w:pPr>
    </w:p>
    <w:p w:rsidR="007A0F7C" w:rsidRPr="004F681E" w:rsidRDefault="00940900" w:rsidP="005B0CCE">
      <w:pPr>
        <w:spacing w:line="360" w:lineRule="auto"/>
        <w:jc w:val="both"/>
        <w:rPr>
          <w:rFonts w:ascii="Arial" w:hAnsi="Arial" w:cs="Arial"/>
          <w:lang w:val="es-CO"/>
        </w:rPr>
      </w:pPr>
      <w:r w:rsidRPr="004F681E">
        <w:rPr>
          <w:rFonts w:ascii="Arial" w:hAnsi="Arial" w:cs="Arial"/>
          <w:lang w:val="es-CO"/>
        </w:rPr>
        <w:t>Tampoco resultaba válido esgrimir que</w:t>
      </w:r>
      <w:r w:rsidR="00532FF8" w:rsidRPr="004F681E">
        <w:rPr>
          <w:rFonts w:ascii="Arial" w:hAnsi="Arial" w:cs="Arial"/>
          <w:lang w:val="es-CO"/>
        </w:rPr>
        <w:t>,</w:t>
      </w:r>
      <w:r w:rsidRPr="004F681E">
        <w:rPr>
          <w:rFonts w:ascii="Arial" w:hAnsi="Arial" w:cs="Arial"/>
          <w:lang w:val="es-CO"/>
        </w:rPr>
        <w:t xml:space="preserve"> </w:t>
      </w:r>
      <w:r w:rsidR="00803F84" w:rsidRPr="004F681E">
        <w:rPr>
          <w:rFonts w:ascii="Arial" w:hAnsi="Arial" w:cs="Arial"/>
          <w:lang w:val="es-CO"/>
        </w:rPr>
        <w:t xml:space="preserve">según lo plasmado </w:t>
      </w:r>
      <w:r w:rsidR="007D2DB8" w:rsidRPr="004F681E">
        <w:rPr>
          <w:rFonts w:ascii="Arial" w:hAnsi="Arial" w:cs="Arial"/>
          <w:lang w:val="es-CO"/>
        </w:rPr>
        <w:t xml:space="preserve">en el </w:t>
      </w:r>
      <w:r w:rsidR="00054840" w:rsidRPr="004F681E">
        <w:rPr>
          <w:rFonts w:ascii="Arial" w:hAnsi="Arial" w:cs="Arial"/>
          <w:lang w:val="es-CO"/>
        </w:rPr>
        <w:t>C</w:t>
      </w:r>
      <w:r w:rsidR="003B7A58" w:rsidRPr="004F681E">
        <w:rPr>
          <w:rFonts w:ascii="Arial" w:hAnsi="Arial" w:cs="Arial"/>
          <w:lang w:val="es-CO"/>
        </w:rPr>
        <w:t>ontrato No. 47</w:t>
      </w:r>
      <w:r w:rsidRPr="004F681E">
        <w:rPr>
          <w:rFonts w:ascii="Arial" w:hAnsi="Arial" w:cs="Arial"/>
          <w:lang w:val="es-CO"/>
        </w:rPr>
        <w:t>5</w:t>
      </w:r>
      <w:r w:rsidR="00054840" w:rsidRPr="004F681E">
        <w:rPr>
          <w:rFonts w:ascii="Arial" w:hAnsi="Arial" w:cs="Arial"/>
          <w:lang w:val="es-CO"/>
        </w:rPr>
        <w:t>,</w:t>
      </w:r>
      <w:r w:rsidRPr="004F681E">
        <w:rPr>
          <w:rFonts w:ascii="Arial" w:hAnsi="Arial" w:cs="Arial"/>
          <w:lang w:val="es-CO"/>
        </w:rPr>
        <w:t xml:space="preserve"> el concesionario </w:t>
      </w:r>
      <w:r w:rsidR="00532FF8" w:rsidRPr="004F681E">
        <w:rPr>
          <w:rFonts w:ascii="Arial" w:hAnsi="Arial" w:cs="Arial"/>
          <w:lang w:val="es-CO"/>
        </w:rPr>
        <w:t>no pudiera</w:t>
      </w:r>
      <w:r w:rsidR="00803F84" w:rsidRPr="004F681E">
        <w:rPr>
          <w:rFonts w:ascii="Arial" w:hAnsi="Arial" w:cs="Arial"/>
          <w:lang w:val="es-CO"/>
        </w:rPr>
        <w:t xml:space="preserve"> elevar reclamaciones</w:t>
      </w:r>
      <w:r w:rsidRPr="004F681E">
        <w:rPr>
          <w:rFonts w:ascii="Arial" w:hAnsi="Arial" w:cs="Arial"/>
          <w:lang w:val="es-CO"/>
        </w:rPr>
        <w:t xml:space="preserve"> derivada</w:t>
      </w:r>
      <w:r w:rsidR="00803F84" w:rsidRPr="004F681E">
        <w:rPr>
          <w:rFonts w:ascii="Arial" w:hAnsi="Arial" w:cs="Arial"/>
          <w:lang w:val="es-CO"/>
        </w:rPr>
        <w:t>s</w:t>
      </w:r>
      <w:r w:rsidRPr="004F681E">
        <w:rPr>
          <w:rFonts w:ascii="Arial" w:hAnsi="Arial" w:cs="Arial"/>
          <w:lang w:val="es-CO"/>
        </w:rPr>
        <w:t xml:space="preserve"> de la ruptura del equilibrio económico del negocio por haber sido trasladados a él todos los riesgos </w:t>
      </w:r>
      <w:r w:rsidR="00A52D5F" w:rsidRPr="004F681E">
        <w:rPr>
          <w:rFonts w:ascii="Arial" w:hAnsi="Arial" w:cs="Arial"/>
          <w:lang w:val="es-CO"/>
        </w:rPr>
        <w:t>inherentes</w:t>
      </w:r>
      <w:r w:rsidRPr="004F681E">
        <w:rPr>
          <w:rFonts w:ascii="Arial" w:hAnsi="Arial" w:cs="Arial"/>
          <w:lang w:val="es-CO"/>
        </w:rPr>
        <w:t xml:space="preserve"> a su </w:t>
      </w:r>
      <w:r w:rsidR="00A52D5F" w:rsidRPr="004F681E">
        <w:rPr>
          <w:rFonts w:ascii="Arial" w:hAnsi="Arial" w:cs="Arial"/>
          <w:lang w:val="es-CO"/>
        </w:rPr>
        <w:t>ejecución</w:t>
      </w:r>
      <w:r w:rsidR="007D2DB8" w:rsidRPr="004F681E">
        <w:rPr>
          <w:rFonts w:ascii="Arial" w:hAnsi="Arial" w:cs="Arial"/>
          <w:lang w:val="es-CO"/>
        </w:rPr>
        <w:t xml:space="preserve">, con fundamento en las siguientes razones: </w:t>
      </w:r>
    </w:p>
    <w:p w:rsidR="006F20B8" w:rsidRPr="004F681E" w:rsidRDefault="006F20B8" w:rsidP="005B0CCE">
      <w:pPr>
        <w:spacing w:line="360" w:lineRule="auto"/>
        <w:jc w:val="both"/>
        <w:rPr>
          <w:rFonts w:ascii="Arial" w:hAnsi="Arial" w:cs="Arial"/>
          <w:lang w:val="es-CO"/>
        </w:rPr>
      </w:pPr>
    </w:p>
    <w:p w:rsidR="006F20B8" w:rsidRPr="004F681E" w:rsidRDefault="00803F84" w:rsidP="005B0CCE">
      <w:pPr>
        <w:spacing w:line="360" w:lineRule="auto"/>
        <w:jc w:val="both"/>
        <w:rPr>
          <w:rFonts w:ascii="Arial" w:hAnsi="Arial" w:cs="Arial"/>
          <w:lang w:val="es-CO"/>
        </w:rPr>
      </w:pPr>
      <w:r w:rsidRPr="004F681E">
        <w:rPr>
          <w:rFonts w:ascii="Arial" w:hAnsi="Arial" w:cs="Arial"/>
          <w:lang w:val="es-CO"/>
        </w:rPr>
        <w:t>Sobre el particular</w:t>
      </w:r>
      <w:r w:rsidR="00532FF8" w:rsidRPr="004F681E">
        <w:rPr>
          <w:rFonts w:ascii="Arial" w:hAnsi="Arial" w:cs="Arial"/>
          <w:lang w:val="es-CO"/>
        </w:rPr>
        <w:t>,</w:t>
      </w:r>
      <w:r w:rsidRPr="004F681E">
        <w:rPr>
          <w:rFonts w:ascii="Arial" w:hAnsi="Arial" w:cs="Arial"/>
          <w:lang w:val="es-CO"/>
        </w:rPr>
        <w:t xml:space="preserve"> </w:t>
      </w:r>
      <w:r w:rsidR="007D2DB8" w:rsidRPr="004F681E">
        <w:rPr>
          <w:rFonts w:ascii="Arial" w:hAnsi="Arial" w:cs="Arial"/>
          <w:lang w:val="es-CO"/>
        </w:rPr>
        <w:t xml:space="preserve">la Sala </w:t>
      </w:r>
      <w:r w:rsidR="003B7A58" w:rsidRPr="004F681E">
        <w:rPr>
          <w:rFonts w:ascii="Arial" w:hAnsi="Arial" w:cs="Arial"/>
          <w:lang w:val="es-CO"/>
        </w:rPr>
        <w:t xml:space="preserve">observa </w:t>
      </w:r>
      <w:r w:rsidR="007D2DB8" w:rsidRPr="004F681E">
        <w:rPr>
          <w:rFonts w:ascii="Arial" w:hAnsi="Arial" w:cs="Arial"/>
          <w:lang w:val="es-CO"/>
        </w:rPr>
        <w:t>que</w:t>
      </w:r>
      <w:r w:rsidR="003B7A58" w:rsidRPr="004F681E">
        <w:rPr>
          <w:rFonts w:ascii="Arial" w:hAnsi="Arial" w:cs="Arial"/>
          <w:lang w:val="es-CO"/>
        </w:rPr>
        <w:t xml:space="preserve"> en</w:t>
      </w:r>
      <w:r w:rsidR="007D2DB8" w:rsidRPr="004F681E">
        <w:rPr>
          <w:rFonts w:ascii="Arial" w:hAnsi="Arial" w:cs="Arial"/>
          <w:lang w:val="es-CO"/>
        </w:rPr>
        <w:t xml:space="preserve"> el número 29) de la cláusula </w:t>
      </w:r>
      <w:r w:rsidR="003B7A58" w:rsidRPr="004F681E">
        <w:rPr>
          <w:rFonts w:ascii="Arial" w:hAnsi="Arial" w:cs="Arial"/>
          <w:lang w:val="es-CO"/>
        </w:rPr>
        <w:t>segunda del C</w:t>
      </w:r>
      <w:r w:rsidR="007D2DB8" w:rsidRPr="004F681E">
        <w:rPr>
          <w:rFonts w:ascii="Arial" w:hAnsi="Arial" w:cs="Arial"/>
          <w:lang w:val="es-CO"/>
        </w:rPr>
        <w:t xml:space="preserve">ontrato </w:t>
      </w:r>
      <w:r w:rsidR="003B7A58" w:rsidRPr="004F681E">
        <w:rPr>
          <w:rFonts w:ascii="Arial" w:hAnsi="Arial" w:cs="Arial"/>
          <w:lang w:val="es-CO"/>
        </w:rPr>
        <w:t>No. 475</w:t>
      </w:r>
      <w:r w:rsidR="00917EE1" w:rsidRPr="004F681E">
        <w:rPr>
          <w:rFonts w:ascii="Arial" w:hAnsi="Arial" w:cs="Arial"/>
          <w:lang w:val="es-CO"/>
        </w:rPr>
        <w:t xml:space="preserve"> en la que la entidad asentó</w:t>
      </w:r>
      <w:r w:rsidR="001975BA" w:rsidRPr="004F681E">
        <w:rPr>
          <w:rFonts w:ascii="Arial" w:hAnsi="Arial" w:cs="Arial"/>
          <w:lang w:val="es-CO"/>
        </w:rPr>
        <w:t xml:space="preserve"> su defensa</w:t>
      </w:r>
      <w:r w:rsidR="003B7A58" w:rsidRPr="004F681E">
        <w:rPr>
          <w:rFonts w:ascii="Arial" w:hAnsi="Arial" w:cs="Arial"/>
          <w:lang w:val="es-CO"/>
        </w:rPr>
        <w:t xml:space="preserve"> fue consignada al siguiente tenor: </w:t>
      </w:r>
    </w:p>
    <w:p w:rsidR="003B7A58" w:rsidRPr="004F681E" w:rsidRDefault="003B7A58" w:rsidP="005B0CCE">
      <w:pPr>
        <w:spacing w:line="360" w:lineRule="auto"/>
        <w:jc w:val="both"/>
        <w:rPr>
          <w:rFonts w:ascii="Arial" w:hAnsi="Arial" w:cs="Arial"/>
          <w:lang w:val="es-CO"/>
        </w:rPr>
      </w:pPr>
    </w:p>
    <w:p w:rsidR="003B7A58" w:rsidRPr="004F681E" w:rsidRDefault="003B7A58" w:rsidP="007E2EB3">
      <w:pPr>
        <w:spacing w:line="276" w:lineRule="auto"/>
        <w:ind w:left="567" w:right="567"/>
        <w:jc w:val="both"/>
        <w:rPr>
          <w:rFonts w:ascii="Arial" w:hAnsi="Arial" w:cs="Arial"/>
          <w:lang w:val="es-CO"/>
        </w:rPr>
      </w:pPr>
      <w:r w:rsidRPr="004F681E">
        <w:rPr>
          <w:rFonts w:ascii="Arial" w:hAnsi="Arial" w:cs="Arial"/>
          <w:i/>
          <w:lang w:val="es-CO"/>
        </w:rPr>
        <w:t xml:space="preserve">“El Concesionario no podrá reclamar del IDRD desequilibrio económico alguno por cuanto </w:t>
      </w:r>
      <w:r w:rsidR="00C91DDC" w:rsidRPr="004F681E">
        <w:rPr>
          <w:rFonts w:ascii="Arial" w:hAnsi="Arial" w:cs="Arial"/>
          <w:i/>
          <w:lang w:val="es-CO"/>
        </w:rPr>
        <w:t xml:space="preserve">a </w:t>
      </w:r>
      <w:r w:rsidRPr="004F681E">
        <w:rPr>
          <w:rFonts w:ascii="Arial" w:hAnsi="Arial" w:cs="Arial"/>
          <w:i/>
          <w:lang w:val="es-CO"/>
        </w:rPr>
        <w:t xml:space="preserve">éste se trasladan todos los riesgos inherentes a la ejecución del proyecto </w:t>
      </w:r>
      <w:r w:rsidR="000D373D" w:rsidRPr="004F681E">
        <w:rPr>
          <w:rFonts w:ascii="Arial" w:hAnsi="Arial" w:cs="Arial"/>
          <w:i/>
          <w:lang w:val="es-CO"/>
        </w:rPr>
        <w:t xml:space="preserve">y se entiende que el concesionario con la presentación de la oferta, es conocedor de tales riesgos. Sin </w:t>
      </w:r>
      <w:r w:rsidR="007E2EB3" w:rsidRPr="004F681E">
        <w:rPr>
          <w:rFonts w:ascii="Arial" w:hAnsi="Arial" w:cs="Arial"/>
          <w:i/>
          <w:lang w:val="es-CO"/>
        </w:rPr>
        <w:t>embargo,</w:t>
      </w:r>
      <w:r w:rsidR="000D373D" w:rsidRPr="004F681E">
        <w:rPr>
          <w:rFonts w:ascii="Arial" w:hAnsi="Arial" w:cs="Arial"/>
          <w:i/>
          <w:lang w:val="es-CO"/>
        </w:rPr>
        <w:t xml:space="preserve"> </w:t>
      </w:r>
      <w:r w:rsidR="00A83094" w:rsidRPr="004F681E">
        <w:rPr>
          <w:rFonts w:ascii="Arial" w:hAnsi="Arial" w:cs="Arial"/>
          <w:i/>
          <w:lang w:val="es-CO"/>
        </w:rPr>
        <w:t xml:space="preserve">se tendrá en cuenta lo consagrado en el artículo </w:t>
      </w:r>
      <w:r w:rsidR="007E2EB3" w:rsidRPr="004F681E">
        <w:rPr>
          <w:rFonts w:ascii="Arial" w:hAnsi="Arial" w:cs="Arial"/>
          <w:i/>
          <w:lang w:val="es-CO"/>
        </w:rPr>
        <w:t>27 de la Ley 80 de 1993</w:t>
      </w:r>
      <w:r w:rsidR="00606B34" w:rsidRPr="004F681E">
        <w:rPr>
          <w:rFonts w:ascii="Arial" w:hAnsi="Arial" w:cs="Arial"/>
          <w:i/>
          <w:lang w:val="es-CO"/>
        </w:rPr>
        <w:t>”</w:t>
      </w:r>
      <w:r w:rsidR="00551A36" w:rsidRPr="004F681E">
        <w:rPr>
          <w:rStyle w:val="Refdenotaalpie"/>
          <w:rFonts w:ascii="Arial" w:hAnsi="Arial" w:cs="Arial"/>
          <w:i/>
          <w:lang w:val="es-CO"/>
        </w:rPr>
        <w:footnoteReference w:id="61"/>
      </w:r>
      <w:r w:rsidR="007E2EB3" w:rsidRPr="004F681E">
        <w:rPr>
          <w:rFonts w:ascii="Arial" w:hAnsi="Arial" w:cs="Arial"/>
          <w:lang w:val="es-CO"/>
        </w:rPr>
        <w:t>.</w:t>
      </w:r>
    </w:p>
    <w:p w:rsidR="00606B34" w:rsidRPr="004F681E" w:rsidRDefault="00606B34" w:rsidP="00606B34">
      <w:pPr>
        <w:spacing w:line="276" w:lineRule="auto"/>
        <w:ind w:right="567"/>
        <w:jc w:val="both"/>
        <w:rPr>
          <w:rFonts w:ascii="Arial" w:hAnsi="Arial" w:cs="Arial"/>
          <w:lang w:val="es-CO"/>
        </w:rPr>
      </w:pPr>
    </w:p>
    <w:p w:rsidR="00606B34" w:rsidRPr="004F681E" w:rsidRDefault="00C60CE1" w:rsidP="005D4B04">
      <w:pPr>
        <w:spacing w:line="360" w:lineRule="auto"/>
        <w:jc w:val="both"/>
        <w:rPr>
          <w:rFonts w:ascii="Arial" w:hAnsi="Arial" w:cs="Arial"/>
          <w:lang w:val="es-CO"/>
        </w:rPr>
      </w:pPr>
      <w:r w:rsidRPr="004F681E">
        <w:rPr>
          <w:rFonts w:ascii="Arial" w:hAnsi="Arial" w:cs="Arial"/>
          <w:lang w:val="es-CO"/>
        </w:rPr>
        <w:t>L</w:t>
      </w:r>
      <w:r w:rsidR="00606B34" w:rsidRPr="004F681E">
        <w:rPr>
          <w:rFonts w:ascii="Arial" w:hAnsi="Arial" w:cs="Arial"/>
          <w:lang w:val="es-CO"/>
        </w:rPr>
        <w:t>a literalidad de la estipulaci</w:t>
      </w:r>
      <w:r w:rsidR="0014406B" w:rsidRPr="004F681E">
        <w:rPr>
          <w:rFonts w:ascii="Arial" w:hAnsi="Arial" w:cs="Arial"/>
          <w:lang w:val="es-CO"/>
        </w:rPr>
        <w:t>ón en comento</w:t>
      </w:r>
      <w:r w:rsidRPr="004F681E">
        <w:rPr>
          <w:rFonts w:ascii="Arial" w:hAnsi="Arial" w:cs="Arial"/>
          <w:lang w:val="es-CO"/>
        </w:rPr>
        <w:t>, en criterio de esta insta</w:t>
      </w:r>
      <w:r w:rsidR="00BF7067" w:rsidRPr="004F681E">
        <w:rPr>
          <w:rFonts w:ascii="Arial" w:hAnsi="Arial" w:cs="Arial"/>
          <w:lang w:val="es-CO"/>
        </w:rPr>
        <w:t>n</w:t>
      </w:r>
      <w:r w:rsidRPr="004F681E">
        <w:rPr>
          <w:rFonts w:ascii="Arial" w:hAnsi="Arial" w:cs="Arial"/>
          <w:lang w:val="es-CO"/>
        </w:rPr>
        <w:t>cia,</w:t>
      </w:r>
      <w:r w:rsidR="0014406B" w:rsidRPr="004F681E">
        <w:rPr>
          <w:rFonts w:ascii="Arial" w:hAnsi="Arial" w:cs="Arial"/>
          <w:lang w:val="es-CO"/>
        </w:rPr>
        <w:t xml:space="preserve"> contiene</w:t>
      </w:r>
      <w:r w:rsidR="00606B34" w:rsidRPr="004F681E">
        <w:rPr>
          <w:rFonts w:ascii="Arial" w:hAnsi="Arial" w:cs="Arial"/>
          <w:lang w:val="es-CO"/>
        </w:rPr>
        <w:t xml:space="preserve"> </w:t>
      </w:r>
      <w:r w:rsidR="006B7BBB" w:rsidRPr="004F681E">
        <w:rPr>
          <w:rFonts w:ascii="Arial" w:hAnsi="Arial" w:cs="Arial"/>
          <w:lang w:val="es-CO"/>
        </w:rPr>
        <w:t>una seria contradicci</w:t>
      </w:r>
      <w:r w:rsidR="0051563B" w:rsidRPr="004F681E">
        <w:rPr>
          <w:rFonts w:ascii="Arial" w:hAnsi="Arial" w:cs="Arial"/>
          <w:lang w:val="es-CO"/>
        </w:rPr>
        <w:t>ón en tanto</w:t>
      </w:r>
      <w:r w:rsidR="008E33D3" w:rsidRPr="004F681E">
        <w:rPr>
          <w:rFonts w:ascii="Arial" w:hAnsi="Arial" w:cs="Arial"/>
          <w:lang w:val="es-CO"/>
        </w:rPr>
        <w:t>,</w:t>
      </w:r>
      <w:r w:rsidR="0051563B" w:rsidRPr="004F681E">
        <w:rPr>
          <w:rFonts w:ascii="Arial" w:hAnsi="Arial" w:cs="Arial"/>
          <w:lang w:val="es-CO"/>
        </w:rPr>
        <w:t xml:space="preserve"> por un</w:t>
      </w:r>
      <w:r w:rsidR="006B7BBB" w:rsidRPr="004F681E">
        <w:rPr>
          <w:rFonts w:ascii="Arial" w:hAnsi="Arial" w:cs="Arial"/>
          <w:lang w:val="es-CO"/>
        </w:rPr>
        <w:t xml:space="preserve"> lado</w:t>
      </w:r>
      <w:r w:rsidR="008E33D3" w:rsidRPr="004F681E">
        <w:rPr>
          <w:rFonts w:ascii="Arial" w:hAnsi="Arial" w:cs="Arial"/>
          <w:lang w:val="es-CO"/>
        </w:rPr>
        <w:t>,</w:t>
      </w:r>
      <w:r w:rsidR="00116286" w:rsidRPr="004F681E">
        <w:rPr>
          <w:rFonts w:ascii="Arial" w:hAnsi="Arial" w:cs="Arial"/>
          <w:lang w:val="es-CO"/>
        </w:rPr>
        <w:t xml:space="preserve"> contempla</w:t>
      </w:r>
      <w:r w:rsidR="006B7BBB" w:rsidRPr="004F681E">
        <w:rPr>
          <w:rFonts w:ascii="Arial" w:hAnsi="Arial" w:cs="Arial"/>
          <w:lang w:val="es-CO"/>
        </w:rPr>
        <w:t xml:space="preserve"> la renuncia</w:t>
      </w:r>
      <w:r w:rsidR="008E33D3" w:rsidRPr="004F681E">
        <w:rPr>
          <w:rFonts w:ascii="Arial" w:hAnsi="Arial" w:cs="Arial"/>
          <w:lang w:val="es-CO"/>
        </w:rPr>
        <w:t xml:space="preserve"> del concesionario</w:t>
      </w:r>
      <w:r w:rsidR="005D4B04" w:rsidRPr="004F681E">
        <w:rPr>
          <w:rFonts w:ascii="Arial" w:hAnsi="Arial" w:cs="Arial"/>
          <w:lang w:val="es-CO"/>
        </w:rPr>
        <w:t>,</w:t>
      </w:r>
      <w:r w:rsidR="006B7BBB" w:rsidRPr="004F681E">
        <w:rPr>
          <w:rFonts w:ascii="Arial" w:hAnsi="Arial" w:cs="Arial"/>
          <w:lang w:val="es-CO"/>
        </w:rPr>
        <w:t xml:space="preserve"> desde la suscripción de</w:t>
      </w:r>
      <w:r w:rsidR="00E070A7" w:rsidRPr="004F681E">
        <w:rPr>
          <w:rFonts w:ascii="Arial" w:hAnsi="Arial" w:cs="Arial"/>
          <w:lang w:val="es-CO"/>
        </w:rPr>
        <w:t>l</w:t>
      </w:r>
      <w:r w:rsidR="006B7BBB" w:rsidRPr="004F681E">
        <w:rPr>
          <w:rFonts w:ascii="Arial" w:hAnsi="Arial" w:cs="Arial"/>
          <w:lang w:val="es-CO"/>
        </w:rPr>
        <w:t xml:space="preserve"> contrato</w:t>
      </w:r>
      <w:r w:rsidR="005D4B04" w:rsidRPr="004F681E">
        <w:rPr>
          <w:rFonts w:ascii="Arial" w:hAnsi="Arial" w:cs="Arial"/>
          <w:lang w:val="es-CO"/>
        </w:rPr>
        <w:t>,</w:t>
      </w:r>
      <w:r w:rsidR="006B7BBB" w:rsidRPr="004F681E">
        <w:rPr>
          <w:rFonts w:ascii="Arial" w:hAnsi="Arial" w:cs="Arial"/>
          <w:lang w:val="es-CO"/>
        </w:rPr>
        <w:t xml:space="preserve"> a elevar reclamaciones </w:t>
      </w:r>
      <w:r w:rsidR="005D4B04" w:rsidRPr="004F681E">
        <w:rPr>
          <w:rFonts w:ascii="Arial" w:hAnsi="Arial" w:cs="Arial"/>
          <w:lang w:val="es-CO"/>
        </w:rPr>
        <w:t xml:space="preserve">derivadas del </w:t>
      </w:r>
      <w:r w:rsidR="00AB1FAB" w:rsidRPr="004F681E">
        <w:rPr>
          <w:rFonts w:ascii="Arial" w:hAnsi="Arial" w:cs="Arial"/>
          <w:lang w:val="es-CO"/>
        </w:rPr>
        <w:t>desequilibrio</w:t>
      </w:r>
      <w:r w:rsidR="008E33D3" w:rsidRPr="004F681E">
        <w:rPr>
          <w:rFonts w:ascii="Arial" w:hAnsi="Arial" w:cs="Arial"/>
          <w:lang w:val="es-CO"/>
        </w:rPr>
        <w:t xml:space="preserve"> económico</w:t>
      </w:r>
      <w:r w:rsidR="00AB1FAB" w:rsidRPr="004F681E">
        <w:rPr>
          <w:rFonts w:ascii="Arial" w:hAnsi="Arial" w:cs="Arial"/>
          <w:lang w:val="es-CO"/>
        </w:rPr>
        <w:t>,</w:t>
      </w:r>
      <w:r w:rsidR="005D4B04" w:rsidRPr="004F681E">
        <w:rPr>
          <w:rFonts w:ascii="Arial" w:hAnsi="Arial" w:cs="Arial"/>
          <w:lang w:val="es-CO"/>
        </w:rPr>
        <w:t xml:space="preserve"> pero a renglón seguido impone la observancia y apego a lo dispuesto en el artículo 27 de la Ley 80 de 1993, norma que precisamente se encarga </w:t>
      </w:r>
      <w:r w:rsidR="008E33D3" w:rsidRPr="004F681E">
        <w:rPr>
          <w:rFonts w:ascii="Arial" w:hAnsi="Arial" w:cs="Arial"/>
          <w:lang w:val="es-CO"/>
        </w:rPr>
        <w:t xml:space="preserve">de regular el mantenimiento de la equivalencia entre derechos y obligaciones </w:t>
      </w:r>
      <w:r w:rsidR="006B581C" w:rsidRPr="004F681E">
        <w:rPr>
          <w:rFonts w:ascii="Arial" w:hAnsi="Arial" w:cs="Arial"/>
          <w:lang w:val="es-CO"/>
        </w:rPr>
        <w:t xml:space="preserve">surgidos al momento de proponer </w:t>
      </w:r>
      <w:r w:rsidR="00033CB3" w:rsidRPr="004F681E">
        <w:rPr>
          <w:rFonts w:ascii="Arial" w:hAnsi="Arial" w:cs="Arial"/>
          <w:lang w:val="es-CO"/>
        </w:rPr>
        <w:t xml:space="preserve">y de adoptar las </w:t>
      </w:r>
      <w:r w:rsidR="00EC02CC" w:rsidRPr="004F681E">
        <w:rPr>
          <w:rFonts w:ascii="Arial" w:hAnsi="Arial" w:cs="Arial"/>
          <w:lang w:val="es-CO"/>
        </w:rPr>
        <w:t xml:space="preserve">medidas </w:t>
      </w:r>
      <w:r w:rsidR="00033CB3" w:rsidRPr="004F681E">
        <w:rPr>
          <w:rFonts w:ascii="Arial" w:hAnsi="Arial" w:cs="Arial"/>
          <w:lang w:val="es-CO"/>
        </w:rPr>
        <w:t xml:space="preserve">necesarias para su restablecimiento en el evento en </w:t>
      </w:r>
      <w:r w:rsidR="00EC02CC" w:rsidRPr="004F681E">
        <w:rPr>
          <w:rFonts w:ascii="Arial" w:hAnsi="Arial" w:cs="Arial"/>
          <w:lang w:val="es-CO"/>
        </w:rPr>
        <w:t xml:space="preserve">que </w:t>
      </w:r>
      <w:r w:rsidR="00033CB3" w:rsidRPr="004F681E">
        <w:rPr>
          <w:rFonts w:ascii="Arial" w:hAnsi="Arial" w:cs="Arial"/>
          <w:lang w:val="es-CO"/>
        </w:rPr>
        <w:t>dicha igualdad se rompa por causas no imputables a</w:t>
      </w:r>
      <w:r w:rsidR="0074420A" w:rsidRPr="004F681E">
        <w:rPr>
          <w:rFonts w:ascii="Arial" w:hAnsi="Arial" w:cs="Arial"/>
          <w:lang w:val="es-CO"/>
        </w:rPr>
        <w:t>l</w:t>
      </w:r>
      <w:r w:rsidR="00033CB3" w:rsidRPr="004F681E">
        <w:rPr>
          <w:rFonts w:ascii="Arial" w:hAnsi="Arial" w:cs="Arial"/>
          <w:lang w:val="es-CO"/>
        </w:rPr>
        <w:t xml:space="preserve"> afectado.</w:t>
      </w:r>
    </w:p>
    <w:p w:rsidR="001975BA" w:rsidRPr="004F681E" w:rsidRDefault="001975BA" w:rsidP="005D4B04">
      <w:pPr>
        <w:spacing w:line="360" w:lineRule="auto"/>
        <w:jc w:val="both"/>
        <w:rPr>
          <w:rFonts w:ascii="Arial" w:hAnsi="Arial" w:cs="Arial"/>
          <w:lang w:val="es-CO"/>
        </w:rPr>
      </w:pPr>
    </w:p>
    <w:p w:rsidR="002419D2" w:rsidRPr="004F681E" w:rsidRDefault="002419D2" w:rsidP="005D4B04">
      <w:pPr>
        <w:spacing w:line="360" w:lineRule="auto"/>
        <w:jc w:val="both"/>
        <w:rPr>
          <w:rFonts w:ascii="Arial" w:hAnsi="Arial" w:cs="Arial"/>
          <w:lang w:val="es-CO"/>
        </w:rPr>
      </w:pPr>
      <w:r w:rsidRPr="004F681E">
        <w:rPr>
          <w:rFonts w:ascii="Arial" w:hAnsi="Arial" w:cs="Arial"/>
          <w:lang w:val="es-CO"/>
        </w:rPr>
        <w:t>Así pues, ante la dualidad interpretativa que ofrece la estipulación que se revisa</w:t>
      </w:r>
      <w:r w:rsidR="00E3161E" w:rsidRPr="004F681E">
        <w:rPr>
          <w:rFonts w:ascii="Arial" w:hAnsi="Arial" w:cs="Arial"/>
          <w:lang w:val="es-CO"/>
        </w:rPr>
        <w:t>,</w:t>
      </w:r>
      <w:r w:rsidRPr="004F681E">
        <w:rPr>
          <w:rFonts w:ascii="Arial" w:hAnsi="Arial" w:cs="Arial"/>
          <w:lang w:val="es-CO"/>
        </w:rPr>
        <w:t xml:space="preserve"> la comprensión que habrá de privilegiarse corresponderá a aquella que consulte </w:t>
      </w:r>
      <w:r w:rsidR="00C21248" w:rsidRPr="004F681E">
        <w:rPr>
          <w:rFonts w:ascii="Arial" w:hAnsi="Arial" w:cs="Arial"/>
          <w:lang w:val="es-CO"/>
        </w:rPr>
        <w:t xml:space="preserve">el acatamiento de la disposición legal reguladora del mantenimiento </w:t>
      </w:r>
      <w:r w:rsidR="00B2551C" w:rsidRPr="004F681E">
        <w:rPr>
          <w:rFonts w:ascii="Arial" w:hAnsi="Arial" w:cs="Arial"/>
          <w:lang w:val="es-CO"/>
        </w:rPr>
        <w:t xml:space="preserve">de la </w:t>
      </w:r>
      <w:r w:rsidR="00224161" w:rsidRPr="004F681E">
        <w:rPr>
          <w:rFonts w:ascii="Arial" w:hAnsi="Arial" w:cs="Arial"/>
          <w:lang w:val="es-CO"/>
        </w:rPr>
        <w:t>ecuación contractual</w:t>
      </w:r>
      <w:r w:rsidR="00F26926" w:rsidRPr="004F681E">
        <w:rPr>
          <w:rFonts w:ascii="Arial" w:hAnsi="Arial" w:cs="Arial"/>
          <w:lang w:val="es-CO"/>
        </w:rPr>
        <w:t>,</w:t>
      </w:r>
      <w:r w:rsidR="00224161" w:rsidRPr="004F681E">
        <w:rPr>
          <w:rFonts w:ascii="Arial" w:hAnsi="Arial" w:cs="Arial"/>
          <w:lang w:val="es-CO"/>
        </w:rPr>
        <w:t xml:space="preserve"> </w:t>
      </w:r>
      <w:r w:rsidR="00C81E47" w:rsidRPr="004F681E">
        <w:rPr>
          <w:rFonts w:ascii="Arial" w:hAnsi="Arial" w:cs="Arial"/>
          <w:lang w:val="es-CO"/>
        </w:rPr>
        <w:t>no solo porque así lo orienta</w:t>
      </w:r>
      <w:r w:rsidR="00F26926" w:rsidRPr="004F681E">
        <w:rPr>
          <w:rFonts w:ascii="Arial" w:hAnsi="Arial" w:cs="Arial"/>
          <w:lang w:val="es-CO"/>
        </w:rPr>
        <w:t>n</w:t>
      </w:r>
      <w:r w:rsidR="00C81E47" w:rsidRPr="004F681E">
        <w:rPr>
          <w:rFonts w:ascii="Arial" w:hAnsi="Arial" w:cs="Arial"/>
          <w:lang w:val="es-CO"/>
        </w:rPr>
        <w:t xml:space="preserve"> </w:t>
      </w:r>
      <w:r w:rsidR="00AE482D" w:rsidRPr="004F681E">
        <w:rPr>
          <w:rFonts w:ascii="Arial" w:hAnsi="Arial" w:cs="Arial"/>
          <w:lang w:val="es-CO"/>
        </w:rPr>
        <w:t>las reglas de interpretación contractuales</w:t>
      </w:r>
      <w:r w:rsidR="00AE482D" w:rsidRPr="004F681E">
        <w:rPr>
          <w:rStyle w:val="Refdenotaalpie"/>
          <w:rFonts w:ascii="Arial" w:hAnsi="Arial" w:cs="Arial"/>
          <w:lang w:val="es-CO"/>
        </w:rPr>
        <w:footnoteReference w:id="62"/>
      </w:r>
      <w:r w:rsidR="00C059AF" w:rsidRPr="004F681E">
        <w:rPr>
          <w:rFonts w:ascii="Arial" w:hAnsi="Arial" w:cs="Arial"/>
          <w:lang w:val="es-CO"/>
        </w:rPr>
        <w:t xml:space="preserve"> </w:t>
      </w:r>
      <w:r w:rsidR="00C81E47" w:rsidRPr="004F681E">
        <w:rPr>
          <w:rFonts w:ascii="Arial" w:hAnsi="Arial" w:cs="Arial"/>
          <w:lang w:val="es-CO"/>
        </w:rPr>
        <w:t>que descansa</w:t>
      </w:r>
      <w:r w:rsidR="00F26926" w:rsidRPr="004F681E">
        <w:rPr>
          <w:rFonts w:ascii="Arial" w:hAnsi="Arial" w:cs="Arial"/>
          <w:lang w:val="es-CO"/>
        </w:rPr>
        <w:t>n</w:t>
      </w:r>
      <w:r w:rsidR="00C81E47" w:rsidRPr="004F681E">
        <w:rPr>
          <w:rFonts w:ascii="Arial" w:hAnsi="Arial" w:cs="Arial"/>
          <w:lang w:val="es-CO"/>
        </w:rPr>
        <w:t xml:space="preserve"> en la protección del </w:t>
      </w:r>
      <w:r w:rsidR="00C059AF" w:rsidRPr="004F681E">
        <w:rPr>
          <w:rFonts w:ascii="Arial" w:hAnsi="Arial" w:cs="Arial"/>
          <w:lang w:val="es-CO"/>
        </w:rPr>
        <w:t>principio de conmutatividad</w:t>
      </w:r>
      <w:r w:rsidR="00021ACB" w:rsidRPr="004F681E">
        <w:rPr>
          <w:rFonts w:ascii="Arial" w:hAnsi="Arial" w:cs="Arial"/>
          <w:lang w:val="es-CO"/>
        </w:rPr>
        <w:t xml:space="preserve">, </w:t>
      </w:r>
      <w:r w:rsidR="00CE6431" w:rsidRPr="004F681E">
        <w:rPr>
          <w:rFonts w:ascii="Arial" w:hAnsi="Arial" w:cs="Arial"/>
          <w:lang w:val="es-CO"/>
        </w:rPr>
        <w:t xml:space="preserve">sino </w:t>
      </w:r>
      <w:r w:rsidR="00CE6431" w:rsidRPr="004F681E">
        <w:rPr>
          <w:rFonts w:ascii="Arial" w:hAnsi="Arial" w:cs="Arial"/>
          <w:lang w:val="es-CO"/>
        </w:rPr>
        <w:lastRenderedPageBreak/>
        <w:t>porque el entendimiento dispensado por esta</w:t>
      </w:r>
      <w:r w:rsidR="00C059AF" w:rsidRPr="004F681E">
        <w:rPr>
          <w:rFonts w:ascii="Arial" w:hAnsi="Arial" w:cs="Arial"/>
          <w:lang w:val="es-CO"/>
        </w:rPr>
        <w:t xml:space="preserve"> Subsecci</w:t>
      </w:r>
      <w:r w:rsidR="005B782E" w:rsidRPr="004F681E">
        <w:rPr>
          <w:rFonts w:ascii="Arial" w:hAnsi="Arial" w:cs="Arial"/>
          <w:lang w:val="es-CO"/>
        </w:rPr>
        <w:t>ón a</w:t>
      </w:r>
      <w:r w:rsidR="00CE6431" w:rsidRPr="004F681E">
        <w:rPr>
          <w:rFonts w:ascii="Arial" w:hAnsi="Arial" w:cs="Arial"/>
          <w:lang w:val="es-CO"/>
        </w:rPr>
        <w:t xml:space="preserve"> las renuncias anticipadas </w:t>
      </w:r>
      <w:r w:rsidR="00CF16CF" w:rsidRPr="004F681E">
        <w:rPr>
          <w:rFonts w:ascii="Arial" w:hAnsi="Arial" w:cs="Arial"/>
          <w:lang w:val="es-CO"/>
        </w:rPr>
        <w:t>en torno a</w:t>
      </w:r>
      <w:r w:rsidR="005B782E" w:rsidRPr="004F681E">
        <w:rPr>
          <w:rFonts w:ascii="Arial" w:hAnsi="Arial" w:cs="Arial"/>
          <w:lang w:val="es-CO"/>
        </w:rPr>
        <w:t xml:space="preserve"> los efectos derivados del desequilibrio económico del contrato</w:t>
      </w:r>
      <w:r w:rsidR="00855CE0" w:rsidRPr="004F681E">
        <w:rPr>
          <w:rFonts w:ascii="Arial" w:hAnsi="Arial" w:cs="Arial"/>
          <w:lang w:val="es-CO"/>
        </w:rPr>
        <w:t xml:space="preserve">, esto </w:t>
      </w:r>
      <w:r w:rsidR="00831011" w:rsidRPr="004F681E">
        <w:rPr>
          <w:rFonts w:ascii="Arial" w:hAnsi="Arial" w:cs="Arial"/>
          <w:lang w:val="es-CO"/>
        </w:rPr>
        <w:t>es</w:t>
      </w:r>
      <w:r w:rsidR="00012C4C" w:rsidRPr="004F681E">
        <w:rPr>
          <w:rFonts w:ascii="Arial" w:hAnsi="Arial" w:cs="Arial"/>
          <w:lang w:val="es-CO"/>
        </w:rPr>
        <w:t>,</w:t>
      </w:r>
      <w:r w:rsidR="00831011" w:rsidRPr="004F681E">
        <w:rPr>
          <w:rFonts w:ascii="Arial" w:hAnsi="Arial" w:cs="Arial"/>
          <w:lang w:val="es-CO"/>
        </w:rPr>
        <w:t xml:space="preserve"> realizadas </w:t>
      </w:r>
      <w:r w:rsidR="00855CE0" w:rsidRPr="004F681E">
        <w:rPr>
          <w:rFonts w:ascii="Arial" w:hAnsi="Arial" w:cs="Arial"/>
          <w:lang w:val="es-CO"/>
        </w:rPr>
        <w:t>antes de que ocurra el supuesto de fractura,</w:t>
      </w:r>
      <w:r w:rsidR="005B782E" w:rsidRPr="004F681E">
        <w:rPr>
          <w:rFonts w:ascii="Arial" w:hAnsi="Arial" w:cs="Arial"/>
          <w:lang w:val="es-CO"/>
        </w:rPr>
        <w:t xml:space="preserve"> </w:t>
      </w:r>
      <w:r w:rsidR="00A77074" w:rsidRPr="004F681E">
        <w:rPr>
          <w:rFonts w:ascii="Arial" w:hAnsi="Arial" w:cs="Arial"/>
          <w:lang w:val="es-CO"/>
        </w:rPr>
        <w:t xml:space="preserve">apunta a </w:t>
      </w:r>
      <w:r w:rsidR="00C60CE1" w:rsidRPr="004F681E">
        <w:rPr>
          <w:rFonts w:ascii="Arial" w:hAnsi="Arial" w:cs="Arial"/>
          <w:lang w:val="es-CO"/>
        </w:rPr>
        <w:t xml:space="preserve">señalar </w:t>
      </w:r>
      <w:r w:rsidR="00F26926" w:rsidRPr="004F681E">
        <w:rPr>
          <w:rFonts w:ascii="Arial" w:hAnsi="Arial" w:cs="Arial"/>
          <w:lang w:val="es-CO"/>
        </w:rPr>
        <w:t xml:space="preserve">que las mismas no </w:t>
      </w:r>
      <w:r w:rsidR="00F63B79" w:rsidRPr="004F681E">
        <w:rPr>
          <w:rFonts w:ascii="Arial" w:hAnsi="Arial" w:cs="Arial"/>
          <w:lang w:val="es-CO"/>
        </w:rPr>
        <w:t>estaría</w:t>
      </w:r>
      <w:r w:rsidR="00F26926" w:rsidRPr="004F681E">
        <w:rPr>
          <w:rFonts w:ascii="Arial" w:hAnsi="Arial" w:cs="Arial"/>
          <w:lang w:val="es-CO"/>
        </w:rPr>
        <w:t>n llamadas a producir efectos por cuenta de su ineficacia</w:t>
      </w:r>
      <w:r w:rsidR="00D35C41" w:rsidRPr="004F681E">
        <w:rPr>
          <w:rFonts w:ascii="Arial" w:hAnsi="Arial" w:cs="Arial"/>
          <w:lang w:val="es-CO"/>
        </w:rPr>
        <w:t>. S</w:t>
      </w:r>
      <w:r w:rsidR="003960AE" w:rsidRPr="004F681E">
        <w:rPr>
          <w:rFonts w:ascii="Arial" w:hAnsi="Arial" w:cs="Arial"/>
          <w:lang w:val="es-CO"/>
        </w:rPr>
        <w:t xml:space="preserve">obre el particular, esta Sala ha </w:t>
      </w:r>
      <w:r w:rsidR="001D1AEA" w:rsidRPr="004F681E">
        <w:rPr>
          <w:rFonts w:ascii="Arial" w:hAnsi="Arial" w:cs="Arial"/>
          <w:lang w:val="es-CO"/>
        </w:rPr>
        <w:t>sostenido</w:t>
      </w:r>
      <w:r w:rsidR="003960AE" w:rsidRPr="004F681E">
        <w:rPr>
          <w:rFonts w:ascii="Arial" w:hAnsi="Arial" w:cs="Arial"/>
          <w:lang w:val="es-CO"/>
        </w:rPr>
        <w:t xml:space="preserve"> que: </w:t>
      </w:r>
    </w:p>
    <w:p w:rsidR="003960AE" w:rsidRPr="004F681E" w:rsidRDefault="003960AE" w:rsidP="005D4B04">
      <w:pPr>
        <w:spacing w:line="360" w:lineRule="auto"/>
        <w:jc w:val="both"/>
        <w:rPr>
          <w:rFonts w:ascii="Arial" w:hAnsi="Arial" w:cs="Arial"/>
          <w:lang w:val="es-CO"/>
        </w:rPr>
      </w:pPr>
    </w:p>
    <w:p w:rsidR="003960AE" w:rsidRPr="004F681E" w:rsidRDefault="003960AE" w:rsidP="00402AEC">
      <w:pPr>
        <w:ind w:left="567" w:right="567"/>
        <w:jc w:val="both"/>
        <w:rPr>
          <w:rFonts w:ascii="Arial" w:hAnsi="Arial" w:cs="Arial"/>
          <w:i/>
          <w:lang w:val="es-CO"/>
        </w:rPr>
      </w:pPr>
      <w:r w:rsidRPr="004F681E">
        <w:rPr>
          <w:rFonts w:ascii="Arial" w:hAnsi="Arial" w:cs="Arial"/>
          <w:lang w:val="es-CO"/>
        </w:rPr>
        <w:t>“</w:t>
      </w:r>
      <w:r w:rsidRPr="004F681E">
        <w:rPr>
          <w:rFonts w:ascii="Arial" w:hAnsi="Arial" w:cs="Arial"/>
          <w:i/>
          <w:lang w:val="es-CO"/>
        </w:rPr>
        <w:t xml:space="preserve">La posibilidad de acudir a los instrumentos de ajuste y revisión de precios refleja, entre otros, el principio de mantenimiento del equilibrio económico del contrato, propio de los contratos conmutativos onerosos (artículos </w:t>
      </w:r>
      <w:smartTag w:uri="urn:schemas-microsoft-com:office:smarttags" w:element="metricconverter">
        <w:smartTagPr>
          <w:attr w:name="ProductID" w:val="1496 a"/>
        </w:smartTagPr>
        <w:r w:rsidRPr="004F681E">
          <w:rPr>
            <w:rFonts w:ascii="Arial" w:hAnsi="Arial" w:cs="Arial"/>
            <w:i/>
            <w:lang w:val="es-CO"/>
          </w:rPr>
          <w:t>1496 a</w:t>
        </w:r>
      </w:smartTag>
      <w:r w:rsidRPr="004F681E">
        <w:rPr>
          <w:rFonts w:ascii="Arial" w:hAnsi="Arial" w:cs="Arial"/>
          <w:i/>
          <w:lang w:val="es-CO"/>
        </w:rPr>
        <w:t xml:space="preserve"> 1498 del C.C.), a cuya categoría pertenecen gran parte de los contratos estatales (artículo 28, Ley 80 de 1993), por cuanto están orientados a garantizar que la prestación intrínseca  se mantenga inalterable, es decir, que no sea sustancialmente distinta de aquella prevista al momento de acordar el sinalagma funcional (plazo, precio y objeto). </w:t>
      </w:r>
      <w:r w:rsidRPr="004F681E">
        <w:rPr>
          <w:rFonts w:ascii="Arial" w:hAnsi="Arial" w:cs="Arial"/>
          <w:i/>
          <w:u w:val="single"/>
          <w:lang w:val="es-CO"/>
        </w:rPr>
        <w:t>Esto significa que las partes no pueden renunciar, antes de que se presente el supuesto de ruptura, a que se restablezca el equilibrio económico- financiero del contrato. Nadie puede renunciar a lo que desconoce</w:t>
      </w:r>
      <w:r w:rsidRPr="004F681E">
        <w:rPr>
          <w:rFonts w:ascii="Arial" w:hAnsi="Arial" w:cs="Arial"/>
          <w:i/>
          <w:lang w:val="es-CO"/>
        </w:rPr>
        <w:t>;”</w:t>
      </w:r>
      <w:r w:rsidRPr="004F681E">
        <w:rPr>
          <w:rStyle w:val="Refdenotaalpie"/>
          <w:rFonts w:ascii="Arial" w:hAnsi="Arial" w:cs="Arial"/>
          <w:i/>
          <w:lang w:val="es-CO"/>
        </w:rPr>
        <w:footnoteReference w:id="63"/>
      </w:r>
      <w:r w:rsidR="001D1AEA" w:rsidRPr="004F681E">
        <w:rPr>
          <w:rFonts w:ascii="Arial" w:hAnsi="Arial" w:cs="Arial"/>
          <w:i/>
          <w:lang w:val="es-CO"/>
        </w:rPr>
        <w:t>.</w:t>
      </w:r>
    </w:p>
    <w:p w:rsidR="00E3161E" w:rsidRPr="004F681E" w:rsidRDefault="00E3161E" w:rsidP="00402AEC">
      <w:pPr>
        <w:ind w:left="567" w:right="567"/>
        <w:jc w:val="both"/>
        <w:rPr>
          <w:rFonts w:ascii="Arial" w:hAnsi="Arial" w:cs="Arial"/>
          <w:i/>
          <w:lang w:val="es-CO"/>
        </w:rPr>
      </w:pPr>
    </w:p>
    <w:p w:rsidR="00E3161E" w:rsidRPr="004F681E" w:rsidRDefault="00E3161E" w:rsidP="00402AEC">
      <w:pPr>
        <w:ind w:left="567" w:right="567"/>
        <w:jc w:val="both"/>
        <w:rPr>
          <w:rFonts w:ascii="Arial" w:hAnsi="Arial" w:cs="Arial"/>
          <w:lang w:val="es-CO"/>
        </w:rPr>
      </w:pPr>
    </w:p>
    <w:p w:rsidR="001975BA" w:rsidRPr="004F681E" w:rsidRDefault="001975BA" w:rsidP="005D4B04">
      <w:pPr>
        <w:spacing w:line="360" w:lineRule="auto"/>
        <w:jc w:val="both"/>
        <w:rPr>
          <w:rFonts w:ascii="Arial" w:hAnsi="Arial" w:cs="Arial"/>
          <w:lang w:val="es-CO"/>
        </w:rPr>
      </w:pPr>
      <w:r w:rsidRPr="004F681E">
        <w:rPr>
          <w:rFonts w:ascii="Arial" w:hAnsi="Arial" w:cs="Arial"/>
          <w:lang w:val="es-CO"/>
        </w:rPr>
        <w:t xml:space="preserve">Sentado lo anterior, </w:t>
      </w:r>
      <w:r w:rsidR="00D35C41" w:rsidRPr="004F681E">
        <w:rPr>
          <w:rFonts w:ascii="Arial" w:hAnsi="Arial" w:cs="Arial"/>
          <w:lang w:val="es-CO"/>
        </w:rPr>
        <w:t xml:space="preserve">enseguida </w:t>
      </w:r>
      <w:r w:rsidR="005A31A9" w:rsidRPr="004F681E">
        <w:rPr>
          <w:rFonts w:ascii="Arial" w:hAnsi="Arial" w:cs="Arial"/>
          <w:lang w:val="es-CO"/>
        </w:rPr>
        <w:t xml:space="preserve">cobra </w:t>
      </w:r>
      <w:r w:rsidR="003C543B" w:rsidRPr="004F681E">
        <w:rPr>
          <w:rFonts w:ascii="Arial" w:hAnsi="Arial" w:cs="Arial"/>
          <w:lang w:val="es-CO"/>
        </w:rPr>
        <w:t>rele</w:t>
      </w:r>
      <w:r w:rsidR="00BF7067" w:rsidRPr="004F681E">
        <w:rPr>
          <w:rFonts w:ascii="Arial" w:hAnsi="Arial" w:cs="Arial"/>
          <w:lang w:val="es-CO"/>
        </w:rPr>
        <w:t xml:space="preserve">vancia realizar algunas reflexiones acerca de la posibilidad de </w:t>
      </w:r>
      <w:r w:rsidR="00F63B79" w:rsidRPr="004F681E">
        <w:rPr>
          <w:rFonts w:ascii="Arial" w:hAnsi="Arial" w:cs="Arial"/>
          <w:lang w:val="es-CO"/>
        </w:rPr>
        <w:t>trasladar</w:t>
      </w:r>
      <w:r w:rsidR="00627330" w:rsidRPr="004F681E">
        <w:rPr>
          <w:rFonts w:ascii="Arial" w:hAnsi="Arial" w:cs="Arial"/>
          <w:lang w:val="es-CO"/>
        </w:rPr>
        <w:t xml:space="preserve"> </w:t>
      </w:r>
      <w:r w:rsidR="00BF7067" w:rsidRPr="004F681E">
        <w:rPr>
          <w:rFonts w:ascii="Arial" w:hAnsi="Arial" w:cs="Arial"/>
          <w:lang w:val="es-CO"/>
        </w:rPr>
        <w:t>al conces</w:t>
      </w:r>
      <w:r w:rsidR="00605253" w:rsidRPr="004F681E">
        <w:rPr>
          <w:rFonts w:ascii="Arial" w:hAnsi="Arial" w:cs="Arial"/>
          <w:lang w:val="es-CO"/>
        </w:rPr>
        <w:t>ionario</w:t>
      </w:r>
      <w:r w:rsidR="00BF7067" w:rsidRPr="004F681E">
        <w:rPr>
          <w:rFonts w:ascii="Arial" w:hAnsi="Arial" w:cs="Arial"/>
          <w:lang w:val="es-CO"/>
        </w:rPr>
        <w:t xml:space="preserve"> todos </w:t>
      </w:r>
      <w:r w:rsidR="00605253" w:rsidRPr="004F681E">
        <w:rPr>
          <w:rFonts w:ascii="Arial" w:hAnsi="Arial" w:cs="Arial"/>
          <w:lang w:val="es-CO"/>
        </w:rPr>
        <w:t>los riesgos que se presente</w:t>
      </w:r>
      <w:r w:rsidR="00D35C41" w:rsidRPr="004F681E">
        <w:rPr>
          <w:rFonts w:ascii="Arial" w:hAnsi="Arial" w:cs="Arial"/>
          <w:lang w:val="es-CO"/>
        </w:rPr>
        <w:t>n</w:t>
      </w:r>
      <w:r w:rsidR="00605253" w:rsidRPr="004F681E">
        <w:rPr>
          <w:rFonts w:ascii="Arial" w:hAnsi="Arial" w:cs="Arial"/>
          <w:lang w:val="es-CO"/>
        </w:rPr>
        <w:t xml:space="preserve"> durante </w:t>
      </w:r>
      <w:r w:rsidR="00BF7067" w:rsidRPr="004F681E">
        <w:rPr>
          <w:rFonts w:ascii="Arial" w:hAnsi="Arial" w:cs="Arial"/>
          <w:lang w:val="es-CO"/>
        </w:rPr>
        <w:t>la eje</w:t>
      </w:r>
      <w:r w:rsidR="00855CE0" w:rsidRPr="004F681E">
        <w:rPr>
          <w:rFonts w:ascii="Arial" w:hAnsi="Arial" w:cs="Arial"/>
          <w:lang w:val="es-CO"/>
        </w:rPr>
        <w:t>c</w:t>
      </w:r>
      <w:r w:rsidR="00BF7067" w:rsidRPr="004F681E">
        <w:rPr>
          <w:rFonts w:ascii="Arial" w:hAnsi="Arial" w:cs="Arial"/>
          <w:lang w:val="es-CO"/>
        </w:rPr>
        <w:t>ución del contrato</w:t>
      </w:r>
      <w:r w:rsidR="00627330" w:rsidRPr="004F681E">
        <w:rPr>
          <w:rFonts w:ascii="Arial" w:hAnsi="Arial" w:cs="Arial"/>
          <w:lang w:val="es-CO"/>
        </w:rPr>
        <w:t>, en los términos en que qued</w:t>
      </w:r>
      <w:r w:rsidR="006833F6" w:rsidRPr="004F681E">
        <w:rPr>
          <w:rFonts w:ascii="Arial" w:hAnsi="Arial" w:cs="Arial"/>
          <w:lang w:val="es-CO"/>
        </w:rPr>
        <w:t>ó plasmado en</w:t>
      </w:r>
      <w:r w:rsidR="00627330" w:rsidRPr="004F681E">
        <w:rPr>
          <w:rFonts w:ascii="Arial" w:hAnsi="Arial" w:cs="Arial"/>
          <w:lang w:val="es-CO"/>
        </w:rPr>
        <w:t xml:space="preserve"> la cláusula que se analiza. </w:t>
      </w:r>
    </w:p>
    <w:p w:rsidR="00917EE1" w:rsidRPr="004F681E" w:rsidRDefault="00917EE1" w:rsidP="005D4B04">
      <w:pPr>
        <w:spacing w:line="360" w:lineRule="auto"/>
        <w:jc w:val="both"/>
        <w:rPr>
          <w:rFonts w:ascii="Arial" w:hAnsi="Arial" w:cs="Arial"/>
          <w:lang w:val="es-CO"/>
        </w:rPr>
      </w:pPr>
    </w:p>
    <w:p w:rsidR="00831011" w:rsidRPr="004F681E" w:rsidRDefault="00951703" w:rsidP="005D4B04">
      <w:pPr>
        <w:spacing w:line="360" w:lineRule="auto"/>
        <w:jc w:val="both"/>
        <w:rPr>
          <w:rFonts w:ascii="Arial" w:hAnsi="Arial" w:cs="Arial"/>
          <w:lang w:val="es-CO"/>
        </w:rPr>
      </w:pPr>
      <w:r w:rsidRPr="004F681E">
        <w:rPr>
          <w:rFonts w:ascii="Arial" w:hAnsi="Arial" w:cs="Arial"/>
          <w:lang w:val="es-CO"/>
        </w:rPr>
        <w:t xml:space="preserve">Sea lo primero señalar que </w:t>
      </w:r>
      <w:r w:rsidR="00E87BB7" w:rsidRPr="004F681E">
        <w:rPr>
          <w:rFonts w:ascii="Arial" w:hAnsi="Arial" w:cs="Arial"/>
          <w:lang w:val="es-CO"/>
        </w:rPr>
        <w:t xml:space="preserve">aun cuando </w:t>
      </w:r>
      <w:r w:rsidRPr="004F681E">
        <w:rPr>
          <w:rFonts w:ascii="Arial" w:hAnsi="Arial" w:cs="Arial"/>
          <w:lang w:val="es-CO"/>
        </w:rPr>
        <w:t xml:space="preserve">la tipología del contrato de concesión </w:t>
      </w:r>
      <w:r w:rsidR="000F05EF" w:rsidRPr="004F681E">
        <w:rPr>
          <w:rFonts w:ascii="Arial" w:hAnsi="Arial" w:cs="Arial"/>
          <w:lang w:val="es-CO"/>
        </w:rPr>
        <w:t>sup</w:t>
      </w:r>
      <w:r w:rsidR="000C5E7E" w:rsidRPr="004F681E">
        <w:rPr>
          <w:rFonts w:ascii="Arial" w:hAnsi="Arial" w:cs="Arial"/>
          <w:lang w:val="es-CO"/>
        </w:rPr>
        <w:t>one, entre otros aspectos, que el concesionario asume</w:t>
      </w:r>
      <w:r w:rsidR="000C5E7E" w:rsidRPr="004F681E">
        <w:rPr>
          <w:rFonts w:ascii="Arial" w:hAnsi="Arial" w:cs="Arial"/>
        </w:rPr>
        <w:t xml:space="preserve"> la adecuada prestación o funcionamiento de la obra, bien o servicio </w:t>
      </w:r>
      <w:r w:rsidR="00ED3928" w:rsidRPr="004F681E">
        <w:rPr>
          <w:rFonts w:ascii="Arial" w:hAnsi="Arial" w:cs="Arial"/>
        </w:rPr>
        <w:t>“</w:t>
      </w:r>
      <w:r w:rsidR="000C5E7E" w:rsidRPr="004F681E">
        <w:rPr>
          <w:rFonts w:ascii="Arial" w:hAnsi="Arial" w:cs="Arial"/>
          <w:i/>
        </w:rPr>
        <w:t>por su cuenta y riesgo</w:t>
      </w:r>
      <w:r w:rsidR="00ED3928" w:rsidRPr="004F681E">
        <w:rPr>
          <w:rFonts w:ascii="Arial" w:hAnsi="Arial" w:cs="Arial"/>
        </w:rPr>
        <w:t>”</w:t>
      </w:r>
      <w:r w:rsidR="000C5E7E" w:rsidRPr="004F681E">
        <w:rPr>
          <w:rFonts w:ascii="Arial" w:hAnsi="Arial" w:cs="Arial"/>
        </w:rPr>
        <w:t xml:space="preserve">, </w:t>
      </w:r>
      <w:r w:rsidR="00687B5C" w:rsidRPr="004F681E">
        <w:rPr>
          <w:rFonts w:ascii="Arial" w:hAnsi="Arial" w:cs="Arial"/>
        </w:rPr>
        <w:t xml:space="preserve">ello no </w:t>
      </w:r>
      <w:r w:rsidR="00F851AE" w:rsidRPr="004F681E">
        <w:rPr>
          <w:rFonts w:ascii="Arial" w:hAnsi="Arial" w:cs="Arial"/>
        </w:rPr>
        <w:t>equivale afirmar</w:t>
      </w:r>
      <w:r w:rsidR="00687B5C" w:rsidRPr="004F681E">
        <w:rPr>
          <w:rFonts w:ascii="Arial" w:hAnsi="Arial" w:cs="Arial"/>
        </w:rPr>
        <w:t xml:space="preserve"> que por </w:t>
      </w:r>
      <w:r w:rsidR="00F851AE" w:rsidRPr="004F681E">
        <w:rPr>
          <w:rFonts w:ascii="Arial" w:hAnsi="Arial" w:cs="Arial"/>
        </w:rPr>
        <w:t xml:space="preserve">gracia </w:t>
      </w:r>
      <w:r w:rsidR="00687B5C" w:rsidRPr="004F681E">
        <w:rPr>
          <w:rFonts w:ascii="Arial" w:hAnsi="Arial" w:cs="Arial"/>
        </w:rPr>
        <w:t xml:space="preserve">de esa disposición se encuentre compelido a asumir </w:t>
      </w:r>
      <w:r w:rsidR="007010AA" w:rsidRPr="004F681E">
        <w:rPr>
          <w:rFonts w:ascii="Arial" w:hAnsi="Arial" w:cs="Arial"/>
        </w:rPr>
        <w:t>todas las alteraciones que se presenten</w:t>
      </w:r>
      <w:r w:rsidR="00F851AE" w:rsidRPr="004F681E">
        <w:rPr>
          <w:rFonts w:ascii="Arial" w:hAnsi="Arial" w:cs="Arial"/>
        </w:rPr>
        <w:t xml:space="preserve"> durante la ejecución del </w:t>
      </w:r>
      <w:r w:rsidR="007010AA" w:rsidRPr="004F681E">
        <w:rPr>
          <w:rFonts w:ascii="Arial" w:hAnsi="Arial" w:cs="Arial"/>
        </w:rPr>
        <w:t>proyecto</w:t>
      </w:r>
      <w:r w:rsidR="00605253" w:rsidRPr="004F681E">
        <w:rPr>
          <w:rFonts w:ascii="Arial" w:hAnsi="Arial" w:cs="Arial"/>
        </w:rPr>
        <w:t xml:space="preserve"> y que causen un efecto nocivo en su economía.</w:t>
      </w:r>
      <w:r w:rsidR="007010AA" w:rsidRPr="004F681E">
        <w:rPr>
          <w:rFonts w:ascii="Arial" w:hAnsi="Arial" w:cs="Arial"/>
        </w:rPr>
        <w:t xml:space="preserve"> </w:t>
      </w:r>
      <w:r w:rsidR="00ED3928" w:rsidRPr="004F681E">
        <w:rPr>
          <w:rFonts w:ascii="Arial" w:hAnsi="Arial" w:cs="Arial"/>
        </w:rPr>
        <w:t>En ese sentido</w:t>
      </w:r>
      <w:r w:rsidR="00E3161E" w:rsidRPr="004F681E">
        <w:rPr>
          <w:rFonts w:ascii="Arial" w:hAnsi="Arial" w:cs="Arial"/>
        </w:rPr>
        <w:t>,</w:t>
      </w:r>
      <w:r w:rsidR="00ED3928" w:rsidRPr="004F681E">
        <w:rPr>
          <w:rFonts w:ascii="Arial" w:hAnsi="Arial" w:cs="Arial"/>
        </w:rPr>
        <w:t xml:space="preserve"> se advierte que </w:t>
      </w:r>
      <w:r w:rsidR="00156F43" w:rsidRPr="004F681E">
        <w:rPr>
          <w:rFonts w:ascii="Arial" w:hAnsi="Arial" w:cs="Arial"/>
        </w:rPr>
        <w:t>dicho precepto</w:t>
      </w:r>
      <w:r w:rsidR="007010AA" w:rsidRPr="004F681E">
        <w:rPr>
          <w:rFonts w:ascii="Arial" w:hAnsi="Arial" w:cs="Arial"/>
        </w:rPr>
        <w:t xml:space="preserve"> </w:t>
      </w:r>
      <w:r w:rsidR="005C015D" w:rsidRPr="004F681E">
        <w:rPr>
          <w:rFonts w:ascii="Arial" w:hAnsi="Arial" w:cs="Arial"/>
        </w:rPr>
        <w:t xml:space="preserve">legal </w:t>
      </w:r>
      <w:r w:rsidR="009F67C8" w:rsidRPr="004F681E">
        <w:rPr>
          <w:rFonts w:ascii="Arial" w:hAnsi="Arial" w:cs="Arial"/>
        </w:rPr>
        <w:t xml:space="preserve">necesariamente </w:t>
      </w:r>
      <w:r w:rsidR="007010AA" w:rsidRPr="004F681E">
        <w:rPr>
          <w:rFonts w:ascii="Arial" w:hAnsi="Arial" w:cs="Arial"/>
        </w:rPr>
        <w:t xml:space="preserve">debe atemperarse al </w:t>
      </w:r>
      <w:r w:rsidR="004C02CA" w:rsidRPr="004F681E">
        <w:rPr>
          <w:rFonts w:ascii="Arial" w:hAnsi="Arial" w:cs="Arial"/>
        </w:rPr>
        <w:t xml:space="preserve">compendio </w:t>
      </w:r>
      <w:r w:rsidR="007010AA" w:rsidRPr="004F681E">
        <w:rPr>
          <w:rFonts w:ascii="Arial" w:hAnsi="Arial" w:cs="Arial"/>
        </w:rPr>
        <w:t>regulatorio en el que se encue</w:t>
      </w:r>
      <w:r w:rsidR="008F31E3" w:rsidRPr="004F681E">
        <w:rPr>
          <w:rFonts w:ascii="Arial" w:hAnsi="Arial" w:cs="Arial"/>
        </w:rPr>
        <w:t>ntra</w:t>
      </w:r>
      <w:r w:rsidR="004C02CA" w:rsidRPr="004F681E">
        <w:rPr>
          <w:rFonts w:ascii="Arial" w:hAnsi="Arial" w:cs="Arial"/>
        </w:rPr>
        <w:t xml:space="preserve"> </w:t>
      </w:r>
      <w:r w:rsidR="00D35C41" w:rsidRPr="004F681E">
        <w:rPr>
          <w:rFonts w:ascii="Arial" w:hAnsi="Arial" w:cs="Arial"/>
        </w:rPr>
        <w:t>vertido</w:t>
      </w:r>
      <w:r w:rsidR="00E3161E" w:rsidRPr="004F681E">
        <w:rPr>
          <w:rFonts w:ascii="Arial" w:hAnsi="Arial" w:cs="Arial"/>
        </w:rPr>
        <w:t>,</w:t>
      </w:r>
      <w:r w:rsidR="00D35C41" w:rsidRPr="004F681E">
        <w:rPr>
          <w:rFonts w:ascii="Arial" w:hAnsi="Arial" w:cs="Arial"/>
        </w:rPr>
        <w:t xml:space="preserve"> </w:t>
      </w:r>
      <w:r w:rsidR="004C02CA" w:rsidRPr="004F681E">
        <w:rPr>
          <w:rFonts w:ascii="Arial" w:hAnsi="Arial" w:cs="Arial"/>
        </w:rPr>
        <w:t>en cuyo contenido igualmente se halla inmerso</w:t>
      </w:r>
      <w:r w:rsidR="008F31E3" w:rsidRPr="004F681E">
        <w:rPr>
          <w:rFonts w:ascii="Arial" w:hAnsi="Arial" w:cs="Arial"/>
        </w:rPr>
        <w:t xml:space="preserve"> un catálogo de reglas </w:t>
      </w:r>
      <w:r w:rsidR="00BE4A2B" w:rsidRPr="004F681E">
        <w:rPr>
          <w:rFonts w:ascii="Arial" w:hAnsi="Arial" w:cs="Arial"/>
        </w:rPr>
        <w:t xml:space="preserve">y principios </w:t>
      </w:r>
      <w:r w:rsidR="009F67C8" w:rsidRPr="004F681E">
        <w:rPr>
          <w:rFonts w:ascii="Arial" w:hAnsi="Arial" w:cs="Arial"/>
        </w:rPr>
        <w:t xml:space="preserve">que </w:t>
      </w:r>
      <w:r w:rsidR="004C02CA" w:rsidRPr="004F681E">
        <w:rPr>
          <w:rFonts w:ascii="Arial" w:hAnsi="Arial" w:cs="Arial"/>
        </w:rPr>
        <w:t>determina</w:t>
      </w:r>
      <w:r w:rsidR="005F5B75" w:rsidRPr="004F681E">
        <w:rPr>
          <w:rFonts w:ascii="Arial" w:hAnsi="Arial" w:cs="Arial"/>
        </w:rPr>
        <w:t>n</w:t>
      </w:r>
      <w:r w:rsidR="009F67C8" w:rsidRPr="004F681E">
        <w:rPr>
          <w:rFonts w:ascii="Arial" w:hAnsi="Arial" w:cs="Arial"/>
        </w:rPr>
        <w:t xml:space="preserve"> un margen </w:t>
      </w:r>
      <w:r w:rsidR="009314FB" w:rsidRPr="004F681E">
        <w:rPr>
          <w:rFonts w:ascii="Arial" w:hAnsi="Arial" w:cs="Arial"/>
        </w:rPr>
        <w:t xml:space="preserve">objetivo y </w:t>
      </w:r>
      <w:r w:rsidR="009F67C8" w:rsidRPr="004F681E">
        <w:rPr>
          <w:rFonts w:ascii="Arial" w:hAnsi="Arial" w:cs="Arial"/>
        </w:rPr>
        <w:t xml:space="preserve">razonable </w:t>
      </w:r>
      <w:r w:rsidR="00BE4A2B" w:rsidRPr="004F681E">
        <w:rPr>
          <w:rFonts w:ascii="Arial" w:hAnsi="Arial" w:cs="Arial"/>
        </w:rPr>
        <w:t>encaminado a impedir</w:t>
      </w:r>
      <w:r w:rsidR="00D35C41" w:rsidRPr="004F681E">
        <w:rPr>
          <w:rFonts w:ascii="Arial" w:hAnsi="Arial" w:cs="Arial"/>
        </w:rPr>
        <w:t xml:space="preserve">, por motivos de equidad y justicia, </w:t>
      </w:r>
      <w:r w:rsidR="009F67C8" w:rsidRPr="004F681E">
        <w:rPr>
          <w:rFonts w:ascii="Arial" w:hAnsi="Arial" w:cs="Arial"/>
        </w:rPr>
        <w:t xml:space="preserve">una distribución absoluta de riesgos en cabeza </w:t>
      </w:r>
      <w:r w:rsidR="004C02CA" w:rsidRPr="004F681E">
        <w:rPr>
          <w:rFonts w:ascii="Arial" w:hAnsi="Arial" w:cs="Arial"/>
        </w:rPr>
        <w:t xml:space="preserve">exclusiva </w:t>
      </w:r>
      <w:r w:rsidR="009F67C8" w:rsidRPr="004F681E">
        <w:rPr>
          <w:rFonts w:ascii="Arial" w:hAnsi="Arial" w:cs="Arial"/>
        </w:rPr>
        <w:t xml:space="preserve">de una </w:t>
      </w:r>
      <w:r w:rsidR="00EB58BD" w:rsidRPr="004F681E">
        <w:rPr>
          <w:rFonts w:ascii="Arial" w:hAnsi="Arial" w:cs="Arial"/>
        </w:rPr>
        <w:t xml:space="preserve">sola </w:t>
      </w:r>
      <w:r w:rsidR="009F67C8" w:rsidRPr="004F681E">
        <w:rPr>
          <w:rFonts w:ascii="Arial" w:hAnsi="Arial" w:cs="Arial"/>
        </w:rPr>
        <w:t xml:space="preserve">de las </w:t>
      </w:r>
      <w:r w:rsidR="004C02CA" w:rsidRPr="004F681E">
        <w:rPr>
          <w:rFonts w:ascii="Arial" w:hAnsi="Arial" w:cs="Arial"/>
        </w:rPr>
        <w:t xml:space="preserve">partes del contrato. </w:t>
      </w:r>
    </w:p>
    <w:p w:rsidR="0095320B" w:rsidRPr="004F681E" w:rsidRDefault="0095320B" w:rsidP="005D4B04">
      <w:pPr>
        <w:spacing w:line="360" w:lineRule="auto"/>
        <w:jc w:val="both"/>
        <w:rPr>
          <w:rFonts w:ascii="Arial" w:hAnsi="Arial" w:cs="Arial"/>
        </w:rPr>
      </w:pPr>
    </w:p>
    <w:p w:rsidR="00D34C51" w:rsidRPr="004F681E" w:rsidRDefault="00C578CB" w:rsidP="005D4B04">
      <w:pPr>
        <w:spacing w:line="360" w:lineRule="auto"/>
        <w:jc w:val="both"/>
        <w:rPr>
          <w:rFonts w:ascii="Arial" w:hAnsi="Arial" w:cs="Arial"/>
        </w:rPr>
      </w:pPr>
      <w:r w:rsidRPr="004F681E">
        <w:rPr>
          <w:rFonts w:ascii="Arial" w:hAnsi="Arial" w:cs="Arial"/>
        </w:rPr>
        <w:t>M</w:t>
      </w:r>
      <w:r w:rsidR="0095320B" w:rsidRPr="004F681E">
        <w:rPr>
          <w:rFonts w:ascii="Arial" w:hAnsi="Arial" w:cs="Arial"/>
        </w:rPr>
        <w:t xml:space="preserve">uestra de ello </w:t>
      </w:r>
      <w:r w:rsidR="00684E59" w:rsidRPr="004F681E">
        <w:rPr>
          <w:rFonts w:ascii="Arial" w:hAnsi="Arial" w:cs="Arial"/>
        </w:rPr>
        <w:t>son las previsiones concebidas en el artículo 24 del Estatuto de Contrataci</w:t>
      </w:r>
      <w:r w:rsidR="00EC3D00" w:rsidRPr="004F681E">
        <w:rPr>
          <w:rFonts w:ascii="Arial" w:hAnsi="Arial" w:cs="Arial"/>
        </w:rPr>
        <w:t xml:space="preserve">ón Estatal, dirigidas </w:t>
      </w:r>
      <w:r w:rsidR="00F35DFD" w:rsidRPr="004F681E">
        <w:rPr>
          <w:rFonts w:ascii="Arial" w:hAnsi="Arial" w:cs="Arial"/>
        </w:rPr>
        <w:t>a</w:t>
      </w:r>
      <w:r w:rsidR="00EC3D00" w:rsidRPr="004F681E">
        <w:rPr>
          <w:rFonts w:ascii="Arial" w:hAnsi="Arial" w:cs="Arial"/>
        </w:rPr>
        <w:t xml:space="preserve"> cristalizar</w:t>
      </w:r>
      <w:r w:rsidR="00F35DFD" w:rsidRPr="004F681E">
        <w:rPr>
          <w:rFonts w:ascii="Arial" w:hAnsi="Arial" w:cs="Arial"/>
        </w:rPr>
        <w:t xml:space="preserve"> el principio de transparencia</w:t>
      </w:r>
      <w:r w:rsidR="00E3161E" w:rsidRPr="004F681E">
        <w:rPr>
          <w:rFonts w:ascii="Arial" w:hAnsi="Arial" w:cs="Arial"/>
        </w:rPr>
        <w:t xml:space="preserve">, </w:t>
      </w:r>
      <w:r w:rsidR="00F35DFD" w:rsidRPr="004F681E">
        <w:rPr>
          <w:rFonts w:ascii="Arial" w:hAnsi="Arial" w:cs="Arial"/>
        </w:rPr>
        <w:t>de conformidad con las cuales</w:t>
      </w:r>
      <w:r w:rsidR="00E3161E" w:rsidRPr="004F681E">
        <w:rPr>
          <w:rFonts w:ascii="Arial" w:hAnsi="Arial" w:cs="Arial"/>
        </w:rPr>
        <w:t>,</w:t>
      </w:r>
      <w:r w:rsidR="00F35DFD" w:rsidRPr="004F681E">
        <w:rPr>
          <w:rFonts w:ascii="Arial" w:hAnsi="Arial" w:cs="Arial"/>
        </w:rPr>
        <w:t xml:space="preserve"> en el documento </w:t>
      </w:r>
      <w:r w:rsidRPr="004F681E">
        <w:rPr>
          <w:rFonts w:ascii="Arial" w:hAnsi="Arial" w:cs="Arial"/>
        </w:rPr>
        <w:t>pre</w:t>
      </w:r>
      <w:r w:rsidR="00F35DFD" w:rsidRPr="004F681E">
        <w:rPr>
          <w:rFonts w:ascii="Arial" w:hAnsi="Arial" w:cs="Arial"/>
        </w:rPr>
        <w:t>contractual</w:t>
      </w:r>
      <w:r w:rsidR="00957C0D" w:rsidRPr="004F681E">
        <w:rPr>
          <w:rFonts w:ascii="Arial" w:hAnsi="Arial" w:cs="Arial"/>
        </w:rPr>
        <w:t>, que posteriormente se integrará el contrato adjudicado,</w:t>
      </w:r>
      <w:r w:rsidR="00F35DFD" w:rsidRPr="004F681E">
        <w:rPr>
          <w:rFonts w:ascii="Arial" w:hAnsi="Arial" w:cs="Arial"/>
        </w:rPr>
        <w:t xml:space="preserve"> no se exigirán condic</w:t>
      </w:r>
      <w:r w:rsidR="0057256A" w:rsidRPr="004F681E">
        <w:rPr>
          <w:rFonts w:ascii="Arial" w:hAnsi="Arial" w:cs="Arial"/>
        </w:rPr>
        <w:t>iones de imposible cumplimiento y</w:t>
      </w:r>
      <w:r w:rsidR="00F35DFD" w:rsidRPr="004F681E">
        <w:rPr>
          <w:rFonts w:ascii="Arial" w:hAnsi="Arial" w:cs="Arial"/>
        </w:rPr>
        <w:t xml:space="preserve"> no se inducirán </w:t>
      </w:r>
      <w:r w:rsidR="00EC3D00" w:rsidRPr="004F681E">
        <w:rPr>
          <w:rFonts w:ascii="Arial" w:hAnsi="Arial" w:cs="Arial"/>
        </w:rPr>
        <w:t xml:space="preserve">ofrecimientos </w:t>
      </w:r>
      <w:r w:rsidR="00F35DFD" w:rsidRPr="004F681E">
        <w:rPr>
          <w:rFonts w:ascii="Arial" w:hAnsi="Arial" w:cs="Arial"/>
        </w:rPr>
        <w:t>de extensión ilimitada o que dependan de la voluntad exclusiva de la entidad</w:t>
      </w:r>
      <w:r w:rsidR="00156F43" w:rsidRPr="004F681E">
        <w:rPr>
          <w:rFonts w:ascii="Arial" w:hAnsi="Arial" w:cs="Arial"/>
        </w:rPr>
        <w:t>, todo lo cual se traduce en la imposibilidad de asignar al particular la carga de asumir</w:t>
      </w:r>
      <w:r w:rsidR="00D34C51" w:rsidRPr="004F681E">
        <w:rPr>
          <w:rFonts w:ascii="Arial" w:hAnsi="Arial" w:cs="Arial"/>
        </w:rPr>
        <w:t xml:space="preserve"> cualquier tipo de riesgo</w:t>
      </w:r>
      <w:r w:rsidR="0057256A" w:rsidRPr="004F681E">
        <w:rPr>
          <w:rFonts w:ascii="Arial" w:hAnsi="Arial" w:cs="Arial"/>
        </w:rPr>
        <w:t xml:space="preserve"> sin importar su </w:t>
      </w:r>
      <w:r w:rsidR="00D35C41" w:rsidRPr="004F681E">
        <w:rPr>
          <w:rFonts w:ascii="Arial" w:hAnsi="Arial" w:cs="Arial"/>
        </w:rPr>
        <w:t xml:space="preserve">imprevisibilidad, su </w:t>
      </w:r>
      <w:r w:rsidR="0057256A" w:rsidRPr="004F681E">
        <w:rPr>
          <w:rFonts w:ascii="Arial" w:hAnsi="Arial" w:cs="Arial"/>
        </w:rPr>
        <w:t>naturaleza y</w:t>
      </w:r>
      <w:r w:rsidR="00F22AFC" w:rsidRPr="004F681E">
        <w:rPr>
          <w:rFonts w:ascii="Arial" w:hAnsi="Arial" w:cs="Arial"/>
        </w:rPr>
        <w:t xml:space="preserve"> dimensión</w:t>
      </w:r>
      <w:r w:rsidR="00D34C51" w:rsidRPr="004F681E">
        <w:rPr>
          <w:rFonts w:ascii="Arial" w:hAnsi="Arial" w:cs="Arial"/>
        </w:rPr>
        <w:t>.</w:t>
      </w:r>
    </w:p>
    <w:p w:rsidR="00D34C51" w:rsidRPr="004F681E" w:rsidRDefault="00D34C51" w:rsidP="005D4B04">
      <w:pPr>
        <w:spacing w:line="360" w:lineRule="auto"/>
        <w:jc w:val="both"/>
        <w:rPr>
          <w:rFonts w:ascii="Arial" w:hAnsi="Arial" w:cs="Arial"/>
        </w:rPr>
      </w:pPr>
    </w:p>
    <w:p w:rsidR="00544646" w:rsidRPr="004F681E" w:rsidRDefault="0057256A" w:rsidP="005D4B04">
      <w:pPr>
        <w:spacing w:line="360" w:lineRule="auto"/>
        <w:jc w:val="both"/>
        <w:rPr>
          <w:rFonts w:ascii="Arial" w:hAnsi="Arial" w:cs="Arial"/>
        </w:rPr>
      </w:pPr>
      <w:r w:rsidRPr="004F681E">
        <w:rPr>
          <w:rFonts w:ascii="Arial" w:hAnsi="Arial" w:cs="Arial"/>
        </w:rPr>
        <w:t>A propósito de este aspecto, e</w:t>
      </w:r>
      <w:r w:rsidR="00D34C51" w:rsidRPr="004F681E">
        <w:rPr>
          <w:rFonts w:ascii="Arial" w:hAnsi="Arial" w:cs="Arial"/>
        </w:rPr>
        <w:t xml:space="preserve">n pasada </w:t>
      </w:r>
      <w:r w:rsidR="008D24E0" w:rsidRPr="004F681E">
        <w:rPr>
          <w:rFonts w:ascii="Arial" w:hAnsi="Arial" w:cs="Arial"/>
        </w:rPr>
        <w:t>ocasión</w:t>
      </w:r>
      <w:r w:rsidR="00D34C51" w:rsidRPr="004F681E">
        <w:rPr>
          <w:rFonts w:ascii="Arial" w:hAnsi="Arial" w:cs="Arial"/>
        </w:rPr>
        <w:t xml:space="preserve"> esta </w:t>
      </w:r>
      <w:r w:rsidR="00E60A22" w:rsidRPr="004F681E">
        <w:rPr>
          <w:rFonts w:ascii="Arial" w:hAnsi="Arial" w:cs="Arial"/>
        </w:rPr>
        <w:t>Subsección</w:t>
      </w:r>
      <w:r w:rsidR="005F5B75" w:rsidRPr="004F681E">
        <w:rPr>
          <w:rStyle w:val="Refdenotaalpie"/>
          <w:rFonts w:ascii="Arial" w:hAnsi="Arial" w:cs="Arial"/>
        </w:rPr>
        <w:footnoteReference w:id="64"/>
      </w:r>
      <w:r w:rsidR="00E60A22" w:rsidRPr="004F681E">
        <w:rPr>
          <w:rFonts w:ascii="Arial" w:hAnsi="Arial" w:cs="Arial"/>
        </w:rPr>
        <w:t xml:space="preserve"> se ocupó de examinar </w:t>
      </w:r>
      <w:r w:rsidR="008D24E0" w:rsidRPr="004F681E">
        <w:rPr>
          <w:rFonts w:ascii="Arial" w:hAnsi="Arial" w:cs="Arial"/>
        </w:rPr>
        <w:t xml:space="preserve">el contenido y alcance de </w:t>
      </w:r>
      <w:r w:rsidR="0076338A" w:rsidRPr="004F681E">
        <w:rPr>
          <w:rFonts w:ascii="Arial" w:hAnsi="Arial" w:cs="Arial"/>
        </w:rPr>
        <w:t xml:space="preserve">una regla precontractual a través de la cual se pretendía </w:t>
      </w:r>
      <w:r w:rsidR="008D24E0" w:rsidRPr="004F681E">
        <w:rPr>
          <w:rFonts w:ascii="Arial" w:hAnsi="Arial" w:cs="Arial"/>
        </w:rPr>
        <w:t xml:space="preserve">que los </w:t>
      </w:r>
      <w:r w:rsidR="005F5B75" w:rsidRPr="004F681E">
        <w:rPr>
          <w:rFonts w:ascii="Arial" w:hAnsi="Arial" w:cs="Arial"/>
        </w:rPr>
        <w:t xml:space="preserve">proponentes ofrecieran </w:t>
      </w:r>
      <w:r w:rsidR="008D24E0" w:rsidRPr="004F681E">
        <w:rPr>
          <w:rFonts w:ascii="Arial" w:hAnsi="Arial" w:cs="Arial"/>
        </w:rPr>
        <w:t xml:space="preserve">los precios unitarios </w:t>
      </w:r>
      <w:r w:rsidR="005F5B75" w:rsidRPr="004F681E">
        <w:rPr>
          <w:rFonts w:ascii="Arial" w:hAnsi="Arial" w:cs="Arial"/>
        </w:rPr>
        <w:t>consignados</w:t>
      </w:r>
      <w:r w:rsidR="008D24E0" w:rsidRPr="004F681E">
        <w:rPr>
          <w:rFonts w:ascii="Arial" w:hAnsi="Arial" w:cs="Arial"/>
        </w:rPr>
        <w:t xml:space="preserve"> en sus propuestas “</w:t>
      </w:r>
      <w:r w:rsidR="008D24E0" w:rsidRPr="004F681E">
        <w:rPr>
          <w:rFonts w:ascii="Arial" w:hAnsi="Arial" w:cs="Arial"/>
          <w:i/>
        </w:rPr>
        <w:t>considerando a todo factor</w:t>
      </w:r>
      <w:r w:rsidR="008D24E0" w:rsidRPr="004F681E">
        <w:rPr>
          <w:rFonts w:ascii="Arial" w:hAnsi="Arial" w:cs="Arial"/>
        </w:rPr>
        <w:t>”</w:t>
      </w:r>
      <w:r w:rsidR="00644F1F" w:rsidRPr="004F681E">
        <w:rPr>
          <w:rFonts w:ascii="Arial" w:hAnsi="Arial" w:cs="Arial"/>
        </w:rPr>
        <w:t>. En dicha</w:t>
      </w:r>
      <w:r w:rsidR="008D24E0" w:rsidRPr="004F681E">
        <w:rPr>
          <w:rFonts w:ascii="Arial" w:hAnsi="Arial" w:cs="Arial"/>
        </w:rPr>
        <w:t xml:space="preserve"> oportunidad</w:t>
      </w:r>
      <w:r w:rsidR="00EB01E9" w:rsidRPr="004F681E">
        <w:rPr>
          <w:rFonts w:ascii="Arial" w:hAnsi="Arial" w:cs="Arial"/>
        </w:rPr>
        <w:t xml:space="preserve"> la Sala concluyó que la aludida </w:t>
      </w:r>
      <w:r w:rsidR="00271BF1" w:rsidRPr="004F681E">
        <w:rPr>
          <w:rFonts w:ascii="Arial" w:hAnsi="Arial" w:cs="Arial"/>
        </w:rPr>
        <w:t>previsión resultaba</w:t>
      </w:r>
      <w:r w:rsidR="00EB01E9" w:rsidRPr="004F681E">
        <w:rPr>
          <w:rFonts w:ascii="Arial" w:hAnsi="Arial" w:cs="Arial"/>
        </w:rPr>
        <w:t xml:space="preserve"> </w:t>
      </w:r>
      <w:r w:rsidR="008828B9" w:rsidRPr="004F681E">
        <w:rPr>
          <w:rFonts w:ascii="Arial" w:hAnsi="Arial" w:cs="Arial"/>
        </w:rPr>
        <w:t>ineficaz</w:t>
      </w:r>
      <w:r w:rsidR="00E3161E" w:rsidRPr="004F681E">
        <w:rPr>
          <w:rFonts w:ascii="Arial" w:hAnsi="Arial" w:cs="Arial"/>
        </w:rPr>
        <w:t>,</w:t>
      </w:r>
      <w:r w:rsidR="008D24E0" w:rsidRPr="004F681E">
        <w:rPr>
          <w:rFonts w:ascii="Arial" w:hAnsi="Arial" w:cs="Arial"/>
        </w:rPr>
        <w:t xml:space="preserve"> </w:t>
      </w:r>
      <w:r w:rsidR="00D35C41" w:rsidRPr="004F681E">
        <w:rPr>
          <w:rFonts w:ascii="Arial" w:hAnsi="Arial" w:cs="Arial"/>
        </w:rPr>
        <w:t xml:space="preserve">debido a </w:t>
      </w:r>
      <w:r w:rsidR="008D24E0" w:rsidRPr="004F681E">
        <w:rPr>
          <w:rFonts w:ascii="Arial" w:hAnsi="Arial" w:cs="Arial"/>
        </w:rPr>
        <w:t>que insertaba un sistema de distribución de riesgos que atentaba contra las reglas consagradas en el artículo 24 del Estatuto Contrataci</w:t>
      </w:r>
      <w:r w:rsidR="00BA2ABD" w:rsidRPr="004F681E">
        <w:rPr>
          <w:rFonts w:ascii="Arial" w:hAnsi="Arial" w:cs="Arial"/>
        </w:rPr>
        <w:t>ón Es</w:t>
      </w:r>
      <w:r w:rsidR="005F5B75" w:rsidRPr="004F681E">
        <w:rPr>
          <w:rFonts w:ascii="Arial" w:hAnsi="Arial" w:cs="Arial"/>
        </w:rPr>
        <w:t xml:space="preserve">tatal </w:t>
      </w:r>
      <w:r w:rsidRPr="004F681E">
        <w:rPr>
          <w:rFonts w:ascii="Arial" w:hAnsi="Arial" w:cs="Arial"/>
        </w:rPr>
        <w:t>a las que se hizo mención</w:t>
      </w:r>
      <w:r w:rsidR="00E3161E" w:rsidRPr="004F681E">
        <w:rPr>
          <w:rFonts w:ascii="Arial" w:hAnsi="Arial" w:cs="Arial"/>
        </w:rPr>
        <w:t>,</w:t>
      </w:r>
      <w:r w:rsidRPr="004F681E">
        <w:rPr>
          <w:rFonts w:ascii="Arial" w:hAnsi="Arial" w:cs="Arial"/>
        </w:rPr>
        <w:t xml:space="preserve"> </w:t>
      </w:r>
      <w:r w:rsidR="005F5B75" w:rsidRPr="004F681E">
        <w:rPr>
          <w:rFonts w:ascii="Arial" w:hAnsi="Arial" w:cs="Arial"/>
        </w:rPr>
        <w:t>por las razones que</w:t>
      </w:r>
      <w:r w:rsidR="00B02C81" w:rsidRPr="004F681E">
        <w:rPr>
          <w:rFonts w:ascii="Arial" w:hAnsi="Arial" w:cs="Arial"/>
        </w:rPr>
        <w:t>,</w:t>
      </w:r>
      <w:r w:rsidR="005F5B75" w:rsidRPr="004F681E">
        <w:rPr>
          <w:rFonts w:ascii="Arial" w:hAnsi="Arial" w:cs="Arial"/>
        </w:rPr>
        <w:t xml:space="preserve"> </w:t>
      </w:r>
      <w:r w:rsidR="0033359B" w:rsidRPr="004F681E">
        <w:rPr>
          <w:rFonts w:ascii="Arial" w:hAnsi="Arial" w:cs="Arial"/>
        </w:rPr>
        <w:t xml:space="preserve">por guardar similitud con el caso que se resuelve, </w:t>
      </w:r>
      <w:r w:rsidR="005F5B75" w:rsidRPr="004F681E">
        <w:rPr>
          <w:rFonts w:ascii="Arial" w:hAnsi="Arial" w:cs="Arial"/>
        </w:rPr>
        <w:t>se reiteran</w:t>
      </w:r>
      <w:r w:rsidR="005C6FCE" w:rsidRPr="004F681E">
        <w:rPr>
          <w:rFonts w:ascii="Arial" w:hAnsi="Arial" w:cs="Arial"/>
        </w:rPr>
        <w:t>:</w:t>
      </w:r>
    </w:p>
    <w:p w:rsidR="005C6FCE" w:rsidRPr="004F681E" w:rsidRDefault="005C6FCE" w:rsidP="005D4B04">
      <w:pPr>
        <w:spacing w:line="360" w:lineRule="auto"/>
        <w:jc w:val="both"/>
        <w:rPr>
          <w:rFonts w:ascii="Arial" w:hAnsi="Arial" w:cs="Arial"/>
        </w:rPr>
      </w:pPr>
    </w:p>
    <w:p w:rsidR="008828B9" w:rsidRPr="004F681E" w:rsidRDefault="005C6FCE" w:rsidP="00403492">
      <w:pPr>
        <w:ind w:left="567" w:right="567"/>
        <w:jc w:val="both"/>
        <w:rPr>
          <w:rFonts w:ascii="Arial" w:hAnsi="Arial" w:cs="Arial"/>
          <w:i/>
        </w:rPr>
      </w:pPr>
      <w:r w:rsidRPr="004F681E">
        <w:rPr>
          <w:rFonts w:ascii="Arial" w:hAnsi="Arial" w:cs="Arial"/>
          <w:i/>
        </w:rPr>
        <w:t>“</w:t>
      </w:r>
      <w:r w:rsidR="008828B9" w:rsidRPr="004F681E">
        <w:rPr>
          <w:rFonts w:ascii="Arial" w:hAnsi="Arial" w:cs="Arial"/>
          <w:i/>
        </w:rPr>
        <w:t xml:space="preserve">Ahora bien , si lo que se pretendía era que el contratista asumiera cualquier tipo de riesgo sin importar su magnitud y sin establecer los límites de sus alcances, resulta viable concluir que tal exigencia abandona por completo el criterio de justicia que debe permear el pliego de condiciones, pues resulta a todas luces inequitativo que se le exija al contratista la asunción de una carga cuya dimensión además de ser totalmente incierta y desconocida, en el caso de presentarse eventualmente podría llevarlo a un estado de desequilibrio económico respecto del cual, paradójicamente, la misma ley de contratación se encarga de fijar mecanismos obligatorios –y a la luz de la jurisprudencia del Consejo de Estado irrenunciables ex-ante- que procuren y garanticen su restablecimiento, garantías que por ningún motivo pueden ser desconocidas por la entidad pública so pretexto de la inclusión de la modalidad “considerando todo factor” en el análisis de precios unitarios. </w:t>
      </w:r>
    </w:p>
    <w:p w:rsidR="008828B9" w:rsidRPr="004F681E" w:rsidRDefault="008828B9" w:rsidP="00403492">
      <w:pPr>
        <w:ind w:left="567" w:right="567"/>
        <w:jc w:val="both"/>
        <w:rPr>
          <w:rFonts w:ascii="Arial" w:hAnsi="Arial" w:cs="Arial"/>
          <w:i/>
        </w:rPr>
      </w:pPr>
    </w:p>
    <w:p w:rsidR="008828B9" w:rsidRPr="004F681E" w:rsidRDefault="00403492" w:rsidP="00403492">
      <w:pPr>
        <w:ind w:left="567" w:right="567"/>
        <w:jc w:val="both"/>
        <w:rPr>
          <w:rFonts w:ascii="Arial" w:hAnsi="Arial" w:cs="Arial"/>
        </w:rPr>
      </w:pPr>
      <w:r w:rsidRPr="004F681E">
        <w:rPr>
          <w:rFonts w:ascii="Arial" w:hAnsi="Arial" w:cs="Arial"/>
          <w:i/>
        </w:rPr>
        <w:t>“</w:t>
      </w:r>
      <w:r w:rsidR="008828B9" w:rsidRPr="004F681E">
        <w:rPr>
          <w:rFonts w:ascii="Arial" w:hAnsi="Arial" w:cs="Arial"/>
          <w:i/>
        </w:rPr>
        <w:t xml:space="preserve">Por similares motivos puede concluirse que </w:t>
      </w:r>
      <w:r w:rsidR="008828B9" w:rsidRPr="004F681E">
        <w:rPr>
          <w:rFonts w:ascii="Arial" w:hAnsi="Arial" w:cs="Arial"/>
          <w:i/>
          <w:u w:val="single"/>
        </w:rPr>
        <w:t>la analizada exigencia entrañaba una regla orientada a que el contratista realizara ofrecimientos de extensión ilimitada en cuanto que, como se explicó, el desconocimiento de los riesgos que serían  asumidos por virtud de dicha cláusula llevaría a concluir que no existiría entonces límite alguno que pudiera servir de lindero para fijar las cargas que estarían en cabeza del futuro contratista, circunstancia que igual contraría la prohibición relativa a la existencia de cláusulas de imposible cumplimiento, comoquiera que no resulta posible asumir la ocurrencia de todo tipo de sucesos o eventualidades sin resultar quebrantado económicamente por cuenta de su acaecimiento</w:t>
      </w:r>
      <w:r w:rsidR="00EC2E42" w:rsidRPr="004F681E">
        <w:rPr>
          <w:rFonts w:ascii="Arial" w:hAnsi="Arial" w:cs="Arial"/>
          <w:i/>
        </w:rPr>
        <w:t>”</w:t>
      </w:r>
      <w:r w:rsidR="008828B9" w:rsidRPr="004F681E">
        <w:rPr>
          <w:rFonts w:ascii="Arial" w:hAnsi="Arial" w:cs="Arial"/>
          <w:i/>
        </w:rPr>
        <w:t xml:space="preserve">. </w:t>
      </w:r>
    </w:p>
    <w:p w:rsidR="008828B9" w:rsidRPr="004F681E" w:rsidRDefault="008828B9" w:rsidP="00D95FE8">
      <w:pPr>
        <w:jc w:val="both"/>
        <w:rPr>
          <w:rFonts w:ascii="Arial" w:hAnsi="Arial" w:cs="Arial"/>
        </w:rPr>
      </w:pPr>
    </w:p>
    <w:p w:rsidR="00391C20" w:rsidRDefault="00BF2FFE" w:rsidP="004F681E">
      <w:pPr>
        <w:pStyle w:val="NormalWeb"/>
        <w:spacing w:line="360" w:lineRule="auto"/>
        <w:jc w:val="both"/>
        <w:rPr>
          <w:rFonts w:ascii="Arial" w:hAnsi="Arial" w:cs="Arial"/>
        </w:rPr>
      </w:pPr>
      <w:r w:rsidRPr="004F681E">
        <w:rPr>
          <w:rFonts w:ascii="Arial" w:hAnsi="Arial" w:cs="Arial"/>
        </w:rPr>
        <w:t>Siguiendo esa misma línea de pensamiento</w:t>
      </w:r>
      <w:r w:rsidR="00E3161E" w:rsidRPr="004F681E">
        <w:rPr>
          <w:rFonts w:ascii="Arial" w:hAnsi="Arial" w:cs="Arial"/>
        </w:rPr>
        <w:t>,</w:t>
      </w:r>
      <w:r w:rsidRPr="004F681E">
        <w:rPr>
          <w:rFonts w:ascii="Arial" w:hAnsi="Arial" w:cs="Arial"/>
        </w:rPr>
        <w:t xml:space="preserve"> se</w:t>
      </w:r>
      <w:r w:rsidR="009806A0" w:rsidRPr="004F681E">
        <w:rPr>
          <w:rFonts w:ascii="Arial" w:hAnsi="Arial" w:cs="Arial"/>
        </w:rPr>
        <w:t xml:space="preserve"> agrega que tampoco resultaría ajustado a derecho asignar </w:t>
      </w:r>
      <w:r w:rsidR="00830207" w:rsidRPr="004F681E">
        <w:rPr>
          <w:rFonts w:ascii="Arial" w:hAnsi="Arial" w:cs="Arial"/>
        </w:rPr>
        <w:t>al concesionario</w:t>
      </w:r>
      <w:r w:rsidR="009806A0" w:rsidRPr="004F681E">
        <w:rPr>
          <w:rFonts w:ascii="Arial" w:hAnsi="Arial" w:cs="Arial"/>
        </w:rPr>
        <w:t xml:space="preserve"> </w:t>
      </w:r>
      <w:r w:rsidR="00830207" w:rsidRPr="004F681E">
        <w:rPr>
          <w:rFonts w:ascii="Arial" w:hAnsi="Arial" w:cs="Arial"/>
        </w:rPr>
        <w:t xml:space="preserve">la asunción de </w:t>
      </w:r>
      <w:r w:rsidR="009806A0" w:rsidRPr="004F681E">
        <w:rPr>
          <w:rFonts w:ascii="Arial" w:hAnsi="Arial" w:cs="Arial"/>
        </w:rPr>
        <w:t xml:space="preserve">los riesgos </w:t>
      </w:r>
      <w:r w:rsidR="00F408F4" w:rsidRPr="004F681E">
        <w:rPr>
          <w:rFonts w:ascii="Arial" w:hAnsi="Arial" w:cs="Arial"/>
        </w:rPr>
        <w:t>cuya concreción se derive</w:t>
      </w:r>
      <w:r w:rsidR="00830207" w:rsidRPr="004F681E">
        <w:rPr>
          <w:rFonts w:ascii="Arial" w:hAnsi="Arial" w:cs="Arial"/>
        </w:rPr>
        <w:t xml:space="preserve"> </w:t>
      </w:r>
      <w:r w:rsidRPr="004F681E">
        <w:rPr>
          <w:rFonts w:ascii="Arial" w:hAnsi="Arial" w:cs="Arial"/>
        </w:rPr>
        <w:t xml:space="preserve">directamente </w:t>
      </w:r>
      <w:r w:rsidR="00830207" w:rsidRPr="004F681E">
        <w:rPr>
          <w:rFonts w:ascii="Arial" w:hAnsi="Arial" w:cs="Arial"/>
        </w:rPr>
        <w:t xml:space="preserve">de la voluntad exclusiva de la entidad </w:t>
      </w:r>
      <w:r w:rsidR="00656503" w:rsidRPr="004F681E">
        <w:rPr>
          <w:rFonts w:ascii="Arial" w:hAnsi="Arial" w:cs="Arial"/>
        </w:rPr>
        <w:t xml:space="preserve">contratante </w:t>
      </w:r>
      <w:r w:rsidR="00830207" w:rsidRPr="004F681E">
        <w:rPr>
          <w:rFonts w:ascii="Arial" w:hAnsi="Arial" w:cs="Arial"/>
        </w:rPr>
        <w:t xml:space="preserve">y </w:t>
      </w:r>
      <w:r w:rsidR="009806A0" w:rsidRPr="004F681E">
        <w:rPr>
          <w:rFonts w:ascii="Arial" w:hAnsi="Arial" w:cs="Arial"/>
        </w:rPr>
        <w:t xml:space="preserve">que </w:t>
      </w:r>
      <w:r w:rsidR="00830207" w:rsidRPr="004F681E">
        <w:rPr>
          <w:rFonts w:ascii="Arial" w:hAnsi="Arial" w:cs="Arial"/>
        </w:rPr>
        <w:t xml:space="preserve">tuvieran la virtualidad de afectar la normal </w:t>
      </w:r>
      <w:r w:rsidR="009806A0" w:rsidRPr="004F681E">
        <w:rPr>
          <w:rFonts w:ascii="Arial" w:hAnsi="Arial" w:cs="Arial"/>
        </w:rPr>
        <w:t>ejecución</w:t>
      </w:r>
      <w:r w:rsidR="0080640A" w:rsidRPr="004F681E">
        <w:rPr>
          <w:rFonts w:ascii="Arial" w:hAnsi="Arial" w:cs="Arial"/>
        </w:rPr>
        <w:t xml:space="preserve"> del contrato. T</w:t>
      </w:r>
      <w:r w:rsidR="009C2A49" w:rsidRPr="004F681E">
        <w:rPr>
          <w:rFonts w:ascii="Arial" w:hAnsi="Arial" w:cs="Arial"/>
        </w:rPr>
        <w:t>al sería el caso de los supuesto</w:t>
      </w:r>
      <w:r w:rsidR="00D56830" w:rsidRPr="004F681E">
        <w:rPr>
          <w:rFonts w:ascii="Arial" w:hAnsi="Arial" w:cs="Arial"/>
        </w:rPr>
        <w:t>s de incumplimiento contractual</w:t>
      </w:r>
      <w:r w:rsidR="009806A0" w:rsidRPr="004F681E">
        <w:rPr>
          <w:rFonts w:ascii="Arial" w:hAnsi="Arial" w:cs="Arial"/>
        </w:rPr>
        <w:t xml:space="preserve"> </w:t>
      </w:r>
      <w:r w:rsidR="00D56830" w:rsidRPr="004F681E">
        <w:rPr>
          <w:rFonts w:ascii="Arial" w:hAnsi="Arial" w:cs="Arial"/>
        </w:rPr>
        <w:t xml:space="preserve">o de la ocurrencia de circunstancias </w:t>
      </w:r>
      <w:r w:rsidR="0080640A" w:rsidRPr="004F681E">
        <w:rPr>
          <w:rFonts w:ascii="Arial" w:hAnsi="Arial" w:cs="Arial"/>
        </w:rPr>
        <w:t>constitutivas de ruptura del equilibrio económico del contrato originadas en la actuación de la Administración contratante como se presentaría en los eventos del</w:t>
      </w:r>
      <w:r w:rsidR="00442B59" w:rsidRPr="004F681E">
        <w:rPr>
          <w:rFonts w:ascii="Arial" w:hAnsi="Arial" w:cs="Arial"/>
        </w:rPr>
        <w:t xml:space="preserve"> ejercicio del </w:t>
      </w:r>
      <w:r w:rsidR="00442B59" w:rsidRPr="004F681E">
        <w:rPr>
          <w:rFonts w:ascii="Arial" w:hAnsi="Arial" w:cs="Arial"/>
          <w:i/>
        </w:rPr>
        <w:t>ius variandi</w:t>
      </w:r>
      <w:r w:rsidR="0080640A" w:rsidRPr="004F681E">
        <w:rPr>
          <w:rFonts w:ascii="Arial" w:hAnsi="Arial" w:cs="Arial"/>
          <w:i/>
        </w:rPr>
        <w:t xml:space="preserve"> </w:t>
      </w:r>
      <w:r w:rsidR="0080640A" w:rsidRPr="004F681E">
        <w:rPr>
          <w:rFonts w:ascii="Arial" w:hAnsi="Arial" w:cs="Arial"/>
        </w:rPr>
        <w:t xml:space="preserve">o del hecho del príncipe. </w:t>
      </w:r>
    </w:p>
    <w:p w:rsidR="004F681E" w:rsidRPr="004F681E" w:rsidRDefault="004F681E" w:rsidP="004F681E">
      <w:pPr>
        <w:pStyle w:val="NormalWeb"/>
        <w:spacing w:before="0" w:beforeAutospacing="0" w:after="0" w:afterAutospacing="0" w:line="360" w:lineRule="auto"/>
        <w:jc w:val="both"/>
        <w:rPr>
          <w:rFonts w:ascii="Arial" w:hAnsi="Arial" w:cs="Arial"/>
        </w:rPr>
      </w:pPr>
    </w:p>
    <w:p w:rsidR="00391C20" w:rsidRDefault="00391C20" w:rsidP="004F681E">
      <w:pPr>
        <w:pStyle w:val="NormalWeb"/>
        <w:spacing w:before="0" w:beforeAutospacing="0" w:after="0" w:afterAutospacing="0" w:line="360" w:lineRule="auto"/>
        <w:jc w:val="both"/>
        <w:rPr>
          <w:rFonts w:ascii="Arial" w:hAnsi="Arial" w:cs="Arial"/>
        </w:rPr>
      </w:pPr>
      <w:r w:rsidRPr="004F681E">
        <w:rPr>
          <w:rFonts w:ascii="Arial" w:hAnsi="Arial" w:cs="Arial"/>
        </w:rPr>
        <w:t xml:space="preserve">Aceptar lo contrario, llevaría a una vulneración </w:t>
      </w:r>
      <w:r w:rsidR="00AA5566" w:rsidRPr="004F681E">
        <w:rPr>
          <w:rFonts w:ascii="Arial" w:hAnsi="Arial" w:cs="Arial"/>
        </w:rPr>
        <w:t xml:space="preserve">flagrante </w:t>
      </w:r>
      <w:r w:rsidR="00150712" w:rsidRPr="004F681E">
        <w:rPr>
          <w:rFonts w:ascii="Arial" w:hAnsi="Arial" w:cs="Arial"/>
        </w:rPr>
        <w:t xml:space="preserve">del artículo </w:t>
      </w:r>
      <w:r w:rsidR="00AA5566" w:rsidRPr="004F681E">
        <w:rPr>
          <w:rFonts w:ascii="Arial" w:hAnsi="Arial" w:cs="Arial"/>
        </w:rPr>
        <w:t xml:space="preserve">14 del Estatuto de Contratación Estatal, </w:t>
      </w:r>
      <w:r w:rsidR="003C4C3C" w:rsidRPr="004F681E">
        <w:rPr>
          <w:rFonts w:ascii="Arial" w:hAnsi="Arial" w:cs="Arial"/>
        </w:rPr>
        <w:t xml:space="preserve">del cual se desprende que </w:t>
      </w:r>
      <w:r w:rsidR="00AA5566" w:rsidRPr="004F681E">
        <w:rPr>
          <w:rFonts w:ascii="Arial" w:hAnsi="Arial" w:cs="Arial"/>
        </w:rPr>
        <w:t>e</w:t>
      </w:r>
      <w:r w:rsidR="00150712" w:rsidRPr="004F681E">
        <w:rPr>
          <w:rFonts w:ascii="Arial" w:hAnsi="Arial" w:cs="Arial"/>
        </w:rPr>
        <w:t xml:space="preserve">n los actos en que se ejerciten </w:t>
      </w:r>
      <w:r w:rsidR="0066632D" w:rsidRPr="004F681E">
        <w:rPr>
          <w:rFonts w:ascii="Arial" w:hAnsi="Arial" w:cs="Arial"/>
        </w:rPr>
        <w:t>la potestad excepcional de modificación unilateral</w:t>
      </w:r>
      <w:r w:rsidR="00150712" w:rsidRPr="004F681E">
        <w:rPr>
          <w:rFonts w:ascii="Arial" w:hAnsi="Arial" w:cs="Arial"/>
        </w:rPr>
        <w:t xml:space="preserve"> </w:t>
      </w:r>
      <w:r w:rsidR="0066632D" w:rsidRPr="004F681E">
        <w:rPr>
          <w:rFonts w:ascii="Arial" w:hAnsi="Arial" w:cs="Arial"/>
        </w:rPr>
        <w:t>“</w:t>
      </w:r>
      <w:r w:rsidR="00150712" w:rsidRPr="004F681E">
        <w:rPr>
          <w:rFonts w:ascii="Arial" w:hAnsi="Arial" w:cs="Arial"/>
          <w:i/>
        </w:rPr>
        <w:t>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r w:rsidR="0066632D" w:rsidRPr="004F681E">
        <w:rPr>
          <w:rFonts w:ascii="Arial" w:hAnsi="Arial" w:cs="Arial"/>
          <w:i/>
        </w:rPr>
        <w:t>”</w:t>
      </w:r>
      <w:r w:rsidR="00150712" w:rsidRPr="004F681E">
        <w:rPr>
          <w:rFonts w:ascii="Arial" w:hAnsi="Arial" w:cs="Arial"/>
        </w:rPr>
        <w:t>.</w:t>
      </w:r>
    </w:p>
    <w:p w:rsidR="004F681E" w:rsidRPr="004F681E" w:rsidRDefault="004F681E" w:rsidP="004F681E">
      <w:pPr>
        <w:pStyle w:val="NormalWeb"/>
        <w:spacing w:after="0" w:afterAutospacing="0" w:line="360" w:lineRule="auto"/>
        <w:jc w:val="both"/>
        <w:rPr>
          <w:rFonts w:ascii="Arial" w:hAnsi="Arial" w:cs="Arial"/>
        </w:rPr>
      </w:pPr>
    </w:p>
    <w:p w:rsidR="00D0562C" w:rsidRDefault="00656503" w:rsidP="004F681E">
      <w:pPr>
        <w:spacing w:line="360" w:lineRule="auto"/>
        <w:jc w:val="both"/>
        <w:rPr>
          <w:rFonts w:ascii="Arial" w:hAnsi="Arial" w:cs="Arial"/>
          <w:i/>
          <w:lang w:val="es-CO" w:eastAsia="es-CO"/>
        </w:rPr>
      </w:pPr>
      <w:r w:rsidRPr="004F681E">
        <w:rPr>
          <w:rFonts w:ascii="Arial" w:hAnsi="Arial" w:cs="Arial"/>
        </w:rPr>
        <w:t>La anterior premisa halla un asiento</w:t>
      </w:r>
      <w:r w:rsidR="00D0562C" w:rsidRPr="004F681E">
        <w:rPr>
          <w:rFonts w:ascii="Arial" w:hAnsi="Arial" w:cs="Arial"/>
        </w:rPr>
        <w:t xml:space="preserve"> jurídico igualmente en el </w:t>
      </w:r>
      <w:r w:rsidRPr="004F681E">
        <w:rPr>
          <w:rFonts w:ascii="Arial" w:hAnsi="Arial" w:cs="Arial"/>
          <w:bCs/>
          <w:lang w:val="es-CO" w:eastAsia="es-CO"/>
        </w:rPr>
        <w:t>cá</w:t>
      </w:r>
      <w:r w:rsidR="00AE2D01" w:rsidRPr="004F681E">
        <w:rPr>
          <w:rFonts w:ascii="Arial" w:hAnsi="Arial" w:cs="Arial"/>
          <w:bCs/>
          <w:lang w:val="es-CO" w:eastAsia="es-CO"/>
        </w:rPr>
        <w:t>non</w:t>
      </w:r>
      <w:r w:rsidR="00CB492E" w:rsidRPr="004F681E">
        <w:rPr>
          <w:rFonts w:ascii="Arial" w:hAnsi="Arial" w:cs="Arial"/>
          <w:bCs/>
          <w:lang w:val="es-CO" w:eastAsia="es-CO"/>
        </w:rPr>
        <w:t xml:space="preserve"> 1535 del Código Civil el cual consagra que </w:t>
      </w:r>
      <w:r w:rsidR="00D0562C" w:rsidRPr="004F681E">
        <w:rPr>
          <w:rFonts w:ascii="Arial" w:hAnsi="Arial" w:cs="Arial"/>
          <w:bCs/>
          <w:i/>
          <w:lang w:val="es-CO" w:eastAsia="es-CO"/>
        </w:rPr>
        <w:t xml:space="preserve">“son nulas las obligaciones </w:t>
      </w:r>
      <w:r w:rsidR="00D0562C" w:rsidRPr="004F681E">
        <w:rPr>
          <w:rFonts w:ascii="Arial" w:hAnsi="Arial" w:cs="Arial"/>
          <w:i/>
          <w:lang w:val="es-CO" w:eastAsia="es-CO"/>
        </w:rPr>
        <w:t>contraídas bajo una condición potestativa que consista en la mera voluntad de la persona que se obliga”.</w:t>
      </w:r>
      <w:r w:rsidR="00391C20" w:rsidRPr="004F681E">
        <w:rPr>
          <w:rFonts w:ascii="Arial" w:hAnsi="Arial" w:cs="Arial"/>
          <w:i/>
          <w:lang w:val="es-CO" w:eastAsia="es-CO"/>
        </w:rPr>
        <w:t xml:space="preserve"> </w:t>
      </w:r>
    </w:p>
    <w:p w:rsidR="004F681E" w:rsidRPr="004F681E" w:rsidRDefault="004F681E" w:rsidP="004F681E">
      <w:pPr>
        <w:spacing w:before="100" w:beforeAutospacing="1" w:line="360" w:lineRule="auto"/>
        <w:jc w:val="both"/>
        <w:rPr>
          <w:rFonts w:ascii="Arial" w:hAnsi="Arial" w:cs="Arial"/>
          <w:bCs/>
          <w:lang w:val="es-CO" w:eastAsia="es-CO"/>
        </w:rPr>
      </w:pPr>
    </w:p>
    <w:p w:rsidR="00F408F4" w:rsidRPr="004F681E" w:rsidRDefault="009B0FD5" w:rsidP="004F681E">
      <w:pPr>
        <w:pStyle w:val="NormalWeb"/>
        <w:spacing w:before="0" w:beforeAutospacing="0" w:after="0" w:afterAutospacing="0" w:line="360" w:lineRule="auto"/>
        <w:jc w:val="both"/>
        <w:rPr>
          <w:rFonts w:ascii="Arial" w:hAnsi="Arial" w:cs="Arial"/>
        </w:rPr>
      </w:pPr>
      <w:r w:rsidRPr="004F681E">
        <w:rPr>
          <w:rFonts w:ascii="Arial" w:hAnsi="Arial" w:cs="Arial"/>
        </w:rPr>
        <w:t xml:space="preserve">En relación </w:t>
      </w:r>
      <w:r w:rsidR="00B400BE" w:rsidRPr="004F681E">
        <w:rPr>
          <w:rFonts w:ascii="Arial" w:hAnsi="Arial" w:cs="Arial"/>
        </w:rPr>
        <w:t xml:space="preserve">con </w:t>
      </w:r>
      <w:r w:rsidR="00193A5F" w:rsidRPr="004F681E">
        <w:rPr>
          <w:rFonts w:ascii="Arial" w:hAnsi="Arial" w:cs="Arial"/>
        </w:rPr>
        <w:t>este tópico</w:t>
      </w:r>
      <w:r w:rsidR="00E3161E" w:rsidRPr="004F681E">
        <w:rPr>
          <w:rFonts w:ascii="Arial" w:hAnsi="Arial" w:cs="Arial"/>
        </w:rPr>
        <w:t>,</w:t>
      </w:r>
      <w:r w:rsidR="00193A5F" w:rsidRPr="004F681E">
        <w:rPr>
          <w:rFonts w:ascii="Arial" w:hAnsi="Arial" w:cs="Arial"/>
        </w:rPr>
        <w:t xml:space="preserve"> </w:t>
      </w:r>
      <w:r w:rsidRPr="004F681E">
        <w:rPr>
          <w:rFonts w:ascii="Arial" w:hAnsi="Arial" w:cs="Arial"/>
        </w:rPr>
        <w:t>concierne destacar que la</w:t>
      </w:r>
      <w:r w:rsidR="00F408F4" w:rsidRPr="004F681E">
        <w:rPr>
          <w:rFonts w:ascii="Arial" w:hAnsi="Arial" w:cs="Arial"/>
        </w:rPr>
        <w:t xml:space="preserve"> Sa</w:t>
      </w:r>
      <w:r w:rsidR="0039426E" w:rsidRPr="004F681E">
        <w:rPr>
          <w:rFonts w:ascii="Arial" w:hAnsi="Arial" w:cs="Arial"/>
        </w:rPr>
        <w:t>la de Consulta y</w:t>
      </w:r>
      <w:r w:rsidR="00F408F4" w:rsidRPr="004F681E">
        <w:rPr>
          <w:rFonts w:ascii="Arial" w:hAnsi="Arial" w:cs="Arial"/>
        </w:rPr>
        <w:t xml:space="preserve"> Servi</w:t>
      </w:r>
      <w:r w:rsidR="0039426E" w:rsidRPr="004F681E">
        <w:rPr>
          <w:rFonts w:ascii="Arial" w:hAnsi="Arial" w:cs="Arial"/>
        </w:rPr>
        <w:t>cio Civil del Consejo de Estado</w:t>
      </w:r>
      <w:r w:rsidR="00CC136B" w:rsidRPr="004F681E">
        <w:rPr>
          <w:rFonts w:ascii="Arial" w:hAnsi="Arial" w:cs="Arial"/>
        </w:rPr>
        <w:t xml:space="preserve"> ha </w:t>
      </w:r>
      <w:r w:rsidR="00DA18CE" w:rsidRPr="004F681E">
        <w:rPr>
          <w:rFonts w:ascii="Arial" w:hAnsi="Arial" w:cs="Arial"/>
        </w:rPr>
        <w:t xml:space="preserve">analizado </w:t>
      </w:r>
      <w:r w:rsidR="00DF2D2F" w:rsidRPr="004F681E">
        <w:rPr>
          <w:rFonts w:ascii="Arial" w:hAnsi="Arial" w:cs="Arial"/>
        </w:rPr>
        <w:t xml:space="preserve">la distribución de </w:t>
      </w:r>
      <w:r w:rsidR="000F0839" w:rsidRPr="004F681E">
        <w:rPr>
          <w:rFonts w:ascii="Arial" w:hAnsi="Arial" w:cs="Arial"/>
        </w:rPr>
        <w:t xml:space="preserve">los </w:t>
      </w:r>
      <w:r w:rsidR="00DF2D2F" w:rsidRPr="004F681E">
        <w:rPr>
          <w:rFonts w:ascii="Arial" w:hAnsi="Arial" w:cs="Arial"/>
        </w:rPr>
        <w:t>riesgos en el contrato de concesi</w:t>
      </w:r>
      <w:r w:rsidRPr="004F681E">
        <w:rPr>
          <w:rFonts w:ascii="Arial" w:hAnsi="Arial" w:cs="Arial"/>
        </w:rPr>
        <w:t xml:space="preserve">ón en punto al alcance </w:t>
      </w:r>
      <w:r w:rsidR="00413F9F" w:rsidRPr="004F681E">
        <w:rPr>
          <w:rFonts w:ascii="Arial" w:hAnsi="Arial" w:cs="Arial"/>
        </w:rPr>
        <w:t xml:space="preserve">de la definición que sobre su tipología establece </w:t>
      </w:r>
      <w:r w:rsidR="00DF2D2F" w:rsidRPr="004F681E">
        <w:rPr>
          <w:rFonts w:ascii="Arial" w:hAnsi="Arial" w:cs="Arial"/>
        </w:rPr>
        <w:t>el artículo 32 de la Ley de 80</w:t>
      </w:r>
      <w:r w:rsidR="00B400BE" w:rsidRPr="004F681E">
        <w:rPr>
          <w:rFonts w:ascii="Arial" w:hAnsi="Arial" w:cs="Arial"/>
        </w:rPr>
        <w:t xml:space="preserve"> y </w:t>
      </w:r>
      <w:r w:rsidR="00DA18CE" w:rsidRPr="004F681E">
        <w:rPr>
          <w:rFonts w:ascii="Arial" w:hAnsi="Arial" w:cs="Arial"/>
        </w:rPr>
        <w:t xml:space="preserve">en desarrollo de ese estudio </w:t>
      </w:r>
      <w:r w:rsidR="00B400BE" w:rsidRPr="004F681E">
        <w:rPr>
          <w:rFonts w:ascii="Arial" w:hAnsi="Arial" w:cs="Arial"/>
        </w:rPr>
        <w:t xml:space="preserve">ha considerado: </w:t>
      </w:r>
    </w:p>
    <w:p w:rsidR="00B400BE" w:rsidRPr="004F681E" w:rsidRDefault="00B400BE" w:rsidP="00B400BE">
      <w:pPr>
        <w:overflowPunct w:val="0"/>
        <w:autoSpaceDE w:val="0"/>
        <w:autoSpaceDN w:val="0"/>
        <w:adjustRightInd w:val="0"/>
        <w:spacing w:line="276" w:lineRule="auto"/>
        <w:ind w:left="567" w:right="567"/>
        <w:jc w:val="both"/>
        <w:textAlignment w:val="baseline"/>
        <w:rPr>
          <w:rFonts w:ascii="Arial" w:hAnsi="Arial" w:cs="Arial"/>
          <w:i/>
        </w:rPr>
      </w:pPr>
      <w:r w:rsidRPr="004F681E">
        <w:rPr>
          <w:rFonts w:ascii="Arial" w:hAnsi="Arial" w:cs="Arial"/>
          <w:i/>
        </w:rPr>
        <w:t>“Afirmar que en el contrato de concesión de obra pública, el concesionario asume la ejecución del objeto contractual “por su cuenta y riesgo”, más que referirse a los ingresos que pueda recibir el contratista con la financiación de la obra, en principio signifi</w:t>
      </w:r>
      <w:r w:rsidR="008E2EA5" w:rsidRPr="004F681E">
        <w:rPr>
          <w:rFonts w:ascii="Arial" w:hAnsi="Arial" w:cs="Arial"/>
          <w:i/>
        </w:rPr>
        <w:t>ca que</w:t>
      </w:r>
      <w:r w:rsidRPr="004F681E">
        <w:rPr>
          <w:rFonts w:ascii="Arial" w:hAnsi="Arial" w:cs="Arial"/>
          <w:i/>
        </w:rPr>
        <w:t xml:space="preserve"> la permanencia, disminución o aumento de los ingresos provenientes de la operación, que en la órbita contractual representa la remuneración del contratista, constituyen el riesgo del negocio que debe ser asumido por éste</w:t>
      </w:r>
      <w:r w:rsidRPr="004F681E">
        <w:rPr>
          <w:rFonts w:ascii="Arial" w:hAnsi="Arial" w:cs="Arial"/>
          <w:i/>
          <w:vertAlign w:val="superscript"/>
        </w:rPr>
        <w:footnoteReference w:id="65"/>
      </w:r>
      <w:r w:rsidRPr="004F681E">
        <w:rPr>
          <w:rFonts w:ascii="Arial" w:hAnsi="Arial" w:cs="Arial"/>
          <w:i/>
        </w:rPr>
        <w:t>, salvo en los casos en que la ejecución del contrato se altere por actos o acciones que hagan parte de la teoría de la imprevisión, del hecho  de la administración pública contratante, o por circunstancias derivadas del ejercicio de las atribuciones constitucionales o legales de una  autoridad pública distinta a la contratante (hecho del príncipe). Es decir, hechos que afecten el equilibrio económico del contrato.</w:t>
      </w:r>
    </w:p>
    <w:p w:rsidR="00727F5D" w:rsidRPr="004F681E" w:rsidRDefault="00727F5D" w:rsidP="003A3F00">
      <w:pPr>
        <w:pStyle w:val="NormalWeb"/>
        <w:spacing w:line="276" w:lineRule="auto"/>
        <w:ind w:left="567" w:right="567"/>
        <w:jc w:val="both"/>
        <w:rPr>
          <w:rFonts w:ascii="Arial" w:hAnsi="Arial" w:cs="Arial"/>
          <w:i/>
        </w:rPr>
      </w:pPr>
      <w:r w:rsidRPr="004F681E">
        <w:rPr>
          <w:rFonts w:ascii="Arial" w:hAnsi="Arial" w:cs="Arial"/>
          <w:i/>
        </w:rPr>
        <w:t>“(…</w:t>
      </w:r>
      <w:r w:rsidR="003A3F00" w:rsidRPr="004F681E">
        <w:rPr>
          <w:rFonts w:ascii="Arial" w:hAnsi="Arial" w:cs="Arial"/>
          <w:i/>
        </w:rPr>
        <w:t>)</w:t>
      </w:r>
      <w:r w:rsidRPr="004F681E">
        <w:rPr>
          <w:rFonts w:ascii="Arial" w:hAnsi="Arial" w:cs="Arial"/>
          <w:i/>
        </w:rPr>
        <w:t>.</w:t>
      </w:r>
    </w:p>
    <w:p w:rsidR="002F1EE9" w:rsidRDefault="00727F5D" w:rsidP="004F681E">
      <w:pPr>
        <w:pStyle w:val="NormalWeb"/>
        <w:spacing w:line="276" w:lineRule="auto"/>
        <w:ind w:left="567" w:right="567"/>
        <w:jc w:val="both"/>
        <w:rPr>
          <w:rFonts w:ascii="Arial" w:hAnsi="Arial" w:cs="Arial"/>
          <w:i/>
          <w:iCs/>
        </w:rPr>
      </w:pPr>
      <w:r w:rsidRPr="004F681E">
        <w:rPr>
          <w:rFonts w:ascii="Arial" w:hAnsi="Arial" w:cs="Arial"/>
          <w:i/>
          <w:iCs/>
        </w:rPr>
        <w:t>“Dentro de los riesgos no previsibles razonablemente y por tanto no trasladables a</w:t>
      </w:r>
      <w:r w:rsidR="00E3161E" w:rsidRPr="004F681E">
        <w:rPr>
          <w:rFonts w:ascii="Arial" w:hAnsi="Arial" w:cs="Arial"/>
          <w:i/>
          <w:iCs/>
        </w:rPr>
        <w:t>l concesionario se encuentran ‘</w:t>
      </w:r>
      <w:r w:rsidRPr="004F681E">
        <w:rPr>
          <w:rFonts w:ascii="Arial" w:hAnsi="Arial" w:cs="Arial"/>
          <w:i/>
          <w:iCs/>
        </w:rPr>
        <w:t>aquellos que son ajenos a la voluntad de las partes y están asociados a eventos imprevisibles e irresistibles que impiden a alguna de ellas el cumplimiento de una obligación determinada</w:t>
      </w:r>
      <w:r w:rsidR="00E3161E" w:rsidRPr="004F681E">
        <w:rPr>
          <w:rFonts w:ascii="Arial" w:hAnsi="Arial" w:cs="Arial"/>
          <w:i/>
          <w:iCs/>
        </w:rPr>
        <w:t>’</w:t>
      </w:r>
      <w:r w:rsidRPr="004F681E">
        <w:rPr>
          <w:rFonts w:ascii="Arial" w:hAnsi="Arial" w:cs="Arial"/>
          <w:i/>
          <w:iCs/>
        </w:rPr>
        <w:t>, que integran la noción de fuerza mayor o que hacen parte de la teoría de la imprevisión o del hecho del príncipe, según identificación que de los mismos hace el Documento CONPES 2775 de abril de 1995,  que  coincide con las definiciones del Código Civil</w:t>
      </w:r>
      <w:r w:rsidR="00B2506A" w:rsidRPr="004F681E">
        <w:rPr>
          <w:rFonts w:ascii="Arial" w:hAnsi="Arial" w:cs="Arial"/>
          <w:i/>
          <w:iCs/>
        </w:rPr>
        <w:t>”</w:t>
      </w:r>
      <w:r w:rsidR="00A6623D" w:rsidRPr="004F681E">
        <w:rPr>
          <w:rStyle w:val="Refdenotaalpie"/>
          <w:rFonts w:ascii="Arial" w:hAnsi="Arial" w:cs="Arial"/>
          <w:i/>
          <w:iCs/>
        </w:rPr>
        <w:footnoteReference w:id="66"/>
      </w:r>
      <w:r w:rsidR="00B2506A" w:rsidRPr="004F681E">
        <w:rPr>
          <w:rFonts w:ascii="Arial" w:hAnsi="Arial" w:cs="Arial"/>
          <w:i/>
          <w:iCs/>
        </w:rPr>
        <w:t>.</w:t>
      </w:r>
    </w:p>
    <w:p w:rsidR="004F681E" w:rsidRPr="004F681E" w:rsidRDefault="004F681E" w:rsidP="004F681E">
      <w:pPr>
        <w:pStyle w:val="NormalWeb"/>
        <w:spacing w:line="276" w:lineRule="auto"/>
        <w:ind w:left="567" w:right="567"/>
        <w:jc w:val="both"/>
        <w:rPr>
          <w:rFonts w:ascii="Arial" w:hAnsi="Arial" w:cs="Arial"/>
          <w:i/>
        </w:rPr>
      </w:pPr>
    </w:p>
    <w:p w:rsidR="00DA22F4" w:rsidRPr="004F681E" w:rsidRDefault="00B5146B" w:rsidP="00B5146B">
      <w:pPr>
        <w:spacing w:line="360" w:lineRule="auto"/>
        <w:jc w:val="both"/>
        <w:rPr>
          <w:rFonts w:ascii="Arial" w:hAnsi="Arial" w:cs="Arial"/>
        </w:rPr>
      </w:pPr>
      <w:r w:rsidRPr="004F681E">
        <w:rPr>
          <w:rFonts w:ascii="Arial" w:hAnsi="Arial" w:cs="Arial"/>
        </w:rPr>
        <w:t>A lo expuesto cabe agregarse que a la luz de la reforma normativa introducida al Estatuto de Contratación Estatal por cuenta de la expedición de la Ley 1150</w:t>
      </w:r>
      <w:r w:rsidR="005C1C4A" w:rsidRPr="004F681E">
        <w:rPr>
          <w:rStyle w:val="Refdenotaalpie"/>
          <w:rFonts w:ascii="Arial" w:hAnsi="Arial" w:cs="Arial"/>
        </w:rPr>
        <w:footnoteReference w:id="67"/>
      </w:r>
      <w:r w:rsidRPr="004F681E">
        <w:rPr>
          <w:rFonts w:ascii="Arial" w:hAnsi="Arial" w:cs="Arial"/>
        </w:rPr>
        <w:t xml:space="preserve"> de 2007 </w:t>
      </w:r>
      <w:r w:rsidR="005C1C4A" w:rsidRPr="004F681E">
        <w:rPr>
          <w:rFonts w:ascii="Arial" w:hAnsi="Arial" w:cs="Arial"/>
        </w:rPr>
        <w:t>que,</w:t>
      </w:r>
      <w:r w:rsidRPr="004F681E">
        <w:rPr>
          <w:rFonts w:ascii="Arial" w:hAnsi="Arial" w:cs="Arial"/>
        </w:rPr>
        <w:t xml:space="preserve"> aunque fue expedida con posterioridad a la </w:t>
      </w:r>
      <w:r w:rsidR="005C1C4A" w:rsidRPr="004F681E">
        <w:rPr>
          <w:rFonts w:ascii="Arial" w:hAnsi="Arial" w:cs="Arial"/>
        </w:rPr>
        <w:t>apertura del procedimiento de selección que tuvo como resultado la celebración del presente contrato conviene traerse a colocación por resultar de interés</w:t>
      </w:r>
      <w:r w:rsidRPr="004F681E">
        <w:rPr>
          <w:rFonts w:ascii="Arial" w:hAnsi="Arial" w:cs="Arial"/>
        </w:rPr>
        <w:t>, se prevé que durante la etapa precontractual debe diseñarse la respectiva matriz de riesgos que habrá de regir la vida del contrato</w:t>
      </w:r>
      <w:r w:rsidR="004269A0" w:rsidRPr="004F681E">
        <w:rPr>
          <w:rFonts w:ascii="Arial" w:hAnsi="Arial" w:cs="Arial"/>
        </w:rPr>
        <w:t xml:space="preserve"> y</w:t>
      </w:r>
      <w:r w:rsidR="00DA22F4" w:rsidRPr="004F681E">
        <w:rPr>
          <w:rFonts w:ascii="Arial" w:hAnsi="Arial" w:cs="Arial"/>
        </w:rPr>
        <w:t>,</w:t>
      </w:r>
      <w:r w:rsidR="008955D1" w:rsidRPr="004F681E">
        <w:rPr>
          <w:rFonts w:ascii="Arial" w:hAnsi="Arial" w:cs="Arial"/>
        </w:rPr>
        <w:t xml:space="preserve"> en mérito de ello</w:t>
      </w:r>
      <w:r w:rsidR="00DA22F4" w:rsidRPr="004F681E">
        <w:rPr>
          <w:rFonts w:ascii="Arial" w:hAnsi="Arial" w:cs="Arial"/>
        </w:rPr>
        <w:t>,</w:t>
      </w:r>
      <w:r w:rsidR="004269A0" w:rsidRPr="004F681E">
        <w:rPr>
          <w:rFonts w:ascii="Arial" w:hAnsi="Arial" w:cs="Arial"/>
        </w:rPr>
        <w:t xml:space="preserve"> le asiste </w:t>
      </w:r>
      <w:r w:rsidR="00F72AE8" w:rsidRPr="004F681E">
        <w:rPr>
          <w:rFonts w:ascii="Arial" w:hAnsi="Arial" w:cs="Arial"/>
        </w:rPr>
        <w:t xml:space="preserve">a la entidad </w:t>
      </w:r>
      <w:r w:rsidRPr="004F681E">
        <w:rPr>
          <w:rFonts w:ascii="Arial" w:hAnsi="Arial" w:cs="Arial"/>
        </w:rPr>
        <w:t>el deber de elaborar con precisión la identificación, tipificación y asignación de riesgos</w:t>
      </w:r>
      <w:r w:rsidR="00DA22F4" w:rsidRPr="004F681E">
        <w:rPr>
          <w:rFonts w:ascii="Arial" w:hAnsi="Arial" w:cs="Arial"/>
        </w:rPr>
        <w:t xml:space="preserve">, deber que en todo corresponde </w:t>
      </w:r>
      <w:r w:rsidRPr="004F681E">
        <w:rPr>
          <w:rFonts w:ascii="Arial" w:hAnsi="Arial" w:cs="Arial"/>
        </w:rPr>
        <w:t xml:space="preserve">ejercerse con </w:t>
      </w:r>
      <w:r w:rsidR="00DA22F4" w:rsidRPr="004F681E">
        <w:rPr>
          <w:rFonts w:ascii="Arial" w:hAnsi="Arial" w:cs="Arial"/>
        </w:rPr>
        <w:t xml:space="preserve">estricta </w:t>
      </w:r>
      <w:r w:rsidRPr="004F681E">
        <w:rPr>
          <w:rFonts w:ascii="Arial" w:hAnsi="Arial" w:cs="Arial"/>
        </w:rPr>
        <w:t xml:space="preserve">sujeción a los principios y reglas </w:t>
      </w:r>
      <w:r w:rsidR="00F72AE8" w:rsidRPr="004F681E">
        <w:rPr>
          <w:rFonts w:ascii="Arial" w:hAnsi="Arial" w:cs="Arial"/>
        </w:rPr>
        <w:t>que le sirven de apoyo</w:t>
      </w:r>
      <w:r w:rsidR="00DA22F4" w:rsidRPr="004F681E">
        <w:rPr>
          <w:rFonts w:ascii="Arial" w:hAnsi="Arial" w:cs="Arial"/>
        </w:rPr>
        <w:t>.</w:t>
      </w:r>
    </w:p>
    <w:p w:rsidR="00B5146B" w:rsidRPr="004F681E" w:rsidRDefault="00B5146B" w:rsidP="005D4B04">
      <w:pPr>
        <w:spacing w:line="360" w:lineRule="auto"/>
        <w:jc w:val="both"/>
        <w:rPr>
          <w:rFonts w:ascii="Arial" w:hAnsi="Arial" w:cs="Arial"/>
          <w:highlight w:val="lightGray"/>
          <w:lang w:val="es-CO"/>
        </w:rPr>
      </w:pPr>
    </w:p>
    <w:p w:rsidR="00676898" w:rsidRPr="004F681E" w:rsidRDefault="00333FBC" w:rsidP="005D4B04">
      <w:pPr>
        <w:spacing w:line="360" w:lineRule="auto"/>
        <w:jc w:val="both"/>
        <w:rPr>
          <w:rFonts w:ascii="Arial" w:hAnsi="Arial" w:cs="Arial"/>
          <w:lang w:val="es-CO"/>
        </w:rPr>
      </w:pPr>
      <w:r w:rsidRPr="004F681E">
        <w:rPr>
          <w:rFonts w:ascii="Arial" w:hAnsi="Arial" w:cs="Arial"/>
          <w:lang w:val="es-CO"/>
        </w:rPr>
        <w:t>Regresando a</w:t>
      </w:r>
      <w:r w:rsidR="00C43EF1" w:rsidRPr="004F681E">
        <w:rPr>
          <w:rFonts w:ascii="Arial" w:hAnsi="Arial" w:cs="Arial"/>
          <w:lang w:val="es-CO"/>
        </w:rPr>
        <w:t>l examen de la cláusu</w:t>
      </w:r>
      <w:r w:rsidR="009A414C" w:rsidRPr="004F681E">
        <w:rPr>
          <w:rFonts w:ascii="Arial" w:hAnsi="Arial" w:cs="Arial"/>
          <w:lang w:val="es-CO"/>
        </w:rPr>
        <w:t>la en referencia</w:t>
      </w:r>
      <w:r w:rsidR="00C059B1" w:rsidRPr="004F681E">
        <w:rPr>
          <w:rFonts w:ascii="Arial" w:hAnsi="Arial" w:cs="Arial"/>
          <w:lang w:val="es-CO"/>
        </w:rPr>
        <w:t>,</w:t>
      </w:r>
      <w:r w:rsidR="009A414C" w:rsidRPr="004F681E">
        <w:rPr>
          <w:rFonts w:ascii="Arial" w:hAnsi="Arial" w:cs="Arial"/>
          <w:lang w:val="es-CO"/>
        </w:rPr>
        <w:t xml:space="preserve"> es preciso al mismo tiempo</w:t>
      </w:r>
      <w:r w:rsidR="00C43EF1" w:rsidRPr="004F681E">
        <w:rPr>
          <w:rFonts w:ascii="Arial" w:hAnsi="Arial" w:cs="Arial"/>
          <w:lang w:val="es-CO"/>
        </w:rPr>
        <w:t xml:space="preserve"> acotar </w:t>
      </w:r>
      <w:r w:rsidR="009A414C" w:rsidRPr="004F681E">
        <w:rPr>
          <w:rFonts w:ascii="Arial" w:hAnsi="Arial" w:cs="Arial"/>
          <w:lang w:val="es-CO"/>
        </w:rPr>
        <w:t xml:space="preserve">que, según se desprende de su texto expreso, </w:t>
      </w:r>
      <w:r w:rsidR="00C43EF1" w:rsidRPr="004F681E">
        <w:rPr>
          <w:rFonts w:ascii="Arial" w:hAnsi="Arial" w:cs="Arial"/>
          <w:lang w:val="es-CO"/>
        </w:rPr>
        <w:t>al concesionario se le trasladaron</w:t>
      </w:r>
      <w:r w:rsidR="0026218E" w:rsidRPr="004F681E">
        <w:rPr>
          <w:rFonts w:ascii="Arial" w:hAnsi="Arial" w:cs="Arial"/>
          <w:lang w:val="es-CO"/>
        </w:rPr>
        <w:t xml:space="preserve"> todos</w:t>
      </w:r>
      <w:r w:rsidR="00C43EF1" w:rsidRPr="004F681E">
        <w:rPr>
          <w:rFonts w:ascii="Arial" w:hAnsi="Arial" w:cs="Arial"/>
          <w:lang w:val="es-CO"/>
        </w:rPr>
        <w:t xml:space="preserve"> los </w:t>
      </w:r>
      <w:r w:rsidR="00C43EF1" w:rsidRPr="004F681E">
        <w:rPr>
          <w:rFonts w:ascii="Arial" w:hAnsi="Arial" w:cs="Arial"/>
          <w:u w:val="single"/>
          <w:lang w:val="es-CO"/>
        </w:rPr>
        <w:t>riesgos inherentes a la ejecución del contrato</w:t>
      </w:r>
      <w:r w:rsidR="000F0839" w:rsidRPr="004F681E">
        <w:rPr>
          <w:rFonts w:ascii="Arial" w:hAnsi="Arial" w:cs="Arial"/>
          <w:lang w:val="es-CO"/>
        </w:rPr>
        <w:t xml:space="preserve">, cuestión que </w:t>
      </w:r>
      <w:r w:rsidR="00C43EF1" w:rsidRPr="004F681E">
        <w:rPr>
          <w:rFonts w:ascii="Arial" w:hAnsi="Arial" w:cs="Arial"/>
          <w:lang w:val="es-CO"/>
        </w:rPr>
        <w:t xml:space="preserve">de suyo lleva a concluir que </w:t>
      </w:r>
      <w:r w:rsidR="003C200A" w:rsidRPr="004F681E">
        <w:rPr>
          <w:rFonts w:ascii="Arial" w:hAnsi="Arial" w:cs="Arial"/>
          <w:lang w:val="es-CO"/>
        </w:rPr>
        <w:t xml:space="preserve">su asunción </w:t>
      </w:r>
      <w:r w:rsidR="000F0839" w:rsidRPr="004F681E">
        <w:rPr>
          <w:rFonts w:ascii="Arial" w:hAnsi="Arial" w:cs="Arial"/>
          <w:lang w:val="es-CO"/>
        </w:rPr>
        <w:t xml:space="preserve">se enmarcó dentro </w:t>
      </w:r>
      <w:r w:rsidR="009A414C" w:rsidRPr="004F681E">
        <w:rPr>
          <w:rFonts w:ascii="Arial" w:hAnsi="Arial" w:cs="Arial"/>
          <w:lang w:val="es-CO"/>
        </w:rPr>
        <w:t>del supuesto de ocurrencia de</w:t>
      </w:r>
      <w:r w:rsidR="000F0839" w:rsidRPr="004F681E">
        <w:rPr>
          <w:rFonts w:ascii="Arial" w:hAnsi="Arial" w:cs="Arial"/>
          <w:lang w:val="es-CO"/>
        </w:rPr>
        <w:t xml:space="preserve"> alteraciones</w:t>
      </w:r>
      <w:r w:rsidR="0026218E" w:rsidRPr="004F681E">
        <w:rPr>
          <w:rFonts w:ascii="Arial" w:hAnsi="Arial" w:cs="Arial"/>
          <w:lang w:val="es-CO"/>
        </w:rPr>
        <w:t xml:space="preserve"> </w:t>
      </w:r>
      <w:r w:rsidR="00CE2441" w:rsidRPr="004F681E">
        <w:rPr>
          <w:rFonts w:ascii="Arial" w:hAnsi="Arial" w:cs="Arial"/>
          <w:lang w:val="es-CO"/>
        </w:rPr>
        <w:t xml:space="preserve">razonablemente previsibles y </w:t>
      </w:r>
      <w:r w:rsidR="0026218E" w:rsidRPr="004F681E">
        <w:rPr>
          <w:rFonts w:ascii="Arial" w:hAnsi="Arial" w:cs="Arial"/>
          <w:lang w:val="es-CO"/>
        </w:rPr>
        <w:t>propias del á</w:t>
      </w:r>
      <w:r w:rsidR="000F0839" w:rsidRPr="004F681E">
        <w:rPr>
          <w:rFonts w:ascii="Arial" w:hAnsi="Arial" w:cs="Arial"/>
          <w:lang w:val="es-CO"/>
        </w:rPr>
        <w:t>lea normal del negocio suscrito que llegaren a producirse</w:t>
      </w:r>
      <w:r w:rsidR="009A414C" w:rsidRPr="004F681E">
        <w:rPr>
          <w:rFonts w:ascii="Arial" w:hAnsi="Arial" w:cs="Arial"/>
          <w:lang w:val="es-CO"/>
        </w:rPr>
        <w:t>,</w:t>
      </w:r>
      <w:r w:rsidR="000F0839" w:rsidRPr="004F681E">
        <w:rPr>
          <w:rFonts w:ascii="Arial" w:hAnsi="Arial" w:cs="Arial"/>
          <w:lang w:val="es-CO"/>
        </w:rPr>
        <w:t xml:space="preserve"> </w:t>
      </w:r>
      <w:r w:rsidR="00CE2441" w:rsidRPr="004F681E">
        <w:rPr>
          <w:rFonts w:ascii="Arial" w:hAnsi="Arial" w:cs="Arial"/>
          <w:lang w:val="es-CO"/>
        </w:rPr>
        <w:t>acaecidas dentro del escenario de las condiciones inicialmente pactadas, hecho qu</w:t>
      </w:r>
      <w:r w:rsidR="009D045B" w:rsidRPr="004F681E">
        <w:rPr>
          <w:rFonts w:ascii="Arial" w:hAnsi="Arial" w:cs="Arial"/>
          <w:lang w:val="es-CO"/>
        </w:rPr>
        <w:t>e no podría</w:t>
      </w:r>
      <w:r w:rsidR="00CE2441" w:rsidRPr="004F681E">
        <w:rPr>
          <w:rFonts w:ascii="Arial" w:hAnsi="Arial" w:cs="Arial"/>
          <w:lang w:val="es-CO"/>
        </w:rPr>
        <w:t xml:space="preserve"> hacerse extensivo a los eventos en que se altera</w:t>
      </w:r>
      <w:r w:rsidR="00B8664A" w:rsidRPr="004F681E">
        <w:rPr>
          <w:rFonts w:ascii="Arial" w:hAnsi="Arial" w:cs="Arial"/>
          <w:lang w:val="es-CO"/>
        </w:rPr>
        <w:t>ra</w:t>
      </w:r>
      <w:r w:rsidR="00CE2441" w:rsidRPr="004F681E">
        <w:rPr>
          <w:rFonts w:ascii="Arial" w:hAnsi="Arial" w:cs="Arial"/>
          <w:lang w:val="es-CO"/>
        </w:rPr>
        <w:t xml:space="preserve">n las condiciones iniciales por disposición del ente contratante. </w:t>
      </w:r>
    </w:p>
    <w:p w:rsidR="0066632D" w:rsidRPr="004F681E" w:rsidRDefault="0066632D" w:rsidP="005D4B04">
      <w:pPr>
        <w:spacing w:line="360" w:lineRule="auto"/>
        <w:jc w:val="both"/>
        <w:rPr>
          <w:rFonts w:ascii="Arial" w:hAnsi="Arial" w:cs="Arial"/>
          <w:lang w:val="es-CO"/>
        </w:rPr>
      </w:pPr>
    </w:p>
    <w:p w:rsidR="002C4C66" w:rsidRPr="004F681E" w:rsidRDefault="008A0BD0" w:rsidP="005D4B04">
      <w:pPr>
        <w:spacing w:line="360" w:lineRule="auto"/>
        <w:jc w:val="both"/>
        <w:rPr>
          <w:rFonts w:ascii="Arial" w:hAnsi="Arial" w:cs="Arial"/>
          <w:bCs/>
        </w:rPr>
      </w:pPr>
      <w:r w:rsidRPr="004F681E">
        <w:rPr>
          <w:rFonts w:ascii="Arial" w:hAnsi="Arial" w:cs="Arial"/>
          <w:lang w:val="es-CO"/>
        </w:rPr>
        <w:t>Dentro de esos riesgos</w:t>
      </w:r>
      <w:r w:rsidR="000C3D44" w:rsidRPr="004F681E">
        <w:rPr>
          <w:rStyle w:val="Refdenotaalpie"/>
          <w:rFonts w:ascii="Arial" w:hAnsi="Arial" w:cs="Arial"/>
          <w:lang w:val="es-CO"/>
        </w:rPr>
        <w:footnoteReference w:id="68"/>
      </w:r>
      <w:r w:rsidRPr="004F681E">
        <w:rPr>
          <w:rFonts w:ascii="Arial" w:hAnsi="Arial" w:cs="Arial"/>
          <w:lang w:val="es-CO"/>
        </w:rPr>
        <w:t xml:space="preserve"> inherentes a la ejecución del proyecto </w:t>
      </w:r>
      <w:r w:rsidR="002C4C66" w:rsidRPr="004F681E">
        <w:rPr>
          <w:rFonts w:ascii="Arial" w:hAnsi="Arial" w:cs="Arial"/>
          <w:lang w:val="es-CO"/>
        </w:rPr>
        <w:t>podría</w:t>
      </w:r>
      <w:r w:rsidRPr="004F681E">
        <w:rPr>
          <w:rFonts w:ascii="Arial" w:hAnsi="Arial" w:cs="Arial"/>
          <w:lang w:val="es-CO"/>
        </w:rPr>
        <w:t xml:space="preserve"> hallarse, por </w:t>
      </w:r>
      <w:r w:rsidR="007538E5" w:rsidRPr="004F681E">
        <w:rPr>
          <w:rFonts w:ascii="Arial" w:hAnsi="Arial" w:cs="Arial"/>
          <w:lang w:val="es-CO"/>
        </w:rPr>
        <w:t>ejemplo,</w:t>
      </w:r>
      <w:r w:rsidRPr="004F681E">
        <w:rPr>
          <w:rFonts w:ascii="Arial" w:hAnsi="Arial" w:cs="Arial"/>
          <w:lang w:val="es-CO"/>
        </w:rPr>
        <w:t xml:space="preserve"> el riesgo constructivo</w:t>
      </w:r>
      <w:r w:rsidR="00C059B1" w:rsidRPr="004F681E">
        <w:rPr>
          <w:rFonts w:ascii="Arial" w:hAnsi="Arial" w:cs="Arial"/>
          <w:lang w:val="es-CO"/>
        </w:rPr>
        <w:t>,</w:t>
      </w:r>
      <w:r w:rsidRPr="004F681E">
        <w:rPr>
          <w:rFonts w:ascii="Arial" w:hAnsi="Arial" w:cs="Arial"/>
          <w:lang w:val="es-CO"/>
        </w:rPr>
        <w:t xml:space="preserve"> </w:t>
      </w:r>
      <w:r w:rsidRPr="004F681E">
        <w:rPr>
          <w:rFonts w:ascii="Arial" w:hAnsi="Arial" w:cs="Arial"/>
          <w:bCs/>
        </w:rPr>
        <w:t>cuya noción hace referencia a</w:t>
      </w:r>
      <w:r w:rsidR="00167948" w:rsidRPr="004F681E">
        <w:rPr>
          <w:rFonts w:ascii="Arial" w:hAnsi="Arial" w:cs="Arial"/>
          <w:bCs/>
        </w:rPr>
        <w:t xml:space="preserve"> la variabilidad entre el monto</w:t>
      </w:r>
      <w:r w:rsidRPr="004F681E">
        <w:rPr>
          <w:rFonts w:ascii="Arial" w:hAnsi="Arial" w:cs="Arial"/>
          <w:bCs/>
        </w:rPr>
        <w:t xml:space="preserve"> y la oportunidad de costo de la inversión prevista</w:t>
      </w:r>
      <w:r w:rsidR="002C4C66" w:rsidRPr="004F681E">
        <w:rPr>
          <w:rFonts w:ascii="Arial" w:hAnsi="Arial" w:cs="Arial"/>
          <w:bCs/>
        </w:rPr>
        <w:t>. En este punto no puede perderse de vista que la primera fase del proyecto se destinó a la etapa de diseño, suministro e instalación de los elementos eléctricos que seguramente representó una inversión considerable para el contratista</w:t>
      </w:r>
      <w:r w:rsidRPr="004F681E">
        <w:rPr>
          <w:rFonts w:ascii="Arial" w:hAnsi="Arial" w:cs="Arial"/>
          <w:bCs/>
        </w:rPr>
        <w:t>.</w:t>
      </w:r>
      <w:r w:rsidR="00676898" w:rsidRPr="004F681E">
        <w:rPr>
          <w:rFonts w:ascii="Arial" w:hAnsi="Arial" w:cs="Arial"/>
          <w:bCs/>
        </w:rPr>
        <w:t xml:space="preserve"> </w:t>
      </w:r>
    </w:p>
    <w:p w:rsidR="002C4C66" w:rsidRPr="004F681E" w:rsidRDefault="002C4C66" w:rsidP="005D4B04">
      <w:pPr>
        <w:spacing w:line="360" w:lineRule="auto"/>
        <w:jc w:val="both"/>
        <w:rPr>
          <w:rFonts w:ascii="Arial" w:hAnsi="Arial" w:cs="Arial"/>
          <w:bCs/>
        </w:rPr>
      </w:pPr>
    </w:p>
    <w:p w:rsidR="00D32DF1" w:rsidRPr="004F681E" w:rsidRDefault="00D8293D" w:rsidP="005D4B04">
      <w:pPr>
        <w:spacing w:line="360" w:lineRule="auto"/>
        <w:jc w:val="both"/>
        <w:rPr>
          <w:rFonts w:ascii="Arial" w:hAnsi="Arial" w:cs="Arial"/>
          <w:bCs/>
        </w:rPr>
      </w:pPr>
      <w:r w:rsidRPr="004F681E">
        <w:rPr>
          <w:rFonts w:ascii="Arial" w:hAnsi="Arial" w:cs="Arial"/>
          <w:bCs/>
        </w:rPr>
        <w:t>En el</w:t>
      </w:r>
      <w:r w:rsidR="002C4C66" w:rsidRPr="004F681E">
        <w:rPr>
          <w:rFonts w:ascii="Arial" w:hAnsi="Arial" w:cs="Arial"/>
          <w:bCs/>
        </w:rPr>
        <w:t xml:space="preserve"> riesgo inherente</w:t>
      </w:r>
      <w:r w:rsidR="007538E5" w:rsidRPr="004F681E">
        <w:rPr>
          <w:rFonts w:ascii="Arial" w:hAnsi="Arial" w:cs="Arial"/>
          <w:bCs/>
        </w:rPr>
        <w:t xml:space="preserve"> también podría</w:t>
      </w:r>
      <w:r w:rsidRPr="004F681E">
        <w:rPr>
          <w:rFonts w:ascii="Arial" w:hAnsi="Arial" w:cs="Arial"/>
          <w:bCs/>
        </w:rPr>
        <w:t xml:space="preserve"> estar</w:t>
      </w:r>
      <w:r w:rsidR="007538E5" w:rsidRPr="004F681E">
        <w:rPr>
          <w:rFonts w:ascii="Arial" w:hAnsi="Arial" w:cs="Arial"/>
          <w:bCs/>
        </w:rPr>
        <w:t xml:space="preserve"> comprendido el riesgo comercial</w:t>
      </w:r>
      <w:r w:rsidR="00676898" w:rsidRPr="004F681E">
        <w:rPr>
          <w:rFonts w:ascii="Arial" w:hAnsi="Arial" w:cs="Arial"/>
          <w:bCs/>
        </w:rPr>
        <w:t xml:space="preserve"> del </w:t>
      </w:r>
      <w:r w:rsidR="007538E5" w:rsidRPr="004F681E">
        <w:rPr>
          <w:rFonts w:ascii="Arial" w:hAnsi="Arial" w:cs="Arial"/>
          <w:bCs/>
        </w:rPr>
        <w:t>proyecto</w:t>
      </w:r>
      <w:r w:rsidR="00C059B1" w:rsidRPr="004F681E">
        <w:rPr>
          <w:rFonts w:ascii="Arial" w:hAnsi="Arial" w:cs="Arial"/>
          <w:bCs/>
        </w:rPr>
        <w:t>,</w:t>
      </w:r>
      <w:r w:rsidR="007538E5" w:rsidRPr="004F681E">
        <w:rPr>
          <w:rFonts w:ascii="Arial" w:hAnsi="Arial" w:cs="Arial"/>
          <w:bCs/>
        </w:rPr>
        <w:t xml:space="preserve"> que </w:t>
      </w:r>
      <w:r w:rsidR="002C4C66" w:rsidRPr="004F681E">
        <w:rPr>
          <w:rFonts w:ascii="Arial" w:hAnsi="Arial" w:cs="Arial"/>
          <w:bCs/>
        </w:rPr>
        <w:t xml:space="preserve">gravita en torno a </w:t>
      </w:r>
      <w:r w:rsidR="00585D9D" w:rsidRPr="004F681E">
        <w:rPr>
          <w:rFonts w:ascii="Arial" w:hAnsi="Arial" w:cs="Arial"/>
          <w:bCs/>
        </w:rPr>
        <w:t>la fluctuación del retorno de la</w:t>
      </w:r>
      <w:r w:rsidR="007538E5" w:rsidRPr="004F681E">
        <w:rPr>
          <w:rFonts w:ascii="Arial" w:hAnsi="Arial" w:cs="Arial"/>
          <w:bCs/>
        </w:rPr>
        <w:t xml:space="preserve"> inversión presenta</w:t>
      </w:r>
      <w:r w:rsidR="002C4C66" w:rsidRPr="004F681E">
        <w:rPr>
          <w:rFonts w:ascii="Arial" w:hAnsi="Arial" w:cs="Arial"/>
          <w:bCs/>
        </w:rPr>
        <w:t>da</w:t>
      </w:r>
      <w:r w:rsidR="007538E5" w:rsidRPr="004F681E">
        <w:rPr>
          <w:rFonts w:ascii="Arial" w:hAnsi="Arial" w:cs="Arial"/>
          <w:bCs/>
        </w:rPr>
        <w:t xml:space="preserve"> en función del término </w:t>
      </w:r>
      <w:r w:rsidR="002C4C66" w:rsidRPr="004F681E">
        <w:rPr>
          <w:rFonts w:ascii="Arial" w:hAnsi="Arial" w:cs="Arial"/>
          <w:bCs/>
        </w:rPr>
        <w:t>que se demora en percibir el ingreso esperado</w:t>
      </w:r>
      <w:r w:rsidR="001D526C" w:rsidRPr="004F681E">
        <w:rPr>
          <w:rFonts w:ascii="Arial" w:hAnsi="Arial" w:cs="Arial"/>
          <w:bCs/>
        </w:rPr>
        <w:t xml:space="preserve"> y que se determina también por la mayor y menor demanda del objeto concesionado</w:t>
      </w:r>
      <w:r w:rsidR="00676898" w:rsidRPr="004F681E">
        <w:rPr>
          <w:rFonts w:ascii="Arial" w:hAnsi="Arial" w:cs="Arial"/>
          <w:bCs/>
        </w:rPr>
        <w:t>.</w:t>
      </w:r>
      <w:r w:rsidR="00D32DF1" w:rsidRPr="004F681E">
        <w:rPr>
          <w:rFonts w:ascii="Arial" w:hAnsi="Arial" w:cs="Arial"/>
          <w:bCs/>
        </w:rPr>
        <w:t xml:space="preserve"> Igualmente</w:t>
      </w:r>
      <w:r w:rsidR="00C059B1" w:rsidRPr="004F681E">
        <w:rPr>
          <w:rFonts w:ascii="Arial" w:hAnsi="Arial" w:cs="Arial"/>
          <w:bCs/>
        </w:rPr>
        <w:t>,</w:t>
      </w:r>
      <w:r w:rsidR="00D32DF1" w:rsidRPr="004F681E">
        <w:rPr>
          <w:rFonts w:ascii="Arial" w:hAnsi="Arial" w:cs="Arial"/>
          <w:bCs/>
        </w:rPr>
        <w:t xml:space="preserve"> se encontraría allí inmerso el riesgo de operación </w:t>
      </w:r>
      <w:r w:rsidR="00A80C97" w:rsidRPr="004F681E">
        <w:rPr>
          <w:rFonts w:ascii="Arial" w:hAnsi="Arial" w:cs="Arial"/>
          <w:bCs/>
        </w:rPr>
        <w:t>que estaría</w:t>
      </w:r>
      <w:r w:rsidR="00D32DF1" w:rsidRPr="004F681E">
        <w:rPr>
          <w:rFonts w:ascii="Arial" w:hAnsi="Arial" w:cs="Arial"/>
          <w:bCs/>
        </w:rPr>
        <w:t xml:space="preserve"> llamado a influir en </w:t>
      </w:r>
      <w:r w:rsidR="000C5DEC" w:rsidRPr="004F681E">
        <w:rPr>
          <w:rFonts w:ascii="Arial" w:hAnsi="Arial" w:cs="Arial"/>
          <w:bCs/>
        </w:rPr>
        <w:t xml:space="preserve">los costos e ingresos del proyecto </w:t>
      </w:r>
      <w:r w:rsidR="00761958" w:rsidRPr="004F681E">
        <w:rPr>
          <w:rFonts w:ascii="Arial" w:hAnsi="Arial" w:cs="Arial"/>
          <w:bCs/>
        </w:rPr>
        <w:t>y se origina en la variación de los parámetros de desempeño y productividad especificados</w:t>
      </w:r>
      <w:r w:rsidR="00283C00" w:rsidRPr="004F681E">
        <w:rPr>
          <w:rFonts w:ascii="Arial" w:hAnsi="Arial" w:cs="Arial"/>
          <w:bCs/>
        </w:rPr>
        <w:t>.</w:t>
      </w:r>
      <w:r w:rsidR="00761958" w:rsidRPr="004F681E">
        <w:rPr>
          <w:rFonts w:ascii="Arial" w:hAnsi="Arial" w:cs="Arial"/>
          <w:bCs/>
        </w:rPr>
        <w:t xml:space="preserve"> </w:t>
      </w:r>
    </w:p>
    <w:p w:rsidR="00516EB6" w:rsidRPr="004F681E" w:rsidRDefault="00516EB6" w:rsidP="00516EB6">
      <w:pPr>
        <w:spacing w:line="360" w:lineRule="auto"/>
        <w:jc w:val="both"/>
        <w:rPr>
          <w:rFonts w:ascii="Arial" w:hAnsi="Arial" w:cs="Arial"/>
          <w:lang w:val="es-CO"/>
        </w:rPr>
      </w:pPr>
    </w:p>
    <w:p w:rsidR="00516EB6" w:rsidRPr="004F681E" w:rsidRDefault="00585D9D" w:rsidP="00516EB6">
      <w:pPr>
        <w:spacing w:line="360" w:lineRule="auto"/>
        <w:jc w:val="both"/>
        <w:rPr>
          <w:rFonts w:ascii="Arial" w:hAnsi="Arial" w:cs="Arial"/>
          <w:lang w:val="es-CO"/>
        </w:rPr>
      </w:pPr>
      <w:r w:rsidRPr="004F681E">
        <w:rPr>
          <w:rFonts w:ascii="Arial" w:hAnsi="Arial" w:cs="Arial"/>
          <w:lang w:val="es-CO"/>
        </w:rPr>
        <w:t>Como conclusión, e</w:t>
      </w:r>
      <w:r w:rsidR="00516EB6" w:rsidRPr="004F681E">
        <w:rPr>
          <w:rFonts w:ascii="Arial" w:hAnsi="Arial" w:cs="Arial"/>
          <w:lang w:val="es-CO"/>
        </w:rPr>
        <w:t>n v</w:t>
      </w:r>
      <w:r w:rsidRPr="004F681E">
        <w:rPr>
          <w:rFonts w:ascii="Arial" w:hAnsi="Arial" w:cs="Arial"/>
          <w:lang w:val="es-CO"/>
        </w:rPr>
        <w:t>irtud de todo lo expuesto</w:t>
      </w:r>
      <w:r w:rsidR="00D35C41" w:rsidRPr="004F681E">
        <w:rPr>
          <w:rFonts w:ascii="Arial" w:hAnsi="Arial" w:cs="Arial"/>
          <w:lang w:val="es-CO"/>
        </w:rPr>
        <w:t xml:space="preserve"> </w:t>
      </w:r>
      <w:r w:rsidR="00516EB6" w:rsidRPr="004F681E">
        <w:rPr>
          <w:rFonts w:ascii="Arial" w:hAnsi="Arial" w:cs="Arial"/>
          <w:lang w:val="es-CO"/>
        </w:rPr>
        <w:t xml:space="preserve">la Sala </w:t>
      </w:r>
      <w:r w:rsidR="00D35C41" w:rsidRPr="004F681E">
        <w:rPr>
          <w:rFonts w:ascii="Arial" w:hAnsi="Arial" w:cs="Arial"/>
          <w:lang w:val="es-CO"/>
        </w:rPr>
        <w:t>no encuentra de recibo</w:t>
      </w:r>
      <w:r w:rsidR="00516EB6" w:rsidRPr="004F681E">
        <w:rPr>
          <w:rFonts w:ascii="Arial" w:hAnsi="Arial" w:cs="Arial"/>
          <w:lang w:val="es-CO"/>
        </w:rPr>
        <w:t xml:space="preserve"> el argumento de la defensa</w:t>
      </w:r>
      <w:r w:rsidR="00C059B1" w:rsidRPr="004F681E">
        <w:rPr>
          <w:rFonts w:ascii="Arial" w:hAnsi="Arial" w:cs="Arial"/>
          <w:lang w:val="es-CO"/>
        </w:rPr>
        <w:t>,</w:t>
      </w:r>
      <w:r w:rsidR="00516EB6" w:rsidRPr="004F681E">
        <w:rPr>
          <w:rFonts w:ascii="Arial" w:hAnsi="Arial" w:cs="Arial"/>
          <w:lang w:val="es-CO"/>
        </w:rPr>
        <w:t xml:space="preserve"> con apoyo en el cual sostuvo que el concesionario no pod</w:t>
      </w:r>
      <w:r w:rsidR="00D35C41" w:rsidRPr="004F681E">
        <w:rPr>
          <w:rFonts w:ascii="Arial" w:hAnsi="Arial" w:cs="Arial"/>
          <w:lang w:val="es-CO"/>
        </w:rPr>
        <w:t>r</w:t>
      </w:r>
      <w:r w:rsidR="00516EB6" w:rsidRPr="004F681E">
        <w:rPr>
          <w:rFonts w:ascii="Arial" w:hAnsi="Arial" w:cs="Arial"/>
          <w:lang w:val="es-CO"/>
        </w:rPr>
        <w:t xml:space="preserve">ía elevar reclamaciones derivadas de la ruptura del equilibrio económico del negocio por haber sido trasladados a él todos los riesgos inherentes a su ejecución. </w:t>
      </w:r>
    </w:p>
    <w:p w:rsidR="006F20B8" w:rsidRPr="004F681E" w:rsidRDefault="006F20B8" w:rsidP="005B0CCE">
      <w:pPr>
        <w:spacing w:line="360" w:lineRule="auto"/>
        <w:jc w:val="both"/>
        <w:rPr>
          <w:rFonts w:ascii="Arial" w:hAnsi="Arial" w:cs="Arial"/>
          <w:lang w:val="es-CO"/>
        </w:rPr>
      </w:pPr>
    </w:p>
    <w:p w:rsidR="00AC4304" w:rsidRPr="004F681E" w:rsidRDefault="00A9460A" w:rsidP="005B0CCE">
      <w:pPr>
        <w:spacing w:line="360" w:lineRule="auto"/>
        <w:jc w:val="both"/>
        <w:rPr>
          <w:rFonts w:ascii="Arial" w:hAnsi="Arial" w:cs="Arial"/>
          <w:lang w:val="es-CO"/>
        </w:rPr>
      </w:pPr>
      <w:r w:rsidRPr="004F681E">
        <w:rPr>
          <w:rFonts w:ascii="Arial" w:hAnsi="Arial" w:cs="Arial"/>
          <w:lang w:val="es-CO"/>
        </w:rPr>
        <w:t>Retomando el orden argumentativo abordado</w:t>
      </w:r>
      <w:r w:rsidR="00AC4304" w:rsidRPr="004F681E">
        <w:rPr>
          <w:rFonts w:ascii="Arial" w:hAnsi="Arial" w:cs="Arial"/>
          <w:lang w:val="es-CO"/>
        </w:rPr>
        <w:t xml:space="preserve"> se concluye que la entidad </w:t>
      </w:r>
      <w:r w:rsidR="00130288" w:rsidRPr="004F681E">
        <w:rPr>
          <w:rFonts w:ascii="Arial" w:hAnsi="Arial" w:cs="Arial"/>
          <w:lang w:val="es-CO"/>
        </w:rPr>
        <w:t xml:space="preserve">basó </w:t>
      </w:r>
      <w:r w:rsidR="00AC4304" w:rsidRPr="004F681E">
        <w:rPr>
          <w:rFonts w:ascii="Arial" w:hAnsi="Arial" w:cs="Arial"/>
          <w:lang w:val="es-CO"/>
        </w:rPr>
        <w:t xml:space="preserve">su negativa al reconocimiento y pago de los perjuicios solicitados en la ausencia de un supuesto </w:t>
      </w:r>
      <w:r w:rsidR="002A5C91" w:rsidRPr="004F681E">
        <w:rPr>
          <w:rFonts w:ascii="Arial" w:hAnsi="Arial" w:cs="Arial"/>
          <w:lang w:val="es-CO"/>
        </w:rPr>
        <w:t>di</w:t>
      </w:r>
      <w:r w:rsidR="009E6C86" w:rsidRPr="004F681E">
        <w:rPr>
          <w:rFonts w:ascii="Arial" w:hAnsi="Arial" w:cs="Arial"/>
          <w:lang w:val="es-CO"/>
        </w:rPr>
        <w:t>stinto al que ella misma se ciñó</w:t>
      </w:r>
      <w:r w:rsidR="0012790B" w:rsidRPr="004F681E">
        <w:rPr>
          <w:rFonts w:ascii="Arial" w:hAnsi="Arial" w:cs="Arial"/>
          <w:lang w:val="es-CO"/>
        </w:rPr>
        <w:t xml:space="preserve">. Es claro que el fundamento de su rechazó se edificó sobre la </w:t>
      </w:r>
      <w:r w:rsidR="0064769C" w:rsidRPr="004F681E">
        <w:rPr>
          <w:rFonts w:ascii="Arial" w:hAnsi="Arial" w:cs="Arial"/>
          <w:lang w:val="es-CO"/>
        </w:rPr>
        <w:t xml:space="preserve">intempestiva </w:t>
      </w:r>
      <w:r w:rsidR="0012790B" w:rsidRPr="004F681E">
        <w:rPr>
          <w:rFonts w:ascii="Arial" w:hAnsi="Arial" w:cs="Arial"/>
          <w:lang w:val="es-CO"/>
        </w:rPr>
        <w:t>variación de un</w:t>
      </w:r>
      <w:r w:rsidR="00321E64" w:rsidRPr="004F681E">
        <w:rPr>
          <w:rFonts w:ascii="Arial" w:hAnsi="Arial" w:cs="Arial"/>
          <w:lang w:val="es-CO"/>
        </w:rPr>
        <w:t>a</w:t>
      </w:r>
      <w:r w:rsidR="0012790B" w:rsidRPr="004F681E">
        <w:rPr>
          <w:rFonts w:ascii="Arial" w:hAnsi="Arial" w:cs="Arial"/>
          <w:lang w:val="es-CO"/>
        </w:rPr>
        <w:t xml:space="preserve"> regla por ella misma prestablecida</w:t>
      </w:r>
      <w:r w:rsidR="002A5C91" w:rsidRPr="004F681E">
        <w:rPr>
          <w:rFonts w:ascii="Arial" w:hAnsi="Arial" w:cs="Arial"/>
          <w:lang w:val="es-CO"/>
        </w:rPr>
        <w:t xml:space="preserve">, conducta </w:t>
      </w:r>
      <w:r w:rsidR="00203E6F" w:rsidRPr="004F681E">
        <w:rPr>
          <w:rFonts w:ascii="Arial" w:hAnsi="Arial" w:cs="Arial"/>
          <w:lang w:val="es-CO"/>
        </w:rPr>
        <w:t xml:space="preserve">que </w:t>
      </w:r>
      <w:r w:rsidR="002A5C91" w:rsidRPr="004F681E">
        <w:rPr>
          <w:rFonts w:ascii="Arial" w:hAnsi="Arial" w:cs="Arial"/>
          <w:lang w:val="es-CO"/>
        </w:rPr>
        <w:t>de modo alguno puede ser prohijada por esta instancia judicial</w:t>
      </w:r>
      <w:r w:rsidR="00532FF8" w:rsidRPr="004F681E">
        <w:rPr>
          <w:rFonts w:ascii="Arial" w:hAnsi="Arial" w:cs="Arial"/>
          <w:lang w:val="es-CO"/>
        </w:rPr>
        <w:t>,</w:t>
      </w:r>
      <w:r w:rsidR="002A5C91" w:rsidRPr="004F681E">
        <w:rPr>
          <w:rFonts w:ascii="Arial" w:hAnsi="Arial" w:cs="Arial"/>
          <w:lang w:val="es-CO"/>
        </w:rPr>
        <w:t xml:space="preserve"> en cuanto </w:t>
      </w:r>
      <w:r w:rsidR="00203E6F" w:rsidRPr="004F681E">
        <w:rPr>
          <w:rFonts w:ascii="Arial" w:hAnsi="Arial" w:cs="Arial"/>
          <w:lang w:val="es-CO"/>
        </w:rPr>
        <w:t xml:space="preserve">comportó </w:t>
      </w:r>
      <w:r w:rsidR="002A5C91" w:rsidRPr="004F681E">
        <w:rPr>
          <w:rFonts w:ascii="Arial" w:hAnsi="Arial" w:cs="Arial"/>
          <w:lang w:val="es-CO"/>
        </w:rPr>
        <w:t>un abierto desconocimiento del principio de confianza legítima y de buena fe contractual</w:t>
      </w:r>
      <w:r w:rsidR="00AC4304" w:rsidRPr="004F681E">
        <w:rPr>
          <w:rFonts w:ascii="Arial" w:hAnsi="Arial" w:cs="Arial"/>
          <w:lang w:val="es-CO"/>
        </w:rPr>
        <w:t xml:space="preserve">. </w:t>
      </w:r>
    </w:p>
    <w:p w:rsidR="004B4D87" w:rsidRPr="004F681E" w:rsidRDefault="004B4D87" w:rsidP="005B0CCE">
      <w:pPr>
        <w:spacing w:line="360" w:lineRule="auto"/>
        <w:jc w:val="both"/>
        <w:rPr>
          <w:rFonts w:ascii="Arial" w:hAnsi="Arial" w:cs="Arial"/>
          <w:lang w:val="es-CO"/>
        </w:rPr>
      </w:pPr>
    </w:p>
    <w:p w:rsidR="002A5C91" w:rsidRPr="004F681E" w:rsidRDefault="00320C2F" w:rsidP="005B0CCE">
      <w:pPr>
        <w:spacing w:line="360" w:lineRule="auto"/>
        <w:jc w:val="both"/>
        <w:rPr>
          <w:rFonts w:ascii="Arial" w:hAnsi="Arial" w:cs="Arial"/>
          <w:lang w:val="es-CO"/>
        </w:rPr>
      </w:pPr>
      <w:r w:rsidRPr="004F681E">
        <w:rPr>
          <w:rFonts w:ascii="Arial" w:hAnsi="Arial" w:cs="Arial"/>
          <w:lang w:val="es-CO"/>
        </w:rPr>
        <w:t xml:space="preserve">Un </w:t>
      </w:r>
      <w:r w:rsidR="00607257" w:rsidRPr="004F681E">
        <w:rPr>
          <w:rFonts w:ascii="Arial" w:hAnsi="Arial" w:cs="Arial"/>
          <w:lang w:val="es-CO"/>
        </w:rPr>
        <w:t>tercer elemento respecto de</w:t>
      </w:r>
      <w:r w:rsidR="00863442" w:rsidRPr="004F681E">
        <w:rPr>
          <w:rFonts w:ascii="Arial" w:hAnsi="Arial" w:cs="Arial"/>
          <w:lang w:val="es-CO"/>
        </w:rPr>
        <w:t xml:space="preserve">l cual debe indagarse </w:t>
      </w:r>
      <w:r w:rsidR="004E0FEA" w:rsidRPr="004F681E">
        <w:rPr>
          <w:rFonts w:ascii="Arial" w:hAnsi="Arial" w:cs="Arial"/>
          <w:lang w:val="es-CO"/>
        </w:rPr>
        <w:t xml:space="preserve">en esta oportunidad guarda relación con el período </w:t>
      </w:r>
      <w:r w:rsidR="00863442" w:rsidRPr="004F681E">
        <w:rPr>
          <w:rFonts w:ascii="Arial" w:hAnsi="Arial" w:cs="Arial"/>
          <w:lang w:val="es-CO"/>
        </w:rPr>
        <w:t xml:space="preserve">en el que </w:t>
      </w:r>
      <w:r w:rsidR="003E1076" w:rsidRPr="004F681E">
        <w:rPr>
          <w:rFonts w:ascii="Arial" w:hAnsi="Arial" w:cs="Arial"/>
          <w:lang w:val="es-CO"/>
        </w:rPr>
        <w:t xml:space="preserve">cesó la operación </w:t>
      </w:r>
      <w:r w:rsidR="002F33DE" w:rsidRPr="004F681E">
        <w:rPr>
          <w:rFonts w:ascii="Arial" w:hAnsi="Arial" w:cs="Arial"/>
          <w:lang w:val="es-CO"/>
        </w:rPr>
        <w:t>de la pantalla</w:t>
      </w:r>
      <w:r w:rsidR="008C22FF" w:rsidRPr="004F681E">
        <w:rPr>
          <w:rFonts w:ascii="Arial" w:hAnsi="Arial" w:cs="Arial"/>
          <w:lang w:val="es-CO"/>
        </w:rPr>
        <w:t xml:space="preserve"> y si el mismo se prolongó por causas imputables a la entidad</w:t>
      </w:r>
      <w:r w:rsidR="000E62CA" w:rsidRPr="004F681E">
        <w:rPr>
          <w:rFonts w:ascii="Arial" w:hAnsi="Arial" w:cs="Arial"/>
          <w:lang w:val="es-CO"/>
        </w:rPr>
        <w:t xml:space="preserve"> o al contratista</w:t>
      </w:r>
      <w:r w:rsidR="008C22FF" w:rsidRPr="004F681E">
        <w:rPr>
          <w:rFonts w:ascii="Arial" w:hAnsi="Arial" w:cs="Arial"/>
          <w:lang w:val="es-CO"/>
        </w:rPr>
        <w:t xml:space="preserve">. </w:t>
      </w:r>
    </w:p>
    <w:p w:rsidR="002A5C91" w:rsidRPr="004F681E" w:rsidRDefault="002A5C91" w:rsidP="005B0CCE">
      <w:pPr>
        <w:spacing w:line="360" w:lineRule="auto"/>
        <w:jc w:val="both"/>
        <w:rPr>
          <w:rFonts w:ascii="Arial" w:hAnsi="Arial" w:cs="Arial"/>
          <w:lang w:val="es-CO"/>
        </w:rPr>
      </w:pPr>
    </w:p>
    <w:p w:rsidR="00A23E06" w:rsidRPr="004F681E" w:rsidRDefault="007E74EF" w:rsidP="005B0CCE">
      <w:pPr>
        <w:spacing w:line="360" w:lineRule="auto"/>
        <w:jc w:val="both"/>
        <w:rPr>
          <w:rFonts w:ascii="Arial" w:hAnsi="Arial" w:cs="Arial"/>
          <w:lang w:val="es-CO"/>
        </w:rPr>
      </w:pPr>
      <w:r w:rsidRPr="004F681E">
        <w:rPr>
          <w:rFonts w:ascii="Arial" w:hAnsi="Arial" w:cs="Arial"/>
          <w:lang w:val="es-CO"/>
        </w:rPr>
        <w:t>A propósito de este asunto</w:t>
      </w:r>
      <w:r w:rsidR="00532FF8" w:rsidRPr="004F681E">
        <w:rPr>
          <w:rFonts w:ascii="Arial" w:hAnsi="Arial" w:cs="Arial"/>
          <w:lang w:val="es-CO"/>
        </w:rPr>
        <w:t>,</w:t>
      </w:r>
      <w:r w:rsidRPr="004F681E">
        <w:rPr>
          <w:rFonts w:ascii="Arial" w:hAnsi="Arial" w:cs="Arial"/>
          <w:lang w:val="es-CO"/>
        </w:rPr>
        <w:t xml:space="preserve"> </w:t>
      </w:r>
      <w:r w:rsidR="008C22FF" w:rsidRPr="004F681E">
        <w:rPr>
          <w:rFonts w:ascii="Arial" w:hAnsi="Arial" w:cs="Arial"/>
          <w:lang w:val="es-CO"/>
        </w:rPr>
        <w:t>se recuerda que</w:t>
      </w:r>
      <w:r w:rsidR="002F33DE" w:rsidRPr="004F681E">
        <w:rPr>
          <w:rFonts w:ascii="Arial" w:hAnsi="Arial" w:cs="Arial"/>
          <w:lang w:val="es-CO"/>
        </w:rPr>
        <w:t>, a l</w:t>
      </w:r>
      <w:r w:rsidR="008C22FF" w:rsidRPr="004F681E">
        <w:rPr>
          <w:rFonts w:ascii="Arial" w:hAnsi="Arial" w:cs="Arial"/>
          <w:lang w:val="es-CO"/>
        </w:rPr>
        <w:t>uz de las consideraciones de la</w:t>
      </w:r>
      <w:r w:rsidR="004E0FEA" w:rsidRPr="004F681E">
        <w:rPr>
          <w:rFonts w:ascii="Arial" w:hAnsi="Arial" w:cs="Arial"/>
          <w:lang w:val="es-CO"/>
        </w:rPr>
        <w:t xml:space="preserve"> </w:t>
      </w:r>
      <w:r w:rsidR="008C22FF" w:rsidRPr="004F681E">
        <w:rPr>
          <w:rFonts w:ascii="Arial" w:hAnsi="Arial" w:cs="Arial"/>
          <w:lang w:val="es-CO"/>
        </w:rPr>
        <w:t>sentencia impugnada, fue el concesionario el que con su conducta negligente y dilatoria retardó hasta abril de 2011 el recibo de la pantalla para continuar con su operación</w:t>
      </w:r>
      <w:r w:rsidR="0011040E" w:rsidRPr="004F681E">
        <w:rPr>
          <w:rFonts w:ascii="Arial" w:hAnsi="Arial" w:cs="Arial"/>
          <w:lang w:val="es-CO"/>
        </w:rPr>
        <w:t>,</w:t>
      </w:r>
      <w:r w:rsidR="008C22FF" w:rsidRPr="004F681E">
        <w:rPr>
          <w:rFonts w:ascii="Arial" w:hAnsi="Arial" w:cs="Arial"/>
          <w:lang w:val="es-CO"/>
        </w:rPr>
        <w:t xml:space="preserve"> no obstante que las obras de reinstalación se concluyeron desde diciembre del año anterior</w:t>
      </w:r>
      <w:r w:rsidR="0011040E" w:rsidRPr="004F681E">
        <w:rPr>
          <w:rFonts w:ascii="Arial" w:hAnsi="Arial" w:cs="Arial"/>
          <w:lang w:val="es-CO"/>
        </w:rPr>
        <w:t xml:space="preserve"> y a partir de entonces </w:t>
      </w:r>
      <w:r w:rsidR="003E1076" w:rsidRPr="004F681E">
        <w:rPr>
          <w:rFonts w:ascii="Arial" w:hAnsi="Arial" w:cs="Arial"/>
          <w:lang w:val="es-CO"/>
        </w:rPr>
        <w:t>el Instituto la dejó a su disposición</w:t>
      </w:r>
      <w:r w:rsidR="008C22FF" w:rsidRPr="004F681E">
        <w:rPr>
          <w:rFonts w:ascii="Arial" w:hAnsi="Arial" w:cs="Arial"/>
          <w:lang w:val="es-CO"/>
        </w:rPr>
        <w:t xml:space="preserve">. </w:t>
      </w:r>
    </w:p>
    <w:p w:rsidR="00532FF8" w:rsidRPr="004F681E" w:rsidRDefault="00532FF8" w:rsidP="005B0CCE">
      <w:pPr>
        <w:spacing w:line="360" w:lineRule="auto"/>
        <w:jc w:val="both"/>
        <w:rPr>
          <w:rFonts w:ascii="Arial" w:hAnsi="Arial" w:cs="Arial"/>
          <w:lang w:val="es-CO"/>
        </w:rPr>
      </w:pPr>
    </w:p>
    <w:p w:rsidR="006147D3" w:rsidRPr="004F681E" w:rsidRDefault="003E1076" w:rsidP="006147D3">
      <w:pPr>
        <w:spacing w:line="360" w:lineRule="auto"/>
        <w:jc w:val="both"/>
        <w:rPr>
          <w:rFonts w:ascii="Arial" w:hAnsi="Arial" w:cs="Arial"/>
          <w:lang w:val="es-CO"/>
        </w:rPr>
      </w:pPr>
      <w:r w:rsidRPr="004F681E">
        <w:rPr>
          <w:rFonts w:ascii="Arial" w:hAnsi="Arial" w:cs="Arial"/>
          <w:lang w:val="es-CO"/>
        </w:rPr>
        <w:t>En cuanto atañe a esta cuestión</w:t>
      </w:r>
      <w:r w:rsidR="00532FF8" w:rsidRPr="004F681E">
        <w:rPr>
          <w:rFonts w:ascii="Arial" w:hAnsi="Arial" w:cs="Arial"/>
          <w:lang w:val="es-CO"/>
        </w:rPr>
        <w:t>,</w:t>
      </w:r>
      <w:r w:rsidRPr="004F681E">
        <w:rPr>
          <w:rFonts w:ascii="Arial" w:hAnsi="Arial" w:cs="Arial"/>
          <w:lang w:val="es-CO"/>
        </w:rPr>
        <w:t xml:space="preserve"> la Sala estima necesario poner de </w:t>
      </w:r>
      <w:r w:rsidR="00A50823" w:rsidRPr="004F681E">
        <w:rPr>
          <w:rFonts w:ascii="Arial" w:hAnsi="Arial" w:cs="Arial"/>
          <w:lang w:val="es-CO"/>
        </w:rPr>
        <w:t xml:space="preserve">relieve </w:t>
      </w:r>
      <w:r w:rsidRPr="004F681E">
        <w:rPr>
          <w:rFonts w:ascii="Arial" w:hAnsi="Arial" w:cs="Arial"/>
          <w:lang w:val="es-CO"/>
        </w:rPr>
        <w:t xml:space="preserve">que </w:t>
      </w:r>
      <w:r w:rsidR="006147D3" w:rsidRPr="004F681E">
        <w:rPr>
          <w:rFonts w:ascii="Arial" w:hAnsi="Arial" w:cs="Arial"/>
          <w:lang w:val="es-CO"/>
        </w:rPr>
        <w:t>en el pl</w:t>
      </w:r>
      <w:r w:rsidR="00A50823" w:rsidRPr="004F681E">
        <w:rPr>
          <w:rFonts w:ascii="Arial" w:hAnsi="Arial" w:cs="Arial"/>
          <w:lang w:val="es-CO"/>
        </w:rPr>
        <w:t>iego de condiciones base de la Licitación P</w:t>
      </w:r>
      <w:r w:rsidR="006147D3" w:rsidRPr="004F681E">
        <w:rPr>
          <w:rFonts w:ascii="Arial" w:hAnsi="Arial" w:cs="Arial"/>
          <w:lang w:val="es-CO"/>
        </w:rPr>
        <w:t>ública No. IDRD-STP-LP 036-2006 que dio origen al presente contrato, en su numeral 6.1 se consagraron las siguientes obligaciones a cargo del concesionario</w:t>
      </w:r>
      <w:r w:rsidR="006147D3" w:rsidRPr="004F681E">
        <w:rPr>
          <w:rStyle w:val="Refdenotaalpie"/>
          <w:rFonts w:ascii="Arial" w:hAnsi="Arial" w:cs="Arial"/>
          <w:lang w:val="es-CO"/>
        </w:rPr>
        <w:footnoteReference w:id="69"/>
      </w:r>
      <w:r w:rsidR="006147D3" w:rsidRPr="004F681E">
        <w:rPr>
          <w:rFonts w:ascii="Arial" w:hAnsi="Arial" w:cs="Arial"/>
          <w:lang w:val="es-CO"/>
        </w:rPr>
        <w:t xml:space="preserve">: </w:t>
      </w:r>
    </w:p>
    <w:p w:rsidR="006147D3" w:rsidRPr="004F681E" w:rsidRDefault="006147D3" w:rsidP="006147D3">
      <w:pPr>
        <w:spacing w:line="360" w:lineRule="auto"/>
        <w:jc w:val="both"/>
        <w:rPr>
          <w:rFonts w:ascii="Arial" w:hAnsi="Arial" w:cs="Arial"/>
          <w:lang w:val="es-CO"/>
        </w:rPr>
      </w:pPr>
    </w:p>
    <w:p w:rsidR="006147D3" w:rsidRPr="004F681E" w:rsidRDefault="006147D3" w:rsidP="006147D3">
      <w:pPr>
        <w:spacing w:line="276" w:lineRule="auto"/>
        <w:ind w:left="567" w:right="567"/>
        <w:jc w:val="both"/>
        <w:rPr>
          <w:rFonts w:ascii="Arial" w:hAnsi="Arial" w:cs="Arial"/>
          <w:i/>
          <w:lang w:val="es-CO"/>
        </w:rPr>
      </w:pPr>
      <w:r w:rsidRPr="004F681E">
        <w:rPr>
          <w:rFonts w:ascii="Arial" w:hAnsi="Arial" w:cs="Arial"/>
          <w:i/>
          <w:lang w:val="es-CO"/>
        </w:rPr>
        <w:t>“-. Suministrar el bien objeto de esta licitación con las especificaciones técnicas mínimas requeridas.</w:t>
      </w:r>
    </w:p>
    <w:p w:rsidR="006147D3" w:rsidRPr="004F681E" w:rsidRDefault="006147D3" w:rsidP="006147D3">
      <w:pPr>
        <w:spacing w:line="276" w:lineRule="auto"/>
        <w:ind w:left="567" w:right="567"/>
        <w:jc w:val="both"/>
        <w:rPr>
          <w:rFonts w:ascii="Arial" w:hAnsi="Arial" w:cs="Arial"/>
          <w:i/>
          <w:lang w:val="es-CO"/>
        </w:rPr>
      </w:pPr>
    </w:p>
    <w:p w:rsidR="006147D3" w:rsidRPr="004F681E" w:rsidRDefault="006147D3" w:rsidP="006147D3">
      <w:pPr>
        <w:spacing w:line="276" w:lineRule="auto"/>
        <w:ind w:left="567" w:right="567"/>
        <w:jc w:val="both"/>
        <w:rPr>
          <w:rFonts w:ascii="Arial" w:hAnsi="Arial" w:cs="Arial"/>
          <w:i/>
          <w:lang w:val="es-CO"/>
        </w:rPr>
      </w:pPr>
      <w:r w:rsidRPr="004F681E">
        <w:rPr>
          <w:rFonts w:ascii="Arial" w:hAnsi="Arial" w:cs="Arial"/>
          <w:i/>
          <w:lang w:val="es-CO"/>
        </w:rPr>
        <w:t>“-. Entregar el bien con sus respectivos manuales de funcionamiento y operación en el lugar y fecha determinada por el IDRD, dentro del término establecido para la ejecución del plazo del contrato (suministro e instalación).</w:t>
      </w:r>
    </w:p>
    <w:p w:rsidR="006147D3" w:rsidRPr="004F681E" w:rsidRDefault="006147D3" w:rsidP="006147D3">
      <w:pPr>
        <w:spacing w:line="276" w:lineRule="auto"/>
        <w:ind w:left="567" w:right="567"/>
        <w:jc w:val="both"/>
        <w:rPr>
          <w:rFonts w:ascii="Arial" w:hAnsi="Arial" w:cs="Arial"/>
          <w:i/>
          <w:lang w:val="es-CO"/>
        </w:rPr>
      </w:pPr>
    </w:p>
    <w:p w:rsidR="006147D3" w:rsidRPr="004F681E" w:rsidRDefault="006147D3" w:rsidP="006147D3">
      <w:pPr>
        <w:pStyle w:val="Textonotapie"/>
        <w:spacing w:line="360" w:lineRule="auto"/>
        <w:ind w:left="567" w:right="567"/>
        <w:jc w:val="both"/>
        <w:rPr>
          <w:rFonts w:ascii="Arial" w:hAnsi="Arial" w:cs="Arial"/>
          <w:i/>
          <w:sz w:val="24"/>
          <w:szCs w:val="24"/>
          <w:lang w:val="es-CO"/>
        </w:rPr>
      </w:pPr>
      <w:r w:rsidRPr="004F681E">
        <w:rPr>
          <w:rFonts w:ascii="Arial" w:hAnsi="Arial" w:cs="Arial"/>
          <w:i/>
          <w:sz w:val="24"/>
          <w:szCs w:val="24"/>
          <w:lang w:val="es-CO"/>
        </w:rPr>
        <w:t>“-. Hacer la entrega del bien objeto de la presente licitación totalmente nuevo y probado”.</w:t>
      </w:r>
    </w:p>
    <w:p w:rsidR="00C664CE" w:rsidRPr="004F681E" w:rsidRDefault="00C664CE" w:rsidP="006147D3">
      <w:pPr>
        <w:pStyle w:val="Textonotapie"/>
        <w:spacing w:line="360" w:lineRule="auto"/>
        <w:ind w:left="567" w:right="567"/>
        <w:jc w:val="both"/>
        <w:rPr>
          <w:rFonts w:ascii="Arial" w:hAnsi="Arial" w:cs="Arial"/>
          <w:sz w:val="24"/>
          <w:szCs w:val="24"/>
          <w:lang w:val="es-CO"/>
        </w:rPr>
      </w:pPr>
    </w:p>
    <w:p w:rsidR="0011040E" w:rsidRDefault="00B47825" w:rsidP="0044597B">
      <w:pPr>
        <w:pStyle w:val="Textonotapie"/>
        <w:spacing w:line="360" w:lineRule="auto"/>
        <w:jc w:val="both"/>
        <w:rPr>
          <w:rFonts w:ascii="Arial" w:hAnsi="Arial" w:cs="Arial"/>
          <w:sz w:val="24"/>
          <w:szCs w:val="24"/>
          <w:lang w:val="es-CO"/>
        </w:rPr>
      </w:pPr>
      <w:r w:rsidRPr="004F681E">
        <w:rPr>
          <w:rFonts w:ascii="Arial" w:hAnsi="Arial" w:cs="Arial"/>
          <w:sz w:val="24"/>
          <w:szCs w:val="24"/>
          <w:lang w:val="es-CO"/>
        </w:rPr>
        <w:t xml:space="preserve">Igualmente, en la cláusula cuarta del contrato se convino que la primera etapa del plazo contractual sería de cuatro meses que </w:t>
      </w:r>
      <w:r w:rsidR="00C664CE" w:rsidRPr="004F681E">
        <w:rPr>
          <w:rFonts w:ascii="Arial" w:hAnsi="Arial" w:cs="Arial"/>
          <w:sz w:val="24"/>
          <w:szCs w:val="24"/>
          <w:lang w:val="es-CO"/>
        </w:rPr>
        <w:t xml:space="preserve">se </w:t>
      </w:r>
      <w:r w:rsidRPr="004F681E">
        <w:rPr>
          <w:rFonts w:ascii="Arial" w:hAnsi="Arial" w:cs="Arial"/>
          <w:sz w:val="24"/>
          <w:szCs w:val="24"/>
          <w:lang w:val="es-CO"/>
        </w:rPr>
        <w:t xml:space="preserve">destinarían para </w:t>
      </w:r>
      <w:r w:rsidR="00A50823" w:rsidRPr="004F681E">
        <w:rPr>
          <w:rFonts w:ascii="Arial" w:hAnsi="Arial" w:cs="Arial"/>
          <w:sz w:val="24"/>
          <w:szCs w:val="24"/>
          <w:lang w:val="es-CO"/>
        </w:rPr>
        <w:t xml:space="preserve">el </w:t>
      </w:r>
      <w:r w:rsidR="003A164B" w:rsidRPr="004F681E">
        <w:rPr>
          <w:rFonts w:ascii="Arial" w:hAnsi="Arial" w:cs="Arial"/>
          <w:sz w:val="24"/>
          <w:szCs w:val="24"/>
          <w:lang w:val="es-CO"/>
        </w:rPr>
        <w:t xml:space="preserve">suministro o instalación de las pantallas a cargo del concesionario. </w:t>
      </w:r>
      <w:r w:rsidR="006147D3" w:rsidRPr="004F681E">
        <w:rPr>
          <w:rFonts w:ascii="Arial" w:hAnsi="Arial" w:cs="Arial"/>
          <w:sz w:val="24"/>
          <w:szCs w:val="24"/>
          <w:lang w:val="es-CO"/>
        </w:rPr>
        <w:t>De allí s</w:t>
      </w:r>
      <w:r w:rsidR="00C664CE" w:rsidRPr="004F681E">
        <w:rPr>
          <w:rFonts w:ascii="Arial" w:hAnsi="Arial" w:cs="Arial"/>
          <w:sz w:val="24"/>
          <w:szCs w:val="24"/>
          <w:lang w:val="es-CO"/>
        </w:rPr>
        <w:t>e desprende que durante la</w:t>
      </w:r>
      <w:r w:rsidR="006147D3" w:rsidRPr="004F681E">
        <w:rPr>
          <w:rFonts w:ascii="Arial" w:hAnsi="Arial" w:cs="Arial"/>
          <w:sz w:val="24"/>
          <w:szCs w:val="24"/>
          <w:lang w:val="es-CO"/>
        </w:rPr>
        <w:t xml:space="preserve"> primera fase del C</w:t>
      </w:r>
      <w:r w:rsidR="005E6529" w:rsidRPr="004F681E">
        <w:rPr>
          <w:rFonts w:ascii="Arial" w:hAnsi="Arial" w:cs="Arial"/>
          <w:sz w:val="24"/>
          <w:szCs w:val="24"/>
          <w:lang w:val="es-CO"/>
        </w:rPr>
        <w:t xml:space="preserve">ontrato de </w:t>
      </w:r>
      <w:r w:rsidR="006147D3" w:rsidRPr="004F681E">
        <w:rPr>
          <w:rFonts w:ascii="Arial" w:hAnsi="Arial" w:cs="Arial"/>
          <w:sz w:val="24"/>
          <w:szCs w:val="24"/>
          <w:lang w:val="es-CO"/>
        </w:rPr>
        <w:t>C</w:t>
      </w:r>
      <w:r w:rsidR="005E6529" w:rsidRPr="004F681E">
        <w:rPr>
          <w:rFonts w:ascii="Arial" w:hAnsi="Arial" w:cs="Arial"/>
          <w:sz w:val="24"/>
          <w:szCs w:val="24"/>
          <w:lang w:val="es-CO"/>
        </w:rPr>
        <w:t>oncesión No. 475</w:t>
      </w:r>
      <w:r w:rsidR="003A164B" w:rsidRPr="004F681E">
        <w:rPr>
          <w:rFonts w:ascii="Arial" w:hAnsi="Arial" w:cs="Arial"/>
          <w:sz w:val="24"/>
          <w:szCs w:val="24"/>
          <w:lang w:val="es-CO"/>
        </w:rPr>
        <w:t xml:space="preserve">, al contratista le asistió </w:t>
      </w:r>
      <w:r w:rsidR="00C664CE" w:rsidRPr="004F681E">
        <w:rPr>
          <w:rFonts w:ascii="Arial" w:hAnsi="Arial" w:cs="Arial"/>
          <w:sz w:val="24"/>
          <w:szCs w:val="24"/>
          <w:lang w:val="es-CO"/>
        </w:rPr>
        <w:t xml:space="preserve">la obligación </w:t>
      </w:r>
      <w:r w:rsidR="003A164B" w:rsidRPr="004F681E">
        <w:rPr>
          <w:rFonts w:ascii="Arial" w:hAnsi="Arial" w:cs="Arial"/>
          <w:sz w:val="24"/>
          <w:szCs w:val="24"/>
          <w:lang w:val="es-CO"/>
        </w:rPr>
        <w:t xml:space="preserve">de suministrar, instalar y poner en funcionamiento las pantallas y tal cual fue efectuado por la unión temporal Publiestadios en las condiciones y términos pactados. </w:t>
      </w:r>
    </w:p>
    <w:p w:rsidR="004F681E" w:rsidRPr="004F681E" w:rsidRDefault="004F681E" w:rsidP="0044597B">
      <w:pPr>
        <w:pStyle w:val="Textonotapie"/>
        <w:spacing w:line="360" w:lineRule="auto"/>
        <w:jc w:val="both"/>
        <w:rPr>
          <w:rFonts w:ascii="Arial" w:hAnsi="Arial" w:cs="Arial"/>
          <w:sz w:val="24"/>
          <w:szCs w:val="24"/>
          <w:lang w:val="es-CO"/>
        </w:rPr>
      </w:pPr>
    </w:p>
    <w:p w:rsidR="00FB2141" w:rsidRPr="004F681E" w:rsidRDefault="003A164B" w:rsidP="00FB2141">
      <w:pPr>
        <w:spacing w:line="360" w:lineRule="auto"/>
        <w:jc w:val="both"/>
        <w:rPr>
          <w:rFonts w:ascii="Arial" w:hAnsi="Arial" w:cs="Arial"/>
          <w:lang w:val="es-CO"/>
        </w:rPr>
      </w:pPr>
      <w:r w:rsidRPr="004F681E">
        <w:rPr>
          <w:rFonts w:ascii="Arial" w:hAnsi="Arial" w:cs="Arial"/>
          <w:lang w:val="es-CO"/>
        </w:rPr>
        <w:t xml:space="preserve">Ahora bien, </w:t>
      </w:r>
      <w:r w:rsidR="0036323E" w:rsidRPr="004F681E">
        <w:rPr>
          <w:rFonts w:ascii="Arial" w:hAnsi="Arial" w:cs="Arial"/>
          <w:lang w:val="es-CO"/>
        </w:rPr>
        <w:t xml:space="preserve">en </w:t>
      </w:r>
      <w:r w:rsidR="003E1076" w:rsidRPr="004F681E">
        <w:rPr>
          <w:rFonts w:ascii="Arial" w:hAnsi="Arial" w:cs="Arial"/>
          <w:lang w:val="es-CO"/>
        </w:rPr>
        <w:t xml:space="preserve">el acto de modificación </w:t>
      </w:r>
      <w:r w:rsidR="001E18B5" w:rsidRPr="004F681E">
        <w:rPr>
          <w:rFonts w:ascii="Arial" w:hAnsi="Arial" w:cs="Arial"/>
          <w:lang w:val="es-CO"/>
        </w:rPr>
        <w:t>unilateral del contrato en el que el Instituto dispuso el cambio d</w:t>
      </w:r>
      <w:r w:rsidR="0036323E" w:rsidRPr="004F681E">
        <w:rPr>
          <w:rFonts w:ascii="Arial" w:hAnsi="Arial" w:cs="Arial"/>
          <w:lang w:val="es-CO"/>
        </w:rPr>
        <w:t xml:space="preserve">e lugar de la pantalla exterior, a la vez se </w:t>
      </w:r>
      <w:r w:rsidR="00FB2141" w:rsidRPr="004F681E">
        <w:rPr>
          <w:rFonts w:ascii="Arial" w:hAnsi="Arial" w:cs="Arial"/>
          <w:lang w:val="es-CO"/>
        </w:rPr>
        <w:t>consignó</w:t>
      </w:r>
      <w:r w:rsidR="0036323E" w:rsidRPr="004F681E">
        <w:rPr>
          <w:rFonts w:ascii="Arial" w:hAnsi="Arial" w:cs="Arial"/>
          <w:lang w:val="es-CO"/>
        </w:rPr>
        <w:t xml:space="preserve"> que sería la entidad la que por su cuenta y riesgo llevaría a cabo las actividades de desmonte, </w:t>
      </w:r>
      <w:r w:rsidR="00FB2141" w:rsidRPr="004F681E">
        <w:rPr>
          <w:rFonts w:ascii="Arial" w:hAnsi="Arial" w:cs="Arial"/>
          <w:lang w:val="es-CO"/>
        </w:rPr>
        <w:t xml:space="preserve">y posterior montaje del elemento electrónico </w:t>
      </w:r>
      <w:r w:rsidR="0011040E" w:rsidRPr="004F681E">
        <w:rPr>
          <w:rFonts w:ascii="Arial" w:hAnsi="Arial" w:cs="Arial"/>
          <w:lang w:val="es-CO"/>
        </w:rPr>
        <w:t xml:space="preserve">en </w:t>
      </w:r>
      <w:r w:rsidR="00FB2141" w:rsidRPr="004F681E">
        <w:rPr>
          <w:rFonts w:ascii="Arial" w:hAnsi="Arial" w:cs="Arial"/>
          <w:lang w:val="es-CO"/>
        </w:rPr>
        <w:t xml:space="preserve">la torre de iluminación </w:t>
      </w:r>
      <w:r w:rsidR="00A50823" w:rsidRPr="004F681E">
        <w:rPr>
          <w:rFonts w:ascii="Arial" w:hAnsi="Arial" w:cs="Arial"/>
          <w:lang w:val="es-CO"/>
        </w:rPr>
        <w:t>del costado sur occidental del e</w:t>
      </w:r>
      <w:r w:rsidR="00FB2141" w:rsidRPr="004F681E">
        <w:rPr>
          <w:rFonts w:ascii="Arial" w:hAnsi="Arial" w:cs="Arial"/>
          <w:lang w:val="es-CO"/>
        </w:rPr>
        <w:t xml:space="preserve">stadio Nemesio Camacho el </w:t>
      </w:r>
      <w:r w:rsidR="009870ED" w:rsidRPr="004F681E">
        <w:rPr>
          <w:rFonts w:ascii="Arial" w:hAnsi="Arial" w:cs="Arial"/>
          <w:lang w:val="es-CO"/>
        </w:rPr>
        <w:t>Campín</w:t>
      </w:r>
      <w:r w:rsidR="00FB2141" w:rsidRPr="004F681E">
        <w:rPr>
          <w:rFonts w:ascii="Arial" w:hAnsi="Arial" w:cs="Arial"/>
          <w:lang w:val="es-CO"/>
        </w:rPr>
        <w:t>.</w:t>
      </w:r>
    </w:p>
    <w:p w:rsidR="00C8449F" w:rsidRPr="004F681E" w:rsidRDefault="00C8449F" w:rsidP="00FB2141">
      <w:pPr>
        <w:spacing w:line="360" w:lineRule="auto"/>
        <w:jc w:val="both"/>
        <w:rPr>
          <w:rFonts w:ascii="Arial" w:hAnsi="Arial" w:cs="Arial"/>
          <w:lang w:val="es-CO"/>
        </w:rPr>
      </w:pPr>
    </w:p>
    <w:p w:rsidR="00C8449F" w:rsidRPr="004F681E" w:rsidRDefault="00C8449F" w:rsidP="00FB2141">
      <w:pPr>
        <w:spacing w:line="360" w:lineRule="auto"/>
        <w:jc w:val="both"/>
        <w:rPr>
          <w:rFonts w:ascii="Arial" w:hAnsi="Arial" w:cs="Arial"/>
          <w:lang w:val="es-CO"/>
        </w:rPr>
      </w:pPr>
      <w:r w:rsidRPr="004F681E">
        <w:rPr>
          <w:rFonts w:ascii="Arial" w:hAnsi="Arial" w:cs="Arial"/>
          <w:lang w:val="es-CO"/>
        </w:rPr>
        <w:t>Igualmente</w:t>
      </w:r>
      <w:r w:rsidR="00532FF8" w:rsidRPr="004F681E">
        <w:rPr>
          <w:rFonts w:ascii="Arial" w:hAnsi="Arial" w:cs="Arial"/>
          <w:lang w:val="es-CO"/>
        </w:rPr>
        <w:t>,</w:t>
      </w:r>
      <w:r w:rsidRPr="004F681E">
        <w:rPr>
          <w:rFonts w:ascii="Arial" w:hAnsi="Arial" w:cs="Arial"/>
          <w:lang w:val="es-CO"/>
        </w:rPr>
        <w:t xml:space="preserve"> se recuerda que el contratista procedió a la entrega de la pantalla</w:t>
      </w:r>
      <w:r w:rsidR="00921A0A" w:rsidRPr="004F681E">
        <w:rPr>
          <w:rFonts w:ascii="Arial" w:hAnsi="Arial" w:cs="Arial"/>
          <w:lang w:val="es-CO"/>
        </w:rPr>
        <w:t>, con su equipo y accesorios</w:t>
      </w:r>
      <w:r w:rsidRPr="004F681E">
        <w:rPr>
          <w:rFonts w:ascii="Arial" w:hAnsi="Arial" w:cs="Arial"/>
          <w:lang w:val="es-CO"/>
        </w:rPr>
        <w:t xml:space="preserve"> </w:t>
      </w:r>
      <w:r w:rsidR="00921A0A" w:rsidRPr="004F681E">
        <w:rPr>
          <w:rFonts w:ascii="Arial" w:hAnsi="Arial" w:cs="Arial"/>
          <w:lang w:val="es-CO"/>
        </w:rPr>
        <w:t>al IDRD</w:t>
      </w:r>
      <w:r w:rsidR="00532FF8" w:rsidRPr="004F681E">
        <w:rPr>
          <w:rFonts w:ascii="Arial" w:hAnsi="Arial" w:cs="Arial"/>
          <w:lang w:val="es-CO"/>
        </w:rPr>
        <w:t>,</w:t>
      </w:r>
      <w:r w:rsidR="00921A0A" w:rsidRPr="004F681E">
        <w:rPr>
          <w:rFonts w:ascii="Arial" w:hAnsi="Arial" w:cs="Arial"/>
          <w:lang w:val="es-CO"/>
        </w:rPr>
        <w:t xml:space="preserve"> </w:t>
      </w:r>
      <w:r w:rsidRPr="004F681E">
        <w:rPr>
          <w:rFonts w:ascii="Arial" w:hAnsi="Arial" w:cs="Arial"/>
          <w:lang w:val="es-CO"/>
        </w:rPr>
        <w:t xml:space="preserve">en diligencia del </w:t>
      </w:r>
      <w:r w:rsidR="00921A0A" w:rsidRPr="004F681E">
        <w:rPr>
          <w:rFonts w:ascii="Arial" w:hAnsi="Arial" w:cs="Arial"/>
          <w:lang w:val="es-CO"/>
        </w:rPr>
        <w:t>28 de septiembre de 2010</w:t>
      </w:r>
      <w:r w:rsidR="00532FF8" w:rsidRPr="004F681E">
        <w:rPr>
          <w:rFonts w:ascii="Arial" w:hAnsi="Arial" w:cs="Arial"/>
          <w:lang w:val="es-CO"/>
        </w:rPr>
        <w:t>,</w:t>
      </w:r>
      <w:r w:rsidR="00921A0A" w:rsidRPr="004F681E">
        <w:rPr>
          <w:rFonts w:ascii="Arial" w:hAnsi="Arial" w:cs="Arial"/>
          <w:lang w:val="es-CO"/>
        </w:rPr>
        <w:t xml:space="preserve"> en la cual se dejó expresa constancia de que la pantalla se recibía en buen estado y funciona</w:t>
      </w:r>
      <w:r w:rsidR="006342E2" w:rsidRPr="004F681E">
        <w:rPr>
          <w:rFonts w:ascii="Arial" w:hAnsi="Arial" w:cs="Arial"/>
          <w:lang w:val="es-CO"/>
        </w:rPr>
        <w:t>n</w:t>
      </w:r>
      <w:r w:rsidR="00921A0A" w:rsidRPr="004F681E">
        <w:rPr>
          <w:rFonts w:ascii="Arial" w:hAnsi="Arial" w:cs="Arial"/>
          <w:lang w:val="es-CO"/>
        </w:rPr>
        <w:t>do y</w:t>
      </w:r>
      <w:r w:rsidR="003A164B" w:rsidRPr="004F681E">
        <w:rPr>
          <w:rFonts w:ascii="Arial" w:hAnsi="Arial" w:cs="Arial"/>
          <w:lang w:val="es-CO"/>
        </w:rPr>
        <w:t>,</w:t>
      </w:r>
      <w:r w:rsidR="00921A0A" w:rsidRPr="004F681E">
        <w:rPr>
          <w:rFonts w:ascii="Arial" w:hAnsi="Arial" w:cs="Arial"/>
          <w:lang w:val="es-CO"/>
        </w:rPr>
        <w:t xml:space="preserve"> a su turno</w:t>
      </w:r>
      <w:r w:rsidR="003A164B" w:rsidRPr="004F681E">
        <w:rPr>
          <w:rFonts w:ascii="Arial" w:hAnsi="Arial" w:cs="Arial"/>
          <w:lang w:val="es-CO"/>
        </w:rPr>
        <w:t>,</w:t>
      </w:r>
      <w:r w:rsidR="00921A0A" w:rsidRPr="004F681E">
        <w:rPr>
          <w:rFonts w:ascii="Arial" w:hAnsi="Arial" w:cs="Arial"/>
          <w:lang w:val="es-CO"/>
        </w:rPr>
        <w:t xml:space="preserve"> sería devuelta en su nueva ubicación con todos los equipos instalados y funcionando en óptimas condiciones como había sido recibida.</w:t>
      </w:r>
    </w:p>
    <w:p w:rsidR="009B0F11" w:rsidRPr="004F681E" w:rsidRDefault="009B0F11" w:rsidP="00FB2141">
      <w:pPr>
        <w:spacing w:line="360" w:lineRule="auto"/>
        <w:jc w:val="both"/>
        <w:rPr>
          <w:rFonts w:ascii="Arial" w:hAnsi="Arial" w:cs="Arial"/>
          <w:lang w:val="es-CO"/>
        </w:rPr>
      </w:pPr>
    </w:p>
    <w:p w:rsidR="009B0F11" w:rsidRPr="004F681E" w:rsidRDefault="009B0F11" w:rsidP="00FB2141">
      <w:pPr>
        <w:spacing w:line="360" w:lineRule="auto"/>
        <w:jc w:val="both"/>
        <w:rPr>
          <w:rFonts w:ascii="Arial" w:hAnsi="Arial" w:cs="Arial"/>
          <w:lang w:val="es-CO"/>
        </w:rPr>
      </w:pPr>
      <w:r w:rsidRPr="004F681E">
        <w:rPr>
          <w:rFonts w:ascii="Arial" w:hAnsi="Arial" w:cs="Arial"/>
          <w:lang w:val="es-CO"/>
        </w:rPr>
        <w:t>Ahora bien, aun cuando las pruebas qu</w:t>
      </w:r>
      <w:r w:rsidR="00EA55F0" w:rsidRPr="004F681E">
        <w:rPr>
          <w:rFonts w:ascii="Arial" w:hAnsi="Arial" w:cs="Arial"/>
          <w:lang w:val="es-CO"/>
        </w:rPr>
        <w:t>e reposan en el plenario dan cuenta</w:t>
      </w:r>
      <w:r w:rsidR="00532FF8" w:rsidRPr="004F681E">
        <w:rPr>
          <w:rFonts w:ascii="Arial" w:hAnsi="Arial" w:cs="Arial"/>
          <w:lang w:val="es-CO"/>
        </w:rPr>
        <w:t xml:space="preserve"> de</w:t>
      </w:r>
      <w:r w:rsidR="00EA55F0" w:rsidRPr="004F681E">
        <w:rPr>
          <w:rFonts w:ascii="Arial" w:hAnsi="Arial" w:cs="Arial"/>
          <w:lang w:val="es-CO"/>
        </w:rPr>
        <w:t xml:space="preserve"> que desde noviembre de 2010 culminaron las actividades de desmonte, traslado y montaje de la pantalla en su nuevo lugar de ubicación y desde entonces la entidad requirió al contratista para su recibo, lo cierto es que en lo sucesivo se presentaron varias diligencias </w:t>
      </w:r>
      <w:r w:rsidR="00C664CE" w:rsidRPr="004F681E">
        <w:rPr>
          <w:rFonts w:ascii="Arial" w:hAnsi="Arial" w:cs="Arial"/>
          <w:lang w:val="es-CO"/>
        </w:rPr>
        <w:t>de inspección técnica que debieron</w:t>
      </w:r>
      <w:r w:rsidR="00EA55F0" w:rsidRPr="004F681E">
        <w:rPr>
          <w:rFonts w:ascii="Arial" w:hAnsi="Arial" w:cs="Arial"/>
          <w:lang w:val="es-CO"/>
        </w:rPr>
        <w:t xml:space="preserve"> llevarse a cabo por el contratista </w:t>
      </w:r>
      <w:r w:rsidR="00A50823" w:rsidRPr="004F681E">
        <w:rPr>
          <w:rFonts w:ascii="Arial" w:hAnsi="Arial" w:cs="Arial"/>
          <w:lang w:val="es-CO"/>
        </w:rPr>
        <w:t xml:space="preserve">con el fin de </w:t>
      </w:r>
      <w:r w:rsidR="00532FF8" w:rsidRPr="004F681E">
        <w:rPr>
          <w:rFonts w:ascii="Arial" w:hAnsi="Arial" w:cs="Arial"/>
          <w:lang w:val="es-CO"/>
        </w:rPr>
        <w:t>verificar el estado</w:t>
      </w:r>
      <w:r w:rsidR="00EA55F0" w:rsidRPr="004F681E">
        <w:rPr>
          <w:rFonts w:ascii="Arial" w:hAnsi="Arial" w:cs="Arial"/>
          <w:lang w:val="es-CO"/>
        </w:rPr>
        <w:t xml:space="preserve"> en que </w:t>
      </w:r>
      <w:r w:rsidR="00532FF8" w:rsidRPr="004F681E">
        <w:rPr>
          <w:rFonts w:ascii="Arial" w:hAnsi="Arial" w:cs="Arial"/>
          <w:lang w:val="es-CO"/>
        </w:rPr>
        <w:t xml:space="preserve">para esos momentos </w:t>
      </w:r>
      <w:r w:rsidR="00EA55F0" w:rsidRPr="004F681E">
        <w:rPr>
          <w:rFonts w:ascii="Arial" w:hAnsi="Arial" w:cs="Arial"/>
          <w:lang w:val="es-CO"/>
        </w:rPr>
        <w:t>se encontraba la pantalla, así como la correcta ejecución de las obras de su reinstalación.</w:t>
      </w:r>
    </w:p>
    <w:p w:rsidR="00EA55F0" w:rsidRPr="004F681E" w:rsidRDefault="00EA55F0" w:rsidP="00FB2141">
      <w:pPr>
        <w:spacing w:line="360" w:lineRule="auto"/>
        <w:jc w:val="both"/>
        <w:rPr>
          <w:rFonts w:ascii="Arial" w:hAnsi="Arial" w:cs="Arial"/>
          <w:lang w:val="es-CO"/>
        </w:rPr>
      </w:pPr>
    </w:p>
    <w:p w:rsidR="006E169C" w:rsidRPr="004F681E" w:rsidRDefault="00C664CE" w:rsidP="00FB2141">
      <w:pPr>
        <w:spacing w:line="360" w:lineRule="auto"/>
        <w:jc w:val="both"/>
        <w:rPr>
          <w:rFonts w:ascii="Arial" w:hAnsi="Arial" w:cs="Arial"/>
          <w:lang w:val="es-CO"/>
        </w:rPr>
      </w:pPr>
      <w:r w:rsidRPr="004F681E">
        <w:rPr>
          <w:rFonts w:ascii="Arial" w:hAnsi="Arial" w:cs="Arial"/>
          <w:lang w:val="es-CO"/>
        </w:rPr>
        <w:t>Pues bien, a</w:t>
      </w:r>
      <w:r w:rsidR="00333E1A" w:rsidRPr="004F681E">
        <w:rPr>
          <w:rFonts w:ascii="Arial" w:hAnsi="Arial" w:cs="Arial"/>
          <w:lang w:val="es-CO"/>
        </w:rPr>
        <w:t xml:space="preserve"> diferencia de lo considerado por el Tribunal </w:t>
      </w:r>
      <w:r w:rsidR="00333E1A" w:rsidRPr="004F681E">
        <w:rPr>
          <w:rFonts w:ascii="Arial" w:hAnsi="Arial" w:cs="Arial"/>
          <w:i/>
          <w:lang w:val="es-CO"/>
        </w:rPr>
        <w:t>a quo</w:t>
      </w:r>
      <w:r w:rsidR="00333E1A" w:rsidRPr="004F681E">
        <w:rPr>
          <w:rFonts w:ascii="Arial" w:hAnsi="Arial" w:cs="Arial"/>
          <w:lang w:val="es-CO"/>
        </w:rPr>
        <w:t>, n</w:t>
      </w:r>
      <w:r w:rsidR="00EA55F0" w:rsidRPr="004F681E">
        <w:rPr>
          <w:rFonts w:ascii="Arial" w:hAnsi="Arial" w:cs="Arial"/>
          <w:lang w:val="es-CO"/>
        </w:rPr>
        <w:t xml:space="preserve">o encuentra la Sala que dichas labores de inspección </w:t>
      </w:r>
      <w:r w:rsidR="00333E1A" w:rsidRPr="004F681E">
        <w:rPr>
          <w:rFonts w:ascii="Arial" w:hAnsi="Arial" w:cs="Arial"/>
          <w:lang w:val="es-CO"/>
        </w:rPr>
        <w:t xml:space="preserve">técnica </w:t>
      </w:r>
      <w:r w:rsidR="00EA55F0" w:rsidRPr="004F681E">
        <w:rPr>
          <w:rFonts w:ascii="Arial" w:hAnsi="Arial" w:cs="Arial"/>
          <w:lang w:val="es-CO"/>
        </w:rPr>
        <w:t xml:space="preserve">sobre la pantalla hubieran obedecido al capricho injustificado </w:t>
      </w:r>
      <w:r w:rsidR="00876805" w:rsidRPr="004F681E">
        <w:rPr>
          <w:rFonts w:ascii="Arial" w:hAnsi="Arial" w:cs="Arial"/>
          <w:lang w:val="es-CO"/>
        </w:rPr>
        <w:t xml:space="preserve">o dilatorio </w:t>
      </w:r>
      <w:r w:rsidR="00EA55F0" w:rsidRPr="004F681E">
        <w:rPr>
          <w:rFonts w:ascii="Arial" w:hAnsi="Arial" w:cs="Arial"/>
          <w:lang w:val="es-CO"/>
        </w:rPr>
        <w:t>del concesionario.</w:t>
      </w:r>
    </w:p>
    <w:p w:rsidR="006E169C" w:rsidRPr="004F681E" w:rsidRDefault="006E169C" w:rsidP="00FB2141">
      <w:pPr>
        <w:spacing w:line="360" w:lineRule="auto"/>
        <w:jc w:val="both"/>
        <w:rPr>
          <w:rFonts w:ascii="Arial" w:hAnsi="Arial" w:cs="Arial"/>
          <w:lang w:val="es-CO"/>
        </w:rPr>
      </w:pPr>
    </w:p>
    <w:p w:rsidR="00EA55F0" w:rsidRPr="004F681E" w:rsidRDefault="00532FF8" w:rsidP="00FB2141">
      <w:pPr>
        <w:spacing w:line="360" w:lineRule="auto"/>
        <w:jc w:val="both"/>
        <w:rPr>
          <w:rFonts w:ascii="Arial" w:hAnsi="Arial" w:cs="Arial"/>
          <w:lang w:val="es-CO"/>
        </w:rPr>
      </w:pPr>
      <w:r w:rsidRPr="004F681E">
        <w:rPr>
          <w:rFonts w:ascii="Arial" w:hAnsi="Arial" w:cs="Arial"/>
          <w:lang w:val="es-CO"/>
        </w:rPr>
        <w:t>Por el contrario, como</w:t>
      </w:r>
      <w:r w:rsidR="00EA55F0" w:rsidRPr="004F681E">
        <w:rPr>
          <w:rFonts w:ascii="Arial" w:hAnsi="Arial" w:cs="Arial"/>
          <w:lang w:val="es-CO"/>
        </w:rPr>
        <w:t xml:space="preserve"> administrado</w:t>
      </w:r>
      <w:r w:rsidR="00333E1A" w:rsidRPr="004F681E">
        <w:rPr>
          <w:rFonts w:ascii="Arial" w:hAnsi="Arial" w:cs="Arial"/>
          <w:lang w:val="es-CO"/>
        </w:rPr>
        <w:t>r</w:t>
      </w:r>
      <w:r w:rsidR="00EA55F0" w:rsidRPr="004F681E">
        <w:rPr>
          <w:rFonts w:ascii="Arial" w:hAnsi="Arial" w:cs="Arial"/>
          <w:lang w:val="es-CO"/>
        </w:rPr>
        <w:t xml:space="preserve"> de sus negocios le asistía la carga y el deber de verificar el estado en el que se le entregaba la pantalla, más </w:t>
      </w:r>
      <w:r w:rsidR="002433A1" w:rsidRPr="004F681E">
        <w:rPr>
          <w:rFonts w:ascii="Arial" w:hAnsi="Arial" w:cs="Arial"/>
          <w:lang w:val="es-CO"/>
        </w:rPr>
        <w:t>aún</w:t>
      </w:r>
      <w:r w:rsidR="006E169C" w:rsidRPr="004F681E">
        <w:rPr>
          <w:rFonts w:ascii="Arial" w:hAnsi="Arial" w:cs="Arial"/>
          <w:lang w:val="es-CO"/>
        </w:rPr>
        <w:t xml:space="preserve"> cuando la instalación </w:t>
      </w:r>
      <w:r w:rsidR="00C664CE" w:rsidRPr="004F681E">
        <w:rPr>
          <w:rFonts w:ascii="Arial" w:hAnsi="Arial" w:cs="Arial"/>
          <w:lang w:val="es-CO"/>
        </w:rPr>
        <w:t>inicial del artefacto</w:t>
      </w:r>
      <w:r w:rsidR="006E169C" w:rsidRPr="004F681E">
        <w:rPr>
          <w:rFonts w:ascii="Arial" w:hAnsi="Arial" w:cs="Arial"/>
          <w:lang w:val="es-CO"/>
        </w:rPr>
        <w:t xml:space="preserve"> se había llevado a cabo en óptimas condiciones por el contratista y era de esperarse que correlativamente las </w:t>
      </w:r>
      <w:r w:rsidR="00EA55F0" w:rsidRPr="004F681E">
        <w:rPr>
          <w:rFonts w:ascii="Arial" w:hAnsi="Arial" w:cs="Arial"/>
          <w:lang w:val="es-CO"/>
        </w:rPr>
        <w:t xml:space="preserve">obras de reubicación </w:t>
      </w:r>
      <w:r w:rsidR="006E169C" w:rsidRPr="004F681E">
        <w:rPr>
          <w:rFonts w:ascii="Arial" w:hAnsi="Arial" w:cs="Arial"/>
          <w:lang w:val="es-CO"/>
        </w:rPr>
        <w:t xml:space="preserve">posteriormente realizadas </w:t>
      </w:r>
      <w:r w:rsidR="00EA55F0" w:rsidRPr="004F681E">
        <w:rPr>
          <w:rFonts w:ascii="Arial" w:hAnsi="Arial" w:cs="Arial"/>
          <w:lang w:val="es-CO"/>
        </w:rPr>
        <w:t>por cue</w:t>
      </w:r>
      <w:r w:rsidR="006E169C" w:rsidRPr="004F681E">
        <w:rPr>
          <w:rFonts w:ascii="Arial" w:hAnsi="Arial" w:cs="Arial"/>
          <w:lang w:val="es-CO"/>
        </w:rPr>
        <w:t xml:space="preserve">nta y riesgo de la contratante se ejecutaran de la misma manera, dado que solo así podría continuar con la normal ejecución del contrato de concesión. </w:t>
      </w:r>
    </w:p>
    <w:p w:rsidR="00F04DCD" w:rsidRPr="004F681E" w:rsidRDefault="00F04DCD" w:rsidP="00FB2141">
      <w:pPr>
        <w:spacing w:line="360" w:lineRule="auto"/>
        <w:jc w:val="both"/>
        <w:rPr>
          <w:rFonts w:ascii="Arial" w:hAnsi="Arial" w:cs="Arial"/>
          <w:lang w:val="es-CO"/>
        </w:rPr>
      </w:pPr>
    </w:p>
    <w:p w:rsidR="001D5246" w:rsidRPr="004F681E" w:rsidRDefault="00B23B26" w:rsidP="001D5246">
      <w:pPr>
        <w:spacing w:line="360" w:lineRule="auto"/>
        <w:jc w:val="both"/>
        <w:rPr>
          <w:rFonts w:ascii="Arial" w:hAnsi="Arial" w:cs="Arial"/>
          <w:lang w:val="es-CO"/>
        </w:rPr>
      </w:pPr>
      <w:r w:rsidRPr="004F681E">
        <w:rPr>
          <w:rFonts w:ascii="Arial" w:hAnsi="Arial" w:cs="Arial"/>
          <w:lang w:val="es-CO"/>
        </w:rPr>
        <w:t>Siguiendo el estudio de</w:t>
      </w:r>
      <w:r w:rsidR="00A50823" w:rsidRPr="004F681E">
        <w:rPr>
          <w:rFonts w:ascii="Arial" w:hAnsi="Arial" w:cs="Arial"/>
          <w:lang w:val="es-CO"/>
        </w:rPr>
        <w:t>l</w:t>
      </w:r>
      <w:r w:rsidRPr="004F681E">
        <w:rPr>
          <w:rFonts w:ascii="Arial" w:hAnsi="Arial" w:cs="Arial"/>
          <w:lang w:val="es-CO"/>
        </w:rPr>
        <w:t xml:space="preserve"> asunto</w:t>
      </w:r>
      <w:r w:rsidR="00532FF8" w:rsidRPr="004F681E">
        <w:rPr>
          <w:rFonts w:ascii="Arial" w:hAnsi="Arial" w:cs="Arial"/>
          <w:lang w:val="es-CO"/>
        </w:rPr>
        <w:t>,</w:t>
      </w:r>
      <w:r w:rsidRPr="004F681E">
        <w:rPr>
          <w:rFonts w:ascii="Arial" w:hAnsi="Arial" w:cs="Arial"/>
          <w:lang w:val="es-CO"/>
        </w:rPr>
        <w:t xml:space="preserve"> se evidencia que en desarrollo de esas diligencias de inspección se rindieron varios informes </w:t>
      </w:r>
      <w:r w:rsidR="00F04DCD" w:rsidRPr="004F681E">
        <w:rPr>
          <w:rFonts w:ascii="Arial" w:hAnsi="Arial" w:cs="Arial"/>
          <w:lang w:val="es-CO"/>
        </w:rPr>
        <w:t>por parte del concesionario</w:t>
      </w:r>
      <w:r w:rsidR="00C664CE" w:rsidRPr="004F681E">
        <w:rPr>
          <w:rFonts w:ascii="Arial" w:hAnsi="Arial" w:cs="Arial"/>
          <w:lang w:val="es-CO"/>
        </w:rPr>
        <w:t>,</w:t>
      </w:r>
      <w:r w:rsidR="00F04DCD" w:rsidRPr="004F681E">
        <w:rPr>
          <w:rFonts w:ascii="Arial" w:hAnsi="Arial" w:cs="Arial"/>
          <w:lang w:val="es-CO"/>
        </w:rPr>
        <w:t xml:space="preserve"> los cuales fueron elaborados por instituciones y </w:t>
      </w:r>
      <w:r w:rsidR="005C0FD8" w:rsidRPr="004F681E">
        <w:rPr>
          <w:rFonts w:ascii="Arial" w:hAnsi="Arial" w:cs="Arial"/>
          <w:lang w:val="es-CO"/>
        </w:rPr>
        <w:t>profesionales</w:t>
      </w:r>
      <w:r w:rsidR="00F04DCD" w:rsidRPr="004F681E">
        <w:rPr>
          <w:rFonts w:ascii="Arial" w:hAnsi="Arial" w:cs="Arial"/>
          <w:lang w:val="es-CO"/>
        </w:rPr>
        <w:t xml:space="preserve"> especializados en el tema. En dichos documentos</w:t>
      </w:r>
      <w:r w:rsidRPr="004F681E">
        <w:rPr>
          <w:rFonts w:ascii="Arial" w:hAnsi="Arial" w:cs="Arial"/>
          <w:lang w:val="es-CO"/>
        </w:rPr>
        <w:t xml:space="preserve"> se pres</w:t>
      </w:r>
      <w:r w:rsidR="00C664CE" w:rsidRPr="004F681E">
        <w:rPr>
          <w:rFonts w:ascii="Arial" w:hAnsi="Arial" w:cs="Arial"/>
          <w:lang w:val="es-CO"/>
        </w:rPr>
        <w:t>entaron algunos reparos en lo atinente</w:t>
      </w:r>
      <w:r w:rsidRPr="004F681E">
        <w:rPr>
          <w:rFonts w:ascii="Arial" w:hAnsi="Arial" w:cs="Arial"/>
          <w:lang w:val="es-CO"/>
        </w:rPr>
        <w:t xml:space="preserve"> al funcionamiento </w:t>
      </w:r>
      <w:r w:rsidR="00C664CE" w:rsidRPr="004F681E">
        <w:rPr>
          <w:rFonts w:ascii="Arial" w:hAnsi="Arial" w:cs="Arial"/>
          <w:lang w:val="es-CO"/>
        </w:rPr>
        <w:t>e</w:t>
      </w:r>
      <w:r w:rsidR="00F04DCD" w:rsidRPr="004F681E">
        <w:rPr>
          <w:rFonts w:ascii="Arial" w:hAnsi="Arial" w:cs="Arial"/>
          <w:lang w:val="es-CO"/>
        </w:rPr>
        <w:t xml:space="preserve"> </w:t>
      </w:r>
      <w:r w:rsidRPr="004F681E">
        <w:rPr>
          <w:rFonts w:ascii="Arial" w:hAnsi="Arial" w:cs="Arial"/>
          <w:lang w:val="es-CO"/>
        </w:rPr>
        <w:t>instalación de la pantalla</w:t>
      </w:r>
      <w:r w:rsidR="00F04DCD" w:rsidRPr="004F681E">
        <w:rPr>
          <w:rFonts w:ascii="Arial" w:hAnsi="Arial" w:cs="Arial"/>
          <w:lang w:val="es-CO"/>
        </w:rPr>
        <w:t>,</w:t>
      </w:r>
      <w:r w:rsidRPr="004F681E">
        <w:rPr>
          <w:rFonts w:ascii="Arial" w:hAnsi="Arial" w:cs="Arial"/>
          <w:lang w:val="es-CO"/>
        </w:rPr>
        <w:t xml:space="preserve"> </w:t>
      </w:r>
      <w:r w:rsidR="00F04DCD" w:rsidRPr="004F681E">
        <w:rPr>
          <w:rFonts w:ascii="Arial" w:hAnsi="Arial" w:cs="Arial"/>
          <w:lang w:val="es-CO"/>
        </w:rPr>
        <w:t xml:space="preserve">inconformidades </w:t>
      </w:r>
      <w:r w:rsidRPr="004F681E">
        <w:rPr>
          <w:rFonts w:ascii="Arial" w:hAnsi="Arial" w:cs="Arial"/>
          <w:lang w:val="es-CO"/>
        </w:rPr>
        <w:t>que</w:t>
      </w:r>
      <w:r w:rsidR="001D5246" w:rsidRPr="004F681E">
        <w:rPr>
          <w:rFonts w:ascii="Arial" w:hAnsi="Arial" w:cs="Arial"/>
          <w:lang w:val="es-CO"/>
        </w:rPr>
        <w:t>,</w:t>
      </w:r>
      <w:r w:rsidRPr="004F681E">
        <w:rPr>
          <w:rFonts w:ascii="Arial" w:hAnsi="Arial" w:cs="Arial"/>
          <w:lang w:val="es-CO"/>
        </w:rPr>
        <w:t xml:space="preserve"> a juicio del</w:t>
      </w:r>
      <w:r w:rsidR="00F04DCD" w:rsidRPr="004F681E">
        <w:rPr>
          <w:rFonts w:ascii="Arial" w:hAnsi="Arial" w:cs="Arial"/>
          <w:lang w:val="es-CO"/>
        </w:rPr>
        <w:t xml:space="preserve"> contratista</w:t>
      </w:r>
      <w:r w:rsidR="001D5246" w:rsidRPr="004F681E">
        <w:rPr>
          <w:rFonts w:ascii="Arial" w:hAnsi="Arial" w:cs="Arial"/>
          <w:lang w:val="es-CO"/>
        </w:rPr>
        <w:t>,</w:t>
      </w:r>
      <w:r w:rsidR="00F04DCD" w:rsidRPr="004F681E">
        <w:rPr>
          <w:rFonts w:ascii="Arial" w:hAnsi="Arial" w:cs="Arial"/>
          <w:lang w:val="es-CO"/>
        </w:rPr>
        <w:t xml:space="preserve"> debían ser atendida</w:t>
      </w:r>
      <w:r w:rsidR="00C664CE" w:rsidRPr="004F681E">
        <w:rPr>
          <w:rFonts w:ascii="Arial" w:hAnsi="Arial" w:cs="Arial"/>
          <w:lang w:val="es-CO"/>
        </w:rPr>
        <w:t>s por el I</w:t>
      </w:r>
      <w:r w:rsidRPr="004F681E">
        <w:rPr>
          <w:rFonts w:ascii="Arial" w:hAnsi="Arial" w:cs="Arial"/>
          <w:lang w:val="es-CO"/>
        </w:rPr>
        <w:t xml:space="preserve">nstituto para garantizar la correcta operación del elemento concesionado. </w:t>
      </w:r>
    </w:p>
    <w:p w:rsidR="00532FF8" w:rsidRPr="004F681E" w:rsidRDefault="00532FF8" w:rsidP="001D5246">
      <w:pPr>
        <w:spacing w:line="360" w:lineRule="auto"/>
        <w:jc w:val="both"/>
        <w:rPr>
          <w:rFonts w:ascii="Arial" w:hAnsi="Arial" w:cs="Arial"/>
          <w:lang w:val="es-CO"/>
        </w:rPr>
      </w:pPr>
    </w:p>
    <w:p w:rsidR="001D5246" w:rsidRPr="004F681E" w:rsidRDefault="001D5246" w:rsidP="001D5246">
      <w:pPr>
        <w:spacing w:line="360" w:lineRule="auto"/>
        <w:jc w:val="both"/>
        <w:rPr>
          <w:rFonts w:ascii="Arial" w:hAnsi="Arial" w:cs="Arial"/>
          <w:lang w:val="es-CO"/>
        </w:rPr>
      </w:pPr>
      <w:r w:rsidRPr="004F681E">
        <w:rPr>
          <w:rFonts w:ascii="Arial" w:hAnsi="Arial" w:cs="Arial"/>
          <w:lang w:val="es-CO"/>
        </w:rPr>
        <w:t>Igualmente</w:t>
      </w:r>
      <w:r w:rsidR="00532FF8" w:rsidRPr="004F681E">
        <w:rPr>
          <w:rFonts w:ascii="Arial" w:hAnsi="Arial" w:cs="Arial"/>
          <w:lang w:val="es-CO"/>
        </w:rPr>
        <w:t>,</w:t>
      </w:r>
      <w:r w:rsidRPr="004F681E">
        <w:rPr>
          <w:rFonts w:ascii="Arial" w:hAnsi="Arial" w:cs="Arial"/>
          <w:lang w:val="es-CO"/>
        </w:rPr>
        <w:t xml:space="preserve"> se observa que no obstante haber anunciado que la pantalla se dejaba a disposición del contratista desde noviembre de 2010, lo cierto es que </w:t>
      </w:r>
      <w:r w:rsidR="00236EA3" w:rsidRPr="004F681E">
        <w:rPr>
          <w:rFonts w:ascii="Arial" w:hAnsi="Arial" w:cs="Arial"/>
          <w:lang w:val="es-CO"/>
        </w:rPr>
        <w:t xml:space="preserve">con posterioridad a esa fecha </w:t>
      </w:r>
      <w:r w:rsidRPr="004F681E">
        <w:rPr>
          <w:rFonts w:ascii="Arial" w:hAnsi="Arial" w:cs="Arial"/>
          <w:lang w:val="es-CO"/>
        </w:rPr>
        <w:t xml:space="preserve">la entidad procedió a atender y a resolver varias de las inconformidades presentadas por </w:t>
      </w:r>
      <w:r w:rsidR="00B4567C" w:rsidRPr="004F681E">
        <w:rPr>
          <w:rFonts w:ascii="Arial" w:hAnsi="Arial" w:cs="Arial"/>
          <w:lang w:val="es-CO"/>
        </w:rPr>
        <w:t xml:space="preserve">la UT </w:t>
      </w:r>
      <w:r w:rsidR="00C664CE" w:rsidRPr="004F681E">
        <w:rPr>
          <w:rFonts w:ascii="Arial" w:hAnsi="Arial" w:cs="Arial"/>
          <w:lang w:val="es-CO"/>
        </w:rPr>
        <w:t>Publiestadios para viabilizar su</w:t>
      </w:r>
      <w:r w:rsidRPr="004F681E">
        <w:rPr>
          <w:rFonts w:ascii="Arial" w:hAnsi="Arial" w:cs="Arial"/>
          <w:lang w:val="es-CO"/>
        </w:rPr>
        <w:t xml:space="preserve"> puesta en funcionamiento, situación que refleja que, en efecto, para ese entonces la pantalla no se encontraba lista para entrar </w:t>
      </w:r>
      <w:r w:rsidR="00B4567C" w:rsidRPr="004F681E">
        <w:rPr>
          <w:rFonts w:ascii="Arial" w:hAnsi="Arial" w:cs="Arial"/>
          <w:lang w:val="es-CO"/>
        </w:rPr>
        <w:t xml:space="preserve">nuevamente </w:t>
      </w:r>
      <w:r w:rsidRPr="004F681E">
        <w:rPr>
          <w:rFonts w:ascii="Arial" w:hAnsi="Arial" w:cs="Arial"/>
          <w:lang w:val="es-CO"/>
        </w:rPr>
        <w:t xml:space="preserve">en operación.  </w:t>
      </w:r>
    </w:p>
    <w:p w:rsidR="002A2EFD" w:rsidRPr="004F681E" w:rsidRDefault="002A2EFD" w:rsidP="001D5246">
      <w:pPr>
        <w:spacing w:line="360" w:lineRule="auto"/>
        <w:jc w:val="both"/>
        <w:rPr>
          <w:rFonts w:ascii="Arial" w:hAnsi="Arial" w:cs="Arial"/>
          <w:lang w:val="es-CO"/>
        </w:rPr>
      </w:pPr>
    </w:p>
    <w:p w:rsidR="001D5246" w:rsidRPr="004F681E" w:rsidRDefault="0020267D" w:rsidP="001D5246">
      <w:pPr>
        <w:spacing w:line="360" w:lineRule="auto"/>
        <w:jc w:val="both"/>
        <w:rPr>
          <w:rFonts w:ascii="Arial" w:hAnsi="Arial" w:cs="Arial"/>
          <w:lang w:val="es-CO"/>
        </w:rPr>
      </w:pPr>
      <w:r w:rsidRPr="004F681E">
        <w:rPr>
          <w:rFonts w:ascii="Arial" w:hAnsi="Arial" w:cs="Arial"/>
          <w:lang w:val="es-CO"/>
        </w:rPr>
        <w:t>En orden a ilustrar lo dicho</w:t>
      </w:r>
      <w:r w:rsidR="00532FF8" w:rsidRPr="004F681E">
        <w:rPr>
          <w:rFonts w:ascii="Arial" w:hAnsi="Arial" w:cs="Arial"/>
          <w:lang w:val="es-CO"/>
        </w:rPr>
        <w:t>,</w:t>
      </w:r>
      <w:r w:rsidRPr="004F681E">
        <w:rPr>
          <w:rFonts w:ascii="Arial" w:hAnsi="Arial" w:cs="Arial"/>
          <w:lang w:val="es-CO"/>
        </w:rPr>
        <w:t xml:space="preserve"> se recuerda que se presentaron discrepancias </w:t>
      </w:r>
      <w:r w:rsidR="002A2EFD" w:rsidRPr="004F681E">
        <w:rPr>
          <w:rFonts w:ascii="Arial" w:hAnsi="Arial" w:cs="Arial"/>
          <w:lang w:val="es-CO"/>
        </w:rPr>
        <w:t>relativas</w:t>
      </w:r>
      <w:r w:rsidRPr="004F681E">
        <w:rPr>
          <w:rFonts w:ascii="Arial" w:hAnsi="Arial" w:cs="Arial"/>
          <w:lang w:val="es-CO"/>
        </w:rPr>
        <w:t xml:space="preserve"> a la necesidad de desmontar los gabinetes de la pantalla</w:t>
      </w:r>
      <w:r w:rsidR="001D5246" w:rsidRPr="004F681E">
        <w:rPr>
          <w:rFonts w:ascii="Arial" w:hAnsi="Arial" w:cs="Arial"/>
          <w:lang w:val="es-CO"/>
        </w:rPr>
        <w:t xml:space="preserve"> </w:t>
      </w:r>
      <w:r w:rsidRPr="004F681E">
        <w:rPr>
          <w:rFonts w:ascii="Arial" w:hAnsi="Arial" w:cs="Arial"/>
          <w:lang w:val="es-CO"/>
        </w:rPr>
        <w:t xml:space="preserve">y de realizar un mantenimiento preventivo </w:t>
      </w:r>
      <w:r w:rsidR="001D5246" w:rsidRPr="004F681E">
        <w:rPr>
          <w:rFonts w:ascii="Arial" w:hAnsi="Arial" w:cs="Arial"/>
          <w:lang w:val="es-CO"/>
        </w:rPr>
        <w:t xml:space="preserve">y </w:t>
      </w:r>
      <w:r w:rsidR="00607257" w:rsidRPr="004F681E">
        <w:rPr>
          <w:rFonts w:ascii="Arial" w:hAnsi="Arial" w:cs="Arial"/>
          <w:lang w:val="es-CO"/>
        </w:rPr>
        <w:t xml:space="preserve">a la </w:t>
      </w:r>
      <w:r w:rsidRPr="004F681E">
        <w:rPr>
          <w:rFonts w:ascii="Arial" w:hAnsi="Arial" w:cs="Arial"/>
          <w:lang w:val="es-CO"/>
        </w:rPr>
        <w:t>seguridad industrial</w:t>
      </w:r>
      <w:r w:rsidR="00607257" w:rsidRPr="004F681E">
        <w:rPr>
          <w:rFonts w:ascii="Arial" w:hAnsi="Arial" w:cs="Arial"/>
          <w:lang w:val="es-CO"/>
        </w:rPr>
        <w:t xml:space="preserve"> de la instalación</w:t>
      </w:r>
      <w:r w:rsidRPr="004F681E">
        <w:rPr>
          <w:rFonts w:ascii="Arial" w:hAnsi="Arial" w:cs="Arial"/>
          <w:lang w:val="es-CO"/>
        </w:rPr>
        <w:t xml:space="preserve">. Estos aspectos fueron atendidos y resueltos por la entidad </w:t>
      </w:r>
      <w:r w:rsidR="001D5246" w:rsidRPr="004F681E">
        <w:rPr>
          <w:rFonts w:ascii="Arial" w:hAnsi="Arial" w:cs="Arial"/>
          <w:lang w:val="es-CO"/>
        </w:rPr>
        <w:t>en el término de tres días</w:t>
      </w:r>
      <w:r w:rsidRPr="004F681E">
        <w:rPr>
          <w:rFonts w:ascii="Arial" w:hAnsi="Arial" w:cs="Arial"/>
          <w:lang w:val="es-CO"/>
        </w:rPr>
        <w:t>.</w:t>
      </w:r>
    </w:p>
    <w:p w:rsidR="0020267D" w:rsidRPr="004F681E" w:rsidRDefault="0020267D" w:rsidP="001D5246">
      <w:pPr>
        <w:spacing w:line="360" w:lineRule="auto"/>
        <w:jc w:val="both"/>
        <w:rPr>
          <w:rFonts w:ascii="Arial" w:hAnsi="Arial" w:cs="Arial"/>
          <w:lang w:val="es-CO"/>
        </w:rPr>
      </w:pPr>
    </w:p>
    <w:p w:rsidR="001D5246" w:rsidRPr="004F681E" w:rsidRDefault="00D31129" w:rsidP="001D5246">
      <w:pPr>
        <w:spacing w:line="360" w:lineRule="auto"/>
        <w:jc w:val="both"/>
        <w:rPr>
          <w:rFonts w:ascii="Arial" w:hAnsi="Arial" w:cs="Arial"/>
          <w:lang w:val="es-CO"/>
        </w:rPr>
      </w:pPr>
      <w:r w:rsidRPr="004F681E">
        <w:rPr>
          <w:rFonts w:ascii="Arial" w:hAnsi="Arial" w:cs="Arial"/>
          <w:lang w:val="es-CO"/>
        </w:rPr>
        <w:t>También</w:t>
      </w:r>
      <w:r w:rsidR="001D5246" w:rsidRPr="004F681E">
        <w:rPr>
          <w:rFonts w:ascii="Arial" w:hAnsi="Arial" w:cs="Arial"/>
          <w:lang w:val="es-CO"/>
        </w:rPr>
        <w:t xml:space="preserve"> se </w:t>
      </w:r>
      <w:r w:rsidRPr="004F681E">
        <w:rPr>
          <w:rFonts w:ascii="Arial" w:hAnsi="Arial" w:cs="Arial"/>
          <w:lang w:val="es-CO"/>
        </w:rPr>
        <w:t xml:space="preserve">advirtió </w:t>
      </w:r>
      <w:r w:rsidR="002A2EFD" w:rsidRPr="004F681E">
        <w:rPr>
          <w:rFonts w:ascii="Arial" w:hAnsi="Arial" w:cs="Arial"/>
          <w:lang w:val="es-CO"/>
        </w:rPr>
        <w:t xml:space="preserve">la existencia de </w:t>
      </w:r>
      <w:r w:rsidRPr="004F681E">
        <w:rPr>
          <w:rFonts w:ascii="Arial" w:hAnsi="Arial" w:cs="Arial"/>
          <w:lang w:val="es-CO"/>
        </w:rPr>
        <w:t>un error de hardware presentado en</w:t>
      </w:r>
      <w:r w:rsidR="001D5246" w:rsidRPr="004F681E">
        <w:rPr>
          <w:rFonts w:ascii="Arial" w:hAnsi="Arial" w:cs="Arial"/>
          <w:lang w:val="es-CO"/>
        </w:rPr>
        <w:t xml:space="preserve"> el computador que manejaba la pantalla, </w:t>
      </w:r>
      <w:r w:rsidRPr="004F681E">
        <w:rPr>
          <w:rFonts w:ascii="Arial" w:hAnsi="Arial" w:cs="Arial"/>
          <w:lang w:val="es-CO"/>
        </w:rPr>
        <w:t xml:space="preserve">por lo que fue indispensable cambiar </w:t>
      </w:r>
      <w:r w:rsidR="001D5246" w:rsidRPr="004F681E">
        <w:rPr>
          <w:rFonts w:ascii="Arial" w:hAnsi="Arial" w:cs="Arial"/>
          <w:lang w:val="es-CO"/>
        </w:rPr>
        <w:t xml:space="preserve">la </w:t>
      </w:r>
      <w:r w:rsidRPr="004F681E">
        <w:rPr>
          <w:rFonts w:ascii="Arial" w:hAnsi="Arial" w:cs="Arial"/>
          <w:lang w:val="es-CO"/>
        </w:rPr>
        <w:t>tarjeta y reemplazar</w:t>
      </w:r>
      <w:r w:rsidR="001D5246" w:rsidRPr="004F681E">
        <w:rPr>
          <w:rFonts w:ascii="Arial" w:hAnsi="Arial" w:cs="Arial"/>
          <w:lang w:val="es-CO"/>
        </w:rPr>
        <w:t xml:space="preserve"> el software por uno actualizado.</w:t>
      </w:r>
    </w:p>
    <w:p w:rsidR="00D31129" w:rsidRPr="004F681E" w:rsidRDefault="00D31129" w:rsidP="001D5246">
      <w:pPr>
        <w:spacing w:line="360" w:lineRule="auto"/>
        <w:jc w:val="both"/>
        <w:rPr>
          <w:rFonts w:ascii="Arial" w:hAnsi="Arial" w:cs="Arial"/>
          <w:lang w:val="es-CO"/>
        </w:rPr>
      </w:pPr>
    </w:p>
    <w:p w:rsidR="00D31129" w:rsidRPr="004F681E" w:rsidRDefault="00D31129" w:rsidP="001D5246">
      <w:pPr>
        <w:spacing w:line="360" w:lineRule="auto"/>
        <w:jc w:val="both"/>
        <w:rPr>
          <w:rFonts w:ascii="Arial" w:hAnsi="Arial" w:cs="Arial"/>
          <w:lang w:val="es-CO"/>
        </w:rPr>
      </w:pPr>
      <w:r w:rsidRPr="004F681E">
        <w:rPr>
          <w:rFonts w:ascii="Arial" w:hAnsi="Arial" w:cs="Arial"/>
          <w:lang w:val="es-CO"/>
        </w:rPr>
        <w:t xml:space="preserve">No obstante, </w:t>
      </w:r>
      <w:r w:rsidR="001E0303" w:rsidRPr="004F681E">
        <w:rPr>
          <w:rFonts w:ascii="Arial" w:hAnsi="Arial" w:cs="Arial"/>
          <w:lang w:val="es-CO"/>
        </w:rPr>
        <w:t xml:space="preserve">luego de ser instalada la pantalla </w:t>
      </w:r>
      <w:r w:rsidRPr="004F681E">
        <w:rPr>
          <w:rFonts w:ascii="Arial" w:hAnsi="Arial" w:cs="Arial"/>
          <w:lang w:val="es-CO"/>
        </w:rPr>
        <w:t xml:space="preserve">confluyeron otros hallazgos que no resultaron atribuibles a la entidad contratante. </w:t>
      </w:r>
      <w:r w:rsidR="00120E4B" w:rsidRPr="004F681E">
        <w:rPr>
          <w:rFonts w:ascii="Arial" w:hAnsi="Arial" w:cs="Arial"/>
          <w:lang w:val="es-CO"/>
        </w:rPr>
        <w:t>Tal</w:t>
      </w:r>
      <w:r w:rsidRPr="004F681E">
        <w:rPr>
          <w:rFonts w:ascii="Arial" w:hAnsi="Arial" w:cs="Arial"/>
          <w:lang w:val="es-CO"/>
        </w:rPr>
        <w:t xml:space="preserve"> es el caso del estado de oxidación</w:t>
      </w:r>
      <w:r w:rsidR="007263CC" w:rsidRPr="004F681E">
        <w:rPr>
          <w:rFonts w:ascii="Arial" w:hAnsi="Arial" w:cs="Arial"/>
          <w:lang w:val="es-CO"/>
        </w:rPr>
        <w:t>,</w:t>
      </w:r>
      <w:r w:rsidRPr="004F681E">
        <w:rPr>
          <w:rFonts w:ascii="Arial" w:hAnsi="Arial" w:cs="Arial"/>
          <w:lang w:val="es-CO"/>
        </w:rPr>
        <w:t xml:space="preserve"> corrosi</w:t>
      </w:r>
      <w:r w:rsidR="006A6AB9" w:rsidRPr="004F681E">
        <w:rPr>
          <w:rFonts w:ascii="Arial" w:hAnsi="Arial" w:cs="Arial"/>
          <w:lang w:val="es-CO"/>
        </w:rPr>
        <w:t>ón</w:t>
      </w:r>
      <w:r w:rsidR="007263CC" w:rsidRPr="004F681E">
        <w:rPr>
          <w:rFonts w:ascii="Arial" w:hAnsi="Arial" w:cs="Arial"/>
          <w:lang w:val="es-CO"/>
        </w:rPr>
        <w:t xml:space="preserve"> y humedad</w:t>
      </w:r>
      <w:r w:rsidR="00516A41" w:rsidRPr="004F681E">
        <w:rPr>
          <w:rFonts w:ascii="Arial" w:hAnsi="Arial" w:cs="Arial"/>
          <w:lang w:val="es-CO"/>
        </w:rPr>
        <w:t xml:space="preserve"> en que se encontraba</w:t>
      </w:r>
      <w:r w:rsidR="006A6AB9" w:rsidRPr="004F681E">
        <w:rPr>
          <w:rFonts w:ascii="Arial" w:hAnsi="Arial" w:cs="Arial"/>
          <w:lang w:val="es-CO"/>
        </w:rPr>
        <w:t>, situación que d</w:t>
      </w:r>
      <w:r w:rsidR="007263CC" w:rsidRPr="004F681E">
        <w:rPr>
          <w:rFonts w:ascii="Arial" w:hAnsi="Arial" w:cs="Arial"/>
          <w:lang w:val="es-CO"/>
        </w:rPr>
        <w:t>e conformidad con</w:t>
      </w:r>
      <w:r w:rsidR="00607257" w:rsidRPr="004F681E">
        <w:rPr>
          <w:rFonts w:ascii="Arial" w:hAnsi="Arial" w:cs="Arial"/>
          <w:lang w:val="es-CO"/>
        </w:rPr>
        <w:t xml:space="preserve"> los informes rendidos por la firma interve</w:t>
      </w:r>
      <w:r w:rsidR="007263CC" w:rsidRPr="004F681E">
        <w:rPr>
          <w:rFonts w:ascii="Arial" w:hAnsi="Arial" w:cs="Arial"/>
          <w:lang w:val="es-CO"/>
        </w:rPr>
        <w:t>ntora del Contrato de C</w:t>
      </w:r>
      <w:r w:rsidR="00607257" w:rsidRPr="004F681E">
        <w:rPr>
          <w:rFonts w:ascii="Arial" w:hAnsi="Arial" w:cs="Arial"/>
          <w:lang w:val="es-CO"/>
        </w:rPr>
        <w:t>oncesión No. 47</w:t>
      </w:r>
      <w:r w:rsidR="00516A41" w:rsidRPr="004F681E">
        <w:rPr>
          <w:rFonts w:ascii="Arial" w:hAnsi="Arial" w:cs="Arial"/>
          <w:lang w:val="es-CO"/>
        </w:rPr>
        <w:t>5, se había</w:t>
      </w:r>
      <w:r w:rsidR="007263CC" w:rsidRPr="004F681E">
        <w:rPr>
          <w:rFonts w:ascii="Arial" w:hAnsi="Arial" w:cs="Arial"/>
          <w:lang w:val="es-CO"/>
        </w:rPr>
        <w:t xml:space="preserve"> advertido con anterioridad a la ejecución de las actividades de reubicación del dispositivo electrónico. </w:t>
      </w:r>
    </w:p>
    <w:p w:rsidR="00CA0185" w:rsidRPr="004F681E" w:rsidRDefault="00CA0185" w:rsidP="001D5246">
      <w:pPr>
        <w:spacing w:line="360" w:lineRule="auto"/>
        <w:jc w:val="both"/>
        <w:rPr>
          <w:rFonts w:ascii="Arial" w:hAnsi="Arial" w:cs="Arial"/>
          <w:lang w:val="es-CO"/>
        </w:rPr>
      </w:pPr>
    </w:p>
    <w:p w:rsidR="00E22DC6" w:rsidRPr="004F681E" w:rsidRDefault="00CA0185" w:rsidP="001D5246">
      <w:pPr>
        <w:spacing w:line="360" w:lineRule="auto"/>
        <w:jc w:val="both"/>
        <w:rPr>
          <w:rFonts w:ascii="Arial" w:hAnsi="Arial" w:cs="Arial"/>
          <w:lang w:val="es-CO"/>
        </w:rPr>
      </w:pPr>
      <w:r w:rsidRPr="004F681E">
        <w:rPr>
          <w:rFonts w:ascii="Arial" w:hAnsi="Arial" w:cs="Arial"/>
          <w:lang w:val="es-CO"/>
        </w:rPr>
        <w:t xml:space="preserve">Con todo, el cúmulo probatorio </w:t>
      </w:r>
      <w:r w:rsidR="00B4567C" w:rsidRPr="004F681E">
        <w:rPr>
          <w:rFonts w:ascii="Arial" w:hAnsi="Arial" w:cs="Arial"/>
          <w:lang w:val="es-CO"/>
        </w:rPr>
        <w:t xml:space="preserve">reveló </w:t>
      </w:r>
      <w:r w:rsidRPr="004F681E">
        <w:rPr>
          <w:rFonts w:ascii="Arial" w:hAnsi="Arial" w:cs="Arial"/>
          <w:lang w:val="es-CO"/>
        </w:rPr>
        <w:t>que la razón principal por la que se retardó la entrega de la pantalla al contratista hasta abril de 2011 obede</w:t>
      </w:r>
      <w:r w:rsidR="00532FF8" w:rsidRPr="004F681E">
        <w:rPr>
          <w:rFonts w:ascii="Arial" w:hAnsi="Arial" w:cs="Arial"/>
          <w:lang w:val="es-CO"/>
        </w:rPr>
        <w:t>ció a dificultades presentadas en materia</w:t>
      </w:r>
      <w:r w:rsidRPr="004F681E">
        <w:rPr>
          <w:rFonts w:ascii="Arial" w:hAnsi="Arial" w:cs="Arial"/>
          <w:lang w:val="es-CO"/>
        </w:rPr>
        <w:t xml:space="preserve"> </w:t>
      </w:r>
      <w:r w:rsidR="00532FF8" w:rsidRPr="004F681E">
        <w:rPr>
          <w:rFonts w:ascii="Arial" w:hAnsi="Arial" w:cs="Arial"/>
          <w:lang w:val="es-CO"/>
        </w:rPr>
        <w:t>eléctrica</w:t>
      </w:r>
      <w:r w:rsidRPr="004F681E">
        <w:rPr>
          <w:rFonts w:ascii="Arial" w:hAnsi="Arial" w:cs="Arial"/>
          <w:lang w:val="es-CO"/>
        </w:rPr>
        <w:t xml:space="preserve">. </w:t>
      </w:r>
    </w:p>
    <w:p w:rsidR="00E22DC6" w:rsidRPr="004F681E" w:rsidRDefault="00E22DC6" w:rsidP="001D5246">
      <w:pPr>
        <w:spacing w:line="360" w:lineRule="auto"/>
        <w:jc w:val="both"/>
        <w:rPr>
          <w:rFonts w:ascii="Arial" w:hAnsi="Arial" w:cs="Arial"/>
          <w:lang w:val="es-CO"/>
        </w:rPr>
      </w:pPr>
    </w:p>
    <w:p w:rsidR="00E22DC6" w:rsidRPr="004F681E" w:rsidRDefault="00CA0185" w:rsidP="001D5246">
      <w:pPr>
        <w:spacing w:line="360" w:lineRule="auto"/>
        <w:jc w:val="both"/>
        <w:rPr>
          <w:rFonts w:ascii="Arial" w:hAnsi="Arial" w:cs="Arial"/>
          <w:lang w:val="es-CO"/>
        </w:rPr>
      </w:pPr>
      <w:r w:rsidRPr="004F681E">
        <w:rPr>
          <w:rFonts w:ascii="Arial" w:hAnsi="Arial" w:cs="Arial"/>
          <w:lang w:val="es-CO"/>
        </w:rPr>
        <w:t>Según la correspondencia cruzada anteriormente revisada</w:t>
      </w:r>
      <w:r w:rsidR="002A2EFD" w:rsidRPr="004F681E">
        <w:rPr>
          <w:rFonts w:ascii="Arial" w:hAnsi="Arial" w:cs="Arial"/>
          <w:lang w:val="es-CO"/>
        </w:rPr>
        <w:t>,</w:t>
      </w:r>
      <w:r w:rsidRPr="004F681E">
        <w:rPr>
          <w:rFonts w:ascii="Arial" w:hAnsi="Arial" w:cs="Arial"/>
          <w:lang w:val="es-CO"/>
        </w:rPr>
        <w:t xml:space="preserve"> la Sala advierte que a finales de 2010 se </w:t>
      </w:r>
      <w:r w:rsidR="00B4567C" w:rsidRPr="004F681E">
        <w:rPr>
          <w:rFonts w:ascii="Arial" w:hAnsi="Arial" w:cs="Arial"/>
          <w:lang w:val="es-CO"/>
        </w:rPr>
        <w:t xml:space="preserve">exteriorizaron los </w:t>
      </w:r>
      <w:r w:rsidRPr="004F681E">
        <w:rPr>
          <w:rFonts w:ascii="Arial" w:hAnsi="Arial" w:cs="Arial"/>
          <w:lang w:val="es-CO"/>
        </w:rPr>
        <w:t xml:space="preserve">inconvenientes en torno a la acometida </w:t>
      </w:r>
      <w:r w:rsidR="002A2EFD" w:rsidRPr="004F681E">
        <w:rPr>
          <w:rFonts w:ascii="Arial" w:hAnsi="Arial" w:cs="Arial"/>
          <w:lang w:val="es-CO"/>
        </w:rPr>
        <w:t xml:space="preserve">eléctrica </w:t>
      </w:r>
      <w:r w:rsidRPr="004F681E">
        <w:rPr>
          <w:rFonts w:ascii="Arial" w:hAnsi="Arial" w:cs="Arial"/>
          <w:lang w:val="es-CO"/>
        </w:rPr>
        <w:t xml:space="preserve">a la </w:t>
      </w:r>
      <w:r w:rsidR="009D3A65" w:rsidRPr="004F681E">
        <w:rPr>
          <w:rFonts w:ascii="Arial" w:hAnsi="Arial" w:cs="Arial"/>
          <w:lang w:val="es-CO"/>
        </w:rPr>
        <w:t xml:space="preserve">que </w:t>
      </w:r>
      <w:r w:rsidRPr="004F681E">
        <w:rPr>
          <w:rFonts w:ascii="Arial" w:hAnsi="Arial" w:cs="Arial"/>
          <w:lang w:val="es-CO"/>
        </w:rPr>
        <w:t xml:space="preserve">se conectaría la pantalla, en atención a que los conductores de corriente instalados por la entidad no cumplían las especificaciones </w:t>
      </w:r>
      <w:r w:rsidR="002A2EFD" w:rsidRPr="004F681E">
        <w:rPr>
          <w:rFonts w:ascii="Arial" w:hAnsi="Arial" w:cs="Arial"/>
          <w:lang w:val="es-CO"/>
        </w:rPr>
        <w:t xml:space="preserve">técnicas </w:t>
      </w:r>
      <w:r w:rsidRPr="004F681E">
        <w:rPr>
          <w:rFonts w:ascii="Arial" w:hAnsi="Arial" w:cs="Arial"/>
          <w:lang w:val="es-CO"/>
        </w:rPr>
        <w:t xml:space="preserve">exigidas para ese tipo de aparatos. Esto trajo consigo la necesidad de instalar </w:t>
      </w:r>
      <w:r w:rsidR="009D3A65" w:rsidRPr="004F681E">
        <w:rPr>
          <w:rFonts w:ascii="Arial" w:hAnsi="Arial" w:cs="Arial"/>
          <w:lang w:val="es-CO"/>
        </w:rPr>
        <w:t>un trasformador,</w:t>
      </w:r>
      <w:r w:rsidR="00E22DC6" w:rsidRPr="004F681E">
        <w:rPr>
          <w:rFonts w:ascii="Arial" w:hAnsi="Arial" w:cs="Arial"/>
          <w:lang w:val="es-CO"/>
        </w:rPr>
        <w:t xml:space="preserve"> una celda adicional y un tablero desde el cual se alimentaría directamente </w:t>
      </w:r>
      <w:r w:rsidR="00876805" w:rsidRPr="004F681E">
        <w:rPr>
          <w:rFonts w:ascii="Arial" w:hAnsi="Arial" w:cs="Arial"/>
          <w:lang w:val="es-CO"/>
        </w:rPr>
        <w:t>l</w:t>
      </w:r>
      <w:r w:rsidR="00E22DC6" w:rsidRPr="004F681E">
        <w:rPr>
          <w:rFonts w:ascii="Arial" w:hAnsi="Arial" w:cs="Arial"/>
          <w:lang w:val="es-CO"/>
        </w:rPr>
        <w:t xml:space="preserve">a pantalla. </w:t>
      </w:r>
    </w:p>
    <w:p w:rsidR="00E22DC6" w:rsidRPr="004F681E" w:rsidRDefault="00E22DC6" w:rsidP="001D5246">
      <w:pPr>
        <w:spacing w:line="360" w:lineRule="auto"/>
        <w:jc w:val="both"/>
        <w:rPr>
          <w:rFonts w:ascii="Arial" w:hAnsi="Arial" w:cs="Arial"/>
          <w:lang w:val="es-CO"/>
        </w:rPr>
      </w:pPr>
    </w:p>
    <w:p w:rsidR="002A2EFD" w:rsidRPr="004F681E" w:rsidRDefault="00E22DC6" w:rsidP="002A2EFD">
      <w:pPr>
        <w:spacing w:line="360" w:lineRule="auto"/>
        <w:jc w:val="both"/>
        <w:rPr>
          <w:rFonts w:ascii="Arial" w:hAnsi="Arial" w:cs="Arial"/>
          <w:lang w:val="es-CO"/>
        </w:rPr>
      </w:pPr>
      <w:r w:rsidRPr="004F681E">
        <w:rPr>
          <w:rFonts w:ascii="Arial" w:hAnsi="Arial" w:cs="Arial"/>
          <w:lang w:val="es-CO"/>
        </w:rPr>
        <w:t xml:space="preserve">A lo anotado se agrega que </w:t>
      </w:r>
      <w:r w:rsidR="00130288" w:rsidRPr="004F681E">
        <w:rPr>
          <w:rFonts w:ascii="Arial" w:hAnsi="Arial" w:cs="Arial"/>
          <w:lang w:val="es-CO"/>
        </w:rPr>
        <w:t>la acometida eléctrica instalada provisionalmente</w:t>
      </w:r>
      <w:r w:rsidR="002A2EFD" w:rsidRPr="004F681E">
        <w:rPr>
          <w:rFonts w:ascii="Arial" w:hAnsi="Arial" w:cs="Arial"/>
          <w:lang w:val="es-CO"/>
        </w:rPr>
        <w:t xml:space="preserve"> para poner en funcionamiento</w:t>
      </w:r>
      <w:r w:rsidR="00130288" w:rsidRPr="004F681E">
        <w:rPr>
          <w:rFonts w:ascii="Arial" w:hAnsi="Arial" w:cs="Arial"/>
          <w:lang w:val="es-CO"/>
        </w:rPr>
        <w:t xml:space="preserve"> la pantalla</w:t>
      </w:r>
      <w:r w:rsidR="00A83825" w:rsidRPr="004F681E">
        <w:rPr>
          <w:rFonts w:ascii="Arial" w:hAnsi="Arial" w:cs="Arial"/>
          <w:lang w:val="es-CO"/>
        </w:rPr>
        <w:t xml:space="preserve"> mientras se construía la definitiva</w:t>
      </w:r>
      <w:r w:rsidR="00130288" w:rsidRPr="004F681E">
        <w:rPr>
          <w:rFonts w:ascii="Arial" w:hAnsi="Arial" w:cs="Arial"/>
          <w:lang w:val="es-CO"/>
        </w:rPr>
        <w:t xml:space="preserve"> sufrió daños como consecuencia de las obras civiles de adecuación del Estadio</w:t>
      </w:r>
      <w:r w:rsidR="002A2EFD" w:rsidRPr="004F681E">
        <w:rPr>
          <w:rFonts w:ascii="Arial" w:hAnsi="Arial" w:cs="Arial"/>
          <w:lang w:val="es-CO"/>
        </w:rPr>
        <w:t>, lo que impedía el funcionamiento y operación de la pantalla.</w:t>
      </w:r>
    </w:p>
    <w:p w:rsidR="00B415E3" w:rsidRPr="004F681E" w:rsidRDefault="00B415E3" w:rsidP="002A2EFD">
      <w:pPr>
        <w:spacing w:line="360" w:lineRule="auto"/>
        <w:jc w:val="both"/>
        <w:rPr>
          <w:rFonts w:ascii="Arial" w:hAnsi="Arial" w:cs="Arial"/>
          <w:lang w:val="es-CO"/>
        </w:rPr>
      </w:pPr>
    </w:p>
    <w:p w:rsidR="00B4567C" w:rsidRPr="004F681E" w:rsidRDefault="00B60138" w:rsidP="00130288">
      <w:pPr>
        <w:spacing w:line="360" w:lineRule="auto"/>
        <w:jc w:val="both"/>
        <w:rPr>
          <w:rFonts w:ascii="Arial" w:hAnsi="Arial" w:cs="Arial"/>
          <w:lang w:val="es-CO"/>
        </w:rPr>
      </w:pPr>
      <w:r w:rsidRPr="004F681E">
        <w:rPr>
          <w:rFonts w:ascii="Arial" w:hAnsi="Arial" w:cs="Arial"/>
          <w:lang w:val="es-CO"/>
        </w:rPr>
        <w:t>D</w:t>
      </w:r>
      <w:r w:rsidR="00E04F92" w:rsidRPr="004F681E">
        <w:rPr>
          <w:rFonts w:ascii="Arial" w:hAnsi="Arial" w:cs="Arial"/>
          <w:lang w:val="es-CO"/>
        </w:rPr>
        <w:t>erívese de lo expuesto que</w:t>
      </w:r>
      <w:r w:rsidR="00CF598E" w:rsidRPr="004F681E">
        <w:rPr>
          <w:rFonts w:ascii="Arial" w:hAnsi="Arial" w:cs="Arial"/>
          <w:lang w:val="es-CO"/>
        </w:rPr>
        <w:t xml:space="preserve"> solo hasta el momento en que </w:t>
      </w:r>
      <w:r w:rsidR="00A96099" w:rsidRPr="004F681E">
        <w:rPr>
          <w:rFonts w:ascii="Arial" w:hAnsi="Arial" w:cs="Arial"/>
          <w:lang w:val="es-CO"/>
        </w:rPr>
        <w:t>el Instituto ejecutó la conexión definitiva de la pantalla a la acometida eléctrica sujeta a las normas técnica</w:t>
      </w:r>
      <w:r w:rsidR="00E04F92" w:rsidRPr="004F681E">
        <w:rPr>
          <w:rFonts w:ascii="Arial" w:hAnsi="Arial" w:cs="Arial"/>
          <w:lang w:val="es-CO"/>
        </w:rPr>
        <w:t>s se produjo su</w:t>
      </w:r>
      <w:r w:rsidR="00A96099" w:rsidRPr="004F681E">
        <w:rPr>
          <w:rFonts w:ascii="Arial" w:hAnsi="Arial" w:cs="Arial"/>
          <w:lang w:val="es-CO"/>
        </w:rPr>
        <w:t xml:space="preserve"> entrega al concesionario en </w:t>
      </w:r>
      <w:r w:rsidR="00E04F92" w:rsidRPr="004F681E">
        <w:rPr>
          <w:rFonts w:ascii="Arial" w:hAnsi="Arial" w:cs="Arial"/>
          <w:lang w:val="es-CO"/>
        </w:rPr>
        <w:t xml:space="preserve">correctas </w:t>
      </w:r>
      <w:r w:rsidR="00A96099" w:rsidRPr="004F681E">
        <w:rPr>
          <w:rFonts w:ascii="Arial" w:hAnsi="Arial" w:cs="Arial"/>
          <w:lang w:val="es-CO"/>
        </w:rPr>
        <w:t xml:space="preserve">condiciones de funcionamiento, hecho que tuvo lugar el </w:t>
      </w:r>
      <w:r w:rsidR="00E04F92" w:rsidRPr="004F681E">
        <w:rPr>
          <w:rFonts w:ascii="Arial" w:hAnsi="Arial" w:cs="Arial"/>
          <w:lang w:val="es-CO"/>
        </w:rPr>
        <w:t>8 de abril de 2011.</w:t>
      </w:r>
    </w:p>
    <w:p w:rsidR="00991B6D" w:rsidRPr="004F681E" w:rsidRDefault="00991B6D" w:rsidP="00130288">
      <w:pPr>
        <w:spacing w:line="360" w:lineRule="auto"/>
        <w:jc w:val="both"/>
        <w:rPr>
          <w:rFonts w:ascii="Arial" w:hAnsi="Arial" w:cs="Arial"/>
          <w:lang w:val="es-CO"/>
        </w:rPr>
      </w:pPr>
    </w:p>
    <w:p w:rsidR="00DA259D" w:rsidRPr="004F681E" w:rsidRDefault="00B60138" w:rsidP="00130288">
      <w:pPr>
        <w:spacing w:line="360" w:lineRule="auto"/>
        <w:jc w:val="both"/>
        <w:rPr>
          <w:rFonts w:ascii="Arial" w:hAnsi="Arial" w:cs="Arial"/>
          <w:i/>
          <w:lang w:val="es-CO"/>
        </w:rPr>
      </w:pPr>
      <w:r w:rsidRPr="004F681E">
        <w:rPr>
          <w:rFonts w:ascii="Arial" w:hAnsi="Arial" w:cs="Arial"/>
          <w:lang w:val="es-CO"/>
        </w:rPr>
        <w:t xml:space="preserve">Con </w:t>
      </w:r>
      <w:r w:rsidR="000D2907" w:rsidRPr="004F681E">
        <w:rPr>
          <w:rFonts w:ascii="Arial" w:hAnsi="Arial" w:cs="Arial"/>
          <w:lang w:val="es-CO"/>
        </w:rPr>
        <w:t xml:space="preserve">sustento </w:t>
      </w:r>
      <w:r w:rsidRPr="004F681E">
        <w:rPr>
          <w:rFonts w:ascii="Arial" w:hAnsi="Arial" w:cs="Arial"/>
          <w:lang w:val="es-CO"/>
        </w:rPr>
        <w:t>en todas las consideraciones que anteceden</w:t>
      </w:r>
      <w:r w:rsidR="00E04F92" w:rsidRPr="004F681E">
        <w:rPr>
          <w:rFonts w:ascii="Arial" w:hAnsi="Arial" w:cs="Arial"/>
          <w:lang w:val="es-CO"/>
        </w:rPr>
        <w:t xml:space="preserve">, la Sala encuentra </w:t>
      </w:r>
      <w:r w:rsidR="000D2907" w:rsidRPr="004F681E">
        <w:rPr>
          <w:rFonts w:ascii="Arial" w:hAnsi="Arial" w:cs="Arial"/>
          <w:lang w:val="es-CO"/>
        </w:rPr>
        <w:t xml:space="preserve">configurado </w:t>
      </w:r>
      <w:r w:rsidR="009D3A65" w:rsidRPr="004F681E">
        <w:rPr>
          <w:rFonts w:ascii="Arial" w:hAnsi="Arial" w:cs="Arial"/>
          <w:lang w:val="es-CO"/>
        </w:rPr>
        <w:t xml:space="preserve">el </w:t>
      </w:r>
      <w:r w:rsidR="00967896" w:rsidRPr="004F681E">
        <w:rPr>
          <w:rFonts w:ascii="Arial" w:hAnsi="Arial" w:cs="Arial"/>
          <w:lang w:val="es-CO"/>
        </w:rPr>
        <w:t>desconocimiento</w:t>
      </w:r>
      <w:r w:rsidR="004046F3" w:rsidRPr="004F681E">
        <w:rPr>
          <w:rFonts w:ascii="Arial" w:hAnsi="Arial" w:cs="Arial"/>
          <w:lang w:val="es-CO"/>
        </w:rPr>
        <w:t xml:space="preserve"> del propio acto dictado por el IDRD en ejercicio del </w:t>
      </w:r>
      <w:r w:rsidR="004046F3" w:rsidRPr="004F681E">
        <w:rPr>
          <w:rFonts w:ascii="Arial" w:hAnsi="Arial" w:cs="Arial"/>
          <w:i/>
          <w:lang w:val="es-CO"/>
        </w:rPr>
        <w:t>ius variadi</w:t>
      </w:r>
      <w:r w:rsidR="00DA259D" w:rsidRPr="004F681E">
        <w:rPr>
          <w:rFonts w:ascii="Arial" w:hAnsi="Arial" w:cs="Arial"/>
          <w:i/>
          <w:lang w:val="es-CO"/>
        </w:rPr>
        <w:t>.</w:t>
      </w:r>
    </w:p>
    <w:p w:rsidR="00B415E3" w:rsidRPr="004F681E" w:rsidRDefault="00B415E3" w:rsidP="00130288">
      <w:pPr>
        <w:spacing w:line="360" w:lineRule="auto"/>
        <w:jc w:val="both"/>
        <w:rPr>
          <w:rFonts w:ascii="Arial" w:hAnsi="Arial" w:cs="Arial"/>
          <w:i/>
          <w:lang w:val="es-CO"/>
        </w:rPr>
      </w:pPr>
    </w:p>
    <w:p w:rsidR="00E04F92" w:rsidRPr="004F681E" w:rsidRDefault="00DA259D" w:rsidP="00130288">
      <w:pPr>
        <w:spacing w:line="360" w:lineRule="auto"/>
        <w:jc w:val="both"/>
        <w:rPr>
          <w:rFonts w:ascii="Arial" w:hAnsi="Arial" w:cs="Arial"/>
          <w:lang w:val="es-CO"/>
        </w:rPr>
      </w:pPr>
      <w:r w:rsidRPr="004F681E">
        <w:rPr>
          <w:rFonts w:ascii="Arial" w:hAnsi="Arial" w:cs="Arial"/>
          <w:lang w:val="es-CO"/>
        </w:rPr>
        <w:t>P</w:t>
      </w:r>
      <w:r w:rsidR="004046F3" w:rsidRPr="004F681E">
        <w:rPr>
          <w:rFonts w:ascii="Arial" w:hAnsi="Arial" w:cs="Arial"/>
          <w:lang w:val="es-CO"/>
        </w:rPr>
        <w:t xml:space="preserve">ese a </w:t>
      </w:r>
      <w:r w:rsidR="00E95238" w:rsidRPr="004F681E">
        <w:rPr>
          <w:rFonts w:ascii="Arial" w:hAnsi="Arial" w:cs="Arial"/>
          <w:lang w:val="es-CO"/>
        </w:rPr>
        <w:t>que allí se adoptó</w:t>
      </w:r>
      <w:r w:rsidR="004046F3" w:rsidRPr="004F681E">
        <w:rPr>
          <w:rFonts w:ascii="Arial" w:hAnsi="Arial" w:cs="Arial"/>
          <w:lang w:val="es-CO"/>
        </w:rPr>
        <w:t xml:space="preserve"> como mecanismo restablecedor </w:t>
      </w:r>
      <w:r w:rsidR="00D0549D" w:rsidRPr="004F681E">
        <w:rPr>
          <w:rFonts w:ascii="Arial" w:hAnsi="Arial" w:cs="Arial"/>
          <w:lang w:val="es-CO"/>
        </w:rPr>
        <w:t>de</w:t>
      </w:r>
      <w:r w:rsidR="004046F3" w:rsidRPr="004F681E">
        <w:rPr>
          <w:rFonts w:ascii="Arial" w:hAnsi="Arial" w:cs="Arial"/>
          <w:lang w:val="es-CO"/>
        </w:rPr>
        <w:t xml:space="preserve"> la ruptura económica </w:t>
      </w:r>
      <w:r w:rsidR="00D0549D" w:rsidRPr="004F681E">
        <w:rPr>
          <w:rFonts w:ascii="Arial" w:hAnsi="Arial" w:cs="Arial"/>
          <w:lang w:val="es-CO"/>
        </w:rPr>
        <w:t>generada</w:t>
      </w:r>
      <w:r w:rsidR="004046F3" w:rsidRPr="004F681E">
        <w:rPr>
          <w:rFonts w:ascii="Arial" w:hAnsi="Arial" w:cs="Arial"/>
          <w:lang w:val="es-CO"/>
        </w:rPr>
        <w:t xml:space="preserve"> como consecuencia de la potestad excepcional, </w:t>
      </w:r>
      <w:r w:rsidR="00E95238" w:rsidRPr="004F681E">
        <w:rPr>
          <w:rFonts w:ascii="Arial" w:hAnsi="Arial" w:cs="Arial"/>
          <w:lang w:val="es-CO"/>
        </w:rPr>
        <w:t>el reconocimiento</w:t>
      </w:r>
      <w:r w:rsidR="00064DE8" w:rsidRPr="004F681E">
        <w:rPr>
          <w:rFonts w:ascii="Arial" w:hAnsi="Arial" w:cs="Arial"/>
          <w:lang w:val="es-CO"/>
        </w:rPr>
        <w:t xml:space="preserve"> y pago de</w:t>
      </w:r>
      <w:r w:rsidR="00E04F92" w:rsidRPr="004F681E">
        <w:rPr>
          <w:rFonts w:ascii="Arial" w:hAnsi="Arial" w:cs="Arial"/>
          <w:lang w:val="es-CO"/>
        </w:rPr>
        <w:t xml:space="preserve"> la utilidad dejada de percibir por el concesionario</w:t>
      </w:r>
      <w:r w:rsidR="005B4D60" w:rsidRPr="004F681E">
        <w:rPr>
          <w:rFonts w:ascii="Arial" w:hAnsi="Arial" w:cs="Arial"/>
          <w:lang w:val="es-CO"/>
        </w:rPr>
        <w:t xml:space="preserve"> durante el perí</w:t>
      </w:r>
      <w:r w:rsidR="00E04F92" w:rsidRPr="004F681E">
        <w:rPr>
          <w:rFonts w:ascii="Arial" w:hAnsi="Arial" w:cs="Arial"/>
          <w:lang w:val="es-CO"/>
        </w:rPr>
        <w:t>odo en</w:t>
      </w:r>
      <w:r w:rsidR="006E3009" w:rsidRPr="004F681E">
        <w:rPr>
          <w:rFonts w:ascii="Arial" w:hAnsi="Arial" w:cs="Arial"/>
          <w:lang w:val="es-CO"/>
        </w:rPr>
        <w:t xml:space="preserve"> el cual</w:t>
      </w:r>
      <w:r w:rsidR="00E04F92" w:rsidRPr="004F681E">
        <w:rPr>
          <w:rFonts w:ascii="Arial" w:hAnsi="Arial" w:cs="Arial"/>
          <w:lang w:val="es-CO"/>
        </w:rPr>
        <w:t xml:space="preserve"> se realizaron </w:t>
      </w:r>
      <w:r w:rsidR="005B4D60" w:rsidRPr="004F681E">
        <w:rPr>
          <w:rFonts w:ascii="Arial" w:hAnsi="Arial" w:cs="Arial"/>
          <w:lang w:val="es-CO"/>
        </w:rPr>
        <w:t>las obras</w:t>
      </w:r>
      <w:r w:rsidR="00E04F92" w:rsidRPr="004F681E">
        <w:rPr>
          <w:rFonts w:ascii="Arial" w:hAnsi="Arial" w:cs="Arial"/>
          <w:lang w:val="es-CO"/>
        </w:rPr>
        <w:t xml:space="preserve"> </w:t>
      </w:r>
      <w:r w:rsidR="005B4D60" w:rsidRPr="004F681E">
        <w:rPr>
          <w:rFonts w:ascii="Arial" w:hAnsi="Arial" w:cs="Arial"/>
          <w:lang w:val="es-CO"/>
        </w:rPr>
        <w:t xml:space="preserve">de desmonte, traslado y </w:t>
      </w:r>
      <w:r w:rsidR="00270AD4" w:rsidRPr="004F681E">
        <w:rPr>
          <w:rFonts w:ascii="Arial" w:hAnsi="Arial" w:cs="Arial"/>
          <w:lang w:val="es-CO"/>
        </w:rPr>
        <w:t>reinstalación</w:t>
      </w:r>
      <w:r w:rsidR="005B4D60" w:rsidRPr="004F681E">
        <w:rPr>
          <w:rFonts w:ascii="Arial" w:hAnsi="Arial" w:cs="Arial"/>
          <w:lang w:val="es-CO"/>
        </w:rPr>
        <w:t xml:space="preserve"> de la pantalla exterior</w:t>
      </w:r>
      <w:r w:rsidR="006E3009" w:rsidRPr="004F681E">
        <w:rPr>
          <w:rFonts w:ascii="Arial" w:hAnsi="Arial" w:cs="Arial"/>
          <w:lang w:val="es-CO"/>
        </w:rPr>
        <w:t>,</w:t>
      </w:r>
      <w:r w:rsidR="00270AD4" w:rsidRPr="004F681E">
        <w:rPr>
          <w:rFonts w:ascii="Arial" w:hAnsi="Arial" w:cs="Arial"/>
          <w:lang w:val="es-CO"/>
        </w:rPr>
        <w:t xml:space="preserve"> que transcurrió entre el </w:t>
      </w:r>
      <w:r w:rsidR="00B60138" w:rsidRPr="004F681E">
        <w:rPr>
          <w:rFonts w:ascii="Arial" w:hAnsi="Arial" w:cs="Arial"/>
          <w:lang w:val="es-CO"/>
        </w:rPr>
        <w:t xml:space="preserve">28 de septiembre de 2010 y </w:t>
      </w:r>
      <w:r w:rsidR="00BC0E29" w:rsidRPr="004F681E">
        <w:rPr>
          <w:rFonts w:ascii="Arial" w:hAnsi="Arial" w:cs="Arial"/>
          <w:lang w:val="es-CO"/>
        </w:rPr>
        <w:t xml:space="preserve">el 8 de abril del año siguiente, lo cierto es que la entidad se sustrajo a su cumplimiento pero por razones </w:t>
      </w:r>
      <w:r w:rsidR="00636009" w:rsidRPr="004F681E">
        <w:rPr>
          <w:rFonts w:ascii="Arial" w:hAnsi="Arial" w:cs="Arial"/>
          <w:lang w:val="es-CO"/>
        </w:rPr>
        <w:t xml:space="preserve">distintas </w:t>
      </w:r>
      <w:r w:rsidR="00BC0E29" w:rsidRPr="004F681E">
        <w:rPr>
          <w:rFonts w:ascii="Arial" w:hAnsi="Arial" w:cs="Arial"/>
          <w:lang w:val="es-CO"/>
        </w:rPr>
        <w:t>a las que condicionó su procedencia</w:t>
      </w:r>
      <w:r w:rsidR="00F330C2" w:rsidRPr="004F681E">
        <w:rPr>
          <w:rFonts w:ascii="Arial" w:hAnsi="Arial" w:cs="Arial"/>
          <w:lang w:val="es-CO"/>
        </w:rPr>
        <w:t>, es decir</w:t>
      </w:r>
      <w:r w:rsidR="00BC4B09" w:rsidRPr="004F681E">
        <w:rPr>
          <w:rFonts w:ascii="Arial" w:hAnsi="Arial" w:cs="Arial"/>
          <w:lang w:val="es-CO"/>
        </w:rPr>
        <w:t>,</w:t>
      </w:r>
      <w:r w:rsidR="00F330C2" w:rsidRPr="004F681E">
        <w:rPr>
          <w:rFonts w:ascii="Arial" w:hAnsi="Arial" w:cs="Arial"/>
          <w:lang w:val="es-CO"/>
        </w:rPr>
        <w:t xml:space="preserve"> no por el hecho de que el concesionario no hubiera estimado la utilidad dejada de percibir por ese interregno y no hubiera presentado ante la entidad los soportes que acreditaran su causación, sino por considerar que durante ese período no sufrió pérdi</w:t>
      </w:r>
      <w:r w:rsidR="006E6587" w:rsidRPr="004F681E">
        <w:rPr>
          <w:rFonts w:ascii="Arial" w:hAnsi="Arial" w:cs="Arial"/>
          <w:lang w:val="es-CO"/>
        </w:rPr>
        <w:t>das</w:t>
      </w:r>
      <w:r w:rsidR="00BC0E29" w:rsidRPr="004F681E">
        <w:rPr>
          <w:rFonts w:ascii="Arial" w:hAnsi="Arial" w:cs="Arial"/>
          <w:lang w:val="es-CO"/>
        </w:rPr>
        <w:t xml:space="preserve">. </w:t>
      </w:r>
    </w:p>
    <w:p w:rsidR="00DA259D" w:rsidRPr="004F681E" w:rsidRDefault="00DA259D" w:rsidP="001C62B3">
      <w:pPr>
        <w:spacing w:line="360" w:lineRule="auto"/>
        <w:jc w:val="both"/>
        <w:rPr>
          <w:rFonts w:ascii="Arial" w:hAnsi="Arial" w:cs="Arial"/>
          <w:b/>
          <w:lang w:val="es-CO"/>
        </w:rPr>
      </w:pPr>
    </w:p>
    <w:p w:rsidR="00F3709D" w:rsidRPr="004F681E" w:rsidRDefault="00CB45E8" w:rsidP="001C62B3">
      <w:pPr>
        <w:spacing w:line="360" w:lineRule="auto"/>
        <w:jc w:val="both"/>
        <w:rPr>
          <w:rFonts w:ascii="Arial" w:hAnsi="Arial" w:cs="Arial"/>
          <w:b/>
          <w:lang w:val="es-CO"/>
        </w:rPr>
      </w:pPr>
      <w:r w:rsidRPr="004F681E">
        <w:rPr>
          <w:rFonts w:ascii="Arial" w:hAnsi="Arial" w:cs="Arial"/>
          <w:b/>
          <w:lang w:val="es-CO"/>
        </w:rPr>
        <w:t>5.3</w:t>
      </w:r>
      <w:r w:rsidR="00F3709D" w:rsidRPr="004F681E">
        <w:rPr>
          <w:rFonts w:ascii="Arial" w:hAnsi="Arial" w:cs="Arial"/>
          <w:b/>
          <w:lang w:val="es-CO"/>
        </w:rPr>
        <w:t xml:space="preserve">.- </w:t>
      </w:r>
      <w:r w:rsidR="00F9273C" w:rsidRPr="004F681E">
        <w:rPr>
          <w:rFonts w:ascii="Arial" w:hAnsi="Arial" w:cs="Arial"/>
          <w:b/>
          <w:lang w:val="es-CO"/>
        </w:rPr>
        <w:t>Ruptura del equilibrio eco</w:t>
      </w:r>
      <w:r w:rsidR="00F3709D" w:rsidRPr="004F681E">
        <w:rPr>
          <w:rFonts w:ascii="Arial" w:hAnsi="Arial" w:cs="Arial"/>
          <w:b/>
          <w:lang w:val="es-CO"/>
        </w:rPr>
        <w:t>nómico del C</w:t>
      </w:r>
      <w:r w:rsidR="00F9273C" w:rsidRPr="004F681E">
        <w:rPr>
          <w:rFonts w:ascii="Arial" w:hAnsi="Arial" w:cs="Arial"/>
          <w:b/>
          <w:lang w:val="es-CO"/>
        </w:rPr>
        <w:t xml:space="preserve">ontrato </w:t>
      </w:r>
      <w:r w:rsidR="00F3709D" w:rsidRPr="004F681E">
        <w:rPr>
          <w:rFonts w:ascii="Arial" w:hAnsi="Arial" w:cs="Arial"/>
          <w:b/>
          <w:lang w:val="es-CO"/>
        </w:rPr>
        <w:t xml:space="preserve">No. 475 de 2007 </w:t>
      </w:r>
      <w:r w:rsidR="00F9273C" w:rsidRPr="004F681E">
        <w:rPr>
          <w:rFonts w:ascii="Arial" w:hAnsi="Arial" w:cs="Arial"/>
          <w:b/>
          <w:lang w:val="es-CO"/>
        </w:rPr>
        <w:t xml:space="preserve">por </w:t>
      </w:r>
      <w:r w:rsidR="009042DB" w:rsidRPr="004F681E">
        <w:rPr>
          <w:rFonts w:ascii="Arial" w:hAnsi="Arial" w:cs="Arial"/>
          <w:b/>
          <w:lang w:val="es-CO"/>
        </w:rPr>
        <w:t xml:space="preserve">el </w:t>
      </w:r>
      <w:r w:rsidR="00F3709D" w:rsidRPr="004F681E">
        <w:rPr>
          <w:rFonts w:ascii="Arial" w:hAnsi="Arial" w:cs="Arial"/>
          <w:b/>
          <w:lang w:val="es-CO"/>
        </w:rPr>
        <w:t>hecho del príncipe</w:t>
      </w:r>
      <w:r w:rsidR="00F9273C" w:rsidRPr="004F681E">
        <w:rPr>
          <w:rFonts w:ascii="Arial" w:hAnsi="Arial" w:cs="Arial"/>
          <w:b/>
          <w:lang w:val="es-CO"/>
        </w:rPr>
        <w:t xml:space="preserve"> </w:t>
      </w:r>
      <w:r w:rsidR="001C62B3" w:rsidRPr="004F681E">
        <w:rPr>
          <w:rFonts w:ascii="Arial" w:hAnsi="Arial" w:cs="Arial"/>
          <w:b/>
          <w:lang w:val="es-CO"/>
        </w:rPr>
        <w:t xml:space="preserve"> </w:t>
      </w:r>
    </w:p>
    <w:p w:rsidR="00F3709D" w:rsidRPr="004F681E" w:rsidRDefault="00F3709D" w:rsidP="001C62B3">
      <w:pPr>
        <w:spacing w:line="360" w:lineRule="auto"/>
        <w:jc w:val="both"/>
        <w:rPr>
          <w:rFonts w:ascii="Arial" w:hAnsi="Arial" w:cs="Arial"/>
          <w:u w:val="single"/>
          <w:lang w:val="es-CO"/>
        </w:rPr>
      </w:pPr>
    </w:p>
    <w:p w:rsidR="001C62B3" w:rsidRPr="004F681E" w:rsidRDefault="00CB45E8" w:rsidP="001C62B3">
      <w:pPr>
        <w:spacing w:line="360" w:lineRule="auto"/>
        <w:jc w:val="both"/>
        <w:rPr>
          <w:rFonts w:ascii="Arial" w:hAnsi="Arial" w:cs="Arial"/>
          <w:u w:val="single"/>
          <w:lang w:val="es-CO"/>
        </w:rPr>
      </w:pPr>
      <w:r w:rsidRPr="004F681E">
        <w:rPr>
          <w:rFonts w:ascii="Arial" w:hAnsi="Arial" w:cs="Arial"/>
          <w:lang w:val="es-CO"/>
        </w:rPr>
        <w:t>5.3.1</w:t>
      </w:r>
      <w:r w:rsidR="00F3709D" w:rsidRPr="004F681E">
        <w:rPr>
          <w:rFonts w:ascii="Arial" w:hAnsi="Arial" w:cs="Arial"/>
          <w:lang w:val="es-CO"/>
        </w:rPr>
        <w:t xml:space="preserve">. </w:t>
      </w:r>
      <w:r w:rsidR="00F3709D" w:rsidRPr="004F681E">
        <w:rPr>
          <w:rFonts w:ascii="Arial" w:hAnsi="Arial" w:cs="Arial"/>
          <w:u w:val="single"/>
          <w:lang w:val="es-CO"/>
        </w:rPr>
        <w:t>I</w:t>
      </w:r>
      <w:r w:rsidR="001C62B3" w:rsidRPr="004F681E">
        <w:rPr>
          <w:rFonts w:ascii="Arial" w:hAnsi="Arial" w:cs="Arial"/>
          <w:u w:val="single"/>
          <w:lang w:val="es-CO"/>
        </w:rPr>
        <w:t xml:space="preserve">mposibilidad para el concesionario de </w:t>
      </w:r>
      <w:r w:rsidR="001C62B3" w:rsidRPr="004F681E">
        <w:rPr>
          <w:rFonts w:ascii="Arial" w:hAnsi="Arial" w:cs="Arial"/>
          <w:u w:val="single"/>
        </w:rPr>
        <w:t>explotar las pantallas objeto del contrato de concesión durante el certamen del fútbol Sub-20</w:t>
      </w:r>
      <w:r w:rsidR="00532FF8" w:rsidRPr="004F681E">
        <w:rPr>
          <w:rFonts w:ascii="Arial" w:hAnsi="Arial" w:cs="Arial"/>
          <w:u w:val="single"/>
        </w:rPr>
        <w:t>,</w:t>
      </w:r>
      <w:r w:rsidR="001C62B3" w:rsidRPr="004F681E">
        <w:rPr>
          <w:rFonts w:ascii="Arial" w:hAnsi="Arial" w:cs="Arial"/>
          <w:u w:val="single"/>
        </w:rPr>
        <w:t xml:space="preserve"> debido a una obligación adquirida </w:t>
      </w:r>
      <w:r w:rsidR="009042DB" w:rsidRPr="004F681E">
        <w:rPr>
          <w:rFonts w:ascii="Arial" w:hAnsi="Arial" w:cs="Arial"/>
          <w:u w:val="single"/>
        </w:rPr>
        <w:t xml:space="preserve">por las autoridades distritales </w:t>
      </w:r>
      <w:r w:rsidR="001C62B3" w:rsidRPr="004F681E">
        <w:rPr>
          <w:rFonts w:ascii="Arial" w:hAnsi="Arial" w:cs="Arial"/>
          <w:u w:val="single"/>
        </w:rPr>
        <w:t>con la FIFA</w:t>
      </w:r>
      <w:r w:rsidR="00532FF8" w:rsidRPr="004F681E">
        <w:rPr>
          <w:rFonts w:ascii="Arial" w:hAnsi="Arial" w:cs="Arial"/>
          <w:u w:val="single"/>
        </w:rPr>
        <w:t>,</w:t>
      </w:r>
      <w:r w:rsidR="001C62B3" w:rsidRPr="004F681E">
        <w:rPr>
          <w:rFonts w:ascii="Arial" w:hAnsi="Arial" w:cs="Arial"/>
          <w:u w:val="single"/>
        </w:rPr>
        <w:t xml:space="preserve"> </w:t>
      </w:r>
      <w:r w:rsidR="00C95FC3" w:rsidRPr="004F681E">
        <w:rPr>
          <w:rFonts w:ascii="Arial" w:hAnsi="Arial" w:cs="Arial"/>
          <w:u w:val="single"/>
        </w:rPr>
        <w:t>relativa</w:t>
      </w:r>
      <w:r w:rsidR="009042DB" w:rsidRPr="004F681E">
        <w:rPr>
          <w:rFonts w:ascii="Arial" w:hAnsi="Arial" w:cs="Arial"/>
          <w:u w:val="single"/>
        </w:rPr>
        <w:t xml:space="preserve"> a </w:t>
      </w:r>
      <w:r w:rsidR="001C62B3" w:rsidRPr="004F681E">
        <w:rPr>
          <w:rFonts w:ascii="Arial" w:hAnsi="Arial" w:cs="Arial"/>
          <w:u w:val="single"/>
        </w:rPr>
        <w:t>no presentar algún tipo de publicidad promocional durante el evento deportivo</w:t>
      </w:r>
      <w:r w:rsidR="006E3009" w:rsidRPr="004F681E">
        <w:rPr>
          <w:rFonts w:ascii="Arial" w:hAnsi="Arial" w:cs="Arial"/>
        </w:rPr>
        <w:t>.</w:t>
      </w:r>
    </w:p>
    <w:p w:rsidR="001C62B3" w:rsidRPr="004F681E" w:rsidRDefault="001C62B3" w:rsidP="001C62B3">
      <w:pPr>
        <w:spacing w:line="360" w:lineRule="auto"/>
        <w:jc w:val="both"/>
        <w:rPr>
          <w:rFonts w:ascii="Arial" w:hAnsi="Arial" w:cs="Arial"/>
          <w:lang w:val="es-CO"/>
        </w:rPr>
      </w:pPr>
    </w:p>
    <w:p w:rsidR="001C62B3" w:rsidRPr="004F681E" w:rsidRDefault="001C62B3" w:rsidP="001C62B3">
      <w:pPr>
        <w:spacing w:line="360" w:lineRule="auto"/>
        <w:jc w:val="both"/>
        <w:rPr>
          <w:rFonts w:ascii="Arial" w:hAnsi="Arial" w:cs="Arial"/>
        </w:rPr>
      </w:pPr>
      <w:r w:rsidRPr="004F681E">
        <w:rPr>
          <w:rFonts w:ascii="Arial" w:hAnsi="Arial" w:cs="Arial"/>
          <w:lang w:val="es-CO"/>
        </w:rPr>
        <w:t xml:space="preserve">Sostiene el libelista que la imposibilidad para el concesionario de </w:t>
      </w:r>
      <w:r w:rsidRPr="004F681E">
        <w:rPr>
          <w:rFonts w:ascii="Arial" w:hAnsi="Arial" w:cs="Arial"/>
        </w:rPr>
        <w:t>explotar las pantallas objeto del contrato de concesión durante el certamen del fútbol Sub-20</w:t>
      </w:r>
      <w:r w:rsidR="00166ABA" w:rsidRPr="004F681E">
        <w:rPr>
          <w:rFonts w:ascii="Arial" w:hAnsi="Arial" w:cs="Arial"/>
        </w:rPr>
        <w:t>,</w:t>
      </w:r>
      <w:r w:rsidRPr="004F681E">
        <w:rPr>
          <w:rFonts w:ascii="Arial" w:hAnsi="Arial" w:cs="Arial"/>
        </w:rPr>
        <w:t xml:space="preserve"> </w:t>
      </w:r>
      <w:r w:rsidR="00C95FC3" w:rsidRPr="004F681E">
        <w:rPr>
          <w:rFonts w:ascii="Arial" w:hAnsi="Arial" w:cs="Arial"/>
        </w:rPr>
        <w:t xml:space="preserve">derivada de </w:t>
      </w:r>
      <w:r w:rsidRPr="004F681E">
        <w:rPr>
          <w:rFonts w:ascii="Arial" w:hAnsi="Arial" w:cs="Arial"/>
        </w:rPr>
        <w:t>una obligación a</w:t>
      </w:r>
      <w:r w:rsidR="00166ABA" w:rsidRPr="004F681E">
        <w:rPr>
          <w:rFonts w:ascii="Arial" w:hAnsi="Arial" w:cs="Arial"/>
        </w:rPr>
        <w:t>dquirida con la FIFA que consistió</w:t>
      </w:r>
      <w:r w:rsidRPr="004F681E">
        <w:rPr>
          <w:rFonts w:ascii="Arial" w:hAnsi="Arial" w:cs="Arial"/>
        </w:rPr>
        <w:t xml:space="preserve"> en no presentar algún tipo de publicidad promocional durante el evento deportivo</w:t>
      </w:r>
      <w:r w:rsidR="00166ABA" w:rsidRPr="004F681E">
        <w:rPr>
          <w:rFonts w:ascii="Arial" w:hAnsi="Arial" w:cs="Arial"/>
        </w:rPr>
        <w:t>,</w:t>
      </w:r>
      <w:r w:rsidRPr="004F681E">
        <w:rPr>
          <w:rFonts w:ascii="Arial" w:hAnsi="Arial" w:cs="Arial"/>
        </w:rPr>
        <w:t xml:space="preserve"> constituyó un supuesto de incumplimiento contractual atribuible a la entidad contratante.  </w:t>
      </w:r>
    </w:p>
    <w:p w:rsidR="001C62B3" w:rsidRPr="004F681E" w:rsidRDefault="001C62B3" w:rsidP="001C62B3">
      <w:pPr>
        <w:spacing w:line="360" w:lineRule="auto"/>
        <w:jc w:val="both"/>
        <w:rPr>
          <w:rFonts w:ascii="Arial" w:hAnsi="Arial" w:cs="Arial"/>
        </w:rPr>
      </w:pPr>
      <w:r w:rsidRPr="004F681E">
        <w:rPr>
          <w:rFonts w:ascii="Arial" w:hAnsi="Arial" w:cs="Arial"/>
        </w:rPr>
        <w:t>En relación con este aspecto, la Sala considera necesario puntualizar que, distinto de lo ocurrido en el evento anterior, la obligación que en este caso se reputa incumplida no surgió de un compromiso que la entidad hubiera introducido expresamente a su cargo en la cláusula “</w:t>
      </w:r>
      <w:r w:rsidRPr="004F681E">
        <w:rPr>
          <w:rFonts w:ascii="Arial" w:hAnsi="Arial" w:cs="Arial"/>
          <w:i/>
        </w:rPr>
        <w:t>de obligaciones del IDRD</w:t>
      </w:r>
      <w:r w:rsidRPr="004F681E">
        <w:rPr>
          <w:rFonts w:ascii="Arial" w:hAnsi="Arial" w:cs="Arial"/>
        </w:rPr>
        <w:t xml:space="preserve">” del texto contractual o en algún otro documento que hiciera parte integral del mismo o que emanara de la entidad. </w:t>
      </w:r>
    </w:p>
    <w:p w:rsidR="001C62B3" w:rsidRPr="004F681E" w:rsidRDefault="001C62B3" w:rsidP="001C62B3">
      <w:pPr>
        <w:spacing w:line="360" w:lineRule="auto"/>
        <w:jc w:val="both"/>
        <w:rPr>
          <w:rFonts w:ascii="Arial" w:hAnsi="Arial" w:cs="Arial"/>
        </w:rPr>
      </w:pPr>
    </w:p>
    <w:p w:rsidR="001C62B3" w:rsidRPr="004F681E" w:rsidRDefault="001C62B3" w:rsidP="001C62B3">
      <w:pPr>
        <w:spacing w:line="360" w:lineRule="auto"/>
        <w:jc w:val="both"/>
        <w:rPr>
          <w:rFonts w:ascii="Arial" w:hAnsi="Arial" w:cs="Arial"/>
        </w:rPr>
      </w:pPr>
      <w:r w:rsidRPr="004F681E">
        <w:rPr>
          <w:rFonts w:ascii="Arial" w:hAnsi="Arial" w:cs="Arial"/>
        </w:rPr>
        <w:t xml:space="preserve">Tampoco se derivó del acto administrativo condensado en la Resolución </w:t>
      </w:r>
      <w:r w:rsidRPr="004F681E">
        <w:rPr>
          <w:rFonts w:ascii="Arial" w:hAnsi="Arial" w:cs="Arial"/>
          <w:lang w:val="es-CO"/>
        </w:rPr>
        <w:t>No. 327 del 23 de julio de 2010</w:t>
      </w:r>
      <w:r w:rsidR="00166ABA" w:rsidRPr="004F681E">
        <w:rPr>
          <w:rFonts w:ascii="Arial" w:hAnsi="Arial" w:cs="Arial"/>
          <w:lang w:val="es-CO"/>
        </w:rPr>
        <w:t>,</w:t>
      </w:r>
      <w:r w:rsidRPr="004F681E">
        <w:rPr>
          <w:rFonts w:ascii="Arial" w:hAnsi="Arial" w:cs="Arial"/>
          <w:lang w:val="es-CO"/>
        </w:rPr>
        <w:t xml:space="preserve"> por el cual el Instituto ejerció su potestad de modificación unilateral del Contrato No. 475, en tanto la obligación que allí se adquirió por la entidad recayó en el reconocimiento de la utilidad dejada de percibir por el concesionario por </w:t>
      </w:r>
      <w:r w:rsidRPr="004F681E">
        <w:rPr>
          <w:rFonts w:ascii="Arial" w:hAnsi="Arial" w:cs="Arial"/>
          <w:i/>
          <w:u w:val="single"/>
          <w:lang w:val="es-CO"/>
        </w:rPr>
        <w:t>el término de ejecución de las labores de desmonte y montaje de la referida pantalla</w:t>
      </w:r>
      <w:r w:rsidRPr="004F681E">
        <w:rPr>
          <w:rFonts w:ascii="Arial" w:hAnsi="Arial" w:cs="Arial"/>
          <w:i/>
          <w:lang w:val="es-CO"/>
        </w:rPr>
        <w:t xml:space="preserve">, </w:t>
      </w:r>
      <w:r w:rsidRPr="004F681E">
        <w:rPr>
          <w:rFonts w:ascii="Arial" w:hAnsi="Arial" w:cs="Arial"/>
          <w:lang w:val="es-CO"/>
        </w:rPr>
        <w:t xml:space="preserve">lo cual ya fue materia </w:t>
      </w:r>
      <w:r w:rsidR="003478C7" w:rsidRPr="004F681E">
        <w:rPr>
          <w:rFonts w:ascii="Arial" w:hAnsi="Arial" w:cs="Arial"/>
          <w:lang w:val="es-CO"/>
        </w:rPr>
        <w:t xml:space="preserve">de </w:t>
      </w:r>
      <w:r w:rsidRPr="004F681E">
        <w:rPr>
          <w:rFonts w:ascii="Arial" w:hAnsi="Arial" w:cs="Arial"/>
          <w:lang w:val="es-CO"/>
        </w:rPr>
        <w:t>análisis</w:t>
      </w:r>
      <w:r w:rsidRPr="004F681E">
        <w:rPr>
          <w:rFonts w:ascii="Arial" w:hAnsi="Arial" w:cs="Arial"/>
          <w:i/>
          <w:lang w:val="es-CO"/>
        </w:rPr>
        <w:t>.</w:t>
      </w:r>
      <w:r w:rsidRPr="004F681E">
        <w:rPr>
          <w:rFonts w:ascii="Arial" w:hAnsi="Arial" w:cs="Arial"/>
          <w:lang w:val="es-CO"/>
        </w:rPr>
        <w:t xml:space="preserve"> Nada se dijo en ese acto acerca de los compromisos adquiridos con la FIFA de no presentar publicidad durante el Campeonato de Futbol Sub-20</w:t>
      </w:r>
      <w:r w:rsidR="003478C7" w:rsidRPr="004F681E">
        <w:rPr>
          <w:rFonts w:ascii="Arial" w:hAnsi="Arial" w:cs="Arial"/>
          <w:lang w:val="es-CO"/>
        </w:rPr>
        <w:t xml:space="preserve"> que derivaron</w:t>
      </w:r>
      <w:r w:rsidR="00166ABA" w:rsidRPr="004F681E">
        <w:rPr>
          <w:rFonts w:ascii="Arial" w:hAnsi="Arial" w:cs="Arial"/>
          <w:lang w:val="es-CO"/>
        </w:rPr>
        <w:t xml:space="preserve"> en</w:t>
      </w:r>
      <w:r w:rsidR="003478C7" w:rsidRPr="004F681E">
        <w:rPr>
          <w:rFonts w:ascii="Arial" w:hAnsi="Arial" w:cs="Arial"/>
          <w:lang w:val="es-CO"/>
        </w:rPr>
        <w:t xml:space="preserve"> la imposibilidad de explotar la pantalla mientras se desarrollaba el encuentro deportivo.</w:t>
      </w:r>
    </w:p>
    <w:p w:rsidR="001C62B3" w:rsidRPr="004F681E" w:rsidRDefault="001C62B3" w:rsidP="001C62B3">
      <w:pPr>
        <w:spacing w:line="360" w:lineRule="auto"/>
        <w:jc w:val="both"/>
        <w:rPr>
          <w:rFonts w:ascii="Arial" w:hAnsi="Arial" w:cs="Arial"/>
        </w:rPr>
      </w:pPr>
    </w:p>
    <w:p w:rsidR="00F75B3A" w:rsidRPr="004F681E" w:rsidRDefault="001C62B3" w:rsidP="001C62B3">
      <w:pPr>
        <w:spacing w:line="360" w:lineRule="auto"/>
        <w:jc w:val="both"/>
        <w:rPr>
          <w:rFonts w:ascii="Arial" w:hAnsi="Arial" w:cs="Arial"/>
        </w:rPr>
      </w:pPr>
      <w:r w:rsidRPr="004F681E">
        <w:rPr>
          <w:rFonts w:ascii="Arial" w:hAnsi="Arial" w:cs="Arial"/>
        </w:rPr>
        <w:t xml:space="preserve">Sucede en este evento que, en principio, la carga obligacional supuestamente inobservada por la entidad pública habría de tener origen en la propia naturaleza del objeto contractual y en los elementos esenciales que lo conforman. </w:t>
      </w:r>
    </w:p>
    <w:p w:rsidR="00F75B3A" w:rsidRPr="004F681E" w:rsidRDefault="00F75B3A" w:rsidP="001C62B3">
      <w:pPr>
        <w:spacing w:line="360" w:lineRule="auto"/>
        <w:jc w:val="both"/>
        <w:rPr>
          <w:rFonts w:ascii="Arial" w:hAnsi="Arial" w:cs="Arial"/>
        </w:rPr>
      </w:pPr>
    </w:p>
    <w:p w:rsidR="001C62B3" w:rsidRPr="004F681E" w:rsidRDefault="001C62B3" w:rsidP="001C62B3">
      <w:pPr>
        <w:spacing w:line="360" w:lineRule="auto"/>
        <w:jc w:val="both"/>
        <w:rPr>
          <w:rFonts w:ascii="Arial" w:hAnsi="Arial" w:cs="Arial"/>
        </w:rPr>
      </w:pPr>
      <w:r w:rsidRPr="004F681E">
        <w:rPr>
          <w:rFonts w:ascii="Arial" w:hAnsi="Arial" w:cs="Arial"/>
        </w:rPr>
        <w:t>En ese sentido</w:t>
      </w:r>
      <w:r w:rsidR="00166ABA" w:rsidRPr="004F681E">
        <w:rPr>
          <w:rFonts w:ascii="Arial" w:hAnsi="Arial" w:cs="Arial"/>
        </w:rPr>
        <w:t>,</w:t>
      </w:r>
      <w:r w:rsidRPr="004F681E">
        <w:rPr>
          <w:rFonts w:ascii="Arial" w:hAnsi="Arial" w:cs="Arial"/>
        </w:rPr>
        <w:t xml:space="preserve"> no puede perderse de vista que, </w:t>
      </w:r>
      <w:r w:rsidRPr="004F681E">
        <w:rPr>
          <w:rFonts w:ascii="Arial" w:hAnsi="Arial" w:cs="Arial"/>
          <w:lang w:val="es-CO"/>
        </w:rPr>
        <w:t>al tenor de la cláusula segunda,</w:t>
      </w:r>
      <w:r w:rsidRPr="004F681E">
        <w:rPr>
          <w:rFonts w:ascii="Arial" w:hAnsi="Arial" w:cs="Arial"/>
        </w:rPr>
        <w:t xml:space="preserve"> el objeto del contrato </w:t>
      </w:r>
      <w:r w:rsidR="00166ABA" w:rsidRPr="004F681E">
        <w:rPr>
          <w:rFonts w:ascii="Arial" w:hAnsi="Arial" w:cs="Arial"/>
          <w:lang w:val="es-CO"/>
        </w:rPr>
        <w:t>estribó</w:t>
      </w:r>
      <w:r w:rsidRPr="004F681E">
        <w:rPr>
          <w:rFonts w:ascii="Arial" w:hAnsi="Arial" w:cs="Arial"/>
          <w:lang w:val="es-CO"/>
        </w:rPr>
        <w:t xml:space="preserve"> en entregar en concesión a la unión temporal Publiestadios el suministro, instalación, mantenimiento, operación y prestación del servicio de la pantalla gigante del estadio Nemesio Camacho el </w:t>
      </w:r>
      <w:r w:rsidR="009870ED" w:rsidRPr="004F681E">
        <w:rPr>
          <w:rFonts w:ascii="Arial" w:hAnsi="Arial" w:cs="Arial"/>
          <w:lang w:val="es-CO"/>
        </w:rPr>
        <w:t>Campín</w:t>
      </w:r>
      <w:r w:rsidR="00166ABA" w:rsidRPr="004F681E">
        <w:rPr>
          <w:rFonts w:ascii="Arial" w:hAnsi="Arial" w:cs="Arial"/>
          <w:lang w:val="es-CO"/>
        </w:rPr>
        <w:t>,</w:t>
      </w:r>
      <w:r w:rsidRPr="004F681E">
        <w:rPr>
          <w:rFonts w:ascii="Arial" w:hAnsi="Arial" w:cs="Arial"/>
          <w:lang w:val="es-CO"/>
        </w:rPr>
        <w:t xml:space="preserve"> ubicada en el sector norte del estadio y su cara posterior, de la pantalla exterior ubicada sobre alguno de los muros laterales que componen la estructura de la torre de los ascensores y una pantalla móvil o itinerante.</w:t>
      </w:r>
    </w:p>
    <w:p w:rsidR="001C62B3" w:rsidRPr="004F681E" w:rsidRDefault="001C62B3" w:rsidP="001C62B3">
      <w:pPr>
        <w:spacing w:line="360" w:lineRule="auto"/>
        <w:jc w:val="both"/>
        <w:rPr>
          <w:rFonts w:ascii="Arial" w:hAnsi="Arial" w:cs="Arial"/>
        </w:rPr>
      </w:pPr>
    </w:p>
    <w:p w:rsidR="001C62B3" w:rsidRPr="004F681E" w:rsidRDefault="00166ABA" w:rsidP="001C62B3">
      <w:pPr>
        <w:spacing w:line="360" w:lineRule="auto"/>
        <w:jc w:val="both"/>
        <w:rPr>
          <w:rFonts w:ascii="Arial" w:hAnsi="Arial" w:cs="Arial"/>
        </w:rPr>
      </w:pPr>
      <w:r w:rsidRPr="004F681E">
        <w:rPr>
          <w:rFonts w:ascii="Arial" w:hAnsi="Arial" w:cs="Arial"/>
        </w:rPr>
        <w:t>De cara a lo advertido, resulta</w:t>
      </w:r>
      <w:r w:rsidR="001C62B3" w:rsidRPr="004F681E">
        <w:rPr>
          <w:rFonts w:ascii="Arial" w:hAnsi="Arial" w:cs="Arial"/>
        </w:rPr>
        <w:t xml:space="preserve"> indiscutible que la obligación principal de la entidad consistió en entregar en concesión la operación y prestación del servicio de la pantalla, cuestión que de suyo traía consigo el deber de permitir que de manera ininterrumpida se explotara</w:t>
      </w:r>
      <w:r w:rsidRPr="004F681E">
        <w:rPr>
          <w:rFonts w:ascii="Arial" w:hAnsi="Arial" w:cs="Arial"/>
        </w:rPr>
        <w:t>n</w:t>
      </w:r>
      <w:r w:rsidR="001C62B3" w:rsidRPr="004F681E">
        <w:rPr>
          <w:rFonts w:ascii="Arial" w:hAnsi="Arial" w:cs="Arial"/>
        </w:rPr>
        <w:t xml:space="preserve"> los elementos electrónicos y se prestara el servicio de publicidad concedidos durante el término contractual estipulado. En ese orden, de presentarse una conducta por parte de la entidad por virtud de la cual se obstaculizara la explotación de los elementos y la prestación del servicio concedido</w:t>
      </w:r>
      <w:r w:rsidR="00DE7FAE" w:rsidRPr="004F681E">
        <w:rPr>
          <w:rFonts w:ascii="Arial" w:hAnsi="Arial" w:cs="Arial"/>
        </w:rPr>
        <w:t>s</w:t>
      </w:r>
      <w:r w:rsidR="001C62B3" w:rsidRPr="004F681E">
        <w:rPr>
          <w:rFonts w:ascii="Arial" w:hAnsi="Arial" w:cs="Arial"/>
        </w:rPr>
        <w:t xml:space="preserve"> se habría de configurar eventualmente un incumplimiento de su obligación primaria.</w:t>
      </w:r>
    </w:p>
    <w:p w:rsidR="001C62B3" w:rsidRPr="004F681E" w:rsidRDefault="001C62B3" w:rsidP="001C62B3">
      <w:pPr>
        <w:spacing w:line="360" w:lineRule="auto"/>
        <w:jc w:val="both"/>
        <w:rPr>
          <w:rFonts w:ascii="Arial" w:hAnsi="Arial" w:cs="Arial"/>
        </w:rPr>
      </w:pPr>
    </w:p>
    <w:p w:rsidR="001C62B3" w:rsidRPr="004F681E" w:rsidRDefault="001C62B3" w:rsidP="001C62B3">
      <w:pPr>
        <w:spacing w:line="360" w:lineRule="auto"/>
        <w:jc w:val="both"/>
        <w:rPr>
          <w:rFonts w:ascii="Arial" w:hAnsi="Arial" w:cs="Arial"/>
          <w:lang w:val="es-CO"/>
        </w:rPr>
      </w:pPr>
      <w:r w:rsidRPr="004F681E">
        <w:rPr>
          <w:rFonts w:ascii="Arial" w:hAnsi="Arial" w:cs="Arial"/>
          <w:lang w:val="es-CO"/>
        </w:rPr>
        <w:t xml:space="preserve">No obstante, de la revisión de las pruebas </w:t>
      </w:r>
      <w:r w:rsidR="006B18BA" w:rsidRPr="004F681E">
        <w:rPr>
          <w:rFonts w:ascii="Arial" w:hAnsi="Arial" w:cs="Arial"/>
          <w:lang w:val="es-CO"/>
        </w:rPr>
        <w:t>al</w:t>
      </w:r>
      <w:r w:rsidR="009042DB" w:rsidRPr="004F681E">
        <w:rPr>
          <w:rFonts w:ascii="Arial" w:hAnsi="Arial" w:cs="Arial"/>
          <w:lang w:val="es-CO"/>
        </w:rPr>
        <w:t>l</w:t>
      </w:r>
      <w:r w:rsidR="006B18BA" w:rsidRPr="004F681E">
        <w:rPr>
          <w:rFonts w:ascii="Arial" w:hAnsi="Arial" w:cs="Arial"/>
          <w:lang w:val="es-CO"/>
        </w:rPr>
        <w:t>egadas a</w:t>
      </w:r>
      <w:r w:rsidRPr="004F681E">
        <w:rPr>
          <w:rFonts w:ascii="Arial" w:hAnsi="Arial" w:cs="Arial"/>
          <w:lang w:val="es-CO"/>
        </w:rPr>
        <w:t>l plenario para sustentar el petitum, la Sala evidencia que en este preciso evento, a diferencia de lo sostenido por el apelante</w:t>
      </w:r>
      <w:r w:rsidR="006B18BA" w:rsidRPr="004F681E">
        <w:rPr>
          <w:rFonts w:ascii="Arial" w:hAnsi="Arial" w:cs="Arial"/>
          <w:lang w:val="es-CO"/>
        </w:rPr>
        <w:t>,</w:t>
      </w:r>
      <w:r w:rsidRPr="004F681E">
        <w:rPr>
          <w:rFonts w:ascii="Arial" w:hAnsi="Arial" w:cs="Arial"/>
          <w:lang w:val="es-CO"/>
        </w:rPr>
        <w:t xml:space="preserve"> en realidad no concurrió un supuesto de incumplimiento contractual sino de ruptura del equilibrio económico de</w:t>
      </w:r>
      <w:r w:rsidR="00467563" w:rsidRPr="004F681E">
        <w:rPr>
          <w:rFonts w:ascii="Arial" w:hAnsi="Arial" w:cs="Arial"/>
          <w:lang w:val="es-CO"/>
        </w:rPr>
        <w:t>l contrato por las razones que</w:t>
      </w:r>
      <w:r w:rsidRPr="004F681E">
        <w:rPr>
          <w:rFonts w:ascii="Arial" w:hAnsi="Arial" w:cs="Arial"/>
          <w:lang w:val="es-CO"/>
        </w:rPr>
        <w:t xml:space="preserve"> pasan a exponerse. </w:t>
      </w:r>
    </w:p>
    <w:p w:rsidR="001C62B3" w:rsidRPr="004F681E" w:rsidRDefault="001C62B3" w:rsidP="001C62B3">
      <w:pPr>
        <w:spacing w:line="360" w:lineRule="auto"/>
        <w:jc w:val="both"/>
        <w:rPr>
          <w:rFonts w:ascii="Arial" w:hAnsi="Arial" w:cs="Arial"/>
          <w:lang w:val="es-CO"/>
        </w:rPr>
      </w:pPr>
    </w:p>
    <w:p w:rsidR="001C62B3" w:rsidRPr="004F681E" w:rsidRDefault="001C62B3" w:rsidP="001C62B3">
      <w:pPr>
        <w:spacing w:line="360" w:lineRule="auto"/>
        <w:jc w:val="both"/>
        <w:rPr>
          <w:rFonts w:ascii="Arial" w:hAnsi="Arial" w:cs="Arial"/>
          <w:lang w:val="es-CO"/>
        </w:rPr>
      </w:pPr>
      <w:r w:rsidRPr="004F681E">
        <w:rPr>
          <w:rFonts w:ascii="Arial" w:hAnsi="Arial" w:cs="Arial"/>
          <w:lang w:val="es-CO"/>
        </w:rPr>
        <w:t xml:space="preserve">De antaño, tanto la jurisprudencia y la doctrina foráneas y locales han coincidido en sostener que una de las causas de fractura del sinalagma prestacional puede radicar en el hecho del príncipe o </w:t>
      </w:r>
      <w:r w:rsidRPr="004F681E">
        <w:rPr>
          <w:rFonts w:ascii="Arial" w:hAnsi="Arial" w:cs="Arial"/>
          <w:i/>
          <w:lang w:val="es-CO"/>
        </w:rPr>
        <w:t>“factum principis</w:t>
      </w:r>
      <w:r w:rsidRPr="004F681E">
        <w:rPr>
          <w:rFonts w:ascii="Arial" w:hAnsi="Arial" w:cs="Arial"/>
          <w:lang w:val="es-CO"/>
        </w:rPr>
        <w:t>”</w:t>
      </w:r>
      <w:r w:rsidR="00166ABA" w:rsidRPr="004F681E">
        <w:rPr>
          <w:rFonts w:ascii="Arial" w:hAnsi="Arial" w:cs="Arial"/>
          <w:lang w:val="es-CO"/>
        </w:rPr>
        <w:t>,</w:t>
      </w:r>
      <w:r w:rsidRPr="004F681E">
        <w:rPr>
          <w:rFonts w:ascii="Arial" w:hAnsi="Arial" w:cs="Arial"/>
          <w:lang w:val="es-CO"/>
        </w:rPr>
        <w:t xml:space="preserve"> entendido como una actuación o medida general del Estado que impacta de manera refleja el equilibrio económico del contrato</w:t>
      </w:r>
      <w:r w:rsidR="00444F23" w:rsidRPr="004F681E">
        <w:rPr>
          <w:rFonts w:ascii="Arial" w:hAnsi="Arial" w:cs="Arial"/>
          <w:lang w:val="es-CO"/>
        </w:rPr>
        <w:t>, aun cuando no es</w:t>
      </w:r>
      <w:r w:rsidR="000A1953" w:rsidRPr="004F681E">
        <w:rPr>
          <w:rFonts w:ascii="Arial" w:hAnsi="Arial" w:cs="Arial"/>
          <w:lang w:val="es-CO"/>
        </w:rPr>
        <w:t xml:space="preserve"> su</w:t>
      </w:r>
      <w:r w:rsidR="009B47C0" w:rsidRPr="004F681E">
        <w:rPr>
          <w:rFonts w:ascii="Arial" w:hAnsi="Arial" w:cs="Arial"/>
          <w:lang w:val="es-CO"/>
        </w:rPr>
        <w:t xml:space="preserve"> finalidad repercutir directamente en el mismo.</w:t>
      </w:r>
      <w:r w:rsidRPr="004F681E">
        <w:rPr>
          <w:rFonts w:ascii="Arial" w:hAnsi="Arial" w:cs="Arial"/>
          <w:lang w:val="es-CO"/>
        </w:rPr>
        <w:t xml:space="preserve"> </w:t>
      </w:r>
    </w:p>
    <w:p w:rsidR="001C62B3" w:rsidRPr="004F681E" w:rsidRDefault="001C62B3" w:rsidP="001C62B3">
      <w:pPr>
        <w:spacing w:line="360" w:lineRule="auto"/>
        <w:jc w:val="both"/>
        <w:rPr>
          <w:rFonts w:ascii="Arial" w:hAnsi="Arial" w:cs="Arial"/>
          <w:lang w:val="es-CO"/>
        </w:rPr>
      </w:pPr>
    </w:p>
    <w:p w:rsidR="00091735" w:rsidRPr="004F681E" w:rsidRDefault="002808AB" w:rsidP="001C62B3">
      <w:pPr>
        <w:spacing w:line="360" w:lineRule="auto"/>
        <w:jc w:val="both"/>
        <w:rPr>
          <w:rFonts w:ascii="Arial" w:hAnsi="Arial" w:cs="Arial"/>
          <w:lang w:val="es-CO"/>
        </w:rPr>
      </w:pPr>
      <w:r w:rsidRPr="004F681E">
        <w:rPr>
          <w:rFonts w:ascii="Arial" w:hAnsi="Arial" w:cs="Arial"/>
          <w:lang w:val="es-CO"/>
        </w:rPr>
        <w:t>Dicha figura</w:t>
      </w:r>
      <w:r w:rsidR="001C62B3" w:rsidRPr="004F681E">
        <w:rPr>
          <w:rFonts w:ascii="Arial" w:hAnsi="Arial" w:cs="Arial"/>
          <w:lang w:val="es-CO"/>
        </w:rPr>
        <w:t xml:space="preserve"> ha sido definida por el derecho español como las actuaciones generales que inciden directamente en el contrato </w:t>
      </w:r>
      <w:r w:rsidR="00FD25AD" w:rsidRPr="004F681E">
        <w:rPr>
          <w:rFonts w:ascii="Arial" w:hAnsi="Arial" w:cs="Arial"/>
          <w:lang w:val="es-CO"/>
        </w:rPr>
        <w:t xml:space="preserve">y </w:t>
      </w:r>
      <w:r w:rsidRPr="004F681E">
        <w:rPr>
          <w:rFonts w:ascii="Arial" w:hAnsi="Arial" w:cs="Arial"/>
          <w:lang w:val="es-CO"/>
        </w:rPr>
        <w:t xml:space="preserve">a la vez </w:t>
      </w:r>
      <w:r w:rsidR="00FD25AD" w:rsidRPr="004F681E">
        <w:rPr>
          <w:rFonts w:ascii="Arial" w:hAnsi="Arial" w:cs="Arial"/>
          <w:lang w:val="es-CO"/>
        </w:rPr>
        <w:t xml:space="preserve">ha considerado que la </w:t>
      </w:r>
      <w:r w:rsidR="00FD25AD" w:rsidRPr="004F681E">
        <w:rPr>
          <w:rFonts w:ascii="Arial" w:hAnsi="Arial" w:cs="Arial"/>
          <w:i/>
          <w:lang w:val="es-CO"/>
        </w:rPr>
        <w:t>“</w:t>
      </w:r>
      <w:r w:rsidR="00E92F13" w:rsidRPr="004F681E">
        <w:rPr>
          <w:rFonts w:ascii="Arial" w:hAnsi="Arial" w:cs="Arial"/>
          <w:i/>
          <w:lang w:val="es-CO"/>
        </w:rPr>
        <w:t>A</w:t>
      </w:r>
      <w:r w:rsidR="00FD25AD" w:rsidRPr="004F681E">
        <w:rPr>
          <w:rFonts w:ascii="Arial" w:hAnsi="Arial" w:cs="Arial"/>
          <w:i/>
          <w:lang w:val="es-CO"/>
        </w:rPr>
        <w:t xml:space="preserve">dministración contratante no es la causante directa de la </w:t>
      </w:r>
      <w:r w:rsidR="004E0398" w:rsidRPr="004F681E">
        <w:rPr>
          <w:rFonts w:ascii="Arial" w:hAnsi="Arial" w:cs="Arial"/>
          <w:i/>
          <w:lang w:val="es-CO"/>
        </w:rPr>
        <w:t>ruptura,</w:t>
      </w:r>
      <w:r w:rsidR="00FD25AD" w:rsidRPr="004F681E">
        <w:rPr>
          <w:rFonts w:ascii="Arial" w:hAnsi="Arial" w:cs="Arial"/>
          <w:i/>
          <w:lang w:val="es-CO"/>
        </w:rPr>
        <w:t xml:space="preserve"> sino que es la actuación de un poder público (que puede ser la propia administración, u otro poder público), decidiendo sobr</w:t>
      </w:r>
      <w:r w:rsidR="006772DB" w:rsidRPr="004F681E">
        <w:rPr>
          <w:rFonts w:ascii="Arial" w:hAnsi="Arial" w:cs="Arial"/>
          <w:i/>
          <w:lang w:val="es-CO"/>
        </w:rPr>
        <w:t>e c</w:t>
      </w:r>
      <w:r w:rsidR="003733B2" w:rsidRPr="004F681E">
        <w:rPr>
          <w:rFonts w:ascii="Arial" w:hAnsi="Arial" w:cs="Arial"/>
          <w:i/>
          <w:lang w:val="es-CO"/>
        </w:rPr>
        <w:t>uestiones ajenas al contrato, la</w:t>
      </w:r>
      <w:r w:rsidR="006772DB" w:rsidRPr="004F681E">
        <w:rPr>
          <w:rFonts w:ascii="Arial" w:hAnsi="Arial" w:cs="Arial"/>
          <w:i/>
          <w:lang w:val="es-CO"/>
        </w:rPr>
        <w:t xml:space="preserve"> que produce </w:t>
      </w:r>
      <w:r w:rsidR="003733B2" w:rsidRPr="004F681E">
        <w:rPr>
          <w:rFonts w:ascii="Arial" w:hAnsi="Arial" w:cs="Arial"/>
          <w:i/>
          <w:lang w:val="es-CO"/>
        </w:rPr>
        <w:t>más</w:t>
      </w:r>
      <w:r w:rsidR="006772DB" w:rsidRPr="004F681E">
        <w:rPr>
          <w:rFonts w:ascii="Arial" w:hAnsi="Arial" w:cs="Arial"/>
          <w:i/>
          <w:lang w:val="es-CO"/>
        </w:rPr>
        <w:t xml:space="preserve"> consecuencias econ</w:t>
      </w:r>
      <w:r w:rsidR="003733B2" w:rsidRPr="004F681E">
        <w:rPr>
          <w:rFonts w:ascii="Arial" w:hAnsi="Arial" w:cs="Arial"/>
          <w:i/>
          <w:lang w:val="es-CO"/>
        </w:rPr>
        <w:t>ómicas que repercuten en el contrato alternado su ecuación financiera</w:t>
      </w:r>
      <w:r w:rsidR="00511824" w:rsidRPr="004F681E">
        <w:rPr>
          <w:rFonts w:ascii="Arial" w:hAnsi="Arial" w:cs="Arial"/>
          <w:i/>
          <w:lang w:val="es-CO"/>
        </w:rPr>
        <w:t>”</w:t>
      </w:r>
      <w:r w:rsidR="00511824" w:rsidRPr="004F681E">
        <w:rPr>
          <w:rStyle w:val="Refdenotaalpie"/>
          <w:rFonts w:ascii="Arial" w:hAnsi="Arial" w:cs="Arial"/>
          <w:i/>
          <w:lang w:val="es-CO"/>
        </w:rPr>
        <w:footnoteReference w:id="70"/>
      </w:r>
      <w:r w:rsidR="003733B2" w:rsidRPr="004F681E">
        <w:rPr>
          <w:rFonts w:ascii="Arial" w:hAnsi="Arial" w:cs="Arial"/>
          <w:lang w:val="es-CO"/>
        </w:rPr>
        <w:t xml:space="preserve">. </w:t>
      </w:r>
    </w:p>
    <w:p w:rsidR="00166ABA" w:rsidRPr="004F681E" w:rsidRDefault="00166ABA" w:rsidP="001C62B3">
      <w:pPr>
        <w:spacing w:line="360" w:lineRule="auto"/>
        <w:jc w:val="both"/>
        <w:rPr>
          <w:rFonts w:ascii="Arial" w:hAnsi="Arial" w:cs="Arial"/>
          <w:lang w:val="es-CO"/>
        </w:rPr>
      </w:pPr>
    </w:p>
    <w:p w:rsidR="006E3F18" w:rsidRPr="004F681E" w:rsidRDefault="006E3F18" w:rsidP="001C62B3">
      <w:pPr>
        <w:spacing w:line="360" w:lineRule="auto"/>
        <w:jc w:val="both"/>
        <w:rPr>
          <w:rFonts w:ascii="Arial" w:hAnsi="Arial" w:cs="Arial"/>
          <w:lang w:val="es-CO"/>
        </w:rPr>
      </w:pPr>
      <w:r w:rsidRPr="004F681E">
        <w:rPr>
          <w:rFonts w:ascii="Arial" w:hAnsi="Arial" w:cs="Arial"/>
          <w:lang w:val="es-CO"/>
        </w:rPr>
        <w:t>A su turno</w:t>
      </w:r>
      <w:r w:rsidR="00166ABA" w:rsidRPr="004F681E">
        <w:rPr>
          <w:rFonts w:ascii="Arial" w:hAnsi="Arial" w:cs="Arial"/>
          <w:lang w:val="es-CO"/>
        </w:rPr>
        <w:t>,</w:t>
      </w:r>
      <w:r w:rsidRPr="004F681E">
        <w:rPr>
          <w:rFonts w:ascii="Arial" w:hAnsi="Arial" w:cs="Arial"/>
          <w:lang w:val="es-CO"/>
        </w:rPr>
        <w:t xml:space="preserve"> la doctrina nacional ha sostenido que “</w:t>
      </w:r>
      <w:r w:rsidRPr="004F681E">
        <w:rPr>
          <w:rFonts w:ascii="Arial" w:hAnsi="Arial" w:cs="Arial"/>
          <w:i/>
          <w:lang w:val="es-CO"/>
        </w:rPr>
        <w:t>se trata de decisiones adoptadas</w:t>
      </w:r>
      <w:r w:rsidR="00091735" w:rsidRPr="004F681E">
        <w:rPr>
          <w:rFonts w:ascii="Arial" w:hAnsi="Arial" w:cs="Arial"/>
          <w:i/>
          <w:lang w:val="es-CO"/>
        </w:rPr>
        <w:t xml:space="preserve"> por alguna esfera oficial que no tienen por objeto el contrato </w:t>
      </w:r>
      <w:r w:rsidR="00066F66" w:rsidRPr="004F681E">
        <w:rPr>
          <w:rFonts w:ascii="Arial" w:hAnsi="Arial" w:cs="Arial"/>
          <w:i/>
          <w:lang w:val="es-CO"/>
        </w:rPr>
        <w:t>mismo,</w:t>
      </w:r>
      <w:r w:rsidR="00091735" w:rsidRPr="004F681E">
        <w:rPr>
          <w:rFonts w:ascii="Arial" w:hAnsi="Arial" w:cs="Arial"/>
          <w:i/>
          <w:lang w:val="es-CO"/>
        </w:rPr>
        <w:t xml:space="preserve"> sino que se refieren a una materia general, abstracta, dirigida a toda la población o por lo menos a parte de e</w:t>
      </w:r>
      <w:r w:rsidR="007B0654" w:rsidRPr="004F681E">
        <w:rPr>
          <w:rFonts w:ascii="Arial" w:hAnsi="Arial" w:cs="Arial"/>
          <w:i/>
          <w:lang w:val="es-CO"/>
        </w:rPr>
        <w:t>llo pero producen o mayor gasto</w:t>
      </w:r>
      <w:r w:rsidRPr="004F681E">
        <w:rPr>
          <w:rFonts w:ascii="Arial" w:hAnsi="Arial" w:cs="Arial"/>
          <w:i/>
          <w:lang w:val="es-CO"/>
        </w:rPr>
        <w:t xml:space="preserve"> </w:t>
      </w:r>
      <w:r w:rsidR="00066F66" w:rsidRPr="004F681E">
        <w:rPr>
          <w:rFonts w:ascii="Arial" w:hAnsi="Arial" w:cs="Arial"/>
          <w:i/>
          <w:lang w:val="es-CO"/>
        </w:rPr>
        <w:t>o afectan las utilidades de un determinado contrato por implicar una nueva erogación o la disminución o eliminación de la utilidad que presidió la elaboración de la oferta</w:t>
      </w:r>
      <w:r w:rsidR="00F72BED" w:rsidRPr="004F681E">
        <w:rPr>
          <w:rFonts w:ascii="Arial" w:hAnsi="Arial" w:cs="Arial"/>
          <w:lang w:val="es-CO"/>
        </w:rPr>
        <w:t>”</w:t>
      </w:r>
      <w:r w:rsidR="00A2090C" w:rsidRPr="004F681E">
        <w:rPr>
          <w:rStyle w:val="Refdenotaalpie"/>
          <w:rFonts w:ascii="Arial" w:hAnsi="Arial" w:cs="Arial"/>
          <w:lang w:val="es-CO"/>
        </w:rPr>
        <w:footnoteReference w:id="71"/>
      </w:r>
      <w:r w:rsidR="00A2090C" w:rsidRPr="004F681E">
        <w:rPr>
          <w:rFonts w:ascii="Arial" w:hAnsi="Arial" w:cs="Arial"/>
          <w:lang w:val="es-CO"/>
        </w:rPr>
        <w:t>.</w:t>
      </w:r>
      <w:r w:rsidR="00066F66" w:rsidRPr="004F681E">
        <w:rPr>
          <w:rFonts w:ascii="Arial" w:hAnsi="Arial" w:cs="Arial"/>
          <w:lang w:val="es-CO"/>
        </w:rPr>
        <w:t xml:space="preserve"> </w:t>
      </w:r>
    </w:p>
    <w:p w:rsidR="002C19A3" w:rsidRPr="004F681E" w:rsidRDefault="002C19A3" w:rsidP="001C62B3">
      <w:pPr>
        <w:spacing w:line="360" w:lineRule="auto"/>
        <w:jc w:val="both"/>
        <w:rPr>
          <w:rFonts w:ascii="Arial" w:hAnsi="Arial" w:cs="Arial"/>
          <w:lang w:val="es-CO"/>
        </w:rPr>
      </w:pPr>
    </w:p>
    <w:p w:rsidR="008E5D6D" w:rsidRPr="004F681E" w:rsidRDefault="00166ABA" w:rsidP="001C62B3">
      <w:pPr>
        <w:spacing w:line="360" w:lineRule="auto"/>
        <w:jc w:val="both"/>
        <w:rPr>
          <w:rFonts w:ascii="Arial" w:hAnsi="Arial" w:cs="Arial"/>
          <w:lang w:val="es-CO"/>
        </w:rPr>
      </w:pPr>
      <w:r w:rsidRPr="004F681E">
        <w:rPr>
          <w:rFonts w:ascii="Arial" w:hAnsi="Arial" w:cs="Arial"/>
          <w:lang w:val="es-CO"/>
        </w:rPr>
        <w:t>La jurisprudencia de</w:t>
      </w:r>
      <w:r w:rsidR="00A2090C" w:rsidRPr="004F681E">
        <w:rPr>
          <w:rFonts w:ascii="Arial" w:hAnsi="Arial" w:cs="Arial"/>
          <w:lang w:val="es-CO"/>
        </w:rPr>
        <w:t xml:space="preserve"> </w:t>
      </w:r>
      <w:r w:rsidR="00067A6D" w:rsidRPr="004F681E">
        <w:rPr>
          <w:rFonts w:ascii="Arial" w:hAnsi="Arial" w:cs="Arial"/>
          <w:lang w:val="es-CO"/>
        </w:rPr>
        <w:t>esta Corporaci</w:t>
      </w:r>
      <w:r w:rsidR="009D67B7" w:rsidRPr="004F681E">
        <w:rPr>
          <w:rFonts w:ascii="Arial" w:hAnsi="Arial" w:cs="Arial"/>
          <w:lang w:val="es-CO"/>
        </w:rPr>
        <w:t>ón</w:t>
      </w:r>
      <w:r w:rsidR="00A2090C" w:rsidRPr="004F681E">
        <w:rPr>
          <w:rFonts w:ascii="Arial" w:hAnsi="Arial" w:cs="Arial"/>
          <w:lang w:val="es-CO"/>
        </w:rPr>
        <w:t xml:space="preserve"> ha dispensado un tratamiento similar al examinado instituto</w:t>
      </w:r>
      <w:r w:rsidR="00D056B4" w:rsidRPr="004F681E">
        <w:rPr>
          <w:rFonts w:ascii="Arial" w:hAnsi="Arial" w:cs="Arial"/>
          <w:lang w:val="es-CO"/>
        </w:rPr>
        <w:t xml:space="preserve"> desde la óptica conceptual</w:t>
      </w:r>
      <w:r w:rsidR="008E5D6D" w:rsidRPr="004F681E">
        <w:rPr>
          <w:rFonts w:ascii="Arial" w:hAnsi="Arial" w:cs="Arial"/>
          <w:lang w:val="es-CO"/>
        </w:rPr>
        <w:t>. Sin embargo, a</w:t>
      </w:r>
      <w:r w:rsidR="001F2DB5" w:rsidRPr="004F681E">
        <w:rPr>
          <w:rFonts w:ascii="Arial" w:hAnsi="Arial" w:cs="Arial"/>
          <w:lang w:val="es-CO"/>
        </w:rPr>
        <w:t xml:space="preserve"> pesar de ello</w:t>
      </w:r>
      <w:r w:rsidR="002808AB" w:rsidRPr="004F681E">
        <w:rPr>
          <w:rFonts w:ascii="Arial" w:hAnsi="Arial" w:cs="Arial"/>
          <w:lang w:val="es-CO"/>
        </w:rPr>
        <w:t>,</w:t>
      </w:r>
      <w:r w:rsidR="001F2DB5" w:rsidRPr="004F681E">
        <w:rPr>
          <w:rFonts w:ascii="Arial" w:hAnsi="Arial" w:cs="Arial"/>
          <w:lang w:val="es-CO"/>
        </w:rPr>
        <w:t xml:space="preserve"> </w:t>
      </w:r>
      <w:r w:rsidR="00D056B4" w:rsidRPr="004F681E">
        <w:rPr>
          <w:rFonts w:ascii="Arial" w:hAnsi="Arial" w:cs="Arial"/>
          <w:lang w:val="es-CO"/>
        </w:rPr>
        <w:t>se ha presentado un manejo pendular en cuanto atañe</w:t>
      </w:r>
      <w:r w:rsidR="00467563" w:rsidRPr="004F681E">
        <w:rPr>
          <w:rFonts w:ascii="Arial" w:hAnsi="Arial" w:cs="Arial"/>
          <w:lang w:val="es-CO"/>
        </w:rPr>
        <w:t xml:space="preserve"> a la autoridad de la cual procede</w:t>
      </w:r>
      <w:r w:rsidR="00D056B4" w:rsidRPr="004F681E">
        <w:rPr>
          <w:rFonts w:ascii="Arial" w:hAnsi="Arial" w:cs="Arial"/>
          <w:lang w:val="es-CO"/>
        </w:rPr>
        <w:t xml:space="preserve"> la decisión o medida génesis </w:t>
      </w:r>
      <w:r w:rsidR="00067A6D" w:rsidRPr="004F681E">
        <w:rPr>
          <w:rFonts w:ascii="Arial" w:hAnsi="Arial" w:cs="Arial"/>
          <w:lang w:val="es-CO"/>
        </w:rPr>
        <w:t xml:space="preserve">de la </w:t>
      </w:r>
      <w:r w:rsidR="00D056B4" w:rsidRPr="004F681E">
        <w:rPr>
          <w:rFonts w:ascii="Arial" w:hAnsi="Arial" w:cs="Arial"/>
          <w:lang w:val="es-CO"/>
        </w:rPr>
        <w:t>alteraci</w:t>
      </w:r>
      <w:r w:rsidR="00067A6D" w:rsidRPr="004F681E">
        <w:rPr>
          <w:rFonts w:ascii="Arial" w:hAnsi="Arial" w:cs="Arial"/>
          <w:lang w:val="es-CO"/>
        </w:rPr>
        <w:t>ón</w:t>
      </w:r>
      <w:r w:rsidR="008E5D6D" w:rsidRPr="004F681E">
        <w:rPr>
          <w:rFonts w:ascii="Arial" w:hAnsi="Arial" w:cs="Arial"/>
          <w:lang w:val="es-CO"/>
        </w:rPr>
        <w:t>.</w:t>
      </w:r>
    </w:p>
    <w:p w:rsidR="008E5D6D" w:rsidRPr="004F681E" w:rsidRDefault="008E5D6D" w:rsidP="001C62B3">
      <w:pPr>
        <w:spacing w:line="360" w:lineRule="auto"/>
        <w:jc w:val="both"/>
        <w:rPr>
          <w:rFonts w:ascii="Arial" w:hAnsi="Arial" w:cs="Arial"/>
          <w:lang w:val="es-CO"/>
        </w:rPr>
      </w:pPr>
    </w:p>
    <w:p w:rsidR="00721926" w:rsidRPr="004F681E" w:rsidRDefault="00721926" w:rsidP="001C62B3">
      <w:pPr>
        <w:spacing w:line="360" w:lineRule="auto"/>
        <w:jc w:val="both"/>
        <w:rPr>
          <w:rFonts w:ascii="Arial" w:hAnsi="Arial" w:cs="Arial"/>
          <w:lang w:val="es-CO"/>
        </w:rPr>
      </w:pPr>
      <w:r w:rsidRPr="004F681E">
        <w:rPr>
          <w:rFonts w:ascii="Arial" w:hAnsi="Arial" w:cs="Arial"/>
          <w:lang w:val="es-CO"/>
        </w:rPr>
        <w:t>A</w:t>
      </w:r>
      <w:r w:rsidR="00067A6D" w:rsidRPr="004F681E">
        <w:rPr>
          <w:rFonts w:ascii="Arial" w:hAnsi="Arial" w:cs="Arial"/>
          <w:lang w:val="es-CO"/>
        </w:rPr>
        <w:t>lguna</w:t>
      </w:r>
      <w:r w:rsidR="008E5D6D" w:rsidRPr="004F681E">
        <w:rPr>
          <w:rFonts w:ascii="Arial" w:hAnsi="Arial" w:cs="Arial"/>
          <w:lang w:val="es-CO"/>
        </w:rPr>
        <w:t>s posturas</w:t>
      </w:r>
      <w:r w:rsidR="00CD154D" w:rsidRPr="004F681E">
        <w:rPr>
          <w:rStyle w:val="Refdenotaalpie"/>
          <w:rFonts w:ascii="Arial" w:hAnsi="Arial" w:cs="Arial"/>
          <w:lang w:val="es-CO"/>
        </w:rPr>
        <w:footnoteReference w:id="72"/>
      </w:r>
      <w:r w:rsidR="00166ABA" w:rsidRPr="004F681E">
        <w:rPr>
          <w:rFonts w:ascii="Arial" w:hAnsi="Arial" w:cs="Arial"/>
          <w:lang w:val="es-CO"/>
        </w:rPr>
        <w:t xml:space="preserve"> han considerado</w:t>
      </w:r>
      <w:r w:rsidR="006B18BA" w:rsidRPr="004F681E">
        <w:rPr>
          <w:rFonts w:ascii="Arial" w:hAnsi="Arial" w:cs="Arial"/>
          <w:lang w:val="es-CO"/>
        </w:rPr>
        <w:t>, de forma restrictiva,</w:t>
      </w:r>
      <w:r w:rsidR="008E5D6D" w:rsidRPr="004F681E">
        <w:rPr>
          <w:rFonts w:ascii="Arial" w:hAnsi="Arial" w:cs="Arial"/>
          <w:lang w:val="es-CO"/>
        </w:rPr>
        <w:t xml:space="preserve"> </w:t>
      </w:r>
      <w:r w:rsidR="00067A6D" w:rsidRPr="004F681E">
        <w:rPr>
          <w:rFonts w:ascii="Arial" w:hAnsi="Arial" w:cs="Arial"/>
          <w:lang w:val="es-CO"/>
        </w:rPr>
        <w:t xml:space="preserve">que su configuración </w:t>
      </w:r>
      <w:r w:rsidR="008E5D6D" w:rsidRPr="004F681E">
        <w:rPr>
          <w:rFonts w:ascii="Arial" w:hAnsi="Arial" w:cs="Arial"/>
          <w:lang w:val="es-CO"/>
        </w:rPr>
        <w:t>se</w:t>
      </w:r>
      <w:r w:rsidR="00067A6D" w:rsidRPr="004F681E">
        <w:rPr>
          <w:rFonts w:ascii="Arial" w:hAnsi="Arial" w:cs="Arial"/>
          <w:lang w:val="es-CO"/>
        </w:rPr>
        <w:t xml:space="preserve"> supedita a que sea</w:t>
      </w:r>
      <w:r w:rsidR="008E5D6D" w:rsidRPr="004F681E">
        <w:rPr>
          <w:rFonts w:ascii="Arial" w:hAnsi="Arial" w:cs="Arial"/>
          <w:lang w:val="es-CO"/>
        </w:rPr>
        <w:t xml:space="preserve"> de</w:t>
      </w:r>
      <w:r w:rsidR="00067A6D" w:rsidRPr="004F681E">
        <w:rPr>
          <w:rFonts w:ascii="Arial" w:hAnsi="Arial" w:cs="Arial"/>
          <w:lang w:val="es-CO"/>
        </w:rPr>
        <w:t xml:space="preserve"> la misma entidad </w:t>
      </w:r>
      <w:r w:rsidR="008E5D6D" w:rsidRPr="004F681E">
        <w:rPr>
          <w:rFonts w:ascii="Arial" w:hAnsi="Arial" w:cs="Arial"/>
          <w:lang w:val="es-CO"/>
        </w:rPr>
        <w:t>contratante, aunque no actuando en esa condición,</w:t>
      </w:r>
      <w:r w:rsidR="00995017" w:rsidRPr="004F681E">
        <w:rPr>
          <w:rFonts w:ascii="Arial" w:hAnsi="Arial" w:cs="Arial"/>
          <w:lang w:val="es-CO"/>
        </w:rPr>
        <w:t xml:space="preserve"> de donde emana</w:t>
      </w:r>
      <w:r w:rsidR="008E5D6D" w:rsidRPr="004F681E">
        <w:rPr>
          <w:rFonts w:ascii="Arial" w:hAnsi="Arial" w:cs="Arial"/>
          <w:lang w:val="es-CO"/>
        </w:rPr>
        <w:t xml:space="preserve"> </w:t>
      </w:r>
      <w:r w:rsidR="00067A6D" w:rsidRPr="004F681E">
        <w:rPr>
          <w:rFonts w:ascii="Arial" w:hAnsi="Arial" w:cs="Arial"/>
          <w:lang w:val="es-CO"/>
        </w:rPr>
        <w:t>la decisi</w:t>
      </w:r>
      <w:r w:rsidR="008E5D6D" w:rsidRPr="004F681E">
        <w:rPr>
          <w:rFonts w:ascii="Arial" w:hAnsi="Arial" w:cs="Arial"/>
          <w:lang w:val="es-CO"/>
        </w:rPr>
        <w:t xml:space="preserve">ón generadora del impacto económico, </w:t>
      </w:r>
      <w:r w:rsidRPr="004F681E">
        <w:rPr>
          <w:rFonts w:ascii="Arial" w:hAnsi="Arial" w:cs="Arial"/>
          <w:lang w:val="es-CO"/>
        </w:rPr>
        <w:t>d</w:t>
      </w:r>
      <w:r w:rsidR="00467563" w:rsidRPr="004F681E">
        <w:rPr>
          <w:rFonts w:ascii="Arial" w:hAnsi="Arial" w:cs="Arial"/>
          <w:lang w:val="es-CO"/>
        </w:rPr>
        <w:t>ado que en el evento de provenir</w:t>
      </w:r>
      <w:r w:rsidRPr="004F681E">
        <w:rPr>
          <w:rFonts w:ascii="Arial" w:hAnsi="Arial" w:cs="Arial"/>
          <w:lang w:val="es-CO"/>
        </w:rPr>
        <w:t xml:space="preserve"> de una autoridad diferente se ha concebido que</w:t>
      </w:r>
      <w:r w:rsidR="001541F5" w:rsidRPr="004F681E">
        <w:rPr>
          <w:rFonts w:ascii="Arial" w:hAnsi="Arial" w:cs="Arial"/>
          <w:lang w:val="es-CO"/>
        </w:rPr>
        <w:t xml:space="preserve"> en</w:t>
      </w:r>
      <w:r w:rsidRPr="004F681E">
        <w:rPr>
          <w:rFonts w:ascii="Arial" w:hAnsi="Arial" w:cs="Arial"/>
          <w:lang w:val="es-CO"/>
        </w:rPr>
        <w:t xml:space="preserve"> esa hipótesis se abriría paso</w:t>
      </w:r>
      <w:r w:rsidR="001541F5" w:rsidRPr="004F681E">
        <w:rPr>
          <w:rFonts w:ascii="Arial" w:hAnsi="Arial" w:cs="Arial"/>
          <w:lang w:val="es-CO"/>
        </w:rPr>
        <w:t xml:space="preserve"> a</w:t>
      </w:r>
      <w:r w:rsidRPr="004F681E">
        <w:rPr>
          <w:rFonts w:ascii="Arial" w:hAnsi="Arial" w:cs="Arial"/>
          <w:lang w:val="es-CO"/>
        </w:rPr>
        <w:t xml:space="preserve"> la </w:t>
      </w:r>
      <w:r w:rsidR="001541F5" w:rsidRPr="004F681E">
        <w:rPr>
          <w:rFonts w:ascii="Arial" w:hAnsi="Arial" w:cs="Arial"/>
          <w:lang w:val="es-CO"/>
        </w:rPr>
        <w:t xml:space="preserve">aplicación de la </w:t>
      </w:r>
      <w:r w:rsidRPr="004F681E">
        <w:rPr>
          <w:rFonts w:ascii="Arial" w:hAnsi="Arial" w:cs="Arial"/>
          <w:lang w:val="es-CO"/>
        </w:rPr>
        <w:t xml:space="preserve">teoría de la imprevisión. </w:t>
      </w:r>
    </w:p>
    <w:p w:rsidR="007621D5" w:rsidRPr="004F681E" w:rsidRDefault="007621D5" w:rsidP="001C62B3">
      <w:pPr>
        <w:spacing w:line="360" w:lineRule="auto"/>
        <w:jc w:val="both"/>
        <w:rPr>
          <w:rFonts w:ascii="Arial" w:hAnsi="Arial" w:cs="Arial"/>
          <w:lang w:val="es-CO"/>
        </w:rPr>
      </w:pPr>
    </w:p>
    <w:p w:rsidR="00F05862" w:rsidRPr="004F681E" w:rsidRDefault="007621D5" w:rsidP="001C62B3">
      <w:pPr>
        <w:spacing w:line="360" w:lineRule="auto"/>
        <w:jc w:val="both"/>
        <w:rPr>
          <w:rFonts w:ascii="Arial" w:hAnsi="Arial" w:cs="Arial"/>
          <w:lang w:val="es-CO"/>
        </w:rPr>
      </w:pPr>
      <w:r w:rsidRPr="004F681E">
        <w:rPr>
          <w:rFonts w:ascii="Arial" w:hAnsi="Arial" w:cs="Arial"/>
          <w:lang w:val="es-CO"/>
        </w:rPr>
        <w:t xml:space="preserve">La relevancia de la anterior distinción, en los términos de las posturas jurisprudenciales en referencia, se centra en que a partir de la </w:t>
      </w:r>
      <w:r w:rsidR="00A6644D" w:rsidRPr="004F681E">
        <w:rPr>
          <w:rFonts w:ascii="Arial" w:hAnsi="Arial" w:cs="Arial"/>
          <w:lang w:val="es-CO"/>
        </w:rPr>
        <w:t>individualización</w:t>
      </w:r>
      <w:r w:rsidRPr="004F681E">
        <w:rPr>
          <w:rFonts w:ascii="Arial" w:hAnsi="Arial" w:cs="Arial"/>
          <w:lang w:val="es-CO"/>
        </w:rPr>
        <w:t xml:space="preserve"> de la causa generadora de ruptura se precisará el lindero </w:t>
      </w:r>
      <w:r w:rsidR="00A6644D" w:rsidRPr="004F681E">
        <w:rPr>
          <w:rFonts w:ascii="Arial" w:hAnsi="Arial" w:cs="Arial"/>
          <w:lang w:val="es-CO"/>
        </w:rPr>
        <w:t>de su</w:t>
      </w:r>
      <w:r w:rsidRPr="004F681E">
        <w:rPr>
          <w:rFonts w:ascii="Arial" w:hAnsi="Arial" w:cs="Arial"/>
          <w:lang w:val="es-CO"/>
        </w:rPr>
        <w:t xml:space="preserve"> consecuencial restablecimiento. </w:t>
      </w:r>
    </w:p>
    <w:p w:rsidR="00B415E3" w:rsidRPr="004F681E" w:rsidRDefault="00B415E3" w:rsidP="001C62B3">
      <w:pPr>
        <w:spacing w:line="360" w:lineRule="auto"/>
        <w:jc w:val="both"/>
        <w:rPr>
          <w:rFonts w:ascii="Arial" w:hAnsi="Arial" w:cs="Arial"/>
          <w:lang w:val="es-CO"/>
        </w:rPr>
      </w:pPr>
    </w:p>
    <w:p w:rsidR="00721926" w:rsidRPr="004F681E" w:rsidRDefault="002808AB" w:rsidP="001C62B3">
      <w:pPr>
        <w:spacing w:line="360" w:lineRule="auto"/>
        <w:jc w:val="both"/>
        <w:rPr>
          <w:rFonts w:ascii="Arial" w:hAnsi="Arial" w:cs="Arial"/>
          <w:lang w:val="es-CO"/>
        </w:rPr>
      </w:pPr>
      <w:r w:rsidRPr="004F681E">
        <w:rPr>
          <w:rFonts w:ascii="Arial" w:hAnsi="Arial" w:cs="Arial"/>
          <w:lang w:val="es-CO"/>
        </w:rPr>
        <w:t>Bajo esa premisa</w:t>
      </w:r>
      <w:r w:rsidR="007621D5" w:rsidRPr="004F681E">
        <w:rPr>
          <w:rFonts w:ascii="Arial" w:hAnsi="Arial" w:cs="Arial"/>
          <w:lang w:val="es-CO"/>
        </w:rPr>
        <w:t>, en caso de presentarse</w:t>
      </w:r>
      <w:r w:rsidR="00995017" w:rsidRPr="004F681E">
        <w:rPr>
          <w:rFonts w:ascii="Arial" w:hAnsi="Arial" w:cs="Arial"/>
          <w:lang w:val="es-CO"/>
        </w:rPr>
        <w:t xml:space="preserve"> el desbalance</w:t>
      </w:r>
      <w:r w:rsidR="007621D5" w:rsidRPr="004F681E">
        <w:rPr>
          <w:rFonts w:ascii="Arial" w:hAnsi="Arial" w:cs="Arial"/>
          <w:lang w:val="es-CO"/>
        </w:rPr>
        <w:t xml:space="preserve"> económico por el hecho del príncipe la compensación</w:t>
      </w:r>
      <w:r w:rsidR="00995017" w:rsidRPr="004F681E">
        <w:rPr>
          <w:rFonts w:ascii="Arial" w:hAnsi="Arial" w:cs="Arial"/>
          <w:lang w:val="es-CO"/>
        </w:rPr>
        <w:t xml:space="preserve"> que en ese evento</w:t>
      </w:r>
      <w:r w:rsidR="007621D5" w:rsidRPr="004F681E">
        <w:rPr>
          <w:rFonts w:ascii="Arial" w:hAnsi="Arial" w:cs="Arial"/>
          <w:lang w:val="es-CO"/>
        </w:rPr>
        <w:t xml:space="preserve"> debe reconocerse será de carácter</w:t>
      </w:r>
      <w:r w:rsidR="00A6644D" w:rsidRPr="004F681E">
        <w:rPr>
          <w:rFonts w:ascii="Arial" w:hAnsi="Arial" w:cs="Arial"/>
          <w:lang w:val="es-CO"/>
        </w:rPr>
        <w:t xml:space="preserve"> pleno </w:t>
      </w:r>
      <w:r w:rsidR="008430C5" w:rsidRPr="004F681E">
        <w:rPr>
          <w:rFonts w:ascii="Arial" w:hAnsi="Arial" w:cs="Arial"/>
          <w:lang w:val="es-CO"/>
        </w:rPr>
        <w:t>sobre la base de</w:t>
      </w:r>
      <w:r w:rsidR="00A6644D" w:rsidRPr="004F681E">
        <w:rPr>
          <w:rFonts w:ascii="Arial" w:hAnsi="Arial" w:cs="Arial"/>
          <w:lang w:val="es-CO"/>
        </w:rPr>
        <w:t xml:space="preserve"> la concurrencia de un causa endógena</w:t>
      </w:r>
      <w:r w:rsidR="005D401C" w:rsidRPr="004F681E">
        <w:rPr>
          <w:rFonts w:ascii="Arial" w:hAnsi="Arial" w:cs="Arial"/>
          <w:lang w:val="es-CO"/>
        </w:rPr>
        <w:t>, es decir</w:t>
      </w:r>
      <w:r w:rsidR="00995017" w:rsidRPr="004F681E">
        <w:rPr>
          <w:rFonts w:ascii="Arial" w:hAnsi="Arial" w:cs="Arial"/>
          <w:lang w:val="es-CO"/>
        </w:rPr>
        <w:t>,</w:t>
      </w:r>
      <w:r w:rsidR="005D401C" w:rsidRPr="004F681E">
        <w:rPr>
          <w:rFonts w:ascii="Arial" w:hAnsi="Arial" w:cs="Arial"/>
          <w:lang w:val="es-CO"/>
        </w:rPr>
        <w:t xml:space="preserve"> atribuible a uno de los extremos del contrato</w:t>
      </w:r>
      <w:r w:rsidR="007621D5" w:rsidRPr="004F681E">
        <w:rPr>
          <w:rFonts w:ascii="Arial" w:hAnsi="Arial" w:cs="Arial"/>
          <w:lang w:val="es-CO"/>
        </w:rPr>
        <w:t xml:space="preserve">, mientras que ante la presencia de la teoría de la imprevisión la restauración del equilibrio alterado implicará llevar al afectado a un punto de no pérdida, en la medida en </w:t>
      </w:r>
      <w:r w:rsidRPr="004F681E">
        <w:rPr>
          <w:rFonts w:ascii="Arial" w:hAnsi="Arial" w:cs="Arial"/>
          <w:lang w:val="es-CO"/>
        </w:rPr>
        <w:t>que desde</w:t>
      </w:r>
      <w:r w:rsidR="0066474C" w:rsidRPr="004F681E">
        <w:rPr>
          <w:rFonts w:ascii="Arial" w:hAnsi="Arial" w:cs="Arial"/>
          <w:lang w:val="es-CO"/>
        </w:rPr>
        <w:t xml:space="preserve"> esta comprensión </w:t>
      </w:r>
      <w:r w:rsidR="007621D5" w:rsidRPr="004F681E">
        <w:rPr>
          <w:rFonts w:ascii="Arial" w:hAnsi="Arial" w:cs="Arial"/>
          <w:lang w:val="es-CO"/>
        </w:rPr>
        <w:t xml:space="preserve">la causa </w:t>
      </w:r>
      <w:r w:rsidR="00995017" w:rsidRPr="004F681E">
        <w:rPr>
          <w:rFonts w:ascii="Arial" w:hAnsi="Arial" w:cs="Arial"/>
          <w:lang w:val="es-CO"/>
        </w:rPr>
        <w:t>de la fractura</w:t>
      </w:r>
      <w:r w:rsidR="0066474C" w:rsidRPr="004F681E">
        <w:rPr>
          <w:rFonts w:ascii="Arial" w:hAnsi="Arial" w:cs="Arial"/>
          <w:lang w:val="es-CO"/>
        </w:rPr>
        <w:t xml:space="preserve"> es de naturaleza exógena</w:t>
      </w:r>
      <w:r w:rsidR="005D401C" w:rsidRPr="004F681E">
        <w:rPr>
          <w:rFonts w:ascii="Arial" w:hAnsi="Arial" w:cs="Arial"/>
          <w:lang w:val="es-CO"/>
        </w:rPr>
        <w:t xml:space="preserve">, </w:t>
      </w:r>
      <w:r w:rsidR="00995017" w:rsidRPr="004F681E">
        <w:rPr>
          <w:rFonts w:ascii="Arial" w:hAnsi="Arial" w:cs="Arial"/>
          <w:lang w:val="es-CO"/>
        </w:rPr>
        <w:t xml:space="preserve">esto es, </w:t>
      </w:r>
      <w:r w:rsidR="005D401C" w:rsidRPr="004F681E">
        <w:rPr>
          <w:rFonts w:ascii="Arial" w:hAnsi="Arial" w:cs="Arial"/>
          <w:lang w:val="es-CO"/>
        </w:rPr>
        <w:t>ajena a las partes de la relación contractual</w:t>
      </w:r>
      <w:r w:rsidR="0066474C" w:rsidRPr="004F681E">
        <w:rPr>
          <w:rFonts w:ascii="Arial" w:hAnsi="Arial" w:cs="Arial"/>
          <w:lang w:val="es-CO"/>
        </w:rPr>
        <w:t xml:space="preserve">. </w:t>
      </w:r>
    </w:p>
    <w:p w:rsidR="00DD1A59" w:rsidRPr="004F681E" w:rsidRDefault="00DD1A59" w:rsidP="001C62B3">
      <w:pPr>
        <w:spacing w:line="360" w:lineRule="auto"/>
        <w:jc w:val="both"/>
        <w:rPr>
          <w:rFonts w:ascii="Arial" w:hAnsi="Arial" w:cs="Arial"/>
          <w:lang w:val="es-CO"/>
        </w:rPr>
      </w:pPr>
    </w:p>
    <w:p w:rsidR="00A2090C" w:rsidRPr="004F681E" w:rsidRDefault="00721926" w:rsidP="001C62B3">
      <w:pPr>
        <w:spacing w:line="360" w:lineRule="auto"/>
        <w:jc w:val="both"/>
        <w:rPr>
          <w:rFonts w:ascii="Arial" w:hAnsi="Arial" w:cs="Arial"/>
          <w:lang w:val="es-CO"/>
        </w:rPr>
      </w:pPr>
      <w:r w:rsidRPr="004F681E">
        <w:rPr>
          <w:rFonts w:ascii="Arial" w:hAnsi="Arial" w:cs="Arial"/>
          <w:lang w:val="es-CO"/>
        </w:rPr>
        <w:t>En otros pronunciamiento</w:t>
      </w:r>
      <w:r w:rsidR="00F92705" w:rsidRPr="004F681E">
        <w:rPr>
          <w:rFonts w:ascii="Arial" w:hAnsi="Arial" w:cs="Arial"/>
          <w:lang w:val="es-CO"/>
        </w:rPr>
        <w:t>s</w:t>
      </w:r>
      <w:r w:rsidR="000D2512" w:rsidRPr="004F681E">
        <w:rPr>
          <w:rStyle w:val="Refdenotaalpie"/>
          <w:rFonts w:ascii="Arial" w:hAnsi="Arial" w:cs="Arial"/>
          <w:lang w:val="es-CO"/>
        </w:rPr>
        <w:footnoteReference w:id="73"/>
      </w:r>
      <w:r w:rsidRPr="004F681E">
        <w:rPr>
          <w:rFonts w:ascii="Arial" w:hAnsi="Arial" w:cs="Arial"/>
          <w:lang w:val="es-CO"/>
        </w:rPr>
        <w:t>, de corte más amplio, se</w:t>
      </w:r>
      <w:r w:rsidR="00F92705" w:rsidRPr="004F681E">
        <w:rPr>
          <w:rFonts w:ascii="Arial" w:hAnsi="Arial" w:cs="Arial"/>
          <w:lang w:val="es-CO"/>
        </w:rPr>
        <w:t xml:space="preserve"> ha</w:t>
      </w:r>
      <w:r w:rsidR="00166ABA" w:rsidRPr="004F681E">
        <w:rPr>
          <w:rFonts w:ascii="Arial" w:hAnsi="Arial" w:cs="Arial"/>
          <w:lang w:val="es-CO"/>
        </w:rPr>
        <w:t xml:space="preserve"> estimado</w:t>
      </w:r>
      <w:r w:rsidR="008E5D6D" w:rsidRPr="004F681E">
        <w:rPr>
          <w:rFonts w:ascii="Arial" w:hAnsi="Arial" w:cs="Arial"/>
          <w:lang w:val="es-CO"/>
        </w:rPr>
        <w:t xml:space="preserve"> que </w:t>
      </w:r>
      <w:r w:rsidR="00F92705" w:rsidRPr="004F681E">
        <w:rPr>
          <w:rFonts w:ascii="Arial" w:hAnsi="Arial" w:cs="Arial"/>
          <w:lang w:val="es-CO"/>
        </w:rPr>
        <w:t>se presenta el hecho del príncipe cuando cual</w:t>
      </w:r>
      <w:r w:rsidR="00995017" w:rsidRPr="004F681E">
        <w:rPr>
          <w:rFonts w:ascii="Arial" w:hAnsi="Arial" w:cs="Arial"/>
          <w:lang w:val="es-CO"/>
        </w:rPr>
        <w:t>quier autoridad del Estado dicta</w:t>
      </w:r>
      <w:r w:rsidR="00F92705" w:rsidRPr="004F681E">
        <w:rPr>
          <w:rFonts w:ascii="Arial" w:hAnsi="Arial" w:cs="Arial"/>
          <w:lang w:val="es-CO"/>
        </w:rPr>
        <w:t xml:space="preserve"> una </w:t>
      </w:r>
      <w:r w:rsidR="00821235" w:rsidRPr="004F681E">
        <w:rPr>
          <w:rFonts w:ascii="Arial" w:hAnsi="Arial" w:cs="Arial"/>
          <w:lang w:val="es-CO"/>
        </w:rPr>
        <w:t xml:space="preserve">disposición </w:t>
      </w:r>
      <w:r w:rsidR="00F92705" w:rsidRPr="004F681E">
        <w:rPr>
          <w:rFonts w:ascii="Arial" w:hAnsi="Arial" w:cs="Arial"/>
          <w:lang w:val="es-CO"/>
        </w:rPr>
        <w:t xml:space="preserve">de carácter general que </w:t>
      </w:r>
      <w:r w:rsidR="00995017" w:rsidRPr="004F681E">
        <w:rPr>
          <w:rFonts w:ascii="Arial" w:hAnsi="Arial" w:cs="Arial"/>
          <w:lang w:val="es-CO"/>
        </w:rPr>
        <w:t>afecta</w:t>
      </w:r>
      <w:r w:rsidR="00F92705" w:rsidRPr="004F681E">
        <w:rPr>
          <w:rFonts w:ascii="Arial" w:hAnsi="Arial" w:cs="Arial"/>
          <w:lang w:val="es-CO"/>
        </w:rPr>
        <w:t xml:space="preserve"> la economía </w:t>
      </w:r>
      <w:r w:rsidR="001541F5" w:rsidRPr="004F681E">
        <w:rPr>
          <w:rFonts w:ascii="Arial" w:hAnsi="Arial" w:cs="Arial"/>
          <w:lang w:val="es-CO"/>
        </w:rPr>
        <w:t>de un contrato especí</w:t>
      </w:r>
      <w:r w:rsidR="00F92705" w:rsidRPr="004F681E">
        <w:rPr>
          <w:rFonts w:ascii="Arial" w:hAnsi="Arial" w:cs="Arial"/>
          <w:lang w:val="es-CO"/>
        </w:rPr>
        <w:t xml:space="preserve">fico, con independencia de que aquella no se identifique o </w:t>
      </w:r>
      <w:r w:rsidR="00995017" w:rsidRPr="004F681E">
        <w:rPr>
          <w:rFonts w:ascii="Arial" w:hAnsi="Arial" w:cs="Arial"/>
          <w:lang w:val="es-CO"/>
        </w:rPr>
        <w:t xml:space="preserve">no </w:t>
      </w:r>
      <w:r w:rsidR="00F92705" w:rsidRPr="004F681E">
        <w:rPr>
          <w:rFonts w:ascii="Arial" w:hAnsi="Arial" w:cs="Arial"/>
          <w:lang w:val="es-CO"/>
        </w:rPr>
        <w:t xml:space="preserve">sea la misma que conforma el extremo contratante. </w:t>
      </w:r>
    </w:p>
    <w:p w:rsidR="007E50F0" w:rsidRPr="004F681E" w:rsidRDefault="007E50F0" w:rsidP="001C62B3">
      <w:pPr>
        <w:spacing w:line="360" w:lineRule="auto"/>
        <w:jc w:val="both"/>
        <w:rPr>
          <w:rFonts w:ascii="Arial" w:hAnsi="Arial" w:cs="Arial"/>
          <w:lang w:val="es-CO"/>
        </w:rPr>
      </w:pPr>
    </w:p>
    <w:p w:rsidR="00EC1D9E" w:rsidRPr="004F681E" w:rsidRDefault="00EC1D9E" w:rsidP="00666C29">
      <w:pPr>
        <w:spacing w:line="360" w:lineRule="auto"/>
        <w:jc w:val="both"/>
        <w:rPr>
          <w:rFonts w:ascii="Arial" w:hAnsi="Arial" w:cs="Arial"/>
          <w:lang w:val="es-CO"/>
        </w:rPr>
      </w:pPr>
      <w:r w:rsidRPr="004F681E">
        <w:rPr>
          <w:rFonts w:ascii="Arial" w:hAnsi="Arial" w:cs="Arial"/>
          <w:lang w:val="es-CO"/>
        </w:rPr>
        <w:t xml:space="preserve">Ahora </w:t>
      </w:r>
      <w:r w:rsidR="004E7CBB" w:rsidRPr="004F681E">
        <w:rPr>
          <w:rFonts w:ascii="Arial" w:hAnsi="Arial" w:cs="Arial"/>
          <w:lang w:val="es-CO"/>
        </w:rPr>
        <w:t xml:space="preserve">bien, en orden a </w:t>
      </w:r>
      <w:r w:rsidRPr="004F681E">
        <w:rPr>
          <w:rFonts w:ascii="Arial" w:hAnsi="Arial" w:cs="Arial"/>
          <w:lang w:val="es-CO"/>
        </w:rPr>
        <w:t>predicar la configuración del hecho del príncipe como causa generadora de la ruptura del equilibrio económico, también la Sección Tercera</w:t>
      </w:r>
      <w:r w:rsidR="004E7CBB" w:rsidRPr="004F681E">
        <w:rPr>
          <w:rStyle w:val="Refdenotaalpie"/>
          <w:rFonts w:ascii="Arial" w:hAnsi="Arial" w:cs="Arial"/>
          <w:lang w:val="es-CO"/>
        </w:rPr>
        <w:footnoteReference w:id="74"/>
      </w:r>
      <w:r w:rsidRPr="004F681E">
        <w:rPr>
          <w:rFonts w:ascii="Arial" w:hAnsi="Arial" w:cs="Arial"/>
          <w:lang w:val="es-CO"/>
        </w:rPr>
        <w:t xml:space="preserve"> ha </w:t>
      </w:r>
      <w:r w:rsidR="00166ABA" w:rsidRPr="004F681E">
        <w:rPr>
          <w:rFonts w:ascii="Arial" w:hAnsi="Arial" w:cs="Arial"/>
          <w:lang w:val="es-CO"/>
        </w:rPr>
        <w:t>reflexionado sobre</w:t>
      </w:r>
      <w:r w:rsidRPr="004F681E">
        <w:rPr>
          <w:rFonts w:ascii="Arial" w:hAnsi="Arial" w:cs="Arial"/>
          <w:lang w:val="es-CO"/>
        </w:rPr>
        <w:t xml:space="preserve"> la pertinencia de analizar si </w:t>
      </w:r>
      <w:r w:rsidR="004E7CBB" w:rsidRPr="004F681E">
        <w:rPr>
          <w:rFonts w:ascii="Arial" w:hAnsi="Arial" w:cs="Arial"/>
          <w:lang w:val="es-CO"/>
        </w:rPr>
        <w:t xml:space="preserve">existe una unidad jurídica entre </w:t>
      </w:r>
      <w:r w:rsidRPr="004F681E">
        <w:rPr>
          <w:rFonts w:ascii="Arial" w:hAnsi="Arial" w:cs="Arial"/>
          <w:lang w:val="es-CO"/>
        </w:rPr>
        <w:t xml:space="preserve">la </w:t>
      </w:r>
      <w:r w:rsidR="004E7CBB" w:rsidRPr="004F681E">
        <w:rPr>
          <w:rFonts w:ascii="Arial" w:hAnsi="Arial" w:cs="Arial"/>
          <w:lang w:val="es-CO"/>
        </w:rPr>
        <w:t>autoridad</w:t>
      </w:r>
      <w:r w:rsidR="002270B3" w:rsidRPr="004F681E">
        <w:rPr>
          <w:rFonts w:ascii="Arial" w:hAnsi="Arial" w:cs="Arial"/>
          <w:lang w:val="es-CO"/>
        </w:rPr>
        <w:t xml:space="preserve"> de la cual procede la decisión y la entidad contratante</w:t>
      </w:r>
      <w:r w:rsidR="004E7CBB" w:rsidRPr="004F681E">
        <w:rPr>
          <w:rFonts w:ascii="Arial" w:hAnsi="Arial" w:cs="Arial"/>
          <w:lang w:val="es-CO"/>
        </w:rPr>
        <w:t xml:space="preserve">, esto es, si hacen </w:t>
      </w:r>
      <w:r w:rsidR="002270B3" w:rsidRPr="004F681E">
        <w:rPr>
          <w:rFonts w:ascii="Arial" w:hAnsi="Arial" w:cs="Arial"/>
          <w:lang w:val="es-CO"/>
        </w:rPr>
        <w:t>parte de la misma persona jurídica pública</w:t>
      </w:r>
      <w:r w:rsidR="00716DF9" w:rsidRPr="004F681E">
        <w:rPr>
          <w:rFonts w:ascii="Arial" w:hAnsi="Arial" w:cs="Arial"/>
          <w:lang w:val="es-CO"/>
        </w:rPr>
        <w:t xml:space="preserve"> y el contrato alterado se ha suscrito en representación de aquella</w:t>
      </w:r>
      <w:r w:rsidR="002270B3" w:rsidRPr="004F681E">
        <w:rPr>
          <w:rFonts w:ascii="Arial" w:hAnsi="Arial" w:cs="Arial"/>
          <w:lang w:val="es-CO"/>
        </w:rPr>
        <w:t xml:space="preserve">, caso en el cual </w:t>
      </w:r>
      <w:r w:rsidR="004E7CBB" w:rsidRPr="004F681E">
        <w:rPr>
          <w:rFonts w:ascii="Arial" w:hAnsi="Arial" w:cs="Arial"/>
          <w:lang w:val="es-CO"/>
        </w:rPr>
        <w:t xml:space="preserve">resultará </w:t>
      </w:r>
      <w:r w:rsidR="00716DF9" w:rsidRPr="004F681E">
        <w:rPr>
          <w:rFonts w:ascii="Arial" w:hAnsi="Arial" w:cs="Arial"/>
          <w:lang w:val="es-CO"/>
        </w:rPr>
        <w:t xml:space="preserve">viable </w:t>
      </w:r>
      <w:r w:rsidR="002270B3" w:rsidRPr="004F681E">
        <w:rPr>
          <w:rFonts w:ascii="Arial" w:hAnsi="Arial" w:cs="Arial"/>
          <w:lang w:val="es-CO"/>
        </w:rPr>
        <w:t xml:space="preserve">la aplicación de esta figura. </w:t>
      </w:r>
    </w:p>
    <w:p w:rsidR="00EC1D9E" w:rsidRPr="004F681E" w:rsidRDefault="00EC1D9E" w:rsidP="001C62B3">
      <w:pPr>
        <w:spacing w:line="360" w:lineRule="auto"/>
        <w:jc w:val="both"/>
        <w:rPr>
          <w:rFonts w:ascii="Arial" w:hAnsi="Arial" w:cs="Arial"/>
          <w:lang w:val="es-CO"/>
        </w:rPr>
      </w:pPr>
    </w:p>
    <w:p w:rsidR="0092731E" w:rsidRPr="004F681E" w:rsidRDefault="0092731E" w:rsidP="001C62B3">
      <w:pPr>
        <w:spacing w:line="360" w:lineRule="auto"/>
        <w:jc w:val="both"/>
        <w:rPr>
          <w:rFonts w:ascii="Arial" w:hAnsi="Arial" w:cs="Arial"/>
          <w:lang w:val="es-CO"/>
        </w:rPr>
      </w:pPr>
      <w:r w:rsidRPr="004F681E">
        <w:rPr>
          <w:rFonts w:ascii="Arial" w:hAnsi="Arial" w:cs="Arial"/>
          <w:lang w:val="es-CO"/>
        </w:rPr>
        <w:t xml:space="preserve">Así mismo la jurisprudencia de esta Corporación ha edificado la existencia del hecho del príncipe, siempre que concurran los siguientes supuestos: </w:t>
      </w:r>
    </w:p>
    <w:p w:rsidR="0092731E" w:rsidRPr="004F681E" w:rsidRDefault="00F45775" w:rsidP="00F45775">
      <w:pPr>
        <w:pStyle w:val="NormalWeb"/>
        <w:ind w:left="567" w:right="567"/>
        <w:jc w:val="both"/>
        <w:rPr>
          <w:rFonts w:ascii="Arial" w:hAnsi="Arial" w:cs="Arial"/>
          <w:i/>
        </w:rPr>
      </w:pPr>
      <w:r w:rsidRPr="004F681E">
        <w:rPr>
          <w:rFonts w:ascii="Arial" w:hAnsi="Arial" w:cs="Arial"/>
        </w:rPr>
        <w:t>“</w:t>
      </w:r>
      <w:r w:rsidR="0092731E" w:rsidRPr="004F681E">
        <w:rPr>
          <w:rFonts w:ascii="Arial" w:hAnsi="Arial" w:cs="Arial"/>
        </w:rPr>
        <w:t>(</w:t>
      </w:r>
      <w:r w:rsidR="0092731E" w:rsidRPr="004F681E">
        <w:rPr>
          <w:rFonts w:ascii="Arial" w:hAnsi="Arial" w:cs="Arial"/>
          <w:i/>
        </w:rPr>
        <w:t xml:space="preserve">i) Que exista un acto de carácter general expedido por el órgano o autoridad pública contratante (ley o acto administrativo) en ejercicio de una competencia diferente a la contractual que afecte gravemente la ecuación financiera de un contrato; es decir que no se dirija en forma particular, concreta o directa al contrato, aún cuando incida en él tornándolo excesivamente oneroso; </w:t>
      </w:r>
    </w:p>
    <w:p w:rsidR="0092731E" w:rsidRPr="004F681E" w:rsidRDefault="00F45775" w:rsidP="00F45775">
      <w:pPr>
        <w:pStyle w:val="NormalWeb"/>
        <w:ind w:left="567" w:right="567"/>
        <w:jc w:val="both"/>
        <w:rPr>
          <w:rFonts w:ascii="Arial" w:hAnsi="Arial" w:cs="Arial"/>
          <w:i/>
        </w:rPr>
      </w:pPr>
      <w:r w:rsidRPr="004F681E">
        <w:rPr>
          <w:rFonts w:ascii="Arial" w:hAnsi="Arial" w:cs="Arial"/>
          <w:i/>
        </w:rPr>
        <w:t>“</w:t>
      </w:r>
      <w:r w:rsidR="0092731E" w:rsidRPr="004F681E">
        <w:rPr>
          <w:rFonts w:ascii="Arial" w:hAnsi="Arial" w:cs="Arial"/>
          <w:i/>
        </w:rPr>
        <w:t xml:space="preserve">(ii) Que el acto que genera el daño sea sobreviniente, súbito, anormal, extraordinario e imprevisible al momento de celebrar el contrato y no imputable al contratista que resulte afectado; </w:t>
      </w:r>
    </w:p>
    <w:p w:rsidR="0092731E" w:rsidRPr="004F681E" w:rsidRDefault="00F45775" w:rsidP="00F45775">
      <w:pPr>
        <w:pStyle w:val="NormalWeb"/>
        <w:ind w:left="567" w:right="567"/>
        <w:jc w:val="both"/>
        <w:rPr>
          <w:rFonts w:ascii="Arial" w:hAnsi="Arial" w:cs="Arial"/>
          <w:i/>
        </w:rPr>
      </w:pPr>
      <w:r w:rsidRPr="004F681E">
        <w:rPr>
          <w:rFonts w:ascii="Arial" w:hAnsi="Arial" w:cs="Arial"/>
          <w:i/>
        </w:rPr>
        <w:t>“</w:t>
      </w:r>
      <w:r w:rsidR="0092731E" w:rsidRPr="004F681E">
        <w:rPr>
          <w:rFonts w:ascii="Arial" w:hAnsi="Arial" w:cs="Arial"/>
          <w:i/>
        </w:rPr>
        <w:t xml:space="preserve">(iii) Que, como consecuencia de lo anterior, exista una relación causal entre el acto y el daño o perjuicio resarcible; y </w:t>
      </w:r>
    </w:p>
    <w:p w:rsidR="002808AB" w:rsidRDefault="00F45775" w:rsidP="004F681E">
      <w:pPr>
        <w:pStyle w:val="NormalWeb"/>
        <w:ind w:left="567" w:right="567"/>
        <w:jc w:val="both"/>
        <w:rPr>
          <w:rFonts w:ascii="Arial" w:hAnsi="Arial" w:cs="Arial"/>
          <w:i/>
        </w:rPr>
      </w:pPr>
      <w:r w:rsidRPr="004F681E">
        <w:rPr>
          <w:rFonts w:ascii="Arial" w:hAnsi="Arial" w:cs="Arial"/>
          <w:i/>
        </w:rPr>
        <w:t>“</w:t>
      </w:r>
      <w:r w:rsidR="0092731E" w:rsidRPr="004F681E">
        <w:rPr>
          <w:rFonts w:ascii="Arial" w:hAnsi="Arial" w:cs="Arial"/>
          <w:i/>
        </w:rPr>
        <w:t>(iv) Que quien alegue como motivo o causa el "hecho del príncipe", pruebe objetivamente el desequilibrio económico del contrato y la existencia de un perjuicio cierto y directo</w:t>
      </w:r>
      <w:r w:rsidRPr="004F681E">
        <w:rPr>
          <w:rFonts w:ascii="Arial" w:hAnsi="Arial" w:cs="Arial"/>
          <w:i/>
        </w:rPr>
        <w:t>”</w:t>
      </w:r>
      <w:r w:rsidR="000D2570" w:rsidRPr="004F681E">
        <w:rPr>
          <w:rStyle w:val="Refdenotaalpie"/>
          <w:rFonts w:ascii="Arial" w:hAnsi="Arial" w:cs="Arial"/>
          <w:i/>
        </w:rPr>
        <w:footnoteReference w:id="75"/>
      </w:r>
      <w:r w:rsidR="0092731E" w:rsidRPr="004F681E">
        <w:rPr>
          <w:rFonts w:ascii="Arial" w:hAnsi="Arial" w:cs="Arial"/>
          <w:i/>
        </w:rPr>
        <w:t xml:space="preserve">. </w:t>
      </w:r>
    </w:p>
    <w:p w:rsidR="004F681E" w:rsidRPr="004F681E" w:rsidRDefault="004F681E" w:rsidP="004F681E">
      <w:pPr>
        <w:pStyle w:val="NormalWeb"/>
        <w:ind w:left="567" w:right="567"/>
        <w:jc w:val="both"/>
        <w:rPr>
          <w:rFonts w:ascii="Arial" w:hAnsi="Arial" w:cs="Arial"/>
          <w:i/>
        </w:rPr>
      </w:pPr>
    </w:p>
    <w:p w:rsidR="001C62B3" w:rsidRDefault="00E24060" w:rsidP="001C62B3">
      <w:pPr>
        <w:spacing w:line="360" w:lineRule="auto"/>
        <w:jc w:val="both"/>
        <w:rPr>
          <w:rFonts w:ascii="Arial" w:hAnsi="Arial" w:cs="Arial"/>
          <w:lang w:val="es-CO"/>
        </w:rPr>
      </w:pPr>
      <w:r w:rsidRPr="004F681E">
        <w:rPr>
          <w:rFonts w:ascii="Arial" w:hAnsi="Arial" w:cs="Arial"/>
          <w:lang w:val="es-CO"/>
        </w:rPr>
        <w:t xml:space="preserve">Pues bien, </w:t>
      </w:r>
      <w:r w:rsidR="001819A8" w:rsidRPr="004F681E">
        <w:rPr>
          <w:rFonts w:ascii="Arial" w:hAnsi="Arial" w:cs="Arial"/>
          <w:lang w:val="es-CO"/>
        </w:rPr>
        <w:t xml:space="preserve">retomando el análisis del caso concreto y </w:t>
      </w:r>
      <w:r w:rsidRPr="004F681E">
        <w:rPr>
          <w:rFonts w:ascii="Arial" w:hAnsi="Arial" w:cs="Arial"/>
          <w:lang w:val="es-CO"/>
        </w:rPr>
        <w:t>c</w:t>
      </w:r>
      <w:r w:rsidR="00D85099" w:rsidRPr="004F681E">
        <w:rPr>
          <w:rFonts w:ascii="Arial" w:hAnsi="Arial" w:cs="Arial"/>
          <w:lang w:val="es-CO"/>
        </w:rPr>
        <w:t xml:space="preserve">onsultado el </w:t>
      </w:r>
      <w:r w:rsidR="001C62B3" w:rsidRPr="004F681E">
        <w:rPr>
          <w:rFonts w:ascii="Arial" w:hAnsi="Arial" w:cs="Arial"/>
          <w:lang w:val="es-CO"/>
        </w:rPr>
        <w:t>contenido de la Resolución No. 3127 de 2011</w:t>
      </w:r>
      <w:r w:rsidR="00AA65F5" w:rsidRPr="004F681E">
        <w:rPr>
          <w:rStyle w:val="Refdenotaalpie"/>
          <w:rFonts w:ascii="Arial" w:hAnsi="Arial" w:cs="Arial"/>
          <w:lang w:val="es-CO"/>
        </w:rPr>
        <w:footnoteReference w:id="76"/>
      </w:r>
      <w:r w:rsidR="007A4EDB" w:rsidRPr="004F681E">
        <w:rPr>
          <w:rFonts w:ascii="Arial" w:hAnsi="Arial" w:cs="Arial"/>
          <w:lang w:val="es-CO"/>
        </w:rPr>
        <w:t>,</w:t>
      </w:r>
      <w:r w:rsidR="001C62B3" w:rsidRPr="004F681E">
        <w:rPr>
          <w:rFonts w:ascii="Arial" w:hAnsi="Arial" w:cs="Arial"/>
          <w:lang w:val="es-CO"/>
        </w:rPr>
        <w:t xml:space="preserve"> por la cual se autorizó y reguló el aprovechamiento temporal del paisaje urbano del Distrito Capital con ocasión </w:t>
      </w:r>
      <w:r w:rsidR="00D50A1D" w:rsidRPr="004F681E">
        <w:rPr>
          <w:rFonts w:ascii="Arial" w:hAnsi="Arial" w:cs="Arial"/>
          <w:lang w:val="es-CO"/>
        </w:rPr>
        <w:t>del mundial de fú</w:t>
      </w:r>
      <w:r w:rsidR="001C62B3" w:rsidRPr="004F681E">
        <w:rPr>
          <w:rFonts w:ascii="Arial" w:hAnsi="Arial" w:cs="Arial"/>
          <w:lang w:val="es-CO"/>
        </w:rPr>
        <w:t>tbol – Sub-20 Colombia 2011</w:t>
      </w:r>
      <w:r w:rsidR="007A4EDB" w:rsidRPr="004F681E">
        <w:rPr>
          <w:rFonts w:ascii="Arial" w:hAnsi="Arial" w:cs="Arial"/>
          <w:lang w:val="es-CO"/>
        </w:rPr>
        <w:t>,</w:t>
      </w:r>
      <w:r w:rsidR="00D50A1D" w:rsidRPr="004F681E">
        <w:rPr>
          <w:rFonts w:ascii="Arial" w:hAnsi="Arial" w:cs="Arial"/>
          <w:lang w:val="es-CO"/>
        </w:rPr>
        <w:t xml:space="preserve"> </w:t>
      </w:r>
      <w:r w:rsidR="001C62B3" w:rsidRPr="004F681E">
        <w:rPr>
          <w:rFonts w:ascii="Arial" w:hAnsi="Arial" w:cs="Arial"/>
          <w:lang w:val="es-CO"/>
        </w:rPr>
        <w:t xml:space="preserve">se desprende que el 25 de abril de 2008 se firmó un Acuerdo de Voluntades entre </w:t>
      </w:r>
      <w:r w:rsidR="003950E6" w:rsidRPr="004F681E">
        <w:rPr>
          <w:rFonts w:ascii="Arial" w:hAnsi="Arial" w:cs="Arial"/>
          <w:lang w:val="es-CO"/>
        </w:rPr>
        <w:t xml:space="preserve">el Distrito Capital </w:t>
      </w:r>
      <w:r w:rsidR="001C62B3" w:rsidRPr="004F681E">
        <w:rPr>
          <w:rFonts w:ascii="Arial" w:hAnsi="Arial" w:cs="Arial"/>
          <w:lang w:val="es-CO"/>
        </w:rPr>
        <w:t>y la FIFA para el torneo de FIFA U-20 WORLD CUP COLOMBIA 2011</w:t>
      </w:r>
      <w:r w:rsidR="007A4EDB" w:rsidRPr="004F681E">
        <w:rPr>
          <w:rFonts w:ascii="Arial" w:hAnsi="Arial" w:cs="Arial"/>
          <w:lang w:val="es-CO"/>
        </w:rPr>
        <w:t>,</w:t>
      </w:r>
      <w:r w:rsidR="001C62B3" w:rsidRPr="004F681E">
        <w:rPr>
          <w:rFonts w:ascii="Arial" w:hAnsi="Arial" w:cs="Arial"/>
          <w:lang w:val="es-CO"/>
        </w:rPr>
        <w:t xml:space="preserve"> en virtud del cual el Distrito </w:t>
      </w:r>
      <w:r w:rsidRPr="004F681E">
        <w:rPr>
          <w:rFonts w:ascii="Arial" w:hAnsi="Arial" w:cs="Arial"/>
          <w:lang w:val="es-CO"/>
        </w:rPr>
        <w:t xml:space="preserve">Capital </w:t>
      </w:r>
      <w:r w:rsidR="001C62B3" w:rsidRPr="004F681E">
        <w:rPr>
          <w:rFonts w:ascii="Arial" w:hAnsi="Arial" w:cs="Arial"/>
          <w:lang w:val="es-CO"/>
        </w:rPr>
        <w:t xml:space="preserve">adquirió unos compromisos como ciudad anfitriona. </w:t>
      </w:r>
    </w:p>
    <w:p w:rsidR="004F681E" w:rsidRPr="004F681E" w:rsidRDefault="004F681E" w:rsidP="001C62B3">
      <w:pPr>
        <w:spacing w:line="360" w:lineRule="auto"/>
        <w:jc w:val="both"/>
        <w:rPr>
          <w:rFonts w:ascii="Arial" w:hAnsi="Arial" w:cs="Arial"/>
          <w:lang w:val="es-CO"/>
        </w:rPr>
      </w:pPr>
    </w:p>
    <w:p w:rsidR="001C62B3" w:rsidRPr="004F681E" w:rsidRDefault="001C62B3" w:rsidP="004F681E">
      <w:pPr>
        <w:pStyle w:val="NormalWeb"/>
        <w:spacing w:before="0" w:beforeAutospacing="0" w:line="360" w:lineRule="auto"/>
        <w:jc w:val="both"/>
        <w:rPr>
          <w:rFonts w:ascii="Arial" w:hAnsi="Arial" w:cs="Arial"/>
        </w:rPr>
      </w:pPr>
      <w:r w:rsidRPr="004F681E">
        <w:rPr>
          <w:rFonts w:ascii="Arial" w:hAnsi="Arial" w:cs="Arial"/>
        </w:rPr>
        <w:t>Según se prescribió en la Resolución en comento,</w:t>
      </w:r>
      <w:r w:rsidR="00E24060" w:rsidRPr="004F681E">
        <w:rPr>
          <w:rFonts w:ascii="Arial" w:hAnsi="Arial" w:cs="Arial"/>
        </w:rPr>
        <w:t xml:space="preserve"> en la sección 3ª numeral 12.1</w:t>
      </w:r>
      <w:r w:rsidRPr="004F681E">
        <w:rPr>
          <w:rFonts w:ascii="Arial" w:hAnsi="Arial" w:cs="Arial"/>
        </w:rPr>
        <w:t xml:space="preserve"> </w:t>
      </w:r>
      <w:r w:rsidR="00E24060" w:rsidRPr="004F681E">
        <w:rPr>
          <w:rFonts w:ascii="Arial" w:hAnsi="Arial" w:cs="Arial"/>
        </w:rPr>
        <w:t>del Acuerdo referido</w:t>
      </w:r>
      <w:r w:rsidRPr="004F681E">
        <w:rPr>
          <w:rFonts w:ascii="Arial" w:hAnsi="Arial" w:cs="Arial"/>
        </w:rPr>
        <w:t xml:space="preserve"> se c</w:t>
      </w:r>
      <w:r w:rsidR="007A4EDB" w:rsidRPr="004F681E">
        <w:rPr>
          <w:rFonts w:ascii="Arial" w:hAnsi="Arial" w:cs="Arial"/>
        </w:rPr>
        <w:t>ontempló como obligación de la ciudad anfitriona respecto del p</w:t>
      </w:r>
      <w:r w:rsidRPr="004F681E">
        <w:rPr>
          <w:rFonts w:ascii="Arial" w:hAnsi="Arial" w:cs="Arial"/>
        </w:rPr>
        <w:t>rograma, que:</w:t>
      </w:r>
    </w:p>
    <w:p w:rsidR="00901DE3" w:rsidRDefault="001C62B3" w:rsidP="004F681E">
      <w:pPr>
        <w:pStyle w:val="NormalWeb"/>
        <w:ind w:left="567" w:right="567"/>
        <w:jc w:val="both"/>
        <w:rPr>
          <w:rFonts w:ascii="Arial" w:hAnsi="Arial" w:cs="Arial"/>
          <w:i/>
          <w:iCs/>
        </w:rPr>
      </w:pPr>
      <w:r w:rsidRPr="004F681E">
        <w:rPr>
          <w:rFonts w:ascii="Arial" w:hAnsi="Arial" w:cs="Arial"/>
          <w:i/>
          <w:iCs/>
        </w:rPr>
        <w:t>"12.1. Programa: (…) la Ciudad Anfitriona se asegurará de que se le conceda (sic) ningún derecho comercial a terceros distintos a las Filiales Comerciales de la FIFA".</w:t>
      </w:r>
    </w:p>
    <w:p w:rsidR="004F681E" w:rsidRPr="004F681E" w:rsidRDefault="004F681E" w:rsidP="004F681E">
      <w:pPr>
        <w:pStyle w:val="NormalWeb"/>
        <w:ind w:left="567" w:right="567"/>
        <w:jc w:val="both"/>
        <w:rPr>
          <w:rFonts w:ascii="Arial" w:hAnsi="Arial" w:cs="Arial"/>
          <w:i/>
          <w:iCs/>
        </w:rPr>
      </w:pPr>
    </w:p>
    <w:p w:rsidR="001C62B3" w:rsidRPr="004F681E" w:rsidRDefault="001C62B3" w:rsidP="001C62B3">
      <w:pPr>
        <w:spacing w:line="360" w:lineRule="auto"/>
        <w:jc w:val="both"/>
        <w:rPr>
          <w:rFonts w:ascii="Arial" w:hAnsi="Arial" w:cs="Arial"/>
          <w:lang w:val="es-CO"/>
        </w:rPr>
      </w:pPr>
      <w:r w:rsidRPr="004F681E">
        <w:rPr>
          <w:rFonts w:ascii="Arial" w:hAnsi="Arial" w:cs="Arial"/>
          <w:lang w:val="es-CO"/>
        </w:rPr>
        <w:t xml:space="preserve">En la sección 3ª </w:t>
      </w:r>
      <w:r w:rsidR="00E24060" w:rsidRPr="004F681E">
        <w:rPr>
          <w:rFonts w:ascii="Arial" w:hAnsi="Arial" w:cs="Arial"/>
          <w:lang w:val="es-CO"/>
        </w:rPr>
        <w:t>numeral 3.13 del mismo A</w:t>
      </w:r>
      <w:r w:rsidRPr="004F681E">
        <w:rPr>
          <w:rFonts w:ascii="Arial" w:hAnsi="Arial" w:cs="Arial"/>
          <w:lang w:val="es-CO"/>
        </w:rPr>
        <w:t>cuerdo se estableció que ninguno</w:t>
      </w:r>
      <w:r w:rsidR="00467563" w:rsidRPr="004F681E">
        <w:rPr>
          <w:rFonts w:ascii="Arial" w:hAnsi="Arial" w:cs="Arial"/>
          <w:lang w:val="es-CO"/>
        </w:rPr>
        <w:t>,</w:t>
      </w:r>
      <w:r w:rsidRPr="004F681E">
        <w:rPr>
          <w:rFonts w:ascii="Arial" w:hAnsi="Arial" w:cs="Arial"/>
          <w:lang w:val="es-CO"/>
        </w:rPr>
        <w:t xml:space="preserve"> </w:t>
      </w:r>
      <w:r w:rsidR="00E24060" w:rsidRPr="004F681E">
        <w:rPr>
          <w:rFonts w:ascii="Arial" w:hAnsi="Arial" w:cs="Arial"/>
          <w:lang w:val="es-CO"/>
        </w:rPr>
        <w:t xml:space="preserve">distinto </w:t>
      </w:r>
      <w:r w:rsidRPr="004F681E">
        <w:rPr>
          <w:rFonts w:ascii="Arial" w:hAnsi="Arial" w:cs="Arial"/>
          <w:lang w:val="es-CO"/>
        </w:rPr>
        <w:t>de los filiales comerciales de la FIFA</w:t>
      </w:r>
      <w:r w:rsidR="007A4EDB" w:rsidRPr="004F681E">
        <w:rPr>
          <w:rFonts w:ascii="Arial" w:hAnsi="Arial" w:cs="Arial"/>
          <w:lang w:val="es-CO"/>
        </w:rPr>
        <w:t>,</w:t>
      </w:r>
      <w:r w:rsidRPr="004F681E">
        <w:rPr>
          <w:rFonts w:ascii="Arial" w:hAnsi="Arial" w:cs="Arial"/>
          <w:lang w:val="es-CO"/>
        </w:rPr>
        <w:t xml:space="preserve"> podrían participar en las actividades de promoción, de </w:t>
      </w:r>
      <w:r w:rsidR="009A2187" w:rsidRPr="004F681E">
        <w:rPr>
          <w:rFonts w:ascii="Arial" w:hAnsi="Arial" w:cs="Arial"/>
          <w:lang w:val="es-CO"/>
        </w:rPr>
        <w:t>suerte que</w:t>
      </w:r>
      <w:r w:rsidRPr="004F681E">
        <w:rPr>
          <w:rFonts w:ascii="Arial" w:hAnsi="Arial" w:cs="Arial"/>
          <w:lang w:val="es-CO"/>
        </w:rPr>
        <w:t xml:space="preserve"> los socios de dicha federación y sus patrocinadores nacionales sería</w:t>
      </w:r>
      <w:r w:rsidR="00E24060" w:rsidRPr="004F681E">
        <w:rPr>
          <w:rFonts w:ascii="Arial" w:hAnsi="Arial" w:cs="Arial"/>
          <w:lang w:val="es-CO"/>
        </w:rPr>
        <w:t>n</w:t>
      </w:r>
      <w:r w:rsidRPr="004F681E">
        <w:rPr>
          <w:rFonts w:ascii="Arial" w:hAnsi="Arial" w:cs="Arial"/>
          <w:lang w:val="es-CO"/>
        </w:rPr>
        <w:t xml:space="preserve"> los únicos que ostentarían los derechos de mercadeo y publicidad del referido campeonato. </w:t>
      </w:r>
    </w:p>
    <w:p w:rsidR="001C62B3" w:rsidRPr="004F681E" w:rsidRDefault="001C62B3" w:rsidP="0054265F">
      <w:pPr>
        <w:spacing w:line="360" w:lineRule="auto"/>
        <w:jc w:val="both"/>
        <w:rPr>
          <w:rFonts w:ascii="Arial" w:hAnsi="Arial" w:cs="Arial"/>
          <w:lang w:val="es-CO"/>
        </w:rPr>
      </w:pPr>
    </w:p>
    <w:p w:rsidR="0054265F" w:rsidRPr="004F681E" w:rsidRDefault="001C62B3" w:rsidP="0054265F">
      <w:pPr>
        <w:spacing w:line="360" w:lineRule="auto"/>
        <w:jc w:val="both"/>
        <w:rPr>
          <w:rFonts w:ascii="Arial" w:hAnsi="Arial" w:cs="Arial"/>
          <w:lang w:val="es-CO"/>
        </w:rPr>
      </w:pPr>
      <w:r w:rsidRPr="004F681E">
        <w:rPr>
          <w:rFonts w:ascii="Arial" w:hAnsi="Arial" w:cs="Arial"/>
          <w:lang w:val="es-CO"/>
        </w:rPr>
        <w:t>A</w:t>
      </w:r>
      <w:r w:rsidR="00902508" w:rsidRPr="004F681E">
        <w:rPr>
          <w:rFonts w:ascii="Arial" w:hAnsi="Arial" w:cs="Arial"/>
          <w:lang w:val="es-CO"/>
        </w:rPr>
        <w:t>tendiendo a este contexto y</w:t>
      </w:r>
      <w:r w:rsidRPr="004F681E">
        <w:rPr>
          <w:rFonts w:ascii="Arial" w:hAnsi="Arial" w:cs="Arial"/>
          <w:lang w:val="es-CO"/>
        </w:rPr>
        <w:t xml:space="preserve"> encontrándose </w:t>
      </w:r>
      <w:r w:rsidR="00E24060" w:rsidRPr="004F681E">
        <w:rPr>
          <w:rFonts w:ascii="Arial" w:hAnsi="Arial" w:cs="Arial"/>
          <w:lang w:val="es-CO"/>
        </w:rPr>
        <w:t>el C</w:t>
      </w:r>
      <w:r w:rsidRPr="004F681E">
        <w:rPr>
          <w:rFonts w:ascii="Arial" w:hAnsi="Arial" w:cs="Arial"/>
          <w:lang w:val="es-CO"/>
        </w:rPr>
        <w:t xml:space="preserve">ontrato de </w:t>
      </w:r>
      <w:r w:rsidR="00E24060" w:rsidRPr="004F681E">
        <w:rPr>
          <w:rFonts w:ascii="Arial" w:hAnsi="Arial" w:cs="Arial"/>
          <w:lang w:val="es-CO"/>
        </w:rPr>
        <w:t>C</w:t>
      </w:r>
      <w:r w:rsidRPr="004F681E">
        <w:rPr>
          <w:rFonts w:ascii="Arial" w:hAnsi="Arial" w:cs="Arial"/>
          <w:lang w:val="es-CO"/>
        </w:rPr>
        <w:t>oncesión No. 475 en su cuarto</w:t>
      </w:r>
      <w:r w:rsidR="00E24060" w:rsidRPr="004F681E">
        <w:rPr>
          <w:rFonts w:ascii="Arial" w:hAnsi="Arial" w:cs="Arial"/>
          <w:lang w:val="es-CO"/>
        </w:rPr>
        <w:t xml:space="preserve"> año</w:t>
      </w:r>
      <w:r w:rsidRPr="004F681E">
        <w:rPr>
          <w:rFonts w:ascii="Arial" w:hAnsi="Arial" w:cs="Arial"/>
          <w:lang w:val="es-CO"/>
        </w:rPr>
        <w:t xml:space="preserve"> de ejecución, a través de oficio del 7 de abril de 2011</w:t>
      </w:r>
      <w:r w:rsidR="0054265F" w:rsidRPr="004F681E">
        <w:rPr>
          <w:rFonts w:ascii="Arial" w:hAnsi="Arial" w:cs="Arial"/>
          <w:lang w:val="es-CO"/>
        </w:rPr>
        <w:t xml:space="preserve"> el Instituto le informó a la unión temporal Publiestadios que dent</w:t>
      </w:r>
      <w:r w:rsidR="005E0F77" w:rsidRPr="004F681E">
        <w:rPr>
          <w:rFonts w:ascii="Arial" w:hAnsi="Arial" w:cs="Arial"/>
          <w:lang w:val="es-CO"/>
        </w:rPr>
        <w:t>ro d</w:t>
      </w:r>
      <w:r w:rsidR="00EF2CF5" w:rsidRPr="004F681E">
        <w:rPr>
          <w:rFonts w:ascii="Arial" w:hAnsi="Arial" w:cs="Arial"/>
          <w:lang w:val="es-CO"/>
        </w:rPr>
        <w:t xml:space="preserve">el marco de los acuerdos </w:t>
      </w:r>
      <w:r w:rsidR="0054265F" w:rsidRPr="004F681E">
        <w:rPr>
          <w:rFonts w:ascii="Arial" w:hAnsi="Arial" w:cs="Arial"/>
          <w:lang w:val="es-CO"/>
        </w:rPr>
        <w:t>suscritos con la FIFA existía el compromiso de no auto</w:t>
      </w:r>
      <w:r w:rsidR="007A4EDB" w:rsidRPr="004F681E">
        <w:rPr>
          <w:rFonts w:ascii="Arial" w:hAnsi="Arial" w:cs="Arial"/>
          <w:lang w:val="es-CO"/>
        </w:rPr>
        <w:t>rizar a terceros para realizar</w:t>
      </w:r>
      <w:r w:rsidR="0054265F" w:rsidRPr="004F681E">
        <w:rPr>
          <w:rFonts w:ascii="Arial" w:hAnsi="Arial" w:cs="Arial"/>
          <w:lang w:val="es-CO"/>
        </w:rPr>
        <w:t xml:space="preserve"> actividad</w:t>
      </w:r>
      <w:r w:rsidR="007A4EDB" w:rsidRPr="004F681E">
        <w:rPr>
          <w:rFonts w:ascii="Arial" w:hAnsi="Arial" w:cs="Arial"/>
          <w:lang w:val="es-CO"/>
        </w:rPr>
        <w:t xml:space="preserve"> alguna</w:t>
      </w:r>
      <w:r w:rsidR="0054265F" w:rsidRPr="004F681E">
        <w:rPr>
          <w:rFonts w:ascii="Arial" w:hAnsi="Arial" w:cs="Arial"/>
          <w:lang w:val="es-CO"/>
        </w:rPr>
        <w:t xml:space="preserve"> promocional</w:t>
      </w:r>
      <w:r w:rsidR="007A4EDB" w:rsidRPr="004F681E">
        <w:rPr>
          <w:rFonts w:ascii="Arial" w:hAnsi="Arial" w:cs="Arial"/>
          <w:lang w:val="es-CO"/>
        </w:rPr>
        <w:t>,</w:t>
      </w:r>
      <w:r w:rsidR="0054265F" w:rsidRPr="004F681E">
        <w:rPr>
          <w:rFonts w:ascii="Arial" w:hAnsi="Arial" w:cs="Arial"/>
          <w:lang w:val="es-CO"/>
        </w:rPr>
        <w:t xml:space="preserve"> comercial o de publicidad de cualquier naturaleza dentro ni alrededor del estadio, incluidas las pantallas gigantes, tablero marcadores o video tableros</w:t>
      </w:r>
      <w:r w:rsidR="0054265F" w:rsidRPr="004F681E">
        <w:rPr>
          <w:rStyle w:val="Refdenotaalpie"/>
          <w:rFonts w:ascii="Arial" w:hAnsi="Arial" w:cs="Arial"/>
          <w:lang w:val="es-CO"/>
        </w:rPr>
        <w:footnoteReference w:id="77"/>
      </w:r>
      <w:r w:rsidR="0054265F" w:rsidRPr="004F681E">
        <w:rPr>
          <w:rFonts w:ascii="Arial" w:hAnsi="Arial" w:cs="Arial"/>
          <w:lang w:val="es-CO"/>
        </w:rPr>
        <w:t xml:space="preserve">. </w:t>
      </w:r>
    </w:p>
    <w:p w:rsidR="0054265F" w:rsidRPr="004F681E" w:rsidRDefault="0054265F" w:rsidP="0054265F">
      <w:pPr>
        <w:spacing w:line="360" w:lineRule="auto"/>
        <w:jc w:val="both"/>
        <w:rPr>
          <w:rFonts w:ascii="Arial" w:hAnsi="Arial" w:cs="Arial"/>
          <w:lang w:val="es-CO"/>
        </w:rPr>
      </w:pPr>
    </w:p>
    <w:p w:rsidR="0054265F" w:rsidRPr="004F681E" w:rsidRDefault="00E24060" w:rsidP="0054265F">
      <w:pPr>
        <w:spacing w:line="360" w:lineRule="auto"/>
        <w:jc w:val="both"/>
        <w:rPr>
          <w:rFonts w:ascii="Arial" w:hAnsi="Arial" w:cs="Arial"/>
          <w:lang w:val="es-CO"/>
        </w:rPr>
      </w:pPr>
      <w:r w:rsidRPr="004F681E">
        <w:rPr>
          <w:rFonts w:ascii="Arial" w:hAnsi="Arial" w:cs="Arial"/>
          <w:lang w:val="es-CO"/>
        </w:rPr>
        <w:t>Adicionalmente</w:t>
      </w:r>
      <w:r w:rsidR="0054265F" w:rsidRPr="004F681E">
        <w:rPr>
          <w:rFonts w:ascii="Arial" w:hAnsi="Arial" w:cs="Arial"/>
          <w:lang w:val="es-CO"/>
        </w:rPr>
        <w:t xml:space="preserve">, la entidad expresó: </w:t>
      </w:r>
    </w:p>
    <w:p w:rsidR="0054265F" w:rsidRPr="004F681E" w:rsidRDefault="0054265F" w:rsidP="0054265F">
      <w:pPr>
        <w:spacing w:line="360" w:lineRule="auto"/>
        <w:jc w:val="both"/>
        <w:rPr>
          <w:rFonts w:ascii="Arial" w:hAnsi="Arial" w:cs="Arial"/>
          <w:lang w:val="es-CO"/>
        </w:rPr>
      </w:pPr>
    </w:p>
    <w:p w:rsidR="0054265F" w:rsidRPr="004F681E" w:rsidRDefault="0054265F" w:rsidP="0054265F">
      <w:pPr>
        <w:spacing w:line="276" w:lineRule="auto"/>
        <w:ind w:left="567" w:right="567"/>
        <w:jc w:val="both"/>
        <w:rPr>
          <w:rFonts w:ascii="Arial" w:hAnsi="Arial" w:cs="Arial"/>
          <w:lang w:val="es-CO"/>
        </w:rPr>
      </w:pPr>
      <w:r w:rsidRPr="004F681E">
        <w:rPr>
          <w:rFonts w:ascii="Arial" w:hAnsi="Arial" w:cs="Arial"/>
          <w:lang w:val="es-CO"/>
        </w:rPr>
        <w:t>“</w:t>
      </w:r>
      <w:r w:rsidRPr="004F681E">
        <w:rPr>
          <w:rFonts w:ascii="Arial" w:hAnsi="Arial" w:cs="Arial"/>
          <w:i/>
          <w:lang w:val="es-CO"/>
        </w:rPr>
        <w:t xml:space="preserve">En consecuencia solicitamos de su colaboración para hacer entrega temporal de las pantallas concesionadas a usted mediante el contrato No. 475 del 2007 instaladas en el Estadio Nemesio Camacho el </w:t>
      </w:r>
      <w:r w:rsidR="009870ED" w:rsidRPr="004F681E">
        <w:rPr>
          <w:rFonts w:ascii="Arial" w:hAnsi="Arial" w:cs="Arial"/>
          <w:i/>
          <w:lang w:val="es-CO"/>
        </w:rPr>
        <w:t>Campín</w:t>
      </w:r>
      <w:r w:rsidRPr="004F681E">
        <w:rPr>
          <w:rFonts w:ascii="Arial" w:hAnsi="Arial" w:cs="Arial"/>
          <w:i/>
          <w:lang w:val="es-CO"/>
        </w:rPr>
        <w:t xml:space="preserve">, a la FIFA durante el período de uso exclusivo de dicho estadio </w:t>
      </w:r>
      <w:r w:rsidRPr="004F681E">
        <w:rPr>
          <w:rFonts w:ascii="Arial" w:hAnsi="Arial" w:cs="Arial"/>
          <w:i/>
          <w:u w:val="single"/>
          <w:lang w:val="es-CO"/>
        </w:rPr>
        <w:t>desde el 14 de julio hasta el 29 de agosto inclusive del año en curso</w:t>
      </w:r>
      <w:r w:rsidRPr="004F681E">
        <w:rPr>
          <w:rFonts w:ascii="Arial" w:hAnsi="Arial" w:cs="Arial"/>
          <w:lang w:val="es-CO"/>
        </w:rPr>
        <w:t xml:space="preserve">”. </w:t>
      </w:r>
    </w:p>
    <w:p w:rsidR="0054265F" w:rsidRPr="004F681E" w:rsidRDefault="0054265F" w:rsidP="0054265F">
      <w:pPr>
        <w:spacing w:line="360" w:lineRule="auto"/>
        <w:jc w:val="both"/>
        <w:rPr>
          <w:rFonts w:ascii="Arial" w:hAnsi="Arial" w:cs="Arial"/>
          <w:lang w:val="es-CO"/>
        </w:rPr>
      </w:pPr>
    </w:p>
    <w:p w:rsidR="0054265F" w:rsidRPr="004F681E" w:rsidRDefault="0054265F" w:rsidP="0054265F">
      <w:pPr>
        <w:spacing w:line="360" w:lineRule="auto"/>
        <w:jc w:val="both"/>
        <w:rPr>
          <w:rFonts w:ascii="Arial" w:hAnsi="Arial" w:cs="Arial"/>
          <w:lang w:val="es-CO"/>
        </w:rPr>
      </w:pPr>
      <w:r w:rsidRPr="004F681E">
        <w:rPr>
          <w:rFonts w:ascii="Arial" w:hAnsi="Arial" w:cs="Arial"/>
          <w:lang w:val="es-CO"/>
        </w:rPr>
        <w:t>En oficio del 11 de julio de 2011</w:t>
      </w:r>
      <w:r w:rsidR="007A4EDB" w:rsidRPr="004F681E">
        <w:rPr>
          <w:rFonts w:ascii="Arial" w:hAnsi="Arial" w:cs="Arial"/>
          <w:lang w:val="es-CO"/>
        </w:rPr>
        <w:t>,</w:t>
      </w:r>
      <w:r w:rsidRPr="004F681E">
        <w:rPr>
          <w:rFonts w:ascii="Arial" w:hAnsi="Arial" w:cs="Arial"/>
          <w:lang w:val="es-CO"/>
        </w:rPr>
        <w:t xml:space="preserve"> dirigido al contra</w:t>
      </w:r>
      <w:r w:rsidR="007A4EDB" w:rsidRPr="004F681E">
        <w:rPr>
          <w:rFonts w:ascii="Arial" w:hAnsi="Arial" w:cs="Arial"/>
          <w:lang w:val="es-CO"/>
        </w:rPr>
        <w:t>tista, el IDRD se refirió</w:t>
      </w:r>
      <w:r w:rsidRPr="004F681E">
        <w:rPr>
          <w:rFonts w:ascii="Arial" w:hAnsi="Arial" w:cs="Arial"/>
          <w:lang w:val="es-CO"/>
        </w:rPr>
        <w:t xml:space="preserve"> a los temas tratados en la reunión</w:t>
      </w:r>
      <w:r w:rsidR="007A4EDB" w:rsidRPr="004F681E">
        <w:rPr>
          <w:rFonts w:ascii="Arial" w:hAnsi="Arial" w:cs="Arial"/>
          <w:lang w:val="es-CO"/>
        </w:rPr>
        <w:t xml:space="preserve"> sostenida el 15 de junio de ese año</w:t>
      </w:r>
      <w:r w:rsidRPr="004F681E">
        <w:rPr>
          <w:rFonts w:ascii="Arial" w:hAnsi="Arial" w:cs="Arial"/>
          <w:lang w:val="es-CO"/>
        </w:rPr>
        <w:t>. En esa ocasión le indicó que la operación, manejo y manipulación de equipos continuaría a cargo del personal de Publiestadios y el único factor que cambiaría consistía en que la FIFA sería la que a través de sus funcionarios determinaría el contenido de la transmisión y al efecto señaló que lo anterior “</w:t>
      </w:r>
      <w:r w:rsidRPr="004F681E">
        <w:rPr>
          <w:rFonts w:ascii="Arial" w:hAnsi="Arial" w:cs="Arial"/>
          <w:i/>
          <w:u w:val="single"/>
          <w:lang w:val="es-CO"/>
        </w:rPr>
        <w:t>hace parte de los compromisos de ciudad asumidos por las autoridades distritales</w:t>
      </w:r>
      <w:r w:rsidRPr="004F681E">
        <w:rPr>
          <w:rFonts w:ascii="Arial" w:hAnsi="Arial" w:cs="Arial"/>
          <w:i/>
          <w:lang w:val="es-CO"/>
        </w:rPr>
        <w:t xml:space="preserve"> en beneficio del buen desarrollo de un evento de la magnitud de un mundial y que están directamente relacionados con las pautas impuestas por la FIFA</w:t>
      </w:r>
      <w:r w:rsidRPr="004F681E">
        <w:rPr>
          <w:rFonts w:ascii="Arial" w:hAnsi="Arial" w:cs="Arial"/>
          <w:lang w:val="es-CO"/>
        </w:rPr>
        <w:t>”</w:t>
      </w:r>
      <w:r w:rsidRPr="004F681E">
        <w:rPr>
          <w:rStyle w:val="Refdenotaalpie"/>
          <w:rFonts w:ascii="Arial" w:hAnsi="Arial" w:cs="Arial"/>
          <w:lang w:val="es-CO"/>
        </w:rPr>
        <w:footnoteReference w:id="78"/>
      </w:r>
      <w:r w:rsidRPr="004F681E">
        <w:rPr>
          <w:rFonts w:ascii="Arial" w:hAnsi="Arial" w:cs="Arial"/>
          <w:lang w:val="es-CO"/>
        </w:rPr>
        <w:t>.</w:t>
      </w:r>
    </w:p>
    <w:p w:rsidR="006D6036" w:rsidRPr="004F681E" w:rsidRDefault="006D6036" w:rsidP="0054265F">
      <w:pPr>
        <w:spacing w:line="360" w:lineRule="auto"/>
        <w:jc w:val="both"/>
        <w:rPr>
          <w:rFonts w:ascii="Arial" w:hAnsi="Arial" w:cs="Arial"/>
          <w:lang w:val="es-CO"/>
        </w:rPr>
      </w:pPr>
    </w:p>
    <w:p w:rsidR="006D6036" w:rsidRPr="004F681E" w:rsidRDefault="006D6036" w:rsidP="0054265F">
      <w:pPr>
        <w:spacing w:line="360" w:lineRule="auto"/>
        <w:jc w:val="both"/>
        <w:rPr>
          <w:rFonts w:ascii="Arial" w:hAnsi="Arial" w:cs="Arial"/>
          <w:lang w:val="es-CO"/>
        </w:rPr>
      </w:pPr>
      <w:r w:rsidRPr="004F681E">
        <w:rPr>
          <w:rFonts w:ascii="Arial" w:hAnsi="Arial" w:cs="Arial"/>
          <w:lang w:val="es-CO"/>
        </w:rPr>
        <w:t xml:space="preserve">A través de oficio del 27 de julio de 2011, el IDRD </w:t>
      </w:r>
      <w:r w:rsidR="00E24060" w:rsidRPr="004F681E">
        <w:rPr>
          <w:rFonts w:ascii="Arial" w:hAnsi="Arial" w:cs="Arial"/>
          <w:lang w:val="es-CO"/>
        </w:rPr>
        <w:t xml:space="preserve">reiteró </w:t>
      </w:r>
      <w:r w:rsidRPr="004F681E">
        <w:rPr>
          <w:rFonts w:ascii="Arial" w:hAnsi="Arial" w:cs="Arial"/>
          <w:lang w:val="es-CO"/>
        </w:rPr>
        <w:t>al concesionario que “</w:t>
      </w:r>
      <w:r w:rsidRPr="004F681E">
        <w:rPr>
          <w:rFonts w:ascii="Arial" w:hAnsi="Arial" w:cs="Arial"/>
          <w:i/>
          <w:lang w:val="es-CO"/>
        </w:rPr>
        <w:t xml:space="preserve">la operación continuará a cargo del personal de </w:t>
      </w:r>
      <w:r w:rsidR="00B558F2" w:rsidRPr="004F681E">
        <w:rPr>
          <w:rFonts w:ascii="Arial" w:hAnsi="Arial" w:cs="Arial"/>
          <w:i/>
          <w:lang w:val="es-CO"/>
        </w:rPr>
        <w:t>PUBLIESTADIOS,</w:t>
      </w:r>
      <w:r w:rsidRPr="004F681E">
        <w:rPr>
          <w:rFonts w:ascii="Arial" w:hAnsi="Arial" w:cs="Arial"/>
          <w:i/>
          <w:lang w:val="es-CO"/>
        </w:rPr>
        <w:t xml:space="preserve"> pero bajo la supervisión de un profesional designado por la FIFA quien determinará </w:t>
      </w:r>
      <w:r w:rsidR="00CE380B" w:rsidRPr="004F681E">
        <w:rPr>
          <w:rFonts w:ascii="Arial" w:hAnsi="Arial" w:cs="Arial"/>
          <w:i/>
          <w:lang w:val="es-CO"/>
        </w:rPr>
        <w:t>los contenidos</w:t>
      </w:r>
      <w:r w:rsidR="00264055" w:rsidRPr="004F681E">
        <w:rPr>
          <w:rFonts w:ascii="Arial" w:hAnsi="Arial" w:cs="Arial"/>
          <w:lang w:val="es-CO"/>
        </w:rPr>
        <w:t>”</w:t>
      </w:r>
      <w:r w:rsidR="00A14FAA" w:rsidRPr="004F681E">
        <w:rPr>
          <w:rStyle w:val="Refdenotaalpie"/>
          <w:rFonts w:ascii="Arial" w:hAnsi="Arial" w:cs="Arial"/>
          <w:lang w:val="es-CO"/>
        </w:rPr>
        <w:footnoteReference w:id="79"/>
      </w:r>
      <w:r w:rsidR="00264055" w:rsidRPr="004F681E">
        <w:rPr>
          <w:rFonts w:ascii="Arial" w:hAnsi="Arial" w:cs="Arial"/>
          <w:lang w:val="es-CO"/>
        </w:rPr>
        <w:t>.</w:t>
      </w:r>
      <w:r w:rsidR="00CE380B" w:rsidRPr="004F681E">
        <w:rPr>
          <w:rFonts w:ascii="Arial" w:hAnsi="Arial" w:cs="Arial"/>
          <w:lang w:val="es-CO"/>
        </w:rPr>
        <w:t xml:space="preserve"> </w:t>
      </w:r>
    </w:p>
    <w:p w:rsidR="0054265F" w:rsidRPr="004F681E" w:rsidRDefault="0054265F" w:rsidP="0054265F">
      <w:pPr>
        <w:spacing w:line="360" w:lineRule="auto"/>
        <w:jc w:val="both"/>
        <w:rPr>
          <w:rFonts w:ascii="Arial" w:hAnsi="Arial" w:cs="Arial"/>
        </w:rPr>
      </w:pPr>
    </w:p>
    <w:p w:rsidR="0054265F" w:rsidRPr="004F681E" w:rsidRDefault="0054265F" w:rsidP="0054265F">
      <w:pPr>
        <w:spacing w:line="360" w:lineRule="auto"/>
        <w:jc w:val="both"/>
        <w:rPr>
          <w:rFonts w:ascii="Arial" w:hAnsi="Arial" w:cs="Arial"/>
          <w:lang w:val="es-CO"/>
        </w:rPr>
      </w:pPr>
      <w:r w:rsidRPr="004F681E">
        <w:rPr>
          <w:rFonts w:ascii="Arial" w:hAnsi="Arial" w:cs="Arial"/>
          <w:lang w:val="es-CO"/>
        </w:rPr>
        <w:t>El 1 de octubre de 2012, la firm</w:t>
      </w:r>
      <w:r w:rsidR="005E0F77" w:rsidRPr="004F681E">
        <w:rPr>
          <w:rFonts w:ascii="Arial" w:hAnsi="Arial" w:cs="Arial"/>
          <w:lang w:val="es-CO"/>
        </w:rPr>
        <w:t>a interventora del Contrato de C</w:t>
      </w:r>
      <w:r w:rsidRPr="004F681E">
        <w:rPr>
          <w:rFonts w:ascii="Arial" w:hAnsi="Arial" w:cs="Arial"/>
          <w:lang w:val="es-CO"/>
        </w:rPr>
        <w:t>oncesión No. 475 de 2007 informó al IDRD que las pantallas y cabinas de control fueron entregadas a funcionarios de la firma Publik</w:t>
      </w:r>
      <w:r w:rsidR="008A1AC2" w:rsidRPr="004F681E">
        <w:rPr>
          <w:rFonts w:ascii="Arial" w:hAnsi="Arial" w:cs="Arial"/>
          <w:lang w:val="es-CO"/>
        </w:rPr>
        <w:t>,</w:t>
      </w:r>
      <w:r w:rsidRPr="004F681E">
        <w:rPr>
          <w:rFonts w:ascii="Arial" w:hAnsi="Arial" w:cs="Arial"/>
          <w:lang w:val="es-CO"/>
        </w:rPr>
        <w:t xml:space="preserve"> </w:t>
      </w:r>
      <w:r w:rsidR="008A1AC2" w:rsidRPr="004F681E">
        <w:rPr>
          <w:rFonts w:ascii="Arial" w:hAnsi="Arial" w:cs="Arial"/>
          <w:lang w:val="es-CO"/>
        </w:rPr>
        <w:t>integrante de la unión temporal demandante</w:t>
      </w:r>
      <w:r w:rsidR="007A4EDB" w:rsidRPr="004F681E">
        <w:rPr>
          <w:rFonts w:ascii="Arial" w:hAnsi="Arial" w:cs="Arial"/>
          <w:lang w:val="es-CO"/>
        </w:rPr>
        <w:t>,</w:t>
      </w:r>
      <w:r w:rsidR="008A1AC2" w:rsidRPr="004F681E">
        <w:rPr>
          <w:rFonts w:ascii="Arial" w:hAnsi="Arial" w:cs="Arial"/>
          <w:lang w:val="es-CO"/>
        </w:rPr>
        <w:t xml:space="preserve"> quien la</w:t>
      </w:r>
      <w:r w:rsidR="007A4EDB" w:rsidRPr="004F681E">
        <w:rPr>
          <w:rFonts w:ascii="Arial" w:hAnsi="Arial" w:cs="Arial"/>
          <w:lang w:val="es-CO"/>
        </w:rPr>
        <w:t>s</w:t>
      </w:r>
      <w:r w:rsidR="008A1AC2" w:rsidRPr="004F681E">
        <w:rPr>
          <w:rFonts w:ascii="Arial" w:hAnsi="Arial" w:cs="Arial"/>
          <w:lang w:val="es-CO"/>
        </w:rPr>
        <w:t xml:space="preserve"> operó durante la realización</w:t>
      </w:r>
      <w:r w:rsidRPr="004F681E">
        <w:rPr>
          <w:rFonts w:ascii="Arial" w:hAnsi="Arial" w:cs="Arial"/>
          <w:lang w:val="es-CO"/>
        </w:rPr>
        <w:t xml:space="preserve"> del mundial Sub-20,</w:t>
      </w:r>
      <w:r w:rsidRPr="004F681E">
        <w:rPr>
          <w:rStyle w:val="Refdenotaalpie"/>
          <w:rFonts w:ascii="Arial" w:hAnsi="Arial" w:cs="Arial"/>
          <w:lang w:val="es-CO"/>
        </w:rPr>
        <w:footnoteReference w:id="80"/>
      </w:r>
      <w:r w:rsidR="008A1AC2" w:rsidRPr="004F681E">
        <w:rPr>
          <w:rFonts w:ascii="Arial" w:hAnsi="Arial" w:cs="Arial"/>
          <w:lang w:val="es-CO"/>
        </w:rPr>
        <w:t xml:space="preserve"> pero que no se levantaron registros de tal acto</w:t>
      </w:r>
      <w:r w:rsidR="007155B3" w:rsidRPr="004F681E">
        <w:rPr>
          <w:rFonts w:ascii="Arial" w:hAnsi="Arial" w:cs="Arial"/>
          <w:lang w:val="es-CO"/>
        </w:rPr>
        <w:t>. Se consignó además</w:t>
      </w:r>
      <w:r w:rsidRPr="004F681E">
        <w:rPr>
          <w:rFonts w:ascii="Arial" w:hAnsi="Arial" w:cs="Arial"/>
          <w:lang w:val="es-CO"/>
        </w:rPr>
        <w:t xml:space="preserve"> que </w:t>
      </w:r>
      <w:r w:rsidR="008A1AC2" w:rsidRPr="004F681E">
        <w:rPr>
          <w:rFonts w:ascii="Arial" w:hAnsi="Arial" w:cs="Arial"/>
          <w:lang w:val="es-CO"/>
        </w:rPr>
        <w:t xml:space="preserve">para devolución de las pantallas se procedió de la misma manera y no se elevaron documentos escritos en donde constara la entrega. </w:t>
      </w:r>
    </w:p>
    <w:p w:rsidR="003950E6" w:rsidRPr="004F681E" w:rsidRDefault="003950E6" w:rsidP="003950E6">
      <w:pPr>
        <w:spacing w:line="360" w:lineRule="auto"/>
        <w:jc w:val="both"/>
        <w:rPr>
          <w:rFonts w:ascii="Arial" w:hAnsi="Arial" w:cs="Arial"/>
          <w:lang w:val="es-CO"/>
        </w:rPr>
      </w:pPr>
    </w:p>
    <w:p w:rsidR="003950E6" w:rsidRPr="004F681E" w:rsidRDefault="003950E6" w:rsidP="003950E6">
      <w:pPr>
        <w:spacing w:line="360" w:lineRule="auto"/>
        <w:jc w:val="both"/>
        <w:rPr>
          <w:rFonts w:ascii="Arial" w:hAnsi="Arial" w:cs="Arial"/>
          <w:lang w:val="es-CO"/>
        </w:rPr>
      </w:pPr>
      <w:r w:rsidRPr="004F681E">
        <w:rPr>
          <w:rFonts w:ascii="Arial" w:hAnsi="Arial" w:cs="Arial"/>
          <w:lang w:val="es-CO"/>
        </w:rPr>
        <w:t xml:space="preserve">Descendiendo lo expuesto al caso concreto, la Sala estima que el presente punto debe ser resuelto desde la perspectiva del hecho del príncipe, a la luz de la configuración de los elementos que a continuación se relatan: </w:t>
      </w:r>
    </w:p>
    <w:p w:rsidR="003950E6" w:rsidRPr="004F681E" w:rsidRDefault="003950E6" w:rsidP="003950E6">
      <w:pPr>
        <w:spacing w:line="360" w:lineRule="auto"/>
        <w:jc w:val="both"/>
        <w:rPr>
          <w:rFonts w:ascii="Arial" w:hAnsi="Arial" w:cs="Arial"/>
          <w:lang w:val="es-CO"/>
        </w:rPr>
      </w:pPr>
    </w:p>
    <w:p w:rsidR="003950E6" w:rsidRPr="004F681E" w:rsidRDefault="00D476EC" w:rsidP="003950E6">
      <w:pPr>
        <w:spacing w:line="360" w:lineRule="auto"/>
        <w:jc w:val="both"/>
        <w:rPr>
          <w:rFonts w:ascii="Arial" w:hAnsi="Arial" w:cs="Arial"/>
          <w:lang w:val="es-CO"/>
        </w:rPr>
      </w:pPr>
      <w:r w:rsidRPr="004F681E">
        <w:rPr>
          <w:rFonts w:ascii="Arial" w:hAnsi="Arial" w:cs="Arial"/>
          <w:lang w:val="es-CO"/>
        </w:rPr>
        <w:t>i</w:t>
      </w:r>
      <w:r w:rsidR="003950E6" w:rsidRPr="004F681E">
        <w:rPr>
          <w:rFonts w:ascii="Arial" w:hAnsi="Arial" w:cs="Arial"/>
          <w:lang w:val="es-CO"/>
        </w:rPr>
        <w:t>)-.</w:t>
      </w:r>
      <w:r w:rsidR="00FC1E77" w:rsidRPr="004F681E">
        <w:rPr>
          <w:rFonts w:ascii="Arial" w:hAnsi="Arial" w:cs="Arial"/>
          <w:lang w:val="es-CO"/>
        </w:rPr>
        <w:t>Como primer aspecto</w:t>
      </w:r>
      <w:r w:rsidR="003950E6" w:rsidRPr="004F681E">
        <w:rPr>
          <w:rFonts w:ascii="Arial" w:hAnsi="Arial" w:cs="Arial"/>
          <w:lang w:val="es-CO"/>
        </w:rPr>
        <w:t xml:space="preserve"> cabe puntualizar que al margen de adoptar una u otra postura en torno a la viabilidad de su aplicación cuandoquiera que el acto origen del impacto económico provenga de una autoridad distinta a la contratante, como lo sugiere la tesis amplia, lo cierto es que en este asunto no hay lugar a </w:t>
      </w:r>
      <w:r w:rsidR="00B32A46" w:rsidRPr="004F681E">
        <w:rPr>
          <w:rFonts w:ascii="Arial" w:hAnsi="Arial" w:cs="Arial"/>
          <w:lang w:val="es-CO"/>
        </w:rPr>
        <w:t>dicha discusión</w:t>
      </w:r>
      <w:r w:rsidR="003950E6" w:rsidRPr="004F681E">
        <w:rPr>
          <w:rFonts w:ascii="Arial" w:hAnsi="Arial" w:cs="Arial"/>
          <w:lang w:val="es-CO"/>
        </w:rPr>
        <w:t xml:space="preserve"> por cuanto es claro que la decisión que alteró presuntamente la ecuación provino de una autoridad distrital -Distrito Capital de Bogotá- de cuyo orden territorial hace parte la contratante – Instituto Distrital de Recreación y Deporte</w:t>
      </w:r>
      <w:r w:rsidR="003950E6" w:rsidRPr="004F681E">
        <w:rPr>
          <w:rStyle w:val="Refdenotaalpie"/>
          <w:rFonts w:ascii="Arial" w:hAnsi="Arial" w:cs="Arial"/>
          <w:lang w:val="es-CO"/>
        </w:rPr>
        <w:footnoteReference w:id="81"/>
      </w:r>
      <w:r w:rsidR="003950E6" w:rsidRPr="004F681E">
        <w:rPr>
          <w:rFonts w:ascii="Arial" w:hAnsi="Arial" w:cs="Arial"/>
          <w:lang w:val="es-CO"/>
        </w:rPr>
        <w:t xml:space="preserve"> y, por tanto, se encuentra  cobijada por la misma persona pública, con independencia de que esta última se encuentre dotada de personalidad jurídica autónoma e independiente.</w:t>
      </w:r>
    </w:p>
    <w:p w:rsidR="003950E6" w:rsidRPr="004F681E" w:rsidRDefault="003950E6" w:rsidP="003950E6">
      <w:pPr>
        <w:spacing w:line="360" w:lineRule="auto"/>
        <w:jc w:val="both"/>
        <w:rPr>
          <w:rFonts w:ascii="Arial" w:hAnsi="Arial" w:cs="Arial"/>
          <w:lang w:val="es-CO"/>
        </w:rPr>
      </w:pPr>
    </w:p>
    <w:p w:rsidR="003950E6" w:rsidRPr="004F681E" w:rsidRDefault="003950E6" w:rsidP="003950E6">
      <w:pPr>
        <w:spacing w:line="360" w:lineRule="auto"/>
        <w:jc w:val="both"/>
        <w:rPr>
          <w:rFonts w:ascii="Arial" w:hAnsi="Arial" w:cs="Arial"/>
          <w:lang w:val="es-CO"/>
        </w:rPr>
      </w:pPr>
      <w:r w:rsidRPr="004F681E">
        <w:rPr>
          <w:rFonts w:ascii="Arial" w:hAnsi="Arial" w:cs="Arial"/>
          <w:lang w:val="es-CO"/>
        </w:rPr>
        <w:t>En ese sentido</w:t>
      </w:r>
      <w:r w:rsidR="007A4EDB" w:rsidRPr="004F681E">
        <w:rPr>
          <w:rFonts w:ascii="Arial" w:hAnsi="Arial" w:cs="Arial"/>
          <w:lang w:val="es-CO"/>
        </w:rPr>
        <w:t>,</w:t>
      </w:r>
      <w:r w:rsidRPr="004F681E">
        <w:rPr>
          <w:rFonts w:ascii="Arial" w:hAnsi="Arial" w:cs="Arial"/>
          <w:lang w:val="es-CO"/>
        </w:rPr>
        <w:t xml:space="preserve"> no puede soslayarse el hecho de que el compromiso fue contraído por el Distrito Capital como autoridad distrital y ciudad anfitriona del campeonato y que el acuerdo de donde emanó la obligación igualmente extendi</w:t>
      </w:r>
      <w:r w:rsidR="004B15DA" w:rsidRPr="004F681E">
        <w:rPr>
          <w:rFonts w:ascii="Arial" w:hAnsi="Arial" w:cs="Arial"/>
          <w:lang w:val="es-CO"/>
        </w:rPr>
        <w:t>ó sus efectos al IDRD, pero no en calidad de contratante del negocio jurídico que ocupa la atención de la Sala, sino como autorida</w:t>
      </w:r>
      <w:r w:rsidR="000524EB" w:rsidRPr="004F681E">
        <w:rPr>
          <w:rFonts w:ascii="Arial" w:hAnsi="Arial" w:cs="Arial"/>
          <w:lang w:val="es-CO"/>
        </w:rPr>
        <w:t>d distrital</w:t>
      </w:r>
      <w:r w:rsidR="004B15DA" w:rsidRPr="004F681E">
        <w:rPr>
          <w:rFonts w:ascii="Arial" w:hAnsi="Arial" w:cs="Arial"/>
          <w:lang w:val="es-CO"/>
        </w:rPr>
        <w:t xml:space="preserve"> encargada directa del funcionamiento y destinación del estadio Nemesio Camacho El </w:t>
      </w:r>
      <w:r w:rsidR="009870ED" w:rsidRPr="004F681E">
        <w:rPr>
          <w:rFonts w:ascii="Arial" w:hAnsi="Arial" w:cs="Arial"/>
          <w:lang w:val="es-CO"/>
        </w:rPr>
        <w:t>Campín</w:t>
      </w:r>
      <w:r w:rsidR="004B15DA" w:rsidRPr="004F681E">
        <w:rPr>
          <w:rFonts w:ascii="Arial" w:hAnsi="Arial" w:cs="Arial"/>
          <w:lang w:val="es-CO"/>
        </w:rPr>
        <w:t xml:space="preserve"> cuyas instalaciones fungirían como sede principal del evento. </w:t>
      </w:r>
    </w:p>
    <w:p w:rsidR="001819A8" w:rsidRPr="004F681E" w:rsidRDefault="001819A8" w:rsidP="003950E6">
      <w:pPr>
        <w:spacing w:line="360" w:lineRule="auto"/>
        <w:jc w:val="both"/>
        <w:rPr>
          <w:rFonts w:ascii="Arial" w:hAnsi="Arial" w:cs="Arial"/>
          <w:lang w:val="es-CO"/>
        </w:rPr>
      </w:pPr>
    </w:p>
    <w:p w:rsidR="001819A8" w:rsidRPr="004F681E" w:rsidRDefault="001819A8" w:rsidP="003950E6">
      <w:pPr>
        <w:spacing w:line="360" w:lineRule="auto"/>
        <w:jc w:val="both"/>
        <w:rPr>
          <w:rFonts w:ascii="Arial" w:hAnsi="Arial" w:cs="Arial"/>
          <w:lang w:val="es-CO"/>
        </w:rPr>
      </w:pPr>
      <w:r w:rsidRPr="004F681E">
        <w:rPr>
          <w:rFonts w:ascii="Arial" w:hAnsi="Arial" w:cs="Arial"/>
          <w:lang w:val="es-CO"/>
        </w:rPr>
        <w:t>En este punto</w:t>
      </w:r>
      <w:r w:rsidR="007A4EDB" w:rsidRPr="004F681E">
        <w:rPr>
          <w:rFonts w:ascii="Arial" w:hAnsi="Arial" w:cs="Arial"/>
          <w:lang w:val="es-CO"/>
        </w:rPr>
        <w:t>,</w:t>
      </w:r>
      <w:r w:rsidRPr="004F681E">
        <w:rPr>
          <w:rFonts w:ascii="Arial" w:hAnsi="Arial" w:cs="Arial"/>
          <w:lang w:val="es-CO"/>
        </w:rPr>
        <w:t xml:space="preserve"> cabe poner</w:t>
      </w:r>
      <w:r w:rsidR="000524EB" w:rsidRPr="004F681E">
        <w:rPr>
          <w:rFonts w:ascii="Arial" w:hAnsi="Arial" w:cs="Arial"/>
          <w:lang w:val="es-CO"/>
        </w:rPr>
        <w:t>se</w:t>
      </w:r>
      <w:r w:rsidR="007A4EDB" w:rsidRPr="004F681E">
        <w:rPr>
          <w:rFonts w:ascii="Arial" w:hAnsi="Arial" w:cs="Arial"/>
          <w:lang w:val="es-CO"/>
        </w:rPr>
        <w:t xml:space="preserve"> de presente</w:t>
      </w:r>
      <w:r w:rsidRPr="004F681E">
        <w:rPr>
          <w:rFonts w:ascii="Arial" w:hAnsi="Arial" w:cs="Arial"/>
          <w:lang w:val="es-CO"/>
        </w:rPr>
        <w:t xml:space="preserve"> que aun cuando la medida génesis de la alteración no surgió en estricto rigor de una ley o </w:t>
      </w:r>
      <w:r w:rsidR="000D65A5" w:rsidRPr="004F681E">
        <w:rPr>
          <w:rFonts w:ascii="Arial" w:hAnsi="Arial" w:cs="Arial"/>
          <w:lang w:val="es-CO"/>
        </w:rPr>
        <w:t xml:space="preserve"> de un </w:t>
      </w:r>
      <w:r w:rsidRPr="004F681E">
        <w:rPr>
          <w:rFonts w:ascii="Arial" w:hAnsi="Arial" w:cs="Arial"/>
          <w:lang w:val="es-CO"/>
        </w:rPr>
        <w:t xml:space="preserve">acto administrativo de carácter </w:t>
      </w:r>
      <w:r w:rsidR="000524EB" w:rsidRPr="004F681E">
        <w:rPr>
          <w:rFonts w:ascii="Arial" w:hAnsi="Arial" w:cs="Arial"/>
          <w:lang w:val="es-CO"/>
        </w:rPr>
        <w:t>general, sucede</w:t>
      </w:r>
      <w:r w:rsidRPr="004F681E">
        <w:rPr>
          <w:rFonts w:ascii="Arial" w:hAnsi="Arial" w:cs="Arial"/>
          <w:lang w:val="es-CO"/>
        </w:rPr>
        <w:t xml:space="preserve"> que el acuerdo suscrito entre la autoridad distrital y la FIFA desprendió el mismo efecto que habría surgido </w:t>
      </w:r>
      <w:r w:rsidR="000524EB" w:rsidRPr="004F681E">
        <w:rPr>
          <w:rFonts w:ascii="Arial" w:hAnsi="Arial" w:cs="Arial"/>
          <w:lang w:val="es-CO"/>
        </w:rPr>
        <w:t>en los primeros supuestos señalados, dado que</w:t>
      </w:r>
      <w:r w:rsidR="007A4EDB" w:rsidRPr="004F681E">
        <w:rPr>
          <w:rFonts w:ascii="Arial" w:hAnsi="Arial" w:cs="Arial"/>
          <w:lang w:val="es-CO"/>
        </w:rPr>
        <w:t>,</w:t>
      </w:r>
      <w:r w:rsidR="000524EB" w:rsidRPr="004F681E">
        <w:rPr>
          <w:rFonts w:ascii="Arial" w:hAnsi="Arial" w:cs="Arial"/>
          <w:lang w:val="es-CO"/>
        </w:rPr>
        <w:t xml:space="preserve"> por cuenta de su celebración</w:t>
      </w:r>
      <w:r w:rsidR="007A4EDB" w:rsidRPr="004F681E">
        <w:rPr>
          <w:rFonts w:ascii="Arial" w:hAnsi="Arial" w:cs="Arial"/>
          <w:lang w:val="es-CO"/>
        </w:rPr>
        <w:t>,</w:t>
      </w:r>
      <w:r w:rsidR="000524EB" w:rsidRPr="004F681E">
        <w:rPr>
          <w:rFonts w:ascii="Arial" w:hAnsi="Arial" w:cs="Arial"/>
          <w:lang w:val="es-CO"/>
        </w:rPr>
        <w:t xml:space="preserve"> se adquirieron varias obligaciones que vincularon a su turno a todas las entidades distritales que desde la ó</w:t>
      </w:r>
      <w:r w:rsidR="0069768F" w:rsidRPr="004F681E">
        <w:rPr>
          <w:rFonts w:ascii="Arial" w:hAnsi="Arial" w:cs="Arial"/>
          <w:lang w:val="es-CO"/>
        </w:rPr>
        <w:t>rbita</w:t>
      </w:r>
      <w:r w:rsidR="000524EB" w:rsidRPr="004F681E">
        <w:rPr>
          <w:rFonts w:ascii="Arial" w:hAnsi="Arial" w:cs="Arial"/>
          <w:lang w:val="es-CO"/>
        </w:rPr>
        <w:t xml:space="preserve"> de sus competencias legales, reglamentarias y administrativas se encontraban involucradas en el desarrollo del certamen deportivo. </w:t>
      </w:r>
    </w:p>
    <w:p w:rsidR="000524EB" w:rsidRPr="004F681E" w:rsidRDefault="000524EB" w:rsidP="003950E6">
      <w:pPr>
        <w:spacing w:line="360" w:lineRule="auto"/>
        <w:jc w:val="both"/>
        <w:rPr>
          <w:rFonts w:ascii="Arial" w:hAnsi="Arial" w:cs="Arial"/>
          <w:lang w:val="es-CO"/>
        </w:rPr>
      </w:pPr>
    </w:p>
    <w:p w:rsidR="00D21F85" w:rsidRPr="004F681E" w:rsidRDefault="000524EB" w:rsidP="000524EB">
      <w:pPr>
        <w:spacing w:line="360" w:lineRule="auto"/>
        <w:jc w:val="both"/>
        <w:rPr>
          <w:rFonts w:ascii="Arial" w:hAnsi="Arial" w:cs="Arial"/>
          <w:lang w:val="es-CO"/>
        </w:rPr>
      </w:pPr>
      <w:r w:rsidRPr="004F681E">
        <w:rPr>
          <w:rFonts w:ascii="Arial" w:hAnsi="Arial" w:cs="Arial"/>
          <w:lang w:val="es-CO"/>
        </w:rPr>
        <w:t>Siendo ello así</w:t>
      </w:r>
      <w:r w:rsidR="00DF2A0A" w:rsidRPr="004F681E">
        <w:rPr>
          <w:rFonts w:ascii="Arial" w:hAnsi="Arial" w:cs="Arial"/>
          <w:lang w:val="es-CO"/>
        </w:rPr>
        <w:t xml:space="preserve">, </w:t>
      </w:r>
      <w:r w:rsidRPr="004F681E">
        <w:rPr>
          <w:rFonts w:ascii="Arial" w:hAnsi="Arial" w:cs="Arial"/>
          <w:lang w:val="es-CO"/>
        </w:rPr>
        <w:t>la medida que en este caso se adoptó en torno a la imposibilidad de que terceros distintos a l</w:t>
      </w:r>
      <w:r w:rsidR="0069768F" w:rsidRPr="004F681E">
        <w:rPr>
          <w:rFonts w:ascii="Arial" w:hAnsi="Arial" w:cs="Arial"/>
          <w:lang w:val="es-CO"/>
        </w:rPr>
        <w:t>os designados</w:t>
      </w:r>
      <w:r w:rsidRPr="004F681E">
        <w:rPr>
          <w:rFonts w:ascii="Arial" w:hAnsi="Arial" w:cs="Arial"/>
          <w:lang w:val="es-CO"/>
        </w:rPr>
        <w:t xml:space="preserve"> por la Federación Internacional de Fútbol </w:t>
      </w:r>
      <w:r w:rsidR="0069768F" w:rsidRPr="004F681E">
        <w:rPr>
          <w:rFonts w:ascii="Arial" w:hAnsi="Arial" w:cs="Arial"/>
          <w:lang w:val="es-CO"/>
        </w:rPr>
        <w:t xml:space="preserve">de Asociación </w:t>
      </w:r>
      <w:r w:rsidRPr="004F681E">
        <w:rPr>
          <w:rFonts w:ascii="Arial" w:hAnsi="Arial" w:cs="Arial"/>
          <w:lang w:val="es-CO"/>
        </w:rPr>
        <w:t>ejer</w:t>
      </w:r>
      <w:r w:rsidR="0069768F" w:rsidRPr="004F681E">
        <w:rPr>
          <w:rFonts w:ascii="Arial" w:hAnsi="Arial" w:cs="Arial"/>
          <w:lang w:val="es-CO"/>
        </w:rPr>
        <w:t>cieran actividades comerciales,</w:t>
      </w:r>
      <w:r w:rsidRPr="004F681E">
        <w:rPr>
          <w:rFonts w:ascii="Arial" w:hAnsi="Arial" w:cs="Arial"/>
          <w:lang w:val="es-CO"/>
        </w:rPr>
        <w:t xml:space="preserve"> de promoción y </w:t>
      </w:r>
      <w:r w:rsidR="0069768F" w:rsidRPr="004F681E">
        <w:rPr>
          <w:rFonts w:ascii="Arial" w:hAnsi="Arial" w:cs="Arial"/>
          <w:lang w:val="es-CO"/>
        </w:rPr>
        <w:t xml:space="preserve">de </w:t>
      </w:r>
      <w:r w:rsidRPr="004F681E">
        <w:rPr>
          <w:rFonts w:ascii="Arial" w:hAnsi="Arial" w:cs="Arial"/>
          <w:lang w:val="es-CO"/>
        </w:rPr>
        <w:t xml:space="preserve">publicidad durante </w:t>
      </w:r>
      <w:r w:rsidR="0069768F" w:rsidRPr="004F681E">
        <w:rPr>
          <w:rFonts w:ascii="Arial" w:hAnsi="Arial" w:cs="Arial"/>
          <w:lang w:val="es-CO"/>
        </w:rPr>
        <w:t>y con ocasión del campeonato</w:t>
      </w:r>
      <w:r w:rsidR="007A4EDB" w:rsidRPr="004F681E">
        <w:rPr>
          <w:rFonts w:ascii="Arial" w:hAnsi="Arial" w:cs="Arial"/>
          <w:lang w:val="es-CO"/>
        </w:rPr>
        <w:t>,</w:t>
      </w:r>
      <w:r w:rsidRPr="004F681E">
        <w:rPr>
          <w:rFonts w:ascii="Arial" w:hAnsi="Arial" w:cs="Arial"/>
          <w:lang w:val="es-CO"/>
        </w:rPr>
        <w:t xml:space="preserve"> estaba llamada a impactar por vía </w:t>
      </w:r>
      <w:r w:rsidR="0069768F" w:rsidRPr="004F681E">
        <w:rPr>
          <w:rFonts w:ascii="Arial" w:hAnsi="Arial" w:cs="Arial"/>
          <w:lang w:val="es-CO"/>
        </w:rPr>
        <w:t>refleja todos los contratos que se encontraran en ejecución y que tuvieran por objeto la realización de este tipo de actividades, entre ellos</w:t>
      </w:r>
      <w:r w:rsidR="007A4EDB" w:rsidRPr="004F681E">
        <w:rPr>
          <w:rFonts w:ascii="Arial" w:hAnsi="Arial" w:cs="Arial"/>
          <w:lang w:val="es-CO"/>
        </w:rPr>
        <w:t>,</w:t>
      </w:r>
      <w:r w:rsidR="0069768F" w:rsidRPr="004F681E">
        <w:rPr>
          <w:rFonts w:ascii="Arial" w:hAnsi="Arial" w:cs="Arial"/>
          <w:lang w:val="es-CO"/>
        </w:rPr>
        <w:t xml:space="preserve"> por supuesto, aunque no de manera exclusiva, el Contrato de Concesión No. 475 que ahora constituye la materia de análisis</w:t>
      </w:r>
      <w:r w:rsidR="00DF2A0A" w:rsidRPr="004F681E">
        <w:rPr>
          <w:rFonts w:ascii="Arial" w:hAnsi="Arial" w:cs="Arial"/>
          <w:lang w:val="es-CO"/>
        </w:rPr>
        <w:t>,</w:t>
      </w:r>
      <w:r w:rsidR="0069768F" w:rsidRPr="004F681E">
        <w:rPr>
          <w:rFonts w:ascii="Arial" w:hAnsi="Arial" w:cs="Arial"/>
          <w:lang w:val="es-CO"/>
        </w:rPr>
        <w:t xml:space="preserve"> a través del cual se concedió la explotación y la prestación del servicio de pantalla al interior y </w:t>
      </w:r>
      <w:r w:rsidR="007A4EDB" w:rsidRPr="004F681E">
        <w:rPr>
          <w:rFonts w:ascii="Arial" w:hAnsi="Arial" w:cs="Arial"/>
          <w:lang w:val="es-CO"/>
        </w:rPr>
        <w:t xml:space="preserve">al </w:t>
      </w:r>
      <w:r w:rsidR="0069768F" w:rsidRPr="004F681E">
        <w:rPr>
          <w:rFonts w:ascii="Arial" w:hAnsi="Arial" w:cs="Arial"/>
          <w:lang w:val="es-CO"/>
        </w:rPr>
        <w:t xml:space="preserve">exterior de las instalaciones del estadio El </w:t>
      </w:r>
      <w:r w:rsidR="009870ED" w:rsidRPr="004F681E">
        <w:rPr>
          <w:rFonts w:ascii="Arial" w:hAnsi="Arial" w:cs="Arial"/>
          <w:lang w:val="es-CO"/>
        </w:rPr>
        <w:t>Campín</w:t>
      </w:r>
      <w:r w:rsidR="0069768F" w:rsidRPr="004F681E">
        <w:rPr>
          <w:rFonts w:ascii="Arial" w:hAnsi="Arial" w:cs="Arial"/>
          <w:lang w:val="es-CO"/>
        </w:rPr>
        <w:t xml:space="preserve">.  </w:t>
      </w:r>
    </w:p>
    <w:p w:rsidR="00A0010D" w:rsidRPr="004F681E" w:rsidRDefault="00A0010D" w:rsidP="000524EB">
      <w:pPr>
        <w:spacing w:line="360" w:lineRule="auto"/>
        <w:jc w:val="both"/>
        <w:rPr>
          <w:rFonts w:ascii="Arial" w:hAnsi="Arial" w:cs="Arial"/>
          <w:lang w:val="es-CO"/>
        </w:rPr>
      </w:pPr>
    </w:p>
    <w:p w:rsidR="00E41CE0" w:rsidRPr="004F681E" w:rsidRDefault="00E41CE0" w:rsidP="000524EB">
      <w:pPr>
        <w:spacing w:line="360" w:lineRule="auto"/>
        <w:jc w:val="both"/>
        <w:rPr>
          <w:rFonts w:ascii="Arial" w:hAnsi="Arial" w:cs="Arial"/>
        </w:rPr>
      </w:pPr>
      <w:r w:rsidRPr="004F681E">
        <w:rPr>
          <w:rFonts w:ascii="Arial" w:hAnsi="Arial" w:cs="Arial"/>
        </w:rPr>
        <w:t>ii). -</w:t>
      </w:r>
      <w:r w:rsidR="00D21F85" w:rsidRPr="004F681E">
        <w:rPr>
          <w:rFonts w:ascii="Arial" w:hAnsi="Arial" w:cs="Arial"/>
        </w:rPr>
        <w:t xml:space="preserve">  </w:t>
      </w:r>
      <w:r w:rsidRPr="004F681E">
        <w:rPr>
          <w:rFonts w:ascii="Arial" w:hAnsi="Arial" w:cs="Arial"/>
        </w:rPr>
        <w:t xml:space="preserve">Así mismo se evidencia que la previsión que incidió en la normal ejecución del contrato de concesión </w:t>
      </w:r>
      <w:r w:rsidR="00241043" w:rsidRPr="004F681E">
        <w:rPr>
          <w:rFonts w:ascii="Arial" w:hAnsi="Arial" w:cs="Arial"/>
        </w:rPr>
        <w:t xml:space="preserve">fue sobreviniente e imprevisible al momento de su celebración y no fue imputable al contratista. </w:t>
      </w:r>
    </w:p>
    <w:p w:rsidR="001819A8" w:rsidRPr="004F681E" w:rsidRDefault="001819A8" w:rsidP="003950E6">
      <w:pPr>
        <w:spacing w:line="360" w:lineRule="auto"/>
        <w:jc w:val="both"/>
        <w:rPr>
          <w:rFonts w:ascii="Arial" w:hAnsi="Arial" w:cs="Arial"/>
          <w:lang w:val="es-CO"/>
        </w:rPr>
      </w:pPr>
    </w:p>
    <w:p w:rsidR="00604BA2" w:rsidRPr="004F681E" w:rsidRDefault="00604BA2" w:rsidP="00024427">
      <w:pPr>
        <w:spacing w:line="360" w:lineRule="auto"/>
        <w:jc w:val="both"/>
        <w:rPr>
          <w:rFonts w:ascii="Arial" w:hAnsi="Arial" w:cs="Arial"/>
        </w:rPr>
      </w:pPr>
      <w:r w:rsidRPr="004F681E">
        <w:rPr>
          <w:rFonts w:ascii="Arial" w:hAnsi="Arial" w:cs="Arial"/>
        </w:rPr>
        <w:t>Se</w:t>
      </w:r>
      <w:r w:rsidR="006423B0" w:rsidRPr="004F681E">
        <w:rPr>
          <w:rFonts w:ascii="Arial" w:hAnsi="Arial" w:cs="Arial"/>
        </w:rPr>
        <w:t xml:space="preserve"> insiste en que</w:t>
      </w:r>
      <w:r w:rsidRPr="004F681E">
        <w:rPr>
          <w:rFonts w:ascii="Arial" w:hAnsi="Arial" w:cs="Arial"/>
        </w:rPr>
        <w:t xml:space="preserve"> el acuerdo </w:t>
      </w:r>
      <w:r w:rsidR="00D75B77" w:rsidRPr="004F681E">
        <w:rPr>
          <w:rFonts w:ascii="Arial" w:hAnsi="Arial" w:cs="Arial"/>
        </w:rPr>
        <w:t>contentivo</w:t>
      </w:r>
      <w:r w:rsidR="006423B0" w:rsidRPr="004F681E">
        <w:rPr>
          <w:rFonts w:ascii="Arial" w:hAnsi="Arial" w:cs="Arial"/>
        </w:rPr>
        <w:t xml:space="preserve"> de la previsión restrictiva </w:t>
      </w:r>
      <w:r w:rsidR="00D75B77" w:rsidRPr="004F681E">
        <w:rPr>
          <w:rFonts w:ascii="Arial" w:hAnsi="Arial" w:cs="Arial"/>
        </w:rPr>
        <w:t xml:space="preserve">y en virtud del cual se convino que la realización del torneo de fútbol </w:t>
      </w:r>
      <w:r w:rsidR="00D75B77" w:rsidRPr="004F681E">
        <w:rPr>
          <w:rFonts w:ascii="Arial" w:hAnsi="Arial" w:cs="Arial"/>
          <w:i/>
          <w:iCs/>
        </w:rPr>
        <w:t>FIFA U – 20 WORLD CUP COLOMBIA 2011</w:t>
      </w:r>
      <w:r w:rsidR="00510E29" w:rsidRPr="004F681E">
        <w:rPr>
          <w:rFonts w:ascii="Arial" w:hAnsi="Arial" w:cs="Arial"/>
          <w:i/>
          <w:iCs/>
        </w:rPr>
        <w:t xml:space="preserve"> </w:t>
      </w:r>
      <w:r w:rsidR="00510E29" w:rsidRPr="004F681E">
        <w:rPr>
          <w:rFonts w:ascii="Arial" w:hAnsi="Arial" w:cs="Arial"/>
          <w:iCs/>
        </w:rPr>
        <w:t>tuviera como sede la ciudad de</w:t>
      </w:r>
      <w:r w:rsidR="00D75B77" w:rsidRPr="004F681E">
        <w:rPr>
          <w:rFonts w:ascii="Arial" w:hAnsi="Arial" w:cs="Arial"/>
          <w:iCs/>
        </w:rPr>
        <w:t xml:space="preserve"> Bogotá</w:t>
      </w:r>
      <w:r w:rsidR="00D75B77" w:rsidRPr="004F681E">
        <w:rPr>
          <w:rFonts w:ascii="Arial" w:hAnsi="Arial" w:cs="Arial"/>
          <w:i/>
          <w:iCs/>
        </w:rPr>
        <w:t xml:space="preserve"> </w:t>
      </w:r>
      <w:r w:rsidR="00D75B77" w:rsidRPr="004F681E">
        <w:rPr>
          <w:rFonts w:ascii="Arial" w:hAnsi="Arial" w:cs="Arial"/>
        </w:rPr>
        <w:t>se celebró el 25 de abril de 2008, es decir, un año</w:t>
      </w:r>
      <w:r w:rsidR="00510E29" w:rsidRPr="004F681E">
        <w:rPr>
          <w:rFonts w:ascii="Arial" w:hAnsi="Arial" w:cs="Arial"/>
        </w:rPr>
        <w:t xml:space="preserve"> después de haberse suscrito </w:t>
      </w:r>
      <w:r w:rsidR="00D75B77" w:rsidRPr="004F681E">
        <w:rPr>
          <w:rFonts w:ascii="Arial" w:hAnsi="Arial" w:cs="Arial"/>
        </w:rPr>
        <w:t>el Contrato de Concesión No. 475</w:t>
      </w:r>
      <w:r w:rsidR="00CD3286" w:rsidRPr="004F681E">
        <w:rPr>
          <w:rFonts w:ascii="Arial" w:hAnsi="Arial" w:cs="Arial"/>
        </w:rPr>
        <w:t xml:space="preserve"> y encontrándose en plena fase de ejecución</w:t>
      </w:r>
      <w:r w:rsidR="00D75B77" w:rsidRPr="004F681E">
        <w:rPr>
          <w:rFonts w:ascii="Arial" w:hAnsi="Arial" w:cs="Arial"/>
        </w:rPr>
        <w:t xml:space="preserve">, sin que se tenga noticia de que con anterioridad a esa fecha hubiera mediado o existido información acerca de la </w:t>
      </w:r>
      <w:r w:rsidR="00510E29" w:rsidRPr="004F681E">
        <w:rPr>
          <w:rFonts w:ascii="Arial" w:hAnsi="Arial" w:cs="Arial"/>
        </w:rPr>
        <w:t>futura realización del certamen en este lugar.</w:t>
      </w:r>
    </w:p>
    <w:p w:rsidR="00604BA2" w:rsidRPr="004F681E" w:rsidRDefault="00604BA2" w:rsidP="00024427">
      <w:pPr>
        <w:spacing w:line="360" w:lineRule="auto"/>
        <w:jc w:val="both"/>
        <w:rPr>
          <w:rFonts w:ascii="Arial" w:hAnsi="Arial" w:cs="Arial"/>
        </w:rPr>
      </w:pPr>
    </w:p>
    <w:p w:rsidR="00024427" w:rsidRPr="004F681E" w:rsidRDefault="00024427" w:rsidP="00024427">
      <w:pPr>
        <w:spacing w:line="360" w:lineRule="auto"/>
        <w:jc w:val="both"/>
        <w:rPr>
          <w:rFonts w:ascii="Arial" w:hAnsi="Arial" w:cs="Arial"/>
        </w:rPr>
      </w:pPr>
      <w:r w:rsidRPr="004F681E">
        <w:rPr>
          <w:rFonts w:ascii="Arial" w:hAnsi="Arial" w:cs="Arial"/>
        </w:rPr>
        <w:t>Al contrario, debe ponerse de presente que siguiendo los lineamientos trazados en el pliego de condiciones</w:t>
      </w:r>
      <w:r w:rsidR="00D75B77" w:rsidRPr="004F681E">
        <w:rPr>
          <w:rFonts w:ascii="Arial" w:hAnsi="Arial" w:cs="Arial"/>
        </w:rPr>
        <w:t xml:space="preserve"> base de la licitación que dio como resultado la celebración del Contrato No. 475 se observa que</w:t>
      </w:r>
      <w:r w:rsidRPr="004F681E">
        <w:rPr>
          <w:rFonts w:ascii="Arial" w:hAnsi="Arial" w:cs="Arial"/>
        </w:rPr>
        <w:t xml:space="preserve"> la estructuración de la oferta debía tener en consideración el uso y distribución del funcionamiento de la pantalla durante los certámenes deportivos, sin que se hubiera realizado expresa exclusión sobre la cobertura publicitaria durante algún tipo de evento nacional o internacional. </w:t>
      </w:r>
    </w:p>
    <w:p w:rsidR="00024427" w:rsidRPr="004F681E" w:rsidRDefault="00024427" w:rsidP="00024427">
      <w:pPr>
        <w:spacing w:line="360" w:lineRule="auto"/>
        <w:jc w:val="both"/>
        <w:rPr>
          <w:rFonts w:ascii="Arial" w:hAnsi="Arial" w:cs="Arial"/>
        </w:rPr>
      </w:pPr>
    </w:p>
    <w:p w:rsidR="00024427" w:rsidRPr="004F681E" w:rsidRDefault="00024427" w:rsidP="00024427">
      <w:pPr>
        <w:spacing w:line="360" w:lineRule="auto"/>
        <w:jc w:val="both"/>
        <w:rPr>
          <w:rFonts w:ascii="Arial" w:hAnsi="Arial" w:cs="Arial"/>
        </w:rPr>
      </w:pPr>
      <w:r w:rsidRPr="004F681E">
        <w:rPr>
          <w:rFonts w:ascii="Arial" w:hAnsi="Arial" w:cs="Arial"/>
        </w:rPr>
        <w:t>Ciertamente</w:t>
      </w:r>
      <w:r w:rsidR="00A0010D" w:rsidRPr="004F681E">
        <w:rPr>
          <w:rFonts w:ascii="Arial" w:hAnsi="Arial" w:cs="Arial"/>
        </w:rPr>
        <w:t>,</w:t>
      </w:r>
      <w:r w:rsidRPr="004F681E">
        <w:rPr>
          <w:rFonts w:ascii="Arial" w:hAnsi="Arial" w:cs="Arial"/>
        </w:rPr>
        <w:t xml:space="preserve"> </w:t>
      </w:r>
      <w:r w:rsidRPr="004F681E">
        <w:rPr>
          <w:rFonts w:ascii="Arial" w:hAnsi="Arial" w:cs="Arial"/>
          <w:lang w:val="es-CO"/>
        </w:rPr>
        <w:t>tanto en el numeral 7.2.4. del pliego de condiciones, como dentro de la propuesta presentada por la unión temporal Publiestadios para participar dentro de la licitación pública No. IDRD-STP-LP-036-2006, en el numeral 1.2.4</w:t>
      </w:r>
      <w:r w:rsidR="002D755C" w:rsidRPr="004F681E">
        <w:rPr>
          <w:rStyle w:val="Refdenotaalpie"/>
          <w:rFonts w:ascii="Arial" w:hAnsi="Arial" w:cs="Arial"/>
          <w:lang w:val="es-CO"/>
        </w:rPr>
        <w:footnoteReference w:id="82"/>
      </w:r>
      <w:r w:rsidRPr="004F681E">
        <w:rPr>
          <w:rFonts w:ascii="Arial" w:hAnsi="Arial" w:cs="Arial"/>
          <w:lang w:val="es-CO"/>
        </w:rPr>
        <w:t xml:space="preserve"> el proponente consignó lo referente al uso y distribución del tiempo de funcionamiento de la pantalla electrónica interior dentro de los eventos deportivos. </w:t>
      </w:r>
    </w:p>
    <w:p w:rsidR="00024427" w:rsidRPr="004F681E" w:rsidRDefault="00024427" w:rsidP="00FA45C4">
      <w:pPr>
        <w:spacing w:line="360" w:lineRule="auto"/>
        <w:jc w:val="both"/>
        <w:rPr>
          <w:rFonts w:ascii="Arial" w:hAnsi="Arial" w:cs="Arial"/>
        </w:rPr>
      </w:pPr>
    </w:p>
    <w:p w:rsidR="00024427" w:rsidRDefault="00510E29" w:rsidP="00FA45C4">
      <w:pPr>
        <w:spacing w:line="360" w:lineRule="auto"/>
        <w:jc w:val="both"/>
        <w:rPr>
          <w:rFonts w:ascii="Arial" w:hAnsi="Arial" w:cs="Arial"/>
        </w:rPr>
      </w:pPr>
      <w:r w:rsidRPr="004F681E">
        <w:rPr>
          <w:rFonts w:ascii="Arial" w:hAnsi="Arial" w:cs="Arial"/>
        </w:rPr>
        <w:t>R</w:t>
      </w:r>
      <w:r w:rsidR="00CD3286" w:rsidRPr="004F681E">
        <w:rPr>
          <w:rFonts w:ascii="Arial" w:hAnsi="Arial" w:cs="Arial"/>
        </w:rPr>
        <w:t xml:space="preserve">esulta acertado sostener además que en modo alguno concurrió la voluntad del contratista en la existencia de la circunstancia que afectó la normal ejecución del contrato, de tal suerte que su ocurrencia no le es imputable a su conducta. </w:t>
      </w:r>
    </w:p>
    <w:p w:rsidR="004F681E" w:rsidRPr="004F681E" w:rsidRDefault="004F681E" w:rsidP="004F681E">
      <w:pPr>
        <w:spacing w:after="240" w:line="360" w:lineRule="auto"/>
        <w:jc w:val="both"/>
        <w:rPr>
          <w:rFonts w:ascii="Arial" w:hAnsi="Arial" w:cs="Arial"/>
        </w:rPr>
      </w:pPr>
    </w:p>
    <w:p w:rsidR="00C505A8" w:rsidRDefault="00CD3286" w:rsidP="004F681E">
      <w:pPr>
        <w:pStyle w:val="NormalWeb"/>
        <w:spacing w:before="0" w:beforeAutospacing="0" w:after="0" w:afterAutospacing="0" w:line="360" w:lineRule="auto"/>
        <w:jc w:val="both"/>
        <w:rPr>
          <w:rFonts w:ascii="Arial" w:hAnsi="Arial" w:cs="Arial"/>
        </w:rPr>
      </w:pPr>
      <w:r w:rsidRPr="004F681E">
        <w:rPr>
          <w:rFonts w:ascii="Arial" w:hAnsi="Arial" w:cs="Arial"/>
        </w:rPr>
        <w:t xml:space="preserve">iii).- </w:t>
      </w:r>
      <w:r w:rsidR="00F9597F" w:rsidRPr="004F681E">
        <w:rPr>
          <w:rFonts w:ascii="Arial" w:hAnsi="Arial" w:cs="Arial"/>
        </w:rPr>
        <w:t>En consideración a las pruebas relacionadas en precedencia, la Sala</w:t>
      </w:r>
      <w:r w:rsidR="00AB15E8" w:rsidRPr="004F681E">
        <w:rPr>
          <w:rFonts w:ascii="Arial" w:hAnsi="Arial" w:cs="Arial"/>
        </w:rPr>
        <w:t xml:space="preserve"> </w:t>
      </w:r>
      <w:r w:rsidR="00FF063D" w:rsidRPr="004F681E">
        <w:rPr>
          <w:rFonts w:ascii="Arial" w:hAnsi="Arial" w:cs="Arial"/>
        </w:rPr>
        <w:t xml:space="preserve">encuentra </w:t>
      </w:r>
      <w:r w:rsidR="00F7047A" w:rsidRPr="004F681E">
        <w:rPr>
          <w:rFonts w:ascii="Arial" w:hAnsi="Arial" w:cs="Arial"/>
        </w:rPr>
        <w:t>demostrada</w:t>
      </w:r>
      <w:r w:rsidR="00AB15E8" w:rsidRPr="004F681E">
        <w:rPr>
          <w:rFonts w:ascii="Arial" w:hAnsi="Arial" w:cs="Arial"/>
        </w:rPr>
        <w:t xml:space="preserve"> la </w:t>
      </w:r>
      <w:r w:rsidR="00FF063D" w:rsidRPr="004F681E">
        <w:rPr>
          <w:rFonts w:ascii="Arial" w:hAnsi="Arial" w:cs="Arial"/>
        </w:rPr>
        <w:t>existencia de</w:t>
      </w:r>
      <w:r w:rsidR="00AB15E8" w:rsidRPr="004F681E">
        <w:rPr>
          <w:rFonts w:ascii="Arial" w:hAnsi="Arial" w:cs="Arial"/>
        </w:rPr>
        <w:t xml:space="preserve"> una relación causal entre la medida general y el daño </w:t>
      </w:r>
      <w:r w:rsidR="00FF063D" w:rsidRPr="004F681E">
        <w:rPr>
          <w:rFonts w:ascii="Arial" w:hAnsi="Arial" w:cs="Arial"/>
        </w:rPr>
        <w:t>alegado. Surge con nitidez que con ocasión del</w:t>
      </w:r>
      <w:r w:rsidR="00E03DE6" w:rsidRPr="004F681E">
        <w:rPr>
          <w:rFonts w:ascii="Arial" w:hAnsi="Arial" w:cs="Arial"/>
        </w:rPr>
        <w:t xml:space="preserve"> acuerdo </w:t>
      </w:r>
      <w:r w:rsidR="00C15260" w:rsidRPr="004F681E">
        <w:rPr>
          <w:rFonts w:ascii="Arial" w:hAnsi="Arial" w:cs="Arial"/>
        </w:rPr>
        <w:t xml:space="preserve">suscrito entre la autoridad distrital </w:t>
      </w:r>
      <w:r w:rsidR="00E03DE6" w:rsidRPr="004F681E">
        <w:rPr>
          <w:rFonts w:ascii="Arial" w:hAnsi="Arial" w:cs="Arial"/>
        </w:rPr>
        <w:t xml:space="preserve">con la FIFA, en el marco del certamen deportivo mundial Sub-20, el IDRD solicitó </w:t>
      </w:r>
      <w:r w:rsidR="00D47848" w:rsidRPr="004F681E">
        <w:rPr>
          <w:rFonts w:ascii="Arial" w:hAnsi="Arial" w:cs="Arial"/>
        </w:rPr>
        <w:t xml:space="preserve">a la unión temporal Publiestadios </w:t>
      </w:r>
      <w:r w:rsidR="00E03DE6" w:rsidRPr="004F681E">
        <w:rPr>
          <w:rFonts w:ascii="Arial" w:hAnsi="Arial" w:cs="Arial"/>
        </w:rPr>
        <w:t xml:space="preserve">la entrega temporal de las pantallas </w:t>
      </w:r>
      <w:r w:rsidR="00D47848" w:rsidRPr="004F681E">
        <w:rPr>
          <w:rFonts w:ascii="Arial" w:hAnsi="Arial" w:cs="Arial"/>
        </w:rPr>
        <w:t xml:space="preserve">concesionadas por el término que </w:t>
      </w:r>
      <w:r w:rsidR="00F376B7" w:rsidRPr="004F681E">
        <w:rPr>
          <w:rFonts w:ascii="Arial" w:hAnsi="Arial" w:cs="Arial"/>
        </w:rPr>
        <w:t>durara el</w:t>
      </w:r>
      <w:r w:rsidR="00D47848" w:rsidRPr="004F681E">
        <w:rPr>
          <w:rFonts w:ascii="Arial" w:hAnsi="Arial" w:cs="Arial"/>
        </w:rPr>
        <w:t xml:space="preserve"> evento deportivo -14 de julio de 29 de agosto</w:t>
      </w:r>
      <w:r w:rsidR="00F376B7" w:rsidRPr="004F681E">
        <w:rPr>
          <w:rFonts w:ascii="Arial" w:hAnsi="Arial" w:cs="Arial"/>
        </w:rPr>
        <w:t xml:space="preserve"> de 2011, inclusive. </w:t>
      </w:r>
    </w:p>
    <w:p w:rsidR="004F681E" w:rsidRPr="004F681E" w:rsidRDefault="004F681E" w:rsidP="004F681E">
      <w:pPr>
        <w:pStyle w:val="NormalWeb"/>
        <w:spacing w:before="0" w:beforeAutospacing="0" w:after="0" w:afterAutospacing="0" w:line="360" w:lineRule="auto"/>
        <w:jc w:val="both"/>
        <w:rPr>
          <w:rFonts w:ascii="Arial" w:hAnsi="Arial" w:cs="Arial"/>
        </w:rPr>
      </w:pPr>
    </w:p>
    <w:p w:rsidR="00DF4FF4" w:rsidRPr="004F681E" w:rsidRDefault="00FF063D" w:rsidP="00FA45C4">
      <w:pPr>
        <w:spacing w:line="360" w:lineRule="auto"/>
        <w:jc w:val="both"/>
        <w:rPr>
          <w:rFonts w:ascii="Arial" w:hAnsi="Arial" w:cs="Arial"/>
        </w:rPr>
      </w:pPr>
      <w:r w:rsidRPr="004F681E">
        <w:rPr>
          <w:rFonts w:ascii="Arial" w:hAnsi="Arial" w:cs="Arial"/>
        </w:rPr>
        <w:t xml:space="preserve">Se precisa </w:t>
      </w:r>
      <w:r w:rsidR="00C15260" w:rsidRPr="004F681E">
        <w:rPr>
          <w:rFonts w:ascii="Arial" w:hAnsi="Arial" w:cs="Arial"/>
        </w:rPr>
        <w:t xml:space="preserve">igualmente </w:t>
      </w:r>
      <w:r w:rsidRPr="004F681E">
        <w:rPr>
          <w:rFonts w:ascii="Arial" w:hAnsi="Arial" w:cs="Arial"/>
        </w:rPr>
        <w:t>que a</w:t>
      </w:r>
      <w:r w:rsidR="00F376B7" w:rsidRPr="004F681E">
        <w:rPr>
          <w:rFonts w:ascii="Arial" w:hAnsi="Arial" w:cs="Arial"/>
        </w:rPr>
        <w:t xml:space="preserve"> pesar de que durante ese lapso la operación de las pantallas, por razones prácticas</w:t>
      </w:r>
      <w:r w:rsidRPr="004F681E">
        <w:rPr>
          <w:rFonts w:ascii="Arial" w:hAnsi="Arial" w:cs="Arial"/>
        </w:rPr>
        <w:t xml:space="preserve"> según lo informó el interventor</w:t>
      </w:r>
      <w:r w:rsidR="00F376B7" w:rsidRPr="004F681E">
        <w:rPr>
          <w:rFonts w:ascii="Arial" w:hAnsi="Arial" w:cs="Arial"/>
        </w:rPr>
        <w:t xml:space="preserve">, continuó en manos de uno de los integrantes de la unión temporal concesionaria, </w:t>
      </w:r>
      <w:r w:rsidR="00A0010D" w:rsidRPr="004F681E">
        <w:rPr>
          <w:rFonts w:ascii="Arial" w:hAnsi="Arial" w:cs="Arial"/>
        </w:rPr>
        <w:t xml:space="preserve">no puede dejarse de lado el hecho de que </w:t>
      </w:r>
      <w:r w:rsidR="00F376B7" w:rsidRPr="004F681E">
        <w:rPr>
          <w:rFonts w:ascii="Arial" w:hAnsi="Arial" w:cs="Arial"/>
        </w:rPr>
        <w:t>la prestación del servicio objeto de concesión se vio restringida</w:t>
      </w:r>
      <w:r w:rsidR="00A0010D" w:rsidRPr="004F681E">
        <w:rPr>
          <w:rFonts w:ascii="Arial" w:hAnsi="Arial" w:cs="Arial"/>
        </w:rPr>
        <w:t>, habida consideración de que</w:t>
      </w:r>
      <w:r w:rsidR="00F376B7" w:rsidRPr="004F681E">
        <w:rPr>
          <w:rFonts w:ascii="Arial" w:hAnsi="Arial" w:cs="Arial"/>
        </w:rPr>
        <w:t xml:space="preserve"> el contenido de la transmisión </w:t>
      </w:r>
      <w:r w:rsidR="00C505A8" w:rsidRPr="004F681E">
        <w:rPr>
          <w:rFonts w:ascii="Arial" w:hAnsi="Arial" w:cs="Arial"/>
        </w:rPr>
        <w:t>de</w:t>
      </w:r>
      <w:r w:rsidR="00DF4FF4" w:rsidRPr="004F681E">
        <w:rPr>
          <w:rFonts w:ascii="Arial" w:hAnsi="Arial" w:cs="Arial"/>
        </w:rPr>
        <w:t>bió ser determinado por la</w:t>
      </w:r>
      <w:r w:rsidR="00A8338E" w:rsidRPr="004F681E">
        <w:rPr>
          <w:rFonts w:ascii="Arial" w:hAnsi="Arial" w:cs="Arial"/>
        </w:rPr>
        <w:t xml:space="preserve"> FIFA.</w:t>
      </w:r>
    </w:p>
    <w:p w:rsidR="00A8338E" w:rsidRPr="004F681E" w:rsidRDefault="00A8338E" w:rsidP="00FA45C4">
      <w:pPr>
        <w:spacing w:line="360" w:lineRule="auto"/>
        <w:jc w:val="both"/>
        <w:rPr>
          <w:rFonts w:ascii="Arial" w:hAnsi="Arial" w:cs="Arial"/>
        </w:rPr>
      </w:pPr>
    </w:p>
    <w:p w:rsidR="00756C15" w:rsidRPr="004F681E" w:rsidRDefault="00C1116B" w:rsidP="00FA45C4">
      <w:pPr>
        <w:spacing w:line="360" w:lineRule="auto"/>
        <w:jc w:val="both"/>
        <w:rPr>
          <w:rFonts w:ascii="Arial" w:hAnsi="Arial" w:cs="Arial"/>
          <w:lang w:val="es-CO"/>
        </w:rPr>
      </w:pPr>
      <w:r w:rsidRPr="004F681E">
        <w:rPr>
          <w:rFonts w:ascii="Arial" w:hAnsi="Arial" w:cs="Arial"/>
        </w:rPr>
        <w:t xml:space="preserve">iv).- </w:t>
      </w:r>
      <w:r w:rsidR="00756C15" w:rsidRPr="004F681E">
        <w:rPr>
          <w:rFonts w:ascii="Arial" w:hAnsi="Arial" w:cs="Arial"/>
        </w:rPr>
        <w:t>L</w:t>
      </w:r>
      <w:r w:rsidR="001E78F7" w:rsidRPr="004F681E">
        <w:rPr>
          <w:rFonts w:ascii="Arial" w:hAnsi="Arial" w:cs="Arial"/>
        </w:rPr>
        <w:t>os soportes contables</w:t>
      </w:r>
      <w:r w:rsidR="00FC3F4E" w:rsidRPr="004F681E">
        <w:rPr>
          <w:rStyle w:val="Refdenotaalpie"/>
          <w:rFonts w:ascii="Arial" w:hAnsi="Arial" w:cs="Arial"/>
        </w:rPr>
        <w:footnoteReference w:id="83"/>
      </w:r>
      <w:r w:rsidR="001E78F7" w:rsidRPr="004F681E">
        <w:rPr>
          <w:rFonts w:ascii="Arial" w:hAnsi="Arial" w:cs="Arial"/>
        </w:rPr>
        <w:t xml:space="preserve"> presentados por la parte actora revelan con claridad que durante el año 2011, calenda en que se llevó a cabo el mundial </w:t>
      </w:r>
      <w:r w:rsidR="0000301B" w:rsidRPr="004F681E">
        <w:rPr>
          <w:rFonts w:ascii="Arial" w:hAnsi="Arial" w:cs="Arial"/>
        </w:rPr>
        <w:t>de fútbol S</w:t>
      </w:r>
      <w:r w:rsidR="001E78F7" w:rsidRPr="004F681E">
        <w:rPr>
          <w:rFonts w:ascii="Arial" w:hAnsi="Arial" w:cs="Arial"/>
        </w:rPr>
        <w:t>ub-20</w:t>
      </w:r>
      <w:r w:rsidR="00A0010D" w:rsidRPr="004F681E">
        <w:rPr>
          <w:rFonts w:ascii="Arial" w:hAnsi="Arial" w:cs="Arial"/>
        </w:rPr>
        <w:t>,</w:t>
      </w:r>
      <w:r w:rsidR="001E78F7" w:rsidRPr="004F681E">
        <w:rPr>
          <w:rFonts w:ascii="Arial" w:hAnsi="Arial" w:cs="Arial"/>
        </w:rPr>
        <w:t xml:space="preserve"> se vio mermada notablemente la utilidad percibida por el concesionario en relación con</w:t>
      </w:r>
      <w:r w:rsidR="009958F6" w:rsidRPr="004F681E">
        <w:rPr>
          <w:rFonts w:ascii="Arial" w:hAnsi="Arial" w:cs="Arial"/>
        </w:rPr>
        <w:t xml:space="preserve"> los tres</w:t>
      </w:r>
      <w:r w:rsidR="001E78F7" w:rsidRPr="004F681E">
        <w:rPr>
          <w:rFonts w:ascii="Arial" w:hAnsi="Arial" w:cs="Arial"/>
        </w:rPr>
        <w:t xml:space="preserve"> años anteriores de ejecuci</w:t>
      </w:r>
      <w:r w:rsidR="009958F6" w:rsidRPr="004F681E">
        <w:rPr>
          <w:rFonts w:ascii="Arial" w:hAnsi="Arial" w:cs="Arial"/>
        </w:rPr>
        <w:t>ón</w:t>
      </w:r>
      <w:r w:rsidR="001E78F7" w:rsidRPr="004F681E">
        <w:rPr>
          <w:rFonts w:ascii="Arial" w:hAnsi="Arial" w:cs="Arial"/>
        </w:rPr>
        <w:t>, circunstancia que</w:t>
      </w:r>
      <w:r w:rsidR="00F142F1" w:rsidRPr="004F681E">
        <w:rPr>
          <w:rFonts w:ascii="Arial" w:hAnsi="Arial" w:cs="Arial"/>
        </w:rPr>
        <w:t>,</w:t>
      </w:r>
      <w:r w:rsidR="001E78F7" w:rsidRPr="004F681E">
        <w:rPr>
          <w:rFonts w:ascii="Arial" w:hAnsi="Arial" w:cs="Arial"/>
        </w:rPr>
        <w:t xml:space="preserve"> </w:t>
      </w:r>
      <w:r w:rsidR="00F142F1" w:rsidRPr="004F681E">
        <w:rPr>
          <w:rFonts w:ascii="Arial" w:hAnsi="Arial" w:cs="Arial"/>
        </w:rPr>
        <w:t xml:space="preserve">en </w:t>
      </w:r>
      <w:r w:rsidR="000E3D0B" w:rsidRPr="004F681E">
        <w:rPr>
          <w:rFonts w:ascii="Arial" w:hAnsi="Arial" w:cs="Arial"/>
        </w:rPr>
        <w:t xml:space="preserve">en </w:t>
      </w:r>
      <w:r w:rsidR="009958F6" w:rsidRPr="004F681E">
        <w:rPr>
          <w:rFonts w:ascii="Arial" w:hAnsi="Arial" w:cs="Arial"/>
        </w:rPr>
        <w:t xml:space="preserve">mérito </w:t>
      </w:r>
      <w:r w:rsidR="001E78F7" w:rsidRPr="004F681E">
        <w:rPr>
          <w:rFonts w:ascii="Arial" w:hAnsi="Arial" w:cs="Arial"/>
        </w:rPr>
        <w:t xml:space="preserve">de todo lo expuesto </w:t>
      </w:r>
      <w:r w:rsidR="00F142F1" w:rsidRPr="004F681E">
        <w:rPr>
          <w:rFonts w:ascii="Arial" w:hAnsi="Arial" w:cs="Arial"/>
        </w:rPr>
        <w:t xml:space="preserve">y acogiendo la postura jurisprudencial que impera sobre la materia, </w:t>
      </w:r>
      <w:r w:rsidR="00C04862" w:rsidRPr="004F681E">
        <w:rPr>
          <w:rFonts w:ascii="Arial" w:hAnsi="Arial" w:cs="Arial"/>
        </w:rPr>
        <w:t>impone</w:t>
      </w:r>
      <w:r w:rsidR="001E78F7" w:rsidRPr="004F681E">
        <w:rPr>
          <w:rFonts w:ascii="Arial" w:hAnsi="Arial" w:cs="Arial"/>
        </w:rPr>
        <w:t xml:space="preserve"> </w:t>
      </w:r>
      <w:r w:rsidR="009958F6" w:rsidRPr="004F681E">
        <w:rPr>
          <w:rFonts w:ascii="Arial" w:hAnsi="Arial" w:cs="Arial"/>
        </w:rPr>
        <w:t>restablecer el equilibrio econ</w:t>
      </w:r>
      <w:r w:rsidR="0000301B" w:rsidRPr="004F681E">
        <w:rPr>
          <w:rFonts w:ascii="Arial" w:hAnsi="Arial" w:cs="Arial"/>
        </w:rPr>
        <w:t>ómico del C</w:t>
      </w:r>
      <w:r w:rsidR="009958F6" w:rsidRPr="004F681E">
        <w:rPr>
          <w:rFonts w:ascii="Arial" w:hAnsi="Arial" w:cs="Arial"/>
        </w:rPr>
        <w:t xml:space="preserve">ontrato </w:t>
      </w:r>
      <w:r w:rsidR="0000301B" w:rsidRPr="004F681E">
        <w:rPr>
          <w:rFonts w:ascii="Arial" w:hAnsi="Arial" w:cs="Arial"/>
        </w:rPr>
        <w:t>de C</w:t>
      </w:r>
      <w:r w:rsidR="00F142F1" w:rsidRPr="004F681E">
        <w:rPr>
          <w:rFonts w:ascii="Arial" w:hAnsi="Arial" w:cs="Arial"/>
        </w:rPr>
        <w:t xml:space="preserve">oncesión No. 475 a partir de una </w:t>
      </w:r>
      <w:r w:rsidR="00F142F1" w:rsidRPr="004F681E">
        <w:rPr>
          <w:rFonts w:ascii="Arial" w:hAnsi="Arial" w:cs="Arial"/>
          <w:lang w:val="es-CO"/>
        </w:rPr>
        <w:t xml:space="preserve">compensación </w:t>
      </w:r>
      <w:r w:rsidR="003B473D" w:rsidRPr="004F681E">
        <w:rPr>
          <w:rFonts w:ascii="Arial" w:hAnsi="Arial" w:cs="Arial"/>
          <w:lang w:val="es-CO"/>
        </w:rPr>
        <w:t xml:space="preserve">que atenderá al reconocimiento de la </w:t>
      </w:r>
      <w:r w:rsidR="004F6FA2" w:rsidRPr="004F681E">
        <w:rPr>
          <w:rFonts w:ascii="Arial" w:hAnsi="Arial" w:cs="Arial"/>
          <w:lang w:val="es-CO"/>
        </w:rPr>
        <w:t xml:space="preserve">utilidad dejada de percibir </w:t>
      </w:r>
      <w:r w:rsidR="0000301B" w:rsidRPr="004F681E">
        <w:rPr>
          <w:rFonts w:ascii="Arial" w:hAnsi="Arial" w:cs="Arial"/>
          <w:lang w:val="es-CO"/>
        </w:rPr>
        <w:t>el perí</w:t>
      </w:r>
      <w:r w:rsidR="003B473D" w:rsidRPr="004F681E">
        <w:rPr>
          <w:rFonts w:ascii="Arial" w:hAnsi="Arial" w:cs="Arial"/>
          <w:lang w:val="es-CO"/>
        </w:rPr>
        <w:t xml:space="preserve">odo del certamen. </w:t>
      </w:r>
    </w:p>
    <w:p w:rsidR="00886AF3" w:rsidRPr="004F681E" w:rsidRDefault="00886AF3" w:rsidP="00FA45C4">
      <w:pPr>
        <w:spacing w:line="360" w:lineRule="auto"/>
        <w:jc w:val="both"/>
        <w:rPr>
          <w:rFonts w:ascii="Arial" w:hAnsi="Arial" w:cs="Arial"/>
          <w:b/>
          <w:lang w:val="es-CO"/>
        </w:rPr>
      </w:pPr>
    </w:p>
    <w:p w:rsidR="009042DB" w:rsidRPr="004F681E" w:rsidRDefault="00991B6D" w:rsidP="00FA45C4">
      <w:pPr>
        <w:spacing w:line="360" w:lineRule="auto"/>
        <w:jc w:val="both"/>
        <w:rPr>
          <w:rFonts w:ascii="Arial" w:hAnsi="Arial" w:cs="Arial"/>
          <w:b/>
        </w:rPr>
      </w:pPr>
      <w:r w:rsidRPr="004F681E">
        <w:rPr>
          <w:rFonts w:ascii="Arial" w:hAnsi="Arial" w:cs="Arial"/>
          <w:b/>
          <w:lang w:val="es-CO"/>
        </w:rPr>
        <w:t>6</w:t>
      </w:r>
      <w:r w:rsidR="00F60EF8" w:rsidRPr="004F681E">
        <w:rPr>
          <w:rFonts w:ascii="Arial" w:hAnsi="Arial" w:cs="Arial"/>
          <w:b/>
          <w:lang w:val="es-CO"/>
        </w:rPr>
        <w:t xml:space="preserve">. - </w:t>
      </w:r>
      <w:r w:rsidR="009042DB" w:rsidRPr="004F681E">
        <w:rPr>
          <w:rFonts w:ascii="Arial" w:hAnsi="Arial" w:cs="Arial"/>
          <w:b/>
          <w:lang w:val="es-CO"/>
        </w:rPr>
        <w:t>Lo que debe al concesionario unión temporal Publiestadios</w:t>
      </w:r>
    </w:p>
    <w:p w:rsidR="006E347C" w:rsidRPr="004F681E" w:rsidRDefault="006E347C" w:rsidP="006E347C">
      <w:pPr>
        <w:spacing w:after="200" w:line="276" w:lineRule="auto"/>
        <w:jc w:val="both"/>
        <w:rPr>
          <w:rFonts w:ascii="Arial" w:eastAsia="Calibri" w:hAnsi="Arial" w:cs="Arial"/>
          <w:lang w:val="es-CO" w:eastAsia="en-US"/>
        </w:rPr>
      </w:pPr>
    </w:p>
    <w:p w:rsidR="009D7029" w:rsidRPr="004F681E" w:rsidRDefault="00261603" w:rsidP="007E2D3A">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En el escrito de la demanda, la parte actora solicitó la práctica de un dictamen pericial con el propósito de acreditar el monto de los perjuicios deprecados y delimitó el objeto de la prueba </w:t>
      </w:r>
      <w:r w:rsidR="009D7029" w:rsidRPr="004F681E">
        <w:rPr>
          <w:rFonts w:ascii="Arial" w:eastAsia="Calibri" w:hAnsi="Arial" w:cs="Arial"/>
          <w:lang w:val="es-CO" w:eastAsia="en-US"/>
        </w:rPr>
        <w:t>formulando los siguientes interrogantes:</w:t>
      </w:r>
    </w:p>
    <w:p w:rsidR="009D7029" w:rsidRPr="004F681E" w:rsidRDefault="009D7029" w:rsidP="007E2D3A">
      <w:pPr>
        <w:spacing w:after="200" w:line="276" w:lineRule="auto"/>
        <w:ind w:left="567" w:right="567"/>
        <w:jc w:val="both"/>
        <w:rPr>
          <w:rFonts w:ascii="Arial" w:eastAsia="Calibri" w:hAnsi="Arial" w:cs="Arial"/>
          <w:i/>
          <w:lang w:val="es-CO" w:eastAsia="en-US"/>
        </w:rPr>
      </w:pPr>
      <w:r w:rsidRPr="004F681E">
        <w:rPr>
          <w:rFonts w:ascii="Arial" w:eastAsia="Calibri" w:hAnsi="Arial" w:cs="Arial"/>
          <w:i/>
          <w:lang w:val="es-CO" w:eastAsia="en-US"/>
        </w:rPr>
        <w:t>“1.- El señor perito se sirva indicar el monto mensual de lo</w:t>
      </w:r>
      <w:r w:rsidR="00BA51CE" w:rsidRPr="004F681E">
        <w:rPr>
          <w:rFonts w:ascii="Arial" w:eastAsia="Calibri" w:hAnsi="Arial" w:cs="Arial"/>
          <w:i/>
          <w:lang w:val="es-CO" w:eastAsia="en-US"/>
        </w:rPr>
        <w:t>s ingresos recibidos por la UNIÓ</w:t>
      </w:r>
      <w:r w:rsidRPr="004F681E">
        <w:rPr>
          <w:rFonts w:ascii="Arial" w:eastAsia="Calibri" w:hAnsi="Arial" w:cs="Arial"/>
          <w:i/>
          <w:lang w:val="es-CO" w:eastAsia="en-US"/>
        </w:rPr>
        <w:t xml:space="preserve">N TEMPORAL por la operación de la pantalla durante los últimos siete meses </w:t>
      </w:r>
      <w:r w:rsidR="00551710" w:rsidRPr="004F681E">
        <w:rPr>
          <w:rFonts w:ascii="Arial" w:eastAsia="Calibri" w:hAnsi="Arial" w:cs="Arial"/>
          <w:i/>
          <w:lang w:val="es-CO" w:eastAsia="en-US"/>
        </w:rPr>
        <w:t>anteriores al</w:t>
      </w:r>
      <w:r w:rsidRPr="004F681E">
        <w:rPr>
          <w:rFonts w:ascii="Arial" w:eastAsia="Calibri" w:hAnsi="Arial" w:cs="Arial"/>
          <w:i/>
          <w:lang w:val="es-CO" w:eastAsia="en-US"/>
        </w:rPr>
        <w:t xml:space="preserve"> d</w:t>
      </w:r>
      <w:r w:rsidR="00551710" w:rsidRPr="004F681E">
        <w:rPr>
          <w:rFonts w:ascii="Arial" w:eastAsia="Calibri" w:hAnsi="Arial" w:cs="Arial"/>
          <w:i/>
          <w:lang w:val="es-CO" w:eastAsia="en-US"/>
        </w:rPr>
        <w:t>ía</w:t>
      </w:r>
      <w:r w:rsidRPr="004F681E">
        <w:rPr>
          <w:rFonts w:ascii="Arial" w:eastAsia="Calibri" w:hAnsi="Arial" w:cs="Arial"/>
          <w:i/>
          <w:lang w:val="es-CO" w:eastAsia="en-US"/>
        </w:rPr>
        <w:t xml:space="preserve"> 30 de julio de 2010.</w:t>
      </w:r>
    </w:p>
    <w:p w:rsidR="00551710" w:rsidRPr="004F681E" w:rsidRDefault="009D7029" w:rsidP="007E2D3A">
      <w:pPr>
        <w:spacing w:after="200" w:line="276" w:lineRule="auto"/>
        <w:ind w:left="567" w:right="567"/>
        <w:jc w:val="both"/>
        <w:rPr>
          <w:rFonts w:ascii="Arial" w:eastAsia="Calibri" w:hAnsi="Arial" w:cs="Arial"/>
          <w:i/>
          <w:lang w:val="es-CO" w:eastAsia="en-US"/>
        </w:rPr>
      </w:pPr>
      <w:r w:rsidRPr="004F681E">
        <w:rPr>
          <w:rFonts w:ascii="Arial" w:eastAsia="Calibri" w:hAnsi="Arial" w:cs="Arial"/>
          <w:i/>
          <w:lang w:val="es-CO" w:eastAsia="en-US"/>
        </w:rPr>
        <w:t xml:space="preserve">“2.- El señor perito </w:t>
      </w:r>
      <w:r w:rsidR="00551710" w:rsidRPr="004F681E">
        <w:rPr>
          <w:rFonts w:ascii="Arial" w:eastAsia="Calibri" w:hAnsi="Arial" w:cs="Arial"/>
          <w:i/>
          <w:lang w:val="es-CO" w:eastAsia="en-US"/>
        </w:rPr>
        <w:t xml:space="preserve">se sirva indicar a cuánto ha ascendido la ganancia o pérdida </w:t>
      </w:r>
      <w:r w:rsidR="00BA51CE" w:rsidRPr="004F681E">
        <w:rPr>
          <w:rFonts w:ascii="Arial" w:eastAsia="Calibri" w:hAnsi="Arial" w:cs="Arial"/>
          <w:i/>
          <w:lang w:val="es-CO" w:eastAsia="en-US"/>
        </w:rPr>
        <w:t>mensual obtenida por la UNIÓ</w:t>
      </w:r>
      <w:r w:rsidR="00551710" w:rsidRPr="004F681E">
        <w:rPr>
          <w:rFonts w:ascii="Arial" w:eastAsia="Calibri" w:hAnsi="Arial" w:cs="Arial"/>
          <w:i/>
          <w:lang w:val="es-CO" w:eastAsia="en-US"/>
        </w:rPr>
        <w:t>N TEMPORAL, como consecuencia de la operación de la pantalla objeto de este pleito, desde la firma del contrato de concesión 23 de julio</w:t>
      </w:r>
      <w:r w:rsidR="00551710" w:rsidRPr="004F681E">
        <w:rPr>
          <w:rStyle w:val="Refdenotaalpie"/>
          <w:rFonts w:ascii="Arial" w:eastAsia="Calibri" w:hAnsi="Arial" w:cs="Arial"/>
          <w:i/>
          <w:lang w:val="es-CO" w:eastAsia="en-US"/>
        </w:rPr>
        <w:footnoteReference w:id="84"/>
      </w:r>
      <w:r w:rsidR="00551710" w:rsidRPr="004F681E">
        <w:rPr>
          <w:rFonts w:ascii="Arial" w:eastAsia="Calibri" w:hAnsi="Arial" w:cs="Arial"/>
          <w:i/>
          <w:lang w:val="es-CO" w:eastAsia="en-US"/>
        </w:rPr>
        <w:t xml:space="preserve"> de 2007 hasta el 27 de setiembre de 2010. </w:t>
      </w:r>
    </w:p>
    <w:p w:rsidR="00551710" w:rsidRPr="004F681E" w:rsidRDefault="00551710" w:rsidP="007E2D3A">
      <w:pPr>
        <w:spacing w:after="200" w:line="276" w:lineRule="auto"/>
        <w:ind w:left="567" w:right="567"/>
        <w:jc w:val="both"/>
        <w:rPr>
          <w:rFonts w:ascii="Arial" w:eastAsia="Calibri" w:hAnsi="Arial" w:cs="Arial"/>
          <w:i/>
          <w:lang w:val="es-CO" w:eastAsia="en-US"/>
        </w:rPr>
      </w:pPr>
      <w:r w:rsidRPr="004F681E">
        <w:rPr>
          <w:rFonts w:ascii="Arial" w:eastAsia="Calibri" w:hAnsi="Arial" w:cs="Arial"/>
          <w:i/>
          <w:lang w:val="es-CO" w:eastAsia="en-US"/>
        </w:rPr>
        <w:t>“3.- El señor perito se sirva indicar a cuanto ha ascendido la ganancia o pérdida mensual obtenida</w:t>
      </w:r>
      <w:r w:rsidR="00BA51CE" w:rsidRPr="004F681E">
        <w:rPr>
          <w:rFonts w:ascii="Arial" w:eastAsia="Calibri" w:hAnsi="Arial" w:cs="Arial"/>
          <w:i/>
          <w:lang w:val="es-CO" w:eastAsia="en-US"/>
        </w:rPr>
        <w:t xml:space="preserve"> por la UNIÓ</w:t>
      </w:r>
      <w:r w:rsidR="004608DF" w:rsidRPr="004F681E">
        <w:rPr>
          <w:rFonts w:ascii="Arial" w:eastAsia="Calibri" w:hAnsi="Arial" w:cs="Arial"/>
          <w:i/>
          <w:lang w:val="es-CO" w:eastAsia="en-US"/>
        </w:rPr>
        <w:t xml:space="preserve">N TEMPORAL, como consecuencia de: </w:t>
      </w:r>
    </w:p>
    <w:p w:rsidR="004608DF" w:rsidRPr="004F681E" w:rsidRDefault="004608DF" w:rsidP="007E2D3A">
      <w:pPr>
        <w:spacing w:after="200" w:line="276" w:lineRule="auto"/>
        <w:ind w:left="567" w:right="567"/>
        <w:jc w:val="both"/>
        <w:rPr>
          <w:rFonts w:ascii="Arial" w:eastAsia="Calibri" w:hAnsi="Arial" w:cs="Arial"/>
          <w:i/>
          <w:lang w:val="es-CO" w:eastAsia="en-US"/>
        </w:rPr>
      </w:pPr>
      <w:r w:rsidRPr="004F681E">
        <w:rPr>
          <w:rFonts w:ascii="Arial" w:eastAsia="Calibri" w:hAnsi="Arial" w:cs="Arial"/>
          <w:i/>
          <w:lang w:val="es-CO" w:eastAsia="en-US"/>
        </w:rPr>
        <w:t xml:space="preserve">“(i) La inoperatividad de la pantalla desde el 28 de septiembre de 2010 hasta el 8 de abril de 2011, período durante el cual el IDRD realizó el cambio de lugar de la pantalla conforme a la Resolución 327 del 23 de julio de 2010, y; </w:t>
      </w:r>
    </w:p>
    <w:p w:rsidR="004608DF" w:rsidRPr="004F681E" w:rsidRDefault="004608DF" w:rsidP="007E2D3A">
      <w:pPr>
        <w:spacing w:after="200" w:line="276" w:lineRule="auto"/>
        <w:ind w:left="567" w:right="567"/>
        <w:jc w:val="both"/>
        <w:rPr>
          <w:rFonts w:ascii="Arial" w:eastAsia="Calibri" w:hAnsi="Arial" w:cs="Arial"/>
          <w:i/>
          <w:lang w:val="es-CO" w:eastAsia="en-US"/>
        </w:rPr>
      </w:pPr>
      <w:r w:rsidRPr="004F681E">
        <w:rPr>
          <w:rFonts w:ascii="Arial" w:eastAsia="Calibri" w:hAnsi="Arial" w:cs="Arial"/>
          <w:i/>
          <w:lang w:val="es-CO" w:eastAsia="en-US"/>
        </w:rPr>
        <w:t xml:space="preserve">“(ii) La inoperatividad de la pantalla desde el 14 de julio hasta el 29 de agosto de 2011, período durante el cual el IDRD solicitó la entrega de la pantalla de cara a la obligación que la </w:t>
      </w:r>
      <w:r w:rsidR="006248CF" w:rsidRPr="004F681E">
        <w:rPr>
          <w:rFonts w:ascii="Arial" w:eastAsia="Calibri" w:hAnsi="Arial" w:cs="Arial"/>
          <w:i/>
          <w:lang w:val="es-CO" w:eastAsia="en-US"/>
        </w:rPr>
        <w:t>administración había adquirido con la FIFA de no presentar pu</w:t>
      </w:r>
      <w:r w:rsidR="007E2D3A" w:rsidRPr="004F681E">
        <w:rPr>
          <w:rFonts w:ascii="Arial" w:eastAsia="Calibri" w:hAnsi="Arial" w:cs="Arial"/>
          <w:i/>
          <w:lang w:val="es-CO" w:eastAsia="en-US"/>
        </w:rPr>
        <w:t>blicidad mientras se desarrollara el mundial de futbol Sub-20”.</w:t>
      </w:r>
      <w:r w:rsidRPr="004F681E">
        <w:rPr>
          <w:rFonts w:ascii="Arial" w:eastAsia="Calibri" w:hAnsi="Arial" w:cs="Arial"/>
          <w:i/>
          <w:lang w:val="es-CO" w:eastAsia="en-US"/>
        </w:rPr>
        <w:t xml:space="preserve"> </w:t>
      </w:r>
    </w:p>
    <w:p w:rsidR="001E194B" w:rsidRPr="004F681E" w:rsidRDefault="001E194B" w:rsidP="001E194B">
      <w:pPr>
        <w:pStyle w:val="Citas"/>
        <w:rPr>
          <w:rStyle w:val="nfasis"/>
          <w:rFonts w:eastAsia="Calibri" w:cs="Arial"/>
          <w:sz w:val="24"/>
          <w:szCs w:val="24"/>
        </w:rPr>
      </w:pPr>
    </w:p>
    <w:p w:rsidR="00A0010D" w:rsidRPr="004F681E" w:rsidRDefault="00F06867" w:rsidP="00087769">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Mediante auto del 14 de mayo de 2013, e</w:t>
      </w:r>
      <w:r w:rsidR="00D86018" w:rsidRPr="004F681E">
        <w:rPr>
          <w:rFonts w:ascii="Arial" w:eastAsia="Calibri" w:hAnsi="Arial" w:cs="Arial"/>
          <w:lang w:val="es-CO" w:eastAsia="en-US"/>
        </w:rPr>
        <w:t xml:space="preserve">l Tribunal </w:t>
      </w:r>
      <w:r w:rsidR="00D86018" w:rsidRPr="004F681E">
        <w:rPr>
          <w:rFonts w:ascii="Arial" w:eastAsia="Calibri" w:hAnsi="Arial" w:cs="Arial"/>
          <w:i/>
          <w:lang w:val="es-CO" w:eastAsia="en-US"/>
        </w:rPr>
        <w:t>a quo</w:t>
      </w:r>
      <w:r w:rsidR="00D86018" w:rsidRPr="004F681E">
        <w:rPr>
          <w:rFonts w:ascii="Arial" w:eastAsia="Calibri" w:hAnsi="Arial" w:cs="Arial"/>
          <w:lang w:val="es-CO" w:eastAsia="en-US"/>
        </w:rPr>
        <w:t xml:space="preserve"> accedi</w:t>
      </w:r>
      <w:r w:rsidR="001E194B" w:rsidRPr="004F681E">
        <w:rPr>
          <w:rFonts w:ascii="Arial" w:eastAsia="Calibri" w:hAnsi="Arial" w:cs="Arial"/>
          <w:lang w:val="es-CO" w:eastAsia="en-US"/>
        </w:rPr>
        <w:t>ó al decreto y prá</w:t>
      </w:r>
      <w:r w:rsidR="00BA51CE" w:rsidRPr="004F681E">
        <w:rPr>
          <w:rFonts w:ascii="Arial" w:eastAsia="Calibri" w:hAnsi="Arial" w:cs="Arial"/>
          <w:lang w:val="es-CO" w:eastAsia="en-US"/>
        </w:rPr>
        <w:t>ctica</w:t>
      </w:r>
      <w:r w:rsidR="00D86018" w:rsidRPr="004F681E">
        <w:rPr>
          <w:rFonts w:ascii="Arial" w:eastAsia="Calibri" w:hAnsi="Arial" w:cs="Arial"/>
          <w:lang w:val="es-CO" w:eastAsia="en-US"/>
        </w:rPr>
        <w:t xml:space="preserve"> del anterior medio de prueba</w:t>
      </w:r>
      <w:r w:rsidRPr="004F681E">
        <w:rPr>
          <w:rFonts w:ascii="Arial" w:eastAsia="Calibri" w:hAnsi="Arial" w:cs="Arial"/>
          <w:lang w:val="es-CO" w:eastAsia="en-US"/>
        </w:rPr>
        <w:t xml:space="preserve"> y en esa misma fecha </w:t>
      </w:r>
      <w:r w:rsidR="00D86018" w:rsidRPr="004F681E">
        <w:rPr>
          <w:rFonts w:ascii="Arial" w:eastAsia="Calibri" w:hAnsi="Arial" w:cs="Arial"/>
          <w:lang w:val="es-CO" w:eastAsia="en-US"/>
        </w:rPr>
        <w:t>designó como perito actuario al señor Pedro Jos</w:t>
      </w:r>
      <w:r w:rsidR="0000301B" w:rsidRPr="004F681E">
        <w:rPr>
          <w:rFonts w:ascii="Arial" w:eastAsia="Calibri" w:hAnsi="Arial" w:cs="Arial"/>
          <w:lang w:val="es-CO" w:eastAsia="en-US"/>
        </w:rPr>
        <w:t>é V</w:t>
      </w:r>
      <w:r w:rsidR="00D86018" w:rsidRPr="004F681E">
        <w:rPr>
          <w:rFonts w:ascii="Arial" w:eastAsia="Calibri" w:hAnsi="Arial" w:cs="Arial"/>
          <w:lang w:val="es-CO" w:eastAsia="en-US"/>
        </w:rPr>
        <w:t>arga</w:t>
      </w:r>
      <w:r w:rsidR="0000301B" w:rsidRPr="004F681E">
        <w:rPr>
          <w:rFonts w:ascii="Arial" w:eastAsia="Calibri" w:hAnsi="Arial" w:cs="Arial"/>
          <w:lang w:val="es-CO" w:eastAsia="en-US"/>
        </w:rPr>
        <w:t>s</w:t>
      </w:r>
      <w:r w:rsidR="00D86018" w:rsidRPr="004F681E">
        <w:rPr>
          <w:rFonts w:ascii="Arial" w:eastAsia="Calibri" w:hAnsi="Arial" w:cs="Arial"/>
          <w:lang w:val="es-CO" w:eastAsia="en-US"/>
        </w:rPr>
        <w:t xml:space="preserve"> Morato.</w:t>
      </w:r>
    </w:p>
    <w:p w:rsidR="00A0010D" w:rsidRPr="004F681E" w:rsidRDefault="00D86018" w:rsidP="00A0010D">
      <w:pPr>
        <w:pStyle w:val="Citas"/>
        <w:rPr>
          <w:rStyle w:val="nfasis"/>
          <w:rFonts w:eastAsia="Calibri" w:cs="Arial"/>
          <w:i w:val="0"/>
          <w:iCs w:val="0"/>
          <w:sz w:val="24"/>
          <w:szCs w:val="24"/>
          <w:lang w:val="es-CO" w:eastAsia="en-US"/>
        </w:rPr>
      </w:pPr>
      <w:r w:rsidRPr="004F681E">
        <w:rPr>
          <w:rFonts w:eastAsia="Calibri" w:cs="Arial"/>
          <w:sz w:val="24"/>
          <w:szCs w:val="24"/>
          <w:lang w:eastAsia="en-US"/>
        </w:rPr>
        <w:t xml:space="preserve"> </w:t>
      </w:r>
    </w:p>
    <w:p w:rsidR="00BA51CE" w:rsidRPr="004F681E" w:rsidRDefault="00BA51CE" w:rsidP="00087769">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El 15 de octubre de 2013</w:t>
      </w:r>
      <w:r w:rsidR="00A0010D" w:rsidRPr="004F681E">
        <w:rPr>
          <w:rFonts w:ascii="Arial" w:eastAsia="Calibri" w:hAnsi="Arial" w:cs="Arial"/>
          <w:lang w:val="es-CO" w:eastAsia="en-US"/>
        </w:rPr>
        <w:t>,</w:t>
      </w:r>
      <w:r w:rsidRPr="004F681E">
        <w:rPr>
          <w:rFonts w:ascii="Arial" w:eastAsia="Calibri" w:hAnsi="Arial" w:cs="Arial"/>
          <w:lang w:val="es-CO" w:eastAsia="en-US"/>
        </w:rPr>
        <w:t xml:space="preserve"> el auxiliar de</w:t>
      </w:r>
      <w:r w:rsidR="00465554" w:rsidRPr="004F681E">
        <w:rPr>
          <w:rFonts w:ascii="Arial" w:eastAsia="Calibri" w:hAnsi="Arial" w:cs="Arial"/>
          <w:lang w:val="es-CO" w:eastAsia="en-US"/>
        </w:rPr>
        <w:t xml:space="preserve"> </w:t>
      </w:r>
      <w:r w:rsidR="00F7047A" w:rsidRPr="004F681E">
        <w:rPr>
          <w:rFonts w:ascii="Arial" w:eastAsia="Calibri" w:hAnsi="Arial" w:cs="Arial"/>
          <w:lang w:val="es-CO" w:eastAsia="en-US"/>
        </w:rPr>
        <w:t>la justicia presentó</w:t>
      </w:r>
      <w:r w:rsidRPr="004F681E">
        <w:rPr>
          <w:rFonts w:ascii="Arial" w:eastAsia="Calibri" w:hAnsi="Arial" w:cs="Arial"/>
          <w:lang w:val="es-CO" w:eastAsia="en-US"/>
        </w:rPr>
        <w:t xml:space="preserve"> la experticia encomendada </w:t>
      </w:r>
      <w:r w:rsidR="00465554" w:rsidRPr="004F681E">
        <w:rPr>
          <w:rFonts w:ascii="Arial" w:eastAsia="Calibri" w:hAnsi="Arial" w:cs="Arial"/>
          <w:lang w:val="es-CO" w:eastAsia="en-US"/>
        </w:rPr>
        <w:t>y como resultado final de su labor concluyó que el monto de los perjuicios que debían reconocerse a favor de la unión temporal Publiestadios ascendían a la suma de $1.124’750.036.00 que discriminó en</w:t>
      </w:r>
      <w:r w:rsidR="001E194B" w:rsidRPr="004F681E">
        <w:rPr>
          <w:rFonts w:ascii="Arial" w:eastAsia="Calibri" w:hAnsi="Arial" w:cs="Arial"/>
          <w:lang w:val="es-CO" w:eastAsia="en-US"/>
        </w:rPr>
        <w:t>:</w:t>
      </w:r>
      <w:r w:rsidR="00465554" w:rsidRPr="004F681E">
        <w:rPr>
          <w:rFonts w:ascii="Arial" w:eastAsia="Calibri" w:hAnsi="Arial" w:cs="Arial"/>
          <w:lang w:val="es-CO" w:eastAsia="en-US"/>
        </w:rPr>
        <w:t xml:space="preserve"> </w:t>
      </w:r>
      <w:r w:rsidR="001E194B" w:rsidRPr="004F681E">
        <w:rPr>
          <w:rFonts w:ascii="Arial" w:eastAsia="Calibri" w:hAnsi="Arial" w:cs="Arial"/>
          <w:lang w:val="es-CO" w:eastAsia="en-US"/>
        </w:rPr>
        <w:t xml:space="preserve">el </w:t>
      </w:r>
      <w:r w:rsidR="00465554" w:rsidRPr="004F681E">
        <w:rPr>
          <w:rFonts w:ascii="Arial" w:eastAsia="Calibri" w:hAnsi="Arial" w:cs="Arial"/>
          <w:lang w:val="es-CO" w:eastAsia="en-US"/>
        </w:rPr>
        <w:t>detrimento del good will,</w:t>
      </w:r>
      <w:r w:rsidR="001E194B" w:rsidRPr="004F681E">
        <w:rPr>
          <w:rFonts w:ascii="Arial" w:eastAsia="Calibri" w:hAnsi="Arial" w:cs="Arial"/>
          <w:lang w:val="es-CO" w:eastAsia="en-US"/>
        </w:rPr>
        <w:t xml:space="preserve"> el</w:t>
      </w:r>
      <w:r w:rsidR="00465554" w:rsidRPr="004F681E">
        <w:rPr>
          <w:rFonts w:ascii="Arial" w:eastAsia="Calibri" w:hAnsi="Arial" w:cs="Arial"/>
          <w:lang w:val="es-CO" w:eastAsia="en-US"/>
        </w:rPr>
        <w:t xml:space="preserve"> lucro cesante tangible pasado y </w:t>
      </w:r>
      <w:r w:rsidR="001E194B" w:rsidRPr="004F681E">
        <w:rPr>
          <w:rFonts w:ascii="Arial" w:eastAsia="Calibri" w:hAnsi="Arial" w:cs="Arial"/>
          <w:lang w:val="es-CO" w:eastAsia="en-US"/>
        </w:rPr>
        <w:t xml:space="preserve">el </w:t>
      </w:r>
      <w:r w:rsidR="00465554" w:rsidRPr="004F681E">
        <w:rPr>
          <w:rFonts w:ascii="Arial" w:eastAsia="Calibri" w:hAnsi="Arial" w:cs="Arial"/>
          <w:lang w:val="es-CO" w:eastAsia="en-US"/>
        </w:rPr>
        <w:t xml:space="preserve">lucro cesante tangible futuro. </w:t>
      </w:r>
    </w:p>
    <w:p w:rsidR="00B415E3" w:rsidRPr="004F681E" w:rsidRDefault="00B415E3" w:rsidP="00B415E3">
      <w:pPr>
        <w:pStyle w:val="Citas"/>
        <w:rPr>
          <w:rFonts w:eastAsia="Calibri" w:cs="Arial"/>
          <w:sz w:val="24"/>
          <w:szCs w:val="24"/>
          <w:lang w:eastAsia="en-US"/>
        </w:rPr>
      </w:pPr>
    </w:p>
    <w:p w:rsidR="00465554" w:rsidRPr="004F681E" w:rsidRDefault="00C04862" w:rsidP="00087769">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Una vez analizada la experticia por la primera instancia</w:t>
      </w:r>
      <w:r w:rsidR="00BF5FD4" w:rsidRPr="004F681E">
        <w:rPr>
          <w:rFonts w:ascii="Arial" w:eastAsia="Calibri" w:hAnsi="Arial" w:cs="Arial"/>
          <w:lang w:val="es-CO" w:eastAsia="en-US"/>
        </w:rPr>
        <w:t xml:space="preserve"> en la sentencia impugnada</w:t>
      </w:r>
      <w:r w:rsidRPr="004F681E">
        <w:rPr>
          <w:rFonts w:ascii="Arial" w:eastAsia="Calibri" w:hAnsi="Arial" w:cs="Arial"/>
          <w:lang w:val="es-CO" w:eastAsia="en-US"/>
        </w:rPr>
        <w:t xml:space="preserve">, el Tribunal declaró probada la objeción por error grave </w:t>
      </w:r>
      <w:r w:rsidR="00BF5FD4" w:rsidRPr="004F681E">
        <w:rPr>
          <w:rFonts w:ascii="Arial" w:eastAsia="Calibri" w:hAnsi="Arial" w:cs="Arial"/>
          <w:lang w:val="es-CO" w:eastAsia="en-US"/>
        </w:rPr>
        <w:t xml:space="preserve">formulada </w:t>
      </w:r>
      <w:r w:rsidR="00A0010D" w:rsidRPr="004F681E">
        <w:rPr>
          <w:rFonts w:ascii="Arial" w:eastAsia="Calibri" w:hAnsi="Arial" w:cs="Arial"/>
          <w:lang w:val="es-CO" w:eastAsia="en-US"/>
        </w:rPr>
        <w:t>en</w:t>
      </w:r>
      <w:r w:rsidR="001E194B" w:rsidRPr="004F681E">
        <w:rPr>
          <w:rFonts w:ascii="Arial" w:eastAsia="Calibri" w:hAnsi="Arial" w:cs="Arial"/>
          <w:lang w:val="es-CO" w:eastAsia="en-US"/>
        </w:rPr>
        <w:t xml:space="preserve"> su contra </w:t>
      </w:r>
      <w:r w:rsidR="00BF5FD4" w:rsidRPr="004F681E">
        <w:rPr>
          <w:rFonts w:ascii="Arial" w:eastAsia="Calibri" w:hAnsi="Arial" w:cs="Arial"/>
          <w:lang w:val="es-CO" w:eastAsia="en-US"/>
        </w:rPr>
        <w:t>por el Instituto, tras considerar que el peritazgo hab</w:t>
      </w:r>
      <w:r w:rsidR="00F06867" w:rsidRPr="004F681E">
        <w:rPr>
          <w:rFonts w:ascii="Arial" w:eastAsia="Calibri" w:hAnsi="Arial" w:cs="Arial"/>
          <w:lang w:val="es-CO" w:eastAsia="en-US"/>
        </w:rPr>
        <w:t>ía excedido</w:t>
      </w:r>
      <w:r w:rsidR="00BF5FD4" w:rsidRPr="004F681E">
        <w:rPr>
          <w:rFonts w:ascii="Arial" w:eastAsia="Calibri" w:hAnsi="Arial" w:cs="Arial"/>
          <w:lang w:val="es-CO" w:eastAsia="en-US"/>
        </w:rPr>
        <w:t xml:space="preserve"> el objeto de la prueba al conceptuar sobre la acreditación de unas cantidades que no f</w:t>
      </w:r>
      <w:r w:rsidR="00F06867" w:rsidRPr="004F681E">
        <w:rPr>
          <w:rFonts w:ascii="Arial" w:eastAsia="Calibri" w:hAnsi="Arial" w:cs="Arial"/>
          <w:lang w:val="es-CO" w:eastAsia="en-US"/>
        </w:rPr>
        <w:t>ueron solicitada</w:t>
      </w:r>
      <w:r w:rsidR="00656DAE" w:rsidRPr="004F681E">
        <w:rPr>
          <w:rFonts w:ascii="Arial" w:eastAsia="Calibri" w:hAnsi="Arial" w:cs="Arial"/>
          <w:lang w:val="es-CO" w:eastAsia="en-US"/>
        </w:rPr>
        <w:t>s en la demanda. En ese sentido</w:t>
      </w:r>
      <w:r w:rsidR="00A0010D" w:rsidRPr="004F681E">
        <w:rPr>
          <w:rFonts w:ascii="Arial" w:eastAsia="Calibri" w:hAnsi="Arial" w:cs="Arial"/>
          <w:lang w:val="es-CO" w:eastAsia="en-US"/>
        </w:rPr>
        <w:t>,</w:t>
      </w:r>
      <w:r w:rsidR="00656DAE" w:rsidRPr="004F681E">
        <w:rPr>
          <w:rFonts w:ascii="Arial" w:eastAsia="Calibri" w:hAnsi="Arial" w:cs="Arial"/>
          <w:lang w:val="es-CO" w:eastAsia="en-US"/>
        </w:rPr>
        <w:t xml:space="preserve"> advirtió que el perito realizó la experticia </w:t>
      </w:r>
      <w:r w:rsidR="001E194B" w:rsidRPr="004F681E">
        <w:rPr>
          <w:rFonts w:ascii="Arial" w:eastAsia="Calibri" w:hAnsi="Arial" w:cs="Arial"/>
          <w:lang w:val="es-CO" w:eastAsia="en-US"/>
        </w:rPr>
        <w:t xml:space="preserve">con base </w:t>
      </w:r>
      <w:r w:rsidR="0045147E" w:rsidRPr="004F681E">
        <w:rPr>
          <w:rFonts w:ascii="Arial" w:eastAsia="Calibri" w:hAnsi="Arial" w:cs="Arial"/>
          <w:lang w:val="es-CO" w:eastAsia="en-US"/>
        </w:rPr>
        <w:t xml:space="preserve">en pruebas globales de los posibles daños materiales (lucro cesante y daño emergente) y daños y perjuicios intangibles (good will y pérdida de la imagen corporativa). </w:t>
      </w:r>
    </w:p>
    <w:p w:rsidR="001E194B" w:rsidRPr="004F681E" w:rsidRDefault="001E194B" w:rsidP="001E194B">
      <w:pPr>
        <w:pStyle w:val="Citas"/>
        <w:rPr>
          <w:rFonts w:eastAsia="Calibri" w:cs="Arial"/>
          <w:sz w:val="24"/>
          <w:szCs w:val="24"/>
          <w:lang w:eastAsia="en-US"/>
        </w:rPr>
      </w:pPr>
    </w:p>
    <w:p w:rsidR="00C04862" w:rsidRPr="004F681E" w:rsidRDefault="00A73927" w:rsidP="00087769">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A su turno, en el recurso de apelación la parte actora alegó que el dictamen debía acogerse</w:t>
      </w:r>
      <w:r w:rsidR="000E7084" w:rsidRPr="004F681E">
        <w:rPr>
          <w:rFonts w:ascii="Arial" w:eastAsia="Calibri" w:hAnsi="Arial" w:cs="Arial"/>
          <w:lang w:val="es-CO" w:eastAsia="en-US"/>
        </w:rPr>
        <w:t>,</w:t>
      </w:r>
      <w:r w:rsidRPr="004F681E">
        <w:rPr>
          <w:rFonts w:ascii="Arial" w:eastAsia="Calibri" w:hAnsi="Arial" w:cs="Arial"/>
          <w:lang w:val="es-CO" w:eastAsia="en-US"/>
        </w:rPr>
        <w:t xml:space="preserve"> al menos</w:t>
      </w:r>
      <w:r w:rsidR="000E7084" w:rsidRPr="004F681E">
        <w:rPr>
          <w:rFonts w:ascii="Arial" w:eastAsia="Calibri" w:hAnsi="Arial" w:cs="Arial"/>
          <w:lang w:val="es-CO" w:eastAsia="en-US"/>
        </w:rPr>
        <w:t>,</w:t>
      </w:r>
      <w:r w:rsidRPr="004F681E">
        <w:rPr>
          <w:rFonts w:ascii="Arial" w:eastAsia="Calibri" w:hAnsi="Arial" w:cs="Arial"/>
          <w:lang w:val="es-CO" w:eastAsia="en-US"/>
        </w:rPr>
        <w:t xml:space="preserve"> par</w:t>
      </w:r>
      <w:r w:rsidR="00A0010D" w:rsidRPr="004F681E">
        <w:rPr>
          <w:rFonts w:ascii="Arial" w:eastAsia="Calibri" w:hAnsi="Arial" w:cs="Arial"/>
          <w:lang w:val="es-CO" w:eastAsia="en-US"/>
        </w:rPr>
        <w:t>cialmente, en los aspectos que sí</w:t>
      </w:r>
      <w:r w:rsidRPr="004F681E">
        <w:rPr>
          <w:rFonts w:ascii="Arial" w:eastAsia="Calibri" w:hAnsi="Arial" w:cs="Arial"/>
          <w:lang w:val="es-CO" w:eastAsia="en-US"/>
        </w:rPr>
        <w:t xml:space="preserve"> recayeron en lo que fue materia de solicitud probatoria </w:t>
      </w:r>
      <w:r w:rsidR="00EE4AAB" w:rsidRPr="004F681E">
        <w:rPr>
          <w:rFonts w:ascii="Arial" w:eastAsia="Calibri" w:hAnsi="Arial" w:cs="Arial"/>
          <w:lang w:val="es-CO" w:eastAsia="en-US"/>
        </w:rPr>
        <w:t>o</w:t>
      </w:r>
      <w:r w:rsidR="000E7084" w:rsidRPr="004F681E">
        <w:rPr>
          <w:rFonts w:ascii="Arial" w:eastAsia="Calibri" w:hAnsi="Arial" w:cs="Arial"/>
          <w:lang w:val="es-CO" w:eastAsia="en-US"/>
        </w:rPr>
        <w:t>,</w:t>
      </w:r>
      <w:r w:rsidR="00EE4AAB" w:rsidRPr="004F681E">
        <w:rPr>
          <w:rFonts w:ascii="Arial" w:eastAsia="Calibri" w:hAnsi="Arial" w:cs="Arial"/>
          <w:lang w:val="es-CO" w:eastAsia="en-US"/>
        </w:rPr>
        <w:t xml:space="preserve"> en su defecto</w:t>
      </w:r>
      <w:r w:rsidR="000E7084" w:rsidRPr="004F681E">
        <w:rPr>
          <w:rFonts w:ascii="Arial" w:eastAsia="Calibri" w:hAnsi="Arial" w:cs="Arial"/>
          <w:lang w:val="es-CO" w:eastAsia="en-US"/>
        </w:rPr>
        <w:t>, debía</w:t>
      </w:r>
      <w:r w:rsidR="00EE4AAB" w:rsidRPr="004F681E">
        <w:rPr>
          <w:rFonts w:ascii="Arial" w:eastAsia="Calibri" w:hAnsi="Arial" w:cs="Arial"/>
          <w:lang w:val="es-CO" w:eastAsia="en-US"/>
        </w:rPr>
        <w:t xml:space="preserve"> proferir</w:t>
      </w:r>
      <w:r w:rsidR="000E7084" w:rsidRPr="004F681E">
        <w:rPr>
          <w:rFonts w:ascii="Arial" w:eastAsia="Calibri" w:hAnsi="Arial" w:cs="Arial"/>
          <w:lang w:val="es-CO" w:eastAsia="en-US"/>
        </w:rPr>
        <w:t>se</w:t>
      </w:r>
      <w:r w:rsidR="00EE4AAB" w:rsidRPr="004F681E">
        <w:rPr>
          <w:rFonts w:ascii="Arial" w:eastAsia="Calibri" w:hAnsi="Arial" w:cs="Arial"/>
          <w:lang w:val="es-CO" w:eastAsia="en-US"/>
        </w:rPr>
        <w:t xml:space="preserve"> condena en abstracto. </w:t>
      </w:r>
    </w:p>
    <w:p w:rsidR="001E194B" w:rsidRPr="004F681E" w:rsidRDefault="001E194B" w:rsidP="001E194B">
      <w:pPr>
        <w:pStyle w:val="Citas"/>
        <w:rPr>
          <w:rFonts w:eastAsia="Calibri" w:cs="Arial"/>
          <w:sz w:val="24"/>
          <w:szCs w:val="24"/>
          <w:lang w:eastAsia="en-US"/>
        </w:rPr>
      </w:pPr>
    </w:p>
    <w:p w:rsidR="00DD5A6F" w:rsidRPr="004F681E" w:rsidRDefault="000E7084" w:rsidP="007814F4">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Sobre </w:t>
      </w:r>
      <w:r w:rsidR="00F06867" w:rsidRPr="004F681E">
        <w:rPr>
          <w:rFonts w:ascii="Arial" w:eastAsia="Calibri" w:hAnsi="Arial" w:cs="Arial"/>
          <w:lang w:val="es-CO" w:eastAsia="en-US"/>
        </w:rPr>
        <w:t>el particular, la Sala estima</w:t>
      </w:r>
      <w:r w:rsidRPr="004F681E">
        <w:rPr>
          <w:rFonts w:ascii="Arial" w:eastAsia="Calibri" w:hAnsi="Arial" w:cs="Arial"/>
          <w:lang w:val="es-CO" w:eastAsia="en-US"/>
        </w:rPr>
        <w:t xml:space="preserve"> que si bien le asiste la razón </w:t>
      </w:r>
      <w:r w:rsidR="001E194B" w:rsidRPr="004F681E">
        <w:rPr>
          <w:rFonts w:ascii="Arial" w:eastAsia="Calibri" w:hAnsi="Arial" w:cs="Arial"/>
          <w:lang w:val="es-CO" w:eastAsia="en-US"/>
        </w:rPr>
        <w:t xml:space="preserve">al operador de primer grado </w:t>
      </w:r>
      <w:r w:rsidRPr="004F681E">
        <w:rPr>
          <w:rFonts w:ascii="Arial" w:eastAsia="Calibri" w:hAnsi="Arial" w:cs="Arial"/>
          <w:lang w:val="es-CO" w:eastAsia="en-US"/>
        </w:rPr>
        <w:t>en cuanto sostuvo que el dictamen extralimitó el objeto de la prueba solicitada por la parte actora, ello no es suficiente para tener por configurado el error grave base de la objeción formulada en su contra</w:t>
      </w:r>
      <w:r w:rsidR="001E194B" w:rsidRPr="004F681E">
        <w:rPr>
          <w:rFonts w:ascii="Arial" w:eastAsia="Calibri" w:hAnsi="Arial" w:cs="Arial"/>
          <w:lang w:val="es-CO" w:eastAsia="en-US"/>
        </w:rPr>
        <w:t xml:space="preserve">, en atención a </w:t>
      </w:r>
      <w:r w:rsidRPr="004F681E">
        <w:rPr>
          <w:rFonts w:ascii="Arial" w:eastAsia="Calibri" w:hAnsi="Arial" w:cs="Arial"/>
          <w:lang w:val="es-CO" w:eastAsia="en-US"/>
        </w:rPr>
        <w:t>que para ello es necesario emitir juicios contrarios a la realidad</w:t>
      </w:r>
      <w:r w:rsidR="00DD5A6F" w:rsidRPr="004F681E">
        <w:rPr>
          <w:rFonts w:ascii="Arial" w:eastAsia="Calibri" w:hAnsi="Arial" w:cs="Arial"/>
          <w:lang w:val="es-CO" w:eastAsia="en-US"/>
        </w:rPr>
        <w:t>, cuestión que en el caso no fue discutida.</w:t>
      </w:r>
    </w:p>
    <w:p w:rsidR="007814F4" w:rsidRPr="004F681E" w:rsidRDefault="007814F4" w:rsidP="007814F4">
      <w:pPr>
        <w:pStyle w:val="Citas"/>
        <w:rPr>
          <w:rFonts w:eastAsia="Calibri" w:cs="Arial"/>
          <w:sz w:val="24"/>
          <w:szCs w:val="24"/>
          <w:lang w:eastAsia="en-US"/>
        </w:rPr>
      </w:pPr>
    </w:p>
    <w:p w:rsidR="00DD5A6F" w:rsidRPr="004F681E" w:rsidRDefault="000E7084" w:rsidP="007814F4">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Con </w:t>
      </w:r>
      <w:r w:rsidR="001428A5" w:rsidRPr="004F681E">
        <w:rPr>
          <w:rFonts w:ascii="Arial" w:eastAsia="Calibri" w:hAnsi="Arial" w:cs="Arial"/>
          <w:lang w:val="es-CO" w:eastAsia="en-US"/>
        </w:rPr>
        <w:t>todo, el hecho de haber desbordado el objeto de la prueba se opone a la posibilidad de que se le otorgue mérito probatorio a</w:t>
      </w:r>
      <w:r w:rsidR="00AE1C37" w:rsidRPr="004F681E">
        <w:rPr>
          <w:rFonts w:ascii="Arial" w:eastAsia="Calibri" w:hAnsi="Arial" w:cs="Arial"/>
          <w:lang w:val="es-CO" w:eastAsia="en-US"/>
        </w:rPr>
        <w:t>l mencionado peritazgo</w:t>
      </w:r>
      <w:r w:rsidR="001428A5" w:rsidRPr="004F681E">
        <w:rPr>
          <w:rFonts w:ascii="Arial" w:eastAsia="Calibri" w:hAnsi="Arial" w:cs="Arial"/>
          <w:lang w:val="es-CO" w:eastAsia="en-US"/>
        </w:rPr>
        <w:t xml:space="preserve">. </w:t>
      </w:r>
    </w:p>
    <w:p w:rsidR="007814F4" w:rsidRPr="004F681E" w:rsidRDefault="007814F4" w:rsidP="007814F4">
      <w:pPr>
        <w:pStyle w:val="Citas"/>
        <w:rPr>
          <w:rFonts w:eastAsia="Calibri" w:cs="Arial"/>
          <w:sz w:val="24"/>
          <w:szCs w:val="24"/>
          <w:lang w:eastAsia="en-US"/>
        </w:rPr>
      </w:pPr>
    </w:p>
    <w:p w:rsidR="006E347C" w:rsidRDefault="006E347C"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E</w:t>
      </w:r>
      <w:r w:rsidR="00F06867" w:rsidRPr="004F681E">
        <w:rPr>
          <w:rFonts w:ascii="Arial" w:eastAsia="Calibri" w:hAnsi="Arial" w:cs="Arial"/>
          <w:lang w:val="es-CO" w:eastAsia="en-US"/>
        </w:rPr>
        <w:t>n efecto, la Sala observa que e</w:t>
      </w:r>
      <w:r w:rsidRPr="004F681E">
        <w:rPr>
          <w:rFonts w:ascii="Arial" w:eastAsia="Calibri" w:hAnsi="Arial" w:cs="Arial"/>
          <w:lang w:val="es-CO" w:eastAsia="en-US"/>
        </w:rPr>
        <w:t>l perito se enfocó en estimar el valor del good will o del crédito mercantil formado de la empresa, bajo la fórmula de “</w:t>
      </w:r>
      <w:r w:rsidRPr="004F681E">
        <w:rPr>
          <w:rFonts w:ascii="Arial" w:eastAsia="Calibri" w:hAnsi="Arial" w:cs="Arial"/>
          <w:i/>
          <w:lang w:val="es-CO" w:eastAsia="en-US"/>
        </w:rPr>
        <w:t>valor actual de futuras utilidades en exceso de las utilidades normales, realizadas en una empresa o establecimiento comercial”</w:t>
      </w:r>
      <w:r w:rsidRPr="004F681E">
        <w:rPr>
          <w:rFonts w:ascii="Arial" w:eastAsia="Calibri" w:hAnsi="Arial" w:cs="Arial"/>
          <w:lang w:val="es-CO" w:eastAsia="en-US"/>
        </w:rPr>
        <w:t xml:space="preserve"> de acuerdo con la definición que soportó en el anexo del dictamen pericial</w:t>
      </w:r>
      <w:r w:rsidRPr="004F681E">
        <w:rPr>
          <w:rFonts w:ascii="Arial" w:eastAsia="Calibri" w:hAnsi="Arial" w:cs="Arial"/>
          <w:vertAlign w:val="superscript"/>
          <w:lang w:val="es-CO" w:eastAsia="en-US"/>
        </w:rPr>
        <w:footnoteReference w:id="85"/>
      </w:r>
      <w:r w:rsidRPr="004F681E">
        <w:rPr>
          <w:rFonts w:ascii="Arial" w:eastAsia="Calibri" w:hAnsi="Arial" w:cs="Arial"/>
          <w:lang w:val="es-CO" w:eastAsia="en-US"/>
        </w:rPr>
        <w:t xml:space="preserve">. </w:t>
      </w:r>
      <w:r w:rsidR="00F06867" w:rsidRPr="004F681E">
        <w:rPr>
          <w:rFonts w:ascii="Arial" w:eastAsia="Calibri" w:hAnsi="Arial" w:cs="Arial"/>
          <w:lang w:val="es-CO" w:eastAsia="en-US"/>
        </w:rPr>
        <w:t>Así mismo</w:t>
      </w:r>
      <w:r w:rsidR="00A0010D" w:rsidRPr="004F681E">
        <w:rPr>
          <w:rFonts w:ascii="Arial" w:eastAsia="Calibri" w:hAnsi="Arial" w:cs="Arial"/>
          <w:lang w:val="es-CO" w:eastAsia="en-US"/>
        </w:rPr>
        <w:t>,</w:t>
      </w:r>
      <w:r w:rsidR="00F06867" w:rsidRPr="004F681E">
        <w:rPr>
          <w:rFonts w:ascii="Arial" w:eastAsia="Calibri" w:hAnsi="Arial" w:cs="Arial"/>
          <w:lang w:val="es-CO" w:eastAsia="en-US"/>
        </w:rPr>
        <w:t xml:space="preserve"> i</w:t>
      </w:r>
      <w:r w:rsidRPr="004F681E">
        <w:rPr>
          <w:rFonts w:ascii="Arial" w:eastAsia="Calibri" w:hAnsi="Arial" w:cs="Arial"/>
          <w:lang w:val="es-CO" w:eastAsia="en-US"/>
        </w:rPr>
        <w:t>nvocó como supuesto normativo el artículo 74 del Decreto 634 de 1989</w:t>
      </w:r>
      <w:r w:rsidRPr="004F681E">
        <w:rPr>
          <w:rFonts w:ascii="Arial" w:eastAsia="Calibri" w:hAnsi="Arial" w:cs="Arial"/>
          <w:vertAlign w:val="superscript"/>
          <w:lang w:val="es-CO" w:eastAsia="en-US"/>
        </w:rPr>
        <w:footnoteReference w:id="86"/>
      </w:r>
      <w:r w:rsidRPr="004F681E">
        <w:rPr>
          <w:rFonts w:ascii="Arial" w:eastAsia="Calibri" w:hAnsi="Arial" w:cs="Arial"/>
          <w:lang w:val="es-CO" w:eastAsia="en-US"/>
        </w:rPr>
        <w:t xml:space="preserve">, el </w:t>
      </w:r>
      <w:r w:rsidR="00F06867" w:rsidRPr="004F681E">
        <w:rPr>
          <w:rFonts w:ascii="Arial" w:eastAsia="Calibri" w:hAnsi="Arial" w:cs="Arial"/>
          <w:lang w:val="es-CO" w:eastAsia="en-US"/>
        </w:rPr>
        <w:t>cual se refiere a la norma del Estatuto T</w:t>
      </w:r>
      <w:r w:rsidRPr="004F681E">
        <w:rPr>
          <w:rFonts w:ascii="Arial" w:eastAsia="Calibri" w:hAnsi="Arial" w:cs="Arial"/>
          <w:lang w:val="es-CO" w:eastAsia="en-US"/>
        </w:rPr>
        <w:t>ributario que definió el tratamiento fiscal del activo</w:t>
      </w:r>
      <w:r w:rsidRPr="004F681E">
        <w:rPr>
          <w:rFonts w:ascii="Arial" w:eastAsia="Calibri" w:hAnsi="Arial" w:cs="Arial"/>
          <w:vertAlign w:val="superscript"/>
          <w:lang w:val="es-CO" w:eastAsia="en-US"/>
        </w:rPr>
        <w:footnoteReference w:id="87"/>
      </w:r>
      <w:r w:rsidRPr="004F681E">
        <w:rPr>
          <w:rFonts w:ascii="Arial" w:eastAsia="Calibri" w:hAnsi="Arial" w:cs="Arial"/>
          <w:lang w:val="es-CO" w:eastAsia="en-US"/>
        </w:rPr>
        <w:t xml:space="preserve">, con base en su costo. </w:t>
      </w:r>
    </w:p>
    <w:p w:rsidR="004F681E" w:rsidRPr="004F681E" w:rsidRDefault="004F681E" w:rsidP="004F681E">
      <w:pPr>
        <w:spacing w:after="120" w:line="360" w:lineRule="auto"/>
        <w:jc w:val="both"/>
        <w:rPr>
          <w:rFonts w:ascii="Arial" w:eastAsia="Calibri" w:hAnsi="Arial" w:cs="Arial"/>
          <w:lang w:val="es-CO" w:eastAsia="en-US"/>
        </w:rPr>
      </w:pPr>
    </w:p>
    <w:p w:rsidR="007B6BB3" w:rsidRPr="004F681E" w:rsidRDefault="006E347C"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E</w:t>
      </w:r>
      <w:r w:rsidR="00F06867" w:rsidRPr="004F681E">
        <w:rPr>
          <w:rFonts w:ascii="Arial" w:eastAsia="Calibri" w:hAnsi="Arial" w:cs="Arial"/>
          <w:lang w:val="es-CO" w:eastAsia="en-US"/>
        </w:rPr>
        <w:t xml:space="preserve">n consideración a lo anotado, la Sala </w:t>
      </w:r>
      <w:r w:rsidR="007B6BB3" w:rsidRPr="004F681E">
        <w:rPr>
          <w:rFonts w:ascii="Arial" w:eastAsia="Calibri" w:hAnsi="Arial" w:cs="Arial"/>
          <w:lang w:val="es-CO" w:eastAsia="en-US"/>
        </w:rPr>
        <w:t>precisa que el</w:t>
      </w:r>
      <w:r w:rsidRPr="004F681E">
        <w:rPr>
          <w:rFonts w:ascii="Arial" w:eastAsia="Calibri" w:hAnsi="Arial" w:cs="Arial"/>
          <w:lang w:val="es-CO" w:eastAsia="en-US"/>
        </w:rPr>
        <w:t xml:space="preserve"> análisis financiero del perito no resulta</w:t>
      </w:r>
      <w:r w:rsidR="007B6BB3" w:rsidRPr="004F681E">
        <w:rPr>
          <w:rFonts w:ascii="Arial" w:eastAsia="Calibri" w:hAnsi="Arial" w:cs="Arial"/>
          <w:lang w:val="es-CO" w:eastAsia="en-US"/>
        </w:rPr>
        <w:t>ba</w:t>
      </w:r>
      <w:r w:rsidRPr="004F681E">
        <w:rPr>
          <w:rFonts w:ascii="Arial" w:eastAsia="Calibri" w:hAnsi="Arial" w:cs="Arial"/>
          <w:lang w:val="es-CO" w:eastAsia="en-US"/>
        </w:rPr>
        <w:t xml:space="preserve"> aplicable </w:t>
      </w:r>
      <w:r w:rsidR="007B6BB3" w:rsidRPr="004F681E">
        <w:rPr>
          <w:rFonts w:ascii="Arial" w:eastAsia="Calibri" w:hAnsi="Arial" w:cs="Arial"/>
          <w:lang w:val="es-CO" w:eastAsia="en-US"/>
        </w:rPr>
        <w:t xml:space="preserve">al </w:t>
      </w:r>
      <w:r w:rsidRPr="004F681E">
        <w:rPr>
          <w:rFonts w:ascii="Arial" w:eastAsia="Calibri" w:hAnsi="Arial" w:cs="Arial"/>
          <w:lang w:val="es-CO" w:eastAsia="en-US"/>
        </w:rPr>
        <w:t>litigio en cuestión, toda vez que</w:t>
      </w:r>
      <w:r w:rsidR="007B6BB3" w:rsidRPr="004F681E">
        <w:rPr>
          <w:rFonts w:ascii="Arial" w:eastAsia="Calibri" w:hAnsi="Arial" w:cs="Arial"/>
          <w:lang w:val="es-CO" w:eastAsia="en-US"/>
        </w:rPr>
        <w:t>,</w:t>
      </w:r>
      <w:r w:rsidRPr="004F681E">
        <w:rPr>
          <w:rFonts w:ascii="Arial" w:eastAsia="Calibri" w:hAnsi="Arial" w:cs="Arial"/>
          <w:lang w:val="es-CO" w:eastAsia="en-US"/>
        </w:rPr>
        <w:t xml:space="preserve"> según especificó en el dictamen, el concepto de la utilidad a la que acudió involucró otro</w:t>
      </w:r>
      <w:r w:rsidR="005D0022" w:rsidRPr="004F681E">
        <w:rPr>
          <w:rFonts w:ascii="Arial" w:eastAsia="Calibri" w:hAnsi="Arial" w:cs="Arial"/>
          <w:lang w:val="es-CO" w:eastAsia="en-US"/>
        </w:rPr>
        <w:t>s</w:t>
      </w:r>
      <w:r w:rsidRPr="004F681E">
        <w:rPr>
          <w:rFonts w:ascii="Arial" w:eastAsia="Calibri" w:hAnsi="Arial" w:cs="Arial"/>
          <w:lang w:val="es-CO" w:eastAsia="en-US"/>
        </w:rPr>
        <w:t xml:space="preserve"> factores que para este cas</w:t>
      </w:r>
      <w:r w:rsidR="007B6BB3" w:rsidRPr="004F681E">
        <w:rPr>
          <w:rFonts w:ascii="Arial" w:eastAsia="Calibri" w:hAnsi="Arial" w:cs="Arial"/>
          <w:lang w:val="es-CO" w:eastAsia="en-US"/>
        </w:rPr>
        <w:t>o excedían la ganancia o provecho originado</w:t>
      </w:r>
      <w:r w:rsidRPr="004F681E">
        <w:rPr>
          <w:rFonts w:ascii="Arial" w:eastAsia="Calibri" w:hAnsi="Arial" w:cs="Arial"/>
          <w:lang w:val="es-CO" w:eastAsia="en-US"/>
        </w:rPr>
        <w:t xml:space="preserve"> en la</w:t>
      </w:r>
      <w:r w:rsidR="007B6BB3" w:rsidRPr="004F681E">
        <w:rPr>
          <w:rFonts w:ascii="Arial" w:eastAsia="Calibri" w:hAnsi="Arial" w:cs="Arial"/>
          <w:lang w:val="es-CO" w:eastAsia="en-US"/>
        </w:rPr>
        <w:t xml:space="preserve"> relación contractual en controversia.</w:t>
      </w:r>
    </w:p>
    <w:p w:rsidR="00AE1C37" w:rsidRPr="004F681E" w:rsidRDefault="00AE1C37" w:rsidP="00AE1C37">
      <w:pPr>
        <w:pStyle w:val="Citas"/>
        <w:rPr>
          <w:rFonts w:eastAsia="Calibri" w:cs="Arial"/>
          <w:sz w:val="24"/>
          <w:szCs w:val="24"/>
          <w:lang w:eastAsia="en-US"/>
        </w:rPr>
      </w:pPr>
    </w:p>
    <w:p w:rsidR="005D0022" w:rsidRPr="004F681E" w:rsidRDefault="007B6BB3"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Debe </w:t>
      </w:r>
      <w:r w:rsidR="005D0022" w:rsidRPr="004F681E">
        <w:rPr>
          <w:rFonts w:ascii="Arial" w:eastAsia="Calibri" w:hAnsi="Arial" w:cs="Arial"/>
          <w:lang w:val="es-CO" w:eastAsia="en-US"/>
        </w:rPr>
        <w:t>tenerse en cuenta</w:t>
      </w:r>
      <w:r w:rsidR="006E347C" w:rsidRPr="004F681E">
        <w:rPr>
          <w:rFonts w:ascii="Arial" w:eastAsia="Calibri" w:hAnsi="Arial" w:cs="Arial"/>
          <w:lang w:val="es-CO" w:eastAsia="en-US"/>
        </w:rPr>
        <w:t xml:space="preserve"> que </w:t>
      </w:r>
      <w:r w:rsidRPr="004F681E">
        <w:rPr>
          <w:rFonts w:ascii="Arial" w:eastAsia="Calibri" w:hAnsi="Arial" w:cs="Arial"/>
          <w:lang w:val="es-CO" w:eastAsia="en-US"/>
        </w:rPr>
        <w:t xml:space="preserve">en el anexo del dictamen </w:t>
      </w:r>
      <w:r w:rsidR="005D0022" w:rsidRPr="004F681E">
        <w:rPr>
          <w:rFonts w:ascii="Arial" w:eastAsia="Calibri" w:hAnsi="Arial" w:cs="Arial"/>
          <w:lang w:val="es-CO" w:eastAsia="en-US"/>
        </w:rPr>
        <w:t xml:space="preserve">se expresó que </w:t>
      </w:r>
      <w:r w:rsidR="006E347C" w:rsidRPr="004F681E">
        <w:rPr>
          <w:rFonts w:ascii="Arial" w:eastAsia="Calibri" w:hAnsi="Arial" w:cs="Arial"/>
          <w:lang w:val="es-CO" w:eastAsia="en-US"/>
        </w:rPr>
        <w:t>tal concepto incluía no solo el resultado de relaciones favorables con clientes, “</w:t>
      </w:r>
      <w:r w:rsidR="006E347C" w:rsidRPr="004F681E">
        <w:rPr>
          <w:rFonts w:ascii="Arial" w:eastAsia="Calibri" w:hAnsi="Arial" w:cs="Arial"/>
          <w:i/>
          <w:lang w:val="es-CO" w:eastAsia="en-US"/>
        </w:rPr>
        <w:t xml:space="preserve">sino también el resultado de otros factores como la ubicación, el monopolio, </w:t>
      </w:r>
      <w:r w:rsidR="00795BD0" w:rsidRPr="004F681E">
        <w:rPr>
          <w:rFonts w:ascii="Arial" w:eastAsia="Calibri" w:hAnsi="Arial" w:cs="Arial"/>
          <w:i/>
          <w:lang w:val="es-CO" w:eastAsia="en-US"/>
        </w:rPr>
        <w:t>eficiencia en</w:t>
      </w:r>
      <w:r w:rsidR="006E347C" w:rsidRPr="004F681E">
        <w:rPr>
          <w:rFonts w:ascii="Arial" w:eastAsia="Calibri" w:hAnsi="Arial" w:cs="Arial"/>
          <w:i/>
          <w:lang w:val="es-CO" w:eastAsia="en-US"/>
        </w:rPr>
        <w:t xml:space="preserve"> la manufactura, comercialización, proyección, </w:t>
      </w:r>
      <w:r w:rsidR="005D0022" w:rsidRPr="004F681E">
        <w:rPr>
          <w:rFonts w:ascii="Arial" w:eastAsia="Calibri" w:hAnsi="Arial" w:cs="Arial"/>
          <w:i/>
          <w:lang w:val="es-CO" w:eastAsia="en-US"/>
        </w:rPr>
        <w:t>PUBLICIDAD, liquidez, confianza</w:t>
      </w:r>
      <w:r w:rsidR="006E347C" w:rsidRPr="004F681E">
        <w:rPr>
          <w:rFonts w:ascii="Arial" w:eastAsia="Calibri" w:hAnsi="Arial" w:cs="Arial"/>
          <w:i/>
          <w:lang w:val="es-CO" w:eastAsia="en-US"/>
        </w:rPr>
        <w:t>, reciprocidad y gran dirección de carácter superior</w:t>
      </w:r>
      <w:r w:rsidR="006E347C" w:rsidRPr="004F681E">
        <w:rPr>
          <w:rFonts w:ascii="Arial" w:eastAsia="Calibri" w:hAnsi="Arial" w:cs="Arial"/>
          <w:lang w:val="es-CO" w:eastAsia="en-US"/>
        </w:rPr>
        <w:t>”</w:t>
      </w:r>
      <w:r w:rsidR="006E347C" w:rsidRPr="004F681E">
        <w:rPr>
          <w:rFonts w:ascii="Arial" w:eastAsia="Calibri" w:hAnsi="Arial" w:cs="Arial"/>
          <w:vertAlign w:val="superscript"/>
          <w:lang w:val="es-CO" w:eastAsia="en-US"/>
        </w:rPr>
        <w:footnoteReference w:id="88"/>
      </w:r>
      <w:r w:rsidR="006E347C" w:rsidRPr="004F681E">
        <w:rPr>
          <w:rFonts w:ascii="Arial" w:eastAsia="Calibri" w:hAnsi="Arial" w:cs="Arial"/>
          <w:lang w:val="es-CO" w:eastAsia="en-US"/>
        </w:rPr>
        <w:t>.</w:t>
      </w:r>
    </w:p>
    <w:p w:rsidR="00AE1C37" w:rsidRPr="004F681E" w:rsidRDefault="00AE1C37" w:rsidP="00AE1C37">
      <w:pPr>
        <w:pStyle w:val="Citas"/>
        <w:rPr>
          <w:rFonts w:eastAsia="Calibri" w:cs="Arial"/>
          <w:sz w:val="24"/>
          <w:szCs w:val="24"/>
          <w:lang w:eastAsia="en-US"/>
        </w:rPr>
      </w:pPr>
    </w:p>
    <w:p w:rsidR="00723673" w:rsidRPr="004F681E" w:rsidRDefault="005D0022"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Lo expuesto s</w:t>
      </w:r>
      <w:r w:rsidR="009459B5" w:rsidRPr="004F681E">
        <w:rPr>
          <w:rFonts w:ascii="Arial" w:eastAsia="Calibri" w:hAnsi="Arial" w:cs="Arial"/>
          <w:lang w:val="es-CO" w:eastAsia="en-US"/>
        </w:rPr>
        <w:t xml:space="preserve">e traduce en que </w:t>
      </w:r>
      <w:r w:rsidR="00AE1C37" w:rsidRPr="004F681E">
        <w:rPr>
          <w:rFonts w:ascii="Arial" w:eastAsia="Calibri" w:hAnsi="Arial" w:cs="Arial"/>
          <w:lang w:val="es-CO" w:eastAsia="en-US"/>
        </w:rPr>
        <w:t xml:space="preserve">la prueba </w:t>
      </w:r>
      <w:r w:rsidR="009459B5" w:rsidRPr="004F681E">
        <w:rPr>
          <w:rFonts w:ascii="Arial" w:eastAsia="Calibri" w:hAnsi="Arial" w:cs="Arial"/>
          <w:lang w:val="es-CO" w:eastAsia="en-US"/>
        </w:rPr>
        <w:t>se cimentó en</w:t>
      </w:r>
      <w:r w:rsidRPr="004F681E">
        <w:rPr>
          <w:rFonts w:ascii="Arial" w:eastAsia="Calibri" w:hAnsi="Arial" w:cs="Arial"/>
          <w:lang w:val="es-CO" w:eastAsia="en-US"/>
        </w:rPr>
        <w:t xml:space="preserve"> un concepto de </w:t>
      </w:r>
      <w:r w:rsidR="006E347C" w:rsidRPr="004F681E">
        <w:rPr>
          <w:rFonts w:ascii="Arial" w:eastAsia="Calibri" w:hAnsi="Arial" w:cs="Arial"/>
          <w:lang w:val="es-CO" w:eastAsia="en-US"/>
        </w:rPr>
        <w:t xml:space="preserve">utilidad dejada de percibir que teóricamente reflejaba </w:t>
      </w:r>
      <w:r w:rsidR="00AE1C37" w:rsidRPr="004F681E">
        <w:rPr>
          <w:rFonts w:ascii="Arial" w:eastAsia="Calibri" w:hAnsi="Arial" w:cs="Arial"/>
          <w:lang w:val="es-CO" w:eastAsia="en-US"/>
        </w:rPr>
        <w:t>varios</w:t>
      </w:r>
      <w:r w:rsidR="006E347C" w:rsidRPr="004F681E">
        <w:rPr>
          <w:rFonts w:ascii="Arial" w:eastAsia="Calibri" w:hAnsi="Arial" w:cs="Arial"/>
          <w:lang w:val="es-CO" w:eastAsia="en-US"/>
        </w:rPr>
        <w:t xml:space="preserve"> aspectos exógenos del contrato que ahora se examina.</w:t>
      </w:r>
      <w:r w:rsidR="0044597B" w:rsidRPr="004F681E">
        <w:rPr>
          <w:rFonts w:ascii="Arial" w:eastAsia="Calibri" w:hAnsi="Arial" w:cs="Arial"/>
          <w:lang w:val="es-CO" w:eastAsia="en-US"/>
        </w:rPr>
        <w:t xml:space="preserve"> </w:t>
      </w:r>
      <w:r w:rsidR="006E347C" w:rsidRPr="004F681E">
        <w:rPr>
          <w:rFonts w:ascii="Arial" w:eastAsia="Calibri" w:hAnsi="Arial" w:cs="Arial"/>
          <w:lang w:val="es-CO" w:eastAsia="en-US"/>
        </w:rPr>
        <w:t>Además</w:t>
      </w:r>
      <w:r w:rsidR="009459B5" w:rsidRPr="004F681E">
        <w:rPr>
          <w:rFonts w:ascii="Arial" w:eastAsia="Calibri" w:hAnsi="Arial" w:cs="Arial"/>
          <w:lang w:val="es-CO" w:eastAsia="en-US"/>
        </w:rPr>
        <w:t>,</w:t>
      </w:r>
      <w:r w:rsidR="006E347C" w:rsidRPr="004F681E">
        <w:rPr>
          <w:rFonts w:ascii="Arial" w:eastAsia="Calibri" w:hAnsi="Arial" w:cs="Arial"/>
          <w:lang w:val="es-CO" w:eastAsia="en-US"/>
        </w:rPr>
        <w:t xml:space="preserve"> es de la mayor import</w:t>
      </w:r>
      <w:r w:rsidR="00A0010D" w:rsidRPr="004F681E">
        <w:rPr>
          <w:rFonts w:ascii="Arial" w:eastAsia="Calibri" w:hAnsi="Arial" w:cs="Arial"/>
          <w:lang w:val="es-CO" w:eastAsia="en-US"/>
        </w:rPr>
        <w:t>ancia observar que el good will</w:t>
      </w:r>
      <w:r w:rsidR="006E347C" w:rsidRPr="004F681E">
        <w:rPr>
          <w:rFonts w:ascii="Arial" w:eastAsia="Calibri" w:hAnsi="Arial" w:cs="Arial"/>
          <w:lang w:val="es-CO" w:eastAsia="en-US"/>
        </w:rPr>
        <w:t xml:space="preserve"> </w:t>
      </w:r>
      <w:r w:rsidR="00CE2CEC" w:rsidRPr="004F681E">
        <w:rPr>
          <w:rFonts w:ascii="Arial" w:eastAsia="Calibri" w:hAnsi="Arial" w:cs="Arial"/>
          <w:lang w:val="es-CO" w:eastAsia="en-US"/>
        </w:rPr>
        <w:t>estaba clasificado</w:t>
      </w:r>
      <w:r w:rsidR="006E347C" w:rsidRPr="004F681E">
        <w:rPr>
          <w:rFonts w:ascii="Arial" w:eastAsia="Calibri" w:hAnsi="Arial" w:cs="Arial"/>
          <w:lang w:val="es-CO" w:eastAsia="en-US"/>
        </w:rPr>
        <w:t xml:space="preserve"> como un activo intangible susceptible de ser revelado en los estados financiero</w:t>
      </w:r>
      <w:r w:rsidR="00723673" w:rsidRPr="004F681E">
        <w:rPr>
          <w:rFonts w:ascii="Arial" w:eastAsia="Calibri" w:hAnsi="Arial" w:cs="Arial"/>
          <w:lang w:val="es-CO" w:eastAsia="en-US"/>
        </w:rPr>
        <w:t>s de la agrupación</w:t>
      </w:r>
      <w:r w:rsidR="009459B5" w:rsidRPr="004F681E">
        <w:rPr>
          <w:rFonts w:ascii="Arial" w:eastAsia="Calibri" w:hAnsi="Arial" w:cs="Arial"/>
          <w:lang w:val="es-CO" w:eastAsia="en-US"/>
        </w:rPr>
        <w:t xml:space="preserve"> en el caso de que existiera</w:t>
      </w:r>
      <w:r w:rsidR="006E347C" w:rsidRPr="004F681E">
        <w:rPr>
          <w:rFonts w:ascii="Arial" w:eastAsia="Calibri" w:hAnsi="Arial" w:cs="Arial"/>
          <w:lang w:val="es-CO" w:eastAsia="en-US"/>
        </w:rPr>
        <w:t xml:space="preserve"> un crédito mercantil formado o adquirido</w:t>
      </w:r>
      <w:r w:rsidR="006E347C" w:rsidRPr="004F681E">
        <w:rPr>
          <w:rFonts w:ascii="Arial" w:eastAsia="Calibri" w:hAnsi="Arial" w:cs="Arial"/>
          <w:vertAlign w:val="superscript"/>
          <w:lang w:val="es-CO" w:eastAsia="en-US"/>
        </w:rPr>
        <w:footnoteReference w:id="89"/>
      </w:r>
      <w:r w:rsidR="006E347C" w:rsidRPr="004F681E">
        <w:rPr>
          <w:rFonts w:ascii="Arial" w:eastAsia="Calibri" w:hAnsi="Arial" w:cs="Arial"/>
          <w:lang w:val="es-CO" w:eastAsia="en-US"/>
        </w:rPr>
        <w:t xml:space="preserve">, con fundamento en los costos en que hubiere incurrido </w:t>
      </w:r>
      <w:r w:rsidR="009459B5" w:rsidRPr="004F681E">
        <w:rPr>
          <w:rFonts w:ascii="Arial" w:eastAsia="Calibri" w:hAnsi="Arial" w:cs="Arial"/>
          <w:lang w:val="es-CO" w:eastAsia="en-US"/>
        </w:rPr>
        <w:t>para consolidar ese activo. S</w:t>
      </w:r>
      <w:r w:rsidR="00723673" w:rsidRPr="004F681E">
        <w:rPr>
          <w:rFonts w:ascii="Arial" w:eastAsia="Calibri" w:hAnsi="Arial" w:cs="Arial"/>
          <w:lang w:val="es-CO" w:eastAsia="en-US"/>
        </w:rPr>
        <w:t>in embargo, en el caso</w:t>
      </w:r>
      <w:r w:rsidR="00F7047A" w:rsidRPr="004F681E">
        <w:rPr>
          <w:rFonts w:ascii="Arial" w:eastAsia="Calibri" w:hAnsi="Arial" w:cs="Arial"/>
          <w:lang w:val="es-CO" w:eastAsia="en-US"/>
        </w:rPr>
        <w:t xml:space="preserve"> particular de</w:t>
      </w:r>
      <w:r w:rsidR="009459B5" w:rsidRPr="004F681E">
        <w:rPr>
          <w:rFonts w:ascii="Arial" w:eastAsia="Calibri" w:hAnsi="Arial" w:cs="Arial"/>
          <w:lang w:val="es-CO" w:eastAsia="en-US"/>
        </w:rPr>
        <w:t xml:space="preserve"> Publiestadios</w:t>
      </w:r>
      <w:r w:rsidR="00A0010D" w:rsidRPr="004F681E">
        <w:rPr>
          <w:rFonts w:ascii="Arial" w:eastAsia="Calibri" w:hAnsi="Arial" w:cs="Arial"/>
          <w:lang w:val="es-CO" w:eastAsia="en-US"/>
        </w:rPr>
        <w:t>,</w:t>
      </w:r>
      <w:r w:rsidR="009459B5" w:rsidRPr="004F681E">
        <w:rPr>
          <w:rFonts w:ascii="Arial" w:eastAsia="Calibri" w:hAnsi="Arial" w:cs="Arial"/>
          <w:lang w:val="es-CO" w:eastAsia="en-US"/>
        </w:rPr>
        <w:t xml:space="preserve"> dicho componente </w:t>
      </w:r>
      <w:r w:rsidR="006E347C" w:rsidRPr="004F681E">
        <w:rPr>
          <w:rFonts w:ascii="Arial" w:eastAsia="Calibri" w:hAnsi="Arial" w:cs="Arial"/>
          <w:lang w:val="es-CO" w:eastAsia="en-US"/>
        </w:rPr>
        <w:t>no estaba contabilizado</w:t>
      </w:r>
      <w:r w:rsidR="006E347C" w:rsidRPr="004F681E">
        <w:rPr>
          <w:rFonts w:ascii="Arial" w:eastAsia="Calibri" w:hAnsi="Arial" w:cs="Arial"/>
          <w:vertAlign w:val="superscript"/>
          <w:lang w:val="es-CO" w:eastAsia="en-US"/>
        </w:rPr>
        <w:footnoteReference w:id="90"/>
      </w:r>
      <w:r w:rsidR="006E347C" w:rsidRPr="004F681E">
        <w:rPr>
          <w:rFonts w:ascii="Arial" w:eastAsia="Calibri" w:hAnsi="Arial" w:cs="Arial"/>
          <w:lang w:val="es-CO" w:eastAsia="en-US"/>
        </w:rPr>
        <w:t>, de manera que</w:t>
      </w:r>
      <w:r w:rsidR="00330387" w:rsidRPr="004F681E">
        <w:rPr>
          <w:rFonts w:ascii="Arial" w:eastAsia="Calibri" w:hAnsi="Arial" w:cs="Arial"/>
          <w:lang w:val="es-CO" w:eastAsia="en-US"/>
        </w:rPr>
        <w:t xml:space="preserve"> se evidenció que</w:t>
      </w:r>
      <w:r w:rsidR="006E347C" w:rsidRPr="004F681E">
        <w:rPr>
          <w:rFonts w:ascii="Arial" w:eastAsia="Calibri" w:hAnsi="Arial" w:cs="Arial"/>
          <w:lang w:val="es-CO" w:eastAsia="en-US"/>
        </w:rPr>
        <w:t xml:space="preserve"> la entidad contratista no tenía una marca formada generadora de valor actual d</w:t>
      </w:r>
      <w:r w:rsidR="00FE551D" w:rsidRPr="004F681E">
        <w:rPr>
          <w:rFonts w:ascii="Arial" w:eastAsia="Calibri" w:hAnsi="Arial" w:cs="Arial"/>
          <w:lang w:val="es-CO" w:eastAsia="en-US"/>
        </w:rPr>
        <w:t xml:space="preserve">e utilidades futuras. </w:t>
      </w:r>
    </w:p>
    <w:p w:rsidR="00330387" w:rsidRPr="004F681E" w:rsidRDefault="00330387" w:rsidP="00330387">
      <w:pPr>
        <w:pStyle w:val="Citas"/>
        <w:rPr>
          <w:rFonts w:eastAsia="Calibri" w:cs="Arial"/>
          <w:sz w:val="24"/>
          <w:szCs w:val="24"/>
          <w:lang w:eastAsia="en-US"/>
        </w:rPr>
      </w:pPr>
    </w:p>
    <w:p w:rsidR="00C97E02" w:rsidRPr="004F681E" w:rsidRDefault="00FE551D"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Ello conduce</w:t>
      </w:r>
      <w:r w:rsidR="006E347C" w:rsidRPr="004F681E">
        <w:rPr>
          <w:rFonts w:ascii="Arial" w:eastAsia="Calibri" w:hAnsi="Arial" w:cs="Arial"/>
          <w:lang w:val="es-CO" w:eastAsia="en-US"/>
        </w:rPr>
        <w:t xml:space="preserve"> a concluir que el método de valoración del good will utilizado por el perito no es adecuado para establecer la utilidad dejada de percibir en relación con el contrato de concesión sub-lite. </w:t>
      </w:r>
      <w:r w:rsidR="00A0010D" w:rsidRPr="004F681E">
        <w:rPr>
          <w:rFonts w:ascii="Arial" w:eastAsia="Calibri" w:hAnsi="Arial" w:cs="Arial"/>
          <w:lang w:val="es-CO" w:eastAsia="en-US"/>
        </w:rPr>
        <w:t>Como</w:t>
      </w:r>
      <w:r w:rsidR="006E347C" w:rsidRPr="004F681E">
        <w:rPr>
          <w:rFonts w:ascii="Arial" w:eastAsia="Calibri" w:hAnsi="Arial" w:cs="Arial"/>
          <w:lang w:val="es-CO" w:eastAsia="en-US"/>
        </w:rPr>
        <w:t xml:space="preserve"> consecuencia, la Sala</w:t>
      </w:r>
      <w:r w:rsidR="00CD2438" w:rsidRPr="004F681E">
        <w:rPr>
          <w:rFonts w:ascii="Arial" w:eastAsia="Calibri" w:hAnsi="Arial" w:cs="Arial"/>
          <w:lang w:val="es-CO" w:eastAsia="en-US"/>
        </w:rPr>
        <w:t xml:space="preserve"> se apartará de los cálculos elaborados por el auxiliar de la justicia</w:t>
      </w:r>
      <w:r w:rsidR="00C97E02" w:rsidRPr="004F681E">
        <w:rPr>
          <w:rFonts w:ascii="Arial" w:eastAsia="Calibri" w:hAnsi="Arial" w:cs="Arial"/>
          <w:lang w:val="es-CO" w:eastAsia="en-US"/>
        </w:rPr>
        <w:t xml:space="preserve">. </w:t>
      </w:r>
    </w:p>
    <w:p w:rsidR="00643F4B" w:rsidRPr="004F681E" w:rsidRDefault="00643F4B" w:rsidP="00643F4B">
      <w:pPr>
        <w:pStyle w:val="Citas"/>
        <w:rPr>
          <w:rStyle w:val="nfasis"/>
          <w:rFonts w:eastAsia="Calibri" w:cs="Arial"/>
          <w:sz w:val="24"/>
          <w:szCs w:val="24"/>
        </w:rPr>
      </w:pPr>
    </w:p>
    <w:p w:rsidR="0044597B" w:rsidRDefault="00C97E02" w:rsidP="00151E69">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Con todo, la Sala </w:t>
      </w:r>
      <w:r w:rsidR="0066632D" w:rsidRPr="004F681E">
        <w:rPr>
          <w:rFonts w:ascii="Arial" w:eastAsia="Calibri" w:hAnsi="Arial" w:cs="Arial"/>
          <w:lang w:val="es-CO" w:eastAsia="en-US"/>
        </w:rPr>
        <w:t>no cuenta con elementos probatorios suficientes para establecer el monto de la utilidad dejada de percibir por el t</w:t>
      </w:r>
      <w:r w:rsidR="00643F4B" w:rsidRPr="004F681E">
        <w:rPr>
          <w:rFonts w:ascii="Arial" w:eastAsia="Calibri" w:hAnsi="Arial" w:cs="Arial"/>
          <w:lang w:val="es-CO" w:eastAsia="en-US"/>
        </w:rPr>
        <w:t>érmino señalado</w:t>
      </w:r>
      <w:r w:rsidR="0087115A" w:rsidRPr="004F681E">
        <w:rPr>
          <w:rFonts w:ascii="Arial" w:eastAsia="Calibri" w:hAnsi="Arial" w:cs="Arial"/>
          <w:lang w:val="es-CO" w:eastAsia="en-US"/>
        </w:rPr>
        <w:t xml:space="preserve"> </w:t>
      </w:r>
      <w:r w:rsidR="00B5784E" w:rsidRPr="004F681E">
        <w:rPr>
          <w:rFonts w:ascii="Arial" w:eastAsia="Calibri" w:hAnsi="Arial" w:cs="Arial"/>
          <w:lang w:val="es-CO" w:eastAsia="en-US"/>
        </w:rPr>
        <w:t>-28</w:t>
      </w:r>
      <w:r w:rsidR="0087115A" w:rsidRPr="004F681E">
        <w:rPr>
          <w:rFonts w:ascii="Arial" w:eastAsia="Calibri" w:hAnsi="Arial" w:cs="Arial"/>
          <w:lang w:val="es-CO" w:eastAsia="en-US"/>
        </w:rPr>
        <w:t xml:space="preserve"> </w:t>
      </w:r>
      <w:r w:rsidR="00B5784E" w:rsidRPr="004F681E">
        <w:rPr>
          <w:rFonts w:ascii="Arial" w:eastAsia="Calibri" w:hAnsi="Arial" w:cs="Arial"/>
          <w:lang w:val="es-CO" w:eastAsia="en-US"/>
        </w:rPr>
        <w:t>de septiembre de 2010 al 8 de abril de 2011</w:t>
      </w:r>
      <w:r w:rsidR="00901709" w:rsidRPr="004F681E">
        <w:rPr>
          <w:rFonts w:ascii="Arial" w:eastAsia="Calibri" w:hAnsi="Arial" w:cs="Arial"/>
          <w:lang w:val="es-CO" w:eastAsia="en-US"/>
        </w:rPr>
        <w:t xml:space="preserve"> y del 14 de julio al 29 de agosto de </w:t>
      </w:r>
      <w:r w:rsidR="0087115A" w:rsidRPr="004F681E">
        <w:rPr>
          <w:rFonts w:ascii="Arial" w:eastAsia="Calibri" w:hAnsi="Arial" w:cs="Arial"/>
          <w:lang w:val="es-CO" w:eastAsia="en-US"/>
        </w:rPr>
        <w:t xml:space="preserve">  </w:t>
      </w:r>
      <w:r w:rsidR="00901709" w:rsidRPr="004F681E">
        <w:rPr>
          <w:rFonts w:ascii="Arial" w:eastAsia="Calibri" w:hAnsi="Arial" w:cs="Arial"/>
          <w:lang w:val="es-CO" w:eastAsia="en-US"/>
        </w:rPr>
        <w:t>2011</w:t>
      </w:r>
      <w:r w:rsidR="0087115A" w:rsidRPr="004F681E">
        <w:rPr>
          <w:rFonts w:ascii="Arial" w:eastAsia="Calibri" w:hAnsi="Arial" w:cs="Arial"/>
          <w:lang w:val="es-CO" w:eastAsia="en-US"/>
        </w:rPr>
        <w:t xml:space="preserve"> -.</w:t>
      </w:r>
      <w:r w:rsidR="00901709" w:rsidRPr="004F681E">
        <w:rPr>
          <w:rFonts w:ascii="Arial" w:eastAsia="Calibri" w:hAnsi="Arial" w:cs="Arial"/>
          <w:lang w:val="es-CO" w:eastAsia="en-US"/>
        </w:rPr>
        <w:t xml:space="preserve"> </w:t>
      </w:r>
    </w:p>
    <w:p w:rsidR="004F681E" w:rsidRPr="004F681E" w:rsidRDefault="004F681E" w:rsidP="004F681E">
      <w:pPr>
        <w:spacing w:after="120" w:line="360" w:lineRule="auto"/>
        <w:jc w:val="both"/>
        <w:rPr>
          <w:rFonts w:ascii="Arial" w:eastAsia="Calibri" w:hAnsi="Arial" w:cs="Arial"/>
          <w:lang w:val="es-CO" w:eastAsia="en-US"/>
        </w:rPr>
      </w:pPr>
    </w:p>
    <w:p w:rsidR="00151E69" w:rsidRPr="004F681E" w:rsidRDefault="009E3A0E" w:rsidP="00151E69">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A</w:t>
      </w:r>
      <w:r w:rsidR="0066632D" w:rsidRPr="004F681E">
        <w:rPr>
          <w:rFonts w:ascii="Arial" w:eastAsia="Calibri" w:hAnsi="Arial" w:cs="Arial"/>
          <w:lang w:val="es-CO" w:eastAsia="en-US"/>
        </w:rPr>
        <w:t xml:space="preserve">unque reposan en el expediente los documentos aportados por el demandante ante el IDRD </w:t>
      </w:r>
      <w:r w:rsidR="00296C2C" w:rsidRPr="004F681E">
        <w:rPr>
          <w:rFonts w:ascii="Arial" w:eastAsia="Calibri" w:hAnsi="Arial" w:cs="Arial"/>
          <w:lang w:val="es-CO" w:eastAsia="en-US"/>
        </w:rPr>
        <w:t>y</w:t>
      </w:r>
      <w:r w:rsidR="0066632D" w:rsidRPr="004F681E">
        <w:rPr>
          <w:rFonts w:ascii="Arial" w:eastAsia="Calibri" w:hAnsi="Arial" w:cs="Arial"/>
          <w:lang w:val="es-CO" w:eastAsia="en-US"/>
        </w:rPr>
        <w:t xml:space="preserve"> requeridos</w:t>
      </w:r>
      <w:r w:rsidR="00643F4B" w:rsidRPr="004F681E">
        <w:rPr>
          <w:rFonts w:ascii="Arial" w:eastAsia="Calibri" w:hAnsi="Arial" w:cs="Arial"/>
          <w:lang w:val="es-CO" w:eastAsia="en-US"/>
        </w:rPr>
        <w:t xml:space="preserve"> por este</w:t>
      </w:r>
      <w:r w:rsidR="0066632D" w:rsidRPr="004F681E">
        <w:rPr>
          <w:rFonts w:ascii="Arial" w:eastAsia="Calibri" w:hAnsi="Arial" w:cs="Arial"/>
          <w:lang w:val="es-CO" w:eastAsia="en-US"/>
        </w:rPr>
        <w:t xml:space="preserve"> </w:t>
      </w:r>
      <w:r w:rsidR="00643F4B" w:rsidRPr="004F681E">
        <w:rPr>
          <w:rFonts w:ascii="Arial" w:eastAsia="Calibri" w:hAnsi="Arial" w:cs="Arial"/>
          <w:lang w:val="es-CO" w:eastAsia="en-US"/>
        </w:rPr>
        <w:t>en su momento para determinar el valor del pago debido, ciertamente</w:t>
      </w:r>
      <w:r w:rsidR="0087115A" w:rsidRPr="004F681E">
        <w:rPr>
          <w:rFonts w:ascii="Arial" w:eastAsia="Calibri" w:hAnsi="Arial" w:cs="Arial"/>
          <w:lang w:val="es-CO" w:eastAsia="en-US"/>
        </w:rPr>
        <w:t>,</w:t>
      </w:r>
      <w:r w:rsidR="00643F4B" w:rsidRPr="004F681E">
        <w:rPr>
          <w:rFonts w:ascii="Arial" w:eastAsia="Calibri" w:hAnsi="Arial" w:cs="Arial"/>
          <w:lang w:val="es-CO" w:eastAsia="en-US"/>
        </w:rPr>
        <w:t xml:space="preserve"> de su contenido se desprende la necesidad de consultar otros factores que habrían pod</w:t>
      </w:r>
      <w:r w:rsidR="00223538" w:rsidRPr="004F681E">
        <w:rPr>
          <w:rFonts w:ascii="Arial" w:eastAsia="Calibri" w:hAnsi="Arial" w:cs="Arial"/>
          <w:lang w:val="es-CO" w:eastAsia="en-US"/>
        </w:rPr>
        <w:t>ido influir en</w:t>
      </w:r>
      <w:r w:rsidR="00296C2C" w:rsidRPr="004F681E">
        <w:rPr>
          <w:rFonts w:ascii="Arial" w:eastAsia="Calibri" w:hAnsi="Arial" w:cs="Arial"/>
          <w:lang w:val="es-CO" w:eastAsia="en-US"/>
        </w:rPr>
        <w:t xml:space="preserve"> las considerables</w:t>
      </w:r>
      <w:r w:rsidR="00643F4B" w:rsidRPr="004F681E">
        <w:rPr>
          <w:rFonts w:ascii="Arial" w:eastAsia="Calibri" w:hAnsi="Arial" w:cs="Arial"/>
          <w:lang w:val="es-CO" w:eastAsia="en-US"/>
        </w:rPr>
        <w:t xml:space="preserve"> fluctuaciones</w:t>
      </w:r>
      <w:r w:rsidR="00223538" w:rsidRPr="004F681E">
        <w:rPr>
          <w:rStyle w:val="Refdenotaalpie"/>
          <w:rFonts w:ascii="Arial" w:eastAsia="Calibri" w:hAnsi="Arial" w:cs="Arial"/>
          <w:lang w:val="es-CO" w:eastAsia="en-US"/>
        </w:rPr>
        <w:footnoteReference w:id="91"/>
      </w:r>
      <w:r w:rsidR="00643F4B" w:rsidRPr="004F681E">
        <w:rPr>
          <w:rFonts w:ascii="Arial" w:eastAsia="Calibri" w:hAnsi="Arial" w:cs="Arial"/>
          <w:lang w:val="es-CO" w:eastAsia="en-US"/>
        </w:rPr>
        <w:t xml:space="preserve"> que </w:t>
      </w:r>
      <w:r w:rsidR="0087115A" w:rsidRPr="004F681E">
        <w:rPr>
          <w:rFonts w:ascii="Arial" w:eastAsia="Calibri" w:hAnsi="Arial" w:cs="Arial"/>
          <w:lang w:val="es-CO" w:eastAsia="en-US"/>
        </w:rPr>
        <w:t>por concepto</w:t>
      </w:r>
      <w:r w:rsidR="00643F4B" w:rsidRPr="004F681E">
        <w:rPr>
          <w:rFonts w:ascii="Arial" w:eastAsia="Calibri" w:hAnsi="Arial" w:cs="Arial"/>
          <w:lang w:val="es-CO" w:eastAsia="en-US"/>
        </w:rPr>
        <w:t xml:space="preserve"> de utilidades –registradas </w:t>
      </w:r>
      <w:r w:rsidR="006E347C" w:rsidRPr="004F681E">
        <w:rPr>
          <w:rFonts w:ascii="Arial" w:eastAsia="Calibri" w:hAnsi="Arial" w:cs="Arial"/>
          <w:lang w:val="es-CO" w:eastAsia="en-US"/>
        </w:rPr>
        <w:t xml:space="preserve">en los estados financieros </w:t>
      </w:r>
      <w:r w:rsidR="00CE2CEC" w:rsidRPr="004F681E">
        <w:rPr>
          <w:rFonts w:ascii="Arial" w:eastAsia="Calibri" w:hAnsi="Arial" w:cs="Arial"/>
          <w:lang w:val="es-CO" w:eastAsia="en-US"/>
        </w:rPr>
        <w:t xml:space="preserve">y estados de resultados </w:t>
      </w:r>
      <w:r w:rsidR="00FE551D" w:rsidRPr="004F681E">
        <w:rPr>
          <w:rFonts w:ascii="Arial" w:eastAsia="Calibri" w:hAnsi="Arial" w:cs="Arial"/>
          <w:lang w:val="es-CO" w:eastAsia="en-US"/>
        </w:rPr>
        <w:t xml:space="preserve">de la unión temporal </w:t>
      </w:r>
      <w:r w:rsidR="00DC51EC" w:rsidRPr="004F681E">
        <w:rPr>
          <w:rFonts w:ascii="Arial" w:eastAsia="Calibri" w:hAnsi="Arial" w:cs="Arial"/>
          <w:lang w:val="es-CO" w:eastAsia="en-US"/>
        </w:rPr>
        <w:t>Publiestadios</w:t>
      </w:r>
      <w:r w:rsidR="00CE2CEC" w:rsidRPr="004F681E">
        <w:rPr>
          <w:rStyle w:val="Refdenotaalpie"/>
          <w:rFonts w:ascii="Arial" w:eastAsia="Calibri" w:hAnsi="Arial" w:cs="Arial"/>
          <w:lang w:val="es-CO" w:eastAsia="en-US"/>
        </w:rPr>
        <w:footnoteReference w:id="92"/>
      </w:r>
      <w:r w:rsidR="00DC51EC" w:rsidRPr="004F681E">
        <w:rPr>
          <w:rFonts w:ascii="Arial" w:eastAsia="Calibri" w:hAnsi="Arial" w:cs="Arial"/>
          <w:lang w:val="es-CO" w:eastAsia="en-US"/>
        </w:rPr>
        <w:t xml:space="preserve">, </w:t>
      </w:r>
      <w:r w:rsidR="006E347C" w:rsidRPr="004F681E">
        <w:rPr>
          <w:rFonts w:ascii="Arial" w:eastAsia="Calibri" w:hAnsi="Arial" w:cs="Arial"/>
          <w:lang w:val="es-CO" w:eastAsia="en-US"/>
        </w:rPr>
        <w:t>anexos al dictamen pericial</w:t>
      </w:r>
      <w:r w:rsidR="00F7047A" w:rsidRPr="004F681E">
        <w:rPr>
          <w:rFonts w:ascii="Arial" w:eastAsia="Calibri" w:hAnsi="Arial" w:cs="Arial"/>
          <w:lang w:val="es-CO" w:eastAsia="en-US"/>
        </w:rPr>
        <w:t xml:space="preserve"> y que también fueron allegados por </w:t>
      </w:r>
      <w:r w:rsidR="00E41BE7" w:rsidRPr="004F681E">
        <w:rPr>
          <w:rFonts w:ascii="Arial" w:eastAsia="Calibri" w:hAnsi="Arial" w:cs="Arial"/>
          <w:lang w:val="es-CO" w:eastAsia="en-US"/>
        </w:rPr>
        <w:t xml:space="preserve">el concesionario </w:t>
      </w:r>
      <w:r w:rsidR="00F7047A" w:rsidRPr="004F681E">
        <w:rPr>
          <w:rFonts w:ascii="Arial" w:eastAsia="Calibri" w:hAnsi="Arial" w:cs="Arial"/>
          <w:lang w:val="es-CO" w:eastAsia="en-US"/>
        </w:rPr>
        <w:t>ante la entidad como soportes de las dife</w:t>
      </w:r>
      <w:r w:rsidR="00780CCC" w:rsidRPr="004F681E">
        <w:rPr>
          <w:rFonts w:ascii="Arial" w:eastAsia="Calibri" w:hAnsi="Arial" w:cs="Arial"/>
          <w:lang w:val="es-CO" w:eastAsia="en-US"/>
        </w:rPr>
        <w:t>rentes reclamaciones elevadas p</w:t>
      </w:r>
      <w:r w:rsidR="00F7047A" w:rsidRPr="004F681E">
        <w:rPr>
          <w:rFonts w:ascii="Arial" w:eastAsia="Calibri" w:hAnsi="Arial" w:cs="Arial"/>
          <w:lang w:val="es-CO" w:eastAsia="en-US"/>
        </w:rPr>
        <w:t>o</w:t>
      </w:r>
      <w:r w:rsidR="00780CCC" w:rsidRPr="004F681E">
        <w:rPr>
          <w:rFonts w:ascii="Arial" w:eastAsia="Calibri" w:hAnsi="Arial" w:cs="Arial"/>
          <w:lang w:val="es-CO" w:eastAsia="en-US"/>
        </w:rPr>
        <w:t>r</w:t>
      </w:r>
      <w:r w:rsidR="00F7047A" w:rsidRPr="004F681E">
        <w:rPr>
          <w:rFonts w:ascii="Arial" w:eastAsia="Calibri" w:hAnsi="Arial" w:cs="Arial"/>
          <w:lang w:val="es-CO" w:eastAsia="en-US"/>
        </w:rPr>
        <w:t xml:space="preserve"> estos hechos</w:t>
      </w:r>
      <w:r w:rsidR="00643F4B" w:rsidRPr="004F681E">
        <w:rPr>
          <w:rFonts w:ascii="Arial" w:eastAsia="Calibri" w:hAnsi="Arial" w:cs="Arial"/>
          <w:lang w:val="es-CO" w:eastAsia="en-US"/>
        </w:rPr>
        <w:t>-</w:t>
      </w:r>
      <w:r w:rsidR="00296C2C" w:rsidRPr="004F681E">
        <w:rPr>
          <w:rFonts w:ascii="Arial" w:eastAsia="Calibri" w:hAnsi="Arial" w:cs="Arial"/>
          <w:lang w:val="es-CO" w:eastAsia="en-US"/>
        </w:rPr>
        <w:t xml:space="preserve"> se presentaron a lo largo de los cinco primeros años de ejecución del Contrato No. 475, tales como</w:t>
      </w:r>
      <w:r w:rsidR="005D4776" w:rsidRPr="004F681E">
        <w:rPr>
          <w:rFonts w:ascii="Arial" w:eastAsia="Calibri" w:hAnsi="Arial" w:cs="Arial"/>
          <w:lang w:val="es-CO" w:eastAsia="en-US"/>
        </w:rPr>
        <w:t>,</w:t>
      </w:r>
      <w:r w:rsidR="00296C2C" w:rsidRPr="004F681E">
        <w:rPr>
          <w:rFonts w:ascii="Arial" w:eastAsia="Calibri" w:hAnsi="Arial" w:cs="Arial"/>
          <w:lang w:val="es-CO" w:eastAsia="en-US"/>
        </w:rPr>
        <w:t xml:space="preserve"> por ejemplo</w:t>
      </w:r>
      <w:r w:rsidR="005D4776" w:rsidRPr="004F681E">
        <w:rPr>
          <w:rFonts w:ascii="Arial" w:eastAsia="Calibri" w:hAnsi="Arial" w:cs="Arial"/>
          <w:lang w:val="es-CO" w:eastAsia="en-US"/>
        </w:rPr>
        <w:t>,</w:t>
      </w:r>
      <w:r w:rsidR="00296C2C" w:rsidRPr="004F681E">
        <w:rPr>
          <w:rFonts w:ascii="Arial" w:eastAsia="Calibri" w:hAnsi="Arial" w:cs="Arial"/>
          <w:lang w:val="es-CO" w:eastAsia="en-US"/>
        </w:rPr>
        <w:t xml:space="preserve"> el itinerario de partidos </w:t>
      </w:r>
      <w:r w:rsidR="00105E3D" w:rsidRPr="004F681E">
        <w:rPr>
          <w:rFonts w:ascii="Arial" w:eastAsia="Calibri" w:hAnsi="Arial" w:cs="Arial"/>
          <w:lang w:val="es-CO" w:eastAsia="en-US"/>
        </w:rPr>
        <w:t>de fú</w:t>
      </w:r>
      <w:r w:rsidR="00296C2C" w:rsidRPr="004F681E">
        <w:rPr>
          <w:rFonts w:ascii="Arial" w:eastAsia="Calibri" w:hAnsi="Arial" w:cs="Arial"/>
          <w:lang w:val="es-CO" w:eastAsia="en-US"/>
        </w:rPr>
        <w:t>tbo</w:t>
      </w:r>
      <w:r w:rsidR="009521DC" w:rsidRPr="004F681E">
        <w:rPr>
          <w:rFonts w:ascii="Arial" w:eastAsia="Calibri" w:hAnsi="Arial" w:cs="Arial"/>
          <w:lang w:val="es-CO" w:eastAsia="en-US"/>
        </w:rPr>
        <w:t>l que se llevaron a cabo por los</w:t>
      </w:r>
      <w:r w:rsidR="00296C2C" w:rsidRPr="004F681E">
        <w:rPr>
          <w:rFonts w:ascii="Arial" w:eastAsia="Calibri" w:hAnsi="Arial" w:cs="Arial"/>
          <w:lang w:val="es-CO" w:eastAsia="en-US"/>
        </w:rPr>
        <w:t xml:space="preserve"> lapso</w:t>
      </w:r>
      <w:r w:rsidR="009521DC" w:rsidRPr="004F681E">
        <w:rPr>
          <w:rFonts w:ascii="Arial" w:eastAsia="Calibri" w:hAnsi="Arial" w:cs="Arial"/>
          <w:lang w:val="es-CO" w:eastAsia="en-US"/>
        </w:rPr>
        <w:t>s</w:t>
      </w:r>
      <w:r w:rsidR="00296C2C" w:rsidRPr="004F681E">
        <w:rPr>
          <w:rFonts w:ascii="Arial" w:eastAsia="Calibri" w:hAnsi="Arial" w:cs="Arial"/>
          <w:lang w:val="es-CO" w:eastAsia="en-US"/>
        </w:rPr>
        <w:t xml:space="preserve"> </w:t>
      </w:r>
      <w:r w:rsidR="009521DC" w:rsidRPr="004F681E">
        <w:rPr>
          <w:rFonts w:ascii="Arial" w:eastAsia="Calibri" w:hAnsi="Arial" w:cs="Arial"/>
          <w:lang w:val="es-CO" w:eastAsia="en-US"/>
        </w:rPr>
        <w:t xml:space="preserve">referidos </w:t>
      </w:r>
      <w:r w:rsidR="00296C2C" w:rsidRPr="004F681E">
        <w:rPr>
          <w:rFonts w:ascii="Arial" w:eastAsia="Calibri" w:hAnsi="Arial" w:cs="Arial"/>
          <w:lang w:val="es-CO" w:eastAsia="en-US"/>
        </w:rPr>
        <w:t>y durante los cuales no pudo pautarse la publicidad</w:t>
      </w:r>
      <w:r w:rsidR="00105E3D" w:rsidRPr="004F681E">
        <w:rPr>
          <w:rFonts w:ascii="Arial" w:eastAsia="Calibri" w:hAnsi="Arial" w:cs="Arial"/>
          <w:lang w:val="es-CO" w:eastAsia="en-US"/>
        </w:rPr>
        <w:t xml:space="preserve"> contratada por el concesionario</w:t>
      </w:r>
      <w:r w:rsidR="005D15BD" w:rsidRPr="004F681E">
        <w:rPr>
          <w:rFonts w:ascii="Arial" w:eastAsia="Calibri" w:hAnsi="Arial" w:cs="Arial"/>
          <w:lang w:val="es-CO" w:eastAsia="en-US"/>
        </w:rPr>
        <w:t>, entre otros</w:t>
      </w:r>
      <w:r w:rsidR="00296C2C" w:rsidRPr="004F681E">
        <w:rPr>
          <w:rFonts w:ascii="Arial" w:eastAsia="Calibri" w:hAnsi="Arial" w:cs="Arial"/>
          <w:lang w:val="es-CO" w:eastAsia="en-US"/>
        </w:rPr>
        <w:t xml:space="preserve">. </w:t>
      </w:r>
    </w:p>
    <w:p w:rsidR="008F0D21" w:rsidRPr="004F681E" w:rsidRDefault="008F0D21" w:rsidP="008F0D21">
      <w:pPr>
        <w:pStyle w:val="Citas"/>
        <w:rPr>
          <w:rFonts w:cs="Arial"/>
          <w:sz w:val="24"/>
          <w:szCs w:val="24"/>
          <w:lang w:eastAsia="ar-SA"/>
        </w:rPr>
      </w:pPr>
    </w:p>
    <w:p w:rsidR="00351BE9" w:rsidRPr="004F681E" w:rsidRDefault="009B433E" w:rsidP="009B433E">
      <w:pPr>
        <w:spacing w:line="360" w:lineRule="auto"/>
        <w:jc w:val="both"/>
        <w:rPr>
          <w:rFonts w:ascii="Arial" w:hAnsi="Arial" w:cs="Arial"/>
          <w:lang w:val="es-ES_tradnl" w:eastAsia="ar-SA"/>
        </w:rPr>
      </w:pPr>
      <w:r w:rsidRPr="004F681E">
        <w:rPr>
          <w:rFonts w:ascii="Arial" w:hAnsi="Arial" w:cs="Arial"/>
          <w:lang w:val="es-ES_tradnl" w:eastAsia="ar-SA"/>
        </w:rPr>
        <w:t xml:space="preserve">Como consecuencia, al no conocer con exactitud la cuantía </w:t>
      </w:r>
      <w:r w:rsidR="009D1FA1" w:rsidRPr="004F681E">
        <w:rPr>
          <w:rFonts w:ascii="Arial" w:hAnsi="Arial" w:cs="Arial"/>
          <w:lang w:val="es-ES_tradnl" w:eastAsia="ar-SA"/>
        </w:rPr>
        <w:t xml:space="preserve">que debe </w:t>
      </w:r>
      <w:r w:rsidR="006F42DF" w:rsidRPr="004F681E">
        <w:rPr>
          <w:rFonts w:ascii="Arial" w:hAnsi="Arial" w:cs="Arial"/>
          <w:lang w:val="es-ES_tradnl" w:eastAsia="ar-SA"/>
        </w:rPr>
        <w:t xml:space="preserve">pagar </w:t>
      </w:r>
      <w:r w:rsidR="009D1FA1" w:rsidRPr="004F681E">
        <w:rPr>
          <w:rFonts w:ascii="Arial" w:hAnsi="Arial" w:cs="Arial"/>
          <w:lang w:val="es-ES_tradnl" w:eastAsia="ar-SA"/>
        </w:rPr>
        <w:t xml:space="preserve">el Instituto Distrital para la Recreación y el Deporte a </w:t>
      </w:r>
      <w:r w:rsidR="009D1FA1" w:rsidRPr="004F681E">
        <w:rPr>
          <w:rFonts w:ascii="Arial" w:eastAsia="Calibri" w:hAnsi="Arial" w:cs="Arial"/>
          <w:lang w:val="es-CO" w:eastAsia="en-US"/>
        </w:rPr>
        <w:t>la unión temporal Publiestadios</w:t>
      </w:r>
      <w:r w:rsidR="008F5592" w:rsidRPr="004F681E">
        <w:rPr>
          <w:rFonts w:ascii="Arial" w:eastAsia="Calibri" w:hAnsi="Arial" w:cs="Arial"/>
          <w:lang w:val="es-CO" w:eastAsia="en-US"/>
        </w:rPr>
        <w:t>,</w:t>
      </w:r>
      <w:r w:rsidR="009D1FA1" w:rsidRPr="004F681E">
        <w:rPr>
          <w:rFonts w:ascii="Arial" w:eastAsia="Calibri" w:hAnsi="Arial" w:cs="Arial"/>
          <w:lang w:val="es-CO" w:eastAsia="en-US"/>
        </w:rPr>
        <w:t xml:space="preserve"> </w:t>
      </w:r>
      <w:r w:rsidR="00151E69" w:rsidRPr="004F681E">
        <w:rPr>
          <w:rFonts w:ascii="Arial" w:eastAsia="Calibri" w:hAnsi="Arial" w:cs="Arial"/>
          <w:lang w:val="es-CO" w:eastAsia="en-US"/>
        </w:rPr>
        <w:t xml:space="preserve">correspondiente </w:t>
      </w:r>
      <w:r w:rsidR="00151E69" w:rsidRPr="004F681E">
        <w:rPr>
          <w:rFonts w:ascii="Arial" w:eastAsia="Calibri" w:hAnsi="Arial" w:cs="Arial"/>
          <w:u w:val="single"/>
          <w:lang w:val="es-CO" w:eastAsia="en-US"/>
        </w:rPr>
        <w:t xml:space="preserve">al </w:t>
      </w:r>
      <w:r w:rsidR="00151E69" w:rsidRPr="004F681E">
        <w:rPr>
          <w:rFonts w:ascii="Arial" w:hAnsi="Arial" w:cs="Arial"/>
          <w:u w:val="single"/>
          <w:lang w:val="es-ES_tradnl" w:eastAsia="ar-SA"/>
        </w:rPr>
        <w:t>valor</w:t>
      </w:r>
      <w:r w:rsidRPr="004F681E">
        <w:rPr>
          <w:rFonts w:ascii="Arial" w:hAnsi="Arial" w:cs="Arial"/>
          <w:u w:val="single"/>
          <w:lang w:val="es-ES_tradnl" w:eastAsia="ar-SA"/>
        </w:rPr>
        <w:t xml:space="preserve"> </w:t>
      </w:r>
      <w:r w:rsidR="00151E69" w:rsidRPr="004F681E">
        <w:rPr>
          <w:rFonts w:ascii="Arial" w:hAnsi="Arial" w:cs="Arial"/>
          <w:u w:val="single"/>
          <w:lang w:val="es-ES_tradnl" w:eastAsia="ar-SA"/>
        </w:rPr>
        <w:t xml:space="preserve">de </w:t>
      </w:r>
      <w:r w:rsidR="00642AD4" w:rsidRPr="004F681E">
        <w:rPr>
          <w:rFonts w:ascii="Arial" w:hAnsi="Arial" w:cs="Arial"/>
          <w:u w:val="single"/>
          <w:lang w:val="es-ES_tradnl" w:eastAsia="ar-SA"/>
        </w:rPr>
        <w:t xml:space="preserve">la utilidad dejada de percibir </w:t>
      </w:r>
      <w:r w:rsidR="00901709" w:rsidRPr="004F681E">
        <w:rPr>
          <w:rFonts w:ascii="Arial" w:eastAsia="Calibri" w:hAnsi="Arial" w:cs="Arial"/>
          <w:u w:val="single"/>
          <w:lang w:val="es-CO" w:eastAsia="en-US"/>
        </w:rPr>
        <w:t xml:space="preserve">por </w:t>
      </w:r>
      <w:r w:rsidR="00642AD4" w:rsidRPr="004F681E">
        <w:rPr>
          <w:rFonts w:ascii="Arial" w:eastAsia="Calibri" w:hAnsi="Arial" w:cs="Arial"/>
          <w:u w:val="single"/>
          <w:lang w:val="es-CO" w:eastAsia="en-US"/>
        </w:rPr>
        <w:t xml:space="preserve">el término comprendido </w:t>
      </w:r>
      <w:r w:rsidR="008F5592" w:rsidRPr="004F681E">
        <w:rPr>
          <w:rFonts w:ascii="Arial" w:eastAsia="Calibri" w:hAnsi="Arial" w:cs="Arial"/>
          <w:u w:val="single"/>
          <w:lang w:val="es-CO" w:eastAsia="en-US"/>
        </w:rPr>
        <w:t xml:space="preserve">entre el </w:t>
      </w:r>
      <w:r w:rsidR="00642AD4" w:rsidRPr="004F681E">
        <w:rPr>
          <w:rFonts w:ascii="Arial" w:eastAsia="Calibri" w:hAnsi="Arial" w:cs="Arial"/>
          <w:u w:val="single"/>
          <w:lang w:val="es-CO" w:eastAsia="en-US"/>
        </w:rPr>
        <w:t xml:space="preserve">28 de septiembre de 2010 al 8 de abril de 2011, por la inoperancia de la pantalla </w:t>
      </w:r>
      <w:r w:rsidR="009D1FA1" w:rsidRPr="004F681E">
        <w:rPr>
          <w:rFonts w:ascii="Arial" w:eastAsia="Calibri" w:hAnsi="Arial" w:cs="Arial"/>
          <w:u w:val="single"/>
          <w:lang w:val="es-CO" w:eastAsia="en-US"/>
        </w:rPr>
        <w:t>exterior</w:t>
      </w:r>
      <w:r w:rsidR="00901709" w:rsidRPr="004F681E">
        <w:rPr>
          <w:rFonts w:ascii="Arial" w:hAnsi="Arial" w:cs="Arial"/>
          <w:u w:val="single"/>
          <w:lang w:val="es-ES_tradnl" w:eastAsia="ar-SA"/>
        </w:rPr>
        <w:t xml:space="preserve"> y</w:t>
      </w:r>
      <w:r w:rsidR="005D4776" w:rsidRPr="004F681E">
        <w:rPr>
          <w:rFonts w:ascii="Arial" w:hAnsi="Arial" w:cs="Arial"/>
          <w:u w:val="single"/>
          <w:lang w:val="es-ES_tradnl" w:eastAsia="ar-SA"/>
        </w:rPr>
        <w:t xml:space="preserve"> e</w:t>
      </w:r>
      <w:r w:rsidR="00901709" w:rsidRPr="004F681E">
        <w:rPr>
          <w:rFonts w:ascii="Arial" w:hAnsi="Arial" w:cs="Arial"/>
          <w:u w:val="single"/>
          <w:lang w:val="es-ES_tradnl" w:eastAsia="ar-SA"/>
        </w:rPr>
        <w:t>l valor de la utilidad dejada de percibir</w:t>
      </w:r>
      <w:r w:rsidR="005D4776" w:rsidRPr="004F681E">
        <w:rPr>
          <w:rFonts w:ascii="Arial" w:hAnsi="Arial" w:cs="Arial"/>
          <w:u w:val="single"/>
          <w:lang w:val="es-ES_tradnl" w:eastAsia="ar-SA"/>
        </w:rPr>
        <w:t xml:space="preserve"> entre el 14 de julio y e</w:t>
      </w:r>
      <w:r w:rsidR="00E41BE7" w:rsidRPr="004F681E">
        <w:rPr>
          <w:rFonts w:ascii="Arial" w:hAnsi="Arial" w:cs="Arial"/>
          <w:u w:val="single"/>
          <w:lang w:val="es-ES_tradnl" w:eastAsia="ar-SA"/>
        </w:rPr>
        <w:t>l 29 de agosto de 2011</w:t>
      </w:r>
      <w:r w:rsidR="005D4776" w:rsidRPr="004F681E">
        <w:rPr>
          <w:rFonts w:ascii="Arial" w:hAnsi="Arial" w:cs="Arial"/>
          <w:u w:val="single"/>
          <w:lang w:val="es-ES_tradnl" w:eastAsia="ar-SA"/>
        </w:rPr>
        <w:t>,</w:t>
      </w:r>
      <w:r w:rsidR="00E41BE7" w:rsidRPr="004F681E">
        <w:rPr>
          <w:rFonts w:ascii="Arial" w:hAnsi="Arial" w:cs="Arial"/>
          <w:u w:val="single"/>
          <w:lang w:val="es-ES_tradnl" w:eastAsia="ar-SA"/>
        </w:rPr>
        <w:t xml:space="preserve"> término dentro del cual se llevó a cabo el mundial de fútbol Sub-20,</w:t>
      </w:r>
      <w:r w:rsidR="00901709" w:rsidRPr="004F681E">
        <w:rPr>
          <w:rFonts w:ascii="Arial" w:hAnsi="Arial" w:cs="Arial"/>
          <w:u w:val="single"/>
          <w:lang w:val="es-ES_tradnl" w:eastAsia="ar-SA"/>
        </w:rPr>
        <w:t xml:space="preserve"> por la inoperancia de todas las pantallas concesionadas</w:t>
      </w:r>
      <w:r w:rsidR="00E41BE7" w:rsidRPr="004F681E">
        <w:rPr>
          <w:rFonts w:ascii="Arial" w:hAnsi="Arial" w:cs="Arial"/>
          <w:lang w:val="es-ES_tradnl" w:eastAsia="ar-SA"/>
        </w:rPr>
        <w:t>,</w:t>
      </w:r>
      <w:r w:rsidR="002F6AEB" w:rsidRPr="004F681E">
        <w:rPr>
          <w:rFonts w:ascii="Arial" w:hAnsi="Arial" w:cs="Arial"/>
          <w:lang w:val="es-ES_tradnl" w:eastAsia="ar-SA"/>
        </w:rPr>
        <w:t xml:space="preserve"> </w:t>
      </w:r>
      <w:r w:rsidRPr="004F681E">
        <w:rPr>
          <w:rFonts w:ascii="Arial" w:hAnsi="Arial" w:cs="Arial"/>
          <w:lang w:val="es-ES_tradnl" w:eastAsia="ar-SA"/>
        </w:rPr>
        <w:t>la Subsección condenará en abstracto a la entidad demandada</w:t>
      </w:r>
      <w:r w:rsidR="00351BE9" w:rsidRPr="004F681E">
        <w:rPr>
          <w:rFonts w:ascii="Arial" w:hAnsi="Arial" w:cs="Arial"/>
          <w:lang w:val="es-ES_tradnl" w:eastAsia="ar-SA"/>
        </w:rPr>
        <w:t>.</w:t>
      </w:r>
    </w:p>
    <w:p w:rsidR="00351BE9" w:rsidRPr="004F681E" w:rsidRDefault="00351BE9" w:rsidP="009B433E">
      <w:pPr>
        <w:spacing w:line="360" w:lineRule="auto"/>
        <w:jc w:val="both"/>
        <w:rPr>
          <w:rFonts w:ascii="Arial" w:hAnsi="Arial" w:cs="Arial"/>
          <w:lang w:val="es-ES_tradnl" w:eastAsia="ar-SA"/>
        </w:rPr>
      </w:pPr>
    </w:p>
    <w:p w:rsidR="00351BE9" w:rsidRPr="004F681E" w:rsidRDefault="00351BE9" w:rsidP="009B433E">
      <w:pPr>
        <w:spacing w:line="360" w:lineRule="auto"/>
        <w:jc w:val="both"/>
        <w:rPr>
          <w:rFonts w:ascii="Arial" w:hAnsi="Arial" w:cs="Arial"/>
          <w:lang w:val="es-ES_tradnl" w:eastAsia="ar-SA"/>
        </w:rPr>
      </w:pPr>
      <w:r w:rsidRPr="004F681E">
        <w:rPr>
          <w:rFonts w:ascii="Arial" w:hAnsi="Arial" w:cs="Arial"/>
          <w:lang w:val="es-ES_tradnl" w:eastAsia="ar-SA"/>
        </w:rPr>
        <w:t>En este punto, resulta de especial relevancia puntualizar que</w:t>
      </w:r>
      <w:r w:rsidR="0005543B" w:rsidRPr="004F681E">
        <w:rPr>
          <w:rFonts w:ascii="Arial" w:hAnsi="Arial" w:cs="Arial"/>
          <w:lang w:val="es-ES_tradnl" w:eastAsia="ar-SA"/>
        </w:rPr>
        <w:t>,</w:t>
      </w:r>
      <w:r w:rsidRPr="004F681E">
        <w:rPr>
          <w:rFonts w:ascii="Arial" w:hAnsi="Arial" w:cs="Arial"/>
          <w:lang w:val="es-ES_tradnl" w:eastAsia="ar-SA"/>
        </w:rPr>
        <w:t xml:space="preserve"> en modo alguno</w:t>
      </w:r>
      <w:r w:rsidR="0005543B" w:rsidRPr="004F681E">
        <w:rPr>
          <w:rFonts w:ascii="Arial" w:hAnsi="Arial" w:cs="Arial"/>
          <w:lang w:val="es-ES_tradnl" w:eastAsia="ar-SA"/>
        </w:rPr>
        <w:t>,</w:t>
      </w:r>
      <w:r w:rsidRPr="004F681E">
        <w:rPr>
          <w:rFonts w:ascii="Arial" w:hAnsi="Arial" w:cs="Arial"/>
          <w:lang w:val="es-ES_tradnl" w:eastAsia="ar-SA"/>
        </w:rPr>
        <w:t xml:space="preserve"> la condena que en esta oportunidad se dicta comprende el reconocimiento</w:t>
      </w:r>
      <w:r w:rsidR="004F4839" w:rsidRPr="004F681E">
        <w:rPr>
          <w:rFonts w:ascii="Arial" w:hAnsi="Arial" w:cs="Arial"/>
          <w:lang w:val="es-ES_tradnl" w:eastAsia="ar-SA"/>
        </w:rPr>
        <w:t xml:space="preserve"> de un lucro cesante hipotético</w:t>
      </w:r>
      <w:r w:rsidRPr="004F681E">
        <w:rPr>
          <w:rFonts w:ascii="Arial" w:hAnsi="Arial" w:cs="Arial"/>
          <w:lang w:val="es-ES_tradnl" w:eastAsia="ar-SA"/>
        </w:rPr>
        <w:t>. El reconocimiento y pago que se habrá de ordenar se deriva</w:t>
      </w:r>
      <w:r w:rsidR="004F4839" w:rsidRPr="004F681E">
        <w:rPr>
          <w:rFonts w:ascii="Arial" w:hAnsi="Arial" w:cs="Arial"/>
          <w:lang w:val="es-ES_tradnl" w:eastAsia="ar-SA"/>
        </w:rPr>
        <w:t>, efectivamente,</w:t>
      </w:r>
      <w:r w:rsidRPr="004F681E">
        <w:rPr>
          <w:rFonts w:ascii="Arial" w:hAnsi="Arial" w:cs="Arial"/>
          <w:lang w:val="es-ES_tradnl" w:eastAsia="ar-SA"/>
        </w:rPr>
        <w:t xml:space="preserve"> de </w:t>
      </w:r>
      <w:r w:rsidR="00475E01" w:rsidRPr="004F681E">
        <w:rPr>
          <w:rFonts w:ascii="Arial" w:hAnsi="Arial" w:cs="Arial"/>
          <w:lang w:val="es-ES_tradnl" w:eastAsia="ar-SA"/>
        </w:rPr>
        <w:t xml:space="preserve">la ocurrencia de </w:t>
      </w:r>
      <w:r w:rsidRPr="004F681E">
        <w:rPr>
          <w:rFonts w:ascii="Arial" w:hAnsi="Arial" w:cs="Arial"/>
          <w:lang w:val="es-ES_tradnl" w:eastAsia="ar-SA"/>
        </w:rPr>
        <w:t xml:space="preserve">un daño real y cierto que consistió en la imposibilidad de explotar el elemento objeto de concesión y </w:t>
      </w:r>
      <w:r w:rsidR="0005543B" w:rsidRPr="004F681E">
        <w:rPr>
          <w:rFonts w:ascii="Arial" w:hAnsi="Arial" w:cs="Arial"/>
          <w:lang w:val="es-ES_tradnl" w:eastAsia="ar-SA"/>
        </w:rPr>
        <w:t xml:space="preserve">de </w:t>
      </w:r>
      <w:r w:rsidRPr="004F681E">
        <w:rPr>
          <w:rFonts w:ascii="Arial" w:hAnsi="Arial" w:cs="Arial"/>
          <w:lang w:val="es-ES_tradnl" w:eastAsia="ar-SA"/>
        </w:rPr>
        <w:t xml:space="preserve">percibir el </w:t>
      </w:r>
      <w:r w:rsidR="004F4839" w:rsidRPr="004F681E">
        <w:rPr>
          <w:rFonts w:ascii="Arial" w:hAnsi="Arial" w:cs="Arial"/>
          <w:lang w:val="es-ES_tradnl" w:eastAsia="ar-SA"/>
        </w:rPr>
        <w:t xml:space="preserve">provecho resultante de esa actividad </w:t>
      </w:r>
      <w:r w:rsidRPr="004F681E">
        <w:rPr>
          <w:rFonts w:ascii="Arial" w:hAnsi="Arial" w:cs="Arial"/>
          <w:lang w:val="es-ES_tradnl" w:eastAsia="ar-SA"/>
        </w:rPr>
        <w:t>durant</w:t>
      </w:r>
      <w:r w:rsidR="004F4839" w:rsidRPr="004F681E">
        <w:rPr>
          <w:rFonts w:ascii="Arial" w:hAnsi="Arial" w:cs="Arial"/>
          <w:lang w:val="es-ES_tradnl" w:eastAsia="ar-SA"/>
        </w:rPr>
        <w:t>e los lapsos señalados y por razón de las circunstancias anotadas.</w:t>
      </w:r>
    </w:p>
    <w:p w:rsidR="004F4839" w:rsidRPr="004F681E" w:rsidRDefault="004F4839" w:rsidP="009B433E">
      <w:pPr>
        <w:spacing w:line="360" w:lineRule="auto"/>
        <w:jc w:val="both"/>
        <w:rPr>
          <w:rFonts w:ascii="Arial" w:hAnsi="Arial" w:cs="Arial"/>
          <w:lang w:val="es-ES_tradnl" w:eastAsia="ar-SA"/>
        </w:rPr>
      </w:pPr>
    </w:p>
    <w:p w:rsidR="004F4839" w:rsidRPr="004F681E" w:rsidRDefault="00475E01" w:rsidP="009B433E">
      <w:pPr>
        <w:spacing w:line="360" w:lineRule="auto"/>
        <w:jc w:val="both"/>
        <w:rPr>
          <w:rFonts w:ascii="Arial" w:hAnsi="Arial" w:cs="Arial"/>
          <w:lang w:val="es-ES_tradnl" w:eastAsia="ar-SA"/>
        </w:rPr>
      </w:pPr>
      <w:r w:rsidRPr="004F681E">
        <w:rPr>
          <w:rFonts w:ascii="Arial" w:hAnsi="Arial" w:cs="Arial"/>
          <w:lang w:val="es-ES_tradnl" w:eastAsia="ar-SA"/>
        </w:rPr>
        <w:t xml:space="preserve">Así pues, </w:t>
      </w:r>
      <w:r w:rsidR="004F4839" w:rsidRPr="004F681E">
        <w:rPr>
          <w:rFonts w:ascii="Arial" w:hAnsi="Arial" w:cs="Arial"/>
          <w:lang w:val="es-ES_tradnl" w:eastAsia="ar-SA"/>
        </w:rPr>
        <w:t xml:space="preserve">ante la complejidad que comporta su cuantificación, se deberán tener en consideración los parámetros </w:t>
      </w:r>
      <w:r w:rsidRPr="004F681E">
        <w:rPr>
          <w:rFonts w:ascii="Arial" w:hAnsi="Arial" w:cs="Arial"/>
          <w:lang w:val="es-ES_tradnl" w:eastAsia="ar-SA"/>
        </w:rPr>
        <w:t>que a continuación se</w:t>
      </w:r>
      <w:r w:rsidR="004F4839" w:rsidRPr="004F681E">
        <w:rPr>
          <w:rFonts w:ascii="Arial" w:hAnsi="Arial" w:cs="Arial"/>
          <w:lang w:val="es-ES_tradnl" w:eastAsia="ar-SA"/>
        </w:rPr>
        <w:t xml:space="preserve"> enlistan para efectos de su cálculo</w:t>
      </w:r>
      <w:r w:rsidRPr="004F681E">
        <w:rPr>
          <w:rFonts w:ascii="Arial" w:hAnsi="Arial" w:cs="Arial"/>
          <w:lang w:val="es-ES_tradnl" w:eastAsia="ar-SA"/>
        </w:rPr>
        <w:t>, varios</w:t>
      </w:r>
      <w:r w:rsidR="004F4839" w:rsidRPr="004F681E">
        <w:rPr>
          <w:rFonts w:ascii="Arial" w:hAnsi="Arial" w:cs="Arial"/>
          <w:lang w:val="es-ES_tradnl" w:eastAsia="ar-SA"/>
        </w:rPr>
        <w:t xml:space="preserve"> de los cuales</w:t>
      </w:r>
      <w:r w:rsidRPr="004F681E">
        <w:rPr>
          <w:rFonts w:ascii="Arial" w:hAnsi="Arial" w:cs="Arial"/>
          <w:lang w:val="es-ES_tradnl" w:eastAsia="ar-SA"/>
        </w:rPr>
        <w:t>, incluso,</w:t>
      </w:r>
      <w:r w:rsidR="004F4839" w:rsidRPr="004F681E">
        <w:rPr>
          <w:rFonts w:ascii="Arial" w:hAnsi="Arial" w:cs="Arial"/>
          <w:lang w:val="es-ES_tradnl" w:eastAsia="ar-SA"/>
        </w:rPr>
        <w:t xml:space="preserve"> </w:t>
      </w:r>
      <w:r w:rsidRPr="004F681E">
        <w:rPr>
          <w:rFonts w:ascii="Arial" w:hAnsi="Arial" w:cs="Arial"/>
          <w:lang w:val="es-ES_tradnl" w:eastAsia="ar-SA"/>
        </w:rPr>
        <w:t>fueron</w:t>
      </w:r>
      <w:r w:rsidR="004F4839" w:rsidRPr="004F681E">
        <w:rPr>
          <w:rFonts w:ascii="Arial" w:hAnsi="Arial" w:cs="Arial"/>
          <w:lang w:val="es-ES_tradnl" w:eastAsia="ar-SA"/>
        </w:rPr>
        <w:t xml:space="preserve"> sugeridos por el IDRD</w:t>
      </w:r>
      <w:r w:rsidRPr="004F681E">
        <w:rPr>
          <w:rStyle w:val="Refdenotaalpie"/>
          <w:rFonts w:ascii="Arial" w:hAnsi="Arial" w:cs="Arial"/>
          <w:lang w:val="es-ES_tradnl" w:eastAsia="ar-SA"/>
        </w:rPr>
        <w:footnoteReference w:id="93"/>
      </w:r>
      <w:r w:rsidR="004F4839" w:rsidRPr="004F681E">
        <w:rPr>
          <w:rFonts w:ascii="Arial" w:hAnsi="Arial" w:cs="Arial"/>
          <w:lang w:val="es-ES_tradnl" w:eastAsia="ar-SA"/>
        </w:rPr>
        <w:t xml:space="preserve"> en las distintas comunicaciones remitidas al concesionario como respuesta a las peticiones orientadas al reconocimiento del respectivo lucro cesante</w:t>
      </w:r>
      <w:r w:rsidRPr="004F681E">
        <w:rPr>
          <w:rFonts w:ascii="Arial" w:hAnsi="Arial" w:cs="Arial"/>
          <w:lang w:val="es-ES_tradnl" w:eastAsia="ar-SA"/>
        </w:rPr>
        <w:t>:</w:t>
      </w:r>
      <w:r w:rsidR="004F4839" w:rsidRPr="004F681E">
        <w:rPr>
          <w:rFonts w:ascii="Arial" w:hAnsi="Arial" w:cs="Arial"/>
          <w:lang w:val="es-ES_tradnl" w:eastAsia="ar-SA"/>
        </w:rPr>
        <w:t xml:space="preserve"> </w:t>
      </w:r>
    </w:p>
    <w:p w:rsidR="009B433E" w:rsidRPr="004F681E" w:rsidRDefault="009B433E" w:rsidP="009B433E">
      <w:pPr>
        <w:spacing w:line="360" w:lineRule="auto"/>
        <w:jc w:val="both"/>
        <w:rPr>
          <w:rFonts w:ascii="Arial" w:hAnsi="Arial" w:cs="Arial"/>
          <w:lang w:val="es-CO"/>
        </w:rPr>
      </w:pPr>
    </w:p>
    <w:p w:rsidR="009B433E" w:rsidRPr="004F681E" w:rsidRDefault="009B433E" w:rsidP="009B433E">
      <w:pPr>
        <w:spacing w:line="360" w:lineRule="auto"/>
        <w:ind w:right="-7"/>
        <w:jc w:val="both"/>
        <w:rPr>
          <w:rFonts w:ascii="Arial" w:hAnsi="Arial" w:cs="Arial"/>
          <w:lang w:val="es-CO"/>
        </w:rPr>
      </w:pPr>
      <w:r w:rsidRPr="004F681E">
        <w:rPr>
          <w:rFonts w:ascii="Arial" w:hAnsi="Arial" w:cs="Arial"/>
          <w:lang w:val="es-CO"/>
        </w:rPr>
        <w:t>1.- El incidente deberá promoverse ante el Tribunal de primera instancia en la forma y términos previstos por el artículo 56 de la Ley 446 de 1998 (artículo 172 del anterior Código Contencioso Administrativo, Decreto 01 de 1984).</w:t>
      </w:r>
    </w:p>
    <w:p w:rsidR="008F0D21" w:rsidRPr="004F681E" w:rsidRDefault="008F0D21" w:rsidP="008F0D21">
      <w:pPr>
        <w:spacing w:line="360" w:lineRule="auto"/>
        <w:jc w:val="both"/>
        <w:rPr>
          <w:rFonts w:ascii="Arial" w:hAnsi="Arial" w:cs="Arial"/>
          <w:lang w:val="es-ES_tradnl" w:eastAsia="ar-SA"/>
        </w:rPr>
      </w:pPr>
    </w:p>
    <w:p w:rsidR="00512C8C" w:rsidRPr="004F681E" w:rsidRDefault="008F0D21" w:rsidP="008F0D21">
      <w:pPr>
        <w:spacing w:line="360" w:lineRule="auto"/>
        <w:jc w:val="both"/>
        <w:rPr>
          <w:rFonts w:ascii="Arial" w:hAnsi="Arial" w:cs="Arial"/>
          <w:lang w:val="es-ES_tradnl" w:eastAsia="ar-SA"/>
        </w:rPr>
      </w:pPr>
      <w:r w:rsidRPr="004F681E">
        <w:rPr>
          <w:rFonts w:ascii="Arial" w:hAnsi="Arial" w:cs="Arial"/>
          <w:lang w:val="es-ES_tradnl" w:eastAsia="ar-SA"/>
        </w:rPr>
        <w:t>2.- Para hallar el valor que debe reconocerse a la unión temporal Publiestadios, se deberá disponer la pr</w:t>
      </w:r>
      <w:r w:rsidR="00C8189E" w:rsidRPr="004F681E">
        <w:rPr>
          <w:rFonts w:ascii="Arial" w:hAnsi="Arial" w:cs="Arial"/>
          <w:lang w:val="es-ES_tradnl" w:eastAsia="ar-SA"/>
        </w:rPr>
        <w:t>áctica de pruebas en orden a</w:t>
      </w:r>
      <w:r w:rsidR="0053042A" w:rsidRPr="004F681E">
        <w:rPr>
          <w:rFonts w:ascii="Arial" w:hAnsi="Arial" w:cs="Arial"/>
          <w:lang w:val="es-ES_tradnl" w:eastAsia="ar-SA"/>
        </w:rPr>
        <w:t xml:space="preserve"> analizar de manera conjunta l</w:t>
      </w:r>
      <w:r w:rsidR="00C8189E" w:rsidRPr="004F681E">
        <w:rPr>
          <w:rFonts w:ascii="Arial" w:hAnsi="Arial" w:cs="Arial"/>
          <w:lang w:val="es-ES_tradnl" w:eastAsia="ar-SA"/>
        </w:rPr>
        <w:t>o siguientes aspectos</w:t>
      </w:r>
      <w:r w:rsidR="00512C8C" w:rsidRPr="004F681E">
        <w:rPr>
          <w:rFonts w:ascii="Arial" w:hAnsi="Arial" w:cs="Arial"/>
          <w:lang w:val="es-ES_tradnl" w:eastAsia="ar-SA"/>
        </w:rPr>
        <w:t>:</w:t>
      </w:r>
    </w:p>
    <w:p w:rsidR="00512C8C" w:rsidRPr="004F681E" w:rsidRDefault="00512C8C" w:rsidP="008F0D21">
      <w:pPr>
        <w:spacing w:line="360" w:lineRule="auto"/>
        <w:jc w:val="both"/>
        <w:rPr>
          <w:rFonts w:ascii="Arial" w:hAnsi="Arial" w:cs="Arial"/>
          <w:lang w:val="es-ES_tradnl" w:eastAsia="ar-SA"/>
        </w:rPr>
      </w:pPr>
    </w:p>
    <w:p w:rsidR="008F0D21" w:rsidRPr="004F681E" w:rsidRDefault="00512C8C" w:rsidP="008F0D21">
      <w:pPr>
        <w:spacing w:line="360" w:lineRule="auto"/>
        <w:jc w:val="both"/>
        <w:rPr>
          <w:rFonts w:ascii="Arial" w:eastAsia="Calibri" w:hAnsi="Arial" w:cs="Arial"/>
          <w:lang w:val="es-CO" w:eastAsia="en-US"/>
        </w:rPr>
      </w:pPr>
      <w:r w:rsidRPr="004F681E">
        <w:rPr>
          <w:rFonts w:ascii="Arial" w:eastAsia="Calibri" w:hAnsi="Arial" w:cs="Arial"/>
          <w:lang w:val="es-CO" w:eastAsia="en-US"/>
        </w:rPr>
        <w:t>-. Los estados financieros y estados de resultados de la unión temporal Publiestadios en donde se reportan las utilidades</w:t>
      </w:r>
      <w:r w:rsidR="005D4776" w:rsidRPr="004F681E">
        <w:rPr>
          <w:rFonts w:ascii="Arial" w:eastAsia="Calibri" w:hAnsi="Arial" w:cs="Arial"/>
          <w:lang w:val="es-CO" w:eastAsia="en-US"/>
        </w:rPr>
        <w:t xml:space="preserve"> netas</w:t>
      </w:r>
      <w:r w:rsidRPr="004F681E">
        <w:rPr>
          <w:rFonts w:ascii="Arial" w:eastAsia="Calibri" w:hAnsi="Arial" w:cs="Arial"/>
          <w:lang w:val="es-CO" w:eastAsia="en-US"/>
        </w:rPr>
        <w:t xml:space="preserve"> obtenidas a</w:t>
      </w:r>
      <w:r w:rsidR="00C8189E" w:rsidRPr="004F681E">
        <w:rPr>
          <w:rFonts w:ascii="Arial" w:eastAsia="Calibri" w:hAnsi="Arial" w:cs="Arial"/>
          <w:lang w:val="es-CO" w:eastAsia="en-US"/>
        </w:rPr>
        <w:t>l</w:t>
      </w:r>
      <w:r w:rsidRPr="004F681E">
        <w:rPr>
          <w:rFonts w:ascii="Arial" w:eastAsia="Calibri" w:hAnsi="Arial" w:cs="Arial"/>
          <w:lang w:val="es-CO" w:eastAsia="en-US"/>
        </w:rPr>
        <w:t xml:space="preserve"> final de los cinco primeros años de ejecución del Contrato de Concesión No. 475</w:t>
      </w:r>
      <w:r w:rsidR="00553D0B" w:rsidRPr="004F681E">
        <w:rPr>
          <w:rFonts w:ascii="Arial" w:eastAsia="Calibri" w:hAnsi="Arial" w:cs="Arial"/>
          <w:lang w:val="es-CO" w:eastAsia="en-US"/>
        </w:rPr>
        <w:t xml:space="preserve"> y a los que se hizo mención anteriormente.</w:t>
      </w:r>
    </w:p>
    <w:p w:rsidR="0053042A" w:rsidRPr="004F681E" w:rsidRDefault="0053042A" w:rsidP="008F0D21">
      <w:pPr>
        <w:spacing w:line="360" w:lineRule="auto"/>
        <w:jc w:val="both"/>
        <w:rPr>
          <w:rFonts w:ascii="Arial" w:hAnsi="Arial" w:cs="Arial"/>
          <w:lang w:val="es-CO"/>
        </w:rPr>
      </w:pPr>
    </w:p>
    <w:p w:rsidR="0053042A" w:rsidRPr="004F681E" w:rsidRDefault="0053042A" w:rsidP="0053042A">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 </w:t>
      </w:r>
      <w:r w:rsidR="005E23C9" w:rsidRPr="004F681E">
        <w:rPr>
          <w:rFonts w:ascii="Arial" w:eastAsia="Calibri" w:hAnsi="Arial" w:cs="Arial"/>
          <w:lang w:val="es-CO" w:eastAsia="en-US"/>
        </w:rPr>
        <w:t>C</w:t>
      </w:r>
      <w:r w:rsidRPr="004F681E">
        <w:rPr>
          <w:rFonts w:ascii="Arial" w:eastAsia="Calibri" w:hAnsi="Arial" w:cs="Arial"/>
          <w:lang w:val="es-CO" w:eastAsia="en-US"/>
        </w:rPr>
        <w:t xml:space="preserve">oncernirá revisar los términos de los contratos de publicidad –o cualquier otra tipología que se le asemeje- </w:t>
      </w:r>
      <w:r w:rsidR="008F5592" w:rsidRPr="004F681E">
        <w:rPr>
          <w:rFonts w:ascii="Arial" w:eastAsia="Calibri" w:hAnsi="Arial" w:cs="Arial"/>
          <w:lang w:val="es-CO" w:eastAsia="en-US"/>
        </w:rPr>
        <w:t>que se hubieran</w:t>
      </w:r>
      <w:r w:rsidRPr="004F681E">
        <w:rPr>
          <w:rFonts w:ascii="Arial" w:eastAsia="Calibri" w:hAnsi="Arial" w:cs="Arial"/>
          <w:lang w:val="es-CO" w:eastAsia="en-US"/>
        </w:rPr>
        <w:t xml:space="preserve"> suscrito por el concesionario para ser ejecutados durante </w:t>
      </w:r>
      <w:r w:rsidR="008F5592" w:rsidRPr="004F681E">
        <w:rPr>
          <w:rFonts w:ascii="Arial" w:eastAsia="Calibri" w:hAnsi="Arial" w:cs="Arial"/>
          <w:lang w:val="es-CO" w:eastAsia="en-US"/>
        </w:rPr>
        <w:t>esos</w:t>
      </w:r>
      <w:r w:rsidRPr="004F681E">
        <w:rPr>
          <w:rFonts w:ascii="Arial" w:eastAsia="Calibri" w:hAnsi="Arial" w:cs="Arial"/>
          <w:lang w:val="es-CO" w:eastAsia="en-US"/>
        </w:rPr>
        <w:t xml:space="preserve"> lapso</w:t>
      </w:r>
      <w:r w:rsidR="008F5592" w:rsidRPr="004F681E">
        <w:rPr>
          <w:rFonts w:ascii="Arial" w:eastAsia="Calibri" w:hAnsi="Arial" w:cs="Arial"/>
          <w:lang w:val="es-CO" w:eastAsia="en-US"/>
        </w:rPr>
        <w:t>s</w:t>
      </w:r>
      <w:r w:rsidRPr="004F681E">
        <w:rPr>
          <w:rFonts w:ascii="Arial" w:eastAsia="Calibri" w:hAnsi="Arial" w:cs="Arial"/>
          <w:lang w:val="es-CO" w:eastAsia="en-US"/>
        </w:rPr>
        <w:t>,</w:t>
      </w:r>
      <w:r w:rsidR="004D5A55" w:rsidRPr="004F681E">
        <w:rPr>
          <w:rFonts w:ascii="Arial" w:eastAsia="Calibri" w:hAnsi="Arial" w:cs="Arial"/>
          <w:lang w:val="es-CO" w:eastAsia="en-US"/>
        </w:rPr>
        <w:t xml:space="preserve"> con el ánimo de</w:t>
      </w:r>
      <w:r w:rsidRPr="004F681E">
        <w:rPr>
          <w:rFonts w:ascii="Arial" w:eastAsia="Calibri" w:hAnsi="Arial" w:cs="Arial"/>
          <w:lang w:val="es-CO" w:eastAsia="en-US"/>
        </w:rPr>
        <w:t xml:space="preserve"> establecer el monto de la utilidad acordada por su celebración. Con ese propósito podrán consultarse los medi</w:t>
      </w:r>
      <w:r w:rsidR="005D4776" w:rsidRPr="004F681E">
        <w:rPr>
          <w:rFonts w:ascii="Arial" w:eastAsia="Calibri" w:hAnsi="Arial" w:cs="Arial"/>
          <w:lang w:val="es-CO" w:eastAsia="en-US"/>
        </w:rPr>
        <w:t>os de prueba permitidos por la l</w:t>
      </w:r>
      <w:r w:rsidRPr="004F681E">
        <w:rPr>
          <w:rFonts w:ascii="Arial" w:eastAsia="Calibri" w:hAnsi="Arial" w:cs="Arial"/>
          <w:lang w:val="es-CO" w:eastAsia="en-US"/>
        </w:rPr>
        <w:t xml:space="preserve">ey para </w:t>
      </w:r>
      <w:r w:rsidR="004D5A55" w:rsidRPr="004F681E">
        <w:rPr>
          <w:rFonts w:ascii="Arial" w:eastAsia="Calibri" w:hAnsi="Arial" w:cs="Arial"/>
          <w:lang w:val="es-CO" w:eastAsia="en-US"/>
        </w:rPr>
        <w:t xml:space="preserve">determinar </w:t>
      </w:r>
      <w:r w:rsidRPr="004F681E">
        <w:rPr>
          <w:rFonts w:ascii="Arial" w:eastAsia="Calibri" w:hAnsi="Arial" w:cs="Arial"/>
          <w:lang w:val="es-CO" w:eastAsia="en-US"/>
        </w:rPr>
        <w:t>la existencia de las obligaciones derivadas de los mismos, en caso de que los acuerdos no consten por escrito</w:t>
      </w:r>
      <w:r w:rsidRPr="004F681E">
        <w:rPr>
          <w:rStyle w:val="Refdenotaalpie"/>
          <w:rFonts w:ascii="Arial" w:eastAsia="Calibri" w:hAnsi="Arial" w:cs="Arial"/>
          <w:lang w:val="es-CO" w:eastAsia="en-US"/>
        </w:rPr>
        <w:footnoteReference w:id="94"/>
      </w:r>
      <w:r w:rsidRPr="004F681E">
        <w:rPr>
          <w:rFonts w:ascii="Arial" w:eastAsia="Calibri" w:hAnsi="Arial" w:cs="Arial"/>
          <w:lang w:val="es-CO" w:eastAsia="en-US"/>
        </w:rPr>
        <w:t xml:space="preserve">. </w:t>
      </w:r>
    </w:p>
    <w:p w:rsidR="004F681E" w:rsidRPr="004F681E" w:rsidRDefault="004F681E" w:rsidP="004F681E">
      <w:pPr>
        <w:spacing w:line="360" w:lineRule="auto"/>
        <w:jc w:val="both"/>
        <w:rPr>
          <w:rFonts w:ascii="Arial" w:eastAsia="Calibri" w:hAnsi="Arial" w:cs="Arial"/>
          <w:lang w:val="es-CO" w:eastAsia="en-US"/>
        </w:rPr>
      </w:pPr>
    </w:p>
    <w:p w:rsidR="00E651BF" w:rsidRPr="004F681E" w:rsidRDefault="00B4375E"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 </w:t>
      </w:r>
      <w:r w:rsidR="0053042A" w:rsidRPr="004F681E">
        <w:rPr>
          <w:rFonts w:ascii="Arial" w:eastAsia="Calibri" w:hAnsi="Arial" w:cs="Arial"/>
          <w:lang w:val="es-CO" w:eastAsia="en-US"/>
        </w:rPr>
        <w:t>D</w:t>
      </w:r>
      <w:r w:rsidR="00362B4D" w:rsidRPr="004F681E">
        <w:rPr>
          <w:rFonts w:ascii="Arial" w:eastAsia="Calibri" w:hAnsi="Arial" w:cs="Arial"/>
          <w:lang w:val="es-CO" w:eastAsia="en-US"/>
        </w:rPr>
        <w:t>e</w:t>
      </w:r>
      <w:r w:rsidR="0053042A" w:rsidRPr="004F681E">
        <w:rPr>
          <w:rFonts w:ascii="Arial" w:eastAsia="Calibri" w:hAnsi="Arial" w:cs="Arial"/>
          <w:lang w:val="es-CO" w:eastAsia="en-US"/>
        </w:rPr>
        <w:t>be</w:t>
      </w:r>
      <w:r w:rsidR="00362B4D" w:rsidRPr="004F681E">
        <w:rPr>
          <w:rFonts w:ascii="Arial" w:eastAsia="Calibri" w:hAnsi="Arial" w:cs="Arial"/>
          <w:lang w:val="es-CO" w:eastAsia="en-US"/>
        </w:rPr>
        <w:t xml:space="preserve"> tenerse en consideración </w:t>
      </w:r>
      <w:r w:rsidR="0053042A" w:rsidRPr="004F681E">
        <w:rPr>
          <w:rFonts w:ascii="Arial" w:eastAsia="Calibri" w:hAnsi="Arial" w:cs="Arial"/>
          <w:lang w:val="es-CO" w:eastAsia="en-US"/>
        </w:rPr>
        <w:t xml:space="preserve">el hecho de </w:t>
      </w:r>
      <w:r w:rsidR="00362B4D" w:rsidRPr="004F681E">
        <w:rPr>
          <w:rFonts w:ascii="Arial" w:eastAsia="Calibri" w:hAnsi="Arial" w:cs="Arial"/>
          <w:lang w:val="es-CO" w:eastAsia="en-US"/>
        </w:rPr>
        <w:t>que, por regla general, el calendario y la cantidad de partidos que habrían de llevarse a cabo en El Campín en el período objeto de debate depende directamente de si los equipos locales avanzan en las etapas finales de la liga nacional</w:t>
      </w:r>
      <w:r w:rsidR="00664AC2" w:rsidRPr="004F681E">
        <w:rPr>
          <w:rFonts w:ascii="Arial" w:eastAsia="Calibri" w:hAnsi="Arial" w:cs="Arial"/>
          <w:lang w:val="es-CO" w:eastAsia="en-US"/>
        </w:rPr>
        <w:t>.</w:t>
      </w:r>
      <w:r w:rsidR="00362B4D" w:rsidRPr="004F681E">
        <w:rPr>
          <w:rFonts w:ascii="Arial" w:eastAsia="Calibri" w:hAnsi="Arial" w:cs="Arial"/>
          <w:lang w:val="es-CO" w:eastAsia="en-US"/>
        </w:rPr>
        <w:t xml:space="preserve"> </w:t>
      </w:r>
      <w:r w:rsidR="00664AC2" w:rsidRPr="004F681E">
        <w:rPr>
          <w:rFonts w:ascii="Arial" w:eastAsia="Calibri" w:hAnsi="Arial" w:cs="Arial"/>
          <w:lang w:val="es-CO" w:eastAsia="en-US"/>
        </w:rPr>
        <w:t xml:space="preserve">Así mismo, deberá consultarse cuál </w:t>
      </w:r>
      <w:r w:rsidR="00A310B4" w:rsidRPr="004F681E">
        <w:rPr>
          <w:rFonts w:ascii="Arial" w:eastAsia="Calibri" w:hAnsi="Arial" w:cs="Arial"/>
          <w:lang w:val="es-CO" w:eastAsia="en-US"/>
        </w:rPr>
        <w:t xml:space="preserve">fue </w:t>
      </w:r>
      <w:r w:rsidR="00664AC2" w:rsidRPr="004F681E">
        <w:rPr>
          <w:rFonts w:ascii="Arial" w:eastAsia="Calibri" w:hAnsi="Arial" w:cs="Arial"/>
          <w:lang w:val="es-CO" w:eastAsia="en-US"/>
        </w:rPr>
        <w:t xml:space="preserve">la cantidad de partidos </w:t>
      </w:r>
      <w:r w:rsidR="005D4776" w:rsidRPr="004F681E">
        <w:rPr>
          <w:rFonts w:ascii="Arial" w:eastAsia="Calibri" w:hAnsi="Arial" w:cs="Arial"/>
          <w:lang w:val="es-CO" w:eastAsia="en-US"/>
        </w:rPr>
        <w:t>locales dejados de jugar</w:t>
      </w:r>
      <w:r w:rsidR="00664AC2" w:rsidRPr="004F681E">
        <w:rPr>
          <w:rFonts w:ascii="Arial" w:eastAsia="Calibri" w:hAnsi="Arial" w:cs="Arial"/>
          <w:lang w:val="es-CO" w:eastAsia="en-US"/>
        </w:rPr>
        <w:t xml:space="preserve"> durante el mundial Sub-20. Estos aspectos</w:t>
      </w:r>
      <w:r w:rsidR="00362B4D" w:rsidRPr="004F681E">
        <w:rPr>
          <w:rFonts w:ascii="Arial" w:eastAsia="Calibri" w:hAnsi="Arial" w:cs="Arial"/>
          <w:lang w:val="es-CO" w:eastAsia="en-US"/>
        </w:rPr>
        <w:t xml:space="preserve"> necesariamente debe</w:t>
      </w:r>
      <w:r w:rsidR="00664AC2" w:rsidRPr="004F681E">
        <w:rPr>
          <w:rFonts w:ascii="Arial" w:eastAsia="Calibri" w:hAnsi="Arial" w:cs="Arial"/>
          <w:lang w:val="es-CO" w:eastAsia="en-US"/>
        </w:rPr>
        <w:t>n</w:t>
      </w:r>
      <w:r w:rsidR="00362B4D" w:rsidRPr="004F681E">
        <w:rPr>
          <w:rFonts w:ascii="Arial" w:eastAsia="Calibri" w:hAnsi="Arial" w:cs="Arial"/>
          <w:lang w:val="es-CO" w:eastAsia="en-US"/>
        </w:rPr>
        <w:t xml:space="preserve"> ser revisado</w:t>
      </w:r>
      <w:r w:rsidR="00A310B4" w:rsidRPr="004F681E">
        <w:rPr>
          <w:rFonts w:ascii="Arial" w:eastAsia="Calibri" w:hAnsi="Arial" w:cs="Arial"/>
          <w:lang w:val="es-CO" w:eastAsia="en-US"/>
        </w:rPr>
        <w:t>s</w:t>
      </w:r>
      <w:r w:rsidR="00362B4D" w:rsidRPr="004F681E">
        <w:rPr>
          <w:rFonts w:ascii="Arial" w:eastAsia="Calibri" w:hAnsi="Arial" w:cs="Arial"/>
          <w:lang w:val="es-CO" w:eastAsia="en-US"/>
        </w:rPr>
        <w:t xml:space="preserve"> para </w:t>
      </w:r>
      <w:r w:rsidR="004E237A" w:rsidRPr="004F681E">
        <w:rPr>
          <w:rFonts w:ascii="Arial" w:eastAsia="Calibri" w:hAnsi="Arial" w:cs="Arial"/>
          <w:lang w:val="es-CO" w:eastAsia="en-US"/>
        </w:rPr>
        <w:t>efecto</w:t>
      </w:r>
      <w:r w:rsidR="00223538" w:rsidRPr="004F681E">
        <w:rPr>
          <w:rFonts w:ascii="Arial" w:eastAsia="Calibri" w:hAnsi="Arial" w:cs="Arial"/>
          <w:lang w:val="es-CO" w:eastAsia="en-US"/>
        </w:rPr>
        <w:t>s</w:t>
      </w:r>
      <w:r w:rsidR="004E237A" w:rsidRPr="004F681E">
        <w:rPr>
          <w:rFonts w:ascii="Arial" w:eastAsia="Calibri" w:hAnsi="Arial" w:cs="Arial"/>
          <w:lang w:val="es-CO" w:eastAsia="en-US"/>
        </w:rPr>
        <w:t xml:space="preserve"> de </w:t>
      </w:r>
      <w:r w:rsidRPr="004F681E">
        <w:rPr>
          <w:rFonts w:ascii="Arial" w:eastAsia="Calibri" w:hAnsi="Arial" w:cs="Arial"/>
          <w:lang w:val="es-CO" w:eastAsia="en-US"/>
        </w:rPr>
        <w:t xml:space="preserve">establecer </w:t>
      </w:r>
      <w:r w:rsidR="00A310B4" w:rsidRPr="004F681E">
        <w:rPr>
          <w:rFonts w:ascii="Arial" w:eastAsia="Calibri" w:hAnsi="Arial" w:cs="Arial"/>
          <w:lang w:val="es-CO" w:eastAsia="en-US"/>
        </w:rPr>
        <w:t>su grado de incidencia</w:t>
      </w:r>
      <w:r w:rsidRPr="004F681E">
        <w:rPr>
          <w:rFonts w:ascii="Arial" w:eastAsia="Calibri" w:hAnsi="Arial" w:cs="Arial"/>
          <w:lang w:val="es-CO" w:eastAsia="en-US"/>
        </w:rPr>
        <w:t xml:space="preserve"> en </w:t>
      </w:r>
      <w:r w:rsidR="00A310B4" w:rsidRPr="004F681E">
        <w:rPr>
          <w:rFonts w:ascii="Arial" w:eastAsia="Calibri" w:hAnsi="Arial" w:cs="Arial"/>
          <w:lang w:val="es-CO" w:eastAsia="en-US"/>
        </w:rPr>
        <w:t>la falta de explotación de</w:t>
      </w:r>
      <w:r w:rsidRPr="004F681E">
        <w:rPr>
          <w:rFonts w:ascii="Arial" w:eastAsia="Calibri" w:hAnsi="Arial" w:cs="Arial"/>
          <w:lang w:val="es-CO" w:eastAsia="en-US"/>
        </w:rPr>
        <w:t xml:space="preserve"> la</w:t>
      </w:r>
      <w:r w:rsidR="00A310B4" w:rsidRPr="004F681E">
        <w:rPr>
          <w:rFonts w:ascii="Arial" w:eastAsia="Calibri" w:hAnsi="Arial" w:cs="Arial"/>
          <w:lang w:val="es-CO" w:eastAsia="en-US"/>
        </w:rPr>
        <w:t>s</w:t>
      </w:r>
      <w:r w:rsidRPr="004F681E">
        <w:rPr>
          <w:rFonts w:ascii="Arial" w:eastAsia="Calibri" w:hAnsi="Arial" w:cs="Arial"/>
          <w:lang w:val="es-CO" w:eastAsia="en-US"/>
        </w:rPr>
        <w:t xml:space="preserve"> pantalla</w:t>
      </w:r>
      <w:r w:rsidR="00A310B4" w:rsidRPr="004F681E">
        <w:rPr>
          <w:rFonts w:ascii="Arial" w:eastAsia="Calibri" w:hAnsi="Arial" w:cs="Arial"/>
          <w:lang w:val="es-CO" w:eastAsia="en-US"/>
        </w:rPr>
        <w:t>s</w:t>
      </w:r>
      <w:r w:rsidRPr="004F681E">
        <w:rPr>
          <w:rFonts w:ascii="Arial" w:eastAsia="Calibri" w:hAnsi="Arial" w:cs="Arial"/>
          <w:lang w:val="es-CO" w:eastAsia="en-US"/>
        </w:rPr>
        <w:t xml:space="preserve"> </w:t>
      </w:r>
      <w:r w:rsidR="00A310B4" w:rsidRPr="004F681E">
        <w:rPr>
          <w:rFonts w:ascii="Arial" w:eastAsia="Calibri" w:hAnsi="Arial" w:cs="Arial"/>
          <w:lang w:val="es-CO" w:eastAsia="en-US"/>
        </w:rPr>
        <w:t xml:space="preserve">por los </w:t>
      </w:r>
      <w:r w:rsidRPr="004F681E">
        <w:rPr>
          <w:rFonts w:ascii="Arial" w:eastAsia="Calibri" w:hAnsi="Arial" w:cs="Arial"/>
          <w:lang w:val="es-CO" w:eastAsia="en-US"/>
        </w:rPr>
        <w:t>aludido</w:t>
      </w:r>
      <w:r w:rsidR="00A310B4" w:rsidRPr="004F681E">
        <w:rPr>
          <w:rFonts w:ascii="Arial" w:eastAsia="Calibri" w:hAnsi="Arial" w:cs="Arial"/>
          <w:lang w:val="es-CO" w:eastAsia="en-US"/>
        </w:rPr>
        <w:t>s</w:t>
      </w:r>
      <w:r w:rsidRPr="004F681E">
        <w:rPr>
          <w:rFonts w:ascii="Arial" w:eastAsia="Calibri" w:hAnsi="Arial" w:cs="Arial"/>
          <w:lang w:val="es-CO" w:eastAsia="en-US"/>
        </w:rPr>
        <w:t xml:space="preserve"> interregno</w:t>
      </w:r>
      <w:r w:rsidR="00A310B4" w:rsidRPr="004F681E">
        <w:rPr>
          <w:rFonts w:ascii="Arial" w:eastAsia="Calibri" w:hAnsi="Arial" w:cs="Arial"/>
          <w:lang w:val="es-CO" w:eastAsia="en-US"/>
        </w:rPr>
        <w:t>s</w:t>
      </w:r>
      <w:r w:rsidRPr="004F681E">
        <w:rPr>
          <w:rFonts w:ascii="Arial" w:eastAsia="Calibri" w:hAnsi="Arial" w:cs="Arial"/>
          <w:lang w:val="es-CO" w:eastAsia="en-US"/>
        </w:rPr>
        <w:t xml:space="preserve"> y</w:t>
      </w:r>
      <w:r w:rsidR="001470A6" w:rsidRPr="004F681E">
        <w:rPr>
          <w:rFonts w:ascii="Arial" w:eastAsia="Calibri" w:hAnsi="Arial" w:cs="Arial"/>
          <w:lang w:val="es-CO" w:eastAsia="en-US"/>
        </w:rPr>
        <w:t xml:space="preserve"> </w:t>
      </w:r>
      <w:r w:rsidR="00A310B4" w:rsidRPr="004F681E">
        <w:rPr>
          <w:rFonts w:ascii="Arial" w:eastAsia="Calibri" w:hAnsi="Arial" w:cs="Arial"/>
          <w:lang w:val="es-CO" w:eastAsia="en-US"/>
        </w:rPr>
        <w:t xml:space="preserve">para </w:t>
      </w:r>
      <w:r w:rsidR="004E237A" w:rsidRPr="004F681E">
        <w:rPr>
          <w:rFonts w:ascii="Arial" w:eastAsia="Calibri" w:hAnsi="Arial" w:cs="Arial"/>
          <w:lang w:val="es-CO" w:eastAsia="en-US"/>
        </w:rPr>
        <w:t xml:space="preserve">lograr un cálculo aproximado del valor que por concepto de utilidad dejó de percibir el concesionario </w:t>
      </w:r>
      <w:r w:rsidR="00223538" w:rsidRPr="004F681E">
        <w:rPr>
          <w:rFonts w:ascii="Arial" w:eastAsia="Calibri" w:hAnsi="Arial" w:cs="Arial"/>
          <w:lang w:val="es-CO" w:eastAsia="en-US"/>
        </w:rPr>
        <w:t>dentro de</w:t>
      </w:r>
      <w:r w:rsidR="00A310B4" w:rsidRPr="004F681E">
        <w:rPr>
          <w:rFonts w:ascii="Arial" w:eastAsia="Calibri" w:hAnsi="Arial" w:cs="Arial"/>
          <w:lang w:val="es-CO" w:eastAsia="en-US"/>
        </w:rPr>
        <w:t xml:space="preserve"> </w:t>
      </w:r>
      <w:r w:rsidR="00223538" w:rsidRPr="004F681E">
        <w:rPr>
          <w:rFonts w:ascii="Arial" w:eastAsia="Calibri" w:hAnsi="Arial" w:cs="Arial"/>
          <w:lang w:val="es-CO" w:eastAsia="en-US"/>
        </w:rPr>
        <w:t>l</w:t>
      </w:r>
      <w:r w:rsidR="00A310B4" w:rsidRPr="004F681E">
        <w:rPr>
          <w:rFonts w:ascii="Arial" w:eastAsia="Calibri" w:hAnsi="Arial" w:cs="Arial"/>
          <w:lang w:val="es-CO" w:eastAsia="en-US"/>
        </w:rPr>
        <w:t>os</w:t>
      </w:r>
      <w:r w:rsidR="00223538" w:rsidRPr="004F681E">
        <w:rPr>
          <w:rFonts w:ascii="Arial" w:eastAsia="Calibri" w:hAnsi="Arial" w:cs="Arial"/>
          <w:lang w:val="es-CO" w:eastAsia="en-US"/>
        </w:rPr>
        <w:t xml:space="preserve"> término</w:t>
      </w:r>
      <w:r w:rsidR="00A310B4" w:rsidRPr="004F681E">
        <w:rPr>
          <w:rFonts w:ascii="Arial" w:eastAsia="Calibri" w:hAnsi="Arial" w:cs="Arial"/>
          <w:lang w:val="es-CO" w:eastAsia="en-US"/>
        </w:rPr>
        <w:t>s</w:t>
      </w:r>
      <w:r w:rsidR="00223538" w:rsidRPr="004F681E">
        <w:rPr>
          <w:rFonts w:ascii="Arial" w:eastAsia="Calibri" w:hAnsi="Arial" w:cs="Arial"/>
          <w:lang w:val="es-CO" w:eastAsia="en-US"/>
        </w:rPr>
        <w:t xml:space="preserve"> señalado</w:t>
      </w:r>
      <w:r w:rsidR="00A310B4" w:rsidRPr="004F681E">
        <w:rPr>
          <w:rFonts w:ascii="Arial" w:eastAsia="Calibri" w:hAnsi="Arial" w:cs="Arial"/>
          <w:lang w:val="es-CO" w:eastAsia="en-US"/>
        </w:rPr>
        <w:t>s</w:t>
      </w:r>
      <w:r w:rsidR="001470A6" w:rsidRPr="004F681E">
        <w:rPr>
          <w:rFonts w:ascii="Arial" w:eastAsia="Calibri" w:hAnsi="Arial" w:cs="Arial"/>
          <w:lang w:val="es-CO" w:eastAsia="en-US"/>
        </w:rPr>
        <w:t>.</w:t>
      </w:r>
    </w:p>
    <w:p w:rsidR="004F681E" w:rsidRPr="004F681E" w:rsidRDefault="004F681E" w:rsidP="004F681E">
      <w:pPr>
        <w:spacing w:line="360" w:lineRule="auto"/>
        <w:jc w:val="both"/>
        <w:rPr>
          <w:rFonts w:ascii="Arial" w:eastAsia="Calibri" w:hAnsi="Arial" w:cs="Arial"/>
          <w:lang w:val="es-CO" w:eastAsia="en-US"/>
        </w:rPr>
      </w:pPr>
    </w:p>
    <w:p w:rsidR="001319EF" w:rsidRPr="004F681E" w:rsidRDefault="00E651BF" w:rsidP="009C7601">
      <w:pPr>
        <w:spacing w:after="200" w:line="360" w:lineRule="auto"/>
        <w:jc w:val="both"/>
        <w:rPr>
          <w:rFonts w:ascii="Arial" w:eastAsia="Calibri" w:hAnsi="Arial" w:cs="Arial"/>
          <w:lang w:val="es-CO" w:eastAsia="en-US"/>
        </w:rPr>
      </w:pPr>
      <w:r w:rsidRPr="004F681E">
        <w:rPr>
          <w:rFonts w:ascii="Arial" w:eastAsia="Calibri" w:hAnsi="Arial" w:cs="Arial"/>
          <w:lang w:val="es-CO" w:eastAsia="en-US"/>
        </w:rPr>
        <w:t xml:space="preserve">-. </w:t>
      </w:r>
      <w:r w:rsidR="00773B01" w:rsidRPr="004F681E">
        <w:rPr>
          <w:rFonts w:ascii="Arial" w:eastAsia="Calibri" w:hAnsi="Arial" w:cs="Arial"/>
          <w:lang w:val="es-CO" w:eastAsia="en-US"/>
        </w:rPr>
        <w:t xml:space="preserve">Todo lo descrito corresponderá analizarse también a la luz de lo dispuesto en la </w:t>
      </w:r>
      <w:r w:rsidR="006B7F56" w:rsidRPr="004F681E">
        <w:rPr>
          <w:rFonts w:ascii="Arial" w:eastAsia="Calibri" w:hAnsi="Arial" w:cs="Arial"/>
          <w:lang w:val="es-CO" w:eastAsia="en-US"/>
        </w:rPr>
        <w:t>cláusula sexta del Contrato de C</w:t>
      </w:r>
      <w:r w:rsidR="00773B01" w:rsidRPr="004F681E">
        <w:rPr>
          <w:rFonts w:ascii="Arial" w:eastAsia="Calibri" w:hAnsi="Arial" w:cs="Arial"/>
          <w:lang w:val="es-CO" w:eastAsia="en-US"/>
        </w:rPr>
        <w:t>oncesión No. 475 de 2007</w:t>
      </w:r>
      <w:r w:rsidR="006639D7" w:rsidRPr="004F681E">
        <w:rPr>
          <w:rFonts w:ascii="Arial" w:eastAsia="Calibri" w:hAnsi="Arial" w:cs="Arial"/>
          <w:lang w:val="es-CO" w:eastAsia="en-US"/>
        </w:rPr>
        <w:t>,</w:t>
      </w:r>
      <w:r w:rsidR="00773B01" w:rsidRPr="004F681E">
        <w:rPr>
          <w:rFonts w:ascii="Arial" w:eastAsia="Calibri" w:hAnsi="Arial" w:cs="Arial"/>
          <w:lang w:val="es-CO" w:eastAsia="en-US"/>
        </w:rPr>
        <w:t xml:space="preserve"> en cuyo texto se acordaron los aspectos relativos </w:t>
      </w:r>
      <w:r w:rsidR="006B7F56" w:rsidRPr="004F681E">
        <w:rPr>
          <w:rFonts w:ascii="Arial" w:eastAsia="Calibri" w:hAnsi="Arial" w:cs="Arial"/>
          <w:lang w:val="es-CO" w:eastAsia="en-US"/>
        </w:rPr>
        <w:t>a la contraprestación y</w:t>
      </w:r>
      <w:r w:rsidR="00116D64" w:rsidRPr="004F681E">
        <w:rPr>
          <w:rFonts w:ascii="Arial" w:eastAsia="Calibri" w:hAnsi="Arial" w:cs="Arial"/>
          <w:lang w:val="es-CO" w:eastAsia="en-US"/>
        </w:rPr>
        <w:t xml:space="preserve"> a la</w:t>
      </w:r>
      <w:r w:rsidR="006B7F56" w:rsidRPr="004F681E">
        <w:rPr>
          <w:rFonts w:ascii="Arial" w:eastAsia="Calibri" w:hAnsi="Arial" w:cs="Arial"/>
          <w:lang w:val="es-CO" w:eastAsia="en-US"/>
        </w:rPr>
        <w:t xml:space="preserve"> forma de pago. </w:t>
      </w:r>
    </w:p>
    <w:p w:rsidR="00E81604" w:rsidRPr="004F681E" w:rsidRDefault="00E81604" w:rsidP="00E81604">
      <w:pPr>
        <w:pStyle w:val="Citas"/>
        <w:rPr>
          <w:rFonts w:eastAsia="Calibri" w:cs="Arial"/>
          <w:sz w:val="24"/>
          <w:szCs w:val="24"/>
          <w:lang w:eastAsia="en-US"/>
        </w:rPr>
      </w:pPr>
    </w:p>
    <w:p w:rsidR="00451F08" w:rsidRPr="004F681E" w:rsidRDefault="000E106E" w:rsidP="000E106E">
      <w:pPr>
        <w:spacing w:after="200" w:line="360" w:lineRule="auto"/>
        <w:jc w:val="both"/>
        <w:rPr>
          <w:rFonts w:ascii="Arial" w:hAnsi="Arial" w:cs="Arial"/>
          <w:lang w:val="es-ES_tradnl" w:eastAsia="ar-SA"/>
        </w:rPr>
      </w:pPr>
      <w:r w:rsidRPr="004F681E">
        <w:rPr>
          <w:rFonts w:ascii="Arial" w:eastAsia="Calibri" w:hAnsi="Arial" w:cs="Arial"/>
          <w:lang w:val="es-ES_tradnl" w:eastAsia="en-US"/>
        </w:rPr>
        <w:t xml:space="preserve">3.- </w:t>
      </w:r>
      <w:r w:rsidR="00451F08" w:rsidRPr="004F681E">
        <w:rPr>
          <w:rFonts w:ascii="Arial" w:hAnsi="Arial" w:cs="Arial"/>
        </w:rPr>
        <w:t>Adicional</w:t>
      </w:r>
      <w:r w:rsidR="00C30B1D" w:rsidRPr="004F681E">
        <w:rPr>
          <w:rFonts w:ascii="Arial" w:hAnsi="Arial" w:cs="Arial"/>
        </w:rPr>
        <w:t xml:space="preserve">mente, </w:t>
      </w:r>
      <w:r w:rsidR="00EB1494" w:rsidRPr="004F681E">
        <w:rPr>
          <w:rFonts w:ascii="Arial" w:hAnsi="Arial" w:cs="Arial"/>
        </w:rPr>
        <w:t>si bien el valor que se</w:t>
      </w:r>
      <w:r w:rsidR="00451F08" w:rsidRPr="004F681E">
        <w:rPr>
          <w:rFonts w:ascii="Arial" w:hAnsi="Arial" w:cs="Arial"/>
        </w:rPr>
        <w:t xml:space="preserve"> </w:t>
      </w:r>
      <w:r w:rsidR="00EB1494" w:rsidRPr="004F681E">
        <w:rPr>
          <w:rFonts w:ascii="Arial" w:hAnsi="Arial" w:cs="Arial"/>
        </w:rPr>
        <w:t>calcule será objeto de actualización</w:t>
      </w:r>
      <w:r w:rsidR="00A0010D" w:rsidRPr="004F681E">
        <w:rPr>
          <w:rFonts w:ascii="Arial" w:hAnsi="Arial" w:cs="Arial"/>
        </w:rPr>
        <w:t>,</w:t>
      </w:r>
      <w:r w:rsidR="00451F08" w:rsidRPr="004F681E">
        <w:rPr>
          <w:rFonts w:ascii="Arial" w:hAnsi="Arial" w:cs="Arial"/>
        </w:rPr>
        <w:t xml:space="preserve"> la Sala no estima ajustado el reconocimiento de intereses moratorios</w:t>
      </w:r>
      <w:r w:rsidR="00EB1494" w:rsidRPr="004F681E">
        <w:rPr>
          <w:rFonts w:ascii="Arial" w:hAnsi="Arial" w:cs="Arial"/>
        </w:rPr>
        <w:t xml:space="preserve"> sobre el mismo</w:t>
      </w:r>
      <w:r w:rsidR="00A0010D" w:rsidRPr="004F681E">
        <w:rPr>
          <w:rFonts w:ascii="Arial" w:hAnsi="Arial" w:cs="Arial"/>
        </w:rPr>
        <w:t>,</w:t>
      </w:r>
      <w:r w:rsidR="00451F08" w:rsidRPr="004F681E">
        <w:rPr>
          <w:rFonts w:ascii="Arial" w:hAnsi="Arial" w:cs="Arial"/>
        </w:rPr>
        <w:t xml:space="preserve"> </w:t>
      </w:r>
      <w:r w:rsidR="00451F08" w:rsidRPr="004F681E">
        <w:rPr>
          <w:rFonts w:ascii="Arial" w:hAnsi="Arial" w:cs="Arial"/>
          <w:lang w:val="es-ES_tradnl" w:eastAsia="ar-SA"/>
        </w:rPr>
        <w:t>en tanto la exigibilidad de su pago se deriva de la presente condena</w:t>
      </w:r>
      <w:r w:rsidR="006B7E88" w:rsidRPr="004F681E">
        <w:rPr>
          <w:rFonts w:ascii="Arial" w:hAnsi="Arial" w:cs="Arial"/>
          <w:lang w:val="es-ES_tradnl" w:eastAsia="ar-SA"/>
        </w:rPr>
        <w:t xml:space="preserve">, además de lo cual su reconocimiento no surge de incumplimiento contractual sino de </w:t>
      </w:r>
      <w:r w:rsidR="00A42E19" w:rsidRPr="004F681E">
        <w:rPr>
          <w:rFonts w:ascii="Arial" w:hAnsi="Arial" w:cs="Arial"/>
          <w:lang w:val="es-ES_tradnl" w:eastAsia="ar-SA"/>
        </w:rPr>
        <w:t xml:space="preserve">la </w:t>
      </w:r>
      <w:r w:rsidR="006B7E88" w:rsidRPr="004F681E">
        <w:rPr>
          <w:rFonts w:ascii="Arial" w:hAnsi="Arial" w:cs="Arial"/>
          <w:lang w:val="es-ES_tradnl" w:eastAsia="ar-SA"/>
        </w:rPr>
        <w:t>ruptura del equilibrio económico del contrat</w:t>
      </w:r>
      <w:r w:rsidRPr="004F681E">
        <w:rPr>
          <w:rFonts w:ascii="Arial" w:hAnsi="Arial" w:cs="Arial"/>
          <w:lang w:val="es-ES_tradnl" w:eastAsia="ar-SA"/>
        </w:rPr>
        <w:t>o</w:t>
      </w:r>
      <w:r w:rsidR="00FF7C14" w:rsidRPr="004F681E">
        <w:rPr>
          <w:rFonts w:ascii="Arial" w:hAnsi="Arial" w:cs="Arial"/>
          <w:lang w:val="es-ES_tradnl" w:eastAsia="ar-SA"/>
        </w:rPr>
        <w:t>, por un lado,</w:t>
      </w:r>
      <w:r w:rsidRPr="004F681E">
        <w:rPr>
          <w:rFonts w:ascii="Arial" w:hAnsi="Arial" w:cs="Arial"/>
          <w:lang w:val="es-ES_tradnl" w:eastAsia="ar-SA"/>
        </w:rPr>
        <w:t xml:space="preserve"> por el ejercicio del </w:t>
      </w:r>
      <w:r w:rsidRPr="004F681E">
        <w:rPr>
          <w:rFonts w:ascii="Arial" w:hAnsi="Arial" w:cs="Arial"/>
          <w:i/>
          <w:lang w:val="es-ES_tradnl" w:eastAsia="ar-SA"/>
        </w:rPr>
        <w:t>ius varia</w:t>
      </w:r>
      <w:r w:rsidR="006B7E88" w:rsidRPr="004F681E">
        <w:rPr>
          <w:rFonts w:ascii="Arial" w:hAnsi="Arial" w:cs="Arial"/>
          <w:i/>
          <w:lang w:val="es-ES_tradnl" w:eastAsia="ar-SA"/>
        </w:rPr>
        <w:t>ndi</w:t>
      </w:r>
      <w:r w:rsidR="00E8075E" w:rsidRPr="004F681E">
        <w:rPr>
          <w:rFonts w:ascii="Arial" w:hAnsi="Arial" w:cs="Arial"/>
          <w:i/>
          <w:lang w:val="es-ES_tradnl" w:eastAsia="ar-SA"/>
        </w:rPr>
        <w:t xml:space="preserve"> </w:t>
      </w:r>
      <w:r w:rsidR="00E8075E" w:rsidRPr="004F681E">
        <w:rPr>
          <w:rFonts w:ascii="Arial" w:hAnsi="Arial" w:cs="Arial"/>
          <w:lang w:val="es-ES_tradnl" w:eastAsia="ar-SA"/>
        </w:rPr>
        <w:t>para cuyo restablecimiento no se previó ese tipo de reconocimiento</w:t>
      </w:r>
      <w:r w:rsidR="00EB1494" w:rsidRPr="004F681E">
        <w:rPr>
          <w:rFonts w:ascii="Arial" w:hAnsi="Arial" w:cs="Arial"/>
          <w:lang w:val="es-ES_tradnl" w:eastAsia="ar-SA"/>
        </w:rPr>
        <w:t xml:space="preserve"> y</w:t>
      </w:r>
      <w:r w:rsidR="00FF7C14" w:rsidRPr="004F681E">
        <w:rPr>
          <w:rFonts w:ascii="Arial" w:hAnsi="Arial" w:cs="Arial"/>
          <w:lang w:val="es-ES_tradnl" w:eastAsia="ar-SA"/>
        </w:rPr>
        <w:t>, por otro,</w:t>
      </w:r>
      <w:r w:rsidR="00EB1494" w:rsidRPr="004F681E">
        <w:rPr>
          <w:rFonts w:ascii="Arial" w:hAnsi="Arial" w:cs="Arial"/>
          <w:lang w:val="es-ES_tradnl" w:eastAsia="ar-SA"/>
        </w:rPr>
        <w:t xml:space="preserve"> por el hecho del príncipe</w:t>
      </w:r>
      <w:r w:rsidR="00451F08" w:rsidRPr="004F681E">
        <w:rPr>
          <w:rFonts w:ascii="Arial" w:hAnsi="Arial" w:cs="Arial"/>
          <w:lang w:val="es-ES_tradnl" w:eastAsia="ar-SA"/>
        </w:rPr>
        <w:t xml:space="preserve">. </w:t>
      </w:r>
    </w:p>
    <w:p w:rsidR="00C8385D" w:rsidRPr="004F681E" w:rsidRDefault="00C8385D" w:rsidP="00C8385D">
      <w:pPr>
        <w:pStyle w:val="Citas"/>
        <w:rPr>
          <w:rStyle w:val="nfasis"/>
          <w:rFonts w:cs="Arial"/>
          <w:sz w:val="24"/>
          <w:szCs w:val="24"/>
        </w:rPr>
      </w:pPr>
    </w:p>
    <w:p w:rsidR="00784B9A" w:rsidRPr="004F681E" w:rsidRDefault="00784B9A" w:rsidP="00784B9A">
      <w:pPr>
        <w:spacing w:line="360" w:lineRule="auto"/>
        <w:jc w:val="both"/>
        <w:rPr>
          <w:rFonts w:ascii="Arial" w:hAnsi="Arial" w:cs="Arial"/>
          <w:color w:val="000000"/>
        </w:rPr>
      </w:pPr>
      <w:r w:rsidRPr="004F681E">
        <w:rPr>
          <w:rFonts w:ascii="Arial" w:hAnsi="Arial" w:cs="Arial"/>
          <w:color w:val="000000"/>
        </w:rPr>
        <w:t xml:space="preserve">4.- El cumplimiento de la condena que aquí se profiere se sujetará a lo dispuesto en los artículos 177 y siguientes del Código Contencioso Administrativo. </w:t>
      </w:r>
    </w:p>
    <w:p w:rsidR="000348D4" w:rsidRPr="004F681E" w:rsidRDefault="000348D4" w:rsidP="00390707">
      <w:pPr>
        <w:spacing w:line="360" w:lineRule="auto"/>
        <w:contextualSpacing/>
        <w:jc w:val="both"/>
        <w:rPr>
          <w:rFonts w:ascii="Arial" w:hAnsi="Arial" w:cs="Arial"/>
          <w:b/>
          <w:u w:val="single"/>
        </w:rPr>
      </w:pPr>
    </w:p>
    <w:p w:rsidR="001D1E3E" w:rsidRPr="004F681E" w:rsidRDefault="00081997" w:rsidP="00390707">
      <w:pPr>
        <w:spacing w:line="360" w:lineRule="auto"/>
        <w:contextualSpacing/>
        <w:jc w:val="both"/>
        <w:rPr>
          <w:rFonts w:ascii="Arial" w:hAnsi="Arial" w:cs="Arial"/>
          <w:b/>
          <w:u w:val="single"/>
        </w:rPr>
      </w:pPr>
      <w:r w:rsidRPr="004F681E">
        <w:rPr>
          <w:rFonts w:ascii="Arial" w:hAnsi="Arial" w:cs="Arial"/>
          <w:b/>
          <w:u w:val="single"/>
        </w:rPr>
        <w:t>Conclusión</w:t>
      </w:r>
    </w:p>
    <w:p w:rsidR="00081997" w:rsidRPr="004F681E" w:rsidRDefault="00081997" w:rsidP="00390707">
      <w:pPr>
        <w:spacing w:line="360" w:lineRule="auto"/>
        <w:contextualSpacing/>
        <w:jc w:val="both"/>
        <w:rPr>
          <w:rFonts w:ascii="Arial" w:hAnsi="Arial" w:cs="Arial"/>
          <w:b/>
        </w:rPr>
      </w:pPr>
    </w:p>
    <w:p w:rsidR="003E2424" w:rsidRPr="004F681E" w:rsidRDefault="00081997" w:rsidP="0044597B">
      <w:pPr>
        <w:widowControl w:val="0"/>
        <w:autoSpaceDE w:val="0"/>
        <w:autoSpaceDN w:val="0"/>
        <w:adjustRightInd w:val="0"/>
        <w:spacing w:line="360" w:lineRule="auto"/>
        <w:ind w:right="51"/>
        <w:jc w:val="both"/>
        <w:outlineLvl w:val="0"/>
        <w:rPr>
          <w:rFonts w:ascii="Arial" w:hAnsi="Arial" w:cs="Arial"/>
          <w:lang w:val="es-CO"/>
        </w:rPr>
      </w:pPr>
      <w:r w:rsidRPr="004F681E">
        <w:rPr>
          <w:rFonts w:ascii="Arial" w:hAnsi="Arial" w:cs="Arial"/>
        </w:rPr>
        <w:t>En mérito de lo expuesto</w:t>
      </w:r>
      <w:r w:rsidR="003C41F3" w:rsidRPr="004F681E">
        <w:rPr>
          <w:rFonts w:ascii="Arial" w:hAnsi="Arial" w:cs="Arial"/>
        </w:rPr>
        <w:t>,</w:t>
      </w:r>
      <w:r w:rsidRPr="004F681E">
        <w:rPr>
          <w:rFonts w:ascii="Arial" w:hAnsi="Arial" w:cs="Arial"/>
        </w:rPr>
        <w:t xml:space="preserve"> la Sala revocará la sentencia apelada</w:t>
      </w:r>
      <w:r w:rsidR="005D4776" w:rsidRPr="004F681E">
        <w:rPr>
          <w:rFonts w:ascii="Arial" w:hAnsi="Arial" w:cs="Arial"/>
        </w:rPr>
        <w:t>,</w:t>
      </w:r>
      <w:r w:rsidRPr="004F681E">
        <w:rPr>
          <w:rFonts w:ascii="Arial" w:hAnsi="Arial" w:cs="Arial"/>
        </w:rPr>
        <w:t xml:space="preserve"> para</w:t>
      </w:r>
      <w:r w:rsidR="005D4776" w:rsidRPr="004F681E">
        <w:rPr>
          <w:rFonts w:ascii="Arial" w:hAnsi="Arial" w:cs="Arial"/>
        </w:rPr>
        <w:t>,</w:t>
      </w:r>
      <w:r w:rsidRPr="004F681E">
        <w:rPr>
          <w:rFonts w:ascii="Arial" w:hAnsi="Arial" w:cs="Arial"/>
        </w:rPr>
        <w:t xml:space="preserve"> en su lugar</w:t>
      </w:r>
      <w:r w:rsidR="005D4776" w:rsidRPr="004F681E">
        <w:rPr>
          <w:rFonts w:ascii="Arial" w:hAnsi="Arial" w:cs="Arial"/>
        </w:rPr>
        <w:t>,</w:t>
      </w:r>
      <w:r w:rsidRPr="004F681E">
        <w:rPr>
          <w:rFonts w:ascii="Arial" w:hAnsi="Arial" w:cs="Arial"/>
        </w:rPr>
        <w:t xml:space="preserve"> </w:t>
      </w:r>
      <w:r w:rsidR="001D283D" w:rsidRPr="004F681E">
        <w:rPr>
          <w:rFonts w:ascii="Arial" w:hAnsi="Arial" w:cs="Arial"/>
          <w:lang w:val="es-CO"/>
        </w:rPr>
        <w:t xml:space="preserve">declarar que </w:t>
      </w:r>
      <w:r w:rsidR="006852FF" w:rsidRPr="004F681E">
        <w:rPr>
          <w:rFonts w:ascii="Arial" w:hAnsi="Arial" w:cs="Arial"/>
          <w:lang w:val="es-CO"/>
        </w:rPr>
        <w:t xml:space="preserve">durante la ejecución del </w:t>
      </w:r>
      <w:r w:rsidR="001D283D" w:rsidRPr="004F681E">
        <w:rPr>
          <w:rFonts w:ascii="Arial" w:hAnsi="Arial" w:cs="Arial"/>
          <w:lang w:val="es-CO"/>
        </w:rPr>
        <w:t>Contrato de Concesión No. 475 de 2007</w:t>
      </w:r>
      <w:r w:rsidR="006852FF" w:rsidRPr="004F681E">
        <w:rPr>
          <w:rFonts w:ascii="Arial" w:hAnsi="Arial" w:cs="Arial"/>
          <w:lang w:val="es-CO"/>
        </w:rPr>
        <w:t xml:space="preserve"> se presentaron </w:t>
      </w:r>
      <w:r w:rsidR="005E01D0" w:rsidRPr="004F681E">
        <w:rPr>
          <w:rFonts w:ascii="Arial" w:hAnsi="Arial" w:cs="Arial"/>
          <w:lang w:val="es-CO"/>
        </w:rPr>
        <w:t>circunstancias generadoras</w:t>
      </w:r>
      <w:r w:rsidR="006852FF" w:rsidRPr="004F681E">
        <w:rPr>
          <w:rFonts w:ascii="Arial" w:hAnsi="Arial" w:cs="Arial"/>
          <w:lang w:val="es-CO"/>
        </w:rPr>
        <w:t xml:space="preserve"> de ruptura de su equilibrio económico por la inoperancia de la pantalla </w:t>
      </w:r>
      <w:r w:rsidR="005E01D0" w:rsidRPr="004F681E">
        <w:rPr>
          <w:rFonts w:ascii="Arial" w:hAnsi="Arial" w:cs="Arial"/>
          <w:lang w:val="es-CO"/>
        </w:rPr>
        <w:t xml:space="preserve">exterior </w:t>
      </w:r>
      <w:r w:rsidR="004F5E96" w:rsidRPr="004F681E">
        <w:rPr>
          <w:rFonts w:ascii="Arial" w:eastAsia="Calibri" w:hAnsi="Arial" w:cs="Arial"/>
          <w:lang w:val="es-CO" w:eastAsia="en-US"/>
        </w:rPr>
        <w:t xml:space="preserve">producida durante el término comprendido 28 de septiembre de 2010 al 8 de abril de 2011, mientras se llevaron a cabo las obras de su reubicación y por la inoperancia de las pantallas concesionadas </w:t>
      </w:r>
      <w:r w:rsidR="00606720" w:rsidRPr="004F681E">
        <w:rPr>
          <w:rFonts w:ascii="Arial" w:eastAsia="Calibri" w:hAnsi="Arial" w:cs="Arial"/>
          <w:lang w:val="es-CO" w:eastAsia="en-US"/>
        </w:rPr>
        <w:t xml:space="preserve">acaecida </w:t>
      </w:r>
      <w:r w:rsidR="00606720" w:rsidRPr="004F681E">
        <w:rPr>
          <w:rFonts w:ascii="Arial" w:hAnsi="Arial" w:cs="Arial"/>
          <w:lang w:val="es-ES_tradnl" w:eastAsia="ar-SA"/>
        </w:rPr>
        <w:t xml:space="preserve">entre el 14 de julio </w:t>
      </w:r>
      <w:r w:rsidR="005D4776" w:rsidRPr="004F681E">
        <w:rPr>
          <w:rFonts w:ascii="Arial" w:hAnsi="Arial" w:cs="Arial"/>
          <w:lang w:val="es-ES_tradnl" w:eastAsia="ar-SA"/>
        </w:rPr>
        <w:t xml:space="preserve">y el </w:t>
      </w:r>
      <w:r w:rsidR="00606720" w:rsidRPr="004F681E">
        <w:rPr>
          <w:rFonts w:ascii="Arial" w:hAnsi="Arial" w:cs="Arial"/>
          <w:lang w:val="es-ES_tradnl" w:eastAsia="ar-SA"/>
        </w:rPr>
        <w:t>29 de agosto de 2011</w:t>
      </w:r>
      <w:r w:rsidR="000123FA" w:rsidRPr="004F681E">
        <w:rPr>
          <w:rFonts w:ascii="Arial" w:hAnsi="Arial" w:cs="Arial"/>
          <w:lang w:val="es-ES_tradnl" w:eastAsia="ar-SA"/>
        </w:rPr>
        <w:t>,</w:t>
      </w:r>
      <w:r w:rsidR="0056775A" w:rsidRPr="004F681E">
        <w:rPr>
          <w:rFonts w:ascii="Arial" w:hAnsi="Arial" w:cs="Arial"/>
          <w:lang w:val="es-ES_tradnl" w:eastAsia="ar-SA"/>
        </w:rPr>
        <w:t xml:space="preserve"> plazo</w:t>
      </w:r>
      <w:r w:rsidR="00606720" w:rsidRPr="004F681E">
        <w:rPr>
          <w:rFonts w:ascii="Arial" w:hAnsi="Arial" w:cs="Arial"/>
          <w:lang w:val="es-ES_tradnl" w:eastAsia="ar-SA"/>
        </w:rPr>
        <w:t xml:space="preserve"> dentro del cual se llevó a cabo el mundial de fútbol Sub-20. </w:t>
      </w:r>
      <w:r w:rsidR="003C41F3" w:rsidRPr="004F681E">
        <w:rPr>
          <w:rFonts w:ascii="Arial" w:hAnsi="Arial" w:cs="Arial"/>
          <w:lang w:val="es-CO"/>
        </w:rPr>
        <w:t>C</w:t>
      </w:r>
      <w:r w:rsidR="001D283D" w:rsidRPr="004F681E">
        <w:rPr>
          <w:rFonts w:ascii="Arial" w:hAnsi="Arial" w:cs="Arial"/>
        </w:rPr>
        <w:t xml:space="preserve">omo consecuencia de </w:t>
      </w:r>
      <w:r w:rsidR="00F51235" w:rsidRPr="004F681E">
        <w:rPr>
          <w:rFonts w:ascii="Arial" w:hAnsi="Arial" w:cs="Arial"/>
        </w:rPr>
        <w:t>lo anterior</w:t>
      </w:r>
      <w:r w:rsidR="005D4776" w:rsidRPr="004F681E">
        <w:rPr>
          <w:rFonts w:ascii="Arial" w:hAnsi="Arial" w:cs="Arial"/>
        </w:rPr>
        <w:t>,</w:t>
      </w:r>
      <w:r w:rsidR="00F51235" w:rsidRPr="004F681E">
        <w:rPr>
          <w:rFonts w:ascii="Arial" w:hAnsi="Arial" w:cs="Arial"/>
        </w:rPr>
        <w:t xml:space="preserve"> </w:t>
      </w:r>
      <w:r w:rsidR="002F3F78" w:rsidRPr="004F681E">
        <w:rPr>
          <w:rFonts w:ascii="Arial" w:hAnsi="Arial" w:cs="Arial"/>
        </w:rPr>
        <w:t xml:space="preserve">se condenará en abstracto al </w:t>
      </w:r>
      <w:r w:rsidR="002F3F78" w:rsidRPr="004F681E">
        <w:rPr>
          <w:rFonts w:ascii="Arial" w:hAnsi="Arial" w:cs="Arial"/>
          <w:lang w:val="es-ES_tradnl" w:eastAsia="ar-SA"/>
        </w:rPr>
        <w:t xml:space="preserve">Instituto Distrital para la Recreación y el Deporte a pagar a </w:t>
      </w:r>
      <w:r w:rsidR="002F3F78" w:rsidRPr="004F681E">
        <w:rPr>
          <w:rFonts w:ascii="Arial" w:eastAsia="Calibri" w:hAnsi="Arial" w:cs="Arial"/>
          <w:lang w:val="es-CO" w:eastAsia="en-US"/>
        </w:rPr>
        <w:t xml:space="preserve">la unión temporal Publiestadios la suma correspondiente al </w:t>
      </w:r>
      <w:r w:rsidR="002F3F78" w:rsidRPr="004F681E">
        <w:rPr>
          <w:rFonts w:ascii="Arial" w:hAnsi="Arial" w:cs="Arial"/>
          <w:lang w:val="es-ES_tradnl" w:eastAsia="ar-SA"/>
        </w:rPr>
        <w:t xml:space="preserve">valor de la utilidad dejada </w:t>
      </w:r>
      <w:r w:rsidR="008D7EB3" w:rsidRPr="004F681E">
        <w:rPr>
          <w:rFonts w:ascii="Arial" w:hAnsi="Arial" w:cs="Arial"/>
          <w:lang w:val="es-ES_tradnl" w:eastAsia="ar-SA"/>
        </w:rPr>
        <w:t xml:space="preserve">de recibir </w:t>
      </w:r>
      <w:r w:rsidR="002F3F78" w:rsidRPr="004F681E">
        <w:rPr>
          <w:rFonts w:ascii="Arial" w:hAnsi="Arial" w:cs="Arial"/>
          <w:lang w:val="es-ES_tradnl" w:eastAsia="ar-SA"/>
        </w:rPr>
        <w:t>por e</w:t>
      </w:r>
      <w:r w:rsidR="003E2424" w:rsidRPr="004F681E">
        <w:rPr>
          <w:rFonts w:ascii="Arial" w:hAnsi="Arial" w:cs="Arial"/>
          <w:lang w:val="es-ES_tradnl" w:eastAsia="ar-SA"/>
        </w:rPr>
        <w:t>l concesionario durante los perí</w:t>
      </w:r>
      <w:r w:rsidR="002F3F78" w:rsidRPr="004F681E">
        <w:rPr>
          <w:rFonts w:ascii="Arial" w:hAnsi="Arial" w:cs="Arial"/>
          <w:lang w:val="es-ES_tradnl" w:eastAsia="ar-SA"/>
        </w:rPr>
        <w:t>odos anteriormente delimitados</w:t>
      </w:r>
      <w:r w:rsidR="003E2424" w:rsidRPr="004F681E">
        <w:rPr>
          <w:rFonts w:ascii="Arial" w:hAnsi="Arial" w:cs="Arial"/>
          <w:lang w:val="es-ES_tradnl" w:eastAsia="ar-SA"/>
        </w:rPr>
        <w:t>, en</w:t>
      </w:r>
      <w:r w:rsidR="003E2424" w:rsidRPr="004F681E">
        <w:rPr>
          <w:rFonts w:ascii="Arial" w:hAnsi="Arial" w:cs="Arial"/>
          <w:lang w:val="es-CO"/>
        </w:rPr>
        <w:t xml:space="preserve"> la forma señalada en la parte motiva que antecede. </w:t>
      </w:r>
    </w:p>
    <w:p w:rsidR="001D283D" w:rsidRPr="004F681E" w:rsidRDefault="001D283D" w:rsidP="0065761B">
      <w:pPr>
        <w:widowControl w:val="0"/>
        <w:autoSpaceDE w:val="0"/>
        <w:autoSpaceDN w:val="0"/>
        <w:adjustRightInd w:val="0"/>
        <w:spacing w:line="360" w:lineRule="auto"/>
        <w:ind w:right="567"/>
        <w:jc w:val="both"/>
        <w:outlineLvl w:val="0"/>
        <w:rPr>
          <w:rFonts w:ascii="Arial" w:hAnsi="Arial" w:cs="Arial"/>
        </w:rPr>
      </w:pPr>
    </w:p>
    <w:p w:rsidR="0065761B" w:rsidRPr="004F681E" w:rsidRDefault="003046FC" w:rsidP="003046FC">
      <w:pPr>
        <w:widowControl w:val="0"/>
        <w:autoSpaceDE w:val="0"/>
        <w:autoSpaceDN w:val="0"/>
        <w:adjustRightInd w:val="0"/>
        <w:spacing w:line="360" w:lineRule="auto"/>
        <w:ind w:right="567"/>
        <w:jc w:val="both"/>
        <w:outlineLvl w:val="0"/>
        <w:rPr>
          <w:rFonts w:ascii="Arial" w:hAnsi="Arial" w:cs="Arial"/>
        </w:rPr>
      </w:pPr>
      <w:r w:rsidRPr="004F681E">
        <w:rPr>
          <w:rFonts w:ascii="Arial" w:hAnsi="Arial" w:cs="Arial"/>
        </w:rPr>
        <w:t>Finalmente</w:t>
      </w:r>
      <w:r w:rsidR="00B5352E" w:rsidRPr="004F681E">
        <w:rPr>
          <w:rFonts w:ascii="Arial" w:hAnsi="Arial" w:cs="Arial"/>
        </w:rPr>
        <w:t>,</w:t>
      </w:r>
      <w:r w:rsidRPr="004F681E">
        <w:rPr>
          <w:rFonts w:ascii="Arial" w:hAnsi="Arial" w:cs="Arial"/>
        </w:rPr>
        <w:t xml:space="preserve"> se negarán las demás pretensiones de la demanda</w:t>
      </w:r>
      <w:r w:rsidR="00B5352E" w:rsidRPr="004F681E">
        <w:rPr>
          <w:rFonts w:ascii="Arial" w:hAnsi="Arial" w:cs="Arial"/>
        </w:rPr>
        <w:t>.</w:t>
      </w:r>
    </w:p>
    <w:p w:rsidR="0065761B" w:rsidRPr="004F681E" w:rsidRDefault="0065761B" w:rsidP="00390707">
      <w:pPr>
        <w:spacing w:line="360" w:lineRule="auto"/>
        <w:contextualSpacing/>
        <w:jc w:val="both"/>
        <w:rPr>
          <w:rFonts w:ascii="Arial" w:hAnsi="Arial" w:cs="Arial"/>
          <w:b/>
        </w:rPr>
      </w:pPr>
    </w:p>
    <w:p w:rsidR="00390707" w:rsidRPr="004F681E" w:rsidRDefault="00991B6D" w:rsidP="00390707">
      <w:pPr>
        <w:spacing w:line="360" w:lineRule="auto"/>
        <w:contextualSpacing/>
        <w:jc w:val="both"/>
        <w:rPr>
          <w:rFonts w:ascii="Arial" w:hAnsi="Arial" w:cs="Arial"/>
          <w:b/>
        </w:rPr>
      </w:pPr>
      <w:r w:rsidRPr="004F681E">
        <w:rPr>
          <w:rFonts w:ascii="Arial" w:hAnsi="Arial" w:cs="Arial"/>
          <w:b/>
        </w:rPr>
        <w:t>7</w:t>
      </w:r>
      <w:r w:rsidR="00390707" w:rsidRPr="004F681E">
        <w:rPr>
          <w:rFonts w:ascii="Arial" w:hAnsi="Arial" w:cs="Arial"/>
          <w:b/>
        </w:rPr>
        <w:t>) Costas</w:t>
      </w:r>
    </w:p>
    <w:p w:rsidR="004F681E" w:rsidRPr="004F681E" w:rsidRDefault="004F681E" w:rsidP="00390707">
      <w:pPr>
        <w:spacing w:line="360" w:lineRule="auto"/>
        <w:contextualSpacing/>
        <w:jc w:val="both"/>
        <w:rPr>
          <w:rFonts w:ascii="Arial" w:hAnsi="Arial" w:cs="Arial"/>
        </w:rPr>
      </w:pPr>
    </w:p>
    <w:p w:rsidR="00390707" w:rsidRPr="004F681E" w:rsidRDefault="00390707" w:rsidP="00390707">
      <w:pPr>
        <w:spacing w:line="360" w:lineRule="auto"/>
        <w:jc w:val="both"/>
        <w:rPr>
          <w:rFonts w:ascii="Arial" w:hAnsi="Arial" w:cs="Arial"/>
          <w:bCs/>
        </w:rPr>
      </w:pPr>
      <w:r w:rsidRPr="004F681E">
        <w:rPr>
          <w:rFonts w:ascii="Arial" w:hAnsi="Arial" w:cs="Arial"/>
          <w:bCs/>
        </w:rPr>
        <w:t>De conformidad con lo previsto en la Ley 446 de 1998, en este asunto no hay lugar a la imposición de costas por cuanto no se evidencia en el subexamine que alguna de las partes hubiere actuado temerariamente.</w:t>
      </w:r>
    </w:p>
    <w:p w:rsidR="00390707" w:rsidRPr="004F681E" w:rsidRDefault="00390707" w:rsidP="00390707">
      <w:pPr>
        <w:autoSpaceDN w:val="0"/>
        <w:spacing w:line="360" w:lineRule="auto"/>
        <w:jc w:val="both"/>
        <w:rPr>
          <w:rFonts w:ascii="Arial" w:hAnsi="Arial" w:cs="Arial"/>
          <w:u w:val="single"/>
        </w:rPr>
      </w:pPr>
    </w:p>
    <w:p w:rsidR="00390707" w:rsidRPr="004F681E" w:rsidRDefault="00390707" w:rsidP="00390707">
      <w:pPr>
        <w:numPr>
          <w:ilvl w:val="12"/>
          <w:numId w:val="0"/>
        </w:numPr>
        <w:spacing w:line="360" w:lineRule="auto"/>
        <w:jc w:val="both"/>
        <w:rPr>
          <w:rFonts w:ascii="Arial" w:hAnsi="Arial" w:cs="Arial"/>
        </w:rPr>
      </w:pPr>
      <w:r w:rsidRPr="004F681E">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4F681E">
          <w:rPr>
            <w:rFonts w:ascii="Arial" w:hAnsi="Arial" w:cs="Arial"/>
          </w:rPr>
          <w:t>la República</w:t>
        </w:r>
      </w:smartTag>
      <w:r w:rsidRPr="004F681E">
        <w:rPr>
          <w:rFonts w:ascii="Arial" w:hAnsi="Arial" w:cs="Arial"/>
        </w:rPr>
        <w:t xml:space="preserve"> de Colombia y por autoridad de la ley,</w:t>
      </w:r>
    </w:p>
    <w:p w:rsidR="002557D1" w:rsidRPr="004F681E" w:rsidRDefault="002557D1" w:rsidP="00390707">
      <w:pPr>
        <w:spacing w:line="360" w:lineRule="auto"/>
        <w:jc w:val="both"/>
        <w:rPr>
          <w:rFonts w:ascii="Arial" w:hAnsi="Arial" w:cs="Arial"/>
          <w:lang w:val="es-CO"/>
        </w:rPr>
      </w:pPr>
    </w:p>
    <w:p w:rsidR="00390707" w:rsidRPr="004F681E" w:rsidRDefault="00390707" w:rsidP="00390707">
      <w:pPr>
        <w:keepNext/>
        <w:spacing w:line="360" w:lineRule="auto"/>
        <w:ind w:right="946"/>
        <w:jc w:val="center"/>
        <w:outlineLvl w:val="4"/>
        <w:rPr>
          <w:rFonts w:ascii="Arial" w:hAnsi="Arial" w:cs="Arial"/>
          <w:b/>
          <w:bCs/>
          <w:lang w:val="x-none"/>
        </w:rPr>
      </w:pPr>
      <w:r w:rsidRPr="004F681E">
        <w:rPr>
          <w:rFonts w:ascii="Arial" w:hAnsi="Arial" w:cs="Arial"/>
          <w:b/>
          <w:bCs/>
          <w:lang w:val="x-none"/>
        </w:rPr>
        <w:t>F A L L A</w:t>
      </w:r>
    </w:p>
    <w:p w:rsidR="00390707" w:rsidRPr="004F681E" w:rsidRDefault="00390707" w:rsidP="00390707">
      <w:pPr>
        <w:widowControl w:val="0"/>
        <w:autoSpaceDE w:val="0"/>
        <w:autoSpaceDN w:val="0"/>
        <w:adjustRightInd w:val="0"/>
        <w:spacing w:line="360" w:lineRule="auto"/>
        <w:jc w:val="both"/>
        <w:rPr>
          <w:rFonts w:ascii="Arial" w:hAnsi="Arial" w:cs="Arial"/>
          <w:b/>
        </w:rPr>
      </w:pPr>
    </w:p>
    <w:p w:rsidR="00390707" w:rsidRPr="004F681E" w:rsidRDefault="00390707" w:rsidP="00390707">
      <w:pPr>
        <w:widowControl w:val="0"/>
        <w:autoSpaceDE w:val="0"/>
        <w:autoSpaceDN w:val="0"/>
        <w:adjustRightInd w:val="0"/>
        <w:spacing w:line="360" w:lineRule="auto"/>
        <w:jc w:val="both"/>
        <w:rPr>
          <w:rFonts w:ascii="Arial" w:hAnsi="Arial" w:cs="Arial"/>
        </w:rPr>
      </w:pPr>
      <w:r w:rsidRPr="004F681E">
        <w:rPr>
          <w:rFonts w:ascii="Arial" w:hAnsi="Arial" w:cs="Arial"/>
          <w:b/>
        </w:rPr>
        <w:t xml:space="preserve">1.- REVOCAR, </w:t>
      </w:r>
      <w:r w:rsidRPr="004F681E">
        <w:rPr>
          <w:rFonts w:ascii="Arial" w:hAnsi="Arial" w:cs="Arial"/>
        </w:rPr>
        <w:t>por las razones expuestas,</w:t>
      </w:r>
      <w:r w:rsidRPr="004F681E">
        <w:rPr>
          <w:rFonts w:ascii="Arial" w:hAnsi="Arial" w:cs="Arial"/>
          <w:b/>
        </w:rPr>
        <w:t xml:space="preserve"> </w:t>
      </w:r>
      <w:r w:rsidR="00D05F0D" w:rsidRPr="004F681E">
        <w:rPr>
          <w:rFonts w:ascii="Arial" w:hAnsi="Arial" w:cs="Arial"/>
        </w:rPr>
        <w:t>la sentencia proferida el doce (12</w:t>
      </w:r>
      <w:r w:rsidRPr="004F681E">
        <w:rPr>
          <w:rFonts w:ascii="Arial" w:hAnsi="Arial" w:cs="Arial"/>
        </w:rPr>
        <w:t xml:space="preserve">) de </w:t>
      </w:r>
      <w:r w:rsidR="00D05F0D" w:rsidRPr="004F681E">
        <w:rPr>
          <w:rFonts w:ascii="Arial" w:hAnsi="Arial" w:cs="Arial"/>
        </w:rPr>
        <w:t>junio de dos mil catorce (2014</w:t>
      </w:r>
      <w:r w:rsidRPr="004F681E">
        <w:rPr>
          <w:rFonts w:ascii="Arial" w:hAnsi="Arial" w:cs="Arial"/>
        </w:rPr>
        <w:t>) por el Tribunal Administrativo de Cundinamarc</w:t>
      </w:r>
      <w:r w:rsidR="00D05F0D" w:rsidRPr="004F681E">
        <w:rPr>
          <w:rFonts w:ascii="Arial" w:hAnsi="Arial" w:cs="Arial"/>
        </w:rPr>
        <w:t>a- Sección Tercera- Subsección C</w:t>
      </w:r>
      <w:r w:rsidR="008051FF" w:rsidRPr="004F681E">
        <w:rPr>
          <w:rFonts w:ascii="Arial" w:hAnsi="Arial" w:cs="Arial"/>
        </w:rPr>
        <w:t xml:space="preserve"> </w:t>
      </w:r>
      <w:r w:rsidR="00D05F0D" w:rsidRPr="004F681E">
        <w:rPr>
          <w:rFonts w:ascii="Arial" w:hAnsi="Arial" w:cs="Arial"/>
        </w:rPr>
        <w:t>- Descongestión</w:t>
      </w:r>
      <w:r w:rsidRPr="004F681E">
        <w:rPr>
          <w:rFonts w:ascii="Arial" w:hAnsi="Arial" w:cs="Arial"/>
        </w:rPr>
        <w:t xml:space="preserve"> y en su lugar se dispone: </w:t>
      </w:r>
    </w:p>
    <w:p w:rsidR="005D4776" w:rsidRPr="004F681E" w:rsidRDefault="005D4776" w:rsidP="00390707">
      <w:pPr>
        <w:widowControl w:val="0"/>
        <w:autoSpaceDE w:val="0"/>
        <w:autoSpaceDN w:val="0"/>
        <w:adjustRightInd w:val="0"/>
        <w:spacing w:line="360" w:lineRule="auto"/>
        <w:jc w:val="both"/>
        <w:rPr>
          <w:rFonts w:ascii="Arial" w:hAnsi="Arial" w:cs="Arial"/>
        </w:rPr>
      </w:pPr>
    </w:p>
    <w:p w:rsidR="001D6CDC" w:rsidRPr="004F681E" w:rsidRDefault="00390707" w:rsidP="00616FE7">
      <w:pPr>
        <w:widowControl w:val="0"/>
        <w:autoSpaceDE w:val="0"/>
        <w:autoSpaceDN w:val="0"/>
        <w:adjustRightInd w:val="0"/>
        <w:spacing w:line="276" w:lineRule="auto"/>
        <w:ind w:left="567" w:right="567"/>
        <w:jc w:val="both"/>
        <w:outlineLvl w:val="0"/>
        <w:rPr>
          <w:rFonts w:ascii="Arial" w:hAnsi="Arial" w:cs="Arial"/>
          <w:lang w:val="es-CO"/>
        </w:rPr>
      </w:pPr>
      <w:r w:rsidRPr="004F681E">
        <w:rPr>
          <w:rFonts w:ascii="Arial" w:hAnsi="Arial" w:cs="Arial"/>
          <w:i/>
        </w:rPr>
        <w:t>“</w:t>
      </w:r>
      <w:r w:rsidRPr="004F681E">
        <w:rPr>
          <w:rFonts w:ascii="Arial" w:hAnsi="Arial" w:cs="Arial"/>
          <w:b/>
          <w:i/>
        </w:rPr>
        <w:t>PRIMERO.</w:t>
      </w:r>
      <w:r w:rsidRPr="004F681E">
        <w:rPr>
          <w:rFonts w:ascii="Arial" w:hAnsi="Arial" w:cs="Arial"/>
          <w:i/>
        </w:rPr>
        <w:t xml:space="preserve"> </w:t>
      </w:r>
      <w:r w:rsidRPr="004F681E">
        <w:rPr>
          <w:rFonts w:ascii="Arial" w:hAnsi="Arial" w:cs="Arial"/>
          <w:i/>
          <w:lang w:val="es-CO"/>
        </w:rPr>
        <w:t xml:space="preserve">Declarar que </w:t>
      </w:r>
      <w:r w:rsidR="001D6CDC" w:rsidRPr="004F681E">
        <w:rPr>
          <w:rFonts w:ascii="Arial" w:hAnsi="Arial" w:cs="Arial"/>
          <w:i/>
          <w:lang w:val="es-CO"/>
        </w:rPr>
        <w:t xml:space="preserve">durante la ejecución del Contrato de Concesión No. 475 de 2007 se presentaron circunstancias generadoras de ruptura de su equilibrio económico por la inoperancia de la pantalla exterior </w:t>
      </w:r>
      <w:r w:rsidR="001D6CDC" w:rsidRPr="004F681E">
        <w:rPr>
          <w:rFonts w:ascii="Arial" w:eastAsia="Calibri" w:hAnsi="Arial" w:cs="Arial"/>
          <w:i/>
          <w:lang w:val="es-CO" w:eastAsia="en-US"/>
        </w:rPr>
        <w:t xml:space="preserve">producida durante el término comprendido </w:t>
      </w:r>
      <w:r w:rsidR="005D4776" w:rsidRPr="004F681E">
        <w:rPr>
          <w:rFonts w:ascii="Arial" w:eastAsia="Calibri" w:hAnsi="Arial" w:cs="Arial"/>
          <w:i/>
          <w:lang w:val="es-CO" w:eastAsia="en-US"/>
        </w:rPr>
        <w:t xml:space="preserve">entre el </w:t>
      </w:r>
      <w:r w:rsidR="001D6CDC" w:rsidRPr="004F681E">
        <w:rPr>
          <w:rFonts w:ascii="Arial" w:eastAsia="Calibri" w:hAnsi="Arial" w:cs="Arial"/>
          <w:i/>
          <w:lang w:val="es-CO" w:eastAsia="en-US"/>
        </w:rPr>
        <w:t xml:space="preserve">28 de septiembre de 2010 </w:t>
      </w:r>
      <w:r w:rsidR="005D4776" w:rsidRPr="004F681E">
        <w:rPr>
          <w:rFonts w:ascii="Arial" w:eastAsia="Calibri" w:hAnsi="Arial" w:cs="Arial"/>
          <w:i/>
          <w:lang w:val="es-CO" w:eastAsia="en-US"/>
        </w:rPr>
        <w:t>y el</w:t>
      </w:r>
      <w:r w:rsidR="001D6CDC" w:rsidRPr="004F681E">
        <w:rPr>
          <w:rFonts w:ascii="Arial" w:eastAsia="Calibri" w:hAnsi="Arial" w:cs="Arial"/>
          <w:i/>
          <w:lang w:val="es-CO" w:eastAsia="en-US"/>
        </w:rPr>
        <w:t xml:space="preserve"> 8 de abril de 2011, mientras se llevaron a cabo las obras de su reubicación y por la inoperancia de las pantallas concesionadas acaecida </w:t>
      </w:r>
      <w:r w:rsidR="001D6CDC" w:rsidRPr="004F681E">
        <w:rPr>
          <w:rFonts w:ascii="Arial" w:hAnsi="Arial" w:cs="Arial"/>
          <w:i/>
          <w:lang w:val="es-ES_tradnl" w:eastAsia="ar-SA"/>
        </w:rPr>
        <w:t xml:space="preserve">entre el 14 de julio </w:t>
      </w:r>
      <w:r w:rsidR="005D4776" w:rsidRPr="004F681E">
        <w:rPr>
          <w:rFonts w:ascii="Arial" w:hAnsi="Arial" w:cs="Arial"/>
          <w:i/>
          <w:lang w:val="es-ES_tradnl" w:eastAsia="ar-SA"/>
        </w:rPr>
        <w:t>y el</w:t>
      </w:r>
      <w:r w:rsidR="001D6CDC" w:rsidRPr="004F681E">
        <w:rPr>
          <w:rFonts w:ascii="Arial" w:hAnsi="Arial" w:cs="Arial"/>
          <w:i/>
          <w:lang w:val="es-ES_tradnl" w:eastAsia="ar-SA"/>
        </w:rPr>
        <w:t xml:space="preserve"> 29 de agosto de 2011,</w:t>
      </w:r>
      <w:r w:rsidR="008D7EB3" w:rsidRPr="004F681E">
        <w:rPr>
          <w:rFonts w:ascii="Arial" w:hAnsi="Arial" w:cs="Arial"/>
          <w:i/>
          <w:lang w:val="es-ES_tradnl" w:eastAsia="ar-SA"/>
        </w:rPr>
        <w:t xml:space="preserve"> plazo</w:t>
      </w:r>
      <w:r w:rsidR="001D6CDC" w:rsidRPr="004F681E">
        <w:rPr>
          <w:rFonts w:ascii="Arial" w:hAnsi="Arial" w:cs="Arial"/>
          <w:i/>
          <w:lang w:val="es-ES_tradnl" w:eastAsia="ar-SA"/>
        </w:rPr>
        <w:t xml:space="preserve"> dentro del cual se llevó a cabo el mundial de fútbol Sub-20</w:t>
      </w:r>
      <w:r w:rsidR="001D6CDC" w:rsidRPr="004F681E">
        <w:rPr>
          <w:rFonts w:ascii="Arial" w:hAnsi="Arial" w:cs="Arial"/>
          <w:lang w:val="es-ES_tradnl" w:eastAsia="ar-SA"/>
        </w:rPr>
        <w:t xml:space="preserve">. </w:t>
      </w:r>
    </w:p>
    <w:p w:rsidR="00390707" w:rsidRPr="004F681E" w:rsidRDefault="00390707" w:rsidP="00AA3EA3">
      <w:pPr>
        <w:widowControl w:val="0"/>
        <w:autoSpaceDE w:val="0"/>
        <w:autoSpaceDN w:val="0"/>
        <w:adjustRightInd w:val="0"/>
        <w:spacing w:line="276" w:lineRule="auto"/>
        <w:ind w:right="567"/>
        <w:jc w:val="both"/>
        <w:rPr>
          <w:rFonts w:ascii="Arial" w:hAnsi="Arial" w:cs="Arial"/>
          <w:i/>
        </w:rPr>
      </w:pPr>
    </w:p>
    <w:p w:rsidR="00616FE7" w:rsidRPr="004F681E" w:rsidRDefault="00390707" w:rsidP="00616FE7">
      <w:pPr>
        <w:spacing w:line="276" w:lineRule="auto"/>
        <w:ind w:left="567" w:right="567"/>
        <w:jc w:val="both"/>
        <w:rPr>
          <w:rFonts w:ascii="Arial" w:hAnsi="Arial" w:cs="Arial"/>
          <w:lang w:val="es-CO"/>
        </w:rPr>
      </w:pPr>
      <w:r w:rsidRPr="004F681E">
        <w:rPr>
          <w:rFonts w:ascii="Arial" w:hAnsi="Arial" w:cs="Arial"/>
          <w:i/>
        </w:rPr>
        <w:t>“</w:t>
      </w:r>
      <w:r w:rsidRPr="004F681E">
        <w:rPr>
          <w:rFonts w:ascii="Arial" w:hAnsi="Arial" w:cs="Arial"/>
          <w:b/>
          <w:i/>
        </w:rPr>
        <w:t xml:space="preserve">SEGUNDO. – </w:t>
      </w:r>
      <w:r w:rsidR="00D05F0D" w:rsidRPr="004F681E">
        <w:rPr>
          <w:rFonts w:ascii="Arial" w:hAnsi="Arial" w:cs="Arial"/>
          <w:i/>
        </w:rPr>
        <w:t>Como consecuencia de la</w:t>
      </w:r>
      <w:r w:rsidRPr="004F681E">
        <w:rPr>
          <w:rFonts w:ascii="Arial" w:hAnsi="Arial" w:cs="Arial"/>
          <w:i/>
        </w:rPr>
        <w:t xml:space="preserve"> anterior</w:t>
      </w:r>
      <w:r w:rsidR="00D05F0D" w:rsidRPr="004F681E">
        <w:rPr>
          <w:rFonts w:ascii="Arial" w:hAnsi="Arial" w:cs="Arial"/>
          <w:i/>
        </w:rPr>
        <w:t xml:space="preserve"> declaratoria</w:t>
      </w:r>
      <w:r w:rsidR="00616FE7" w:rsidRPr="004F681E">
        <w:rPr>
          <w:rFonts w:ascii="Arial" w:hAnsi="Arial" w:cs="Arial"/>
          <w:i/>
        </w:rPr>
        <w:t xml:space="preserve">, se condena en abstracto al </w:t>
      </w:r>
      <w:r w:rsidR="00616FE7" w:rsidRPr="004F681E">
        <w:rPr>
          <w:rFonts w:ascii="Arial" w:hAnsi="Arial" w:cs="Arial"/>
          <w:i/>
          <w:lang w:val="es-ES_tradnl" w:eastAsia="ar-SA"/>
        </w:rPr>
        <w:t xml:space="preserve">Instituto Distrital para la Recreación y el Deporte a pagar a </w:t>
      </w:r>
      <w:r w:rsidR="00616FE7" w:rsidRPr="004F681E">
        <w:rPr>
          <w:rFonts w:ascii="Arial" w:eastAsia="Calibri" w:hAnsi="Arial" w:cs="Arial"/>
          <w:i/>
          <w:lang w:val="es-CO" w:eastAsia="en-US"/>
        </w:rPr>
        <w:t xml:space="preserve">la unión temporal Publiestadios la suma correspondiente al </w:t>
      </w:r>
      <w:r w:rsidR="00616FE7" w:rsidRPr="004F681E">
        <w:rPr>
          <w:rFonts w:ascii="Arial" w:hAnsi="Arial" w:cs="Arial"/>
          <w:i/>
          <w:lang w:val="es-ES_tradnl" w:eastAsia="ar-SA"/>
        </w:rPr>
        <w:t xml:space="preserve">valor de la utilidad dejada </w:t>
      </w:r>
      <w:r w:rsidR="007F0212" w:rsidRPr="004F681E">
        <w:rPr>
          <w:rFonts w:ascii="Arial" w:hAnsi="Arial" w:cs="Arial"/>
          <w:i/>
          <w:lang w:val="es-ES_tradnl" w:eastAsia="ar-SA"/>
        </w:rPr>
        <w:t xml:space="preserve">de percibir </w:t>
      </w:r>
      <w:r w:rsidR="00616FE7" w:rsidRPr="004F681E">
        <w:rPr>
          <w:rFonts w:ascii="Arial" w:hAnsi="Arial" w:cs="Arial"/>
          <w:i/>
          <w:lang w:val="es-ES_tradnl" w:eastAsia="ar-SA"/>
        </w:rPr>
        <w:t xml:space="preserve">por el concesionario durante los períodos anteriormente delimitados, condena que se liquidará en </w:t>
      </w:r>
      <w:r w:rsidR="00616FE7" w:rsidRPr="004F681E">
        <w:rPr>
          <w:rFonts w:ascii="Arial" w:hAnsi="Arial" w:cs="Arial"/>
          <w:i/>
          <w:lang w:val="es-CO"/>
        </w:rPr>
        <w:t>la forma señalada en la parte motiva</w:t>
      </w:r>
      <w:r w:rsidR="00616FE7" w:rsidRPr="004F681E">
        <w:rPr>
          <w:rFonts w:ascii="Arial" w:hAnsi="Arial" w:cs="Arial"/>
          <w:lang w:val="es-CO"/>
        </w:rPr>
        <w:t>.</w:t>
      </w:r>
    </w:p>
    <w:p w:rsidR="00390707" w:rsidRPr="004F681E" w:rsidRDefault="00390707" w:rsidP="00390707">
      <w:pPr>
        <w:widowControl w:val="0"/>
        <w:autoSpaceDE w:val="0"/>
        <w:autoSpaceDN w:val="0"/>
        <w:adjustRightInd w:val="0"/>
        <w:spacing w:line="276" w:lineRule="auto"/>
        <w:ind w:right="567"/>
        <w:jc w:val="both"/>
        <w:rPr>
          <w:rFonts w:ascii="Arial" w:hAnsi="Arial" w:cs="Arial"/>
          <w:b/>
          <w:i/>
        </w:rPr>
      </w:pPr>
    </w:p>
    <w:p w:rsidR="00390707" w:rsidRPr="004F681E" w:rsidRDefault="00390707" w:rsidP="00C81DDC">
      <w:pPr>
        <w:widowControl w:val="0"/>
        <w:autoSpaceDE w:val="0"/>
        <w:autoSpaceDN w:val="0"/>
        <w:adjustRightInd w:val="0"/>
        <w:spacing w:line="276" w:lineRule="auto"/>
        <w:ind w:left="567" w:right="567"/>
        <w:jc w:val="both"/>
        <w:rPr>
          <w:rFonts w:ascii="Arial" w:hAnsi="Arial" w:cs="Arial"/>
          <w:i/>
        </w:rPr>
      </w:pPr>
      <w:r w:rsidRPr="004F681E">
        <w:rPr>
          <w:rFonts w:ascii="Arial" w:hAnsi="Arial" w:cs="Arial"/>
          <w:i/>
        </w:rPr>
        <w:t>“</w:t>
      </w:r>
      <w:r w:rsidR="00E738F2" w:rsidRPr="004F681E">
        <w:rPr>
          <w:rFonts w:ascii="Arial" w:hAnsi="Arial" w:cs="Arial"/>
          <w:b/>
          <w:i/>
        </w:rPr>
        <w:t>TERCERO</w:t>
      </w:r>
      <w:r w:rsidRPr="004F681E">
        <w:rPr>
          <w:rFonts w:ascii="Arial" w:hAnsi="Arial" w:cs="Arial"/>
          <w:b/>
          <w:i/>
        </w:rPr>
        <w:t xml:space="preserve">. - </w:t>
      </w:r>
      <w:r w:rsidRPr="004F681E">
        <w:rPr>
          <w:rFonts w:ascii="Arial" w:hAnsi="Arial" w:cs="Arial"/>
          <w:i/>
        </w:rPr>
        <w:t xml:space="preserve">Negar las demás pretensiones de la demanda. </w:t>
      </w:r>
    </w:p>
    <w:p w:rsidR="00390707" w:rsidRPr="004F681E" w:rsidRDefault="00390707" w:rsidP="00C81DDC">
      <w:pPr>
        <w:widowControl w:val="0"/>
        <w:autoSpaceDE w:val="0"/>
        <w:autoSpaceDN w:val="0"/>
        <w:adjustRightInd w:val="0"/>
        <w:spacing w:line="276" w:lineRule="auto"/>
        <w:ind w:left="567" w:right="567"/>
        <w:jc w:val="both"/>
        <w:rPr>
          <w:rFonts w:ascii="Arial" w:hAnsi="Arial" w:cs="Arial"/>
          <w:b/>
          <w:i/>
        </w:rPr>
      </w:pPr>
    </w:p>
    <w:p w:rsidR="00390707" w:rsidRPr="004F681E" w:rsidRDefault="00390707" w:rsidP="00C81DDC">
      <w:pPr>
        <w:widowControl w:val="0"/>
        <w:autoSpaceDE w:val="0"/>
        <w:autoSpaceDN w:val="0"/>
        <w:adjustRightInd w:val="0"/>
        <w:spacing w:line="276" w:lineRule="auto"/>
        <w:ind w:left="567" w:right="567"/>
        <w:jc w:val="both"/>
        <w:rPr>
          <w:rFonts w:ascii="Arial" w:hAnsi="Arial" w:cs="Arial"/>
          <w:i/>
        </w:rPr>
      </w:pPr>
      <w:r w:rsidRPr="004F681E">
        <w:rPr>
          <w:rFonts w:ascii="Arial" w:hAnsi="Arial" w:cs="Arial"/>
          <w:i/>
        </w:rPr>
        <w:t>“</w:t>
      </w:r>
      <w:r w:rsidR="00E738F2" w:rsidRPr="004F681E">
        <w:rPr>
          <w:rFonts w:ascii="Arial" w:hAnsi="Arial" w:cs="Arial"/>
          <w:b/>
          <w:i/>
        </w:rPr>
        <w:t>CUARTO</w:t>
      </w:r>
      <w:r w:rsidRPr="004F681E">
        <w:rPr>
          <w:rFonts w:ascii="Arial" w:hAnsi="Arial" w:cs="Arial"/>
          <w:b/>
          <w:i/>
        </w:rPr>
        <w:t xml:space="preserve">. - </w:t>
      </w:r>
      <w:r w:rsidRPr="004F681E">
        <w:rPr>
          <w:rFonts w:ascii="Arial" w:hAnsi="Arial" w:cs="Arial"/>
          <w:i/>
        </w:rPr>
        <w:t>Sin condena en costas.</w:t>
      </w:r>
    </w:p>
    <w:p w:rsidR="00390707" w:rsidRPr="004F681E" w:rsidRDefault="00390707" w:rsidP="00C81DDC">
      <w:pPr>
        <w:widowControl w:val="0"/>
        <w:autoSpaceDE w:val="0"/>
        <w:autoSpaceDN w:val="0"/>
        <w:adjustRightInd w:val="0"/>
        <w:spacing w:line="276" w:lineRule="auto"/>
        <w:ind w:left="567" w:right="567"/>
        <w:jc w:val="both"/>
        <w:rPr>
          <w:rFonts w:ascii="Arial" w:hAnsi="Arial" w:cs="Arial"/>
          <w:i/>
        </w:rPr>
      </w:pPr>
    </w:p>
    <w:p w:rsidR="004253D2" w:rsidRPr="004F681E" w:rsidRDefault="00390707" w:rsidP="00C81DDC">
      <w:pPr>
        <w:widowControl w:val="0"/>
        <w:autoSpaceDE w:val="0"/>
        <w:autoSpaceDN w:val="0"/>
        <w:adjustRightInd w:val="0"/>
        <w:ind w:left="567" w:right="1152"/>
        <w:jc w:val="both"/>
        <w:rPr>
          <w:rFonts w:ascii="Arial" w:hAnsi="Arial" w:cs="Arial"/>
          <w:i/>
        </w:rPr>
      </w:pPr>
      <w:r w:rsidRPr="004F681E">
        <w:rPr>
          <w:rFonts w:ascii="Arial" w:hAnsi="Arial" w:cs="Arial"/>
          <w:i/>
        </w:rPr>
        <w:t>“</w:t>
      </w:r>
      <w:r w:rsidR="00E738F2" w:rsidRPr="004F681E">
        <w:rPr>
          <w:rFonts w:ascii="Arial" w:hAnsi="Arial" w:cs="Arial"/>
          <w:b/>
          <w:i/>
        </w:rPr>
        <w:t>QUINTO</w:t>
      </w:r>
      <w:r w:rsidRPr="004F681E">
        <w:rPr>
          <w:rFonts w:ascii="Arial" w:hAnsi="Arial" w:cs="Arial"/>
          <w:b/>
          <w:i/>
        </w:rPr>
        <w:t xml:space="preserve">.- </w:t>
      </w:r>
      <w:r w:rsidRPr="004F681E">
        <w:rPr>
          <w:rFonts w:ascii="Arial" w:hAnsi="Arial" w:cs="Arial"/>
          <w:i/>
        </w:rPr>
        <w:t>La condena impuesta se sujetará a lo dispuesto en el artículo 177 y siguientes del Código Contencioso Administrativo</w:t>
      </w:r>
      <w:r w:rsidR="004253D2" w:rsidRPr="004F681E">
        <w:rPr>
          <w:rFonts w:ascii="Arial" w:hAnsi="Arial" w:cs="Arial"/>
          <w:i/>
        </w:rPr>
        <w:t>.</w:t>
      </w:r>
    </w:p>
    <w:p w:rsidR="004253D2" w:rsidRPr="004F681E" w:rsidRDefault="004253D2" w:rsidP="00C81DDC">
      <w:pPr>
        <w:widowControl w:val="0"/>
        <w:autoSpaceDE w:val="0"/>
        <w:autoSpaceDN w:val="0"/>
        <w:adjustRightInd w:val="0"/>
        <w:ind w:left="567" w:right="1152"/>
        <w:jc w:val="both"/>
        <w:rPr>
          <w:rFonts w:ascii="Arial" w:hAnsi="Arial" w:cs="Arial"/>
          <w:i/>
        </w:rPr>
      </w:pPr>
    </w:p>
    <w:p w:rsidR="00390707" w:rsidRPr="004F681E" w:rsidRDefault="00E738F2" w:rsidP="00C81DDC">
      <w:pPr>
        <w:widowControl w:val="0"/>
        <w:autoSpaceDE w:val="0"/>
        <w:autoSpaceDN w:val="0"/>
        <w:adjustRightInd w:val="0"/>
        <w:ind w:left="567" w:right="1152"/>
        <w:jc w:val="both"/>
        <w:rPr>
          <w:rFonts w:ascii="Arial" w:hAnsi="Arial" w:cs="Arial"/>
          <w:i/>
        </w:rPr>
      </w:pPr>
      <w:r w:rsidRPr="004F681E">
        <w:rPr>
          <w:rFonts w:ascii="Arial" w:hAnsi="Arial" w:cs="Arial"/>
          <w:b/>
          <w:i/>
        </w:rPr>
        <w:t>“SEXTO</w:t>
      </w:r>
      <w:r w:rsidR="004253D2" w:rsidRPr="004F681E">
        <w:rPr>
          <w:rFonts w:ascii="Arial" w:hAnsi="Arial" w:cs="Arial"/>
          <w:b/>
          <w:i/>
        </w:rPr>
        <w:t>.-</w:t>
      </w:r>
      <w:r w:rsidR="004253D2" w:rsidRPr="004F681E">
        <w:rPr>
          <w:rFonts w:ascii="Arial" w:hAnsi="Arial" w:cs="Arial"/>
          <w:i/>
        </w:rPr>
        <w:t xml:space="preserve"> Por Secretaría, expídanse las copias del presente fallo y las constancias que ordena la ley</w:t>
      </w:r>
      <w:r w:rsidR="004253D2" w:rsidRPr="004F681E">
        <w:rPr>
          <w:rFonts w:ascii="Arial" w:hAnsi="Arial" w:cs="Arial"/>
          <w:i/>
          <w:lang w:val="es-ES_tradnl" w:eastAsia="es-CO"/>
        </w:rPr>
        <w:t>”</w:t>
      </w:r>
      <w:r w:rsidR="004253D2" w:rsidRPr="004F681E">
        <w:rPr>
          <w:rFonts w:ascii="Arial" w:hAnsi="Arial" w:cs="Arial"/>
          <w:i/>
        </w:rPr>
        <w:t>.</w:t>
      </w:r>
    </w:p>
    <w:p w:rsidR="003C41F3" w:rsidRPr="004F681E" w:rsidRDefault="003C41F3" w:rsidP="00390707">
      <w:pPr>
        <w:widowControl w:val="0"/>
        <w:autoSpaceDE w:val="0"/>
        <w:autoSpaceDN w:val="0"/>
        <w:adjustRightInd w:val="0"/>
        <w:spacing w:line="360" w:lineRule="auto"/>
        <w:jc w:val="both"/>
        <w:rPr>
          <w:rFonts w:ascii="Arial" w:hAnsi="Arial" w:cs="Arial"/>
          <w:b/>
          <w:i/>
        </w:rPr>
      </w:pPr>
    </w:p>
    <w:p w:rsidR="00390707" w:rsidRPr="004F681E" w:rsidRDefault="00390707" w:rsidP="00390707">
      <w:pPr>
        <w:widowControl w:val="0"/>
        <w:autoSpaceDE w:val="0"/>
        <w:autoSpaceDN w:val="0"/>
        <w:adjustRightInd w:val="0"/>
        <w:spacing w:line="276" w:lineRule="auto"/>
        <w:ind w:right="567"/>
        <w:jc w:val="both"/>
        <w:rPr>
          <w:rFonts w:ascii="Arial" w:hAnsi="Arial" w:cs="Arial"/>
        </w:rPr>
      </w:pPr>
      <w:r w:rsidRPr="004F681E">
        <w:rPr>
          <w:rFonts w:ascii="Arial" w:hAnsi="Arial" w:cs="Arial"/>
          <w:b/>
        </w:rPr>
        <w:t>2.-</w:t>
      </w:r>
      <w:r w:rsidRPr="004F681E">
        <w:rPr>
          <w:rFonts w:ascii="Arial" w:hAnsi="Arial" w:cs="Arial"/>
        </w:rPr>
        <w:t xml:space="preserve">Sin condena en costas. </w:t>
      </w:r>
    </w:p>
    <w:p w:rsidR="00390707" w:rsidRPr="004F681E" w:rsidRDefault="00390707" w:rsidP="00390707">
      <w:pPr>
        <w:widowControl w:val="0"/>
        <w:autoSpaceDE w:val="0"/>
        <w:autoSpaceDN w:val="0"/>
        <w:adjustRightInd w:val="0"/>
        <w:spacing w:line="360" w:lineRule="auto"/>
        <w:jc w:val="both"/>
        <w:rPr>
          <w:rFonts w:ascii="Arial" w:hAnsi="Arial" w:cs="Arial"/>
        </w:rPr>
      </w:pPr>
    </w:p>
    <w:p w:rsidR="00886AF3" w:rsidRPr="004F681E" w:rsidRDefault="00886AF3" w:rsidP="00390707">
      <w:pPr>
        <w:widowControl w:val="0"/>
        <w:autoSpaceDE w:val="0"/>
        <w:autoSpaceDN w:val="0"/>
        <w:adjustRightInd w:val="0"/>
        <w:spacing w:line="360" w:lineRule="auto"/>
        <w:jc w:val="both"/>
        <w:rPr>
          <w:rFonts w:ascii="Arial" w:hAnsi="Arial" w:cs="Arial"/>
        </w:rPr>
      </w:pPr>
    </w:p>
    <w:p w:rsidR="00390707" w:rsidRPr="004F681E" w:rsidRDefault="00390707" w:rsidP="000A178C">
      <w:pPr>
        <w:widowControl w:val="0"/>
        <w:autoSpaceDE w:val="0"/>
        <w:autoSpaceDN w:val="0"/>
        <w:adjustRightInd w:val="0"/>
        <w:spacing w:line="360" w:lineRule="auto"/>
        <w:jc w:val="both"/>
        <w:rPr>
          <w:rFonts w:ascii="Arial" w:hAnsi="Arial" w:cs="Arial"/>
        </w:rPr>
      </w:pPr>
      <w:r w:rsidRPr="004F681E">
        <w:rPr>
          <w:rFonts w:ascii="Arial" w:hAnsi="Arial" w:cs="Arial"/>
          <w:b/>
        </w:rPr>
        <w:t xml:space="preserve">3.- </w:t>
      </w:r>
      <w:r w:rsidRPr="004F681E">
        <w:rPr>
          <w:rFonts w:ascii="Arial" w:hAnsi="Arial" w:cs="Arial"/>
        </w:rPr>
        <w:t>En firme esta providencia, devuélvase el expediente al Tribunal de origen.</w:t>
      </w:r>
    </w:p>
    <w:p w:rsidR="008D7EB3" w:rsidRPr="004F681E" w:rsidRDefault="008D7EB3" w:rsidP="000A178C">
      <w:pPr>
        <w:widowControl w:val="0"/>
        <w:autoSpaceDE w:val="0"/>
        <w:autoSpaceDN w:val="0"/>
        <w:adjustRightInd w:val="0"/>
        <w:spacing w:line="360" w:lineRule="auto"/>
        <w:jc w:val="both"/>
        <w:rPr>
          <w:rFonts w:ascii="Arial" w:hAnsi="Arial" w:cs="Arial"/>
        </w:rPr>
      </w:pPr>
    </w:p>
    <w:p w:rsidR="00390707" w:rsidRPr="004F681E" w:rsidRDefault="00390707" w:rsidP="00390707">
      <w:pPr>
        <w:widowControl w:val="0"/>
        <w:autoSpaceDE w:val="0"/>
        <w:autoSpaceDN w:val="0"/>
        <w:adjustRightInd w:val="0"/>
        <w:spacing w:line="360" w:lineRule="auto"/>
        <w:jc w:val="both"/>
        <w:rPr>
          <w:rFonts w:ascii="Arial" w:hAnsi="Arial" w:cs="Arial"/>
        </w:rPr>
      </w:pPr>
    </w:p>
    <w:p w:rsidR="00390707" w:rsidRPr="004F681E" w:rsidRDefault="00390707" w:rsidP="003446D8">
      <w:pPr>
        <w:jc w:val="center"/>
        <w:rPr>
          <w:rFonts w:ascii="Arial" w:hAnsi="Arial" w:cs="Arial"/>
          <w:b/>
          <w:bCs/>
          <w:noProof/>
        </w:rPr>
      </w:pPr>
      <w:r w:rsidRPr="004F681E">
        <w:rPr>
          <w:rFonts w:ascii="Arial" w:hAnsi="Arial" w:cs="Arial"/>
          <w:b/>
          <w:bCs/>
          <w:noProof/>
        </w:rPr>
        <w:t>CÓPIESE, NOTIFÍQUESE, PUBLÍQUESE Y CÚMPLASE</w:t>
      </w:r>
    </w:p>
    <w:p w:rsidR="00390707" w:rsidRPr="004F681E" w:rsidRDefault="00390707" w:rsidP="003446D8">
      <w:pPr>
        <w:widowControl w:val="0"/>
        <w:autoSpaceDE w:val="0"/>
        <w:autoSpaceDN w:val="0"/>
        <w:adjustRightInd w:val="0"/>
        <w:jc w:val="center"/>
        <w:rPr>
          <w:rFonts w:ascii="Arial" w:hAnsi="Arial" w:cs="Arial"/>
          <w:b/>
        </w:rPr>
      </w:pPr>
    </w:p>
    <w:p w:rsidR="00390707" w:rsidRPr="004F681E" w:rsidRDefault="00390707" w:rsidP="003446D8">
      <w:pPr>
        <w:widowControl w:val="0"/>
        <w:autoSpaceDE w:val="0"/>
        <w:autoSpaceDN w:val="0"/>
        <w:adjustRightInd w:val="0"/>
        <w:jc w:val="center"/>
        <w:rPr>
          <w:rFonts w:ascii="Arial" w:hAnsi="Arial" w:cs="Arial"/>
          <w:b/>
        </w:rPr>
      </w:pPr>
    </w:p>
    <w:p w:rsidR="004F681E" w:rsidRPr="004F681E" w:rsidRDefault="004F681E" w:rsidP="003446D8">
      <w:pPr>
        <w:widowControl w:val="0"/>
        <w:autoSpaceDE w:val="0"/>
        <w:autoSpaceDN w:val="0"/>
        <w:adjustRightInd w:val="0"/>
        <w:jc w:val="center"/>
        <w:rPr>
          <w:rFonts w:ascii="Arial" w:hAnsi="Arial" w:cs="Arial"/>
          <w:b/>
        </w:rPr>
      </w:pPr>
    </w:p>
    <w:p w:rsidR="004F681E" w:rsidRPr="004F681E" w:rsidRDefault="00390707" w:rsidP="003446D8">
      <w:pPr>
        <w:widowControl w:val="0"/>
        <w:autoSpaceDE w:val="0"/>
        <w:autoSpaceDN w:val="0"/>
        <w:adjustRightInd w:val="0"/>
        <w:jc w:val="center"/>
        <w:rPr>
          <w:rFonts w:ascii="Arial" w:hAnsi="Arial" w:cs="Arial"/>
          <w:b/>
        </w:rPr>
      </w:pPr>
      <w:r w:rsidRPr="004F681E">
        <w:rPr>
          <w:rFonts w:ascii="Arial" w:hAnsi="Arial" w:cs="Arial"/>
          <w:b/>
        </w:rPr>
        <w:t>HERNÁN ANDRADE RINCÓN</w:t>
      </w:r>
    </w:p>
    <w:p w:rsidR="004F681E" w:rsidRPr="004F681E" w:rsidRDefault="004F681E" w:rsidP="003446D8">
      <w:pPr>
        <w:widowControl w:val="0"/>
        <w:autoSpaceDE w:val="0"/>
        <w:autoSpaceDN w:val="0"/>
        <w:adjustRightInd w:val="0"/>
        <w:jc w:val="center"/>
        <w:rPr>
          <w:rFonts w:ascii="Arial" w:hAnsi="Arial" w:cs="Arial"/>
          <w:b/>
        </w:rPr>
      </w:pPr>
    </w:p>
    <w:p w:rsidR="004F681E" w:rsidRPr="004F681E" w:rsidRDefault="004F681E" w:rsidP="003446D8">
      <w:pPr>
        <w:widowControl w:val="0"/>
        <w:autoSpaceDE w:val="0"/>
        <w:autoSpaceDN w:val="0"/>
        <w:adjustRightInd w:val="0"/>
        <w:jc w:val="center"/>
        <w:rPr>
          <w:rFonts w:ascii="Arial" w:hAnsi="Arial" w:cs="Arial"/>
          <w:b/>
        </w:rPr>
      </w:pPr>
    </w:p>
    <w:p w:rsidR="004F681E" w:rsidRPr="004F681E" w:rsidRDefault="004F681E" w:rsidP="003446D8">
      <w:pPr>
        <w:widowControl w:val="0"/>
        <w:autoSpaceDE w:val="0"/>
        <w:autoSpaceDN w:val="0"/>
        <w:adjustRightInd w:val="0"/>
        <w:jc w:val="center"/>
        <w:rPr>
          <w:rFonts w:ascii="Arial" w:hAnsi="Arial" w:cs="Arial"/>
          <w:b/>
        </w:rPr>
      </w:pPr>
    </w:p>
    <w:p w:rsidR="00390707" w:rsidRPr="004F681E" w:rsidRDefault="00390707" w:rsidP="003446D8">
      <w:pPr>
        <w:widowControl w:val="0"/>
        <w:autoSpaceDE w:val="0"/>
        <w:autoSpaceDN w:val="0"/>
        <w:adjustRightInd w:val="0"/>
        <w:jc w:val="center"/>
        <w:rPr>
          <w:rFonts w:ascii="Arial" w:hAnsi="Arial" w:cs="Arial"/>
          <w:b/>
        </w:rPr>
      </w:pPr>
      <w:r w:rsidRPr="004F681E">
        <w:rPr>
          <w:rFonts w:ascii="Arial" w:hAnsi="Arial" w:cs="Arial"/>
          <w:b/>
        </w:rPr>
        <w:t>MARTA NUBIA VELÁSQUEZ RICO</w:t>
      </w:r>
    </w:p>
    <w:p w:rsidR="00390707" w:rsidRPr="004F681E" w:rsidRDefault="00390707" w:rsidP="003446D8">
      <w:pPr>
        <w:widowControl w:val="0"/>
        <w:autoSpaceDE w:val="0"/>
        <w:autoSpaceDN w:val="0"/>
        <w:adjustRightInd w:val="0"/>
        <w:jc w:val="center"/>
        <w:rPr>
          <w:rFonts w:ascii="Arial" w:hAnsi="Arial" w:cs="Arial"/>
          <w:b/>
        </w:rPr>
      </w:pPr>
    </w:p>
    <w:p w:rsidR="00390707" w:rsidRPr="004F681E" w:rsidRDefault="00390707" w:rsidP="003446D8">
      <w:pPr>
        <w:widowControl w:val="0"/>
        <w:autoSpaceDE w:val="0"/>
        <w:autoSpaceDN w:val="0"/>
        <w:adjustRightInd w:val="0"/>
        <w:jc w:val="center"/>
        <w:rPr>
          <w:rFonts w:ascii="Arial" w:hAnsi="Arial" w:cs="Arial"/>
          <w:b/>
        </w:rPr>
      </w:pPr>
    </w:p>
    <w:p w:rsidR="004F681E" w:rsidRPr="004F681E" w:rsidRDefault="004F681E" w:rsidP="003446D8">
      <w:pPr>
        <w:widowControl w:val="0"/>
        <w:autoSpaceDE w:val="0"/>
        <w:autoSpaceDN w:val="0"/>
        <w:adjustRightInd w:val="0"/>
        <w:jc w:val="center"/>
        <w:rPr>
          <w:rFonts w:ascii="Arial" w:hAnsi="Arial" w:cs="Arial"/>
          <w:b/>
        </w:rPr>
      </w:pPr>
    </w:p>
    <w:p w:rsidR="00305F35" w:rsidRPr="004F681E" w:rsidRDefault="00390707" w:rsidP="003446D8">
      <w:pPr>
        <w:widowControl w:val="0"/>
        <w:autoSpaceDE w:val="0"/>
        <w:autoSpaceDN w:val="0"/>
        <w:adjustRightInd w:val="0"/>
        <w:jc w:val="center"/>
        <w:rPr>
          <w:rFonts w:ascii="Arial" w:hAnsi="Arial" w:cs="Arial"/>
          <w:lang w:val="es-CO"/>
        </w:rPr>
      </w:pPr>
      <w:r w:rsidRPr="004F681E">
        <w:rPr>
          <w:rFonts w:ascii="Arial" w:hAnsi="Arial" w:cs="Arial"/>
          <w:b/>
        </w:rPr>
        <w:t>CARLOS ALBERTO ZAMBRANO BARRERA</w:t>
      </w:r>
    </w:p>
    <w:p w:rsidR="004F681E" w:rsidRPr="004F681E" w:rsidRDefault="004F681E" w:rsidP="003446D8">
      <w:pPr>
        <w:widowControl w:val="0"/>
        <w:autoSpaceDE w:val="0"/>
        <w:autoSpaceDN w:val="0"/>
        <w:adjustRightInd w:val="0"/>
        <w:jc w:val="center"/>
        <w:rPr>
          <w:rFonts w:ascii="Arial" w:hAnsi="Arial" w:cs="Arial"/>
          <w:lang w:val="es-CO"/>
        </w:rPr>
      </w:pPr>
    </w:p>
    <w:sectPr w:rsidR="004F681E" w:rsidRPr="004F681E" w:rsidSect="00EF56D6">
      <w:footerReference w:type="first"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52" w:rsidRDefault="00270652">
      <w:r>
        <w:separator/>
      </w:r>
    </w:p>
  </w:endnote>
  <w:endnote w:type="continuationSeparator" w:id="0">
    <w:p w:rsidR="00270652" w:rsidRDefault="0027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746" w:rsidRDefault="00710746">
    <w:pPr>
      <w:pStyle w:val="Piedepgina"/>
      <w:jc w:val="right"/>
      <w:rPr>
        <w:rFonts w:ascii="Arial" w:hAnsi="Arial" w:cs="Arial"/>
        <w:sz w:val="22"/>
        <w:szCs w:val="22"/>
      </w:rPr>
    </w:pPr>
  </w:p>
  <w:p w:rsidR="00710746" w:rsidRPr="00A42B1F" w:rsidRDefault="00710746">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EF56D6">
      <w:rPr>
        <w:rFonts w:ascii="Arial" w:hAnsi="Arial" w:cs="Arial"/>
        <w:noProof/>
        <w:sz w:val="22"/>
        <w:szCs w:val="22"/>
      </w:rPr>
      <w:t>1</w:t>
    </w:r>
    <w:r w:rsidRPr="00A42B1F">
      <w:rPr>
        <w:rFonts w:ascii="Arial" w:hAnsi="Arial" w:cs="Arial"/>
        <w:sz w:val="22"/>
        <w:szCs w:val="22"/>
      </w:rPr>
      <w:fldChar w:fldCharType="end"/>
    </w:r>
  </w:p>
  <w:p w:rsidR="00710746" w:rsidRDefault="00710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52" w:rsidRDefault="00270652">
      <w:r>
        <w:separator/>
      </w:r>
    </w:p>
  </w:footnote>
  <w:footnote w:type="continuationSeparator" w:id="0">
    <w:p w:rsidR="00270652" w:rsidRDefault="00270652">
      <w:r>
        <w:continuationSeparator/>
      </w:r>
    </w:p>
  </w:footnote>
  <w:footnote w:id="1">
    <w:p w:rsidR="00710746" w:rsidRPr="004F681E" w:rsidRDefault="00710746" w:rsidP="00CB36AD">
      <w:pPr>
        <w:jc w:val="both"/>
        <w:rPr>
          <w:rFonts w:ascii="Arial" w:hAnsi="Arial" w:cs="Arial"/>
          <w:i/>
          <w:iCs/>
          <w:sz w:val="20"/>
          <w:szCs w:val="20"/>
        </w:rPr>
      </w:pPr>
      <w:r w:rsidRPr="004F681E">
        <w:rPr>
          <w:rStyle w:val="Refdenotaalpie"/>
          <w:rFonts w:ascii="Arial" w:hAnsi="Arial" w:cs="Arial"/>
          <w:sz w:val="20"/>
          <w:szCs w:val="20"/>
        </w:rPr>
        <w:footnoteRef/>
      </w:r>
      <w:r w:rsidRPr="004F681E">
        <w:rPr>
          <w:rFonts w:ascii="Arial" w:hAnsi="Arial" w:cs="Arial"/>
          <w:sz w:val="20"/>
          <w:szCs w:val="20"/>
        </w:rPr>
        <w:t xml:space="preserve"> </w:t>
      </w:r>
      <w:r w:rsidRPr="004F681E">
        <w:rPr>
          <w:rFonts w:ascii="Arial" w:hAnsi="Arial" w:cs="Arial"/>
          <w:sz w:val="20"/>
          <w:szCs w:val="20"/>
          <w:lang w:val="es-ES_tradnl"/>
        </w:rPr>
        <w:t xml:space="preserve">Artículo 75, Ley 80 de 1993. </w:t>
      </w:r>
      <w:r w:rsidRPr="004F681E">
        <w:rPr>
          <w:rFonts w:ascii="Arial" w:hAnsi="Arial" w:cs="Arial"/>
          <w:i/>
          <w:iCs/>
          <w:sz w:val="20"/>
          <w:szCs w:val="20"/>
          <w:lang w:val="es-ES_tradnl"/>
        </w:rPr>
        <w:t>“</w:t>
      </w:r>
      <w:r w:rsidRPr="004F681E">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p w:rsidR="00710746" w:rsidRPr="004F681E" w:rsidRDefault="00710746" w:rsidP="00CB36AD">
      <w:pPr>
        <w:jc w:val="both"/>
        <w:rPr>
          <w:rFonts w:ascii="Arial" w:hAnsi="Arial" w:cs="Arial"/>
          <w:i/>
          <w:iCs/>
          <w:sz w:val="20"/>
          <w:szCs w:val="20"/>
        </w:rPr>
      </w:pPr>
    </w:p>
  </w:footnote>
  <w:footnote w:id="2">
    <w:p w:rsidR="00710746" w:rsidRPr="004F681E" w:rsidRDefault="00710746" w:rsidP="00347736">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Creada mediante Acuerdo 4 de 1979 como un establecimiento público descentralizado del orden distrital.</w:t>
      </w:r>
    </w:p>
    <w:p w:rsidR="00710746" w:rsidRPr="004F681E" w:rsidRDefault="00710746" w:rsidP="00347736">
      <w:pPr>
        <w:pStyle w:val="Textonotapie"/>
        <w:jc w:val="both"/>
        <w:rPr>
          <w:rFonts w:ascii="Arial" w:hAnsi="Arial" w:cs="Arial"/>
          <w:lang w:val="es-CO"/>
        </w:rPr>
      </w:pPr>
    </w:p>
  </w:footnote>
  <w:footnote w:id="3">
    <w:p w:rsidR="00710746" w:rsidRPr="004F681E" w:rsidRDefault="00710746" w:rsidP="00347736">
      <w:pPr>
        <w:jc w:val="both"/>
        <w:rPr>
          <w:rStyle w:val="Nmerodepgina"/>
          <w:rFonts w:ascii="Arial" w:hAnsi="Arial" w:cs="Arial"/>
          <w:sz w:val="20"/>
          <w:szCs w:val="20"/>
        </w:rPr>
      </w:pPr>
      <w:r w:rsidRPr="004F681E">
        <w:rPr>
          <w:rStyle w:val="Nmerodepgina"/>
          <w:rFonts w:ascii="Arial" w:hAnsi="Arial" w:cs="Arial"/>
          <w:sz w:val="20"/>
          <w:szCs w:val="20"/>
          <w:vertAlign w:val="superscript"/>
        </w:rPr>
        <w:footnoteRef/>
      </w:r>
      <w:r w:rsidRPr="004F681E">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710746" w:rsidRPr="004F681E" w:rsidRDefault="00710746" w:rsidP="00347736">
      <w:pPr>
        <w:jc w:val="both"/>
        <w:rPr>
          <w:rStyle w:val="Nmerodepgina"/>
          <w:rFonts w:ascii="Arial" w:hAnsi="Arial" w:cs="Arial"/>
          <w:i/>
          <w:iCs/>
          <w:sz w:val="20"/>
          <w:szCs w:val="20"/>
        </w:rPr>
      </w:pPr>
    </w:p>
    <w:p w:rsidR="00710746" w:rsidRPr="004F681E" w:rsidRDefault="00710746" w:rsidP="00347736">
      <w:pPr>
        <w:jc w:val="both"/>
        <w:rPr>
          <w:rStyle w:val="Nmerodepgina"/>
          <w:rFonts w:ascii="Arial" w:hAnsi="Arial" w:cs="Arial"/>
          <w:i/>
          <w:iCs/>
          <w:sz w:val="20"/>
          <w:szCs w:val="20"/>
        </w:rPr>
      </w:pPr>
      <w:r w:rsidRPr="004F681E">
        <w:rPr>
          <w:rStyle w:val="Nmerodepgina"/>
          <w:rFonts w:ascii="Arial" w:hAnsi="Arial" w:cs="Arial"/>
          <w:i/>
          <w:iCs/>
          <w:sz w:val="20"/>
          <w:szCs w:val="20"/>
        </w:rPr>
        <w:t xml:space="preserve">“Para los solos efectos de esta ley: </w:t>
      </w:r>
    </w:p>
    <w:p w:rsidR="00710746" w:rsidRPr="004F681E" w:rsidRDefault="00710746" w:rsidP="00347736">
      <w:pPr>
        <w:jc w:val="both"/>
        <w:rPr>
          <w:rStyle w:val="Nmerodepgina"/>
          <w:rFonts w:ascii="Arial" w:hAnsi="Arial" w:cs="Arial"/>
          <w:i/>
          <w:iCs/>
          <w:sz w:val="20"/>
          <w:szCs w:val="20"/>
        </w:rPr>
      </w:pPr>
    </w:p>
    <w:p w:rsidR="00710746" w:rsidRPr="004F681E" w:rsidRDefault="00710746" w:rsidP="00347736">
      <w:pPr>
        <w:jc w:val="both"/>
        <w:rPr>
          <w:rStyle w:val="Nmerodepgina"/>
          <w:rFonts w:ascii="Arial" w:hAnsi="Arial" w:cs="Arial"/>
          <w:i/>
          <w:iCs/>
          <w:sz w:val="20"/>
          <w:szCs w:val="20"/>
        </w:rPr>
      </w:pPr>
      <w:r w:rsidRPr="004F681E">
        <w:rPr>
          <w:rStyle w:val="Nmerodepgina"/>
          <w:rFonts w:ascii="Arial" w:hAnsi="Arial" w:cs="Arial"/>
          <w:i/>
          <w:iCs/>
          <w:sz w:val="20"/>
          <w:szCs w:val="20"/>
        </w:rPr>
        <w:t xml:space="preserve">“1o. Se denominan entidades estatales: </w:t>
      </w:r>
    </w:p>
    <w:p w:rsidR="00710746" w:rsidRPr="004F681E" w:rsidRDefault="00710746" w:rsidP="00347736">
      <w:pPr>
        <w:jc w:val="both"/>
        <w:rPr>
          <w:rStyle w:val="Nmerodepgina"/>
          <w:rFonts w:ascii="Arial" w:hAnsi="Arial" w:cs="Arial"/>
          <w:i/>
          <w:iCs/>
          <w:sz w:val="20"/>
          <w:szCs w:val="20"/>
        </w:rPr>
      </w:pPr>
    </w:p>
    <w:p w:rsidR="00710746" w:rsidRPr="004F681E" w:rsidRDefault="00710746" w:rsidP="00347736">
      <w:pPr>
        <w:jc w:val="both"/>
        <w:rPr>
          <w:rStyle w:val="Nmerodepgina"/>
          <w:rFonts w:ascii="Arial" w:hAnsi="Arial" w:cs="Arial"/>
          <w:i/>
          <w:iCs/>
          <w:sz w:val="20"/>
          <w:szCs w:val="20"/>
        </w:rPr>
      </w:pPr>
      <w:r w:rsidRPr="004F681E">
        <w:rPr>
          <w:rStyle w:val="Nmerodepgina"/>
          <w:rFonts w:ascii="Arial" w:hAnsi="Arial" w:cs="Arial"/>
          <w:i/>
          <w:iCs/>
          <w:sz w:val="20"/>
          <w:szCs w:val="20"/>
        </w:rPr>
        <w:t>“</w:t>
      </w:r>
      <w:r w:rsidR="00F46EF8" w:rsidRPr="004F681E">
        <w:rPr>
          <w:rStyle w:val="Nmerodepgina"/>
          <w:rFonts w:ascii="Arial" w:hAnsi="Arial" w:cs="Arial"/>
          <w:i/>
          <w:iCs/>
          <w:sz w:val="20"/>
          <w:szCs w:val="20"/>
        </w:rPr>
        <w:t>a) La Nación, las regiones, los</w:t>
      </w:r>
      <w:r w:rsidRPr="004F681E">
        <w:rPr>
          <w:rStyle w:val="Nmerodepgina"/>
          <w:rFonts w:ascii="Arial" w:hAnsi="Arial" w:cs="Arial"/>
          <w:i/>
          <w:iCs/>
          <w:sz w:val="20"/>
          <w:szCs w:val="20"/>
        </w:rPr>
        <w:t xml:space="preserve"> departamentos, las provincias, el distrito capital y los distritos especiales, las áreas metropolitanas, las asociaciones de municipios, los territorios indígenas y los municipios; </w:t>
      </w:r>
      <w:r w:rsidRPr="004F681E">
        <w:rPr>
          <w:rStyle w:val="Nmerodepgina"/>
          <w:rFonts w:ascii="Arial" w:hAnsi="Arial" w:cs="Arial"/>
          <w:i/>
          <w:iCs/>
          <w:sz w:val="20"/>
          <w:szCs w:val="20"/>
          <w:u w:val="single"/>
        </w:rPr>
        <w:t>los establecimientos públicos</w:t>
      </w:r>
      <w:r w:rsidRPr="004F681E">
        <w:rPr>
          <w:rStyle w:val="Nmerodepgina"/>
          <w:rFonts w:ascii="Arial" w:hAnsi="Arial"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710746" w:rsidRPr="004F681E" w:rsidRDefault="00710746" w:rsidP="00347736">
      <w:pPr>
        <w:jc w:val="both"/>
        <w:rPr>
          <w:rStyle w:val="Nmerodepgina"/>
          <w:rFonts w:ascii="Arial" w:hAnsi="Arial" w:cs="Arial"/>
          <w:i/>
          <w:iCs/>
          <w:sz w:val="20"/>
          <w:szCs w:val="20"/>
        </w:rPr>
      </w:pPr>
    </w:p>
    <w:p w:rsidR="00710746" w:rsidRPr="004F681E" w:rsidRDefault="00710746" w:rsidP="00347736">
      <w:pPr>
        <w:jc w:val="both"/>
        <w:rPr>
          <w:rFonts w:ascii="Arial" w:hAnsi="Arial" w:cs="Arial"/>
          <w:sz w:val="20"/>
          <w:szCs w:val="20"/>
        </w:rPr>
      </w:pPr>
      <w:r w:rsidRPr="004F681E">
        <w:rPr>
          <w:rStyle w:val="Nmerodepgina"/>
          <w:rFonts w:ascii="Arial" w:hAnsi="Arial" w:cs="Arial"/>
          <w:i/>
          <w:iCs/>
          <w:sz w:val="20"/>
          <w:szCs w:val="20"/>
        </w:rPr>
        <w:t xml:space="preserve"> “(…)”.</w:t>
      </w:r>
    </w:p>
    <w:p w:rsidR="00710746" w:rsidRPr="004F681E" w:rsidRDefault="00710746" w:rsidP="00347736">
      <w:pPr>
        <w:jc w:val="both"/>
        <w:rPr>
          <w:rFonts w:ascii="Arial" w:hAnsi="Arial" w:cs="Arial"/>
          <w:sz w:val="20"/>
          <w:szCs w:val="20"/>
        </w:rPr>
      </w:pPr>
    </w:p>
  </w:footnote>
  <w:footnote w:id="4">
    <w:p w:rsidR="00710746" w:rsidRPr="004F681E" w:rsidRDefault="00710746" w:rsidP="00CB36AD">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El salario mínimo legal para la fecha de presentación de la demanda, 13 de febrero de 2012, correspondió a $566.700.oo. </w:t>
      </w:r>
    </w:p>
  </w:footnote>
  <w:footnote w:id="5">
    <w:p w:rsidR="00710746" w:rsidRPr="004F681E" w:rsidRDefault="00710746" w:rsidP="00B334D8">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Sobre el particular consultar sentencia proferida por la Subsección A de la Sección Tercera del Consejo de Estado, el 22 de agosto de 2013, dentro del expediente No. 22.947, C.P: Mauricio Fajardo Gómez.</w:t>
      </w:r>
    </w:p>
    <w:p w:rsidR="00710746" w:rsidRPr="004F681E" w:rsidRDefault="00710746" w:rsidP="00B334D8">
      <w:pPr>
        <w:pStyle w:val="Textonotapie"/>
        <w:jc w:val="both"/>
        <w:rPr>
          <w:rFonts w:ascii="Arial" w:hAnsi="Arial" w:cs="Arial"/>
          <w:lang w:val="es-CO"/>
        </w:rPr>
      </w:pPr>
      <w:r w:rsidRPr="004F681E">
        <w:rPr>
          <w:rFonts w:ascii="Arial" w:hAnsi="Arial" w:cs="Arial"/>
          <w:lang w:val="es-CO"/>
        </w:rPr>
        <w:t xml:space="preserve"> </w:t>
      </w:r>
    </w:p>
  </w:footnote>
  <w:footnote w:id="6">
    <w:p w:rsidR="00710746" w:rsidRPr="004F681E" w:rsidRDefault="00710746" w:rsidP="00B334D8">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Ver sentencia proferida por la </w:t>
      </w:r>
      <w:r w:rsidRPr="004F681E">
        <w:rPr>
          <w:rFonts w:ascii="Arial" w:hAnsi="Arial" w:cs="Arial"/>
          <w:lang w:val="es-CO"/>
        </w:rPr>
        <w:t xml:space="preserve">Sección Tercera Subsección A, Consejo de Estado, 14 de marzo de 2013, Exp. 20.524, C.P Carlos Alberto Zambrano Becerra. </w:t>
      </w:r>
    </w:p>
    <w:p w:rsidR="00710746" w:rsidRPr="004F681E" w:rsidRDefault="00710746" w:rsidP="00B334D8">
      <w:pPr>
        <w:pStyle w:val="Textonotapie"/>
        <w:jc w:val="both"/>
        <w:rPr>
          <w:rFonts w:ascii="Arial" w:hAnsi="Arial" w:cs="Arial"/>
          <w:lang w:val="es-CO"/>
        </w:rPr>
      </w:pPr>
    </w:p>
  </w:footnote>
  <w:footnote w:id="7">
    <w:p w:rsidR="00710746" w:rsidRPr="004F681E" w:rsidRDefault="00710746" w:rsidP="00B334D8">
      <w:pPr>
        <w:pStyle w:val="Textonotapie"/>
        <w:jc w:val="both"/>
        <w:rPr>
          <w:rFonts w:ascii="Arial" w:hAnsi="Arial" w:cs="Arial"/>
          <w:i/>
          <w:lang w:val="es-CO"/>
        </w:rPr>
      </w:pPr>
      <w:r w:rsidRPr="004F681E">
        <w:rPr>
          <w:rStyle w:val="Refdenotaalpie"/>
          <w:rFonts w:ascii="Arial" w:hAnsi="Arial" w:cs="Arial"/>
        </w:rPr>
        <w:footnoteRef/>
      </w:r>
      <w:r w:rsidRPr="004F681E">
        <w:rPr>
          <w:rFonts w:ascii="Arial" w:hAnsi="Arial" w:cs="Arial"/>
        </w:rPr>
        <w:t xml:space="preserve"> Original de la cita: “</w:t>
      </w:r>
      <w:r w:rsidRPr="004F681E">
        <w:rPr>
          <w:rFonts w:ascii="Arial" w:hAnsi="Arial" w:cs="Arial"/>
          <w:i/>
        </w:rPr>
        <w:t>Al respecto pueden consultarse las siguientes providencias de la Sección Tercera del Consejo de Estado:</w:t>
      </w:r>
      <w:r w:rsidRPr="004F681E">
        <w:rPr>
          <w:rFonts w:ascii="Arial" w:hAnsi="Arial" w:cs="Arial"/>
          <w:i/>
          <w:lang w:val="es-CO"/>
        </w:rPr>
        <w:t xml:space="preserve"> sentencia del 15 de febrero de 1999, Exp. 11194, C.P Ricardo Hoyos Duque; sentencia del 21 de junio de 1999, Exp. 14943, C.P Daniel Suárez Hernández; sentencia del 31 de agosto de 2011, Exp.18080, C.P Ruth Stella Correa Palacio”. </w:t>
      </w:r>
    </w:p>
    <w:p w:rsidR="00710746" w:rsidRPr="004F681E" w:rsidRDefault="00710746" w:rsidP="00B334D8">
      <w:pPr>
        <w:pStyle w:val="Textonotapie"/>
        <w:jc w:val="both"/>
        <w:rPr>
          <w:rFonts w:ascii="Arial" w:hAnsi="Arial" w:cs="Arial"/>
          <w:lang w:val="es-CO"/>
        </w:rPr>
      </w:pPr>
    </w:p>
  </w:footnote>
  <w:footnote w:id="8">
    <w:p w:rsidR="00710746" w:rsidRPr="004F681E" w:rsidRDefault="00710746" w:rsidP="00B334D8">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Original de la cita: “</w:t>
      </w:r>
      <w:r w:rsidRPr="004F681E">
        <w:rPr>
          <w:rFonts w:ascii="Arial" w:hAnsi="Arial" w:cs="Arial"/>
          <w:i/>
          <w:lang w:val="es-CO"/>
        </w:rPr>
        <w:t>Sobre el particular pueden leerse las siguientes sentencias de la Sección Tercera del Consejo de Estado: 26 de febrero de 2004, Exp: 14043, C.P Germán Rodríguez Villamizar; sentencia del 4 de septiembre de 2003, Exp. 10883, C.P Alier Hernández Enríquez; sentencia del 14 de marzo de 2013, Exp. 20.524, C.P Carlos Alberto Zambrano Barrera”.</w:t>
      </w:r>
    </w:p>
    <w:p w:rsidR="00710746" w:rsidRPr="004F681E" w:rsidRDefault="00710746" w:rsidP="00B334D8">
      <w:pPr>
        <w:pStyle w:val="Textonotapie"/>
        <w:jc w:val="both"/>
        <w:rPr>
          <w:rFonts w:ascii="Arial" w:hAnsi="Arial" w:cs="Arial"/>
          <w:lang w:val="es-CO"/>
        </w:rPr>
      </w:pPr>
    </w:p>
  </w:footnote>
  <w:footnote w:id="9">
    <w:p w:rsidR="00710746" w:rsidRPr="004F681E" w:rsidRDefault="00710746" w:rsidP="00B334D8">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Subsección A Sección Tercera del Consejo de Estado, 22 de agosto de 2013, expediente: 22.947, C.P. Mauricio Fajardo Gómez.</w:t>
      </w:r>
    </w:p>
  </w:footnote>
  <w:footnote w:id="10">
    <w:p w:rsidR="00710746" w:rsidRPr="004F681E" w:rsidRDefault="00710746" w:rsidP="00307169">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32-40 C11. </w:t>
      </w:r>
    </w:p>
  </w:footnote>
  <w:footnote w:id="11">
    <w:p w:rsidR="00710746" w:rsidRPr="004F681E" w:rsidRDefault="00710746" w:rsidP="00307169">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96-97 C9.</w:t>
      </w:r>
    </w:p>
  </w:footnote>
  <w:footnote w:id="12">
    <w:p w:rsidR="00710746" w:rsidRPr="004F681E" w:rsidRDefault="00710746" w:rsidP="00307169">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20-28 C3. </w:t>
      </w:r>
    </w:p>
  </w:footnote>
  <w:footnote w:id="13">
    <w:p w:rsidR="00710746" w:rsidRPr="004F681E" w:rsidRDefault="00710746" w:rsidP="00710358">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Fls. 52-57 C1. </w:t>
      </w:r>
    </w:p>
  </w:footnote>
  <w:footnote w:id="14">
    <w:p w:rsidR="00710746" w:rsidRPr="004F681E" w:rsidRDefault="00710746" w:rsidP="00FC5D0A">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Fls. 45- 49 C1. </w:t>
      </w:r>
    </w:p>
  </w:footnote>
  <w:footnote w:id="15">
    <w:p w:rsidR="00710746" w:rsidRPr="004F681E" w:rsidRDefault="00710746" w:rsidP="00720441">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Tampoco se evidencia que la misma hubiera desbordado el marco de competencia en que debió fundarse su expedición.</w:t>
      </w:r>
      <w:r w:rsidRPr="004F681E">
        <w:rPr>
          <w:rFonts w:ascii="Arial" w:hAnsi="Arial" w:cs="Arial"/>
          <w:lang w:val="es-CO"/>
        </w:rPr>
        <w:t xml:space="preserve"> En la cláusula décima tercera se pactó la potestad de modificación del contrato en los siguientes términos: “</w:t>
      </w:r>
      <w:r w:rsidRPr="004F681E">
        <w:rPr>
          <w:rFonts w:ascii="Arial" w:hAnsi="Arial" w:cs="Arial"/>
          <w:i/>
          <w:lang w:val="es-CO"/>
        </w:rPr>
        <w:t>si durante la ejecución del presente contrato y para evitar la paralización a afectación grave del servicio, fuere necesario introducir variaciones en el mismo, el IDRD convocará al CONCESIONARIO y el expondrá su criterio sobre las modificaciones requeridas de acuerdo con lo señalado en el artículo 16 de la Ley 80 de 1993</w:t>
      </w:r>
      <w:r w:rsidRPr="004F681E">
        <w:rPr>
          <w:rFonts w:ascii="Arial" w:hAnsi="Arial" w:cs="Arial"/>
          <w:lang w:val="es-CO"/>
        </w:rPr>
        <w:t>”.</w:t>
      </w:r>
    </w:p>
    <w:p w:rsidR="00710746" w:rsidRPr="004F681E" w:rsidRDefault="00710746">
      <w:pPr>
        <w:pStyle w:val="Textonotapie"/>
        <w:rPr>
          <w:rFonts w:ascii="Arial" w:hAnsi="Arial" w:cs="Arial"/>
          <w:lang w:val="es-CO"/>
        </w:rPr>
      </w:pPr>
    </w:p>
  </w:footnote>
  <w:footnote w:id="16">
    <w:p w:rsidR="00710746" w:rsidRPr="004F681E" w:rsidRDefault="00710746" w:rsidP="00FB5FFC">
      <w:pPr>
        <w:pStyle w:val="Textonotapie"/>
        <w:jc w:val="both"/>
        <w:rPr>
          <w:rFonts w:ascii="Arial" w:hAnsi="Arial" w:cs="Arial"/>
          <w:i/>
          <w:lang w:val="es-CO"/>
        </w:rPr>
      </w:pPr>
      <w:r w:rsidRPr="004F681E">
        <w:rPr>
          <w:rStyle w:val="Refdenotaalpie"/>
          <w:rFonts w:ascii="Arial" w:hAnsi="Arial" w:cs="Arial"/>
        </w:rPr>
        <w:footnoteRef/>
      </w:r>
      <w:r w:rsidRPr="004F681E">
        <w:rPr>
          <w:rFonts w:ascii="Arial" w:hAnsi="Arial" w:cs="Arial"/>
        </w:rPr>
        <w:t xml:space="preserve"> Consejo de Estado, Sección Tercera, Subsección B, 31 de agosto de 2011, Exp. 18080, C.P. Ruth Stella Correa Palacio </w:t>
      </w:r>
      <w:r w:rsidRPr="004F681E">
        <w:rPr>
          <w:rFonts w:ascii="Arial" w:hAnsi="Arial" w:cs="Arial"/>
          <w:i/>
        </w:rPr>
        <w:t>“</w:t>
      </w:r>
      <w:r w:rsidRPr="004F681E">
        <w:rPr>
          <w:rFonts w:ascii="Arial" w:hAnsi="Arial" w:cs="Arial"/>
          <w:bCs/>
          <w:i/>
        </w:rPr>
        <w:t>El ejercicio d</w:t>
      </w:r>
      <w:r w:rsidRPr="004F681E">
        <w:rPr>
          <w:rFonts w:ascii="Arial" w:hAnsi="Arial" w:cs="Arial"/>
          <w:i/>
        </w:rPr>
        <w:t>el ius variandi, según quedó visto, también puede ser causa de desequilibrio económico de los contratos estatales, que se configura cuando la administración en ejercicio de las potestades exorbitantes de interpretación, modificación y terminación unilaterales del contrato</w:t>
      </w:r>
      <w:r w:rsidRPr="004F681E">
        <w:rPr>
          <w:rStyle w:val="Refdenotaalpie"/>
          <w:rFonts w:ascii="Arial" w:hAnsi="Arial" w:cs="Arial"/>
          <w:i/>
        </w:rPr>
        <w:footnoteRef/>
      </w:r>
      <w:r w:rsidRPr="004F681E">
        <w:rPr>
          <w:rFonts w:ascii="Arial" w:hAnsi="Arial" w:cs="Arial"/>
          <w:i/>
        </w:rPr>
        <w:t xml:space="preserve"> altera las condiciones existentes al momento de contratar”.</w:t>
      </w:r>
    </w:p>
  </w:footnote>
  <w:footnote w:id="17">
    <w:p w:rsidR="00710746" w:rsidRPr="004F681E" w:rsidRDefault="00710746" w:rsidP="00FB5FFC">
      <w:pPr>
        <w:pStyle w:val="Textonotapie"/>
        <w:jc w:val="both"/>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50 C1. </w:t>
      </w:r>
    </w:p>
  </w:footnote>
  <w:footnote w:id="18">
    <w:p w:rsidR="00710746" w:rsidRPr="004F681E" w:rsidRDefault="00710746" w:rsidP="000416F6">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96 C1. </w:t>
      </w:r>
    </w:p>
  </w:footnote>
  <w:footnote w:id="19">
    <w:p w:rsidR="00710746" w:rsidRPr="004F681E" w:rsidRDefault="00710746" w:rsidP="000416F6">
      <w:pPr>
        <w:pStyle w:val="Textonotapie"/>
        <w:jc w:val="both"/>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Fl.99 C1.</w:t>
      </w:r>
    </w:p>
  </w:footnote>
  <w:footnote w:id="20">
    <w:p w:rsidR="00710746" w:rsidRPr="004F681E" w:rsidRDefault="00710746" w:rsidP="000416F6">
      <w:pPr>
        <w:pStyle w:val="Textonotapie"/>
        <w:jc w:val="both"/>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97-98 C1. </w:t>
      </w:r>
    </w:p>
  </w:footnote>
  <w:footnote w:id="21">
    <w:p w:rsidR="00710746" w:rsidRPr="004F681E" w:rsidRDefault="00710746" w:rsidP="000416F6">
      <w:pPr>
        <w:pStyle w:val="Textonotapie"/>
        <w:jc w:val="both"/>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95 C1.</w:t>
      </w:r>
    </w:p>
  </w:footnote>
  <w:footnote w:id="22">
    <w:p w:rsidR="00710746" w:rsidRPr="004F681E" w:rsidRDefault="00710746" w:rsidP="000416F6">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35-36 C1. </w:t>
      </w:r>
    </w:p>
  </w:footnote>
  <w:footnote w:id="23">
    <w:p w:rsidR="00710746" w:rsidRPr="004F681E" w:rsidRDefault="00710746" w:rsidP="00710358">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100-101 C1. </w:t>
      </w:r>
    </w:p>
  </w:footnote>
  <w:footnote w:id="24">
    <w:p w:rsidR="00655C48" w:rsidRPr="004F681E" w:rsidRDefault="00655C48" w:rsidP="005075FB">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bookmarkStart w:id="9" w:name="31"/>
      <w:r w:rsidR="00B92EE7" w:rsidRPr="004F681E">
        <w:rPr>
          <w:rFonts w:ascii="Arial" w:hAnsi="Arial" w:cs="Arial"/>
        </w:rPr>
        <w:t>“</w:t>
      </w:r>
      <w:r w:rsidRPr="004F681E">
        <w:rPr>
          <w:rFonts w:ascii="Arial" w:hAnsi="Arial" w:cs="Arial"/>
          <w:i/>
        </w:rPr>
        <w:t>ARTÍCULO 31. RÉGIMEN DE TRANSICIÓN.</w:t>
      </w:r>
      <w:bookmarkEnd w:id="9"/>
      <w:r w:rsidRPr="004F681E">
        <w:rPr>
          <w:rFonts w:ascii="Arial" w:hAnsi="Arial" w:cs="Arial"/>
          <w:i/>
        </w:rPr>
        <w:t xml:space="preserve"> Los procesos de contratación en curso a la fecha en que entre a regir la presente ley, continuarán sujetos a las normas vigentes al momento de su iniciación. Los contratos o convenios a que se refiere el artículo 20 de la presente ley que se encuentren en ejecución al momento de su entrada en vigencia, continuarán rigiéndose por las normas vigentes al momento de su celebración hasta su liquidación, sin que sea posible adicionarlos ni prorrogarlos</w:t>
      </w:r>
      <w:r w:rsidR="00B92EE7" w:rsidRPr="004F681E">
        <w:rPr>
          <w:rFonts w:ascii="Arial" w:hAnsi="Arial" w:cs="Arial"/>
        </w:rPr>
        <w:t>”</w:t>
      </w:r>
      <w:r w:rsidRPr="004F681E">
        <w:rPr>
          <w:rFonts w:ascii="Arial" w:hAnsi="Arial" w:cs="Arial"/>
        </w:rPr>
        <w:t>.</w:t>
      </w:r>
    </w:p>
  </w:footnote>
  <w:footnote w:id="25">
    <w:p w:rsidR="00441803" w:rsidRPr="004F681E" w:rsidRDefault="00441803" w:rsidP="00442A98">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A propósito del tránsito de legislación en materia de contratos estatales y supervivencia de la ley antigua se puede consultar la sentencia proferida por el Consejo de Estado, Sección Tercera, el 11 de febrero de 2009, Exp. 16.653, </w:t>
      </w:r>
      <w:r w:rsidR="00442A98" w:rsidRPr="004F681E">
        <w:rPr>
          <w:rFonts w:ascii="Arial" w:hAnsi="Arial" w:cs="Arial"/>
          <w:lang w:val="es-CO"/>
        </w:rPr>
        <w:t xml:space="preserve">C.P. Ruth Stella Correa Palacio. </w:t>
      </w:r>
    </w:p>
  </w:footnote>
  <w:footnote w:id="26">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63 C3. </w:t>
      </w:r>
    </w:p>
  </w:footnote>
  <w:footnote w:id="27">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64 C3. </w:t>
      </w:r>
    </w:p>
  </w:footnote>
  <w:footnote w:id="28">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179-181 C3.</w:t>
      </w:r>
    </w:p>
  </w:footnote>
  <w:footnote w:id="29">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104- 105 C1.</w:t>
      </w:r>
    </w:p>
  </w:footnote>
  <w:footnote w:id="30">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79 C1. </w:t>
      </w:r>
    </w:p>
  </w:footnote>
  <w:footnote w:id="31">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247-248 C1. </w:t>
      </w:r>
    </w:p>
  </w:footnote>
  <w:footnote w:id="32">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198-203 C1. </w:t>
      </w:r>
    </w:p>
  </w:footnote>
  <w:footnote w:id="33">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84-178 C1. </w:t>
      </w:r>
    </w:p>
  </w:footnote>
  <w:footnote w:id="34">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106-122 C1. </w:t>
      </w:r>
    </w:p>
  </w:footnote>
  <w:footnote w:id="35">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124-1254 C1. </w:t>
      </w:r>
    </w:p>
  </w:footnote>
  <w:footnote w:id="36">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126- 125 C1. </w:t>
      </w:r>
    </w:p>
  </w:footnote>
  <w:footnote w:id="37">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128-129 C1. </w:t>
      </w:r>
    </w:p>
  </w:footnote>
  <w:footnote w:id="38">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186-187 C1.</w:t>
      </w:r>
    </w:p>
  </w:footnote>
  <w:footnote w:id="39">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188-255 C1. </w:t>
      </w:r>
    </w:p>
  </w:footnote>
  <w:footnote w:id="40">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137-139 C1. </w:t>
      </w:r>
    </w:p>
  </w:footnote>
  <w:footnote w:id="41">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140-171 C1. </w:t>
      </w:r>
    </w:p>
  </w:footnote>
  <w:footnote w:id="42">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172-173 C1. </w:t>
      </w:r>
    </w:p>
  </w:footnote>
  <w:footnote w:id="43">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264-266 C3. </w:t>
      </w:r>
    </w:p>
  </w:footnote>
  <w:footnote w:id="44">
    <w:p w:rsidR="00710746" w:rsidRPr="004F681E" w:rsidRDefault="00710746" w:rsidP="00F40A72">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Fl. 176-177 C1 y 267 C3. </w:t>
      </w:r>
    </w:p>
  </w:footnote>
  <w:footnote w:id="45">
    <w:p w:rsidR="00710746" w:rsidRPr="004F681E" w:rsidRDefault="00710746" w:rsidP="00F40A72">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Fls. </w:t>
      </w:r>
      <w:r w:rsidRPr="004F681E">
        <w:rPr>
          <w:rFonts w:ascii="Arial" w:hAnsi="Arial" w:cs="Arial"/>
          <w:lang w:val="es-CO"/>
        </w:rPr>
        <w:t xml:space="preserve">270-271 C3. </w:t>
      </w:r>
    </w:p>
  </w:footnote>
  <w:footnote w:id="46">
    <w:p w:rsidR="00710746" w:rsidRPr="004F681E" w:rsidRDefault="00710746" w:rsidP="00F40A72">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Fls. 273 C3.</w:t>
      </w:r>
    </w:p>
  </w:footnote>
  <w:footnote w:id="47">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 204-206 C1. </w:t>
      </w:r>
    </w:p>
  </w:footnote>
  <w:footnote w:id="48">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218-219 C1. </w:t>
      </w:r>
    </w:p>
  </w:footnote>
  <w:footnote w:id="49">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178-182 C1. </w:t>
      </w:r>
    </w:p>
  </w:footnote>
  <w:footnote w:id="50">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220 C1. </w:t>
      </w:r>
    </w:p>
  </w:footnote>
  <w:footnote w:id="51">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221-224 C1. </w:t>
      </w:r>
    </w:p>
  </w:footnote>
  <w:footnote w:id="52">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302-305 C3.</w:t>
      </w:r>
    </w:p>
  </w:footnote>
  <w:footnote w:id="53">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307-369 C3. </w:t>
      </w:r>
    </w:p>
  </w:footnote>
  <w:footnote w:id="54">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282-283 C1. </w:t>
      </w:r>
    </w:p>
  </w:footnote>
  <w:footnote w:id="55">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216-218 C1. </w:t>
      </w:r>
    </w:p>
  </w:footnote>
  <w:footnote w:id="56">
    <w:p w:rsidR="00710746" w:rsidRPr="004F681E" w:rsidRDefault="00710746" w:rsidP="00F40A72">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280-281 C1. </w:t>
      </w:r>
    </w:p>
  </w:footnote>
  <w:footnote w:id="57">
    <w:p w:rsidR="00710746" w:rsidRPr="004F681E" w:rsidRDefault="00710746" w:rsidP="005B0CCE">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380-381 C1. </w:t>
      </w:r>
    </w:p>
  </w:footnote>
  <w:footnote w:id="58">
    <w:p w:rsidR="00710746" w:rsidRPr="004F681E" w:rsidRDefault="00710746" w:rsidP="005B0CCE">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Fls.251 C1. </w:t>
      </w:r>
    </w:p>
  </w:footnote>
  <w:footnote w:id="59">
    <w:p w:rsidR="00710746" w:rsidRPr="004F681E" w:rsidRDefault="00710746" w:rsidP="005B0CCE">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Fl. 253- 255 C1. </w:t>
      </w:r>
    </w:p>
  </w:footnote>
  <w:footnote w:id="60">
    <w:p w:rsidR="00710746" w:rsidRPr="004F681E" w:rsidRDefault="00710746" w:rsidP="005B0CCE">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Fls. 263-265 C1. </w:t>
      </w:r>
    </w:p>
  </w:footnote>
  <w:footnote w:id="61">
    <w:p w:rsidR="00551A36" w:rsidRPr="004F681E" w:rsidRDefault="00551A36" w:rsidP="00551A36">
      <w:pPr>
        <w:pStyle w:val="NormalWeb"/>
        <w:jc w:val="both"/>
        <w:rPr>
          <w:rFonts w:ascii="Arial" w:hAnsi="Arial" w:cs="Arial"/>
          <w:i/>
          <w:sz w:val="20"/>
          <w:szCs w:val="20"/>
        </w:rPr>
      </w:pPr>
      <w:r w:rsidRPr="004F681E">
        <w:rPr>
          <w:rStyle w:val="Refdenotaalpie"/>
          <w:rFonts w:ascii="Arial" w:hAnsi="Arial" w:cs="Arial"/>
          <w:i/>
          <w:sz w:val="20"/>
          <w:szCs w:val="20"/>
        </w:rPr>
        <w:footnoteRef/>
      </w:r>
      <w:r w:rsidRPr="004F681E">
        <w:rPr>
          <w:rFonts w:ascii="Arial" w:hAnsi="Arial" w:cs="Arial"/>
          <w:i/>
          <w:sz w:val="20"/>
          <w:szCs w:val="20"/>
        </w:rPr>
        <w:t xml:space="preserve"> “</w:t>
      </w:r>
      <w:r w:rsidRPr="004F681E">
        <w:rPr>
          <w:rFonts w:ascii="Arial" w:hAnsi="Arial" w:cs="Arial"/>
          <w:b/>
          <w:bCs/>
          <w:i/>
          <w:sz w:val="20"/>
          <w:szCs w:val="20"/>
        </w:rPr>
        <w:t xml:space="preserve">Artículo 27º.- </w:t>
      </w:r>
      <w:r w:rsidRPr="004F681E">
        <w:rPr>
          <w:rFonts w:ascii="Arial" w:hAnsi="Arial" w:cs="Arial"/>
          <w:i/>
          <w:iCs/>
          <w:sz w:val="20"/>
          <w:szCs w:val="20"/>
        </w:rPr>
        <w:t>De la Ecuación Contractual</w:t>
      </w:r>
      <w:r w:rsidRPr="004F681E">
        <w:rPr>
          <w:rFonts w:ascii="Arial" w:hAnsi="Arial" w:cs="Arial"/>
          <w:i/>
          <w:sz w:val="20"/>
          <w:szCs w:val="20"/>
        </w:rPr>
        <w:t xml:space="preserve">.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w:t>
      </w:r>
    </w:p>
    <w:p w:rsidR="00551A36" w:rsidRPr="004F681E" w:rsidRDefault="00551A36" w:rsidP="00551A36">
      <w:pPr>
        <w:pStyle w:val="NormalWeb"/>
        <w:jc w:val="both"/>
        <w:rPr>
          <w:rFonts w:ascii="Arial" w:hAnsi="Arial" w:cs="Arial"/>
          <w:i/>
          <w:sz w:val="20"/>
          <w:szCs w:val="20"/>
        </w:rPr>
      </w:pPr>
      <w:r w:rsidRPr="004F681E">
        <w:rPr>
          <w:rFonts w:ascii="Arial" w:hAnsi="Arial" w:cs="Arial"/>
          <w:i/>
          <w:sz w:val="20"/>
          <w:szCs w:val="20"/>
        </w:rPr>
        <w:t>“Para tales efectos, las partes suscribirán los acuerdos y pactos necesarios sobre cuantías,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r w:rsidRPr="004F681E">
        <w:rPr>
          <w:rFonts w:ascii="Arial" w:hAnsi="Arial" w:cs="Arial"/>
          <w:bCs/>
          <w:i/>
          <w:sz w:val="20"/>
          <w:szCs w:val="20"/>
        </w:rPr>
        <w:t xml:space="preserve">. </w:t>
      </w:r>
    </w:p>
    <w:p w:rsidR="00551A36" w:rsidRPr="004F681E" w:rsidRDefault="00551A36" w:rsidP="00551A36">
      <w:pPr>
        <w:pStyle w:val="Textonotapie"/>
        <w:jc w:val="both"/>
        <w:rPr>
          <w:rFonts w:ascii="Arial" w:hAnsi="Arial" w:cs="Arial"/>
          <w:lang w:val="es-CO"/>
        </w:rPr>
      </w:pPr>
    </w:p>
  </w:footnote>
  <w:footnote w:id="62">
    <w:p w:rsidR="00AE482D" w:rsidRPr="004F681E" w:rsidRDefault="00AE482D" w:rsidP="00E3161E">
      <w:pPr>
        <w:pStyle w:val="NormalWeb"/>
        <w:spacing w:before="0" w:beforeAutospacing="0" w:after="0" w:afterAutospacing="0"/>
        <w:jc w:val="both"/>
        <w:rPr>
          <w:rFonts w:ascii="Arial" w:hAnsi="Arial" w:cs="Arial"/>
          <w:sz w:val="20"/>
          <w:szCs w:val="20"/>
        </w:rPr>
      </w:pPr>
      <w:r w:rsidRPr="004F681E">
        <w:rPr>
          <w:rStyle w:val="Refdenotaalpie"/>
          <w:rFonts w:ascii="Arial" w:hAnsi="Arial" w:cs="Arial"/>
          <w:sz w:val="20"/>
          <w:szCs w:val="20"/>
        </w:rPr>
        <w:footnoteRef/>
      </w:r>
      <w:r w:rsidRPr="004F681E">
        <w:rPr>
          <w:rFonts w:ascii="Arial" w:hAnsi="Arial" w:cs="Arial"/>
          <w:sz w:val="20"/>
          <w:szCs w:val="20"/>
        </w:rPr>
        <w:t xml:space="preserve"> </w:t>
      </w:r>
      <w:r w:rsidR="00866F4B" w:rsidRPr="004F681E">
        <w:rPr>
          <w:rFonts w:ascii="Arial" w:hAnsi="Arial" w:cs="Arial"/>
          <w:sz w:val="20"/>
          <w:szCs w:val="20"/>
        </w:rPr>
        <w:t>“</w:t>
      </w:r>
      <w:r w:rsidRPr="004F681E">
        <w:rPr>
          <w:rFonts w:ascii="Arial" w:hAnsi="Arial" w:cs="Arial"/>
          <w:b/>
          <w:bCs/>
          <w:sz w:val="20"/>
          <w:szCs w:val="20"/>
        </w:rPr>
        <w:t>Artículo 28º</w:t>
      </w:r>
      <w:r w:rsidR="00866F4B" w:rsidRPr="004F681E">
        <w:rPr>
          <w:rFonts w:ascii="Arial" w:hAnsi="Arial" w:cs="Arial"/>
          <w:b/>
          <w:bCs/>
          <w:sz w:val="20"/>
          <w:szCs w:val="20"/>
        </w:rPr>
        <w:t xml:space="preserve"> de la Ley 80 de 1993</w:t>
      </w:r>
      <w:r w:rsidRPr="004F681E">
        <w:rPr>
          <w:rFonts w:ascii="Arial" w:hAnsi="Arial" w:cs="Arial"/>
          <w:b/>
          <w:bCs/>
          <w:sz w:val="20"/>
          <w:szCs w:val="20"/>
        </w:rPr>
        <w:t xml:space="preserve">.- </w:t>
      </w:r>
      <w:r w:rsidRPr="004F681E">
        <w:rPr>
          <w:rFonts w:ascii="Arial" w:hAnsi="Arial" w:cs="Arial"/>
          <w:i/>
          <w:iCs/>
          <w:sz w:val="20"/>
          <w:szCs w:val="20"/>
          <w:u w:val="single"/>
        </w:rPr>
        <w:t>De la Interpretación de las Reglas Contractuales</w:t>
      </w:r>
      <w:r w:rsidRPr="004F681E">
        <w:rPr>
          <w:rFonts w:ascii="Arial" w:hAnsi="Arial" w:cs="Arial"/>
          <w:sz w:val="20"/>
          <w:szCs w:val="20"/>
          <w:u w:val="single"/>
        </w:rPr>
        <w:t>. En la interpretación de las normas sobre contratos estatales</w:t>
      </w:r>
      <w:r w:rsidRPr="004F681E">
        <w:rPr>
          <w:rFonts w:ascii="Arial" w:hAnsi="Arial" w:cs="Arial"/>
          <w:sz w:val="20"/>
          <w:szCs w:val="20"/>
        </w:rPr>
        <w:t xml:space="preserve">, relativas a procedimientos de selección y escogencia de contratistas y en la de la cláusula y estipulaciones de los contratos, </w:t>
      </w:r>
      <w:r w:rsidRPr="004F681E">
        <w:rPr>
          <w:rFonts w:ascii="Arial" w:hAnsi="Arial" w:cs="Arial"/>
          <w:sz w:val="20"/>
          <w:szCs w:val="20"/>
          <w:u w:val="single"/>
        </w:rPr>
        <w:t>se tendrá en consideración los fines y los principios de que trata esta ley, los mandatos de la buena fe y la igualdad y equilibrio entre prestaciones</w:t>
      </w:r>
      <w:r w:rsidRPr="004F681E">
        <w:rPr>
          <w:rFonts w:ascii="Arial" w:hAnsi="Arial" w:cs="Arial"/>
          <w:sz w:val="20"/>
          <w:szCs w:val="20"/>
        </w:rPr>
        <w:t xml:space="preserve"> y derechos que caracteriza a los contratos conmutativos</w:t>
      </w:r>
      <w:r w:rsidR="00866F4B" w:rsidRPr="004F681E">
        <w:rPr>
          <w:rFonts w:ascii="Arial" w:hAnsi="Arial" w:cs="Arial"/>
          <w:sz w:val="20"/>
          <w:szCs w:val="20"/>
        </w:rPr>
        <w:t>”</w:t>
      </w:r>
      <w:r w:rsidRPr="004F681E">
        <w:rPr>
          <w:rFonts w:ascii="Arial" w:hAnsi="Arial" w:cs="Arial"/>
          <w:sz w:val="20"/>
          <w:szCs w:val="20"/>
        </w:rPr>
        <w:t>.</w:t>
      </w:r>
    </w:p>
  </w:footnote>
  <w:footnote w:id="63">
    <w:p w:rsidR="003960AE" w:rsidRPr="004F681E" w:rsidRDefault="003960AE" w:rsidP="00E3161E">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Consejo de Estado, Sección Tercera, </w:t>
      </w:r>
      <w:r w:rsidRPr="004F681E">
        <w:rPr>
          <w:rFonts w:ascii="Arial" w:hAnsi="Arial" w:cs="Arial"/>
          <w:lang w:val="es-CO"/>
        </w:rPr>
        <w:t>Subsección A, 14 de marzo de 2013, expediente: 20524, C.P. Carlos Alberto Zambrano Barrera.</w:t>
      </w:r>
    </w:p>
  </w:footnote>
  <w:footnote w:id="64">
    <w:p w:rsidR="003960AE" w:rsidRPr="004F681E" w:rsidRDefault="005F5B75" w:rsidP="003960AE">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003960AE" w:rsidRPr="004F681E">
        <w:rPr>
          <w:rFonts w:ascii="Arial" w:hAnsi="Arial" w:cs="Arial"/>
          <w:lang w:val="es-CO"/>
        </w:rPr>
        <w:t xml:space="preserve">Ver en ese mismo sentido la sentencia proferida por esta Subsección, el 27 de marzo de 2014, exp. 28.845, C.P. Mauricio Fajardo Gómez. </w:t>
      </w:r>
    </w:p>
    <w:p w:rsidR="005F5B75" w:rsidRPr="004F681E" w:rsidRDefault="005F5B75">
      <w:pPr>
        <w:pStyle w:val="Textonotapie"/>
        <w:rPr>
          <w:rFonts w:ascii="Arial" w:hAnsi="Arial" w:cs="Arial"/>
          <w:lang w:val="es-CO"/>
        </w:rPr>
      </w:pPr>
    </w:p>
  </w:footnote>
  <w:footnote w:id="65">
    <w:p w:rsidR="00B400BE" w:rsidRPr="004F681E" w:rsidRDefault="00B400BE" w:rsidP="00297218">
      <w:pPr>
        <w:pStyle w:val="Textonotapie"/>
        <w:jc w:val="both"/>
        <w:rPr>
          <w:rFonts w:ascii="Arial" w:hAnsi="Arial" w:cs="Arial"/>
          <w:i/>
        </w:rPr>
      </w:pPr>
      <w:r w:rsidRPr="004F681E">
        <w:rPr>
          <w:rStyle w:val="Refdenotaalpie"/>
          <w:rFonts w:ascii="Arial" w:hAnsi="Arial" w:cs="Arial"/>
          <w:i/>
        </w:rPr>
        <w:footnoteRef/>
      </w:r>
      <w:r w:rsidRPr="004F681E">
        <w:rPr>
          <w:rFonts w:ascii="Arial" w:hAnsi="Arial" w:cs="Arial"/>
          <w:i/>
        </w:rPr>
        <w:t xml:space="preserve"> </w:t>
      </w:r>
      <w:r w:rsidR="00297218" w:rsidRPr="004F681E">
        <w:rPr>
          <w:rFonts w:ascii="Arial" w:hAnsi="Arial" w:cs="Arial"/>
          <w:i/>
        </w:rPr>
        <w:t>Cita de la sentencia en referencia “</w:t>
      </w:r>
      <w:r w:rsidRPr="004F681E">
        <w:rPr>
          <w:rFonts w:ascii="Arial" w:hAnsi="Arial" w:cs="Arial"/>
          <w:i/>
        </w:rPr>
        <w:t xml:space="preserve">El artículo 33 de </w:t>
      </w:r>
      <w:smartTag w:uri="urn:schemas-microsoft-com:office:smarttags" w:element="PersonName">
        <w:smartTagPr>
          <w:attr w:name="ProductID" w:val="la Ley"/>
        </w:smartTagPr>
        <w:r w:rsidRPr="004F681E">
          <w:rPr>
            <w:rFonts w:ascii="Arial" w:hAnsi="Arial" w:cs="Arial"/>
            <w:i/>
          </w:rPr>
          <w:t>la Ley</w:t>
        </w:r>
      </w:smartTag>
      <w:r w:rsidRPr="004F681E">
        <w:rPr>
          <w:rFonts w:ascii="Arial" w:hAnsi="Arial" w:cs="Arial"/>
          <w:i/>
        </w:rPr>
        <w:t xml:space="preserve"> 105 de 1995, consagra las llamadas garantías de ingresos que operan en doble sentido, tanto en favor de la entidad concedente como en favor del concesionario. Para cumplir con esas garantías se diseñó un sistema de compensación en el siguiente orden: ampliación del plazo de la operación, aumento de las tarifas de peaje por encima del I.P.C., aportes del presupuesto nacional. Todos estos mecanismos tienen como finalidad mantener el equilibrio contractual</w:t>
      </w:r>
      <w:r w:rsidR="00297218" w:rsidRPr="004F681E">
        <w:rPr>
          <w:rFonts w:ascii="Arial" w:hAnsi="Arial" w:cs="Arial"/>
          <w:i/>
        </w:rPr>
        <w:t>”</w:t>
      </w:r>
      <w:r w:rsidRPr="004F681E">
        <w:rPr>
          <w:rFonts w:ascii="Arial" w:hAnsi="Arial" w:cs="Arial"/>
          <w:i/>
        </w:rPr>
        <w:t>.</w:t>
      </w:r>
    </w:p>
    <w:p w:rsidR="000C3E51" w:rsidRPr="004F681E" w:rsidRDefault="000C3E51" w:rsidP="00297218">
      <w:pPr>
        <w:pStyle w:val="Textonotapie"/>
        <w:jc w:val="both"/>
        <w:rPr>
          <w:rFonts w:ascii="Arial" w:hAnsi="Arial" w:cs="Arial"/>
          <w:i/>
          <w:lang w:val="es-CO"/>
        </w:rPr>
      </w:pPr>
    </w:p>
  </w:footnote>
  <w:footnote w:id="66">
    <w:p w:rsidR="00A6623D" w:rsidRPr="004F681E" w:rsidRDefault="00A6623D" w:rsidP="00297218">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w:t>
      </w:r>
      <w:r w:rsidR="00936050" w:rsidRPr="004F681E">
        <w:rPr>
          <w:rFonts w:ascii="Arial" w:hAnsi="Arial" w:cs="Arial"/>
        </w:rPr>
        <w:t>Sala de Consulta y Servicio Civil, 12 de diciembre de 2006, Rad. 1</w:t>
      </w:r>
      <w:r w:rsidR="00602090" w:rsidRPr="004F681E">
        <w:rPr>
          <w:rFonts w:ascii="Arial" w:hAnsi="Arial" w:cs="Arial"/>
        </w:rPr>
        <w:t>792, C.P. Luis Fernando Álvarez J</w:t>
      </w:r>
      <w:r w:rsidR="005C1C4A" w:rsidRPr="004F681E">
        <w:rPr>
          <w:rFonts w:ascii="Arial" w:hAnsi="Arial" w:cs="Arial"/>
        </w:rPr>
        <w:t>aramillo.</w:t>
      </w:r>
    </w:p>
    <w:p w:rsidR="005C1C4A" w:rsidRPr="004F681E" w:rsidRDefault="005C1C4A" w:rsidP="00297218">
      <w:pPr>
        <w:pStyle w:val="Textonotapie"/>
        <w:jc w:val="both"/>
        <w:rPr>
          <w:rFonts w:ascii="Arial" w:hAnsi="Arial" w:cs="Arial"/>
          <w:lang w:val="es-CO"/>
        </w:rPr>
      </w:pPr>
    </w:p>
  </w:footnote>
  <w:footnote w:id="67">
    <w:p w:rsidR="005C1C4A" w:rsidRPr="004F681E" w:rsidRDefault="005C1C4A" w:rsidP="005C1C4A">
      <w:pPr>
        <w:pStyle w:val="Textonotapie"/>
        <w:jc w:val="both"/>
        <w:rPr>
          <w:rFonts w:ascii="Arial" w:hAnsi="Arial" w:cs="Arial"/>
          <w:i/>
        </w:rPr>
      </w:pPr>
      <w:r w:rsidRPr="004F681E">
        <w:rPr>
          <w:rStyle w:val="Refdenotaalpie"/>
          <w:rFonts w:ascii="Arial" w:hAnsi="Arial" w:cs="Arial"/>
        </w:rPr>
        <w:footnoteRef/>
      </w:r>
      <w:r w:rsidRPr="004F681E">
        <w:rPr>
          <w:rFonts w:ascii="Arial" w:hAnsi="Arial" w:cs="Arial"/>
        </w:rPr>
        <w:t xml:space="preserve"> </w:t>
      </w:r>
      <w:bookmarkStart w:id="10" w:name="4"/>
      <w:r w:rsidR="007E4F8E" w:rsidRPr="004F681E">
        <w:rPr>
          <w:rFonts w:ascii="Arial" w:hAnsi="Arial" w:cs="Arial"/>
          <w:i/>
        </w:rPr>
        <w:t>“</w:t>
      </w:r>
      <w:r w:rsidRPr="004F681E">
        <w:rPr>
          <w:rFonts w:ascii="Arial" w:hAnsi="Arial" w:cs="Arial"/>
          <w:b/>
          <w:bCs/>
          <w:i/>
        </w:rPr>
        <w:t>Artículo </w:t>
      </w:r>
      <w:bookmarkEnd w:id="10"/>
      <w:r w:rsidRPr="004F681E">
        <w:rPr>
          <w:rFonts w:ascii="Arial" w:hAnsi="Arial" w:cs="Arial"/>
          <w:b/>
          <w:bCs/>
          <w:i/>
        </w:rPr>
        <w:t xml:space="preserve">4°. </w:t>
      </w:r>
      <w:r w:rsidRPr="004F681E">
        <w:rPr>
          <w:rFonts w:ascii="Arial" w:hAnsi="Arial" w:cs="Arial"/>
          <w:i/>
          <w:iCs/>
        </w:rPr>
        <w:t xml:space="preserve">De la distribución de riesgos en los contratos estatales. </w:t>
      </w:r>
      <w:r w:rsidRPr="004F681E">
        <w:rPr>
          <w:rFonts w:ascii="Arial" w:hAnsi="Arial" w:cs="Arial"/>
          <w:i/>
        </w:rPr>
        <w:t>Los pliegos de condiciones o sus equivalentes deberán incluir la estimación, tipificación y asignación de los riesgos previsibles involucrados en la contratación.</w:t>
      </w:r>
    </w:p>
    <w:p w:rsidR="005C1C4A" w:rsidRPr="004F681E" w:rsidRDefault="005C1C4A" w:rsidP="005C1C4A">
      <w:pPr>
        <w:pStyle w:val="Textonotapie"/>
        <w:jc w:val="both"/>
        <w:rPr>
          <w:rFonts w:ascii="Arial" w:hAnsi="Arial" w:cs="Arial"/>
          <w:i/>
        </w:rPr>
      </w:pPr>
    </w:p>
    <w:p w:rsidR="005C1C4A" w:rsidRPr="004F681E" w:rsidRDefault="007E4F8E" w:rsidP="005C1C4A">
      <w:pPr>
        <w:pStyle w:val="Textonotapie"/>
        <w:jc w:val="both"/>
        <w:rPr>
          <w:rFonts w:ascii="Arial" w:hAnsi="Arial" w:cs="Arial"/>
          <w:i/>
          <w:lang w:val="es-CO"/>
        </w:rPr>
      </w:pPr>
      <w:r w:rsidRPr="004F681E">
        <w:rPr>
          <w:rFonts w:ascii="Arial" w:hAnsi="Arial" w:cs="Arial"/>
          <w:i/>
        </w:rPr>
        <w:t>“</w:t>
      </w:r>
      <w:r w:rsidR="005C1C4A" w:rsidRPr="004F681E">
        <w:rPr>
          <w:rFonts w:ascii="Arial" w:hAnsi="Arial" w:cs="Arial"/>
          <w:i/>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r w:rsidRPr="004F681E">
        <w:rPr>
          <w:rFonts w:ascii="Arial" w:hAnsi="Arial" w:cs="Arial"/>
          <w:i/>
        </w:rPr>
        <w:t>”</w:t>
      </w:r>
      <w:r w:rsidR="005C1C4A" w:rsidRPr="004F681E">
        <w:rPr>
          <w:rFonts w:ascii="Arial" w:hAnsi="Arial" w:cs="Arial"/>
          <w:i/>
        </w:rPr>
        <w:t>.</w:t>
      </w:r>
    </w:p>
    <w:p w:rsidR="005C1C4A" w:rsidRPr="004F681E" w:rsidRDefault="005C1C4A" w:rsidP="005C1C4A">
      <w:pPr>
        <w:pStyle w:val="Textonotapie"/>
        <w:jc w:val="both"/>
        <w:rPr>
          <w:rFonts w:ascii="Arial" w:hAnsi="Arial" w:cs="Arial"/>
          <w:i/>
          <w:lang w:val="es-CO"/>
        </w:rPr>
      </w:pPr>
    </w:p>
  </w:footnote>
  <w:footnote w:id="68">
    <w:p w:rsidR="000C3D44" w:rsidRPr="004F681E" w:rsidRDefault="000C3D44" w:rsidP="00BF1F30">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Sobre el particular se puede consultar el auto proferido por el Consejo de Estado, Sección Tercera el 9 de diciembre de 2004, exp. 27.921, C.P. Ramiro Saavedra Becerra, en el cual la Sala se </w:t>
      </w:r>
      <w:r w:rsidR="00BF1F30" w:rsidRPr="004F681E">
        <w:rPr>
          <w:rFonts w:ascii="Arial" w:hAnsi="Arial" w:cs="Arial"/>
          <w:lang w:val="es-CO"/>
        </w:rPr>
        <w:t>ocupó</w:t>
      </w:r>
      <w:r w:rsidRPr="004F681E">
        <w:rPr>
          <w:rFonts w:ascii="Arial" w:hAnsi="Arial" w:cs="Arial"/>
          <w:lang w:val="es-CO"/>
        </w:rPr>
        <w:t xml:space="preserve"> de </w:t>
      </w:r>
      <w:r w:rsidR="00BF1F30" w:rsidRPr="004F681E">
        <w:rPr>
          <w:rFonts w:ascii="Arial" w:hAnsi="Arial" w:cs="Arial"/>
          <w:lang w:val="es-CO"/>
        </w:rPr>
        <w:t>analizar</w:t>
      </w:r>
      <w:r w:rsidRPr="004F681E">
        <w:rPr>
          <w:rFonts w:ascii="Arial" w:hAnsi="Arial" w:cs="Arial"/>
          <w:lang w:val="es-CO"/>
        </w:rPr>
        <w:t xml:space="preserve"> la distribución </w:t>
      </w:r>
      <w:r w:rsidR="00BF1F30" w:rsidRPr="004F681E">
        <w:rPr>
          <w:rFonts w:ascii="Arial" w:hAnsi="Arial" w:cs="Arial"/>
          <w:lang w:val="es-CO"/>
        </w:rPr>
        <w:t>de los riesgos</w:t>
      </w:r>
      <w:r w:rsidRPr="004F681E">
        <w:rPr>
          <w:rFonts w:ascii="Arial" w:hAnsi="Arial" w:cs="Arial"/>
          <w:lang w:val="es-CO"/>
        </w:rPr>
        <w:t xml:space="preserve"> en las distintas generaciones de concesiones y de definirlos a la luz de los documentos CONPES </w:t>
      </w:r>
      <w:r w:rsidR="003626FF" w:rsidRPr="004F681E">
        <w:rPr>
          <w:rFonts w:ascii="Arial" w:hAnsi="Arial" w:cs="Arial"/>
          <w:lang w:val="es-CO"/>
        </w:rPr>
        <w:t xml:space="preserve">Nos. 3107 y 3133 de 200, </w:t>
      </w:r>
    </w:p>
  </w:footnote>
  <w:footnote w:id="69">
    <w:p w:rsidR="00710746" w:rsidRPr="004F681E" w:rsidRDefault="00710746" w:rsidP="006147D3">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Fls. 25 C11. </w:t>
      </w:r>
    </w:p>
  </w:footnote>
  <w:footnote w:id="70">
    <w:p w:rsidR="00710746" w:rsidRPr="004F681E" w:rsidRDefault="00710746" w:rsidP="00641929">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COSCULLUELA MONTANER, Luis. MANUAL DE DERECHO ADMINISTRATIVO. Editorial Civitas. Vigésima sexta edición. Editorial Aranzadi S.A. 2015. Pamplona. Páginas 455.</w:t>
      </w:r>
    </w:p>
    <w:p w:rsidR="00710746" w:rsidRPr="004F681E" w:rsidRDefault="00710746" w:rsidP="00641929">
      <w:pPr>
        <w:pStyle w:val="Textonotapie"/>
        <w:jc w:val="both"/>
        <w:rPr>
          <w:rFonts w:ascii="Arial" w:hAnsi="Arial" w:cs="Arial"/>
          <w:lang w:val="es-CO"/>
        </w:rPr>
      </w:pPr>
    </w:p>
  </w:footnote>
  <w:footnote w:id="71">
    <w:p w:rsidR="00710746" w:rsidRPr="004F681E" w:rsidRDefault="00710746" w:rsidP="00641929">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DAVILA VINUEZA, Luis Guillermo, Régimen Jurídico de la Contratación Estatal, Editorial Legis, 2003, página 496-497.</w:t>
      </w:r>
    </w:p>
    <w:p w:rsidR="00710746" w:rsidRPr="004F681E" w:rsidRDefault="00710746">
      <w:pPr>
        <w:pStyle w:val="Textonotapie"/>
        <w:rPr>
          <w:rFonts w:ascii="Arial" w:hAnsi="Arial" w:cs="Arial"/>
          <w:lang w:val="es-CO"/>
        </w:rPr>
      </w:pPr>
    </w:p>
  </w:footnote>
  <w:footnote w:id="72">
    <w:p w:rsidR="00710746" w:rsidRPr="004F681E" w:rsidRDefault="00710746" w:rsidP="0061398F">
      <w:pPr>
        <w:jc w:val="both"/>
        <w:rPr>
          <w:rFonts w:ascii="Arial" w:hAnsi="Arial" w:cs="Arial"/>
          <w:sz w:val="20"/>
          <w:szCs w:val="20"/>
        </w:rPr>
      </w:pPr>
      <w:r w:rsidRPr="004F681E">
        <w:rPr>
          <w:rStyle w:val="Refdenotaalpie"/>
          <w:rFonts w:ascii="Arial" w:hAnsi="Arial" w:cs="Arial"/>
          <w:sz w:val="20"/>
          <w:szCs w:val="20"/>
        </w:rPr>
        <w:footnoteRef/>
      </w:r>
      <w:r w:rsidRPr="004F681E">
        <w:rPr>
          <w:rFonts w:ascii="Arial" w:hAnsi="Arial" w:cs="Arial"/>
          <w:sz w:val="20"/>
          <w:szCs w:val="20"/>
        </w:rPr>
        <w:t xml:space="preserve"> </w:t>
      </w:r>
      <w:r w:rsidRPr="004F681E">
        <w:rPr>
          <w:rFonts w:ascii="Arial" w:hAnsi="Arial" w:cs="Arial"/>
          <w:sz w:val="20"/>
          <w:szCs w:val="20"/>
          <w:lang w:val="es-CO"/>
        </w:rPr>
        <w:t>Ver sentencia proferida por el Consejo de Estado, Sección Tercera, el 29 de mayo de 2003, exp. 14577, C.P. Ricardo Hoyos Duque: “</w:t>
      </w:r>
      <w:r w:rsidRPr="004F681E">
        <w:rPr>
          <w:rFonts w:ascii="Arial" w:hAnsi="Arial" w:cs="Arial"/>
          <w:i/>
          <w:sz w:val="20"/>
          <w:szCs w:val="20"/>
        </w:rPr>
        <w:t>Respecto del primer requisito cabe precisar que no es dable aplicar la teoría de la imprevisión cuando el hecho proviene de la entidad contratante, pues esta es una de las condiciones que permiten diferenciar esta figura del hecho del príncipe, el cual, como se indicó, es imputable a la entidad</w:t>
      </w:r>
      <w:r w:rsidRPr="004F681E">
        <w:rPr>
          <w:rFonts w:ascii="Arial" w:hAnsi="Arial" w:cs="Arial"/>
          <w:sz w:val="20"/>
          <w:szCs w:val="20"/>
        </w:rPr>
        <w:t>”. En igual sentido consultar la sentencia proferida por el Consejo de Estado, Sección Tercera, el 4 de febrero de 2010, Exp. 15.665, C.P. Enrique Gil Botero “</w:t>
      </w:r>
      <w:r w:rsidRPr="004F681E">
        <w:rPr>
          <w:rFonts w:ascii="Arial" w:hAnsi="Arial" w:cs="Arial"/>
          <w:i/>
          <w:sz w:val="20"/>
          <w:szCs w:val="20"/>
        </w:rPr>
        <w:t>La Sala considera que sólo resulta aplicable la teoría del hecho del príncipe</w:t>
      </w:r>
      <w:r w:rsidRPr="004F681E">
        <w:rPr>
          <w:rFonts w:ascii="Arial" w:hAnsi="Arial" w:cs="Arial"/>
          <w:i/>
          <w:sz w:val="20"/>
          <w:szCs w:val="20"/>
          <w:lang w:val="es-CO" w:eastAsia="es-CO"/>
        </w:rPr>
        <w:t xml:space="preserve"> </w:t>
      </w:r>
      <w:r w:rsidRPr="004F681E">
        <w:rPr>
          <w:rFonts w:ascii="Arial" w:hAnsi="Arial" w:cs="Arial"/>
          <w:i/>
          <w:sz w:val="20"/>
          <w:szCs w:val="20"/>
        </w:rPr>
        <w:t>cuando la norma general que tiene incidencia en el contrato es proferida por la entidad contratante. Si la misma proviene de otra autoridad, se estaría frente a un evento externo a las partes que encuadraría mejor en la teoría de la</w:t>
      </w:r>
      <w:r w:rsidRPr="004F681E">
        <w:rPr>
          <w:rFonts w:ascii="Arial" w:hAnsi="Arial" w:cs="Arial"/>
          <w:i/>
          <w:sz w:val="20"/>
          <w:szCs w:val="20"/>
          <w:lang w:val="es-CO" w:eastAsia="es-CO"/>
        </w:rPr>
        <w:t xml:space="preserve"> </w:t>
      </w:r>
      <w:r w:rsidRPr="004F681E">
        <w:rPr>
          <w:rFonts w:ascii="Arial" w:hAnsi="Arial" w:cs="Arial"/>
          <w:i/>
          <w:sz w:val="20"/>
          <w:szCs w:val="20"/>
        </w:rPr>
        <w:t>imprevisión”.</w:t>
      </w:r>
      <w:r w:rsidRPr="004F681E">
        <w:rPr>
          <w:rFonts w:ascii="Arial" w:hAnsi="Arial" w:cs="Arial"/>
          <w:sz w:val="20"/>
          <w:szCs w:val="20"/>
        </w:rPr>
        <w:t xml:space="preserve"> También consultar sentencia del Consejo de Estado, Sección Tercera, Subsección B, del 28 de julio de 2012, exp. 21.990, C.P. Ruth Stella Correa Palacio. “</w:t>
      </w:r>
      <w:r w:rsidRPr="004F681E">
        <w:rPr>
          <w:rFonts w:ascii="Arial" w:hAnsi="Arial" w:cs="Arial"/>
          <w:i/>
          <w:sz w:val="20"/>
          <w:szCs w:val="20"/>
        </w:rPr>
        <w:t>El hecho del príncipe</w:t>
      </w:r>
      <w:r w:rsidRPr="004F681E">
        <w:rPr>
          <w:rFonts w:ascii="Arial" w:hAnsi="Arial" w:cs="Arial"/>
          <w:b/>
          <w:bCs/>
          <w:i/>
          <w:sz w:val="20"/>
          <w:szCs w:val="20"/>
        </w:rPr>
        <w:t xml:space="preserve"> </w:t>
      </w:r>
      <w:r w:rsidRPr="004F681E">
        <w:rPr>
          <w:rFonts w:ascii="Arial" w:hAnsi="Arial" w:cs="Arial"/>
          <w:i/>
          <w:sz w:val="20"/>
          <w:szCs w:val="20"/>
        </w:rPr>
        <w:t>se refiere al rompimiento del equilibrio económico del contrato por la expedición, imprevista y posterior a su celebración de medidas de carácter general y abstracto por parte de la entidad estatal contratante -según posición mayoritaria de la Sección- (leyes, decretos, etc.), que de manera indirecta o refleja afectan la ecuación contractual y hacen más gravosa la situación del contratista (álea administrativa)</w:t>
      </w:r>
      <w:r w:rsidRPr="004F681E">
        <w:rPr>
          <w:rFonts w:ascii="Arial" w:hAnsi="Arial" w:cs="Arial"/>
          <w:sz w:val="20"/>
          <w:szCs w:val="20"/>
        </w:rPr>
        <w:t>”.</w:t>
      </w:r>
      <w:r w:rsidRPr="004F681E">
        <w:rPr>
          <w:rFonts w:ascii="Arial" w:hAnsi="Arial" w:cs="Arial"/>
          <w:i/>
          <w:sz w:val="20"/>
          <w:szCs w:val="20"/>
        </w:rPr>
        <w:t xml:space="preserve"> </w:t>
      </w:r>
    </w:p>
    <w:p w:rsidR="00710746" w:rsidRPr="004F681E" w:rsidRDefault="00710746" w:rsidP="00914ACE">
      <w:pPr>
        <w:pStyle w:val="Textonotapie"/>
        <w:jc w:val="both"/>
        <w:rPr>
          <w:rFonts w:ascii="Arial" w:hAnsi="Arial" w:cs="Arial"/>
        </w:rPr>
      </w:pPr>
      <w:r w:rsidRPr="004F681E">
        <w:rPr>
          <w:rFonts w:ascii="Arial" w:hAnsi="Arial" w:cs="Arial"/>
        </w:rPr>
        <w:t xml:space="preserve"> </w:t>
      </w:r>
    </w:p>
  </w:footnote>
  <w:footnote w:id="73">
    <w:p w:rsidR="00710746" w:rsidRPr="004F681E" w:rsidRDefault="00710746" w:rsidP="000D2512">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Consultar sentencia dictada por el Consejo de Estado, Sección Tercera, el 7 de marzo de 2002. Exp.21.588, C.P. Alier Hernández Enríquez. “</w:t>
      </w:r>
      <w:r w:rsidRPr="004F681E">
        <w:rPr>
          <w:rFonts w:ascii="Arial" w:hAnsi="Arial" w:cs="Arial"/>
          <w:i/>
        </w:rPr>
        <w:t>La causa que hace referencia a los actos de la administración como Estado, se refiere fundamentalmente al denominado "Hecho del Príncipe", entendido como expresión de la potestad normativa, constitucional y legal, que se traduce en la expedición de leyes o actos administrativos de carácter general, los cuales pueden provenir de la misma autoridad contratante o de cualquier órgano del Estado</w:t>
      </w:r>
      <w:r w:rsidRPr="004F681E">
        <w:rPr>
          <w:rFonts w:ascii="Arial" w:hAnsi="Arial" w:cs="Arial"/>
        </w:rPr>
        <w:t>”.</w:t>
      </w:r>
    </w:p>
  </w:footnote>
  <w:footnote w:id="74">
    <w:p w:rsidR="00710746" w:rsidRPr="004F681E" w:rsidRDefault="00710746" w:rsidP="00666C29">
      <w:pPr>
        <w:spacing w:before="100" w:beforeAutospacing="1" w:after="100" w:afterAutospacing="1"/>
        <w:jc w:val="both"/>
        <w:rPr>
          <w:rFonts w:ascii="Arial" w:hAnsi="Arial" w:cs="Arial"/>
          <w:sz w:val="20"/>
          <w:szCs w:val="20"/>
          <w:lang w:val="es-CO" w:eastAsia="es-CO"/>
        </w:rPr>
      </w:pPr>
      <w:r w:rsidRPr="004F681E">
        <w:rPr>
          <w:rStyle w:val="Refdenotaalpie"/>
          <w:rFonts w:ascii="Arial" w:hAnsi="Arial" w:cs="Arial"/>
          <w:sz w:val="20"/>
          <w:szCs w:val="20"/>
        </w:rPr>
        <w:footnoteRef/>
      </w:r>
      <w:r w:rsidRPr="004F681E">
        <w:rPr>
          <w:rFonts w:ascii="Arial" w:hAnsi="Arial" w:cs="Arial"/>
          <w:sz w:val="20"/>
          <w:szCs w:val="20"/>
          <w:lang w:val="es-CO" w:eastAsia="es-CO"/>
        </w:rPr>
        <w:t xml:space="preserve">Consejo de Estado, Sección Tercera, 18 de septiembre de 2003, exp. 15119, C.P. Ramiro Saavedra Becerra. </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sz w:val="20"/>
          <w:szCs w:val="20"/>
          <w:lang w:val="es-CO" w:eastAsia="es-CO"/>
        </w:rPr>
        <w:t>“</w:t>
      </w:r>
      <w:r w:rsidRPr="004F681E">
        <w:rPr>
          <w:rFonts w:ascii="Arial" w:hAnsi="Arial" w:cs="Arial"/>
          <w:i/>
          <w:sz w:val="20"/>
          <w:szCs w:val="20"/>
          <w:lang w:val="es-CO" w:eastAsia="es-CO"/>
        </w:rPr>
        <w:t>Y en este punto se observa que, si bien para que se pueda predicar la existencia del hecho del príncipe se exige que la medida que incide de manera gravosa en el contrato [no] provenga de una autoridad distinta de la contratante, debe tenerse en cuenta que en algunas ocasiones, esa persona jurídica contratante actúa a través de distintos representantes, sin que por ello pierda su unidad e identidad, por lo cual, para efectos de determinar la existencia del hecho del príncipe, ella sigue siendo una misma autoridad administrativa, actuando a través de dos de sus órganos y en tal caso, será procedente alegar dicha teoría cuando la actuación de uno de éstos, incide en el contrato suscrito por el otro, a nombre de la persona jurídica pública a la que ambos pertenecen; al respecto, la doctrina francesa ha dicho:</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“1302.- La noción de autoridad contratante.- ¿Bajo qué condición la autoridad que ha intervenido podrá ser ella considerada como no ajena a la administración contratante? ¿Qué debe entenderse aquí por administración contratante o signataria del contrato?. </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“Es en un sentido amplio que se deben entender estas últimas expresiones. Es suficiente para que pueda invocarse el hecho del príncipe, que la intervención emane de un órgano de la persona pública que ha celebrado el contrato.</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“Así, las autoridades del Estado (nación) son ‘ajenas’ a los contratos celebrados por los Departamentos, los municipios, o los establecimientos públicos: pero las repercusiones sobre un contrato celebrado por un ministro, de las medidas celebradas por otro ministro, entran en la teoría del hecho del príncipe.</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“Las medidas tomadas por el legislador y que afectan los contratos celebrados por el Estado son también pasibles del hecho del príncipe porque el Parlamento es un órgano del Estado al mismo título que las autoridades ejecutivas: por provenir de órganos diferentes, las medidas en causa emanan siempre de la misma persona pública. Veremos que disposiciones legislativas pueden efectivamente, con ciertas condiciones, dar lugar a la aplicación de la teoría del hecho del príncipe.</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“Un ejemplo muy ilustrativo de estas hipótesis lo constituye la legislación sobre los precios: cuando sea el ministro de economía quien, sobre la base de la Ordenanza de 30 de junio de 1.945 congela las tarifas de una concesión celebrada por el ministro de desarrollo, o bien sea el legislador mismo quien bloquea las cláusulas de variación económica insertas en los contratos públicos, se estará en presencia de disposiciones tomadas por otros órganos del Estado: el hecho del príncipe se configura porque esas disposiciones como esos contratos se celebran siempre en nombre del Estado.</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“En el seno de las colectividades públicas secundarias la diferenciación de los órganos es menos fuerte. Ella siempre comporta al menos la del órgano deliberante y del órgano ejecutivo. Un contrato, si es firmado por el segundo, debe ser aprobado normalmente por el primero. Puede ocurrir que solo el órgano ejecutivo, en virtud de poderes que le son propios, tome medidas que tengan consecuencias sobre el contrato, por ejemplo el alcalde en virtud de su poder de policía.</w:t>
      </w:r>
    </w:p>
    <w:p w:rsidR="00710746" w:rsidRPr="004F681E" w:rsidRDefault="00710746" w:rsidP="00666C29">
      <w:pPr>
        <w:spacing w:before="100" w:beforeAutospacing="1" w:after="100" w:afterAutospacing="1"/>
        <w:jc w:val="both"/>
        <w:rPr>
          <w:rFonts w:ascii="Arial" w:hAnsi="Arial" w:cs="Arial"/>
          <w:sz w:val="20"/>
          <w:szCs w:val="20"/>
          <w:lang w:val="es-CO" w:eastAsia="es-CO"/>
        </w:rPr>
      </w:pPr>
      <w:r w:rsidRPr="004F681E">
        <w:rPr>
          <w:rFonts w:ascii="Arial" w:hAnsi="Arial" w:cs="Arial"/>
          <w:sz w:val="20"/>
          <w:szCs w:val="20"/>
          <w:lang w:val="es-CO" w:eastAsia="es-CO"/>
        </w:rPr>
        <w:t>“(…).</w:t>
      </w:r>
    </w:p>
    <w:p w:rsidR="00710746" w:rsidRPr="004F681E" w:rsidRDefault="00710746" w:rsidP="00666C29">
      <w:pPr>
        <w:spacing w:before="100" w:beforeAutospacing="1" w:after="100" w:afterAutospacing="1"/>
        <w:jc w:val="both"/>
        <w:rPr>
          <w:rFonts w:ascii="Arial" w:hAnsi="Arial" w:cs="Arial"/>
          <w:i/>
          <w:sz w:val="20"/>
          <w:szCs w:val="20"/>
          <w:lang w:val="es-CO" w:eastAsia="es-CO"/>
        </w:rPr>
      </w:pPr>
      <w:r w:rsidRPr="004F681E">
        <w:rPr>
          <w:rFonts w:ascii="Arial" w:hAnsi="Arial" w:cs="Arial"/>
          <w:sz w:val="20"/>
          <w:szCs w:val="20"/>
          <w:lang w:val="es-CO" w:eastAsia="es-CO"/>
        </w:rPr>
        <w:t>“</w:t>
      </w:r>
      <w:r w:rsidRPr="004F681E">
        <w:rPr>
          <w:rFonts w:ascii="Arial" w:hAnsi="Arial" w:cs="Arial"/>
          <w:i/>
          <w:sz w:val="20"/>
          <w:szCs w:val="20"/>
          <w:lang w:val="es-CO" w:eastAsia="es-CO"/>
        </w:rPr>
        <w:t>Teniendo en cuenta, a la vez, la gran diversidad de los órganos del Estado, que no afecta la unidad de su personalidad, y de la importancia de sus intervenciones, que son susceptibles de afectar muy a menudo los contratos, la condición relativa a la autoridad contratante debe conducir a hacer obrar la teoría del hecho del príncipe más para los contratos del Estado que para los contratos de otras personas públicas: para los unos esta condición queda satisfecha con mayor frecuencia que para los otros”.</w:t>
      </w:r>
    </w:p>
    <w:p w:rsidR="00710746" w:rsidRPr="004F681E" w:rsidRDefault="00710746" w:rsidP="00F02EDA">
      <w:pPr>
        <w:spacing w:before="100" w:beforeAutospacing="1" w:after="100" w:afterAutospacing="1"/>
        <w:jc w:val="both"/>
        <w:rPr>
          <w:rFonts w:ascii="Arial" w:hAnsi="Arial" w:cs="Arial"/>
          <w:i/>
          <w:sz w:val="20"/>
          <w:szCs w:val="20"/>
          <w:lang w:val="es-CO" w:eastAsia="es-CO"/>
        </w:rPr>
      </w:pPr>
      <w:r w:rsidRPr="004F681E">
        <w:rPr>
          <w:rFonts w:ascii="Arial" w:hAnsi="Arial" w:cs="Arial"/>
          <w:i/>
          <w:sz w:val="20"/>
          <w:szCs w:val="20"/>
          <w:lang w:val="es-CO" w:eastAsia="es-CO"/>
        </w:rPr>
        <w:t>“De tal manera que, si la medida proviene de otra autoridad pero que pertenece a la misma persona jurídica contratante, será posible hablar de la existencia del hecho del príncipe, siendo el caso típico el de la Nación, persona jurídica que actúa a través de diversos representantes, pero sin dejar de ser ella misma quien toma las decisiones o asume las obligaciones contractuales correspondientes, así como la responsabilidad que de las mismas se pueda derivar”. </w:t>
      </w:r>
    </w:p>
  </w:footnote>
  <w:footnote w:id="75">
    <w:p w:rsidR="00710746" w:rsidRPr="004F681E" w:rsidRDefault="00710746" w:rsidP="000D2570">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Consejo de Estado, Sección Tercera, Subsección B, del 28 de julio de 2012, exp. 21.990, C.P. Ruth Stella Correa Palacio.</w:t>
      </w:r>
    </w:p>
    <w:p w:rsidR="00710746" w:rsidRPr="004F681E" w:rsidRDefault="00710746">
      <w:pPr>
        <w:pStyle w:val="Textonotapie"/>
        <w:rPr>
          <w:rFonts w:ascii="Arial" w:hAnsi="Arial" w:cs="Arial"/>
          <w:lang w:val="es-CO"/>
        </w:rPr>
      </w:pPr>
    </w:p>
  </w:footnote>
  <w:footnote w:id="76">
    <w:p w:rsidR="00710746" w:rsidRPr="004F681E" w:rsidRDefault="00710746">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http://www.alcaldiabogota.gov.co/ - Página oficial. </w:t>
      </w:r>
    </w:p>
  </w:footnote>
  <w:footnote w:id="77">
    <w:p w:rsidR="00710746" w:rsidRPr="004F681E" w:rsidRDefault="00710746" w:rsidP="0054265F">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300-301 C3. </w:t>
      </w:r>
    </w:p>
  </w:footnote>
  <w:footnote w:id="78">
    <w:p w:rsidR="00710746" w:rsidRPr="004F681E" w:rsidRDefault="00710746" w:rsidP="0054265F">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235 C1. </w:t>
      </w:r>
    </w:p>
  </w:footnote>
  <w:footnote w:id="79">
    <w:p w:rsidR="00710746" w:rsidRPr="004F681E" w:rsidRDefault="00710746">
      <w:pPr>
        <w:pStyle w:val="Textonotapie"/>
        <w:rPr>
          <w:rFonts w:ascii="Arial" w:hAnsi="Arial" w:cs="Arial"/>
          <w:lang w:val="en-US"/>
        </w:rPr>
      </w:pPr>
      <w:r w:rsidRPr="004F681E">
        <w:rPr>
          <w:rStyle w:val="Refdenotaalpie"/>
          <w:rFonts w:ascii="Arial" w:hAnsi="Arial" w:cs="Arial"/>
        </w:rPr>
        <w:footnoteRef/>
      </w:r>
      <w:r w:rsidRPr="004F681E">
        <w:rPr>
          <w:rFonts w:ascii="Arial" w:hAnsi="Arial" w:cs="Arial"/>
          <w:lang w:val="en-US"/>
        </w:rPr>
        <w:t xml:space="preserve"> Fls. 252 C1. </w:t>
      </w:r>
    </w:p>
  </w:footnote>
  <w:footnote w:id="80">
    <w:p w:rsidR="00710746" w:rsidRPr="004F681E" w:rsidRDefault="00710746" w:rsidP="0054265F">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Fl. 258 C1. </w:t>
      </w:r>
    </w:p>
  </w:footnote>
  <w:footnote w:id="81">
    <w:p w:rsidR="00710746" w:rsidRPr="004F681E" w:rsidRDefault="00710746" w:rsidP="003950E6">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En el año 2006, tras la expedición del Acuerdo Distrital 257 y en el Decreto 558 del mismo año de la Alcaldía Mayor de Bogotá, se realizó la reforma administrativa del Distrito, producto de la cual el Instituto Distrital para la Recreación y el Deporte pasó a ser entidad adscrita de la nueva Secretaría de Cultura Recreación y Deporte, sin sufrir modificaciones en su esencia, pues continúa como un establecimiento público descentralizado, con personería jurídica, autonomía administrativa y patrimonio independiente.</w:t>
      </w:r>
    </w:p>
  </w:footnote>
  <w:footnote w:id="82">
    <w:p w:rsidR="00710746" w:rsidRPr="004F681E" w:rsidRDefault="00710746" w:rsidP="002D755C">
      <w:pPr>
        <w:jc w:val="both"/>
        <w:rPr>
          <w:rFonts w:ascii="Arial" w:hAnsi="Arial" w:cs="Arial"/>
          <w:sz w:val="20"/>
          <w:szCs w:val="20"/>
          <w:lang w:val="es-CO"/>
        </w:rPr>
      </w:pPr>
      <w:r w:rsidRPr="004F681E">
        <w:rPr>
          <w:rStyle w:val="Refdenotaalpie"/>
          <w:rFonts w:ascii="Arial" w:hAnsi="Arial" w:cs="Arial"/>
          <w:sz w:val="20"/>
          <w:szCs w:val="20"/>
        </w:rPr>
        <w:footnoteRef/>
      </w:r>
      <w:r w:rsidRPr="004F681E">
        <w:rPr>
          <w:rFonts w:ascii="Arial" w:hAnsi="Arial" w:cs="Arial"/>
          <w:sz w:val="20"/>
          <w:szCs w:val="20"/>
        </w:rPr>
        <w:t xml:space="preserve"> </w:t>
      </w:r>
      <w:r w:rsidRPr="004F681E">
        <w:rPr>
          <w:rFonts w:ascii="Arial" w:hAnsi="Arial" w:cs="Arial"/>
          <w:i/>
          <w:sz w:val="20"/>
          <w:szCs w:val="20"/>
          <w:lang w:val="es-CO"/>
        </w:rPr>
        <w:t>“Se considera que el 33, 3% (20 segundos) de cada minuto será dedicado a información de interés general; es decir mensajes relacionados con programas, eventos, campañas y actividades desarrolladas por cualquier entidad de la Alcaldía Mayor de Bogotá los cuales serán autorizados por la oficina de comunicaciones del IDRD. De igual forma se podrán transmitir paneos de las tribunas, repetición de jugadas (previas las autorizaciones tramitadas ante el concesionario ante la DIMAYOR), tablas de posición de los equipos de futbol como mínimo el 16,7% es decir 10 segundos de cada minuto serán dedicados al IDRD a través de mensajes aprobados por la Oficina de Comunicaciones del IDRD. El tiempo disponible para comercialización será el restante de cada minuto</w:t>
      </w:r>
      <w:r w:rsidRPr="004F681E">
        <w:rPr>
          <w:rFonts w:ascii="Arial" w:hAnsi="Arial" w:cs="Arial"/>
          <w:sz w:val="20"/>
          <w:szCs w:val="20"/>
          <w:lang w:val="es-CO"/>
        </w:rPr>
        <w:t>”.</w:t>
      </w:r>
    </w:p>
    <w:p w:rsidR="00710746" w:rsidRPr="004F681E" w:rsidRDefault="00710746">
      <w:pPr>
        <w:pStyle w:val="Textonotapie"/>
        <w:rPr>
          <w:rFonts w:ascii="Arial" w:hAnsi="Arial" w:cs="Arial"/>
          <w:lang w:val="es-CO"/>
        </w:rPr>
      </w:pPr>
    </w:p>
  </w:footnote>
  <w:footnote w:id="83">
    <w:p w:rsidR="00FC3F4E" w:rsidRPr="004F681E" w:rsidRDefault="00FC3F4E">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129"/>
        <w:gridCol w:w="1128"/>
      </w:tblGrid>
      <w:tr w:rsidR="004F681E" w:rsidRPr="004F681E" w:rsidTr="00B75077">
        <w:tc>
          <w:tcPr>
            <w:tcW w:w="0" w:type="auto"/>
            <w:shd w:val="clear" w:color="auto" w:fill="auto"/>
          </w:tcPr>
          <w:p w:rsidR="00FC3F4E" w:rsidRPr="004F681E" w:rsidRDefault="00FC3F4E" w:rsidP="00FC3F4E">
            <w:pPr>
              <w:spacing w:line="360" w:lineRule="auto"/>
              <w:jc w:val="both"/>
              <w:rPr>
                <w:rFonts w:ascii="Arial" w:hAnsi="Arial" w:cs="Arial"/>
                <w:b/>
                <w:sz w:val="20"/>
                <w:szCs w:val="20"/>
                <w:lang w:val="es-CO"/>
              </w:rPr>
            </w:pPr>
            <w:r w:rsidRPr="004F681E">
              <w:rPr>
                <w:rFonts w:ascii="Arial" w:hAnsi="Arial" w:cs="Arial"/>
                <w:b/>
                <w:sz w:val="20"/>
                <w:szCs w:val="20"/>
                <w:lang w:val="es-CO"/>
              </w:rPr>
              <w:t xml:space="preserve">Año </w:t>
            </w:r>
          </w:p>
        </w:tc>
        <w:tc>
          <w:tcPr>
            <w:tcW w:w="0" w:type="auto"/>
            <w:shd w:val="clear" w:color="auto" w:fill="auto"/>
          </w:tcPr>
          <w:p w:rsidR="00FC3F4E" w:rsidRPr="004F681E" w:rsidRDefault="00FC3F4E" w:rsidP="00FC3F4E">
            <w:pPr>
              <w:spacing w:line="360" w:lineRule="auto"/>
              <w:jc w:val="both"/>
              <w:rPr>
                <w:rFonts w:ascii="Arial" w:hAnsi="Arial" w:cs="Arial"/>
                <w:b/>
                <w:sz w:val="20"/>
                <w:szCs w:val="20"/>
                <w:lang w:val="es-CO"/>
              </w:rPr>
            </w:pPr>
            <w:r w:rsidRPr="004F681E">
              <w:rPr>
                <w:rFonts w:ascii="Arial" w:hAnsi="Arial" w:cs="Arial"/>
                <w:b/>
                <w:sz w:val="20"/>
                <w:szCs w:val="20"/>
                <w:lang w:val="es-CO"/>
              </w:rPr>
              <w:t xml:space="preserve">Utilidad anual al final del ejercicio según estado de resultados </w:t>
            </w:r>
          </w:p>
        </w:tc>
        <w:tc>
          <w:tcPr>
            <w:tcW w:w="0" w:type="auto"/>
            <w:shd w:val="clear" w:color="auto" w:fill="auto"/>
          </w:tcPr>
          <w:p w:rsidR="00FC3F4E" w:rsidRPr="004F681E" w:rsidRDefault="00FC3F4E" w:rsidP="00FC3F4E">
            <w:pPr>
              <w:spacing w:line="360" w:lineRule="auto"/>
              <w:jc w:val="both"/>
              <w:rPr>
                <w:rFonts w:ascii="Arial" w:hAnsi="Arial" w:cs="Arial"/>
                <w:b/>
                <w:sz w:val="20"/>
                <w:szCs w:val="20"/>
                <w:lang w:val="es-CO"/>
              </w:rPr>
            </w:pPr>
            <w:r w:rsidRPr="004F681E">
              <w:rPr>
                <w:rFonts w:ascii="Arial" w:hAnsi="Arial" w:cs="Arial"/>
                <w:b/>
                <w:sz w:val="20"/>
                <w:szCs w:val="20"/>
                <w:lang w:val="es-CO"/>
              </w:rPr>
              <w:t xml:space="preserve">Folios </w:t>
            </w:r>
          </w:p>
        </w:tc>
      </w:tr>
      <w:tr w:rsidR="004F681E" w:rsidRPr="004F681E" w:rsidTr="00B75077">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2007</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$458’244.989 27 – 1 de enero al 31 de diciembre de 2007</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(1-188 c2)</w:t>
            </w:r>
          </w:p>
        </w:tc>
      </w:tr>
      <w:tr w:rsidR="004F681E" w:rsidRPr="004F681E" w:rsidTr="00B75077">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2008</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$1.135’990.413 -1 de enero al 31 de diciembre de 2008</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 xml:space="preserve">(1-14 c2)  </w:t>
            </w:r>
          </w:p>
        </w:tc>
      </w:tr>
      <w:tr w:rsidR="004F681E" w:rsidRPr="004F681E" w:rsidTr="00B75077">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2009</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$410’690.024 -1 de enero al 31 de diciembre de 2009</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(1-29 c2)</w:t>
            </w:r>
          </w:p>
        </w:tc>
      </w:tr>
      <w:tr w:rsidR="004F681E" w:rsidRPr="004F681E" w:rsidTr="00B75077">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2010</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$596’706.598 1 de enero al 31 de diciembre de 2010</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(1-41 c2).</w:t>
            </w:r>
          </w:p>
        </w:tc>
      </w:tr>
      <w:tr w:rsidR="004F681E" w:rsidRPr="004F681E" w:rsidTr="00B75077">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2011</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$357’177.504 ,50 1 de enero al 31 de diciembre de 2011</w:t>
            </w:r>
          </w:p>
        </w:tc>
        <w:tc>
          <w:tcPr>
            <w:tcW w:w="0" w:type="auto"/>
            <w:shd w:val="clear" w:color="auto" w:fill="auto"/>
          </w:tcPr>
          <w:p w:rsidR="00FC3F4E" w:rsidRPr="004F681E" w:rsidRDefault="00FC3F4E" w:rsidP="00FC3F4E">
            <w:pPr>
              <w:spacing w:line="360" w:lineRule="auto"/>
              <w:jc w:val="both"/>
              <w:rPr>
                <w:rFonts w:ascii="Arial" w:hAnsi="Arial" w:cs="Arial"/>
                <w:sz w:val="20"/>
                <w:szCs w:val="20"/>
                <w:lang w:val="es-CO"/>
              </w:rPr>
            </w:pPr>
            <w:r w:rsidRPr="004F681E">
              <w:rPr>
                <w:rFonts w:ascii="Arial" w:hAnsi="Arial" w:cs="Arial"/>
                <w:sz w:val="20"/>
                <w:szCs w:val="20"/>
                <w:lang w:val="es-CO"/>
              </w:rPr>
              <w:t>(1-52 c2)</w:t>
            </w:r>
          </w:p>
        </w:tc>
      </w:tr>
    </w:tbl>
    <w:p w:rsidR="00FC3F4E" w:rsidRPr="004F681E" w:rsidRDefault="00FC3F4E" w:rsidP="00FC3F4E">
      <w:pPr>
        <w:pStyle w:val="Textonotapie"/>
        <w:rPr>
          <w:rFonts w:ascii="Arial" w:hAnsi="Arial" w:cs="Arial"/>
          <w:lang w:val="es-CO"/>
        </w:rPr>
      </w:pPr>
    </w:p>
    <w:p w:rsidR="00FC3F4E" w:rsidRPr="004F681E" w:rsidRDefault="00FC3F4E">
      <w:pPr>
        <w:pStyle w:val="Textonotapie"/>
        <w:rPr>
          <w:rFonts w:ascii="Arial" w:hAnsi="Arial" w:cs="Arial"/>
          <w:lang w:val="es-CO"/>
        </w:rPr>
      </w:pPr>
    </w:p>
  </w:footnote>
  <w:footnote w:id="84">
    <w:p w:rsidR="00710746" w:rsidRPr="004F681E" w:rsidRDefault="00710746">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En realidad, el contrato se firmó en abril 2007.</w:t>
      </w:r>
    </w:p>
  </w:footnote>
  <w:footnote w:id="85">
    <w:p w:rsidR="00710746" w:rsidRPr="004F681E" w:rsidRDefault="00710746" w:rsidP="006E347C">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Folios 1-1 a 1-7, del dictamen pericial, cuaderno 2. </w:t>
      </w:r>
    </w:p>
  </w:footnote>
  <w:footnote w:id="86">
    <w:p w:rsidR="00710746" w:rsidRPr="004F681E" w:rsidRDefault="00710746" w:rsidP="006E347C">
      <w:pPr>
        <w:pStyle w:val="Textonotapie"/>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Página 17, dictamen pericial, cuaderno 2. </w:t>
      </w:r>
    </w:p>
  </w:footnote>
  <w:footnote w:id="87">
    <w:p w:rsidR="00710746" w:rsidRPr="004F681E" w:rsidRDefault="00710746" w:rsidP="006E347C">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b/>
          <w:bCs/>
          <w:i/>
          <w:shd w:val="clear" w:color="auto" w:fill="FFFFFF"/>
        </w:rPr>
        <w:t>Artículo</w:t>
      </w:r>
      <w:r w:rsidRPr="004F681E">
        <w:rPr>
          <w:rStyle w:val="apple-converted-space"/>
          <w:rFonts w:ascii="Arial" w:hAnsi="Arial" w:cs="Arial"/>
          <w:i/>
          <w:shd w:val="clear" w:color="auto" w:fill="FFFFFF"/>
        </w:rPr>
        <w:t> </w:t>
      </w:r>
      <w:r w:rsidRPr="004F681E">
        <w:rPr>
          <w:rFonts w:ascii="Arial" w:hAnsi="Arial" w:cs="Arial"/>
          <w:b/>
          <w:bCs/>
          <w:i/>
          <w:shd w:val="clear" w:color="auto" w:fill="FFFFFF"/>
        </w:rPr>
        <w:t>74. COSTO DE LOS BIENES INCORPORALES.</w:t>
      </w:r>
      <w:r w:rsidRPr="004F681E">
        <w:rPr>
          <w:rStyle w:val="apple-converted-space"/>
          <w:rFonts w:ascii="Arial" w:hAnsi="Arial" w:cs="Arial"/>
          <w:i/>
          <w:shd w:val="clear" w:color="auto" w:fill="FFFFFF"/>
        </w:rPr>
        <w:t> </w:t>
      </w:r>
      <w:r w:rsidRPr="004F681E">
        <w:rPr>
          <w:rFonts w:ascii="Arial" w:hAnsi="Arial" w:cs="Arial"/>
          <w:i/>
          <w:shd w:val="clear" w:color="auto" w:fill="FFFFFF"/>
        </w:rPr>
        <w:t>El valor de los bienes incorporales concernientes a la propiedad industrial y a la literaria, artística y científica, tales como patentes de invención, marcas, good will, derechos de autor u otros intangibles adquiridos a cualquier título, se estima por su costo de adquisición demostrado, menos las amortizaciones concedidas y la solicitada por el año o período gravable. En caso de que esta última amortización no sea aceptada, el liquidador hará los ajustes correspondientes</w:t>
      </w:r>
      <w:r w:rsidRPr="004F681E">
        <w:rPr>
          <w:rFonts w:ascii="Arial" w:hAnsi="Arial" w:cs="Arial"/>
          <w:shd w:val="clear" w:color="auto" w:fill="FFFFFF"/>
        </w:rPr>
        <w:t>”.</w:t>
      </w:r>
    </w:p>
  </w:footnote>
  <w:footnote w:id="88">
    <w:p w:rsidR="00710746" w:rsidRPr="004F681E" w:rsidRDefault="00710746" w:rsidP="006E347C">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Folio 1.1. del dictamen pericial, cuaderno 2. </w:t>
      </w:r>
    </w:p>
    <w:p w:rsidR="00710746" w:rsidRPr="004F681E" w:rsidRDefault="00710746" w:rsidP="006E347C">
      <w:pPr>
        <w:pStyle w:val="Textonotapie"/>
        <w:jc w:val="both"/>
        <w:rPr>
          <w:rFonts w:ascii="Arial" w:hAnsi="Arial" w:cs="Arial"/>
          <w:lang w:val="es-CO"/>
        </w:rPr>
      </w:pPr>
    </w:p>
  </w:footnote>
  <w:footnote w:id="89">
    <w:p w:rsidR="00710746" w:rsidRPr="004F681E" w:rsidRDefault="00710746" w:rsidP="00B03481">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Decreto 2649 de 1993, Artículo 66: "</w:t>
      </w:r>
      <w:r w:rsidRPr="004F681E">
        <w:rPr>
          <w:rFonts w:ascii="Arial" w:hAnsi="Arial" w:cs="Arial"/>
          <w:i/>
        </w:rPr>
        <w:t>Son activos intangibles los recursos obtenidos por un ente económico que, careciendo de naturaleza material, implican un derecho o privilegio oponible a terceros, distintos de los derivados de los otros activos, de cuyo ejercicio o explotación pueden obtenerse beneficios económicos en varios períodos determinables, tales como patentes, marcas, derechos de autor, crédito mercantil, franquicias, así como los derechos derivados de bienes entregados en fiducia mercantil. El valor histórico de los activos debe corresponder al monto de las erogaciones claramente identificables en que efectivamente se incurra o se deba incurrir para adquirirlos, formarlos o usarlos, el cual, cuando sea el caso, se debe reexpresar como consecuencia de la inflación</w:t>
      </w:r>
      <w:r w:rsidRPr="004F681E">
        <w:rPr>
          <w:rFonts w:ascii="Arial" w:hAnsi="Arial" w:cs="Arial"/>
        </w:rPr>
        <w:t>" Así las cosas, se observa que el reconocimiento del good will (incluso el formado) está ligado (su costo) estrictamente a las erogaciones claramente identificables.</w:t>
      </w:r>
    </w:p>
    <w:p w:rsidR="00710746" w:rsidRPr="004F681E" w:rsidRDefault="00710746" w:rsidP="00B03481">
      <w:pPr>
        <w:pStyle w:val="Textonotapie"/>
        <w:jc w:val="both"/>
        <w:rPr>
          <w:rFonts w:ascii="Arial" w:hAnsi="Arial" w:cs="Arial"/>
          <w:lang w:val="es-CO"/>
        </w:rPr>
      </w:pPr>
    </w:p>
  </w:footnote>
  <w:footnote w:id="90">
    <w:p w:rsidR="00710746" w:rsidRPr="004F681E" w:rsidRDefault="00710746" w:rsidP="00B03481">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Véase el balance general de 2007, 2008 y 2009 obrantes a los folios 1-1</w:t>
      </w:r>
      <w:r w:rsidR="00362B4D" w:rsidRPr="004F681E">
        <w:rPr>
          <w:rFonts w:ascii="Arial" w:hAnsi="Arial" w:cs="Arial"/>
          <w:lang w:val="es-CO"/>
        </w:rPr>
        <w:t>87, 1-13 y</w:t>
      </w:r>
      <w:r w:rsidRPr="004F681E">
        <w:rPr>
          <w:rFonts w:ascii="Arial" w:hAnsi="Arial" w:cs="Arial"/>
          <w:lang w:val="es-CO"/>
        </w:rPr>
        <w:t xml:space="preserve"> 1-28, anexos del dictamen pericial. </w:t>
      </w:r>
    </w:p>
    <w:p w:rsidR="00710746" w:rsidRPr="004F681E" w:rsidRDefault="00710746" w:rsidP="00B03481">
      <w:pPr>
        <w:pStyle w:val="Textonotapie"/>
        <w:jc w:val="both"/>
        <w:rPr>
          <w:rFonts w:ascii="Arial" w:hAnsi="Arial" w:cs="Arial"/>
          <w:lang w:val="es-CO"/>
        </w:rPr>
      </w:pPr>
    </w:p>
  </w:footnote>
  <w:footnote w:id="91">
    <w:p w:rsidR="00223538" w:rsidRPr="004F681E" w:rsidRDefault="00223538" w:rsidP="0087115A">
      <w:pPr>
        <w:spacing w:line="360" w:lineRule="auto"/>
        <w:jc w:val="both"/>
        <w:rPr>
          <w:rFonts w:ascii="Arial" w:eastAsia="Calibri" w:hAnsi="Arial" w:cs="Arial"/>
          <w:sz w:val="20"/>
          <w:szCs w:val="20"/>
          <w:lang w:val="es-CO" w:eastAsia="en-US"/>
        </w:rPr>
      </w:pPr>
      <w:r w:rsidRPr="004F681E">
        <w:rPr>
          <w:rStyle w:val="Refdenotaalpie"/>
          <w:rFonts w:ascii="Arial" w:hAnsi="Arial" w:cs="Arial"/>
          <w:sz w:val="20"/>
          <w:szCs w:val="20"/>
        </w:rPr>
        <w:footnoteRe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129"/>
        <w:gridCol w:w="1128"/>
      </w:tblGrid>
      <w:tr w:rsidR="004F681E" w:rsidRPr="004F681E" w:rsidTr="00B75077">
        <w:tc>
          <w:tcPr>
            <w:tcW w:w="0" w:type="auto"/>
            <w:shd w:val="clear" w:color="auto" w:fill="auto"/>
          </w:tcPr>
          <w:p w:rsidR="00223538" w:rsidRPr="004F681E" w:rsidRDefault="00223538" w:rsidP="00223538">
            <w:pPr>
              <w:spacing w:line="360" w:lineRule="auto"/>
              <w:jc w:val="both"/>
              <w:rPr>
                <w:rFonts w:ascii="Arial" w:hAnsi="Arial" w:cs="Arial"/>
                <w:b/>
                <w:sz w:val="20"/>
                <w:szCs w:val="20"/>
                <w:lang w:val="es-CO"/>
              </w:rPr>
            </w:pPr>
            <w:r w:rsidRPr="004F681E">
              <w:rPr>
                <w:rFonts w:ascii="Arial" w:hAnsi="Arial" w:cs="Arial"/>
                <w:b/>
                <w:sz w:val="20"/>
                <w:szCs w:val="20"/>
                <w:lang w:val="es-CO"/>
              </w:rPr>
              <w:t xml:space="preserve">Año </w:t>
            </w:r>
          </w:p>
        </w:tc>
        <w:tc>
          <w:tcPr>
            <w:tcW w:w="0" w:type="auto"/>
            <w:shd w:val="clear" w:color="auto" w:fill="auto"/>
          </w:tcPr>
          <w:p w:rsidR="00223538" w:rsidRPr="004F681E" w:rsidRDefault="00223538" w:rsidP="00223538">
            <w:pPr>
              <w:spacing w:line="360" w:lineRule="auto"/>
              <w:jc w:val="both"/>
              <w:rPr>
                <w:rFonts w:ascii="Arial" w:hAnsi="Arial" w:cs="Arial"/>
                <w:b/>
                <w:sz w:val="20"/>
                <w:szCs w:val="20"/>
                <w:lang w:val="es-CO"/>
              </w:rPr>
            </w:pPr>
            <w:r w:rsidRPr="004F681E">
              <w:rPr>
                <w:rFonts w:ascii="Arial" w:hAnsi="Arial" w:cs="Arial"/>
                <w:b/>
                <w:sz w:val="20"/>
                <w:szCs w:val="20"/>
                <w:lang w:val="es-CO"/>
              </w:rPr>
              <w:t xml:space="preserve">Utilidad anual al final del ejercicio según estado de resultados </w:t>
            </w:r>
          </w:p>
        </w:tc>
        <w:tc>
          <w:tcPr>
            <w:tcW w:w="0" w:type="auto"/>
            <w:shd w:val="clear" w:color="auto" w:fill="auto"/>
          </w:tcPr>
          <w:p w:rsidR="00223538" w:rsidRPr="004F681E" w:rsidRDefault="00223538" w:rsidP="00223538">
            <w:pPr>
              <w:spacing w:line="360" w:lineRule="auto"/>
              <w:jc w:val="both"/>
              <w:rPr>
                <w:rFonts w:ascii="Arial" w:hAnsi="Arial" w:cs="Arial"/>
                <w:b/>
                <w:sz w:val="20"/>
                <w:szCs w:val="20"/>
                <w:lang w:val="es-CO"/>
              </w:rPr>
            </w:pPr>
            <w:r w:rsidRPr="004F681E">
              <w:rPr>
                <w:rFonts w:ascii="Arial" w:hAnsi="Arial" w:cs="Arial"/>
                <w:b/>
                <w:sz w:val="20"/>
                <w:szCs w:val="20"/>
                <w:lang w:val="es-CO"/>
              </w:rPr>
              <w:t xml:space="preserve">Folios </w:t>
            </w:r>
          </w:p>
        </w:tc>
      </w:tr>
      <w:tr w:rsidR="004F681E" w:rsidRPr="004F681E" w:rsidTr="00B75077">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2007</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$458’244.989 27 – 1 de enero al 31 de diciembre de 2007</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(1-188 c2)</w:t>
            </w:r>
          </w:p>
        </w:tc>
      </w:tr>
      <w:tr w:rsidR="004F681E" w:rsidRPr="004F681E" w:rsidTr="00B75077">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2008</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$1.135’990.413 -1 de enero al 31 de diciembre de 2008</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 xml:space="preserve">(1-14 c2)  </w:t>
            </w:r>
          </w:p>
        </w:tc>
      </w:tr>
      <w:tr w:rsidR="004F681E" w:rsidRPr="004F681E" w:rsidTr="00B75077">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2009</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$410’690.024 -1 de enero al 31 de diciembre de 2009</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(1-29 c2)</w:t>
            </w:r>
          </w:p>
        </w:tc>
      </w:tr>
      <w:tr w:rsidR="004F681E" w:rsidRPr="004F681E" w:rsidTr="00B75077">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2010</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$596’706.598 1 de enero al 31 de diciembre de 2010</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(1-41 c2).</w:t>
            </w:r>
          </w:p>
        </w:tc>
      </w:tr>
      <w:tr w:rsidR="004F681E" w:rsidRPr="004F681E" w:rsidTr="00B75077">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2011</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$357’177.504 ,50 1 de enero al 31 de diciembre de 2011</w:t>
            </w:r>
          </w:p>
        </w:tc>
        <w:tc>
          <w:tcPr>
            <w:tcW w:w="0" w:type="auto"/>
            <w:shd w:val="clear" w:color="auto" w:fill="auto"/>
          </w:tcPr>
          <w:p w:rsidR="00223538" w:rsidRPr="004F681E" w:rsidRDefault="00223538" w:rsidP="00223538">
            <w:pPr>
              <w:spacing w:line="360" w:lineRule="auto"/>
              <w:jc w:val="both"/>
              <w:rPr>
                <w:rFonts w:ascii="Arial" w:hAnsi="Arial" w:cs="Arial"/>
                <w:sz w:val="20"/>
                <w:szCs w:val="20"/>
                <w:lang w:val="es-CO"/>
              </w:rPr>
            </w:pPr>
            <w:r w:rsidRPr="004F681E">
              <w:rPr>
                <w:rFonts w:ascii="Arial" w:hAnsi="Arial" w:cs="Arial"/>
                <w:sz w:val="20"/>
                <w:szCs w:val="20"/>
                <w:lang w:val="es-CO"/>
              </w:rPr>
              <w:t>(1-52 c2)</w:t>
            </w:r>
          </w:p>
        </w:tc>
      </w:tr>
    </w:tbl>
    <w:p w:rsidR="00223538" w:rsidRPr="004F681E" w:rsidRDefault="00223538">
      <w:pPr>
        <w:pStyle w:val="Textonotapie"/>
        <w:rPr>
          <w:rFonts w:ascii="Arial" w:hAnsi="Arial" w:cs="Arial"/>
          <w:lang w:val="es-CO"/>
        </w:rPr>
      </w:pPr>
    </w:p>
  </w:footnote>
  <w:footnote w:id="92">
    <w:p w:rsidR="00710746" w:rsidRPr="004F681E" w:rsidRDefault="00710746" w:rsidP="00B03481">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Los mismos se encuentran suscritos por el Contador Público Edgar Alirio Molina Medellín y soportados en las certificaciones de ingresos expedidas por los Revisores Fiscales de Hernando de Jesús Builes Yepes (sociedad PublikTecnologías, Información, Comunicaciones y Medio Ambiente SAS) y Gonzalo Alberto Monsalve Muñoz (sociedad Marketmedios Comunicaciones S.A.) fls. 8-199 C2).</w:t>
      </w:r>
    </w:p>
  </w:footnote>
  <w:footnote w:id="93">
    <w:p w:rsidR="00475E01" w:rsidRPr="004F681E" w:rsidRDefault="00475E01" w:rsidP="00475E01">
      <w:pPr>
        <w:pStyle w:val="Textonotapie"/>
        <w:jc w:val="both"/>
        <w:rPr>
          <w:rFonts w:ascii="Arial" w:hAnsi="Arial" w:cs="Arial"/>
        </w:rPr>
      </w:pPr>
      <w:r w:rsidRPr="004F681E">
        <w:rPr>
          <w:rStyle w:val="Refdenotaalpie"/>
          <w:rFonts w:ascii="Arial" w:hAnsi="Arial" w:cs="Arial"/>
        </w:rPr>
        <w:footnoteRef/>
      </w:r>
      <w:r w:rsidRPr="004F681E">
        <w:rPr>
          <w:rFonts w:ascii="Arial" w:hAnsi="Arial" w:cs="Arial"/>
        </w:rPr>
        <w:t xml:space="preserve"> A título ilustrativo se observa que mediante oficio del 2 de junio de 2011 (fls. 216-217 C1), el IDRD solicitó al contratista que allegara el balance general y los estados de resultados con corte a 31 de diciembre de los años 2008, 2009 y 2010, para analizar la procedencia del lucro cesante. Dichos documentos fueron debidamente aportados ante la instancia administrativa por el contratista.  </w:t>
      </w:r>
    </w:p>
    <w:p w:rsidR="00475E01" w:rsidRPr="004F681E" w:rsidRDefault="00475E01">
      <w:pPr>
        <w:pStyle w:val="Textonotapie"/>
        <w:rPr>
          <w:rFonts w:ascii="Arial" w:hAnsi="Arial" w:cs="Arial"/>
        </w:rPr>
      </w:pPr>
    </w:p>
  </w:footnote>
  <w:footnote w:id="94">
    <w:p w:rsidR="0053042A" w:rsidRPr="004F681E" w:rsidRDefault="0053042A" w:rsidP="0053042A">
      <w:pPr>
        <w:pStyle w:val="Textonotapie"/>
        <w:jc w:val="both"/>
        <w:rPr>
          <w:rFonts w:ascii="Arial" w:hAnsi="Arial" w:cs="Arial"/>
          <w:lang w:val="es-CO"/>
        </w:rPr>
      </w:pPr>
      <w:r w:rsidRPr="004F681E">
        <w:rPr>
          <w:rStyle w:val="Refdenotaalpie"/>
          <w:rFonts w:ascii="Arial" w:hAnsi="Arial" w:cs="Arial"/>
        </w:rPr>
        <w:footnoteRef/>
      </w:r>
      <w:r w:rsidRPr="004F681E">
        <w:rPr>
          <w:rFonts w:ascii="Arial" w:hAnsi="Arial" w:cs="Arial"/>
        </w:rPr>
        <w:t xml:space="preserve"> </w:t>
      </w:r>
      <w:r w:rsidRPr="004F681E">
        <w:rPr>
          <w:rFonts w:ascii="Arial" w:hAnsi="Arial" w:cs="Arial"/>
          <w:lang w:val="es-CO"/>
        </w:rPr>
        <w:t xml:space="preserve">Se recuerda que la solemnidad no es requisito de perfeccionamiento de todas las tipologías contractuales sino solo en aquellos casos en los que la ley así lo exige.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114336"/>
    <w:multiLevelType w:val="hybridMultilevel"/>
    <w:tmpl w:val="E6A266FC"/>
    <w:lvl w:ilvl="0" w:tplc="6D42EE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D3577C"/>
    <w:multiLevelType w:val="hybridMultilevel"/>
    <w:tmpl w:val="0C383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2F480A"/>
    <w:multiLevelType w:val="hybridMultilevel"/>
    <w:tmpl w:val="05CA4F56"/>
    <w:lvl w:ilvl="0" w:tplc="09F6A2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F020B6"/>
    <w:multiLevelType w:val="hybridMultilevel"/>
    <w:tmpl w:val="3A02B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8"/>
  </w:num>
  <w:num w:numId="6">
    <w:abstractNumId w:val="3"/>
  </w:num>
  <w:num w:numId="7">
    <w:abstractNumId w:val="5"/>
  </w:num>
  <w:num w:numId="8">
    <w:abstractNumId w:val="2"/>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133D"/>
    <w:rsid w:val="00001FB1"/>
    <w:rsid w:val="00002E66"/>
    <w:rsid w:val="0000301B"/>
    <w:rsid w:val="00003640"/>
    <w:rsid w:val="00004671"/>
    <w:rsid w:val="00004746"/>
    <w:rsid w:val="00004817"/>
    <w:rsid w:val="000064E2"/>
    <w:rsid w:val="00006CE6"/>
    <w:rsid w:val="00007F3F"/>
    <w:rsid w:val="00010698"/>
    <w:rsid w:val="00010FAD"/>
    <w:rsid w:val="000111D5"/>
    <w:rsid w:val="000123FA"/>
    <w:rsid w:val="00012637"/>
    <w:rsid w:val="00012C4C"/>
    <w:rsid w:val="0001506E"/>
    <w:rsid w:val="00017251"/>
    <w:rsid w:val="00017515"/>
    <w:rsid w:val="00021ACB"/>
    <w:rsid w:val="000220D5"/>
    <w:rsid w:val="00022515"/>
    <w:rsid w:val="000234B6"/>
    <w:rsid w:val="00024427"/>
    <w:rsid w:val="000247A0"/>
    <w:rsid w:val="00026D6D"/>
    <w:rsid w:val="00030981"/>
    <w:rsid w:val="00031A5E"/>
    <w:rsid w:val="00033CB3"/>
    <w:rsid w:val="00033CC4"/>
    <w:rsid w:val="000340E8"/>
    <w:rsid w:val="000348D4"/>
    <w:rsid w:val="00035186"/>
    <w:rsid w:val="000363B2"/>
    <w:rsid w:val="00037811"/>
    <w:rsid w:val="00037F67"/>
    <w:rsid w:val="00040DB5"/>
    <w:rsid w:val="00040F75"/>
    <w:rsid w:val="000416F6"/>
    <w:rsid w:val="0004261D"/>
    <w:rsid w:val="00043F76"/>
    <w:rsid w:val="00044EF9"/>
    <w:rsid w:val="000465F7"/>
    <w:rsid w:val="0004777B"/>
    <w:rsid w:val="000515ED"/>
    <w:rsid w:val="00051800"/>
    <w:rsid w:val="000521C0"/>
    <w:rsid w:val="000524EB"/>
    <w:rsid w:val="0005270B"/>
    <w:rsid w:val="00053A96"/>
    <w:rsid w:val="000541AB"/>
    <w:rsid w:val="00054840"/>
    <w:rsid w:val="0005543B"/>
    <w:rsid w:val="00055A0D"/>
    <w:rsid w:val="000560E9"/>
    <w:rsid w:val="0005691A"/>
    <w:rsid w:val="00057121"/>
    <w:rsid w:val="0006064C"/>
    <w:rsid w:val="000611F2"/>
    <w:rsid w:val="000615DB"/>
    <w:rsid w:val="000626E6"/>
    <w:rsid w:val="00064816"/>
    <w:rsid w:val="00064DE8"/>
    <w:rsid w:val="000655F0"/>
    <w:rsid w:val="00065808"/>
    <w:rsid w:val="0006585F"/>
    <w:rsid w:val="00066F66"/>
    <w:rsid w:val="00067A6D"/>
    <w:rsid w:val="0007015B"/>
    <w:rsid w:val="0007076F"/>
    <w:rsid w:val="000709CD"/>
    <w:rsid w:val="00071688"/>
    <w:rsid w:val="000728AA"/>
    <w:rsid w:val="00074A8D"/>
    <w:rsid w:val="0007607F"/>
    <w:rsid w:val="0007733C"/>
    <w:rsid w:val="000816EC"/>
    <w:rsid w:val="00081997"/>
    <w:rsid w:val="000819CC"/>
    <w:rsid w:val="00082B70"/>
    <w:rsid w:val="000834E8"/>
    <w:rsid w:val="000864B3"/>
    <w:rsid w:val="00086DB4"/>
    <w:rsid w:val="00086F9E"/>
    <w:rsid w:val="000871F0"/>
    <w:rsid w:val="00087769"/>
    <w:rsid w:val="00091735"/>
    <w:rsid w:val="00092390"/>
    <w:rsid w:val="00092AFB"/>
    <w:rsid w:val="000942C7"/>
    <w:rsid w:val="00097BE6"/>
    <w:rsid w:val="000A0277"/>
    <w:rsid w:val="000A178C"/>
    <w:rsid w:val="000A1953"/>
    <w:rsid w:val="000A28E5"/>
    <w:rsid w:val="000A31F1"/>
    <w:rsid w:val="000A330C"/>
    <w:rsid w:val="000A39C9"/>
    <w:rsid w:val="000A3E88"/>
    <w:rsid w:val="000A5C00"/>
    <w:rsid w:val="000A7DB4"/>
    <w:rsid w:val="000B0539"/>
    <w:rsid w:val="000B0668"/>
    <w:rsid w:val="000B0BD5"/>
    <w:rsid w:val="000B52FE"/>
    <w:rsid w:val="000B557E"/>
    <w:rsid w:val="000B6DF1"/>
    <w:rsid w:val="000B7106"/>
    <w:rsid w:val="000C030A"/>
    <w:rsid w:val="000C0CAF"/>
    <w:rsid w:val="000C27F1"/>
    <w:rsid w:val="000C2F87"/>
    <w:rsid w:val="000C3D44"/>
    <w:rsid w:val="000C3E51"/>
    <w:rsid w:val="000C4B12"/>
    <w:rsid w:val="000C4E6E"/>
    <w:rsid w:val="000C5BD4"/>
    <w:rsid w:val="000C5DEC"/>
    <w:rsid w:val="000C5E7E"/>
    <w:rsid w:val="000C6F8F"/>
    <w:rsid w:val="000C7A80"/>
    <w:rsid w:val="000D16E5"/>
    <w:rsid w:val="000D1B28"/>
    <w:rsid w:val="000D2512"/>
    <w:rsid w:val="000D2570"/>
    <w:rsid w:val="000D2907"/>
    <w:rsid w:val="000D373D"/>
    <w:rsid w:val="000D3830"/>
    <w:rsid w:val="000D5473"/>
    <w:rsid w:val="000D5E2D"/>
    <w:rsid w:val="000D6089"/>
    <w:rsid w:val="000D65A5"/>
    <w:rsid w:val="000E106E"/>
    <w:rsid w:val="000E11A9"/>
    <w:rsid w:val="000E17A1"/>
    <w:rsid w:val="000E17AE"/>
    <w:rsid w:val="000E1883"/>
    <w:rsid w:val="000E3002"/>
    <w:rsid w:val="000E3930"/>
    <w:rsid w:val="000E3AD0"/>
    <w:rsid w:val="000E3D0B"/>
    <w:rsid w:val="000E45FC"/>
    <w:rsid w:val="000E4A75"/>
    <w:rsid w:val="000E4B1C"/>
    <w:rsid w:val="000E5144"/>
    <w:rsid w:val="000E62CA"/>
    <w:rsid w:val="000E6325"/>
    <w:rsid w:val="000E636D"/>
    <w:rsid w:val="000E67A3"/>
    <w:rsid w:val="000E7084"/>
    <w:rsid w:val="000E7426"/>
    <w:rsid w:val="000F05EF"/>
    <w:rsid w:val="000F0839"/>
    <w:rsid w:val="000F0CBA"/>
    <w:rsid w:val="000F1020"/>
    <w:rsid w:val="000F10DB"/>
    <w:rsid w:val="000F4494"/>
    <w:rsid w:val="000F56A1"/>
    <w:rsid w:val="00102635"/>
    <w:rsid w:val="00103231"/>
    <w:rsid w:val="001038BF"/>
    <w:rsid w:val="001041BD"/>
    <w:rsid w:val="00104526"/>
    <w:rsid w:val="001049B2"/>
    <w:rsid w:val="00105D1B"/>
    <w:rsid w:val="00105E3D"/>
    <w:rsid w:val="00106326"/>
    <w:rsid w:val="00107FCF"/>
    <w:rsid w:val="0011040E"/>
    <w:rsid w:val="001119A3"/>
    <w:rsid w:val="00112DCA"/>
    <w:rsid w:val="00114A75"/>
    <w:rsid w:val="00115608"/>
    <w:rsid w:val="0011609B"/>
    <w:rsid w:val="00116286"/>
    <w:rsid w:val="00116D64"/>
    <w:rsid w:val="00117194"/>
    <w:rsid w:val="00120152"/>
    <w:rsid w:val="001203F2"/>
    <w:rsid w:val="00120E4B"/>
    <w:rsid w:val="00122F4A"/>
    <w:rsid w:val="001235F3"/>
    <w:rsid w:val="00124515"/>
    <w:rsid w:val="00124B73"/>
    <w:rsid w:val="00124BAE"/>
    <w:rsid w:val="0012547D"/>
    <w:rsid w:val="0012697B"/>
    <w:rsid w:val="001269C6"/>
    <w:rsid w:val="001272C7"/>
    <w:rsid w:val="0012746A"/>
    <w:rsid w:val="0012790B"/>
    <w:rsid w:val="00127B69"/>
    <w:rsid w:val="00127D78"/>
    <w:rsid w:val="00130288"/>
    <w:rsid w:val="00130456"/>
    <w:rsid w:val="001319EF"/>
    <w:rsid w:val="0013697E"/>
    <w:rsid w:val="001372DB"/>
    <w:rsid w:val="00137933"/>
    <w:rsid w:val="0014278C"/>
    <w:rsid w:val="001428A5"/>
    <w:rsid w:val="0014406B"/>
    <w:rsid w:val="0014423B"/>
    <w:rsid w:val="00144633"/>
    <w:rsid w:val="00145155"/>
    <w:rsid w:val="00145FF8"/>
    <w:rsid w:val="001470A6"/>
    <w:rsid w:val="00150712"/>
    <w:rsid w:val="00151E69"/>
    <w:rsid w:val="00152E9F"/>
    <w:rsid w:val="001539A1"/>
    <w:rsid w:val="001541F5"/>
    <w:rsid w:val="001549DE"/>
    <w:rsid w:val="001556CA"/>
    <w:rsid w:val="001569B0"/>
    <w:rsid w:val="00156F43"/>
    <w:rsid w:val="00157591"/>
    <w:rsid w:val="001576DF"/>
    <w:rsid w:val="00157B64"/>
    <w:rsid w:val="0016029A"/>
    <w:rsid w:val="00161AE9"/>
    <w:rsid w:val="00161C67"/>
    <w:rsid w:val="0016333C"/>
    <w:rsid w:val="00163489"/>
    <w:rsid w:val="001635EC"/>
    <w:rsid w:val="00163A36"/>
    <w:rsid w:val="00164157"/>
    <w:rsid w:val="001649D5"/>
    <w:rsid w:val="00165E6C"/>
    <w:rsid w:val="00165FCF"/>
    <w:rsid w:val="00166ABA"/>
    <w:rsid w:val="00167948"/>
    <w:rsid w:val="00167ED1"/>
    <w:rsid w:val="00170238"/>
    <w:rsid w:val="0017075C"/>
    <w:rsid w:val="00170940"/>
    <w:rsid w:val="00170E57"/>
    <w:rsid w:val="001718DD"/>
    <w:rsid w:val="00171921"/>
    <w:rsid w:val="00172BF2"/>
    <w:rsid w:val="00172CF4"/>
    <w:rsid w:val="00172D4F"/>
    <w:rsid w:val="00173233"/>
    <w:rsid w:val="00175D5C"/>
    <w:rsid w:val="001760F2"/>
    <w:rsid w:val="00177907"/>
    <w:rsid w:val="00180328"/>
    <w:rsid w:val="00180DE7"/>
    <w:rsid w:val="0018194C"/>
    <w:rsid w:val="001819A8"/>
    <w:rsid w:val="00182A1E"/>
    <w:rsid w:val="00190810"/>
    <w:rsid w:val="001926AC"/>
    <w:rsid w:val="00193A5F"/>
    <w:rsid w:val="00194CED"/>
    <w:rsid w:val="00194E9D"/>
    <w:rsid w:val="001959EE"/>
    <w:rsid w:val="00196074"/>
    <w:rsid w:val="001963DF"/>
    <w:rsid w:val="001968C1"/>
    <w:rsid w:val="001975BA"/>
    <w:rsid w:val="0019792A"/>
    <w:rsid w:val="00197BBB"/>
    <w:rsid w:val="001A0C82"/>
    <w:rsid w:val="001A2A94"/>
    <w:rsid w:val="001A42CB"/>
    <w:rsid w:val="001A43CE"/>
    <w:rsid w:val="001A52E5"/>
    <w:rsid w:val="001A5517"/>
    <w:rsid w:val="001A5FDB"/>
    <w:rsid w:val="001A60F5"/>
    <w:rsid w:val="001A6585"/>
    <w:rsid w:val="001A681D"/>
    <w:rsid w:val="001A6E74"/>
    <w:rsid w:val="001A7AA8"/>
    <w:rsid w:val="001A7FE4"/>
    <w:rsid w:val="001B047F"/>
    <w:rsid w:val="001B1451"/>
    <w:rsid w:val="001B18B0"/>
    <w:rsid w:val="001B1DC0"/>
    <w:rsid w:val="001B1F1A"/>
    <w:rsid w:val="001B26CD"/>
    <w:rsid w:val="001B2E18"/>
    <w:rsid w:val="001B33FE"/>
    <w:rsid w:val="001B3834"/>
    <w:rsid w:val="001B465C"/>
    <w:rsid w:val="001B5B5A"/>
    <w:rsid w:val="001C0AE6"/>
    <w:rsid w:val="001C2BC5"/>
    <w:rsid w:val="001C3E74"/>
    <w:rsid w:val="001C5150"/>
    <w:rsid w:val="001C62B3"/>
    <w:rsid w:val="001C79A5"/>
    <w:rsid w:val="001D01A2"/>
    <w:rsid w:val="001D0E0F"/>
    <w:rsid w:val="001D1865"/>
    <w:rsid w:val="001D1AEA"/>
    <w:rsid w:val="001D1E3E"/>
    <w:rsid w:val="001D283D"/>
    <w:rsid w:val="001D3DB0"/>
    <w:rsid w:val="001D5246"/>
    <w:rsid w:val="001D524C"/>
    <w:rsid w:val="001D526C"/>
    <w:rsid w:val="001D6A86"/>
    <w:rsid w:val="001D6CDC"/>
    <w:rsid w:val="001D7B78"/>
    <w:rsid w:val="001E0303"/>
    <w:rsid w:val="001E1181"/>
    <w:rsid w:val="001E1717"/>
    <w:rsid w:val="001E18B5"/>
    <w:rsid w:val="001E194B"/>
    <w:rsid w:val="001E1C65"/>
    <w:rsid w:val="001E26D6"/>
    <w:rsid w:val="001E3311"/>
    <w:rsid w:val="001E3F32"/>
    <w:rsid w:val="001E408B"/>
    <w:rsid w:val="001E5146"/>
    <w:rsid w:val="001E5224"/>
    <w:rsid w:val="001E6D85"/>
    <w:rsid w:val="001E78F7"/>
    <w:rsid w:val="001F1D53"/>
    <w:rsid w:val="001F2242"/>
    <w:rsid w:val="001F2DB5"/>
    <w:rsid w:val="001F2FBB"/>
    <w:rsid w:val="001F3263"/>
    <w:rsid w:val="001F412D"/>
    <w:rsid w:val="001F6492"/>
    <w:rsid w:val="001F6785"/>
    <w:rsid w:val="001F71ED"/>
    <w:rsid w:val="001F7654"/>
    <w:rsid w:val="00200D0D"/>
    <w:rsid w:val="002010C1"/>
    <w:rsid w:val="0020267D"/>
    <w:rsid w:val="00203E6F"/>
    <w:rsid w:val="002042BE"/>
    <w:rsid w:val="00204C68"/>
    <w:rsid w:val="00205383"/>
    <w:rsid w:val="00205439"/>
    <w:rsid w:val="00206463"/>
    <w:rsid w:val="00207EEE"/>
    <w:rsid w:val="00210577"/>
    <w:rsid w:val="00210D9D"/>
    <w:rsid w:val="00211BD9"/>
    <w:rsid w:val="00211DE5"/>
    <w:rsid w:val="00211F62"/>
    <w:rsid w:val="00215207"/>
    <w:rsid w:val="00215B93"/>
    <w:rsid w:val="00216643"/>
    <w:rsid w:val="00220226"/>
    <w:rsid w:val="00220233"/>
    <w:rsid w:val="00221D4D"/>
    <w:rsid w:val="00222CBA"/>
    <w:rsid w:val="00222E81"/>
    <w:rsid w:val="00223538"/>
    <w:rsid w:val="0022380A"/>
    <w:rsid w:val="00223888"/>
    <w:rsid w:val="00224161"/>
    <w:rsid w:val="002244CE"/>
    <w:rsid w:val="0022537C"/>
    <w:rsid w:val="002270B3"/>
    <w:rsid w:val="00227677"/>
    <w:rsid w:val="002301CA"/>
    <w:rsid w:val="002321B6"/>
    <w:rsid w:val="00232562"/>
    <w:rsid w:val="002329AE"/>
    <w:rsid w:val="00233C57"/>
    <w:rsid w:val="00234244"/>
    <w:rsid w:val="00234536"/>
    <w:rsid w:val="0023467B"/>
    <w:rsid w:val="002346CF"/>
    <w:rsid w:val="002355DF"/>
    <w:rsid w:val="00235639"/>
    <w:rsid w:val="00235ACC"/>
    <w:rsid w:val="00236776"/>
    <w:rsid w:val="002367B1"/>
    <w:rsid w:val="00236EA3"/>
    <w:rsid w:val="00237309"/>
    <w:rsid w:val="00240A37"/>
    <w:rsid w:val="00241043"/>
    <w:rsid w:val="002419D2"/>
    <w:rsid w:val="00241BC8"/>
    <w:rsid w:val="002420B1"/>
    <w:rsid w:val="002433A1"/>
    <w:rsid w:val="00244B87"/>
    <w:rsid w:val="00245AF0"/>
    <w:rsid w:val="00250591"/>
    <w:rsid w:val="002505F9"/>
    <w:rsid w:val="002515E5"/>
    <w:rsid w:val="002521FA"/>
    <w:rsid w:val="002522CA"/>
    <w:rsid w:val="002523D3"/>
    <w:rsid w:val="002525D8"/>
    <w:rsid w:val="002527FB"/>
    <w:rsid w:val="00252D8B"/>
    <w:rsid w:val="00254A83"/>
    <w:rsid w:val="00254D70"/>
    <w:rsid w:val="0025559A"/>
    <w:rsid w:val="002557D1"/>
    <w:rsid w:val="002560D8"/>
    <w:rsid w:val="00257441"/>
    <w:rsid w:val="00257586"/>
    <w:rsid w:val="002601D2"/>
    <w:rsid w:val="00261603"/>
    <w:rsid w:val="0026160F"/>
    <w:rsid w:val="0026218E"/>
    <w:rsid w:val="00262458"/>
    <w:rsid w:val="002626E5"/>
    <w:rsid w:val="00263819"/>
    <w:rsid w:val="00263868"/>
    <w:rsid w:val="002638E7"/>
    <w:rsid w:val="00263CD0"/>
    <w:rsid w:val="00264055"/>
    <w:rsid w:val="002654DF"/>
    <w:rsid w:val="00270652"/>
    <w:rsid w:val="00270AD4"/>
    <w:rsid w:val="002711A3"/>
    <w:rsid w:val="002711BA"/>
    <w:rsid w:val="00271BF1"/>
    <w:rsid w:val="002729B5"/>
    <w:rsid w:val="00272DA6"/>
    <w:rsid w:val="0027429F"/>
    <w:rsid w:val="00274500"/>
    <w:rsid w:val="00275F27"/>
    <w:rsid w:val="002765F4"/>
    <w:rsid w:val="002801E4"/>
    <w:rsid w:val="002808AB"/>
    <w:rsid w:val="0028096D"/>
    <w:rsid w:val="002821C8"/>
    <w:rsid w:val="002829A1"/>
    <w:rsid w:val="00282B33"/>
    <w:rsid w:val="00283C00"/>
    <w:rsid w:val="0028409A"/>
    <w:rsid w:val="00284BCE"/>
    <w:rsid w:val="00287C84"/>
    <w:rsid w:val="00291F7B"/>
    <w:rsid w:val="002938A8"/>
    <w:rsid w:val="00296374"/>
    <w:rsid w:val="00296C2C"/>
    <w:rsid w:val="00297218"/>
    <w:rsid w:val="002975D8"/>
    <w:rsid w:val="002A1671"/>
    <w:rsid w:val="002A1755"/>
    <w:rsid w:val="002A2EFD"/>
    <w:rsid w:val="002A38B3"/>
    <w:rsid w:val="002A4636"/>
    <w:rsid w:val="002A4D48"/>
    <w:rsid w:val="002A56D8"/>
    <w:rsid w:val="002A5C91"/>
    <w:rsid w:val="002A6CB4"/>
    <w:rsid w:val="002B0D0C"/>
    <w:rsid w:val="002B26D1"/>
    <w:rsid w:val="002B28CA"/>
    <w:rsid w:val="002B39F5"/>
    <w:rsid w:val="002B3EFB"/>
    <w:rsid w:val="002B567B"/>
    <w:rsid w:val="002B57F5"/>
    <w:rsid w:val="002B645E"/>
    <w:rsid w:val="002B6493"/>
    <w:rsid w:val="002B6C63"/>
    <w:rsid w:val="002B6E4E"/>
    <w:rsid w:val="002C04B2"/>
    <w:rsid w:val="002C063C"/>
    <w:rsid w:val="002C0E2B"/>
    <w:rsid w:val="002C12AB"/>
    <w:rsid w:val="002C19A3"/>
    <w:rsid w:val="002C2845"/>
    <w:rsid w:val="002C4C66"/>
    <w:rsid w:val="002C4E18"/>
    <w:rsid w:val="002C55A8"/>
    <w:rsid w:val="002C57F4"/>
    <w:rsid w:val="002C62E9"/>
    <w:rsid w:val="002C6ECB"/>
    <w:rsid w:val="002C6FEB"/>
    <w:rsid w:val="002D0C2B"/>
    <w:rsid w:val="002D165D"/>
    <w:rsid w:val="002D3A46"/>
    <w:rsid w:val="002D6676"/>
    <w:rsid w:val="002D6D4F"/>
    <w:rsid w:val="002D755C"/>
    <w:rsid w:val="002D7C9C"/>
    <w:rsid w:val="002E00A4"/>
    <w:rsid w:val="002E0A21"/>
    <w:rsid w:val="002E1230"/>
    <w:rsid w:val="002E5ED5"/>
    <w:rsid w:val="002E6513"/>
    <w:rsid w:val="002E65BB"/>
    <w:rsid w:val="002F0BA3"/>
    <w:rsid w:val="002F190D"/>
    <w:rsid w:val="002F1E02"/>
    <w:rsid w:val="002F1EE9"/>
    <w:rsid w:val="002F1F74"/>
    <w:rsid w:val="002F2DB1"/>
    <w:rsid w:val="002F2FEB"/>
    <w:rsid w:val="002F33DE"/>
    <w:rsid w:val="002F3643"/>
    <w:rsid w:val="002F3F78"/>
    <w:rsid w:val="002F5B58"/>
    <w:rsid w:val="002F5DBD"/>
    <w:rsid w:val="002F6AEB"/>
    <w:rsid w:val="002F79A9"/>
    <w:rsid w:val="003011FC"/>
    <w:rsid w:val="003017AF"/>
    <w:rsid w:val="00301B57"/>
    <w:rsid w:val="00301C90"/>
    <w:rsid w:val="00303128"/>
    <w:rsid w:val="00303569"/>
    <w:rsid w:val="003046FC"/>
    <w:rsid w:val="0030512E"/>
    <w:rsid w:val="00305F35"/>
    <w:rsid w:val="003065E9"/>
    <w:rsid w:val="00306759"/>
    <w:rsid w:val="00306765"/>
    <w:rsid w:val="00306FD7"/>
    <w:rsid w:val="00307169"/>
    <w:rsid w:val="00307823"/>
    <w:rsid w:val="00307D05"/>
    <w:rsid w:val="0031207C"/>
    <w:rsid w:val="00312EBF"/>
    <w:rsid w:val="00313DEC"/>
    <w:rsid w:val="00314AF8"/>
    <w:rsid w:val="0031621E"/>
    <w:rsid w:val="003165E7"/>
    <w:rsid w:val="00317742"/>
    <w:rsid w:val="003202C2"/>
    <w:rsid w:val="00320C2F"/>
    <w:rsid w:val="00321E64"/>
    <w:rsid w:val="00323034"/>
    <w:rsid w:val="00324100"/>
    <w:rsid w:val="00324778"/>
    <w:rsid w:val="00324F65"/>
    <w:rsid w:val="00325E17"/>
    <w:rsid w:val="00330387"/>
    <w:rsid w:val="00330526"/>
    <w:rsid w:val="0033359B"/>
    <w:rsid w:val="00333843"/>
    <w:rsid w:val="00333E1A"/>
    <w:rsid w:val="00333FBC"/>
    <w:rsid w:val="003341ED"/>
    <w:rsid w:val="00334AE2"/>
    <w:rsid w:val="00335701"/>
    <w:rsid w:val="0033589F"/>
    <w:rsid w:val="003360E9"/>
    <w:rsid w:val="003376CB"/>
    <w:rsid w:val="00337D41"/>
    <w:rsid w:val="00340B2F"/>
    <w:rsid w:val="00340CFB"/>
    <w:rsid w:val="003446D8"/>
    <w:rsid w:val="0034575D"/>
    <w:rsid w:val="00346819"/>
    <w:rsid w:val="00347736"/>
    <w:rsid w:val="003478C7"/>
    <w:rsid w:val="00347EB3"/>
    <w:rsid w:val="003506B0"/>
    <w:rsid w:val="00351295"/>
    <w:rsid w:val="0035134F"/>
    <w:rsid w:val="00351BE9"/>
    <w:rsid w:val="003523D4"/>
    <w:rsid w:val="00353439"/>
    <w:rsid w:val="00354B6D"/>
    <w:rsid w:val="00354E22"/>
    <w:rsid w:val="00355055"/>
    <w:rsid w:val="003558CB"/>
    <w:rsid w:val="0035642A"/>
    <w:rsid w:val="00356DE7"/>
    <w:rsid w:val="00357910"/>
    <w:rsid w:val="00357F81"/>
    <w:rsid w:val="0036011F"/>
    <w:rsid w:val="003626FF"/>
    <w:rsid w:val="003627D7"/>
    <w:rsid w:val="00362B4D"/>
    <w:rsid w:val="0036323E"/>
    <w:rsid w:val="003637A9"/>
    <w:rsid w:val="003654AC"/>
    <w:rsid w:val="003654D7"/>
    <w:rsid w:val="0036572F"/>
    <w:rsid w:val="00366694"/>
    <w:rsid w:val="0037082D"/>
    <w:rsid w:val="00370AD0"/>
    <w:rsid w:val="00370F0B"/>
    <w:rsid w:val="00371433"/>
    <w:rsid w:val="00373097"/>
    <w:rsid w:val="0037339F"/>
    <w:rsid w:val="003733B2"/>
    <w:rsid w:val="0037428B"/>
    <w:rsid w:val="00374629"/>
    <w:rsid w:val="00374C16"/>
    <w:rsid w:val="0037530C"/>
    <w:rsid w:val="00377CED"/>
    <w:rsid w:val="0038046B"/>
    <w:rsid w:val="003816B7"/>
    <w:rsid w:val="00382480"/>
    <w:rsid w:val="00382F26"/>
    <w:rsid w:val="003832E7"/>
    <w:rsid w:val="003835FD"/>
    <w:rsid w:val="00383A58"/>
    <w:rsid w:val="00384E04"/>
    <w:rsid w:val="00386D98"/>
    <w:rsid w:val="00390707"/>
    <w:rsid w:val="00391C20"/>
    <w:rsid w:val="00393D60"/>
    <w:rsid w:val="0039426E"/>
    <w:rsid w:val="00394686"/>
    <w:rsid w:val="003950E6"/>
    <w:rsid w:val="003953D7"/>
    <w:rsid w:val="003960AE"/>
    <w:rsid w:val="00396803"/>
    <w:rsid w:val="003971D9"/>
    <w:rsid w:val="00397C11"/>
    <w:rsid w:val="00397C19"/>
    <w:rsid w:val="003A164B"/>
    <w:rsid w:val="003A3228"/>
    <w:rsid w:val="003A35CB"/>
    <w:rsid w:val="003A3F00"/>
    <w:rsid w:val="003A4FCA"/>
    <w:rsid w:val="003A5F31"/>
    <w:rsid w:val="003A6B0C"/>
    <w:rsid w:val="003A7FAC"/>
    <w:rsid w:val="003A7FCA"/>
    <w:rsid w:val="003B07A1"/>
    <w:rsid w:val="003B0B96"/>
    <w:rsid w:val="003B2229"/>
    <w:rsid w:val="003B2555"/>
    <w:rsid w:val="003B473D"/>
    <w:rsid w:val="003B4885"/>
    <w:rsid w:val="003B4C3F"/>
    <w:rsid w:val="003B5022"/>
    <w:rsid w:val="003B5075"/>
    <w:rsid w:val="003B524E"/>
    <w:rsid w:val="003B5757"/>
    <w:rsid w:val="003B575F"/>
    <w:rsid w:val="003B5DC7"/>
    <w:rsid w:val="003B5DD5"/>
    <w:rsid w:val="003B618C"/>
    <w:rsid w:val="003B7552"/>
    <w:rsid w:val="003B7A58"/>
    <w:rsid w:val="003C036E"/>
    <w:rsid w:val="003C04BB"/>
    <w:rsid w:val="003C13A6"/>
    <w:rsid w:val="003C16F9"/>
    <w:rsid w:val="003C1A94"/>
    <w:rsid w:val="003C200A"/>
    <w:rsid w:val="003C2EB1"/>
    <w:rsid w:val="003C41F3"/>
    <w:rsid w:val="003C46EA"/>
    <w:rsid w:val="003C4C3C"/>
    <w:rsid w:val="003C5269"/>
    <w:rsid w:val="003C543B"/>
    <w:rsid w:val="003C55C0"/>
    <w:rsid w:val="003C569D"/>
    <w:rsid w:val="003C5E14"/>
    <w:rsid w:val="003C62AF"/>
    <w:rsid w:val="003C7178"/>
    <w:rsid w:val="003C7F2A"/>
    <w:rsid w:val="003D1C81"/>
    <w:rsid w:val="003D2FDA"/>
    <w:rsid w:val="003D3375"/>
    <w:rsid w:val="003D339A"/>
    <w:rsid w:val="003D5205"/>
    <w:rsid w:val="003D60AC"/>
    <w:rsid w:val="003D6535"/>
    <w:rsid w:val="003D6740"/>
    <w:rsid w:val="003D695F"/>
    <w:rsid w:val="003D72D7"/>
    <w:rsid w:val="003E02AB"/>
    <w:rsid w:val="003E05CD"/>
    <w:rsid w:val="003E0DCF"/>
    <w:rsid w:val="003E1076"/>
    <w:rsid w:val="003E10AE"/>
    <w:rsid w:val="003E21DA"/>
    <w:rsid w:val="003E2424"/>
    <w:rsid w:val="003E2568"/>
    <w:rsid w:val="003E3340"/>
    <w:rsid w:val="003E3593"/>
    <w:rsid w:val="003E3E49"/>
    <w:rsid w:val="003E47D6"/>
    <w:rsid w:val="003E568F"/>
    <w:rsid w:val="003E59DF"/>
    <w:rsid w:val="003E5BDB"/>
    <w:rsid w:val="003F26D5"/>
    <w:rsid w:val="003F2DE8"/>
    <w:rsid w:val="003F3811"/>
    <w:rsid w:val="003F4AE7"/>
    <w:rsid w:val="003F535E"/>
    <w:rsid w:val="003F6AD4"/>
    <w:rsid w:val="0040086B"/>
    <w:rsid w:val="00402AEC"/>
    <w:rsid w:val="00403492"/>
    <w:rsid w:val="00403495"/>
    <w:rsid w:val="004046F3"/>
    <w:rsid w:val="004049DC"/>
    <w:rsid w:val="00404F0F"/>
    <w:rsid w:val="00410B89"/>
    <w:rsid w:val="00411D74"/>
    <w:rsid w:val="00413F9F"/>
    <w:rsid w:val="0041479D"/>
    <w:rsid w:val="0041518C"/>
    <w:rsid w:val="00415C6F"/>
    <w:rsid w:val="00416402"/>
    <w:rsid w:val="004170B2"/>
    <w:rsid w:val="0042015C"/>
    <w:rsid w:val="004203F8"/>
    <w:rsid w:val="00423DC5"/>
    <w:rsid w:val="00424AB3"/>
    <w:rsid w:val="00424ECA"/>
    <w:rsid w:val="004253D2"/>
    <w:rsid w:val="004269A0"/>
    <w:rsid w:val="004269CF"/>
    <w:rsid w:val="004279AD"/>
    <w:rsid w:val="00430E72"/>
    <w:rsid w:val="004312BA"/>
    <w:rsid w:val="00431C15"/>
    <w:rsid w:val="00433CB4"/>
    <w:rsid w:val="004349D6"/>
    <w:rsid w:val="004375F3"/>
    <w:rsid w:val="00441584"/>
    <w:rsid w:val="00441803"/>
    <w:rsid w:val="00442A98"/>
    <w:rsid w:val="00442B59"/>
    <w:rsid w:val="00442FBE"/>
    <w:rsid w:val="00444351"/>
    <w:rsid w:val="00444467"/>
    <w:rsid w:val="00444F03"/>
    <w:rsid w:val="00444F23"/>
    <w:rsid w:val="0044597B"/>
    <w:rsid w:val="00446BCA"/>
    <w:rsid w:val="00446E81"/>
    <w:rsid w:val="0044772A"/>
    <w:rsid w:val="0045147E"/>
    <w:rsid w:val="00451D97"/>
    <w:rsid w:val="00451F08"/>
    <w:rsid w:val="0045204F"/>
    <w:rsid w:val="00453ACC"/>
    <w:rsid w:val="00454C80"/>
    <w:rsid w:val="00454CFF"/>
    <w:rsid w:val="00455E8D"/>
    <w:rsid w:val="00456D31"/>
    <w:rsid w:val="00456EFD"/>
    <w:rsid w:val="00457B7F"/>
    <w:rsid w:val="004608DF"/>
    <w:rsid w:val="004608FD"/>
    <w:rsid w:val="004614D5"/>
    <w:rsid w:val="00461919"/>
    <w:rsid w:val="0046258B"/>
    <w:rsid w:val="00462AD8"/>
    <w:rsid w:val="00463D2E"/>
    <w:rsid w:val="00465554"/>
    <w:rsid w:val="00466060"/>
    <w:rsid w:val="004666EF"/>
    <w:rsid w:val="00466972"/>
    <w:rsid w:val="00467563"/>
    <w:rsid w:val="00470B5C"/>
    <w:rsid w:val="00471673"/>
    <w:rsid w:val="00472B3C"/>
    <w:rsid w:val="00475991"/>
    <w:rsid w:val="00475C98"/>
    <w:rsid w:val="00475E01"/>
    <w:rsid w:val="00475E88"/>
    <w:rsid w:val="00476403"/>
    <w:rsid w:val="00476663"/>
    <w:rsid w:val="004777D5"/>
    <w:rsid w:val="00477E38"/>
    <w:rsid w:val="004802EC"/>
    <w:rsid w:val="0048353C"/>
    <w:rsid w:val="0048434F"/>
    <w:rsid w:val="004900DD"/>
    <w:rsid w:val="00490A21"/>
    <w:rsid w:val="00490C65"/>
    <w:rsid w:val="00490EBC"/>
    <w:rsid w:val="00491D46"/>
    <w:rsid w:val="00492544"/>
    <w:rsid w:val="004926C9"/>
    <w:rsid w:val="004940EC"/>
    <w:rsid w:val="0049501E"/>
    <w:rsid w:val="00496470"/>
    <w:rsid w:val="004971D2"/>
    <w:rsid w:val="004A1A45"/>
    <w:rsid w:val="004A1C48"/>
    <w:rsid w:val="004A34C3"/>
    <w:rsid w:val="004A359D"/>
    <w:rsid w:val="004A421B"/>
    <w:rsid w:val="004A4A0B"/>
    <w:rsid w:val="004A4DC5"/>
    <w:rsid w:val="004A5407"/>
    <w:rsid w:val="004A5C9A"/>
    <w:rsid w:val="004A6938"/>
    <w:rsid w:val="004A69D5"/>
    <w:rsid w:val="004A6F5E"/>
    <w:rsid w:val="004B0033"/>
    <w:rsid w:val="004B15DA"/>
    <w:rsid w:val="004B2766"/>
    <w:rsid w:val="004B2B11"/>
    <w:rsid w:val="004B4D87"/>
    <w:rsid w:val="004B60D6"/>
    <w:rsid w:val="004B61EF"/>
    <w:rsid w:val="004B7030"/>
    <w:rsid w:val="004B7511"/>
    <w:rsid w:val="004B7E65"/>
    <w:rsid w:val="004C02CA"/>
    <w:rsid w:val="004C0525"/>
    <w:rsid w:val="004C0EA4"/>
    <w:rsid w:val="004C1936"/>
    <w:rsid w:val="004C2C83"/>
    <w:rsid w:val="004C3309"/>
    <w:rsid w:val="004C37B8"/>
    <w:rsid w:val="004C3B4F"/>
    <w:rsid w:val="004C4BC5"/>
    <w:rsid w:val="004C5D33"/>
    <w:rsid w:val="004C61C6"/>
    <w:rsid w:val="004C6C8D"/>
    <w:rsid w:val="004C7AE1"/>
    <w:rsid w:val="004C7CE7"/>
    <w:rsid w:val="004D1010"/>
    <w:rsid w:val="004D121E"/>
    <w:rsid w:val="004D30A2"/>
    <w:rsid w:val="004D43A4"/>
    <w:rsid w:val="004D4507"/>
    <w:rsid w:val="004D5A55"/>
    <w:rsid w:val="004D6D0D"/>
    <w:rsid w:val="004E026C"/>
    <w:rsid w:val="004E0398"/>
    <w:rsid w:val="004E0479"/>
    <w:rsid w:val="004E0FEA"/>
    <w:rsid w:val="004E1462"/>
    <w:rsid w:val="004E1AFE"/>
    <w:rsid w:val="004E1EE5"/>
    <w:rsid w:val="004E237A"/>
    <w:rsid w:val="004E2B10"/>
    <w:rsid w:val="004E3053"/>
    <w:rsid w:val="004E3F9D"/>
    <w:rsid w:val="004E7151"/>
    <w:rsid w:val="004E7CBB"/>
    <w:rsid w:val="004F0DAE"/>
    <w:rsid w:val="004F16CC"/>
    <w:rsid w:val="004F224C"/>
    <w:rsid w:val="004F31A9"/>
    <w:rsid w:val="004F352B"/>
    <w:rsid w:val="004F3CDC"/>
    <w:rsid w:val="004F4839"/>
    <w:rsid w:val="004F5378"/>
    <w:rsid w:val="004F555D"/>
    <w:rsid w:val="004F5E96"/>
    <w:rsid w:val="004F60BA"/>
    <w:rsid w:val="004F681E"/>
    <w:rsid w:val="004F6FA2"/>
    <w:rsid w:val="004F7086"/>
    <w:rsid w:val="004F75A5"/>
    <w:rsid w:val="00500301"/>
    <w:rsid w:val="005011A8"/>
    <w:rsid w:val="0050272F"/>
    <w:rsid w:val="00502E2E"/>
    <w:rsid w:val="00503503"/>
    <w:rsid w:val="005043A3"/>
    <w:rsid w:val="00505760"/>
    <w:rsid w:val="00505F8A"/>
    <w:rsid w:val="00506F38"/>
    <w:rsid w:val="005075FB"/>
    <w:rsid w:val="00510148"/>
    <w:rsid w:val="00510E29"/>
    <w:rsid w:val="00511824"/>
    <w:rsid w:val="005118AE"/>
    <w:rsid w:val="00512C8C"/>
    <w:rsid w:val="0051485F"/>
    <w:rsid w:val="00514D5F"/>
    <w:rsid w:val="0051537D"/>
    <w:rsid w:val="005155F4"/>
    <w:rsid w:val="0051563B"/>
    <w:rsid w:val="00516A41"/>
    <w:rsid w:val="00516A49"/>
    <w:rsid w:val="00516EB6"/>
    <w:rsid w:val="00520FF1"/>
    <w:rsid w:val="00522193"/>
    <w:rsid w:val="00524294"/>
    <w:rsid w:val="0052481F"/>
    <w:rsid w:val="00526034"/>
    <w:rsid w:val="0052677B"/>
    <w:rsid w:val="00526900"/>
    <w:rsid w:val="005270FB"/>
    <w:rsid w:val="00527E97"/>
    <w:rsid w:val="0053042A"/>
    <w:rsid w:val="0053161C"/>
    <w:rsid w:val="00531DC5"/>
    <w:rsid w:val="00532FF8"/>
    <w:rsid w:val="00533206"/>
    <w:rsid w:val="00533DE5"/>
    <w:rsid w:val="005349BF"/>
    <w:rsid w:val="005352CD"/>
    <w:rsid w:val="00536728"/>
    <w:rsid w:val="00537136"/>
    <w:rsid w:val="005403EA"/>
    <w:rsid w:val="005414A1"/>
    <w:rsid w:val="0054236E"/>
    <w:rsid w:val="0054265F"/>
    <w:rsid w:val="00542C66"/>
    <w:rsid w:val="005441C2"/>
    <w:rsid w:val="00544646"/>
    <w:rsid w:val="00545EDF"/>
    <w:rsid w:val="00546AB1"/>
    <w:rsid w:val="00546C25"/>
    <w:rsid w:val="00550391"/>
    <w:rsid w:val="00551710"/>
    <w:rsid w:val="00551A36"/>
    <w:rsid w:val="005523CF"/>
    <w:rsid w:val="0055313B"/>
    <w:rsid w:val="00553C30"/>
    <w:rsid w:val="00553D0B"/>
    <w:rsid w:val="00553E45"/>
    <w:rsid w:val="005543D8"/>
    <w:rsid w:val="005547BB"/>
    <w:rsid w:val="005550AB"/>
    <w:rsid w:val="005553F9"/>
    <w:rsid w:val="0055698D"/>
    <w:rsid w:val="00556EDB"/>
    <w:rsid w:val="00561E40"/>
    <w:rsid w:val="005629D3"/>
    <w:rsid w:val="00562B1C"/>
    <w:rsid w:val="00563DD2"/>
    <w:rsid w:val="00563F72"/>
    <w:rsid w:val="00564BB8"/>
    <w:rsid w:val="00566D14"/>
    <w:rsid w:val="00566E7A"/>
    <w:rsid w:val="0056775A"/>
    <w:rsid w:val="005702ED"/>
    <w:rsid w:val="0057088A"/>
    <w:rsid w:val="00570C53"/>
    <w:rsid w:val="0057116F"/>
    <w:rsid w:val="005719A8"/>
    <w:rsid w:val="00571C39"/>
    <w:rsid w:val="0057256A"/>
    <w:rsid w:val="00572C1C"/>
    <w:rsid w:val="00572F41"/>
    <w:rsid w:val="00573092"/>
    <w:rsid w:val="00573EC6"/>
    <w:rsid w:val="005746A4"/>
    <w:rsid w:val="0057491E"/>
    <w:rsid w:val="00577DA2"/>
    <w:rsid w:val="005801E9"/>
    <w:rsid w:val="00580273"/>
    <w:rsid w:val="0058036F"/>
    <w:rsid w:val="00585D9D"/>
    <w:rsid w:val="00585F9E"/>
    <w:rsid w:val="0058784D"/>
    <w:rsid w:val="00587B9B"/>
    <w:rsid w:val="00587C33"/>
    <w:rsid w:val="00590ECC"/>
    <w:rsid w:val="005913F1"/>
    <w:rsid w:val="00591421"/>
    <w:rsid w:val="00591F4D"/>
    <w:rsid w:val="00593CAA"/>
    <w:rsid w:val="00594B23"/>
    <w:rsid w:val="00594F37"/>
    <w:rsid w:val="00595409"/>
    <w:rsid w:val="00596379"/>
    <w:rsid w:val="005A0A8E"/>
    <w:rsid w:val="005A0B87"/>
    <w:rsid w:val="005A0F40"/>
    <w:rsid w:val="005A13CC"/>
    <w:rsid w:val="005A1B1F"/>
    <w:rsid w:val="005A2249"/>
    <w:rsid w:val="005A2C58"/>
    <w:rsid w:val="005A31A9"/>
    <w:rsid w:val="005A3F1E"/>
    <w:rsid w:val="005A41F1"/>
    <w:rsid w:val="005A4453"/>
    <w:rsid w:val="005A470F"/>
    <w:rsid w:val="005B01D7"/>
    <w:rsid w:val="005B093B"/>
    <w:rsid w:val="005B0CCE"/>
    <w:rsid w:val="005B0DC0"/>
    <w:rsid w:val="005B1D8D"/>
    <w:rsid w:val="005B202D"/>
    <w:rsid w:val="005B33BF"/>
    <w:rsid w:val="005B3579"/>
    <w:rsid w:val="005B4D60"/>
    <w:rsid w:val="005B5858"/>
    <w:rsid w:val="005B6AD1"/>
    <w:rsid w:val="005B782E"/>
    <w:rsid w:val="005C015D"/>
    <w:rsid w:val="005C01A1"/>
    <w:rsid w:val="005C0FAA"/>
    <w:rsid w:val="005C0FD8"/>
    <w:rsid w:val="005C14C5"/>
    <w:rsid w:val="005C1C4A"/>
    <w:rsid w:val="005C2016"/>
    <w:rsid w:val="005C25CE"/>
    <w:rsid w:val="005C3ECF"/>
    <w:rsid w:val="005C42B7"/>
    <w:rsid w:val="005C44E1"/>
    <w:rsid w:val="005C4C99"/>
    <w:rsid w:val="005C5B08"/>
    <w:rsid w:val="005C6FCE"/>
    <w:rsid w:val="005C77C6"/>
    <w:rsid w:val="005C7A48"/>
    <w:rsid w:val="005D0022"/>
    <w:rsid w:val="005D15B4"/>
    <w:rsid w:val="005D15BD"/>
    <w:rsid w:val="005D2C9F"/>
    <w:rsid w:val="005D36A0"/>
    <w:rsid w:val="005D401C"/>
    <w:rsid w:val="005D4776"/>
    <w:rsid w:val="005D4B04"/>
    <w:rsid w:val="005D7E9E"/>
    <w:rsid w:val="005E01D0"/>
    <w:rsid w:val="005E0C0A"/>
    <w:rsid w:val="005E0F77"/>
    <w:rsid w:val="005E0FC8"/>
    <w:rsid w:val="005E1EC0"/>
    <w:rsid w:val="005E23C9"/>
    <w:rsid w:val="005E2668"/>
    <w:rsid w:val="005E283B"/>
    <w:rsid w:val="005E3BA8"/>
    <w:rsid w:val="005E471D"/>
    <w:rsid w:val="005E4F8C"/>
    <w:rsid w:val="005E6529"/>
    <w:rsid w:val="005E6BFA"/>
    <w:rsid w:val="005E6E2B"/>
    <w:rsid w:val="005E7A40"/>
    <w:rsid w:val="005F1987"/>
    <w:rsid w:val="005F3669"/>
    <w:rsid w:val="005F3868"/>
    <w:rsid w:val="005F43B9"/>
    <w:rsid w:val="005F455E"/>
    <w:rsid w:val="005F49FC"/>
    <w:rsid w:val="005F5B75"/>
    <w:rsid w:val="005F7064"/>
    <w:rsid w:val="005F79A0"/>
    <w:rsid w:val="005F7AE8"/>
    <w:rsid w:val="00602090"/>
    <w:rsid w:val="00602B8D"/>
    <w:rsid w:val="006030B3"/>
    <w:rsid w:val="0060361E"/>
    <w:rsid w:val="0060477B"/>
    <w:rsid w:val="00604ADF"/>
    <w:rsid w:val="00604BA2"/>
    <w:rsid w:val="00605253"/>
    <w:rsid w:val="0060575F"/>
    <w:rsid w:val="00605A3E"/>
    <w:rsid w:val="0060603F"/>
    <w:rsid w:val="00606720"/>
    <w:rsid w:val="00606B34"/>
    <w:rsid w:val="00606D43"/>
    <w:rsid w:val="00606F5A"/>
    <w:rsid w:val="00607257"/>
    <w:rsid w:val="0060765A"/>
    <w:rsid w:val="00611824"/>
    <w:rsid w:val="00612F96"/>
    <w:rsid w:val="006130CA"/>
    <w:rsid w:val="0061398F"/>
    <w:rsid w:val="00613BBB"/>
    <w:rsid w:val="006147D3"/>
    <w:rsid w:val="00614838"/>
    <w:rsid w:val="00615E50"/>
    <w:rsid w:val="00616FE7"/>
    <w:rsid w:val="00617FEE"/>
    <w:rsid w:val="0062090C"/>
    <w:rsid w:val="00620A25"/>
    <w:rsid w:val="00621032"/>
    <w:rsid w:val="00621F56"/>
    <w:rsid w:val="006220A5"/>
    <w:rsid w:val="00622C79"/>
    <w:rsid w:val="00623D1C"/>
    <w:rsid w:val="006248CF"/>
    <w:rsid w:val="00624D4D"/>
    <w:rsid w:val="006264C0"/>
    <w:rsid w:val="00626C0F"/>
    <w:rsid w:val="00626CD2"/>
    <w:rsid w:val="00627330"/>
    <w:rsid w:val="0062763C"/>
    <w:rsid w:val="006277FE"/>
    <w:rsid w:val="00630CBB"/>
    <w:rsid w:val="00631651"/>
    <w:rsid w:val="00631986"/>
    <w:rsid w:val="006342E2"/>
    <w:rsid w:val="00635325"/>
    <w:rsid w:val="00635C38"/>
    <w:rsid w:val="00635ED1"/>
    <w:rsid w:val="00636009"/>
    <w:rsid w:val="00636360"/>
    <w:rsid w:val="006367EF"/>
    <w:rsid w:val="0064067D"/>
    <w:rsid w:val="0064096C"/>
    <w:rsid w:val="00641929"/>
    <w:rsid w:val="00642021"/>
    <w:rsid w:val="006423B0"/>
    <w:rsid w:val="0064258D"/>
    <w:rsid w:val="006428F6"/>
    <w:rsid w:val="00642AD4"/>
    <w:rsid w:val="00642AE4"/>
    <w:rsid w:val="00642C54"/>
    <w:rsid w:val="0064393E"/>
    <w:rsid w:val="00643CE3"/>
    <w:rsid w:val="00643F4B"/>
    <w:rsid w:val="00644842"/>
    <w:rsid w:val="00644F1F"/>
    <w:rsid w:val="00646191"/>
    <w:rsid w:val="00646C1C"/>
    <w:rsid w:val="0064769C"/>
    <w:rsid w:val="00647F82"/>
    <w:rsid w:val="00650D78"/>
    <w:rsid w:val="00652A3A"/>
    <w:rsid w:val="00652F52"/>
    <w:rsid w:val="006536E7"/>
    <w:rsid w:val="00654B7C"/>
    <w:rsid w:val="00655263"/>
    <w:rsid w:val="00655C48"/>
    <w:rsid w:val="00656503"/>
    <w:rsid w:val="00656DAE"/>
    <w:rsid w:val="006570DD"/>
    <w:rsid w:val="0065711A"/>
    <w:rsid w:val="0065761B"/>
    <w:rsid w:val="006623C8"/>
    <w:rsid w:val="00662459"/>
    <w:rsid w:val="00662799"/>
    <w:rsid w:val="006629F6"/>
    <w:rsid w:val="006639D7"/>
    <w:rsid w:val="00664430"/>
    <w:rsid w:val="006644AF"/>
    <w:rsid w:val="0066474C"/>
    <w:rsid w:val="00664AC2"/>
    <w:rsid w:val="006650F5"/>
    <w:rsid w:val="00665111"/>
    <w:rsid w:val="006653CA"/>
    <w:rsid w:val="00665941"/>
    <w:rsid w:val="006659E3"/>
    <w:rsid w:val="0066632D"/>
    <w:rsid w:val="00666C29"/>
    <w:rsid w:val="006671DB"/>
    <w:rsid w:val="00667593"/>
    <w:rsid w:val="006710D8"/>
    <w:rsid w:val="006736CB"/>
    <w:rsid w:val="00673E38"/>
    <w:rsid w:val="00676898"/>
    <w:rsid w:val="00676F1B"/>
    <w:rsid w:val="006772DB"/>
    <w:rsid w:val="00677B9F"/>
    <w:rsid w:val="00677CB0"/>
    <w:rsid w:val="00680EDB"/>
    <w:rsid w:val="006833F6"/>
    <w:rsid w:val="00683568"/>
    <w:rsid w:val="006842FB"/>
    <w:rsid w:val="00684736"/>
    <w:rsid w:val="00684E59"/>
    <w:rsid w:val="006852FF"/>
    <w:rsid w:val="00685324"/>
    <w:rsid w:val="0068656A"/>
    <w:rsid w:val="0068694F"/>
    <w:rsid w:val="0068718B"/>
    <w:rsid w:val="006871FC"/>
    <w:rsid w:val="00687B5C"/>
    <w:rsid w:val="006902F7"/>
    <w:rsid w:val="0069130F"/>
    <w:rsid w:val="0069174F"/>
    <w:rsid w:val="006928BF"/>
    <w:rsid w:val="00692E19"/>
    <w:rsid w:val="00694AC6"/>
    <w:rsid w:val="00696FA6"/>
    <w:rsid w:val="006975E7"/>
    <w:rsid w:val="0069768F"/>
    <w:rsid w:val="00697ED4"/>
    <w:rsid w:val="006A2613"/>
    <w:rsid w:val="006A41BE"/>
    <w:rsid w:val="006A6142"/>
    <w:rsid w:val="006A6AB9"/>
    <w:rsid w:val="006A74E9"/>
    <w:rsid w:val="006B04C9"/>
    <w:rsid w:val="006B0AA1"/>
    <w:rsid w:val="006B0C13"/>
    <w:rsid w:val="006B1766"/>
    <w:rsid w:val="006B18BA"/>
    <w:rsid w:val="006B230B"/>
    <w:rsid w:val="006B2460"/>
    <w:rsid w:val="006B3F64"/>
    <w:rsid w:val="006B4085"/>
    <w:rsid w:val="006B456E"/>
    <w:rsid w:val="006B4EC6"/>
    <w:rsid w:val="006B4FA3"/>
    <w:rsid w:val="006B581C"/>
    <w:rsid w:val="006B6509"/>
    <w:rsid w:val="006B7740"/>
    <w:rsid w:val="006B7BBB"/>
    <w:rsid w:val="006B7E88"/>
    <w:rsid w:val="006B7F56"/>
    <w:rsid w:val="006C11DC"/>
    <w:rsid w:val="006C1EB3"/>
    <w:rsid w:val="006C4CA2"/>
    <w:rsid w:val="006C54BC"/>
    <w:rsid w:val="006C5757"/>
    <w:rsid w:val="006C6BA0"/>
    <w:rsid w:val="006C70BF"/>
    <w:rsid w:val="006C7B36"/>
    <w:rsid w:val="006D0F27"/>
    <w:rsid w:val="006D138C"/>
    <w:rsid w:val="006D1F8A"/>
    <w:rsid w:val="006D3599"/>
    <w:rsid w:val="006D3D6D"/>
    <w:rsid w:val="006D42DA"/>
    <w:rsid w:val="006D6036"/>
    <w:rsid w:val="006D6AE5"/>
    <w:rsid w:val="006D76B5"/>
    <w:rsid w:val="006D7919"/>
    <w:rsid w:val="006E048A"/>
    <w:rsid w:val="006E08BD"/>
    <w:rsid w:val="006E0DE9"/>
    <w:rsid w:val="006E1378"/>
    <w:rsid w:val="006E1425"/>
    <w:rsid w:val="006E169C"/>
    <w:rsid w:val="006E1973"/>
    <w:rsid w:val="006E3009"/>
    <w:rsid w:val="006E30B6"/>
    <w:rsid w:val="006E347C"/>
    <w:rsid w:val="006E3745"/>
    <w:rsid w:val="006E3A44"/>
    <w:rsid w:val="006E3F18"/>
    <w:rsid w:val="006E4D49"/>
    <w:rsid w:val="006E5497"/>
    <w:rsid w:val="006E58F2"/>
    <w:rsid w:val="006E637C"/>
    <w:rsid w:val="006E6587"/>
    <w:rsid w:val="006E6F2A"/>
    <w:rsid w:val="006E7A6F"/>
    <w:rsid w:val="006F0B67"/>
    <w:rsid w:val="006F1932"/>
    <w:rsid w:val="006F1BC9"/>
    <w:rsid w:val="006F20B8"/>
    <w:rsid w:val="006F2A61"/>
    <w:rsid w:val="006F30B4"/>
    <w:rsid w:val="006F42DF"/>
    <w:rsid w:val="006F5CD7"/>
    <w:rsid w:val="006F5CE6"/>
    <w:rsid w:val="006F625F"/>
    <w:rsid w:val="006F6A88"/>
    <w:rsid w:val="00700562"/>
    <w:rsid w:val="00700E86"/>
    <w:rsid w:val="007010AA"/>
    <w:rsid w:val="00701977"/>
    <w:rsid w:val="007036EC"/>
    <w:rsid w:val="00703DE7"/>
    <w:rsid w:val="0070464A"/>
    <w:rsid w:val="00704B68"/>
    <w:rsid w:val="00704EB5"/>
    <w:rsid w:val="00704FE6"/>
    <w:rsid w:val="00707CE3"/>
    <w:rsid w:val="00707DC6"/>
    <w:rsid w:val="007101D7"/>
    <w:rsid w:val="00710358"/>
    <w:rsid w:val="00710746"/>
    <w:rsid w:val="00710969"/>
    <w:rsid w:val="00710BE8"/>
    <w:rsid w:val="00712B46"/>
    <w:rsid w:val="0071329E"/>
    <w:rsid w:val="00714188"/>
    <w:rsid w:val="007151F2"/>
    <w:rsid w:val="007155B3"/>
    <w:rsid w:val="00716DF9"/>
    <w:rsid w:val="007177AE"/>
    <w:rsid w:val="00717C39"/>
    <w:rsid w:val="00720441"/>
    <w:rsid w:val="00720E60"/>
    <w:rsid w:val="00721926"/>
    <w:rsid w:val="00722A9F"/>
    <w:rsid w:val="00723673"/>
    <w:rsid w:val="007237BB"/>
    <w:rsid w:val="007238D2"/>
    <w:rsid w:val="00723B57"/>
    <w:rsid w:val="00725963"/>
    <w:rsid w:val="007263CC"/>
    <w:rsid w:val="00727F5D"/>
    <w:rsid w:val="007305FC"/>
    <w:rsid w:val="00731682"/>
    <w:rsid w:val="00732649"/>
    <w:rsid w:val="0073368B"/>
    <w:rsid w:val="00733BCA"/>
    <w:rsid w:val="00733F31"/>
    <w:rsid w:val="007342DF"/>
    <w:rsid w:val="00736132"/>
    <w:rsid w:val="007375DB"/>
    <w:rsid w:val="0074029B"/>
    <w:rsid w:val="00740463"/>
    <w:rsid w:val="00740CF3"/>
    <w:rsid w:val="0074230A"/>
    <w:rsid w:val="0074420A"/>
    <w:rsid w:val="0074693D"/>
    <w:rsid w:val="00746D2A"/>
    <w:rsid w:val="007478FF"/>
    <w:rsid w:val="00751530"/>
    <w:rsid w:val="00751C58"/>
    <w:rsid w:val="007526E2"/>
    <w:rsid w:val="00753757"/>
    <w:rsid w:val="007538E5"/>
    <w:rsid w:val="00753EFE"/>
    <w:rsid w:val="00755089"/>
    <w:rsid w:val="00755153"/>
    <w:rsid w:val="00756735"/>
    <w:rsid w:val="00756C15"/>
    <w:rsid w:val="00756D6C"/>
    <w:rsid w:val="0076057F"/>
    <w:rsid w:val="007605C4"/>
    <w:rsid w:val="0076156D"/>
    <w:rsid w:val="00761958"/>
    <w:rsid w:val="007621D5"/>
    <w:rsid w:val="0076338A"/>
    <w:rsid w:val="00763EA6"/>
    <w:rsid w:val="00764482"/>
    <w:rsid w:val="00764574"/>
    <w:rsid w:val="00764AA9"/>
    <w:rsid w:val="00765917"/>
    <w:rsid w:val="00765B20"/>
    <w:rsid w:val="00765FEE"/>
    <w:rsid w:val="00766EC2"/>
    <w:rsid w:val="00770016"/>
    <w:rsid w:val="007705A8"/>
    <w:rsid w:val="007706AA"/>
    <w:rsid w:val="00770A28"/>
    <w:rsid w:val="007722C7"/>
    <w:rsid w:val="00773B01"/>
    <w:rsid w:val="00773CED"/>
    <w:rsid w:val="007743AD"/>
    <w:rsid w:val="00775F1E"/>
    <w:rsid w:val="007764C7"/>
    <w:rsid w:val="00776519"/>
    <w:rsid w:val="007773B6"/>
    <w:rsid w:val="00780CCC"/>
    <w:rsid w:val="007814F4"/>
    <w:rsid w:val="0078237B"/>
    <w:rsid w:val="00783155"/>
    <w:rsid w:val="00783EF6"/>
    <w:rsid w:val="00784B9A"/>
    <w:rsid w:val="00784C72"/>
    <w:rsid w:val="00785287"/>
    <w:rsid w:val="007865CD"/>
    <w:rsid w:val="00787AEF"/>
    <w:rsid w:val="00790BEE"/>
    <w:rsid w:val="00790D9D"/>
    <w:rsid w:val="00790F9C"/>
    <w:rsid w:val="00791B4A"/>
    <w:rsid w:val="007948AC"/>
    <w:rsid w:val="00794A70"/>
    <w:rsid w:val="00795123"/>
    <w:rsid w:val="00795BD0"/>
    <w:rsid w:val="007979B2"/>
    <w:rsid w:val="007A0F7C"/>
    <w:rsid w:val="007A13BE"/>
    <w:rsid w:val="007A1508"/>
    <w:rsid w:val="007A1EFC"/>
    <w:rsid w:val="007A3495"/>
    <w:rsid w:val="007A349C"/>
    <w:rsid w:val="007A485E"/>
    <w:rsid w:val="007A4EDB"/>
    <w:rsid w:val="007A5852"/>
    <w:rsid w:val="007A5EC1"/>
    <w:rsid w:val="007A5EFB"/>
    <w:rsid w:val="007A5FE7"/>
    <w:rsid w:val="007B0654"/>
    <w:rsid w:val="007B3A11"/>
    <w:rsid w:val="007B3A5E"/>
    <w:rsid w:val="007B4720"/>
    <w:rsid w:val="007B5C4A"/>
    <w:rsid w:val="007B6236"/>
    <w:rsid w:val="007B6481"/>
    <w:rsid w:val="007B6BB3"/>
    <w:rsid w:val="007B6C98"/>
    <w:rsid w:val="007B7192"/>
    <w:rsid w:val="007B73EE"/>
    <w:rsid w:val="007B76F6"/>
    <w:rsid w:val="007C1B69"/>
    <w:rsid w:val="007C2FDE"/>
    <w:rsid w:val="007C329F"/>
    <w:rsid w:val="007C44E2"/>
    <w:rsid w:val="007C4F42"/>
    <w:rsid w:val="007C699A"/>
    <w:rsid w:val="007D0D9E"/>
    <w:rsid w:val="007D0E81"/>
    <w:rsid w:val="007D142D"/>
    <w:rsid w:val="007D1B43"/>
    <w:rsid w:val="007D2D8A"/>
    <w:rsid w:val="007D2DB8"/>
    <w:rsid w:val="007D39CE"/>
    <w:rsid w:val="007D495B"/>
    <w:rsid w:val="007D6B51"/>
    <w:rsid w:val="007E08B1"/>
    <w:rsid w:val="007E0C5F"/>
    <w:rsid w:val="007E2D3A"/>
    <w:rsid w:val="007E2EB3"/>
    <w:rsid w:val="007E34D9"/>
    <w:rsid w:val="007E47DE"/>
    <w:rsid w:val="007E4F8E"/>
    <w:rsid w:val="007E50F0"/>
    <w:rsid w:val="007E60F9"/>
    <w:rsid w:val="007E745F"/>
    <w:rsid w:val="007E74EF"/>
    <w:rsid w:val="007F0212"/>
    <w:rsid w:val="007F2625"/>
    <w:rsid w:val="007F33CB"/>
    <w:rsid w:val="007F5D10"/>
    <w:rsid w:val="007F614D"/>
    <w:rsid w:val="007F7CBB"/>
    <w:rsid w:val="00800ACC"/>
    <w:rsid w:val="00800D44"/>
    <w:rsid w:val="00800EF8"/>
    <w:rsid w:val="00801236"/>
    <w:rsid w:val="00802A47"/>
    <w:rsid w:val="008034C6"/>
    <w:rsid w:val="00803E5F"/>
    <w:rsid w:val="00803F5B"/>
    <w:rsid w:val="00803F84"/>
    <w:rsid w:val="008051FF"/>
    <w:rsid w:val="008054EB"/>
    <w:rsid w:val="008055AB"/>
    <w:rsid w:val="00805C58"/>
    <w:rsid w:val="00805CD5"/>
    <w:rsid w:val="0080640A"/>
    <w:rsid w:val="00807A4F"/>
    <w:rsid w:val="00807A53"/>
    <w:rsid w:val="00807B0E"/>
    <w:rsid w:val="00807F8C"/>
    <w:rsid w:val="00810262"/>
    <w:rsid w:val="00810698"/>
    <w:rsid w:val="00810A44"/>
    <w:rsid w:val="00810F02"/>
    <w:rsid w:val="00810FB1"/>
    <w:rsid w:val="00811B78"/>
    <w:rsid w:val="00812A14"/>
    <w:rsid w:val="00813083"/>
    <w:rsid w:val="00813C9C"/>
    <w:rsid w:val="0081429D"/>
    <w:rsid w:val="008152DA"/>
    <w:rsid w:val="00815534"/>
    <w:rsid w:val="008155EB"/>
    <w:rsid w:val="00815C73"/>
    <w:rsid w:val="008164E3"/>
    <w:rsid w:val="008168C1"/>
    <w:rsid w:val="00817403"/>
    <w:rsid w:val="00817AE9"/>
    <w:rsid w:val="00821235"/>
    <w:rsid w:val="00821C44"/>
    <w:rsid w:val="00822364"/>
    <w:rsid w:val="008232B1"/>
    <w:rsid w:val="00823AB7"/>
    <w:rsid w:val="00823B4C"/>
    <w:rsid w:val="00823DFE"/>
    <w:rsid w:val="008241AF"/>
    <w:rsid w:val="00824B75"/>
    <w:rsid w:val="0082530B"/>
    <w:rsid w:val="0082546D"/>
    <w:rsid w:val="008256C5"/>
    <w:rsid w:val="00825703"/>
    <w:rsid w:val="0082775B"/>
    <w:rsid w:val="00830207"/>
    <w:rsid w:val="00830B89"/>
    <w:rsid w:val="00831011"/>
    <w:rsid w:val="008318B6"/>
    <w:rsid w:val="00831DB3"/>
    <w:rsid w:val="00831E92"/>
    <w:rsid w:val="008358DA"/>
    <w:rsid w:val="00835ED1"/>
    <w:rsid w:val="00836AFE"/>
    <w:rsid w:val="00841186"/>
    <w:rsid w:val="008424D6"/>
    <w:rsid w:val="00842AC5"/>
    <w:rsid w:val="008430C5"/>
    <w:rsid w:val="00844400"/>
    <w:rsid w:val="00850B87"/>
    <w:rsid w:val="00850C25"/>
    <w:rsid w:val="00850C8C"/>
    <w:rsid w:val="00851014"/>
    <w:rsid w:val="00854393"/>
    <w:rsid w:val="008550B8"/>
    <w:rsid w:val="00855198"/>
    <w:rsid w:val="008552F7"/>
    <w:rsid w:val="00855317"/>
    <w:rsid w:val="00855CE0"/>
    <w:rsid w:val="00856454"/>
    <w:rsid w:val="0085673B"/>
    <w:rsid w:val="00857302"/>
    <w:rsid w:val="008573FE"/>
    <w:rsid w:val="0086028F"/>
    <w:rsid w:val="00862152"/>
    <w:rsid w:val="008628B3"/>
    <w:rsid w:val="00862992"/>
    <w:rsid w:val="00863442"/>
    <w:rsid w:val="0086346E"/>
    <w:rsid w:val="00865437"/>
    <w:rsid w:val="00866F4B"/>
    <w:rsid w:val="008670C8"/>
    <w:rsid w:val="008670E9"/>
    <w:rsid w:val="0087115A"/>
    <w:rsid w:val="00871858"/>
    <w:rsid w:val="00871C6D"/>
    <w:rsid w:val="00872DAF"/>
    <w:rsid w:val="00873244"/>
    <w:rsid w:val="00873C77"/>
    <w:rsid w:val="00876805"/>
    <w:rsid w:val="00876AFD"/>
    <w:rsid w:val="00876D59"/>
    <w:rsid w:val="00876DDF"/>
    <w:rsid w:val="00877949"/>
    <w:rsid w:val="00877D0C"/>
    <w:rsid w:val="008801B8"/>
    <w:rsid w:val="008808CB"/>
    <w:rsid w:val="00881303"/>
    <w:rsid w:val="00881544"/>
    <w:rsid w:val="00881AE1"/>
    <w:rsid w:val="008828B9"/>
    <w:rsid w:val="0088355C"/>
    <w:rsid w:val="0088417F"/>
    <w:rsid w:val="0088528B"/>
    <w:rsid w:val="0088622A"/>
    <w:rsid w:val="0088688F"/>
    <w:rsid w:val="00886AF3"/>
    <w:rsid w:val="00886DE3"/>
    <w:rsid w:val="0088756E"/>
    <w:rsid w:val="00890183"/>
    <w:rsid w:val="00891128"/>
    <w:rsid w:val="0089154B"/>
    <w:rsid w:val="00892F27"/>
    <w:rsid w:val="0089317F"/>
    <w:rsid w:val="008940B8"/>
    <w:rsid w:val="0089456F"/>
    <w:rsid w:val="008946A8"/>
    <w:rsid w:val="00894E5A"/>
    <w:rsid w:val="008955D1"/>
    <w:rsid w:val="00897592"/>
    <w:rsid w:val="008A0BD0"/>
    <w:rsid w:val="008A0EBE"/>
    <w:rsid w:val="008A1AC2"/>
    <w:rsid w:val="008A1B81"/>
    <w:rsid w:val="008A2051"/>
    <w:rsid w:val="008A2711"/>
    <w:rsid w:val="008A2D7F"/>
    <w:rsid w:val="008A3538"/>
    <w:rsid w:val="008A3F6F"/>
    <w:rsid w:val="008A48A7"/>
    <w:rsid w:val="008A5ACD"/>
    <w:rsid w:val="008A5FA4"/>
    <w:rsid w:val="008A6C8E"/>
    <w:rsid w:val="008B092C"/>
    <w:rsid w:val="008B0969"/>
    <w:rsid w:val="008B0DF8"/>
    <w:rsid w:val="008B16D3"/>
    <w:rsid w:val="008B6E7A"/>
    <w:rsid w:val="008C22FF"/>
    <w:rsid w:val="008C440E"/>
    <w:rsid w:val="008C7F73"/>
    <w:rsid w:val="008D1604"/>
    <w:rsid w:val="008D18C4"/>
    <w:rsid w:val="008D24E0"/>
    <w:rsid w:val="008D350F"/>
    <w:rsid w:val="008D6453"/>
    <w:rsid w:val="008D7EB3"/>
    <w:rsid w:val="008E1331"/>
    <w:rsid w:val="008E2206"/>
    <w:rsid w:val="008E2EA5"/>
    <w:rsid w:val="008E33D3"/>
    <w:rsid w:val="008E5228"/>
    <w:rsid w:val="008E57E5"/>
    <w:rsid w:val="008E5B0A"/>
    <w:rsid w:val="008E5D6D"/>
    <w:rsid w:val="008E6960"/>
    <w:rsid w:val="008E6A97"/>
    <w:rsid w:val="008E7A3D"/>
    <w:rsid w:val="008F0D21"/>
    <w:rsid w:val="008F141B"/>
    <w:rsid w:val="008F17CA"/>
    <w:rsid w:val="008F19E4"/>
    <w:rsid w:val="008F2908"/>
    <w:rsid w:val="008F2E8C"/>
    <w:rsid w:val="008F31E3"/>
    <w:rsid w:val="008F3AD1"/>
    <w:rsid w:val="008F43B5"/>
    <w:rsid w:val="008F497A"/>
    <w:rsid w:val="008F5103"/>
    <w:rsid w:val="008F5592"/>
    <w:rsid w:val="008F63BB"/>
    <w:rsid w:val="009005F9"/>
    <w:rsid w:val="00900BBB"/>
    <w:rsid w:val="00901709"/>
    <w:rsid w:val="00901DE3"/>
    <w:rsid w:val="00901EDA"/>
    <w:rsid w:val="00902508"/>
    <w:rsid w:val="009027DD"/>
    <w:rsid w:val="00902881"/>
    <w:rsid w:val="00903130"/>
    <w:rsid w:val="009042DB"/>
    <w:rsid w:val="0090488D"/>
    <w:rsid w:val="00904950"/>
    <w:rsid w:val="00905696"/>
    <w:rsid w:val="009057DD"/>
    <w:rsid w:val="009061FE"/>
    <w:rsid w:val="00906CFA"/>
    <w:rsid w:val="00911F14"/>
    <w:rsid w:val="00911FB8"/>
    <w:rsid w:val="0091289E"/>
    <w:rsid w:val="00913863"/>
    <w:rsid w:val="00913D5D"/>
    <w:rsid w:val="00913FD6"/>
    <w:rsid w:val="00914ACE"/>
    <w:rsid w:val="00915B92"/>
    <w:rsid w:val="00915C29"/>
    <w:rsid w:val="00915C34"/>
    <w:rsid w:val="00915FB6"/>
    <w:rsid w:val="00917246"/>
    <w:rsid w:val="0091746D"/>
    <w:rsid w:val="00917CBD"/>
    <w:rsid w:val="00917EE1"/>
    <w:rsid w:val="0092180D"/>
    <w:rsid w:val="009218EC"/>
    <w:rsid w:val="00921A0A"/>
    <w:rsid w:val="00922917"/>
    <w:rsid w:val="00922E88"/>
    <w:rsid w:val="00923112"/>
    <w:rsid w:val="00923BFB"/>
    <w:rsid w:val="00924A2E"/>
    <w:rsid w:val="00924A7C"/>
    <w:rsid w:val="009255E5"/>
    <w:rsid w:val="00925B18"/>
    <w:rsid w:val="009260CF"/>
    <w:rsid w:val="0092731E"/>
    <w:rsid w:val="00927981"/>
    <w:rsid w:val="00927A98"/>
    <w:rsid w:val="00930A0C"/>
    <w:rsid w:val="00930E16"/>
    <w:rsid w:val="009312EA"/>
    <w:rsid w:val="009314FB"/>
    <w:rsid w:val="00931680"/>
    <w:rsid w:val="00932AA9"/>
    <w:rsid w:val="00932EFF"/>
    <w:rsid w:val="00933716"/>
    <w:rsid w:val="0093451B"/>
    <w:rsid w:val="009348F8"/>
    <w:rsid w:val="009351AA"/>
    <w:rsid w:val="00935984"/>
    <w:rsid w:val="00936050"/>
    <w:rsid w:val="009366C6"/>
    <w:rsid w:val="00937370"/>
    <w:rsid w:val="00937903"/>
    <w:rsid w:val="009379D9"/>
    <w:rsid w:val="009404F7"/>
    <w:rsid w:val="00940900"/>
    <w:rsid w:val="00942B47"/>
    <w:rsid w:val="00943A2D"/>
    <w:rsid w:val="00943E9E"/>
    <w:rsid w:val="00944040"/>
    <w:rsid w:val="009459B5"/>
    <w:rsid w:val="009469E1"/>
    <w:rsid w:val="00946E3D"/>
    <w:rsid w:val="00950CDD"/>
    <w:rsid w:val="009513F0"/>
    <w:rsid w:val="00951703"/>
    <w:rsid w:val="009521DC"/>
    <w:rsid w:val="0095320B"/>
    <w:rsid w:val="00953E1F"/>
    <w:rsid w:val="0095677C"/>
    <w:rsid w:val="0095681E"/>
    <w:rsid w:val="009571D2"/>
    <w:rsid w:val="009573B3"/>
    <w:rsid w:val="00957C0D"/>
    <w:rsid w:val="00957F06"/>
    <w:rsid w:val="00960C5D"/>
    <w:rsid w:val="00961872"/>
    <w:rsid w:val="00962703"/>
    <w:rsid w:val="00964121"/>
    <w:rsid w:val="00964EAB"/>
    <w:rsid w:val="009654D0"/>
    <w:rsid w:val="00967896"/>
    <w:rsid w:val="00970FC9"/>
    <w:rsid w:val="009711BC"/>
    <w:rsid w:val="009741CD"/>
    <w:rsid w:val="009747B7"/>
    <w:rsid w:val="00974C2E"/>
    <w:rsid w:val="00975663"/>
    <w:rsid w:val="00975A40"/>
    <w:rsid w:val="00975E61"/>
    <w:rsid w:val="00977E24"/>
    <w:rsid w:val="009803B8"/>
    <w:rsid w:val="00980680"/>
    <w:rsid w:val="009806A0"/>
    <w:rsid w:val="00981EBA"/>
    <w:rsid w:val="00984606"/>
    <w:rsid w:val="0098490D"/>
    <w:rsid w:val="00986B10"/>
    <w:rsid w:val="009870ED"/>
    <w:rsid w:val="009875A9"/>
    <w:rsid w:val="00987ABE"/>
    <w:rsid w:val="00987E64"/>
    <w:rsid w:val="00990AB7"/>
    <w:rsid w:val="00990D90"/>
    <w:rsid w:val="00991B6D"/>
    <w:rsid w:val="00991EAD"/>
    <w:rsid w:val="0099291D"/>
    <w:rsid w:val="00992D19"/>
    <w:rsid w:val="0099306F"/>
    <w:rsid w:val="00993BC1"/>
    <w:rsid w:val="00995017"/>
    <w:rsid w:val="009958F6"/>
    <w:rsid w:val="00995EEB"/>
    <w:rsid w:val="009A091E"/>
    <w:rsid w:val="009A1A9A"/>
    <w:rsid w:val="009A2187"/>
    <w:rsid w:val="009A33F1"/>
    <w:rsid w:val="009A414C"/>
    <w:rsid w:val="009A55FB"/>
    <w:rsid w:val="009A5C06"/>
    <w:rsid w:val="009A66E2"/>
    <w:rsid w:val="009A7BAB"/>
    <w:rsid w:val="009A7E6E"/>
    <w:rsid w:val="009B0A82"/>
    <w:rsid w:val="009B0F11"/>
    <w:rsid w:val="009B0FD5"/>
    <w:rsid w:val="009B1627"/>
    <w:rsid w:val="009B1E75"/>
    <w:rsid w:val="009B2B5E"/>
    <w:rsid w:val="009B3217"/>
    <w:rsid w:val="009B433E"/>
    <w:rsid w:val="009B47C0"/>
    <w:rsid w:val="009B51FF"/>
    <w:rsid w:val="009B6647"/>
    <w:rsid w:val="009B6F7E"/>
    <w:rsid w:val="009B7942"/>
    <w:rsid w:val="009B7A83"/>
    <w:rsid w:val="009C03D2"/>
    <w:rsid w:val="009C122F"/>
    <w:rsid w:val="009C238C"/>
    <w:rsid w:val="009C2532"/>
    <w:rsid w:val="009C2816"/>
    <w:rsid w:val="009C2852"/>
    <w:rsid w:val="009C2A49"/>
    <w:rsid w:val="009C5A36"/>
    <w:rsid w:val="009C5B2E"/>
    <w:rsid w:val="009C7601"/>
    <w:rsid w:val="009D045B"/>
    <w:rsid w:val="009D0782"/>
    <w:rsid w:val="009D1407"/>
    <w:rsid w:val="009D14CE"/>
    <w:rsid w:val="009D1E06"/>
    <w:rsid w:val="009D1FA1"/>
    <w:rsid w:val="009D2483"/>
    <w:rsid w:val="009D3535"/>
    <w:rsid w:val="009D35C8"/>
    <w:rsid w:val="009D3A65"/>
    <w:rsid w:val="009D3D8F"/>
    <w:rsid w:val="009D424F"/>
    <w:rsid w:val="009D61BE"/>
    <w:rsid w:val="009D67B7"/>
    <w:rsid w:val="009D68E1"/>
    <w:rsid w:val="009D6D58"/>
    <w:rsid w:val="009D7029"/>
    <w:rsid w:val="009D79D3"/>
    <w:rsid w:val="009E07ED"/>
    <w:rsid w:val="009E35AC"/>
    <w:rsid w:val="009E3935"/>
    <w:rsid w:val="009E3A0E"/>
    <w:rsid w:val="009E3F98"/>
    <w:rsid w:val="009E58E1"/>
    <w:rsid w:val="009E696C"/>
    <w:rsid w:val="009E6C86"/>
    <w:rsid w:val="009F0E2F"/>
    <w:rsid w:val="009F2053"/>
    <w:rsid w:val="009F66C9"/>
    <w:rsid w:val="009F67C8"/>
    <w:rsid w:val="009F7DA1"/>
    <w:rsid w:val="00A0010D"/>
    <w:rsid w:val="00A02F46"/>
    <w:rsid w:val="00A04BAB"/>
    <w:rsid w:val="00A0565A"/>
    <w:rsid w:val="00A057B4"/>
    <w:rsid w:val="00A06326"/>
    <w:rsid w:val="00A1028C"/>
    <w:rsid w:val="00A106AC"/>
    <w:rsid w:val="00A10F8B"/>
    <w:rsid w:val="00A11AD2"/>
    <w:rsid w:val="00A12C91"/>
    <w:rsid w:val="00A13B4C"/>
    <w:rsid w:val="00A14104"/>
    <w:rsid w:val="00A145E6"/>
    <w:rsid w:val="00A14FAA"/>
    <w:rsid w:val="00A17037"/>
    <w:rsid w:val="00A17E0A"/>
    <w:rsid w:val="00A2083E"/>
    <w:rsid w:val="00A2090C"/>
    <w:rsid w:val="00A20B36"/>
    <w:rsid w:val="00A22214"/>
    <w:rsid w:val="00A236D1"/>
    <w:rsid w:val="00A2391C"/>
    <w:rsid w:val="00A23E06"/>
    <w:rsid w:val="00A23E62"/>
    <w:rsid w:val="00A24712"/>
    <w:rsid w:val="00A24A6F"/>
    <w:rsid w:val="00A26B36"/>
    <w:rsid w:val="00A3053E"/>
    <w:rsid w:val="00A30A92"/>
    <w:rsid w:val="00A30C37"/>
    <w:rsid w:val="00A3105D"/>
    <w:rsid w:val="00A310B4"/>
    <w:rsid w:val="00A3118C"/>
    <w:rsid w:val="00A312E8"/>
    <w:rsid w:val="00A3145C"/>
    <w:rsid w:val="00A31849"/>
    <w:rsid w:val="00A328DE"/>
    <w:rsid w:val="00A32AEF"/>
    <w:rsid w:val="00A338FC"/>
    <w:rsid w:val="00A33E8D"/>
    <w:rsid w:val="00A3463D"/>
    <w:rsid w:val="00A34A1B"/>
    <w:rsid w:val="00A36542"/>
    <w:rsid w:val="00A36FE2"/>
    <w:rsid w:val="00A40348"/>
    <w:rsid w:val="00A40D3B"/>
    <w:rsid w:val="00A4145A"/>
    <w:rsid w:val="00A41573"/>
    <w:rsid w:val="00A41C26"/>
    <w:rsid w:val="00A41F31"/>
    <w:rsid w:val="00A42B1F"/>
    <w:rsid w:val="00A42E19"/>
    <w:rsid w:val="00A43587"/>
    <w:rsid w:val="00A45867"/>
    <w:rsid w:val="00A45FE8"/>
    <w:rsid w:val="00A468DE"/>
    <w:rsid w:val="00A502FA"/>
    <w:rsid w:val="00A50823"/>
    <w:rsid w:val="00A50C59"/>
    <w:rsid w:val="00A50FA6"/>
    <w:rsid w:val="00A51D76"/>
    <w:rsid w:val="00A52562"/>
    <w:rsid w:val="00A52D5F"/>
    <w:rsid w:val="00A52D9A"/>
    <w:rsid w:val="00A52EC7"/>
    <w:rsid w:val="00A53202"/>
    <w:rsid w:val="00A56619"/>
    <w:rsid w:val="00A569C5"/>
    <w:rsid w:val="00A5776A"/>
    <w:rsid w:val="00A60202"/>
    <w:rsid w:val="00A60299"/>
    <w:rsid w:val="00A605F0"/>
    <w:rsid w:val="00A60D66"/>
    <w:rsid w:val="00A61D10"/>
    <w:rsid w:val="00A61EA6"/>
    <w:rsid w:val="00A62053"/>
    <w:rsid w:val="00A6211B"/>
    <w:rsid w:val="00A621A8"/>
    <w:rsid w:val="00A6623D"/>
    <w:rsid w:val="00A6644D"/>
    <w:rsid w:val="00A66718"/>
    <w:rsid w:val="00A66739"/>
    <w:rsid w:val="00A70888"/>
    <w:rsid w:val="00A7207A"/>
    <w:rsid w:val="00A732A5"/>
    <w:rsid w:val="00A73927"/>
    <w:rsid w:val="00A77074"/>
    <w:rsid w:val="00A804FB"/>
    <w:rsid w:val="00A80C97"/>
    <w:rsid w:val="00A8126D"/>
    <w:rsid w:val="00A8170E"/>
    <w:rsid w:val="00A828ED"/>
    <w:rsid w:val="00A83094"/>
    <w:rsid w:val="00A8338E"/>
    <w:rsid w:val="00A8373B"/>
    <w:rsid w:val="00A83825"/>
    <w:rsid w:val="00A84CE1"/>
    <w:rsid w:val="00A84F2F"/>
    <w:rsid w:val="00A85684"/>
    <w:rsid w:val="00A87986"/>
    <w:rsid w:val="00A91750"/>
    <w:rsid w:val="00A91A3D"/>
    <w:rsid w:val="00A9236A"/>
    <w:rsid w:val="00A941FE"/>
    <w:rsid w:val="00A944DB"/>
    <w:rsid w:val="00A9460A"/>
    <w:rsid w:val="00A96084"/>
    <w:rsid w:val="00A96099"/>
    <w:rsid w:val="00A9631E"/>
    <w:rsid w:val="00AA1CA8"/>
    <w:rsid w:val="00AA1F07"/>
    <w:rsid w:val="00AA30FE"/>
    <w:rsid w:val="00AA3EA3"/>
    <w:rsid w:val="00AA5419"/>
    <w:rsid w:val="00AA5566"/>
    <w:rsid w:val="00AA65F5"/>
    <w:rsid w:val="00AA6C68"/>
    <w:rsid w:val="00AB15E8"/>
    <w:rsid w:val="00AB1FAB"/>
    <w:rsid w:val="00AB29FE"/>
    <w:rsid w:val="00AB5847"/>
    <w:rsid w:val="00AB6653"/>
    <w:rsid w:val="00AC10FB"/>
    <w:rsid w:val="00AC229B"/>
    <w:rsid w:val="00AC3141"/>
    <w:rsid w:val="00AC350F"/>
    <w:rsid w:val="00AC3C9A"/>
    <w:rsid w:val="00AC4304"/>
    <w:rsid w:val="00AC55D5"/>
    <w:rsid w:val="00AC635A"/>
    <w:rsid w:val="00AC6923"/>
    <w:rsid w:val="00AC6D67"/>
    <w:rsid w:val="00AC7539"/>
    <w:rsid w:val="00AD0D8B"/>
    <w:rsid w:val="00AD12DB"/>
    <w:rsid w:val="00AD283F"/>
    <w:rsid w:val="00AD3C8E"/>
    <w:rsid w:val="00AD4325"/>
    <w:rsid w:val="00AD456E"/>
    <w:rsid w:val="00AD49D2"/>
    <w:rsid w:val="00AD4D9A"/>
    <w:rsid w:val="00AD60E1"/>
    <w:rsid w:val="00AD61AF"/>
    <w:rsid w:val="00AD6AE6"/>
    <w:rsid w:val="00AD7C69"/>
    <w:rsid w:val="00AE00D0"/>
    <w:rsid w:val="00AE1C37"/>
    <w:rsid w:val="00AE26A4"/>
    <w:rsid w:val="00AE2D01"/>
    <w:rsid w:val="00AE3347"/>
    <w:rsid w:val="00AE3AA4"/>
    <w:rsid w:val="00AE3E6B"/>
    <w:rsid w:val="00AE482D"/>
    <w:rsid w:val="00AE68DB"/>
    <w:rsid w:val="00AF0992"/>
    <w:rsid w:val="00AF1CF2"/>
    <w:rsid w:val="00AF2143"/>
    <w:rsid w:val="00AF3DDF"/>
    <w:rsid w:val="00AF406B"/>
    <w:rsid w:val="00AF4ABB"/>
    <w:rsid w:val="00AF5DE0"/>
    <w:rsid w:val="00AF637B"/>
    <w:rsid w:val="00B00510"/>
    <w:rsid w:val="00B00714"/>
    <w:rsid w:val="00B00820"/>
    <w:rsid w:val="00B01417"/>
    <w:rsid w:val="00B02C81"/>
    <w:rsid w:val="00B03481"/>
    <w:rsid w:val="00B0418F"/>
    <w:rsid w:val="00B04881"/>
    <w:rsid w:val="00B048B6"/>
    <w:rsid w:val="00B048C0"/>
    <w:rsid w:val="00B0613C"/>
    <w:rsid w:val="00B07727"/>
    <w:rsid w:val="00B1065E"/>
    <w:rsid w:val="00B12286"/>
    <w:rsid w:val="00B14EE4"/>
    <w:rsid w:val="00B16490"/>
    <w:rsid w:val="00B17041"/>
    <w:rsid w:val="00B2097B"/>
    <w:rsid w:val="00B22037"/>
    <w:rsid w:val="00B23B26"/>
    <w:rsid w:val="00B24D37"/>
    <w:rsid w:val="00B2506A"/>
    <w:rsid w:val="00B25070"/>
    <w:rsid w:val="00B2551C"/>
    <w:rsid w:val="00B2662B"/>
    <w:rsid w:val="00B268A0"/>
    <w:rsid w:val="00B27451"/>
    <w:rsid w:val="00B32A46"/>
    <w:rsid w:val="00B33317"/>
    <w:rsid w:val="00B334D8"/>
    <w:rsid w:val="00B3361E"/>
    <w:rsid w:val="00B400BE"/>
    <w:rsid w:val="00B40F93"/>
    <w:rsid w:val="00B41181"/>
    <w:rsid w:val="00B41277"/>
    <w:rsid w:val="00B415E3"/>
    <w:rsid w:val="00B421C8"/>
    <w:rsid w:val="00B427D2"/>
    <w:rsid w:val="00B42E82"/>
    <w:rsid w:val="00B4375E"/>
    <w:rsid w:val="00B44B12"/>
    <w:rsid w:val="00B44B6B"/>
    <w:rsid w:val="00B44E01"/>
    <w:rsid w:val="00B45095"/>
    <w:rsid w:val="00B4567C"/>
    <w:rsid w:val="00B45AAE"/>
    <w:rsid w:val="00B47825"/>
    <w:rsid w:val="00B50F62"/>
    <w:rsid w:val="00B5146B"/>
    <w:rsid w:val="00B51B30"/>
    <w:rsid w:val="00B52304"/>
    <w:rsid w:val="00B5352E"/>
    <w:rsid w:val="00B547FA"/>
    <w:rsid w:val="00B558F2"/>
    <w:rsid w:val="00B55B24"/>
    <w:rsid w:val="00B55E3D"/>
    <w:rsid w:val="00B57030"/>
    <w:rsid w:val="00B5784E"/>
    <w:rsid w:val="00B60138"/>
    <w:rsid w:val="00B60409"/>
    <w:rsid w:val="00B60B29"/>
    <w:rsid w:val="00B61437"/>
    <w:rsid w:val="00B61BF6"/>
    <w:rsid w:val="00B61FA0"/>
    <w:rsid w:val="00B63313"/>
    <w:rsid w:val="00B63474"/>
    <w:rsid w:val="00B63BBA"/>
    <w:rsid w:val="00B648E2"/>
    <w:rsid w:val="00B64B46"/>
    <w:rsid w:val="00B66C37"/>
    <w:rsid w:val="00B6732A"/>
    <w:rsid w:val="00B70A35"/>
    <w:rsid w:val="00B70BBB"/>
    <w:rsid w:val="00B7129E"/>
    <w:rsid w:val="00B7177B"/>
    <w:rsid w:val="00B72081"/>
    <w:rsid w:val="00B72DF8"/>
    <w:rsid w:val="00B72F57"/>
    <w:rsid w:val="00B73AD2"/>
    <w:rsid w:val="00B7490A"/>
    <w:rsid w:val="00B75058"/>
    <w:rsid w:val="00B75077"/>
    <w:rsid w:val="00B75393"/>
    <w:rsid w:val="00B7602A"/>
    <w:rsid w:val="00B80094"/>
    <w:rsid w:val="00B8184F"/>
    <w:rsid w:val="00B81F07"/>
    <w:rsid w:val="00B83DD2"/>
    <w:rsid w:val="00B840CE"/>
    <w:rsid w:val="00B844FC"/>
    <w:rsid w:val="00B86550"/>
    <w:rsid w:val="00B8664A"/>
    <w:rsid w:val="00B86E65"/>
    <w:rsid w:val="00B90E0B"/>
    <w:rsid w:val="00B9154D"/>
    <w:rsid w:val="00B91934"/>
    <w:rsid w:val="00B9298A"/>
    <w:rsid w:val="00B92EE7"/>
    <w:rsid w:val="00B938A0"/>
    <w:rsid w:val="00B96007"/>
    <w:rsid w:val="00B968F5"/>
    <w:rsid w:val="00B96BF6"/>
    <w:rsid w:val="00B97AF7"/>
    <w:rsid w:val="00BA0848"/>
    <w:rsid w:val="00BA0B61"/>
    <w:rsid w:val="00BA1144"/>
    <w:rsid w:val="00BA1303"/>
    <w:rsid w:val="00BA156E"/>
    <w:rsid w:val="00BA16CB"/>
    <w:rsid w:val="00BA2ABD"/>
    <w:rsid w:val="00BA317E"/>
    <w:rsid w:val="00BA3CA0"/>
    <w:rsid w:val="00BA3E9E"/>
    <w:rsid w:val="00BA4121"/>
    <w:rsid w:val="00BA4AE1"/>
    <w:rsid w:val="00BA51CE"/>
    <w:rsid w:val="00BA668C"/>
    <w:rsid w:val="00BA6D3E"/>
    <w:rsid w:val="00BB016D"/>
    <w:rsid w:val="00BB3013"/>
    <w:rsid w:val="00BB52CB"/>
    <w:rsid w:val="00BB53E4"/>
    <w:rsid w:val="00BB5969"/>
    <w:rsid w:val="00BB6B53"/>
    <w:rsid w:val="00BB762D"/>
    <w:rsid w:val="00BC007B"/>
    <w:rsid w:val="00BC014C"/>
    <w:rsid w:val="00BC04B4"/>
    <w:rsid w:val="00BC0E29"/>
    <w:rsid w:val="00BC1EA1"/>
    <w:rsid w:val="00BC4B09"/>
    <w:rsid w:val="00BC501A"/>
    <w:rsid w:val="00BC7A13"/>
    <w:rsid w:val="00BC7DA6"/>
    <w:rsid w:val="00BD297B"/>
    <w:rsid w:val="00BD68DB"/>
    <w:rsid w:val="00BE038F"/>
    <w:rsid w:val="00BE03DF"/>
    <w:rsid w:val="00BE1F1D"/>
    <w:rsid w:val="00BE4A2B"/>
    <w:rsid w:val="00BE6128"/>
    <w:rsid w:val="00BE626E"/>
    <w:rsid w:val="00BF0892"/>
    <w:rsid w:val="00BF129B"/>
    <w:rsid w:val="00BF1F30"/>
    <w:rsid w:val="00BF257A"/>
    <w:rsid w:val="00BF2FFE"/>
    <w:rsid w:val="00BF3705"/>
    <w:rsid w:val="00BF47AA"/>
    <w:rsid w:val="00BF5FD4"/>
    <w:rsid w:val="00BF7067"/>
    <w:rsid w:val="00BF7101"/>
    <w:rsid w:val="00C00279"/>
    <w:rsid w:val="00C0044B"/>
    <w:rsid w:val="00C01DC1"/>
    <w:rsid w:val="00C02466"/>
    <w:rsid w:val="00C0262B"/>
    <w:rsid w:val="00C02A47"/>
    <w:rsid w:val="00C04662"/>
    <w:rsid w:val="00C04862"/>
    <w:rsid w:val="00C059AF"/>
    <w:rsid w:val="00C059B1"/>
    <w:rsid w:val="00C0604D"/>
    <w:rsid w:val="00C06F99"/>
    <w:rsid w:val="00C07631"/>
    <w:rsid w:val="00C109CF"/>
    <w:rsid w:val="00C1116B"/>
    <w:rsid w:val="00C113A3"/>
    <w:rsid w:val="00C11907"/>
    <w:rsid w:val="00C148F3"/>
    <w:rsid w:val="00C15260"/>
    <w:rsid w:val="00C15735"/>
    <w:rsid w:val="00C17889"/>
    <w:rsid w:val="00C2020D"/>
    <w:rsid w:val="00C20239"/>
    <w:rsid w:val="00C21248"/>
    <w:rsid w:val="00C238B3"/>
    <w:rsid w:val="00C23C04"/>
    <w:rsid w:val="00C243D6"/>
    <w:rsid w:val="00C245BA"/>
    <w:rsid w:val="00C24F89"/>
    <w:rsid w:val="00C25E20"/>
    <w:rsid w:val="00C2700E"/>
    <w:rsid w:val="00C30B1D"/>
    <w:rsid w:val="00C30B96"/>
    <w:rsid w:val="00C30D06"/>
    <w:rsid w:val="00C3174B"/>
    <w:rsid w:val="00C32DEC"/>
    <w:rsid w:val="00C335C0"/>
    <w:rsid w:val="00C3387C"/>
    <w:rsid w:val="00C3503B"/>
    <w:rsid w:val="00C35C5C"/>
    <w:rsid w:val="00C35E9E"/>
    <w:rsid w:val="00C360E1"/>
    <w:rsid w:val="00C36A77"/>
    <w:rsid w:val="00C37303"/>
    <w:rsid w:val="00C37661"/>
    <w:rsid w:val="00C3769E"/>
    <w:rsid w:val="00C3780F"/>
    <w:rsid w:val="00C37944"/>
    <w:rsid w:val="00C37F8B"/>
    <w:rsid w:val="00C414AD"/>
    <w:rsid w:val="00C431D8"/>
    <w:rsid w:val="00C4363A"/>
    <w:rsid w:val="00C43646"/>
    <w:rsid w:val="00C43EF1"/>
    <w:rsid w:val="00C440D8"/>
    <w:rsid w:val="00C44E65"/>
    <w:rsid w:val="00C454BB"/>
    <w:rsid w:val="00C4732E"/>
    <w:rsid w:val="00C47987"/>
    <w:rsid w:val="00C50393"/>
    <w:rsid w:val="00C505A8"/>
    <w:rsid w:val="00C507BF"/>
    <w:rsid w:val="00C510E7"/>
    <w:rsid w:val="00C51ABD"/>
    <w:rsid w:val="00C52662"/>
    <w:rsid w:val="00C54F01"/>
    <w:rsid w:val="00C56A9F"/>
    <w:rsid w:val="00C578CB"/>
    <w:rsid w:val="00C601A3"/>
    <w:rsid w:val="00C60564"/>
    <w:rsid w:val="00C60CE1"/>
    <w:rsid w:val="00C61E82"/>
    <w:rsid w:val="00C6237F"/>
    <w:rsid w:val="00C624CC"/>
    <w:rsid w:val="00C629D8"/>
    <w:rsid w:val="00C63DC9"/>
    <w:rsid w:val="00C63E84"/>
    <w:rsid w:val="00C664CE"/>
    <w:rsid w:val="00C704C3"/>
    <w:rsid w:val="00C70C91"/>
    <w:rsid w:val="00C73DB1"/>
    <w:rsid w:val="00C75850"/>
    <w:rsid w:val="00C758FA"/>
    <w:rsid w:val="00C80396"/>
    <w:rsid w:val="00C8189E"/>
    <w:rsid w:val="00C81DDC"/>
    <w:rsid w:val="00C81E47"/>
    <w:rsid w:val="00C834DB"/>
    <w:rsid w:val="00C8385D"/>
    <w:rsid w:val="00C83C26"/>
    <w:rsid w:val="00C83EB8"/>
    <w:rsid w:val="00C8449F"/>
    <w:rsid w:val="00C848CA"/>
    <w:rsid w:val="00C84F97"/>
    <w:rsid w:val="00C852C5"/>
    <w:rsid w:val="00C85E56"/>
    <w:rsid w:val="00C86192"/>
    <w:rsid w:val="00C863E9"/>
    <w:rsid w:val="00C873FD"/>
    <w:rsid w:val="00C87C6E"/>
    <w:rsid w:val="00C87E28"/>
    <w:rsid w:val="00C9008E"/>
    <w:rsid w:val="00C9024E"/>
    <w:rsid w:val="00C90F04"/>
    <w:rsid w:val="00C91BD1"/>
    <w:rsid w:val="00C91DDC"/>
    <w:rsid w:val="00C92C4C"/>
    <w:rsid w:val="00C943A0"/>
    <w:rsid w:val="00C9463E"/>
    <w:rsid w:val="00C94C98"/>
    <w:rsid w:val="00C9581C"/>
    <w:rsid w:val="00C95C46"/>
    <w:rsid w:val="00C95FC3"/>
    <w:rsid w:val="00C96135"/>
    <w:rsid w:val="00C96381"/>
    <w:rsid w:val="00C96C17"/>
    <w:rsid w:val="00C97E02"/>
    <w:rsid w:val="00CA0185"/>
    <w:rsid w:val="00CA0510"/>
    <w:rsid w:val="00CA1FAD"/>
    <w:rsid w:val="00CA2552"/>
    <w:rsid w:val="00CA294D"/>
    <w:rsid w:val="00CA59A5"/>
    <w:rsid w:val="00CA5A91"/>
    <w:rsid w:val="00CA6533"/>
    <w:rsid w:val="00CB0195"/>
    <w:rsid w:val="00CB0668"/>
    <w:rsid w:val="00CB097A"/>
    <w:rsid w:val="00CB2029"/>
    <w:rsid w:val="00CB24F6"/>
    <w:rsid w:val="00CB305C"/>
    <w:rsid w:val="00CB36AD"/>
    <w:rsid w:val="00CB45E8"/>
    <w:rsid w:val="00CB492E"/>
    <w:rsid w:val="00CB65D0"/>
    <w:rsid w:val="00CB7F3C"/>
    <w:rsid w:val="00CC0EEB"/>
    <w:rsid w:val="00CC136B"/>
    <w:rsid w:val="00CC13F6"/>
    <w:rsid w:val="00CC1FF1"/>
    <w:rsid w:val="00CC2A38"/>
    <w:rsid w:val="00CC3AB6"/>
    <w:rsid w:val="00CC578C"/>
    <w:rsid w:val="00CC6F05"/>
    <w:rsid w:val="00CC72BC"/>
    <w:rsid w:val="00CD0892"/>
    <w:rsid w:val="00CD0A6F"/>
    <w:rsid w:val="00CD11CF"/>
    <w:rsid w:val="00CD154D"/>
    <w:rsid w:val="00CD1C14"/>
    <w:rsid w:val="00CD2438"/>
    <w:rsid w:val="00CD2F12"/>
    <w:rsid w:val="00CD3286"/>
    <w:rsid w:val="00CD5F56"/>
    <w:rsid w:val="00CD6D46"/>
    <w:rsid w:val="00CD738C"/>
    <w:rsid w:val="00CD7C97"/>
    <w:rsid w:val="00CE02EC"/>
    <w:rsid w:val="00CE2441"/>
    <w:rsid w:val="00CE2887"/>
    <w:rsid w:val="00CE2CEC"/>
    <w:rsid w:val="00CE380B"/>
    <w:rsid w:val="00CE3A37"/>
    <w:rsid w:val="00CE3B84"/>
    <w:rsid w:val="00CE44CD"/>
    <w:rsid w:val="00CE4A2C"/>
    <w:rsid w:val="00CE4DF8"/>
    <w:rsid w:val="00CE6431"/>
    <w:rsid w:val="00CE7843"/>
    <w:rsid w:val="00CF16CF"/>
    <w:rsid w:val="00CF1B80"/>
    <w:rsid w:val="00CF29A5"/>
    <w:rsid w:val="00CF421E"/>
    <w:rsid w:val="00CF490F"/>
    <w:rsid w:val="00CF53CC"/>
    <w:rsid w:val="00CF548B"/>
    <w:rsid w:val="00CF598E"/>
    <w:rsid w:val="00D005B4"/>
    <w:rsid w:val="00D00C19"/>
    <w:rsid w:val="00D0549D"/>
    <w:rsid w:val="00D0562C"/>
    <w:rsid w:val="00D056B4"/>
    <w:rsid w:val="00D05F0D"/>
    <w:rsid w:val="00D06CB0"/>
    <w:rsid w:val="00D1060A"/>
    <w:rsid w:val="00D11810"/>
    <w:rsid w:val="00D1306A"/>
    <w:rsid w:val="00D1360A"/>
    <w:rsid w:val="00D14347"/>
    <w:rsid w:val="00D1693B"/>
    <w:rsid w:val="00D16E32"/>
    <w:rsid w:val="00D179A8"/>
    <w:rsid w:val="00D2109A"/>
    <w:rsid w:val="00D213C5"/>
    <w:rsid w:val="00D21F85"/>
    <w:rsid w:val="00D230D8"/>
    <w:rsid w:val="00D23CBE"/>
    <w:rsid w:val="00D23FCE"/>
    <w:rsid w:val="00D24335"/>
    <w:rsid w:val="00D246DB"/>
    <w:rsid w:val="00D24B15"/>
    <w:rsid w:val="00D24CC4"/>
    <w:rsid w:val="00D25376"/>
    <w:rsid w:val="00D25997"/>
    <w:rsid w:val="00D26343"/>
    <w:rsid w:val="00D30E86"/>
    <w:rsid w:val="00D31129"/>
    <w:rsid w:val="00D32DF1"/>
    <w:rsid w:val="00D3331F"/>
    <w:rsid w:val="00D336EC"/>
    <w:rsid w:val="00D34463"/>
    <w:rsid w:val="00D34AD7"/>
    <w:rsid w:val="00D34C51"/>
    <w:rsid w:val="00D350F2"/>
    <w:rsid w:val="00D35596"/>
    <w:rsid w:val="00D35C41"/>
    <w:rsid w:val="00D371E3"/>
    <w:rsid w:val="00D378B7"/>
    <w:rsid w:val="00D40150"/>
    <w:rsid w:val="00D4077C"/>
    <w:rsid w:val="00D41059"/>
    <w:rsid w:val="00D41B15"/>
    <w:rsid w:val="00D42DC7"/>
    <w:rsid w:val="00D436B2"/>
    <w:rsid w:val="00D44BA0"/>
    <w:rsid w:val="00D45CBC"/>
    <w:rsid w:val="00D45DE6"/>
    <w:rsid w:val="00D476EC"/>
    <w:rsid w:val="00D477FB"/>
    <w:rsid w:val="00D47848"/>
    <w:rsid w:val="00D50808"/>
    <w:rsid w:val="00D50924"/>
    <w:rsid w:val="00D50A1D"/>
    <w:rsid w:val="00D50DF1"/>
    <w:rsid w:val="00D51475"/>
    <w:rsid w:val="00D51680"/>
    <w:rsid w:val="00D51944"/>
    <w:rsid w:val="00D51A68"/>
    <w:rsid w:val="00D52E3A"/>
    <w:rsid w:val="00D53D55"/>
    <w:rsid w:val="00D53F77"/>
    <w:rsid w:val="00D542DD"/>
    <w:rsid w:val="00D54491"/>
    <w:rsid w:val="00D54498"/>
    <w:rsid w:val="00D54765"/>
    <w:rsid w:val="00D56356"/>
    <w:rsid w:val="00D56830"/>
    <w:rsid w:val="00D57ACA"/>
    <w:rsid w:val="00D57C3A"/>
    <w:rsid w:val="00D6020B"/>
    <w:rsid w:val="00D62415"/>
    <w:rsid w:val="00D626F3"/>
    <w:rsid w:val="00D6476B"/>
    <w:rsid w:val="00D64972"/>
    <w:rsid w:val="00D64F27"/>
    <w:rsid w:val="00D657A4"/>
    <w:rsid w:val="00D6622F"/>
    <w:rsid w:val="00D662D8"/>
    <w:rsid w:val="00D663E4"/>
    <w:rsid w:val="00D67282"/>
    <w:rsid w:val="00D70649"/>
    <w:rsid w:val="00D7285C"/>
    <w:rsid w:val="00D741AA"/>
    <w:rsid w:val="00D753E2"/>
    <w:rsid w:val="00D754BC"/>
    <w:rsid w:val="00D75A6A"/>
    <w:rsid w:val="00D75AF4"/>
    <w:rsid w:val="00D75B77"/>
    <w:rsid w:val="00D76368"/>
    <w:rsid w:val="00D77BFB"/>
    <w:rsid w:val="00D77DC6"/>
    <w:rsid w:val="00D80508"/>
    <w:rsid w:val="00D80C3C"/>
    <w:rsid w:val="00D80DEC"/>
    <w:rsid w:val="00D818A9"/>
    <w:rsid w:val="00D82540"/>
    <w:rsid w:val="00D8293D"/>
    <w:rsid w:val="00D83D97"/>
    <w:rsid w:val="00D841E1"/>
    <w:rsid w:val="00D84785"/>
    <w:rsid w:val="00D85099"/>
    <w:rsid w:val="00D8544A"/>
    <w:rsid w:val="00D85F43"/>
    <w:rsid w:val="00D86018"/>
    <w:rsid w:val="00D87928"/>
    <w:rsid w:val="00D91E09"/>
    <w:rsid w:val="00D924AA"/>
    <w:rsid w:val="00D92CAF"/>
    <w:rsid w:val="00D94CBB"/>
    <w:rsid w:val="00D954CE"/>
    <w:rsid w:val="00D95546"/>
    <w:rsid w:val="00D95935"/>
    <w:rsid w:val="00D95C05"/>
    <w:rsid w:val="00D95FE8"/>
    <w:rsid w:val="00D97036"/>
    <w:rsid w:val="00D97144"/>
    <w:rsid w:val="00D97731"/>
    <w:rsid w:val="00D9789F"/>
    <w:rsid w:val="00DA18CE"/>
    <w:rsid w:val="00DA1AAC"/>
    <w:rsid w:val="00DA1B42"/>
    <w:rsid w:val="00DA22F4"/>
    <w:rsid w:val="00DA2422"/>
    <w:rsid w:val="00DA259D"/>
    <w:rsid w:val="00DA2A6A"/>
    <w:rsid w:val="00DA32EE"/>
    <w:rsid w:val="00DA3DA5"/>
    <w:rsid w:val="00DA5558"/>
    <w:rsid w:val="00DA5BEC"/>
    <w:rsid w:val="00DA6695"/>
    <w:rsid w:val="00DB04CA"/>
    <w:rsid w:val="00DB04E7"/>
    <w:rsid w:val="00DB16FA"/>
    <w:rsid w:val="00DB2AC3"/>
    <w:rsid w:val="00DB4B17"/>
    <w:rsid w:val="00DB557A"/>
    <w:rsid w:val="00DB5DCA"/>
    <w:rsid w:val="00DB7E12"/>
    <w:rsid w:val="00DC1CF4"/>
    <w:rsid w:val="00DC2760"/>
    <w:rsid w:val="00DC3347"/>
    <w:rsid w:val="00DC3482"/>
    <w:rsid w:val="00DC3531"/>
    <w:rsid w:val="00DC51EC"/>
    <w:rsid w:val="00DC53D0"/>
    <w:rsid w:val="00DC65AD"/>
    <w:rsid w:val="00DD13B6"/>
    <w:rsid w:val="00DD1A59"/>
    <w:rsid w:val="00DD1FDB"/>
    <w:rsid w:val="00DD4A74"/>
    <w:rsid w:val="00DD5A6F"/>
    <w:rsid w:val="00DD6D5F"/>
    <w:rsid w:val="00DE03F6"/>
    <w:rsid w:val="00DE0F17"/>
    <w:rsid w:val="00DE3744"/>
    <w:rsid w:val="00DE6411"/>
    <w:rsid w:val="00DE6E31"/>
    <w:rsid w:val="00DE7FAE"/>
    <w:rsid w:val="00DF01CA"/>
    <w:rsid w:val="00DF126D"/>
    <w:rsid w:val="00DF1B41"/>
    <w:rsid w:val="00DF2579"/>
    <w:rsid w:val="00DF2A0A"/>
    <w:rsid w:val="00DF2D2F"/>
    <w:rsid w:val="00DF382E"/>
    <w:rsid w:val="00DF3DFA"/>
    <w:rsid w:val="00DF48CA"/>
    <w:rsid w:val="00DF4FEA"/>
    <w:rsid w:val="00DF4FF4"/>
    <w:rsid w:val="00DF7A47"/>
    <w:rsid w:val="00E003DA"/>
    <w:rsid w:val="00E00501"/>
    <w:rsid w:val="00E007D0"/>
    <w:rsid w:val="00E007E8"/>
    <w:rsid w:val="00E011FA"/>
    <w:rsid w:val="00E014DD"/>
    <w:rsid w:val="00E02FEA"/>
    <w:rsid w:val="00E03456"/>
    <w:rsid w:val="00E03BC1"/>
    <w:rsid w:val="00E03D3B"/>
    <w:rsid w:val="00E03DE6"/>
    <w:rsid w:val="00E0419E"/>
    <w:rsid w:val="00E0459E"/>
    <w:rsid w:val="00E04760"/>
    <w:rsid w:val="00E048A0"/>
    <w:rsid w:val="00E04F92"/>
    <w:rsid w:val="00E057E9"/>
    <w:rsid w:val="00E05B48"/>
    <w:rsid w:val="00E06CEA"/>
    <w:rsid w:val="00E070A7"/>
    <w:rsid w:val="00E07102"/>
    <w:rsid w:val="00E0787A"/>
    <w:rsid w:val="00E07E2C"/>
    <w:rsid w:val="00E106CF"/>
    <w:rsid w:val="00E10937"/>
    <w:rsid w:val="00E1190F"/>
    <w:rsid w:val="00E12140"/>
    <w:rsid w:val="00E15A50"/>
    <w:rsid w:val="00E1759D"/>
    <w:rsid w:val="00E17713"/>
    <w:rsid w:val="00E22DC6"/>
    <w:rsid w:val="00E24060"/>
    <w:rsid w:val="00E3153B"/>
    <w:rsid w:val="00E3161E"/>
    <w:rsid w:val="00E32027"/>
    <w:rsid w:val="00E32ABC"/>
    <w:rsid w:val="00E37C93"/>
    <w:rsid w:val="00E416AF"/>
    <w:rsid w:val="00E41821"/>
    <w:rsid w:val="00E418C1"/>
    <w:rsid w:val="00E41BE7"/>
    <w:rsid w:val="00E41CE0"/>
    <w:rsid w:val="00E43A77"/>
    <w:rsid w:val="00E449BF"/>
    <w:rsid w:val="00E45650"/>
    <w:rsid w:val="00E51928"/>
    <w:rsid w:val="00E51B9E"/>
    <w:rsid w:val="00E52F36"/>
    <w:rsid w:val="00E53495"/>
    <w:rsid w:val="00E53B29"/>
    <w:rsid w:val="00E558F4"/>
    <w:rsid w:val="00E56CBF"/>
    <w:rsid w:val="00E570C9"/>
    <w:rsid w:val="00E57869"/>
    <w:rsid w:val="00E57B5A"/>
    <w:rsid w:val="00E57E09"/>
    <w:rsid w:val="00E60A22"/>
    <w:rsid w:val="00E60F9D"/>
    <w:rsid w:val="00E6212A"/>
    <w:rsid w:val="00E651BF"/>
    <w:rsid w:val="00E7051B"/>
    <w:rsid w:val="00E71080"/>
    <w:rsid w:val="00E71F8A"/>
    <w:rsid w:val="00E727EA"/>
    <w:rsid w:val="00E72994"/>
    <w:rsid w:val="00E731B9"/>
    <w:rsid w:val="00E731E2"/>
    <w:rsid w:val="00E7329D"/>
    <w:rsid w:val="00E738F2"/>
    <w:rsid w:val="00E73C47"/>
    <w:rsid w:val="00E74C6F"/>
    <w:rsid w:val="00E768CA"/>
    <w:rsid w:val="00E77247"/>
    <w:rsid w:val="00E77926"/>
    <w:rsid w:val="00E77AEC"/>
    <w:rsid w:val="00E77CFB"/>
    <w:rsid w:val="00E80018"/>
    <w:rsid w:val="00E8075E"/>
    <w:rsid w:val="00E81604"/>
    <w:rsid w:val="00E818D8"/>
    <w:rsid w:val="00E83E93"/>
    <w:rsid w:val="00E83FBA"/>
    <w:rsid w:val="00E84189"/>
    <w:rsid w:val="00E84846"/>
    <w:rsid w:val="00E848DF"/>
    <w:rsid w:val="00E8699E"/>
    <w:rsid w:val="00E872A9"/>
    <w:rsid w:val="00E876D2"/>
    <w:rsid w:val="00E87BB7"/>
    <w:rsid w:val="00E907EB"/>
    <w:rsid w:val="00E9150A"/>
    <w:rsid w:val="00E92F13"/>
    <w:rsid w:val="00E9373C"/>
    <w:rsid w:val="00E93876"/>
    <w:rsid w:val="00E95238"/>
    <w:rsid w:val="00E95D5C"/>
    <w:rsid w:val="00E9751C"/>
    <w:rsid w:val="00E97676"/>
    <w:rsid w:val="00E97930"/>
    <w:rsid w:val="00EA0C81"/>
    <w:rsid w:val="00EA281C"/>
    <w:rsid w:val="00EA2B11"/>
    <w:rsid w:val="00EA2C7B"/>
    <w:rsid w:val="00EA2E2B"/>
    <w:rsid w:val="00EA55F0"/>
    <w:rsid w:val="00EA5B21"/>
    <w:rsid w:val="00EA6BF9"/>
    <w:rsid w:val="00EA7317"/>
    <w:rsid w:val="00EA7C9B"/>
    <w:rsid w:val="00EB01E9"/>
    <w:rsid w:val="00EB0921"/>
    <w:rsid w:val="00EB1494"/>
    <w:rsid w:val="00EB2FB1"/>
    <w:rsid w:val="00EB3394"/>
    <w:rsid w:val="00EB4559"/>
    <w:rsid w:val="00EB5776"/>
    <w:rsid w:val="00EB58BD"/>
    <w:rsid w:val="00EB5DEE"/>
    <w:rsid w:val="00EB5F3D"/>
    <w:rsid w:val="00EB7037"/>
    <w:rsid w:val="00EB7B7C"/>
    <w:rsid w:val="00EC02CC"/>
    <w:rsid w:val="00EC0738"/>
    <w:rsid w:val="00EC073F"/>
    <w:rsid w:val="00EC1221"/>
    <w:rsid w:val="00EC1D9E"/>
    <w:rsid w:val="00EC2E42"/>
    <w:rsid w:val="00EC3D00"/>
    <w:rsid w:val="00EC4277"/>
    <w:rsid w:val="00EC6FEA"/>
    <w:rsid w:val="00ED08C7"/>
    <w:rsid w:val="00ED3928"/>
    <w:rsid w:val="00ED3A41"/>
    <w:rsid w:val="00ED3BE3"/>
    <w:rsid w:val="00ED3E58"/>
    <w:rsid w:val="00ED5913"/>
    <w:rsid w:val="00ED6D6B"/>
    <w:rsid w:val="00EE08A8"/>
    <w:rsid w:val="00EE11D1"/>
    <w:rsid w:val="00EE1AAA"/>
    <w:rsid w:val="00EE1C35"/>
    <w:rsid w:val="00EE2233"/>
    <w:rsid w:val="00EE33DF"/>
    <w:rsid w:val="00EE4993"/>
    <w:rsid w:val="00EE4AAB"/>
    <w:rsid w:val="00EE4B8C"/>
    <w:rsid w:val="00EE5700"/>
    <w:rsid w:val="00EE5B4D"/>
    <w:rsid w:val="00EE600A"/>
    <w:rsid w:val="00EE6262"/>
    <w:rsid w:val="00EE6780"/>
    <w:rsid w:val="00EF0AE2"/>
    <w:rsid w:val="00EF0D39"/>
    <w:rsid w:val="00EF157F"/>
    <w:rsid w:val="00EF2CF5"/>
    <w:rsid w:val="00EF56D6"/>
    <w:rsid w:val="00EF5E88"/>
    <w:rsid w:val="00F00DD4"/>
    <w:rsid w:val="00F0162B"/>
    <w:rsid w:val="00F01D1C"/>
    <w:rsid w:val="00F02374"/>
    <w:rsid w:val="00F02EDA"/>
    <w:rsid w:val="00F038F4"/>
    <w:rsid w:val="00F04430"/>
    <w:rsid w:val="00F04A6B"/>
    <w:rsid w:val="00F04DCD"/>
    <w:rsid w:val="00F05862"/>
    <w:rsid w:val="00F05D8C"/>
    <w:rsid w:val="00F06867"/>
    <w:rsid w:val="00F1241F"/>
    <w:rsid w:val="00F12EFB"/>
    <w:rsid w:val="00F13E72"/>
    <w:rsid w:val="00F142F1"/>
    <w:rsid w:val="00F14435"/>
    <w:rsid w:val="00F1493E"/>
    <w:rsid w:val="00F14D6A"/>
    <w:rsid w:val="00F153D4"/>
    <w:rsid w:val="00F15B9F"/>
    <w:rsid w:val="00F16E12"/>
    <w:rsid w:val="00F17393"/>
    <w:rsid w:val="00F179FB"/>
    <w:rsid w:val="00F17B2B"/>
    <w:rsid w:val="00F21D19"/>
    <w:rsid w:val="00F22AFC"/>
    <w:rsid w:val="00F2301F"/>
    <w:rsid w:val="00F2388D"/>
    <w:rsid w:val="00F24887"/>
    <w:rsid w:val="00F24D48"/>
    <w:rsid w:val="00F26752"/>
    <w:rsid w:val="00F26855"/>
    <w:rsid w:val="00F26926"/>
    <w:rsid w:val="00F26927"/>
    <w:rsid w:val="00F26B66"/>
    <w:rsid w:val="00F3040C"/>
    <w:rsid w:val="00F3145F"/>
    <w:rsid w:val="00F31789"/>
    <w:rsid w:val="00F330C2"/>
    <w:rsid w:val="00F331A6"/>
    <w:rsid w:val="00F331FF"/>
    <w:rsid w:val="00F35008"/>
    <w:rsid w:val="00F35DFD"/>
    <w:rsid w:val="00F3633E"/>
    <w:rsid w:val="00F3643F"/>
    <w:rsid w:val="00F37000"/>
    <w:rsid w:val="00F3709D"/>
    <w:rsid w:val="00F3740C"/>
    <w:rsid w:val="00F376B7"/>
    <w:rsid w:val="00F408F4"/>
    <w:rsid w:val="00F40A72"/>
    <w:rsid w:val="00F4105A"/>
    <w:rsid w:val="00F41881"/>
    <w:rsid w:val="00F42B1D"/>
    <w:rsid w:val="00F42D08"/>
    <w:rsid w:val="00F43B84"/>
    <w:rsid w:val="00F442E1"/>
    <w:rsid w:val="00F4542E"/>
    <w:rsid w:val="00F45775"/>
    <w:rsid w:val="00F4667E"/>
    <w:rsid w:val="00F46B74"/>
    <w:rsid w:val="00F46EF8"/>
    <w:rsid w:val="00F47EDF"/>
    <w:rsid w:val="00F50A54"/>
    <w:rsid w:val="00F50CAD"/>
    <w:rsid w:val="00F50FD6"/>
    <w:rsid w:val="00F51235"/>
    <w:rsid w:val="00F5137B"/>
    <w:rsid w:val="00F5179F"/>
    <w:rsid w:val="00F51EC7"/>
    <w:rsid w:val="00F5216C"/>
    <w:rsid w:val="00F526A5"/>
    <w:rsid w:val="00F534E3"/>
    <w:rsid w:val="00F53761"/>
    <w:rsid w:val="00F5392B"/>
    <w:rsid w:val="00F53B1A"/>
    <w:rsid w:val="00F55492"/>
    <w:rsid w:val="00F56D12"/>
    <w:rsid w:val="00F57198"/>
    <w:rsid w:val="00F60993"/>
    <w:rsid w:val="00F60EF8"/>
    <w:rsid w:val="00F61363"/>
    <w:rsid w:val="00F62C7A"/>
    <w:rsid w:val="00F6311B"/>
    <w:rsid w:val="00F63B79"/>
    <w:rsid w:val="00F641AF"/>
    <w:rsid w:val="00F64237"/>
    <w:rsid w:val="00F64A4D"/>
    <w:rsid w:val="00F64F6B"/>
    <w:rsid w:val="00F66B27"/>
    <w:rsid w:val="00F66F4E"/>
    <w:rsid w:val="00F7036A"/>
    <w:rsid w:val="00F7047A"/>
    <w:rsid w:val="00F70C1F"/>
    <w:rsid w:val="00F71407"/>
    <w:rsid w:val="00F726E7"/>
    <w:rsid w:val="00F72AE8"/>
    <w:rsid w:val="00F72BED"/>
    <w:rsid w:val="00F72DC4"/>
    <w:rsid w:val="00F73C31"/>
    <w:rsid w:val="00F75B3A"/>
    <w:rsid w:val="00F76CCD"/>
    <w:rsid w:val="00F77B93"/>
    <w:rsid w:val="00F80763"/>
    <w:rsid w:val="00F83964"/>
    <w:rsid w:val="00F843B4"/>
    <w:rsid w:val="00F84A49"/>
    <w:rsid w:val="00F851AE"/>
    <w:rsid w:val="00F859C3"/>
    <w:rsid w:val="00F85CE1"/>
    <w:rsid w:val="00F8613F"/>
    <w:rsid w:val="00F861C2"/>
    <w:rsid w:val="00F86CCF"/>
    <w:rsid w:val="00F8773F"/>
    <w:rsid w:val="00F87F80"/>
    <w:rsid w:val="00F901AF"/>
    <w:rsid w:val="00F910A3"/>
    <w:rsid w:val="00F91D4A"/>
    <w:rsid w:val="00F92704"/>
    <w:rsid w:val="00F92705"/>
    <w:rsid w:val="00F92721"/>
    <w:rsid w:val="00F9273C"/>
    <w:rsid w:val="00F93768"/>
    <w:rsid w:val="00F93B40"/>
    <w:rsid w:val="00F9431C"/>
    <w:rsid w:val="00F95471"/>
    <w:rsid w:val="00F9597F"/>
    <w:rsid w:val="00F95A0C"/>
    <w:rsid w:val="00F979AC"/>
    <w:rsid w:val="00FA0235"/>
    <w:rsid w:val="00FA2E71"/>
    <w:rsid w:val="00FA3C8E"/>
    <w:rsid w:val="00FA45C4"/>
    <w:rsid w:val="00FB010C"/>
    <w:rsid w:val="00FB0DA5"/>
    <w:rsid w:val="00FB1559"/>
    <w:rsid w:val="00FB2141"/>
    <w:rsid w:val="00FB2B1B"/>
    <w:rsid w:val="00FB2F65"/>
    <w:rsid w:val="00FB3501"/>
    <w:rsid w:val="00FB36BD"/>
    <w:rsid w:val="00FB387A"/>
    <w:rsid w:val="00FB403B"/>
    <w:rsid w:val="00FB43F6"/>
    <w:rsid w:val="00FB5467"/>
    <w:rsid w:val="00FB5FFC"/>
    <w:rsid w:val="00FB654F"/>
    <w:rsid w:val="00FB6710"/>
    <w:rsid w:val="00FC1421"/>
    <w:rsid w:val="00FC144F"/>
    <w:rsid w:val="00FC176D"/>
    <w:rsid w:val="00FC17A2"/>
    <w:rsid w:val="00FC1BC7"/>
    <w:rsid w:val="00FC1E77"/>
    <w:rsid w:val="00FC21F7"/>
    <w:rsid w:val="00FC2FEC"/>
    <w:rsid w:val="00FC358D"/>
    <w:rsid w:val="00FC3F4E"/>
    <w:rsid w:val="00FC56BC"/>
    <w:rsid w:val="00FC5718"/>
    <w:rsid w:val="00FC5D0A"/>
    <w:rsid w:val="00FC611E"/>
    <w:rsid w:val="00FC73B8"/>
    <w:rsid w:val="00FD022D"/>
    <w:rsid w:val="00FD25AD"/>
    <w:rsid w:val="00FD3205"/>
    <w:rsid w:val="00FD43C4"/>
    <w:rsid w:val="00FD4F0F"/>
    <w:rsid w:val="00FD5061"/>
    <w:rsid w:val="00FD7733"/>
    <w:rsid w:val="00FE147B"/>
    <w:rsid w:val="00FE2AE4"/>
    <w:rsid w:val="00FE322C"/>
    <w:rsid w:val="00FE38D6"/>
    <w:rsid w:val="00FE5337"/>
    <w:rsid w:val="00FE54CE"/>
    <w:rsid w:val="00FE551D"/>
    <w:rsid w:val="00FE59E0"/>
    <w:rsid w:val="00FE64AB"/>
    <w:rsid w:val="00FE6BAF"/>
    <w:rsid w:val="00FE7AD2"/>
    <w:rsid w:val="00FF063D"/>
    <w:rsid w:val="00FF121B"/>
    <w:rsid w:val="00FF1F23"/>
    <w:rsid w:val="00FF266D"/>
    <w:rsid w:val="00FF2DAF"/>
    <w:rsid w:val="00FF4DAE"/>
    <w:rsid w:val="00FF6448"/>
    <w:rsid w:val="00FF64A8"/>
    <w:rsid w:val="00FF6952"/>
    <w:rsid w:val="00FF79B7"/>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04B988B"/>
  <w15:chartTrackingRefBased/>
  <w15:docId w15:val="{B1DAD09F-643D-439E-8A01-3C3A9D71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uiPriority="99" w:qFormat="1"/>
    <w:lsdException w:name="header" w:uiPriority="99"/>
    <w:lsdException w:name="footer" w:uiPriority="99"/>
    <w:lsdException w:name="caption" w:semiHidden="1" w:unhideWhenUsed="1"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n-US" w:eastAsia="en-US"/>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0173">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39818394">
      <w:bodyDiv w:val="1"/>
      <w:marLeft w:val="0"/>
      <w:marRight w:val="0"/>
      <w:marTop w:val="0"/>
      <w:marBottom w:val="0"/>
      <w:divBdr>
        <w:top w:val="none" w:sz="0" w:space="0" w:color="auto"/>
        <w:left w:val="none" w:sz="0" w:space="0" w:color="auto"/>
        <w:bottom w:val="none" w:sz="0" w:space="0" w:color="auto"/>
        <w:right w:val="none" w:sz="0" w:space="0" w:color="auto"/>
      </w:divBdr>
      <w:divsChild>
        <w:div w:id="493569032">
          <w:marLeft w:val="0"/>
          <w:marRight w:val="0"/>
          <w:marTop w:val="0"/>
          <w:marBottom w:val="0"/>
          <w:divBdr>
            <w:top w:val="none" w:sz="0" w:space="0" w:color="auto"/>
            <w:left w:val="none" w:sz="0" w:space="0" w:color="auto"/>
            <w:bottom w:val="none" w:sz="0" w:space="0" w:color="auto"/>
            <w:right w:val="none" w:sz="0" w:space="0" w:color="auto"/>
          </w:divBdr>
          <w:divsChild>
            <w:div w:id="82533700">
              <w:marLeft w:val="0"/>
              <w:marRight w:val="0"/>
              <w:marTop w:val="0"/>
              <w:marBottom w:val="0"/>
              <w:divBdr>
                <w:top w:val="none" w:sz="0" w:space="0" w:color="auto"/>
                <w:left w:val="none" w:sz="0" w:space="0" w:color="auto"/>
                <w:bottom w:val="none" w:sz="0" w:space="0" w:color="auto"/>
                <w:right w:val="none" w:sz="0" w:space="0" w:color="auto"/>
              </w:divBdr>
              <w:divsChild>
                <w:div w:id="2701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386072708">
      <w:bodyDiv w:val="1"/>
      <w:marLeft w:val="0"/>
      <w:marRight w:val="0"/>
      <w:marTop w:val="0"/>
      <w:marBottom w:val="0"/>
      <w:divBdr>
        <w:top w:val="none" w:sz="0" w:space="0" w:color="auto"/>
        <w:left w:val="none" w:sz="0" w:space="0" w:color="auto"/>
        <w:bottom w:val="none" w:sz="0" w:space="0" w:color="auto"/>
        <w:right w:val="none" w:sz="0" w:space="0" w:color="auto"/>
      </w:divBdr>
      <w:divsChild>
        <w:div w:id="728963709">
          <w:marLeft w:val="0"/>
          <w:marRight w:val="0"/>
          <w:marTop w:val="0"/>
          <w:marBottom w:val="0"/>
          <w:divBdr>
            <w:top w:val="none" w:sz="0" w:space="0" w:color="auto"/>
            <w:left w:val="none" w:sz="0" w:space="0" w:color="auto"/>
            <w:bottom w:val="none" w:sz="0" w:space="0" w:color="auto"/>
            <w:right w:val="none" w:sz="0" w:space="0" w:color="auto"/>
          </w:divBdr>
        </w:div>
        <w:div w:id="762261627">
          <w:marLeft w:val="0"/>
          <w:marRight w:val="0"/>
          <w:marTop w:val="0"/>
          <w:marBottom w:val="0"/>
          <w:divBdr>
            <w:top w:val="none" w:sz="0" w:space="0" w:color="auto"/>
            <w:left w:val="none" w:sz="0" w:space="0" w:color="auto"/>
            <w:bottom w:val="none" w:sz="0" w:space="0" w:color="auto"/>
            <w:right w:val="none" w:sz="0" w:space="0" w:color="auto"/>
          </w:divBdr>
        </w:div>
        <w:div w:id="831605523">
          <w:marLeft w:val="0"/>
          <w:marRight w:val="0"/>
          <w:marTop w:val="0"/>
          <w:marBottom w:val="0"/>
          <w:divBdr>
            <w:top w:val="none" w:sz="0" w:space="0" w:color="auto"/>
            <w:left w:val="none" w:sz="0" w:space="0" w:color="auto"/>
            <w:bottom w:val="none" w:sz="0" w:space="0" w:color="auto"/>
            <w:right w:val="none" w:sz="0" w:space="0" w:color="auto"/>
          </w:divBdr>
        </w:div>
        <w:div w:id="1821655496">
          <w:marLeft w:val="0"/>
          <w:marRight w:val="0"/>
          <w:marTop w:val="0"/>
          <w:marBottom w:val="0"/>
          <w:divBdr>
            <w:top w:val="none" w:sz="0" w:space="0" w:color="auto"/>
            <w:left w:val="none" w:sz="0" w:space="0" w:color="auto"/>
            <w:bottom w:val="none" w:sz="0" w:space="0" w:color="auto"/>
            <w:right w:val="none" w:sz="0" w:space="0" w:color="auto"/>
          </w:divBdr>
        </w:div>
        <w:div w:id="2055033779">
          <w:marLeft w:val="0"/>
          <w:marRight w:val="0"/>
          <w:marTop w:val="0"/>
          <w:marBottom w:val="0"/>
          <w:divBdr>
            <w:top w:val="none" w:sz="0" w:space="0" w:color="auto"/>
            <w:left w:val="none" w:sz="0" w:space="0" w:color="auto"/>
            <w:bottom w:val="none" w:sz="0" w:space="0" w:color="auto"/>
            <w:right w:val="none" w:sz="0" w:space="0" w:color="auto"/>
          </w:divBdr>
        </w:div>
      </w:divsChild>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813909065">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65634800">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3570884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902862359">
      <w:bodyDiv w:val="1"/>
      <w:marLeft w:val="0"/>
      <w:marRight w:val="0"/>
      <w:marTop w:val="0"/>
      <w:marBottom w:val="0"/>
      <w:divBdr>
        <w:top w:val="none" w:sz="0" w:space="0" w:color="auto"/>
        <w:left w:val="none" w:sz="0" w:space="0" w:color="auto"/>
        <w:bottom w:val="none" w:sz="0" w:space="0" w:color="auto"/>
        <w:right w:val="none" w:sz="0" w:space="0" w:color="auto"/>
      </w:divBdr>
    </w:div>
    <w:div w:id="2106723832">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E183-B295-44FA-92B0-1A3E99A5229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3FF8BAD-AE86-453D-BAC3-F17F93D7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40F07-13AB-4116-B4A6-05A4EE880A85}">
  <ds:schemaRefs>
    <ds:schemaRef ds:uri="http://schemas.microsoft.com/sharepoint/v3/contenttype/forms"/>
  </ds:schemaRefs>
</ds:datastoreItem>
</file>

<file path=customXml/itemProps4.xml><?xml version="1.0" encoding="utf-8"?>
<ds:datastoreItem xmlns:ds="http://schemas.openxmlformats.org/officeDocument/2006/customXml" ds:itemID="{6443D920-307D-4128-86CC-61EC3AEF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25852</Words>
  <Characters>142188</Characters>
  <Application>Microsoft Office Word</Application>
  <DocSecurity>0</DocSecurity>
  <Lines>1184</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167705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Alejandro Raul Sarmiento Cantillo</cp:lastModifiedBy>
  <cp:revision>5</cp:revision>
  <cp:lastPrinted>2016-11-28T15:42:00Z</cp:lastPrinted>
  <dcterms:created xsi:type="dcterms:W3CDTF">2020-06-12T15:25:00Z</dcterms:created>
  <dcterms:modified xsi:type="dcterms:W3CDTF">2020-06-26T13:25:00Z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