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7B9" w:rsidRPr="003458F7" w:rsidRDefault="009A37B9" w:rsidP="00323356">
      <w:pPr>
        <w:widowControl w:val="0"/>
        <w:autoSpaceDE w:val="0"/>
        <w:autoSpaceDN w:val="0"/>
        <w:adjustRightInd w:val="0"/>
        <w:spacing w:line="240" w:lineRule="auto"/>
        <w:rPr>
          <w:rFonts w:cs="Arial"/>
          <w:b/>
          <w:sz w:val="22"/>
          <w:szCs w:val="22"/>
        </w:rPr>
      </w:pPr>
      <w:r w:rsidRPr="003458F7">
        <w:rPr>
          <w:rFonts w:cs="Arial"/>
          <w:b/>
          <w:sz w:val="22"/>
          <w:szCs w:val="22"/>
        </w:rPr>
        <w:t xml:space="preserve">NULIDAD Y RESTABLECIMIENTO DEL DERECHO - Medio de control </w:t>
      </w:r>
      <w:r w:rsidR="00FF5771">
        <w:rPr>
          <w:rFonts w:cs="Arial"/>
          <w:b/>
          <w:sz w:val="22"/>
          <w:szCs w:val="22"/>
        </w:rPr>
        <w:t>- I</w:t>
      </w:r>
      <w:r w:rsidRPr="003458F7">
        <w:rPr>
          <w:rFonts w:cs="Arial"/>
          <w:b/>
          <w:sz w:val="22"/>
          <w:szCs w:val="22"/>
        </w:rPr>
        <w:t xml:space="preserve">mpugnación </w:t>
      </w:r>
      <w:r w:rsidR="00BC212A">
        <w:rPr>
          <w:rFonts w:cs="Arial"/>
          <w:b/>
          <w:sz w:val="22"/>
          <w:szCs w:val="22"/>
        </w:rPr>
        <w:t>-A</w:t>
      </w:r>
      <w:r w:rsidRPr="003458F7">
        <w:rPr>
          <w:rFonts w:cs="Arial"/>
          <w:b/>
          <w:sz w:val="22"/>
          <w:szCs w:val="22"/>
        </w:rPr>
        <w:t xml:space="preserve">ctos precontractuales </w:t>
      </w:r>
    </w:p>
    <w:p w:rsidR="009A37B9" w:rsidRPr="003458F7" w:rsidRDefault="009A37B9" w:rsidP="00323356">
      <w:pPr>
        <w:widowControl w:val="0"/>
        <w:autoSpaceDE w:val="0"/>
        <w:autoSpaceDN w:val="0"/>
        <w:adjustRightInd w:val="0"/>
        <w:spacing w:line="240" w:lineRule="auto"/>
        <w:rPr>
          <w:rFonts w:cs="Arial"/>
          <w:b/>
          <w:sz w:val="22"/>
          <w:szCs w:val="22"/>
        </w:rPr>
      </w:pPr>
    </w:p>
    <w:p w:rsidR="009A37B9" w:rsidRPr="003458F7" w:rsidRDefault="009A37B9" w:rsidP="00323356">
      <w:pPr>
        <w:widowControl w:val="0"/>
        <w:autoSpaceDE w:val="0"/>
        <w:autoSpaceDN w:val="0"/>
        <w:adjustRightInd w:val="0"/>
        <w:spacing w:line="240" w:lineRule="auto"/>
        <w:rPr>
          <w:rFonts w:cs="Arial"/>
          <w:sz w:val="22"/>
          <w:szCs w:val="22"/>
          <w:lang w:val="es-ES_tradnl"/>
        </w:rPr>
      </w:pPr>
      <w:r w:rsidRPr="003458F7">
        <w:rPr>
          <w:rFonts w:cs="Arial"/>
          <w:sz w:val="22"/>
          <w:szCs w:val="22"/>
          <w:lang w:val="es-ES_tradnl"/>
        </w:rPr>
        <w:t xml:space="preserve">Se precisa aquí que aquellos actos administrativos producidos con ocasión de la actividad contractual con anterioridad a la celebración del contrato, en la etapa de formación de la relación contractual -conocidos como actos previos-, constituyen verdaderos actos administrativos, los cuales, para la época de los hechos en este proceso, eran pasibles de las acciones previstas en el artículo 87 del Código Contencioso Administrativo, en la forma y oportunidad que allí se contemplaba. </w:t>
      </w:r>
    </w:p>
    <w:p w:rsidR="009A37B9" w:rsidRPr="003458F7" w:rsidRDefault="009A37B9" w:rsidP="00323356">
      <w:pPr>
        <w:widowControl w:val="0"/>
        <w:autoSpaceDE w:val="0"/>
        <w:autoSpaceDN w:val="0"/>
        <w:adjustRightInd w:val="0"/>
        <w:spacing w:line="240" w:lineRule="auto"/>
        <w:rPr>
          <w:rFonts w:cs="Arial"/>
          <w:b/>
          <w:sz w:val="22"/>
          <w:szCs w:val="22"/>
        </w:rPr>
      </w:pPr>
    </w:p>
    <w:p w:rsidR="00DE54F5" w:rsidRPr="003458F7" w:rsidRDefault="00DE54F5" w:rsidP="00323356">
      <w:pPr>
        <w:widowControl w:val="0"/>
        <w:autoSpaceDE w:val="0"/>
        <w:autoSpaceDN w:val="0"/>
        <w:adjustRightInd w:val="0"/>
        <w:spacing w:line="240" w:lineRule="auto"/>
        <w:rPr>
          <w:rFonts w:cs="Arial"/>
          <w:b/>
          <w:sz w:val="22"/>
          <w:szCs w:val="22"/>
        </w:rPr>
      </w:pPr>
      <w:r w:rsidRPr="003458F7">
        <w:rPr>
          <w:rFonts w:cs="Arial"/>
          <w:b/>
          <w:sz w:val="22"/>
          <w:szCs w:val="22"/>
        </w:rPr>
        <w:t>NULIDAD Y RESTABLE</w:t>
      </w:r>
      <w:r w:rsidR="00FF5771">
        <w:rPr>
          <w:rFonts w:cs="Arial"/>
          <w:b/>
          <w:sz w:val="22"/>
          <w:szCs w:val="22"/>
        </w:rPr>
        <w:t xml:space="preserve">CIMIENTO DEL DERECHO </w:t>
      </w:r>
      <w:r w:rsidR="00907B91">
        <w:rPr>
          <w:rFonts w:cs="Arial"/>
          <w:b/>
          <w:sz w:val="22"/>
          <w:szCs w:val="22"/>
        </w:rPr>
        <w:t>–</w:t>
      </w:r>
      <w:r w:rsidR="00FF5771">
        <w:rPr>
          <w:rFonts w:cs="Arial"/>
          <w:b/>
          <w:sz w:val="22"/>
          <w:szCs w:val="22"/>
        </w:rPr>
        <w:t xml:space="preserve"> </w:t>
      </w:r>
      <w:r w:rsidR="00907B91">
        <w:rPr>
          <w:rFonts w:cs="Arial"/>
          <w:b/>
          <w:sz w:val="22"/>
          <w:szCs w:val="22"/>
        </w:rPr>
        <w:t>Caducidad de la acción –</w:t>
      </w:r>
      <w:bookmarkStart w:id="0" w:name="_GoBack"/>
      <w:bookmarkEnd w:id="0"/>
      <w:r w:rsidR="00FF5771">
        <w:rPr>
          <w:rFonts w:cs="Arial"/>
          <w:b/>
          <w:sz w:val="22"/>
          <w:szCs w:val="22"/>
        </w:rPr>
        <w:t>Cómputo - T</w:t>
      </w:r>
      <w:r w:rsidRPr="003458F7">
        <w:rPr>
          <w:rFonts w:cs="Arial"/>
          <w:b/>
          <w:sz w:val="22"/>
          <w:szCs w:val="22"/>
        </w:rPr>
        <w:t xml:space="preserve">érmino de caducidad </w:t>
      </w:r>
    </w:p>
    <w:p w:rsidR="00DE54F5" w:rsidRPr="003458F7" w:rsidRDefault="00DE54F5" w:rsidP="00323356">
      <w:pPr>
        <w:widowControl w:val="0"/>
        <w:autoSpaceDE w:val="0"/>
        <w:autoSpaceDN w:val="0"/>
        <w:adjustRightInd w:val="0"/>
        <w:spacing w:line="240" w:lineRule="auto"/>
        <w:rPr>
          <w:rFonts w:cs="Arial"/>
          <w:b/>
          <w:sz w:val="22"/>
          <w:szCs w:val="22"/>
        </w:rPr>
      </w:pPr>
    </w:p>
    <w:p w:rsidR="00B81D5D" w:rsidRPr="003458F7" w:rsidRDefault="00B81D5D" w:rsidP="00323356">
      <w:pPr>
        <w:widowControl w:val="0"/>
        <w:autoSpaceDE w:val="0"/>
        <w:autoSpaceDN w:val="0"/>
        <w:adjustRightInd w:val="0"/>
        <w:spacing w:line="240" w:lineRule="auto"/>
        <w:rPr>
          <w:rFonts w:cs="Arial"/>
          <w:sz w:val="22"/>
          <w:szCs w:val="22"/>
        </w:rPr>
      </w:pPr>
      <w:r w:rsidRPr="003458F7">
        <w:rPr>
          <w:rFonts w:cs="Arial"/>
          <w:sz w:val="22"/>
          <w:szCs w:val="22"/>
        </w:rPr>
        <w:t>Con el propósito de verificar el presupuesto de oportunidad de la demanda, debe observarse el contenido normativo del artículo 87 del Código Contencioso Administrativo, aplicable en este proceso (…) En relación con el citado artículo 87 del Código Contencioso Administrativo, la Sala reitera a continuación la jurisprudencia de la Subsección A, desarrollada en diversos fallos acerca de la acción contra los actos previos a la celebración del contrato estatal, en los cuales se analizó la caducidad de la acción y, en su caso, la inepta demanda (…) Descendiendo al caso concreto, se tiene que la demanda que dio lugar al presente proceso (…) se presentó contra el acto administrativo de adjudicación con anterioridad a la firma del contrato respectivo y que la acción se ejerció, de manera oportuna, el 3 de febrero de 2000. (…) Por tanto, como el término especial de la caducidad de la acción contra el acto previo, fijado en el plazo corto de 30 días hábiles, corrió para el proponente no favorecido a partir de la fecha de la comunicación del acto, se reafirma que la demanda se presentó antes de que hubiera configurado la caducidad, por no haberse vencido el plazo de los 30 días hábiles a que se refiere el artículo 87 del Código Contencioso Administrativo.</w:t>
      </w:r>
    </w:p>
    <w:p w:rsidR="00B81D5D" w:rsidRPr="003458F7" w:rsidRDefault="00B81D5D" w:rsidP="00323356">
      <w:pPr>
        <w:widowControl w:val="0"/>
        <w:autoSpaceDE w:val="0"/>
        <w:autoSpaceDN w:val="0"/>
        <w:adjustRightInd w:val="0"/>
        <w:spacing w:line="240" w:lineRule="auto"/>
        <w:rPr>
          <w:rFonts w:cs="Arial"/>
          <w:b/>
          <w:sz w:val="22"/>
          <w:szCs w:val="22"/>
        </w:rPr>
      </w:pPr>
    </w:p>
    <w:p w:rsidR="00601F18" w:rsidRPr="003458F7" w:rsidRDefault="009E3FC6" w:rsidP="00323356">
      <w:pPr>
        <w:widowControl w:val="0"/>
        <w:autoSpaceDE w:val="0"/>
        <w:autoSpaceDN w:val="0"/>
        <w:adjustRightInd w:val="0"/>
        <w:spacing w:line="240" w:lineRule="auto"/>
        <w:rPr>
          <w:rFonts w:cs="Arial"/>
          <w:b/>
          <w:sz w:val="22"/>
          <w:szCs w:val="22"/>
        </w:rPr>
      </w:pPr>
      <w:r w:rsidRPr="003458F7">
        <w:rPr>
          <w:rFonts w:cs="Arial"/>
          <w:b/>
          <w:sz w:val="22"/>
          <w:szCs w:val="22"/>
        </w:rPr>
        <w:t>ACTO DE ADJUDICACIÓN</w:t>
      </w:r>
      <w:r w:rsidR="00FF5771">
        <w:rPr>
          <w:rFonts w:cs="Arial"/>
          <w:b/>
          <w:sz w:val="22"/>
          <w:szCs w:val="22"/>
        </w:rPr>
        <w:t xml:space="preserve"> -</w:t>
      </w:r>
      <w:r w:rsidR="009F5F28" w:rsidRPr="003458F7">
        <w:rPr>
          <w:rFonts w:cs="Arial"/>
          <w:b/>
          <w:sz w:val="22"/>
          <w:szCs w:val="22"/>
        </w:rPr>
        <w:t xml:space="preserve"> </w:t>
      </w:r>
      <w:r w:rsidR="00FF5771">
        <w:rPr>
          <w:rFonts w:cs="Arial"/>
          <w:b/>
          <w:sz w:val="22"/>
          <w:szCs w:val="22"/>
        </w:rPr>
        <w:t xml:space="preserve">Nulidad - </w:t>
      </w:r>
      <w:r w:rsidR="009F5F28" w:rsidRPr="003458F7">
        <w:rPr>
          <w:rFonts w:cs="Arial"/>
          <w:b/>
          <w:sz w:val="22"/>
          <w:szCs w:val="22"/>
        </w:rPr>
        <w:t>Presupuestos procesales</w:t>
      </w:r>
    </w:p>
    <w:p w:rsidR="009F5F28" w:rsidRPr="003458F7" w:rsidRDefault="009F5F28" w:rsidP="00323356">
      <w:pPr>
        <w:widowControl w:val="0"/>
        <w:autoSpaceDE w:val="0"/>
        <w:autoSpaceDN w:val="0"/>
        <w:adjustRightInd w:val="0"/>
        <w:spacing w:line="240" w:lineRule="auto"/>
        <w:rPr>
          <w:rFonts w:cs="Arial"/>
          <w:sz w:val="22"/>
          <w:szCs w:val="22"/>
        </w:rPr>
      </w:pPr>
    </w:p>
    <w:p w:rsidR="009F5F28" w:rsidRPr="003458F7" w:rsidRDefault="0055581F" w:rsidP="0055581F">
      <w:pPr>
        <w:widowControl w:val="0"/>
        <w:autoSpaceDE w:val="0"/>
        <w:autoSpaceDN w:val="0"/>
        <w:adjustRightInd w:val="0"/>
        <w:spacing w:line="240" w:lineRule="auto"/>
        <w:rPr>
          <w:rFonts w:cs="Arial"/>
          <w:sz w:val="22"/>
          <w:szCs w:val="22"/>
        </w:rPr>
      </w:pPr>
      <w:r w:rsidRPr="003458F7">
        <w:rPr>
          <w:rFonts w:cs="Arial"/>
          <w:sz w:val="22"/>
          <w:szCs w:val="22"/>
        </w:rPr>
        <w:t>Teniendo en cuenta que para el estudio de fondo es pertinente verificar los presupuestos procesales frente al artículo 87 del CCA ya citado, la Sala precisa lo siguiente: i) Cuando la demanda se presenta con anterioridad a la firma del contrato puede incoarse la acción de nulidad y restablecimiento del derecho del acto de adjudicación. ii) En el supuesto procesal de que el contrato no se haya suscrito para la fecha de la demanda, no se exige la notificación de la demanda al adjudicatario.</w:t>
      </w:r>
      <w:r w:rsidR="00C80F96" w:rsidRPr="003458F7">
        <w:rPr>
          <w:rFonts w:cs="Arial"/>
          <w:sz w:val="22"/>
          <w:szCs w:val="22"/>
        </w:rPr>
        <w:t xml:space="preserve"> </w:t>
      </w:r>
      <w:r w:rsidRPr="003458F7">
        <w:rPr>
          <w:rFonts w:cs="Arial"/>
          <w:sz w:val="22"/>
          <w:szCs w:val="22"/>
        </w:rPr>
        <w:t>iii) Solo se impone la integración del adjudicatario como litisconsorte por pasiva cuando se conoce que se ha firmado el contrato.</w:t>
      </w:r>
    </w:p>
    <w:p w:rsidR="00601F18" w:rsidRPr="003458F7" w:rsidRDefault="00601F18" w:rsidP="00323356">
      <w:pPr>
        <w:widowControl w:val="0"/>
        <w:autoSpaceDE w:val="0"/>
        <w:autoSpaceDN w:val="0"/>
        <w:adjustRightInd w:val="0"/>
        <w:spacing w:line="240" w:lineRule="auto"/>
        <w:rPr>
          <w:rFonts w:cs="Arial"/>
          <w:b/>
          <w:sz w:val="22"/>
          <w:szCs w:val="22"/>
        </w:rPr>
      </w:pPr>
    </w:p>
    <w:p w:rsidR="00601F18" w:rsidRPr="003458F7" w:rsidRDefault="00FF5771" w:rsidP="00323356">
      <w:pPr>
        <w:widowControl w:val="0"/>
        <w:autoSpaceDE w:val="0"/>
        <w:autoSpaceDN w:val="0"/>
        <w:adjustRightInd w:val="0"/>
        <w:spacing w:line="240" w:lineRule="auto"/>
        <w:rPr>
          <w:rFonts w:cs="Arial"/>
          <w:b/>
          <w:sz w:val="22"/>
          <w:szCs w:val="22"/>
        </w:rPr>
      </w:pPr>
      <w:r>
        <w:rPr>
          <w:rFonts w:cs="Arial"/>
          <w:b/>
          <w:sz w:val="22"/>
          <w:szCs w:val="22"/>
        </w:rPr>
        <w:t>VALOR ASEGURADO - A</w:t>
      </w:r>
      <w:r w:rsidR="00A44C89" w:rsidRPr="003458F7">
        <w:rPr>
          <w:rFonts w:cs="Arial"/>
          <w:b/>
          <w:sz w:val="22"/>
          <w:szCs w:val="22"/>
        </w:rPr>
        <w:t xml:space="preserve">usencia de la </w:t>
      </w:r>
      <w:r>
        <w:rPr>
          <w:rFonts w:cs="Arial"/>
          <w:b/>
          <w:sz w:val="22"/>
          <w:szCs w:val="22"/>
        </w:rPr>
        <w:t>póliza - F</w:t>
      </w:r>
      <w:r w:rsidR="00A44C89" w:rsidRPr="003458F7">
        <w:rPr>
          <w:rFonts w:cs="Arial"/>
          <w:b/>
          <w:sz w:val="22"/>
          <w:szCs w:val="22"/>
        </w:rPr>
        <w:t>alta de requisitos esenciales</w:t>
      </w:r>
      <w:r w:rsidR="000E4266" w:rsidRPr="003458F7">
        <w:rPr>
          <w:rFonts w:cs="Arial"/>
          <w:b/>
          <w:sz w:val="22"/>
          <w:szCs w:val="22"/>
        </w:rPr>
        <w:t xml:space="preserve"> </w:t>
      </w:r>
      <w:r>
        <w:rPr>
          <w:rFonts w:cs="Arial"/>
          <w:b/>
          <w:sz w:val="22"/>
          <w:szCs w:val="22"/>
        </w:rPr>
        <w:t>- C</w:t>
      </w:r>
      <w:r w:rsidR="000E4266" w:rsidRPr="003458F7">
        <w:rPr>
          <w:rFonts w:cs="Arial"/>
          <w:b/>
          <w:sz w:val="22"/>
          <w:szCs w:val="22"/>
        </w:rPr>
        <w:t xml:space="preserve">omparación de ofertas </w:t>
      </w:r>
    </w:p>
    <w:p w:rsidR="00601F18" w:rsidRPr="003458F7" w:rsidRDefault="00601F18" w:rsidP="00323356">
      <w:pPr>
        <w:widowControl w:val="0"/>
        <w:autoSpaceDE w:val="0"/>
        <w:autoSpaceDN w:val="0"/>
        <w:adjustRightInd w:val="0"/>
        <w:spacing w:line="240" w:lineRule="auto"/>
        <w:rPr>
          <w:rFonts w:cs="Arial"/>
          <w:b/>
          <w:sz w:val="22"/>
          <w:szCs w:val="22"/>
        </w:rPr>
      </w:pPr>
    </w:p>
    <w:p w:rsidR="00A44C89" w:rsidRPr="003458F7" w:rsidRDefault="00A44C89" w:rsidP="00323356">
      <w:pPr>
        <w:widowControl w:val="0"/>
        <w:autoSpaceDE w:val="0"/>
        <w:autoSpaceDN w:val="0"/>
        <w:adjustRightInd w:val="0"/>
        <w:spacing w:line="240" w:lineRule="auto"/>
        <w:rPr>
          <w:rFonts w:cs="Arial"/>
          <w:sz w:val="22"/>
          <w:szCs w:val="22"/>
          <w:lang w:val="es-ES_tradnl"/>
        </w:rPr>
      </w:pPr>
      <w:r w:rsidRPr="003458F7">
        <w:rPr>
          <w:rFonts w:cs="Arial"/>
          <w:sz w:val="22"/>
          <w:szCs w:val="22"/>
          <w:lang w:val="es-ES_tradnl"/>
        </w:rPr>
        <w:t>El problema jurídico consiste concretamente en determinar si era o no ajustado al artículo 25 de la Ley 80 de 1993 aceptar la inclusión de una propuesta que se presentó con la póliza de seriedad de la oferta por valor inferior al requerido en el pliego de condiciones.</w:t>
      </w:r>
      <w:r w:rsidR="000E4266" w:rsidRPr="003458F7">
        <w:rPr>
          <w:rFonts w:cs="Arial"/>
          <w:sz w:val="22"/>
          <w:szCs w:val="22"/>
          <w:lang w:val="es-ES_tradnl"/>
        </w:rPr>
        <w:t xml:space="preserve"> (…) Como consecuencia, se advierte que el valor de la póliza de seriedad de la oferta no hacía parte de los datos a utilizar en las fórmulas requeridas para establecer la comparación de las propuestas, ni tampoco existía en el pliego de condiciones un puntaje asignado a la póliza o a su valor. Desde esta perspectiva, el defecto en el valor de la póliza no era causal para inhabilitar la propuesta o excluirla para efectos del cálculo de precio medio, en relación con el cual se determinaban las propuestas habilitadas. (…) </w:t>
      </w:r>
      <w:r w:rsidR="004600DA" w:rsidRPr="003458F7">
        <w:rPr>
          <w:rFonts w:cs="Arial"/>
          <w:sz w:val="22"/>
          <w:szCs w:val="22"/>
          <w:lang w:val="es-ES_tradnl"/>
        </w:rPr>
        <w:t>Por ello, más que reprochar el contenido del numeral 4 del punto 1.10, la Sala advierte que se debía aplicar en relación con el numeral 1.18, esto es, con base en el carácter no esencial de la póliza de seriedad de la oferta para calificar la respectiva propuesta, como en efecto lo realizó el municipio de Medellín en el acto acusado.</w:t>
      </w:r>
    </w:p>
    <w:p w:rsidR="00A44C89" w:rsidRPr="003458F7" w:rsidRDefault="00A44C89" w:rsidP="00323356">
      <w:pPr>
        <w:widowControl w:val="0"/>
        <w:autoSpaceDE w:val="0"/>
        <w:autoSpaceDN w:val="0"/>
        <w:adjustRightInd w:val="0"/>
        <w:spacing w:line="240" w:lineRule="auto"/>
        <w:rPr>
          <w:rFonts w:cs="Arial"/>
          <w:b/>
          <w:sz w:val="22"/>
          <w:szCs w:val="22"/>
        </w:rPr>
      </w:pPr>
    </w:p>
    <w:p w:rsidR="00601F18" w:rsidRPr="003458F7" w:rsidRDefault="001A7580" w:rsidP="00234828">
      <w:pPr>
        <w:widowControl w:val="0"/>
        <w:autoSpaceDE w:val="0"/>
        <w:autoSpaceDN w:val="0"/>
        <w:adjustRightInd w:val="0"/>
        <w:spacing w:line="240" w:lineRule="auto"/>
        <w:rPr>
          <w:rFonts w:cs="Arial"/>
          <w:b/>
          <w:sz w:val="22"/>
          <w:szCs w:val="22"/>
        </w:rPr>
      </w:pPr>
      <w:r w:rsidRPr="003458F7">
        <w:rPr>
          <w:rFonts w:cs="Arial"/>
          <w:b/>
          <w:sz w:val="22"/>
          <w:szCs w:val="22"/>
        </w:rPr>
        <w:t>OFERTAS</w:t>
      </w:r>
      <w:r w:rsidR="00D32921" w:rsidRPr="003458F7">
        <w:rPr>
          <w:rFonts w:cs="Arial"/>
          <w:b/>
          <w:sz w:val="22"/>
          <w:szCs w:val="22"/>
        </w:rPr>
        <w:t xml:space="preserve"> </w:t>
      </w:r>
      <w:r w:rsidR="00FF5771">
        <w:rPr>
          <w:rFonts w:cs="Arial"/>
          <w:b/>
          <w:sz w:val="22"/>
          <w:szCs w:val="22"/>
        </w:rPr>
        <w:t>-</w:t>
      </w:r>
      <w:r w:rsidR="00C57E51" w:rsidRPr="003458F7">
        <w:rPr>
          <w:rFonts w:cs="Arial"/>
          <w:b/>
          <w:sz w:val="22"/>
          <w:szCs w:val="22"/>
        </w:rPr>
        <w:t xml:space="preserve"> </w:t>
      </w:r>
      <w:r w:rsidR="00FF5771">
        <w:rPr>
          <w:rFonts w:cs="Arial"/>
          <w:b/>
          <w:sz w:val="22"/>
          <w:szCs w:val="22"/>
        </w:rPr>
        <w:t>Valoración - C</w:t>
      </w:r>
      <w:r w:rsidR="00C57E51" w:rsidRPr="003458F7">
        <w:rPr>
          <w:rFonts w:cs="Arial"/>
          <w:b/>
          <w:sz w:val="22"/>
          <w:szCs w:val="22"/>
        </w:rPr>
        <w:t xml:space="preserve">ontenido del pliego de condiciones </w:t>
      </w:r>
    </w:p>
    <w:p w:rsidR="00952A24" w:rsidRPr="003458F7" w:rsidRDefault="00952A24" w:rsidP="00234828">
      <w:pPr>
        <w:widowControl w:val="0"/>
        <w:autoSpaceDE w:val="0"/>
        <w:autoSpaceDN w:val="0"/>
        <w:adjustRightInd w:val="0"/>
        <w:spacing w:line="240" w:lineRule="auto"/>
        <w:rPr>
          <w:rFonts w:cs="Arial"/>
          <w:sz w:val="22"/>
          <w:szCs w:val="22"/>
        </w:rPr>
      </w:pPr>
    </w:p>
    <w:p w:rsidR="00601F18" w:rsidRPr="003458F7" w:rsidRDefault="00952A24" w:rsidP="00952A24">
      <w:pPr>
        <w:widowControl w:val="0"/>
        <w:autoSpaceDE w:val="0"/>
        <w:autoSpaceDN w:val="0"/>
        <w:adjustRightInd w:val="0"/>
        <w:spacing w:line="240" w:lineRule="auto"/>
        <w:rPr>
          <w:rFonts w:cs="Arial"/>
          <w:sz w:val="22"/>
          <w:szCs w:val="22"/>
          <w:lang w:val="es-ES_tradnl"/>
        </w:rPr>
      </w:pPr>
      <w:r w:rsidRPr="003458F7">
        <w:rPr>
          <w:rFonts w:cs="Arial"/>
          <w:sz w:val="22"/>
          <w:szCs w:val="22"/>
          <w:lang w:val="es-ES_tradnl"/>
        </w:rPr>
        <w:t xml:space="preserve">Se hace la anterior precisión para destacar que el puntaje final asignado a cada proponente podía variar de acuerdo con la cantidad de propuestas consideradas hábiles y con el precio </w:t>
      </w:r>
      <w:r w:rsidRPr="003458F7">
        <w:rPr>
          <w:rFonts w:cs="Arial"/>
          <w:sz w:val="22"/>
          <w:szCs w:val="22"/>
          <w:lang w:val="es-ES_tradnl"/>
        </w:rPr>
        <w:lastRenderedPageBreak/>
        <w:t>corregido de cada una de ellas.  La comprensión de este aspecto contenido en el pliego de condiciones lleva a entender la razón por la cual el debate sobre la garantía de seriedad de la oferta se refirió a si debió incluirse o no una propuesta más (la que se denominará treceava), dentro de los datos del cálculo para efecto de asignar el puntaje de precio a la parte ahora demandante.</w:t>
      </w:r>
      <w:r w:rsidR="003F3541" w:rsidRPr="003458F7">
        <w:rPr>
          <w:rFonts w:cs="Arial"/>
          <w:sz w:val="22"/>
          <w:szCs w:val="22"/>
          <w:lang w:val="es-ES_tradnl"/>
        </w:rPr>
        <w:t xml:space="preserve"> (…) Se advierte lo anterior desde ahora, dado que, en algunos apartes de la demanda, se podría entender que el acto acusado incorporó una adjudicación a favor de un proponente que no presentó la póliza de seriedad con la cobertura completa, habiendo quedado el municipio en descubierto para el evento del artículo 30 de la Ley 80 de 1993, aspecto que no es correcto para el caso en cuestión. Se resalta que la adjudicación no fue a favor de la Unión Temporal Lama Ltda – Asfaltadora Colombiana Ltda.</w:t>
      </w:r>
    </w:p>
    <w:p w:rsidR="00952A24" w:rsidRPr="003458F7" w:rsidRDefault="00952A24" w:rsidP="00234828">
      <w:pPr>
        <w:widowControl w:val="0"/>
        <w:autoSpaceDE w:val="0"/>
        <w:autoSpaceDN w:val="0"/>
        <w:adjustRightInd w:val="0"/>
        <w:spacing w:line="240" w:lineRule="auto"/>
        <w:rPr>
          <w:rFonts w:cs="Arial"/>
          <w:b/>
          <w:sz w:val="22"/>
          <w:szCs w:val="22"/>
        </w:rPr>
      </w:pPr>
    </w:p>
    <w:p w:rsidR="00601F18" w:rsidRPr="003458F7" w:rsidRDefault="001A7580" w:rsidP="00234828">
      <w:pPr>
        <w:widowControl w:val="0"/>
        <w:autoSpaceDE w:val="0"/>
        <w:autoSpaceDN w:val="0"/>
        <w:adjustRightInd w:val="0"/>
        <w:spacing w:line="240" w:lineRule="auto"/>
        <w:rPr>
          <w:rFonts w:cs="Arial"/>
          <w:b/>
          <w:sz w:val="22"/>
          <w:szCs w:val="22"/>
        </w:rPr>
      </w:pPr>
      <w:r w:rsidRPr="003458F7">
        <w:rPr>
          <w:rFonts w:cs="Arial"/>
          <w:b/>
          <w:sz w:val="22"/>
          <w:szCs w:val="22"/>
        </w:rPr>
        <w:t xml:space="preserve">PLIEGO DE CONDICIONES </w:t>
      </w:r>
      <w:r w:rsidR="00C57E51" w:rsidRPr="003458F7">
        <w:rPr>
          <w:rFonts w:cs="Arial"/>
          <w:b/>
          <w:sz w:val="22"/>
          <w:szCs w:val="22"/>
        </w:rPr>
        <w:t xml:space="preserve">- </w:t>
      </w:r>
      <w:r w:rsidRPr="003458F7">
        <w:rPr>
          <w:rFonts w:cs="Arial"/>
          <w:b/>
          <w:sz w:val="22"/>
          <w:szCs w:val="22"/>
        </w:rPr>
        <w:t xml:space="preserve">Requisitos sustanciales </w:t>
      </w:r>
      <w:r w:rsidR="00FF5771">
        <w:rPr>
          <w:rFonts w:cs="Arial"/>
          <w:b/>
          <w:sz w:val="22"/>
          <w:szCs w:val="22"/>
        </w:rPr>
        <w:t>-</w:t>
      </w:r>
      <w:r w:rsidR="00C57E51" w:rsidRPr="003458F7">
        <w:rPr>
          <w:rFonts w:cs="Arial"/>
          <w:b/>
          <w:sz w:val="22"/>
          <w:szCs w:val="22"/>
        </w:rPr>
        <w:t xml:space="preserve"> Reiteración jurisprudencial </w:t>
      </w:r>
    </w:p>
    <w:p w:rsidR="00601F18" w:rsidRPr="003458F7" w:rsidRDefault="00601F18" w:rsidP="00234828">
      <w:pPr>
        <w:widowControl w:val="0"/>
        <w:autoSpaceDE w:val="0"/>
        <w:autoSpaceDN w:val="0"/>
        <w:adjustRightInd w:val="0"/>
        <w:spacing w:line="240" w:lineRule="auto"/>
        <w:rPr>
          <w:rFonts w:cs="Arial"/>
          <w:b/>
          <w:sz w:val="22"/>
          <w:szCs w:val="22"/>
        </w:rPr>
      </w:pPr>
    </w:p>
    <w:p w:rsidR="001A7580" w:rsidRPr="003458F7" w:rsidRDefault="00240EFD" w:rsidP="00601F18">
      <w:pPr>
        <w:spacing w:line="240" w:lineRule="auto"/>
        <w:rPr>
          <w:rFonts w:cs="Arial"/>
          <w:sz w:val="22"/>
          <w:szCs w:val="22"/>
          <w:lang w:val="es-ES_tradnl"/>
        </w:rPr>
      </w:pPr>
      <w:r w:rsidRPr="003458F7">
        <w:rPr>
          <w:rFonts w:cs="Arial"/>
          <w:sz w:val="22"/>
          <w:szCs w:val="22"/>
        </w:rPr>
        <w:t>L</w:t>
      </w:r>
      <w:r w:rsidR="001A7580" w:rsidRPr="003458F7">
        <w:rPr>
          <w:rFonts w:cs="Arial"/>
          <w:sz w:val="22"/>
          <w:szCs w:val="22"/>
        </w:rPr>
        <w:t>a Sección Tercera del Consejo de Estado desarrolló una línea jurisprudencial que propugnó por diferenciar entre los requisitos formales y sustanciales exigidos a los proponentes en los pliegos de condiciones, la cual se formuló hace 30 años, desde la sentencia de 19 de febr</w:t>
      </w:r>
      <w:r w:rsidRPr="003458F7">
        <w:rPr>
          <w:rFonts w:cs="Arial"/>
          <w:sz w:val="22"/>
          <w:szCs w:val="22"/>
        </w:rPr>
        <w:t xml:space="preserve">ero de 1987, </w:t>
      </w:r>
      <w:r w:rsidR="001A7580" w:rsidRPr="003458F7">
        <w:rPr>
          <w:rFonts w:cs="Arial"/>
          <w:sz w:val="22"/>
          <w:szCs w:val="22"/>
        </w:rPr>
        <w:t xml:space="preserve">prohijada por la doctrina española y argentina, en cuyos textos se estimó que no todas las condiciones del pliego tienen un mismo peso. </w:t>
      </w:r>
      <w:r w:rsidR="005524FF" w:rsidRPr="003458F7">
        <w:rPr>
          <w:rFonts w:cs="Arial"/>
          <w:sz w:val="22"/>
          <w:szCs w:val="22"/>
        </w:rPr>
        <w:t xml:space="preserve">(…) </w:t>
      </w:r>
      <w:r w:rsidR="001A7580" w:rsidRPr="003458F7">
        <w:rPr>
          <w:rFonts w:cs="Arial"/>
          <w:sz w:val="22"/>
          <w:szCs w:val="22"/>
        </w:rPr>
        <w:t xml:space="preserve">Aunque por la época de los hechos no era norma aplicable al asunto que ahora se juzga, </w:t>
      </w:r>
      <w:r w:rsidRPr="003458F7">
        <w:rPr>
          <w:rFonts w:cs="Arial"/>
          <w:sz w:val="22"/>
          <w:szCs w:val="22"/>
        </w:rPr>
        <w:t>resulta</w:t>
      </w:r>
      <w:r w:rsidR="001A7580" w:rsidRPr="003458F7">
        <w:rPr>
          <w:rFonts w:cs="Arial"/>
          <w:sz w:val="22"/>
          <w:szCs w:val="22"/>
        </w:rPr>
        <w:t xml:space="preserve"> útil anotar que la Ley 1150 de 2011 con la disposición del parágrafo del artículo 5 prohibió de manera expresa el rechazo de propuestas fundado en la falta de requisitos habilitantes, entendidos estos últimos, como los que se refieren al proponente o a la futura contratación, aspecto en el cual se ha seguido desarrollando la línea jurisprudencial que se comenta. </w:t>
      </w:r>
      <w:r w:rsidR="005524FF" w:rsidRPr="003458F7">
        <w:rPr>
          <w:rFonts w:cs="Arial"/>
          <w:sz w:val="22"/>
          <w:szCs w:val="22"/>
        </w:rPr>
        <w:t xml:space="preserve">(…) </w:t>
      </w:r>
      <w:r w:rsidR="001A7580" w:rsidRPr="003458F7">
        <w:rPr>
          <w:rFonts w:cs="Arial"/>
          <w:sz w:val="22"/>
          <w:szCs w:val="22"/>
        </w:rPr>
        <w:t xml:space="preserve">Es de la mayor importancia resaltar que en el caso concreto era improcedente el rechazo de la propuesta que adolecía de un menor valor en la póliza de garantía allegada, de acuerdo con el numeral 15 del artículo 25 de la Ley 80 de 1993 (…) </w:t>
      </w:r>
      <w:r w:rsidR="005524FF" w:rsidRPr="003458F7">
        <w:rPr>
          <w:rFonts w:cs="Arial"/>
          <w:sz w:val="22"/>
          <w:szCs w:val="22"/>
        </w:rPr>
        <w:t>Es importante observar que en el proceso se demostró que el consorcio adjudicatario había presentado su garantía de seriedad de la oferta en debida forma, por el valor establecido en el pliego de condiciones. Por ello, no se puede afirmar que la sentencia de primera instancia ignoró el requisito de la garantía de seriedad de la oferta, con el cual se protege el patrimonio público, ni que se dejó en descubierto el posible cobro de la garantía en los términos de la Ley 80 de 1993.</w:t>
      </w:r>
    </w:p>
    <w:p w:rsidR="00601F18" w:rsidRPr="003458F7" w:rsidRDefault="00601F18" w:rsidP="00601F18">
      <w:pPr>
        <w:spacing w:line="240" w:lineRule="auto"/>
        <w:rPr>
          <w:rFonts w:cs="Arial"/>
          <w:sz w:val="22"/>
          <w:szCs w:val="22"/>
          <w:lang w:val="es-ES_tradnl"/>
        </w:rPr>
      </w:pPr>
    </w:p>
    <w:p w:rsidR="00601F18" w:rsidRPr="003458F7" w:rsidRDefault="00F63097" w:rsidP="00234828">
      <w:pPr>
        <w:widowControl w:val="0"/>
        <w:autoSpaceDE w:val="0"/>
        <w:autoSpaceDN w:val="0"/>
        <w:adjustRightInd w:val="0"/>
        <w:spacing w:line="240" w:lineRule="auto"/>
        <w:rPr>
          <w:rFonts w:cs="Arial"/>
          <w:b/>
          <w:sz w:val="22"/>
          <w:szCs w:val="22"/>
        </w:rPr>
      </w:pPr>
      <w:r w:rsidRPr="003458F7">
        <w:rPr>
          <w:rFonts w:cs="Arial"/>
          <w:b/>
          <w:sz w:val="22"/>
          <w:szCs w:val="22"/>
        </w:rPr>
        <w:t xml:space="preserve">ACTO PROPIO </w:t>
      </w:r>
      <w:r w:rsidR="00FF5771">
        <w:rPr>
          <w:rFonts w:cs="Arial"/>
          <w:b/>
          <w:sz w:val="22"/>
          <w:szCs w:val="22"/>
        </w:rPr>
        <w:t>-</w:t>
      </w:r>
      <w:r w:rsidR="00250F2D" w:rsidRPr="003458F7">
        <w:rPr>
          <w:rFonts w:cs="Arial"/>
          <w:b/>
          <w:sz w:val="22"/>
          <w:szCs w:val="22"/>
        </w:rPr>
        <w:t xml:space="preserve"> </w:t>
      </w:r>
      <w:r w:rsidR="00FF5771">
        <w:rPr>
          <w:rFonts w:cs="Arial"/>
          <w:b/>
          <w:sz w:val="22"/>
          <w:szCs w:val="22"/>
        </w:rPr>
        <w:t xml:space="preserve">Desconocimiento - </w:t>
      </w:r>
      <w:r w:rsidRPr="003458F7">
        <w:rPr>
          <w:rFonts w:cs="Arial"/>
          <w:b/>
          <w:sz w:val="22"/>
          <w:szCs w:val="22"/>
        </w:rPr>
        <w:t xml:space="preserve">Delegación </w:t>
      </w:r>
      <w:r w:rsidR="00FF5771">
        <w:rPr>
          <w:rFonts w:cs="Arial"/>
          <w:b/>
          <w:sz w:val="22"/>
          <w:szCs w:val="22"/>
        </w:rPr>
        <w:t xml:space="preserve">- Estudio </w:t>
      </w:r>
      <w:r w:rsidRPr="003458F7">
        <w:rPr>
          <w:rFonts w:cs="Arial"/>
          <w:b/>
          <w:sz w:val="22"/>
          <w:szCs w:val="22"/>
        </w:rPr>
        <w:t xml:space="preserve">de propuestas </w:t>
      </w:r>
    </w:p>
    <w:p w:rsidR="00601F18" w:rsidRPr="003458F7" w:rsidRDefault="00601F18" w:rsidP="00234828">
      <w:pPr>
        <w:widowControl w:val="0"/>
        <w:autoSpaceDE w:val="0"/>
        <w:autoSpaceDN w:val="0"/>
        <w:adjustRightInd w:val="0"/>
        <w:spacing w:line="240" w:lineRule="auto"/>
        <w:rPr>
          <w:rFonts w:cs="Arial"/>
          <w:b/>
          <w:sz w:val="22"/>
          <w:szCs w:val="22"/>
        </w:rPr>
      </w:pPr>
    </w:p>
    <w:p w:rsidR="00F63097" w:rsidRDefault="00F63097" w:rsidP="00F63097">
      <w:pPr>
        <w:widowControl w:val="0"/>
        <w:autoSpaceDE w:val="0"/>
        <w:autoSpaceDN w:val="0"/>
        <w:adjustRightInd w:val="0"/>
        <w:spacing w:line="240" w:lineRule="auto"/>
        <w:rPr>
          <w:rFonts w:cs="Arial"/>
          <w:sz w:val="22"/>
          <w:szCs w:val="22"/>
        </w:rPr>
      </w:pPr>
      <w:r w:rsidRPr="003458F7">
        <w:rPr>
          <w:rFonts w:cs="Arial"/>
          <w:sz w:val="22"/>
          <w:szCs w:val="22"/>
        </w:rPr>
        <w:t xml:space="preserve">El problema jurídico consiste en determinar si se configuró la delegación de una función relacionada con la contratación del municipio de Medellín que se hubiera trasladado al INVAL y, sobre esa base, evaluar si se desconoció o no un acto propio del municipio, por el hecho de apartarse del informe de calificación realizado por el citado establecimiento público. (…) </w:t>
      </w:r>
      <w:r w:rsidR="00183A76" w:rsidRPr="003458F7">
        <w:rPr>
          <w:rFonts w:cs="Arial"/>
          <w:sz w:val="22"/>
          <w:szCs w:val="22"/>
        </w:rPr>
        <w:t xml:space="preserve">Se agrega que la incompetencia para expedir el acto administrativo de adjudicación del contrato, en caso de que resulte palmaria en el proceso, ocasiona la decisión oficiosa de nulidad, ante la naturaleza del vicio que afectaría al acto administrativo. (…) Se observa que el acto de delegación de la función administrativa estaba permitido salvo prohibición legal, de acuerdo con la regla establecida en el artículo 10 de la Ley 489 de 1998 y se puntualiza que la misma ley indicó los requisitos de la delegación, entre los cuales se exige que el acto de delegación tenga un contenido concreto o especifico. </w:t>
      </w:r>
      <w:r w:rsidR="00DB371F" w:rsidRPr="003458F7">
        <w:rPr>
          <w:rFonts w:cs="Arial"/>
          <w:sz w:val="22"/>
          <w:szCs w:val="22"/>
        </w:rPr>
        <w:t xml:space="preserve">(…) En realidad, tampoco resulta apropiado entender que hubo un acto de delegación de competencia, dado que si se hubiera tratado de la asignación de competencias de una entidad a otra, de acuerdo con la Ley 489 de 1998 hubiera sido necesario acudir al mecanismo de la desconcentración , empero esa decisión de distribuir competencias correspondería al Concejo Municipal, circunstancia que no se presentó y que tampoco se requería de acuerdo con el contenido material de la orden administrativa proferida en el acto de apertura de la licitación pública. </w:t>
      </w:r>
      <w:r w:rsidR="002D66DD" w:rsidRPr="003458F7">
        <w:rPr>
          <w:rFonts w:cs="Arial"/>
          <w:sz w:val="22"/>
          <w:szCs w:val="22"/>
        </w:rPr>
        <w:t>(…) Así las cosas, no procede afirmar que el municipio de Medellín desconoció un acto propio cuando decidió apartarse de la calificación que adelantaron los funcionarios del INVAL.</w:t>
      </w:r>
    </w:p>
    <w:p w:rsidR="00FF5771" w:rsidRPr="003458F7" w:rsidRDefault="00FF5771" w:rsidP="00F63097">
      <w:pPr>
        <w:widowControl w:val="0"/>
        <w:autoSpaceDE w:val="0"/>
        <w:autoSpaceDN w:val="0"/>
        <w:adjustRightInd w:val="0"/>
        <w:spacing w:line="240" w:lineRule="auto"/>
        <w:rPr>
          <w:rFonts w:cs="Arial"/>
          <w:sz w:val="22"/>
          <w:szCs w:val="22"/>
        </w:rPr>
      </w:pPr>
    </w:p>
    <w:p w:rsidR="002D66DD" w:rsidRPr="002D66DD" w:rsidRDefault="002D66DD" w:rsidP="00F63097">
      <w:pPr>
        <w:widowControl w:val="0"/>
        <w:autoSpaceDE w:val="0"/>
        <w:autoSpaceDN w:val="0"/>
        <w:adjustRightInd w:val="0"/>
        <w:spacing w:line="240" w:lineRule="auto"/>
        <w:rPr>
          <w:rFonts w:cs="Arial"/>
          <w:lang w:val="es-ES_tradnl"/>
        </w:rPr>
      </w:pPr>
    </w:p>
    <w:p w:rsidR="00C85395" w:rsidRPr="00E6086A" w:rsidRDefault="00C85395" w:rsidP="009D3798">
      <w:pPr>
        <w:pStyle w:val="Puesto"/>
        <w:rPr>
          <w:sz w:val="24"/>
        </w:rPr>
      </w:pPr>
      <w:r w:rsidRPr="00E6086A">
        <w:rPr>
          <w:sz w:val="24"/>
        </w:rPr>
        <w:t>CONSEJO DE ESTADO</w:t>
      </w:r>
    </w:p>
    <w:p w:rsidR="00546251" w:rsidRPr="00E6086A" w:rsidRDefault="00546251" w:rsidP="009D3798">
      <w:pPr>
        <w:pStyle w:val="Puesto"/>
        <w:rPr>
          <w:sz w:val="24"/>
        </w:rPr>
      </w:pPr>
    </w:p>
    <w:p w:rsidR="00C85395" w:rsidRPr="00E6086A" w:rsidRDefault="00C85395" w:rsidP="009D3798">
      <w:pPr>
        <w:pStyle w:val="Puesto"/>
        <w:rPr>
          <w:sz w:val="24"/>
        </w:rPr>
      </w:pPr>
      <w:r w:rsidRPr="00E6086A">
        <w:rPr>
          <w:sz w:val="24"/>
        </w:rPr>
        <w:t>SALA DE LO CONTENCIOSO ADMINISTRATIVO</w:t>
      </w:r>
    </w:p>
    <w:p w:rsidR="00546251" w:rsidRPr="00E6086A" w:rsidRDefault="00546251" w:rsidP="009D3798">
      <w:pPr>
        <w:pStyle w:val="Puesto"/>
        <w:rPr>
          <w:sz w:val="24"/>
        </w:rPr>
      </w:pPr>
    </w:p>
    <w:p w:rsidR="00750A14" w:rsidRPr="00E6086A" w:rsidRDefault="000E6697" w:rsidP="009D3798">
      <w:pPr>
        <w:pStyle w:val="Puesto"/>
        <w:rPr>
          <w:sz w:val="24"/>
        </w:rPr>
      </w:pPr>
      <w:r w:rsidRPr="00E6086A">
        <w:rPr>
          <w:sz w:val="24"/>
        </w:rPr>
        <w:t>SECCIÓ</w:t>
      </w:r>
      <w:r w:rsidR="00C85395" w:rsidRPr="00E6086A">
        <w:rPr>
          <w:sz w:val="24"/>
        </w:rPr>
        <w:t>N TERCERA</w:t>
      </w:r>
    </w:p>
    <w:p w:rsidR="00750A14" w:rsidRPr="00E6086A" w:rsidRDefault="00750A14" w:rsidP="009D3798">
      <w:pPr>
        <w:pStyle w:val="Puesto"/>
        <w:rPr>
          <w:sz w:val="24"/>
        </w:rPr>
      </w:pPr>
    </w:p>
    <w:p w:rsidR="00C85395" w:rsidRPr="00E6086A" w:rsidRDefault="000E6697" w:rsidP="009D3798">
      <w:pPr>
        <w:pStyle w:val="Puesto"/>
        <w:rPr>
          <w:sz w:val="24"/>
        </w:rPr>
      </w:pPr>
      <w:r w:rsidRPr="00E6086A">
        <w:rPr>
          <w:sz w:val="24"/>
        </w:rPr>
        <w:t>SUBSECCIÓ</w:t>
      </w:r>
      <w:r w:rsidR="009479F7" w:rsidRPr="00E6086A">
        <w:rPr>
          <w:sz w:val="24"/>
        </w:rPr>
        <w:t>N A</w:t>
      </w:r>
    </w:p>
    <w:p w:rsidR="00ED77A2" w:rsidRPr="00E6086A" w:rsidRDefault="00ED77A2" w:rsidP="009D3798">
      <w:pPr>
        <w:pStyle w:val="Encabezado"/>
        <w:spacing w:line="240" w:lineRule="auto"/>
        <w:jc w:val="center"/>
        <w:rPr>
          <w:rFonts w:cs="Arial"/>
          <w:b/>
          <w:szCs w:val="24"/>
          <w:lang w:val="es-CO"/>
        </w:rPr>
      </w:pPr>
    </w:p>
    <w:p w:rsidR="00C85395" w:rsidRPr="00E6086A" w:rsidRDefault="00C85395" w:rsidP="009D3798">
      <w:pPr>
        <w:pStyle w:val="Encabezado"/>
        <w:spacing w:line="240" w:lineRule="auto"/>
        <w:jc w:val="center"/>
        <w:rPr>
          <w:rFonts w:cs="Arial"/>
          <w:spacing w:val="-3"/>
          <w:szCs w:val="24"/>
          <w:lang w:val="es-CO"/>
        </w:rPr>
      </w:pPr>
      <w:r w:rsidRPr="00E6086A">
        <w:rPr>
          <w:rFonts w:cs="Arial"/>
          <w:b/>
          <w:szCs w:val="24"/>
          <w:lang w:val="es-CO"/>
        </w:rPr>
        <w:t>Consej</w:t>
      </w:r>
      <w:r w:rsidR="00F556DB" w:rsidRPr="00E6086A">
        <w:rPr>
          <w:rFonts w:cs="Arial"/>
          <w:b/>
          <w:szCs w:val="24"/>
          <w:lang w:val="es-CO"/>
        </w:rPr>
        <w:t>er</w:t>
      </w:r>
      <w:r w:rsidR="00961FDA" w:rsidRPr="00E6086A">
        <w:rPr>
          <w:rFonts w:cs="Arial"/>
          <w:b/>
          <w:szCs w:val="24"/>
          <w:lang w:val="es-CO"/>
        </w:rPr>
        <w:t>a</w:t>
      </w:r>
      <w:r w:rsidR="00F556DB" w:rsidRPr="00E6086A">
        <w:rPr>
          <w:rFonts w:cs="Arial"/>
          <w:b/>
          <w:szCs w:val="24"/>
          <w:lang w:val="es-CO"/>
        </w:rPr>
        <w:t xml:space="preserve"> </w:t>
      </w:r>
      <w:r w:rsidR="00750A14" w:rsidRPr="00E6086A">
        <w:rPr>
          <w:rFonts w:cs="Arial"/>
          <w:b/>
          <w:szCs w:val="24"/>
          <w:lang w:val="es-CO"/>
        </w:rPr>
        <w:t>p</w:t>
      </w:r>
      <w:r w:rsidR="00F556DB" w:rsidRPr="00E6086A">
        <w:rPr>
          <w:rFonts w:cs="Arial"/>
          <w:b/>
          <w:szCs w:val="24"/>
          <w:lang w:val="es-CO"/>
        </w:rPr>
        <w:t>onente: MA</w:t>
      </w:r>
      <w:r w:rsidR="00961FDA" w:rsidRPr="00E6086A">
        <w:rPr>
          <w:rFonts w:cs="Arial"/>
          <w:b/>
          <w:szCs w:val="24"/>
          <w:lang w:val="es-CO"/>
        </w:rPr>
        <w:t>RTA NUBIA VELÁSQUEZ RICO</w:t>
      </w:r>
    </w:p>
    <w:p w:rsidR="00ED77A2" w:rsidRPr="00E6086A" w:rsidRDefault="00ED77A2" w:rsidP="009D3798">
      <w:pPr>
        <w:spacing w:line="240" w:lineRule="auto"/>
        <w:rPr>
          <w:rFonts w:cs="Arial"/>
        </w:rPr>
      </w:pPr>
    </w:p>
    <w:p w:rsidR="00F21484" w:rsidRPr="00E6086A" w:rsidRDefault="00F21484" w:rsidP="009D3798">
      <w:pPr>
        <w:pStyle w:val="Saludo"/>
        <w:spacing w:line="240" w:lineRule="auto"/>
        <w:rPr>
          <w:rFonts w:cs="Arial"/>
        </w:rPr>
      </w:pPr>
      <w:r w:rsidRPr="00E6086A">
        <w:rPr>
          <w:rFonts w:cs="Arial"/>
        </w:rPr>
        <w:t>B</w:t>
      </w:r>
      <w:r w:rsidR="00025C7D" w:rsidRPr="00E6086A">
        <w:rPr>
          <w:rFonts w:cs="Arial"/>
        </w:rPr>
        <w:t>ogotá</w:t>
      </w:r>
      <w:r w:rsidR="00750A14" w:rsidRPr="00E6086A">
        <w:rPr>
          <w:rFonts w:cs="Arial"/>
        </w:rPr>
        <w:t>,</w:t>
      </w:r>
      <w:r w:rsidR="00025C7D" w:rsidRPr="00E6086A">
        <w:rPr>
          <w:rFonts w:cs="Arial"/>
        </w:rPr>
        <w:t xml:space="preserve"> D.C</w:t>
      </w:r>
      <w:r w:rsidR="00F927BF" w:rsidRPr="00E6086A">
        <w:rPr>
          <w:rFonts w:cs="Arial"/>
        </w:rPr>
        <w:t>.,</w:t>
      </w:r>
      <w:r w:rsidR="00AB2E31" w:rsidRPr="00E6086A">
        <w:rPr>
          <w:rFonts w:cs="Arial"/>
        </w:rPr>
        <w:t xml:space="preserve"> </w:t>
      </w:r>
      <w:r w:rsidR="003A2704" w:rsidRPr="00E6086A">
        <w:rPr>
          <w:rFonts w:cs="Arial"/>
        </w:rPr>
        <w:t xml:space="preserve">veintiocho (28) de septiembre </w:t>
      </w:r>
      <w:r w:rsidR="00C6529F" w:rsidRPr="00E6086A">
        <w:rPr>
          <w:rFonts w:cs="Arial"/>
        </w:rPr>
        <w:t xml:space="preserve">de </w:t>
      </w:r>
      <w:r w:rsidR="003D2359" w:rsidRPr="00E6086A">
        <w:rPr>
          <w:rFonts w:cs="Arial"/>
        </w:rPr>
        <w:t xml:space="preserve">dos mil </w:t>
      </w:r>
      <w:r w:rsidR="00F773C8" w:rsidRPr="00E6086A">
        <w:rPr>
          <w:rFonts w:cs="Arial"/>
        </w:rPr>
        <w:t>diecis</w:t>
      </w:r>
      <w:r w:rsidR="00AB2E31" w:rsidRPr="00E6086A">
        <w:rPr>
          <w:rFonts w:cs="Arial"/>
        </w:rPr>
        <w:t>iete</w:t>
      </w:r>
      <w:r w:rsidR="003D2359" w:rsidRPr="00E6086A">
        <w:rPr>
          <w:rFonts w:cs="Arial"/>
        </w:rPr>
        <w:t xml:space="preserve"> (201</w:t>
      </w:r>
      <w:r w:rsidR="00AB2E31" w:rsidRPr="00E6086A">
        <w:rPr>
          <w:rFonts w:cs="Arial"/>
        </w:rPr>
        <w:t>7</w:t>
      </w:r>
      <w:r w:rsidR="003D2359" w:rsidRPr="00E6086A">
        <w:rPr>
          <w:rFonts w:cs="Arial"/>
        </w:rPr>
        <w:t>)</w:t>
      </w:r>
    </w:p>
    <w:p w:rsidR="00612BDD" w:rsidRPr="00E6086A" w:rsidRDefault="00612BDD" w:rsidP="009D3798">
      <w:pPr>
        <w:spacing w:line="240" w:lineRule="auto"/>
        <w:rPr>
          <w:rFonts w:cs="Arial"/>
          <w:b/>
        </w:rPr>
      </w:pPr>
    </w:p>
    <w:p w:rsidR="00B72EAA" w:rsidRPr="00E6086A" w:rsidRDefault="00B72EAA" w:rsidP="009D3798">
      <w:pPr>
        <w:widowControl w:val="0"/>
        <w:autoSpaceDE w:val="0"/>
        <w:autoSpaceDN w:val="0"/>
        <w:adjustRightInd w:val="0"/>
        <w:spacing w:line="240" w:lineRule="auto"/>
        <w:rPr>
          <w:rFonts w:cs="Arial"/>
          <w:b/>
        </w:rPr>
      </w:pPr>
      <w:r w:rsidRPr="00E6086A">
        <w:rPr>
          <w:rFonts w:cs="Arial"/>
          <w:b/>
        </w:rPr>
        <w:t>Radicación</w:t>
      </w:r>
      <w:r w:rsidR="00CE5E0B" w:rsidRPr="00E6086A">
        <w:rPr>
          <w:rFonts w:cs="Arial"/>
          <w:b/>
        </w:rPr>
        <w:t xml:space="preserve"> número</w:t>
      </w:r>
      <w:r w:rsidRPr="00E6086A">
        <w:rPr>
          <w:rFonts w:cs="Arial"/>
          <w:b/>
        </w:rPr>
        <w:t xml:space="preserve">: </w:t>
      </w:r>
      <w:r w:rsidR="00AB2E31" w:rsidRPr="00E6086A">
        <w:rPr>
          <w:rFonts w:cs="Arial"/>
          <w:b/>
        </w:rPr>
        <w:t>05001</w:t>
      </w:r>
      <w:r w:rsidR="00750A14" w:rsidRPr="00E6086A">
        <w:rPr>
          <w:rFonts w:cs="Arial"/>
          <w:b/>
        </w:rPr>
        <w:t>-</w:t>
      </w:r>
      <w:r w:rsidR="00AB2E31" w:rsidRPr="00E6086A">
        <w:rPr>
          <w:rFonts w:cs="Arial"/>
          <w:b/>
        </w:rPr>
        <w:t>23</w:t>
      </w:r>
      <w:r w:rsidR="00750A14" w:rsidRPr="00E6086A">
        <w:rPr>
          <w:rFonts w:cs="Arial"/>
          <w:b/>
        </w:rPr>
        <w:t>-</w:t>
      </w:r>
      <w:r w:rsidR="00AB2E31" w:rsidRPr="00E6086A">
        <w:rPr>
          <w:rFonts w:cs="Arial"/>
          <w:b/>
        </w:rPr>
        <w:t>31</w:t>
      </w:r>
      <w:r w:rsidR="00750A14" w:rsidRPr="00E6086A">
        <w:rPr>
          <w:rFonts w:cs="Arial"/>
          <w:b/>
        </w:rPr>
        <w:t>-</w:t>
      </w:r>
      <w:r w:rsidR="00AB2E31" w:rsidRPr="00E6086A">
        <w:rPr>
          <w:rFonts w:cs="Arial"/>
          <w:b/>
        </w:rPr>
        <w:t>000</w:t>
      </w:r>
      <w:r w:rsidR="00750A14" w:rsidRPr="00E6086A">
        <w:rPr>
          <w:rFonts w:cs="Arial"/>
          <w:b/>
        </w:rPr>
        <w:t>-</w:t>
      </w:r>
      <w:r w:rsidR="00AB2E31" w:rsidRPr="00E6086A">
        <w:rPr>
          <w:rFonts w:cs="Arial"/>
          <w:b/>
        </w:rPr>
        <w:t>2000</w:t>
      </w:r>
      <w:r w:rsidR="00750A14" w:rsidRPr="00E6086A">
        <w:rPr>
          <w:rFonts w:cs="Arial"/>
          <w:b/>
        </w:rPr>
        <w:t>-</w:t>
      </w:r>
      <w:r w:rsidR="00AB2E31" w:rsidRPr="00E6086A">
        <w:rPr>
          <w:rFonts w:cs="Arial"/>
          <w:b/>
        </w:rPr>
        <w:t>00440</w:t>
      </w:r>
      <w:r w:rsidR="00750A14" w:rsidRPr="00E6086A">
        <w:rPr>
          <w:rFonts w:cs="Arial"/>
          <w:b/>
        </w:rPr>
        <w:t>-01</w:t>
      </w:r>
      <w:r w:rsidR="00AB2E31" w:rsidRPr="00E6086A">
        <w:rPr>
          <w:rFonts w:cs="Arial"/>
          <w:b/>
        </w:rPr>
        <w:t>(50911)</w:t>
      </w:r>
    </w:p>
    <w:p w:rsidR="009334DE" w:rsidRPr="00E6086A" w:rsidRDefault="009334DE" w:rsidP="009D3798">
      <w:pPr>
        <w:widowControl w:val="0"/>
        <w:autoSpaceDE w:val="0"/>
        <w:autoSpaceDN w:val="0"/>
        <w:adjustRightInd w:val="0"/>
        <w:spacing w:line="240" w:lineRule="auto"/>
        <w:rPr>
          <w:rFonts w:cs="Arial"/>
          <w:b/>
        </w:rPr>
      </w:pPr>
    </w:p>
    <w:p w:rsidR="0012279B" w:rsidRPr="00E6086A" w:rsidRDefault="00B72EAA" w:rsidP="009D3798">
      <w:pPr>
        <w:widowControl w:val="0"/>
        <w:autoSpaceDE w:val="0"/>
        <w:autoSpaceDN w:val="0"/>
        <w:adjustRightInd w:val="0"/>
        <w:spacing w:line="240" w:lineRule="auto"/>
        <w:rPr>
          <w:rFonts w:cs="Arial"/>
          <w:b/>
        </w:rPr>
      </w:pPr>
      <w:r w:rsidRPr="00E6086A">
        <w:rPr>
          <w:rFonts w:cs="Arial"/>
          <w:b/>
        </w:rPr>
        <w:t xml:space="preserve">Actor: </w:t>
      </w:r>
      <w:r w:rsidR="003F403C" w:rsidRPr="00E6086A">
        <w:rPr>
          <w:rFonts w:cs="Arial"/>
          <w:b/>
        </w:rPr>
        <w:t xml:space="preserve">UNIÓN TEMPORAL </w:t>
      </w:r>
      <w:r w:rsidR="00886B26" w:rsidRPr="00E6086A">
        <w:rPr>
          <w:rFonts w:cs="Arial"/>
          <w:b/>
        </w:rPr>
        <w:t xml:space="preserve">PÉREZ C. Y CIA LTDA </w:t>
      </w:r>
    </w:p>
    <w:p w:rsidR="009334DE" w:rsidRPr="00E6086A" w:rsidRDefault="009334DE" w:rsidP="009D3798">
      <w:pPr>
        <w:widowControl w:val="0"/>
        <w:autoSpaceDE w:val="0"/>
        <w:autoSpaceDN w:val="0"/>
        <w:adjustRightInd w:val="0"/>
        <w:spacing w:line="240" w:lineRule="auto"/>
        <w:rPr>
          <w:rFonts w:cs="Arial"/>
          <w:b/>
        </w:rPr>
      </w:pPr>
    </w:p>
    <w:p w:rsidR="0012279B" w:rsidRPr="00E6086A" w:rsidRDefault="0012279B" w:rsidP="009D3798">
      <w:pPr>
        <w:widowControl w:val="0"/>
        <w:autoSpaceDE w:val="0"/>
        <w:autoSpaceDN w:val="0"/>
        <w:adjustRightInd w:val="0"/>
        <w:spacing w:line="240" w:lineRule="auto"/>
        <w:rPr>
          <w:rFonts w:cs="Arial"/>
          <w:b/>
        </w:rPr>
      </w:pPr>
      <w:r w:rsidRPr="00E6086A">
        <w:rPr>
          <w:rFonts w:cs="Arial"/>
          <w:b/>
        </w:rPr>
        <w:t xml:space="preserve">Demandado: </w:t>
      </w:r>
      <w:r w:rsidR="00886B26" w:rsidRPr="00E6086A">
        <w:rPr>
          <w:rFonts w:cs="Arial"/>
          <w:b/>
        </w:rPr>
        <w:t>MUNICIPIO DE MEDELLÍN</w:t>
      </w:r>
    </w:p>
    <w:p w:rsidR="0012279B" w:rsidRPr="00E6086A" w:rsidRDefault="0012279B" w:rsidP="009D3798">
      <w:pPr>
        <w:widowControl w:val="0"/>
        <w:autoSpaceDE w:val="0"/>
        <w:autoSpaceDN w:val="0"/>
        <w:adjustRightInd w:val="0"/>
        <w:spacing w:line="240" w:lineRule="auto"/>
        <w:rPr>
          <w:rFonts w:cs="Arial"/>
          <w:b/>
        </w:rPr>
      </w:pPr>
    </w:p>
    <w:p w:rsidR="00750A14" w:rsidRPr="00E6086A" w:rsidRDefault="00750A14" w:rsidP="009D3798">
      <w:pPr>
        <w:widowControl w:val="0"/>
        <w:autoSpaceDE w:val="0"/>
        <w:autoSpaceDN w:val="0"/>
        <w:adjustRightInd w:val="0"/>
        <w:spacing w:line="240" w:lineRule="auto"/>
        <w:rPr>
          <w:rFonts w:cs="Arial"/>
          <w:b/>
        </w:rPr>
      </w:pPr>
    </w:p>
    <w:p w:rsidR="00750A14" w:rsidRPr="00E6086A" w:rsidRDefault="00750A14" w:rsidP="009D3798">
      <w:pPr>
        <w:widowControl w:val="0"/>
        <w:autoSpaceDE w:val="0"/>
        <w:autoSpaceDN w:val="0"/>
        <w:adjustRightInd w:val="0"/>
        <w:spacing w:line="240" w:lineRule="auto"/>
        <w:rPr>
          <w:rFonts w:cs="Arial"/>
          <w:b/>
        </w:rPr>
      </w:pPr>
    </w:p>
    <w:p w:rsidR="0012279B" w:rsidRPr="00E6086A" w:rsidRDefault="0012279B" w:rsidP="009D3798">
      <w:pPr>
        <w:widowControl w:val="0"/>
        <w:autoSpaceDE w:val="0"/>
        <w:autoSpaceDN w:val="0"/>
        <w:adjustRightInd w:val="0"/>
        <w:spacing w:line="240" w:lineRule="auto"/>
        <w:rPr>
          <w:rFonts w:cs="Arial"/>
          <w:b/>
        </w:rPr>
      </w:pPr>
      <w:r w:rsidRPr="00E6086A">
        <w:rPr>
          <w:rFonts w:cs="Arial"/>
          <w:b/>
        </w:rPr>
        <w:t xml:space="preserve">Referencia: </w:t>
      </w:r>
      <w:r w:rsidR="004404BB" w:rsidRPr="00E6086A">
        <w:rPr>
          <w:rFonts w:cs="Arial"/>
          <w:b/>
        </w:rPr>
        <w:t xml:space="preserve">APELACIÓN SENTENCIA - </w:t>
      </w:r>
      <w:r w:rsidRPr="00E6086A">
        <w:rPr>
          <w:rFonts w:cs="Arial"/>
          <w:b/>
        </w:rPr>
        <w:t xml:space="preserve">ACCIÓN </w:t>
      </w:r>
      <w:r w:rsidR="00BE1F22" w:rsidRPr="00E6086A">
        <w:rPr>
          <w:rFonts w:cs="Arial"/>
          <w:b/>
        </w:rPr>
        <w:t>DE NULIDAD Y RESTABLECIMIENTO DEL DERECHO</w:t>
      </w:r>
      <w:r w:rsidRPr="00E6086A">
        <w:rPr>
          <w:rFonts w:cs="Arial"/>
          <w:b/>
        </w:rPr>
        <w:t xml:space="preserve"> </w:t>
      </w:r>
    </w:p>
    <w:p w:rsidR="0012279B" w:rsidRPr="00E6086A" w:rsidRDefault="0012279B" w:rsidP="009D3798">
      <w:pPr>
        <w:widowControl w:val="0"/>
        <w:autoSpaceDE w:val="0"/>
        <w:autoSpaceDN w:val="0"/>
        <w:adjustRightInd w:val="0"/>
        <w:spacing w:line="240" w:lineRule="auto"/>
        <w:rPr>
          <w:rFonts w:cs="Arial"/>
          <w:b/>
        </w:rPr>
      </w:pPr>
    </w:p>
    <w:p w:rsidR="00750A14" w:rsidRPr="00E6086A" w:rsidRDefault="00750A14" w:rsidP="009D3798">
      <w:pPr>
        <w:widowControl w:val="0"/>
        <w:autoSpaceDE w:val="0"/>
        <w:autoSpaceDN w:val="0"/>
        <w:adjustRightInd w:val="0"/>
        <w:spacing w:line="240" w:lineRule="auto"/>
        <w:rPr>
          <w:rFonts w:cs="Arial"/>
          <w:b/>
        </w:rPr>
      </w:pPr>
    </w:p>
    <w:p w:rsidR="0012279B" w:rsidRPr="00E6086A" w:rsidRDefault="0012279B" w:rsidP="009D3798">
      <w:pPr>
        <w:widowControl w:val="0"/>
        <w:autoSpaceDE w:val="0"/>
        <w:autoSpaceDN w:val="0"/>
        <w:adjustRightInd w:val="0"/>
        <w:spacing w:line="240" w:lineRule="auto"/>
        <w:rPr>
          <w:rFonts w:cs="Arial"/>
        </w:rPr>
      </w:pPr>
    </w:p>
    <w:p w:rsidR="00612BDD" w:rsidRPr="00E6086A" w:rsidRDefault="00BA77BD" w:rsidP="009E3FC6">
      <w:pPr>
        <w:rPr>
          <w:rFonts w:cs="Arial"/>
          <w:i/>
        </w:rPr>
      </w:pPr>
      <w:r w:rsidRPr="00E6086A">
        <w:rPr>
          <w:rFonts w:cs="Arial"/>
          <w:i/>
        </w:rPr>
        <w:t>Temas</w:t>
      </w:r>
      <w:r w:rsidR="00C11BFE" w:rsidRPr="00E6086A">
        <w:rPr>
          <w:rFonts w:cs="Arial"/>
          <w:i/>
        </w:rPr>
        <w:t>:</w:t>
      </w:r>
      <w:r w:rsidR="00D43D2E" w:rsidRPr="00E6086A">
        <w:rPr>
          <w:rFonts w:cs="Arial"/>
          <w:i/>
        </w:rPr>
        <w:t xml:space="preserve"> </w:t>
      </w:r>
      <w:r w:rsidR="004C428B" w:rsidRPr="00E6086A">
        <w:rPr>
          <w:rFonts w:cs="Arial"/>
          <w:i/>
        </w:rPr>
        <w:t xml:space="preserve">ACTOS PREVIOS </w:t>
      </w:r>
      <w:r w:rsidR="00FE0EAC" w:rsidRPr="00E6086A">
        <w:rPr>
          <w:rFonts w:cs="Arial"/>
          <w:i/>
        </w:rPr>
        <w:t>–</w:t>
      </w:r>
      <w:r w:rsidR="004C428B" w:rsidRPr="00E6086A">
        <w:rPr>
          <w:rFonts w:cs="Arial"/>
          <w:i/>
        </w:rPr>
        <w:t>cuando la demanda se presenta con anterioridad a la firma del contrato</w:t>
      </w:r>
      <w:r w:rsidR="00FE0EAC" w:rsidRPr="00E6086A">
        <w:rPr>
          <w:rFonts w:cs="Arial"/>
          <w:i/>
        </w:rPr>
        <w:t xml:space="preserve"> </w:t>
      </w:r>
      <w:r w:rsidR="00BB3C60" w:rsidRPr="00E6086A">
        <w:rPr>
          <w:rFonts w:cs="Arial"/>
          <w:i/>
        </w:rPr>
        <w:t xml:space="preserve">se </w:t>
      </w:r>
      <w:r w:rsidR="00FE0EAC" w:rsidRPr="00E6086A">
        <w:rPr>
          <w:rFonts w:cs="Arial"/>
          <w:i/>
        </w:rPr>
        <w:t xml:space="preserve">puede </w:t>
      </w:r>
      <w:r w:rsidR="00E92526" w:rsidRPr="00E6086A">
        <w:rPr>
          <w:rFonts w:cs="Arial"/>
          <w:i/>
        </w:rPr>
        <w:t xml:space="preserve">incoar </w:t>
      </w:r>
      <w:r w:rsidR="00BB3C60" w:rsidRPr="00E6086A">
        <w:rPr>
          <w:rFonts w:cs="Arial"/>
          <w:i/>
        </w:rPr>
        <w:t xml:space="preserve">únicamente la pretensión de </w:t>
      </w:r>
      <w:r w:rsidR="001B1057" w:rsidRPr="00E6086A">
        <w:rPr>
          <w:rFonts w:cs="Arial"/>
          <w:i/>
        </w:rPr>
        <w:t>nulidad</w:t>
      </w:r>
      <w:r w:rsidR="009E3FC6" w:rsidRPr="00E6086A">
        <w:rPr>
          <w:rFonts w:cs="Arial"/>
          <w:i/>
        </w:rPr>
        <w:t xml:space="preserve"> </w:t>
      </w:r>
      <w:r w:rsidR="00FE0EAC" w:rsidRPr="00E6086A">
        <w:rPr>
          <w:rFonts w:cs="Arial"/>
          <w:i/>
        </w:rPr>
        <w:t>y restablecimiento del derecho</w:t>
      </w:r>
      <w:r w:rsidR="00E96B5B" w:rsidRPr="00E6086A">
        <w:rPr>
          <w:rFonts w:cs="Arial"/>
          <w:i/>
        </w:rPr>
        <w:t xml:space="preserve"> del acto de adjudicación</w:t>
      </w:r>
      <w:r w:rsidR="00FE0EAC" w:rsidRPr="00E6086A">
        <w:rPr>
          <w:rFonts w:cs="Arial"/>
          <w:i/>
        </w:rPr>
        <w:t xml:space="preserve"> – en ese supuesto procesal no se exige la notificación de la demanda al adjudicatario – solo se impone la integración del </w:t>
      </w:r>
      <w:r w:rsidR="00E96B5B" w:rsidRPr="00E6086A">
        <w:rPr>
          <w:rFonts w:cs="Arial"/>
          <w:i/>
        </w:rPr>
        <w:t xml:space="preserve">adjudicatario como </w:t>
      </w:r>
      <w:r w:rsidR="00FE0EAC" w:rsidRPr="00E6086A">
        <w:rPr>
          <w:rFonts w:cs="Arial"/>
          <w:i/>
        </w:rPr>
        <w:t>litisconsorte por pasiva cuando se conoce</w:t>
      </w:r>
      <w:r w:rsidR="008B0C8C" w:rsidRPr="00E6086A">
        <w:rPr>
          <w:rFonts w:cs="Arial"/>
          <w:i/>
        </w:rPr>
        <w:t>,</w:t>
      </w:r>
      <w:r w:rsidR="00FE0EAC" w:rsidRPr="00E6086A">
        <w:rPr>
          <w:rFonts w:cs="Arial"/>
          <w:i/>
        </w:rPr>
        <w:t xml:space="preserve"> </w:t>
      </w:r>
      <w:r w:rsidR="008B0C8C" w:rsidRPr="00E6086A">
        <w:rPr>
          <w:rFonts w:cs="Arial"/>
          <w:i/>
        </w:rPr>
        <w:t>o se debió conocer, que</w:t>
      </w:r>
      <w:r w:rsidR="00FE0EAC" w:rsidRPr="00E6086A">
        <w:rPr>
          <w:rFonts w:cs="Arial"/>
          <w:i/>
        </w:rPr>
        <w:t xml:space="preserve"> se ha firmado el contrato.</w:t>
      </w:r>
      <w:r w:rsidR="004C428B" w:rsidRPr="00E6086A">
        <w:rPr>
          <w:rFonts w:cs="Arial"/>
          <w:i/>
        </w:rPr>
        <w:t xml:space="preserve">/ </w:t>
      </w:r>
      <w:r w:rsidR="00D43D2E" w:rsidRPr="00E6086A">
        <w:rPr>
          <w:rFonts w:cs="Arial"/>
          <w:i/>
        </w:rPr>
        <w:t>P</w:t>
      </w:r>
      <w:r w:rsidR="00FE0EAC" w:rsidRPr="00E6086A">
        <w:rPr>
          <w:rFonts w:cs="Arial"/>
          <w:i/>
        </w:rPr>
        <w:t>Ó</w:t>
      </w:r>
      <w:r w:rsidR="00D43D2E" w:rsidRPr="00E6086A">
        <w:rPr>
          <w:rFonts w:cs="Arial"/>
          <w:i/>
        </w:rPr>
        <w:t>LIZA DE SERIEDAD DE LA OFERTA –</w:t>
      </w:r>
      <w:r w:rsidR="003B785E" w:rsidRPr="00E6086A">
        <w:rPr>
          <w:rFonts w:cs="Arial"/>
          <w:i/>
        </w:rPr>
        <w:t xml:space="preserve">otorgada </w:t>
      </w:r>
      <w:r w:rsidR="00D51C37" w:rsidRPr="00E6086A">
        <w:rPr>
          <w:rFonts w:cs="Arial"/>
          <w:i/>
        </w:rPr>
        <w:t xml:space="preserve">por </w:t>
      </w:r>
      <w:r w:rsidR="00E92C61" w:rsidRPr="00E6086A">
        <w:rPr>
          <w:rFonts w:cs="Arial"/>
          <w:i/>
        </w:rPr>
        <w:t xml:space="preserve">un valor menor del requerido </w:t>
      </w:r>
      <w:r w:rsidR="00D51C37" w:rsidRPr="00E6086A">
        <w:rPr>
          <w:rFonts w:cs="Arial"/>
          <w:i/>
        </w:rPr>
        <w:t xml:space="preserve">en el pliego de condiciones, </w:t>
      </w:r>
      <w:r w:rsidR="00FE0EAC" w:rsidRPr="00E6086A">
        <w:rPr>
          <w:rFonts w:cs="Arial"/>
          <w:i/>
        </w:rPr>
        <w:t xml:space="preserve">no afecta comparación de propuestas </w:t>
      </w:r>
      <w:r w:rsidR="00612BDD" w:rsidRPr="00E6086A">
        <w:rPr>
          <w:rFonts w:cs="Arial"/>
          <w:i/>
        </w:rPr>
        <w:t>/ REQUISITO</w:t>
      </w:r>
      <w:r w:rsidR="003B785E" w:rsidRPr="00E6086A">
        <w:rPr>
          <w:rFonts w:cs="Arial"/>
          <w:i/>
        </w:rPr>
        <w:t>S</w:t>
      </w:r>
      <w:r w:rsidR="00612BDD" w:rsidRPr="00E6086A">
        <w:rPr>
          <w:rFonts w:cs="Arial"/>
          <w:i/>
        </w:rPr>
        <w:t xml:space="preserve"> SUSTANCIALES - reiteración jurisprudencial – el rechazo de la propuesta solo puede estructurarse por falta de requisitos esenciales o sustanciales</w:t>
      </w:r>
      <w:r w:rsidR="003B785E" w:rsidRPr="00E6086A">
        <w:rPr>
          <w:rFonts w:cs="Arial"/>
          <w:i/>
        </w:rPr>
        <w:t xml:space="preserve"> </w:t>
      </w:r>
      <w:r w:rsidR="00FE0EAC" w:rsidRPr="00E6086A">
        <w:rPr>
          <w:rFonts w:cs="Arial"/>
          <w:i/>
        </w:rPr>
        <w:t>de la misma.</w:t>
      </w:r>
    </w:p>
    <w:p w:rsidR="001A6103" w:rsidRPr="00E6086A" w:rsidRDefault="001A6103" w:rsidP="009D3798">
      <w:pPr>
        <w:widowControl w:val="0"/>
        <w:autoSpaceDE w:val="0"/>
        <w:autoSpaceDN w:val="0"/>
        <w:adjustRightInd w:val="0"/>
        <w:spacing w:line="240" w:lineRule="auto"/>
        <w:rPr>
          <w:rFonts w:cs="Arial"/>
        </w:rPr>
      </w:pPr>
    </w:p>
    <w:p w:rsidR="00705AE5" w:rsidRPr="00E6086A" w:rsidRDefault="00705AE5" w:rsidP="009D3798">
      <w:pPr>
        <w:widowControl w:val="0"/>
        <w:autoSpaceDE w:val="0"/>
        <w:autoSpaceDN w:val="0"/>
        <w:adjustRightInd w:val="0"/>
        <w:rPr>
          <w:rFonts w:cs="Arial"/>
        </w:rPr>
      </w:pPr>
    </w:p>
    <w:p w:rsidR="00F21484" w:rsidRPr="00E6086A" w:rsidRDefault="00F21484" w:rsidP="009D3798">
      <w:pPr>
        <w:widowControl w:val="0"/>
        <w:autoSpaceDE w:val="0"/>
        <w:autoSpaceDN w:val="0"/>
        <w:adjustRightInd w:val="0"/>
        <w:rPr>
          <w:rFonts w:cs="Arial"/>
        </w:rPr>
      </w:pPr>
      <w:r w:rsidRPr="00E6086A">
        <w:rPr>
          <w:rFonts w:cs="Arial"/>
        </w:rPr>
        <w:t xml:space="preserve">Conoce la Sala </w:t>
      </w:r>
      <w:r w:rsidR="00C71714" w:rsidRPr="00E6086A">
        <w:rPr>
          <w:rFonts w:cs="Arial"/>
        </w:rPr>
        <w:t>el</w:t>
      </w:r>
      <w:r w:rsidR="00F53FED" w:rsidRPr="00E6086A">
        <w:rPr>
          <w:rFonts w:cs="Arial"/>
        </w:rPr>
        <w:t xml:space="preserve"> recurso de apelación presentado</w:t>
      </w:r>
      <w:r w:rsidR="00021148" w:rsidRPr="00E6086A">
        <w:rPr>
          <w:rFonts w:cs="Arial"/>
        </w:rPr>
        <w:t xml:space="preserve"> por la parte</w:t>
      </w:r>
      <w:r w:rsidR="00C71714" w:rsidRPr="00E6086A">
        <w:rPr>
          <w:rFonts w:cs="Arial"/>
        </w:rPr>
        <w:t xml:space="preserve"> </w:t>
      </w:r>
      <w:r w:rsidR="00A61F89" w:rsidRPr="00E6086A">
        <w:rPr>
          <w:rFonts w:cs="Arial"/>
        </w:rPr>
        <w:t>demandante</w:t>
      </w:r>
      <w:r w:rsidR="00C71714" w:rsidRPr="00E6086A">
        <w:rPr>
          <w:rFonts w:cs="Arial"/>
        </w:rPr>
        <w:t xml:space="preserve"> </w:t>
      </w:r>
      <w:r w:rsidR="00F53FED" w:rsidRPr="00E6086A">
        <w:rPr>
          <w:rFonts w:cs="Arial"/>
        </w:rPr>
        <w:t>contra</w:t>
      </w:r>
      <w:r w:rsidR="00E875E6" w:rsidRPr="00E6086A">
        <w:rPr>
          <w:rFonts w:cs="Arial"/>
        </w:rPr>
        <w:t xml:space="preserve"> la sentencia proferida por </w:t>
      </w:r>
      <w:r w:rsidR="007E4317" w:rsidRPr="00E6086A">
        <w:rPr>
          <w:rFonts w:cs="Arial"/>
        </w:rPr>
        <w:t>el Tribunal Administrativo de</w:t>
      </w:r>
      <w:r w:rsidR="00A61F89" w:rsidRPr="00E6086A">
        <w:rPr>
          <w:rFonts w:cs="Arial"/>
        </w:rPr>
        <w:t xml:space="preserve">l </w:t>
      </w:r>
      <w:r w:rsidR="00BE1F22" w:rsidRPr="00E6086A">
        <w:rPr>
          <w:rFonts w:cs="Arial"/>
        </w:rPr>
        <w:t>Antioquia</w:t>
      </w:r>
      <w:r w:rsidR="00346B74" w:rsidRPr="00E6086A">
        <w:rPr>
          <w:rFonts w:cs="Arial"/>
        </w:rPr>
        <w:t>,</w:t>
      </w:r>
      <w:r w:rsidR="005114BC" w:rsidRPr="00E6086A">
        <w:rPr>
          <w:rFonts w:cs="Arial"/>
        </w:rPr>
        <w:t xml:space="preserve"> </w:t>
      </w:r>
      <w:r w:rsidR="00E875E6" w:rsidRPr="00E6086A">
        <w:rPr>
          <w:rFonts w:cs="Arial"/>
        </w:rPr>
        <w:t xml:space="preserve">el </w:t>
      </w:r>
      <w:r w:rsidR="00A61F89" w:rsidRPr="00E6086A">
        <w:rPr>
          <w:rFonts w:cs="Arial"/>
        </w:rPr>
        <w:t>veintic</w:t>
      </w:r>
      <w:r w:rsidR="00BE1F22" w:rsidRPr="00E6086A">
        <w:rPr>
          <w:rFonts w:cs="Arial"/>
        </w:rPr>
        <w:t xml:space="preserve">inco </w:t>
      </w:r>
      <w:r w:rsidR="00A61F89" w:rsidRPr="00E6086A">
        <w:rPr>
          <w:rFonts w:cs="Arial"/>
        </w:rPr>
        <w:t>(2</w:t>
      </w:r>
      <w:r w:rsidR="00BE1F22" w:rsidRPr="00E6086A">
        <w:rPr>
          <w:rFonts w:cs="Arial"/>
        </w:rPr>
        <w:t>5</w:t>
      </w:r>
      <w:r w:rsidR="00A61F89" w:rsidRPr="00E6086A">
        <w:rPr>
          <w:rFonts w:cs="Arial"/>
        </w:rPr>
        <w:t xml:space="preserve">) de </w:t>
      </w:r>
      <w:r w:rsidR="00BE1F22" w:rsidRPr="00E6086A">
        <w:rPr>
          <w:rFonts w:cs="Arial"/>
        </w:rPr>
        <w:t xml:space="preserve">agosto </w:t>
      </w:r>
      <w:r w:rsidR="00C75319" w:rsidRPr="00E6086A">
        <w:rPr>
          <w:rFonts w:cs="Arial"/>
        </w:rPr>
        <w:t xml:space="preserve">de </w:t>
      </w:r>
      <w:r w:rsidR="00346B74" w:rsidRPr="00E6086A">
        <w:rPr>
          <w:rFonts w:cs="Arial"/>
        </w:rPr>
        <w:t xml:space="preserve">dos mil </w:t>
      </w:r>
      <w:r w:rsidR="00BE1F22" w:rsidRPr="00E6086A">
        <w:rPr>
          <w:rFonts w:cs="Arial"/>
        </w:rPr>
        <w:t xml:space="preserve">once </w:t>
      </w:r>
      <w:r w:rsidR="00BD3675" w:rsidRPr="00E6086A">
        <w:rPr>
          <w:rFonts w:cs="Arial"/>
        </w:rPr>
        <w:t>(</w:t>
      </w:r>
      <w:r w:rsidR="00312E2A" w:rsidRPr="00E6086A">
        <w:rPr>
          <w:rFonts w:cs="Arial"/>
        </w:rPr>
        <w:t>20</w:t>
      </w:r>
      <w:r w:rsidR="00A61F89" w:rsidRPr="00E6086A">
        <w:rPr>
          <w:rFonts w:cs="Arial"/>
        </w:rPr>
        <w:t>1</w:t>
      </w:r>
      <w:r w:rsidR="00BE1F22" w:rsidRPr="00E6086A">
        <w:rPr>
          <w:rFonts w:cs="Arial"/>
        </w:rPr>
        <w:t>1</w:t>
      </w:r>
      <w:r w:rsidR="00E875E6" w:rsidRPr="00E6086A">
        <w:rPr>
          <w:rFonts w:cs="Arial"/>
        </w:rPr>
        <w:t>)</w:t>
      </w:r>
      <w:r w:rsidRPr="00E6086A">
        <w:rPr>
          <w:rFonts w:cs="Arial"/>
        </w:rPr>
        <w:t>, mediante la cual se dispuso</w:t>
      </w:r>
      <w:r w:rsidR="002F3A67" w:rsidRPr="00E6086A">
        <w:rPr>
          <w:rFonts w:cs="Arial"/>
        </w:rPr>
        <w:t xml:space="preserve"> (se transcribe literal, incluso con posibles errores)</w:t>
      </w:r>
      <w:r w:rsidRPr="00E6086A">
        <w:rPr>
          <w:rFonts w:cs="Arial"/>
        </w:rPr>
        <w:t>:</w:t>
      </w:r>
    </w:p>
    <w:p w:rsidR="00C71714" w:rsidRPr="00E6086A" w:rsidRDefault="00C71714" w:rsidP="009D3798">
      <w:pPr>
        <w:pStyle w:val="Textoindependienteprimerasangra2"/>
        <w:ind w:left="0" w:firstLine="0"/>
        <w:jc w:val="left"/>
        <w:rPr>
          <w:rFonts w:cs="Arial"/>
          <w:b/>
          <w:i/>
        </w:rPr>
      </w:pPr>
    </w:p>
    <w:p w:rsidR="00A61F89" w:rsidRPr="00E6086A" w:rsidRDefault="00DC64DC" w:rsidP="009D3798">
      <w:pPr>
        <w:pStyle w:val="Textoindependienteprimerasangra2"/>
        <w:spacing w:line="276" w:lineRule="auto"/>
        <w:ind w:left="0" w:firstLine="0"/>
        <w:rPr>
          <w:rFonts w:cs="Arial"/>
          <w:b/>
          <w:i/>
        </w:rPr>
      </w:pPr>
      <w:r w:rsidRPr="00E6086A">
        <w:rPr>
          <w:rFonts w:cs="Arial"/>
        </w:rPr>
        <w:t>“</w:t>
      </w:r>
      <w:r w:rsidR="00073241" w:rsidRPr="00E6086A">
        <w:rPr>
          <w:rFonts w:cs="Arial"/>
          <w:b/>
          <w:i/>
        </w:rPr>
        <w:t>PRIMERO</w:t>
      </w:r>
      <w:r w:rsidR="00A61F89" w:rsidRPr="00E6086A">
        <w:rPr>
          <w:rFonts w:cs="Arial"/>
          <w:i/>
        </w:rPr>
        <w:t>:</w:t>
      </w:r>
      <w:r w:rsidR="00A61F89" w:rsidRPr="00E6086A">
        <w:rPr>
          <w:rFonts w:cs="Arial"/>
          <w:b/>
          <w:i/>
        </w:rPr>
        <w:t xml:space="preserve"> DE</w:t>
      </w:r>
      <w:r w:rsidR="00073241" w:rsidRPr="00E6086A">
        <w:rPr>
          <w:rFonts w:cs="Arial"/>
          <w:b/>
          <w:i/>
        </w:rPr>
        <w:t xml:space="preserve">CLÁRENSE </w:t>
      </w:r>
      <w:r w:rsidR="00073241" w:rsidRPr="00E6086A">
        <w:rPr>
          <w:rFonts w:cs="Arial"/>
          <w:i/>
        </w:rPr>
        <w:t xml:space="preserve">no probadas las excepciones a la demanda propuestas por el </w:t>
      </w:r>
      <w:r w:rsidR="00073241" w:rsidRPr="00E6086A">
        <w:rPr>
          <w:rFonts w:cs="Arial"/>
          <w:b/>
          <w:i/>
        </w:rPr>
        <w:t>MUNICIPIO DE MEDELLÍN.</w:t>
      </w:r>
    </w:p>
    <w:p w:rsidR="00073241" w:rsidRPr="00E6086A" w:rsidRDefault="00073241" w:rsidP="009D3798">
      <w:pPr>
        <w:pStyle w:val="Textoindependienteprimerasangra2"/>
        <w:spacing w:line="276" w:lineRule="auto"/>
        <w:ind w:left="0" w:firstLine="0"/>
        <w:rPr>
          <w:rFonts w:cs="Arial"/>
          <w:b/>
          <w:i/>
        </w:rPr>
      </w:pPr>
    </w:p>
    <w:p w:rsidR="00073241" w:rsidRPr="00E6086A" w:rsidRDefault="00073241" w:rsidP="009D3798">
      <w:pPr>
        <w:pStyle w:val="Textoindependienteprimerasangra2"/>
        <w:spacing w:line="276" w:lineRule="auto"/>
        <w:ind w:left="0" w:firstLine="0"/>
        <w:rPr>
          <w:rFonts w:cs="Arial"/>
          <w:i/>
        </w:rPr>
      </w:pPr>
      <w:r w:rsidRPr="00E6086A">
        <w:rPr>
          <w:rFonts w:cs="Arial"/>
          <w:b/>
          <w:i/>
        </w:rPr>
        <w:t>“SEGUNDO</w:t>
      </w:r>
      <w:r w:rsidRPr="00E6086A">
        <w:rPr>
          <w:rFonts w:cs="Arial"/>
          <w:i/>
        </w:rPr>
        <w:t>:</w:t>
      </w:r>
      <w:r w:rsidRPr="00E6086A">
        <w:rPr>
          <w:rFonts w:cs="Arial"/>
          <w:b/>
          <w:i/>
        </w:rPr>
        <w:t xml:space="preserve"> DECLÁRASE NO PROBADA </w:t>
      </w:r>
      <w:r w:rsidRPr="00E6086A">
        <w:rPr>
          <w:rFonts w:cs="Arial"/>
          <w:i/>
        </w:rPr>
        <w:t>la objeción por ERROR GRAVE al dictamen pericial rendido por el perito</w:t>
      </w:r>
      <w:r w:rsidRPr="00E6086A">
        <w:rPr>
          <w:rFonts w:cs="Arial"/>
          <w:b/>
          <w:i/>
        </w:rPr>
        <w:t xml:space="preserve"> </w:t>
      </w:r>
      <w:r w:rsidRPr="00E6086A">
        <w:rPr>
          <w:rFonts w:cs="Arial"/>
          <w:i/>
        </w:rPr>
        <w:t xml:space="preserve">GUSTAVO AMAYA YEPES, por las razones expuestas en la parte considerativa de esta providencia. </w:t>
      </w:r>
    </w:p>
    <w:p w:rsidR="00073241" w:rsidRPr="00E6086A" w:rsidRDefault="00073241" w:rsidP="009D3798">
      <w:pPr>
        <w:pStyle w:val="Textoindependienteprimerasangra2"/>
        <w:spacing w:line="276" w:lineRule="auto"/>
        <w:ind w:left="0" w:firstLine="0"/>
        <w:rPr>
          <w:rFonts w:cs="Arial"/>
          <w:b/>
          <w:i/>
        </w:rPr>
      </w:pPr>
    </w:p>
    <w:p w:rsidR="002F3A67" w:rsidRPr="00E6086A" w:rsidRDefault="00073241" w:rsidP="009D3798">
      <w:pPr>
        <w:pStyle w:val="Textoindependienteprimerasangra2"/>
        <w:spacing w:line="276" w:lineRule="auto"/>
        <w:ind w:left="0" w:firstLine="0"/>
        <w:rPr>
          <w:rFonts w:cs="Arial"/>
          <w:i/>
        </w:rPr>
      </w:pPr>
      <w:r w:rsidRPr="00E6086A">
        <w:rPr>
          <w:rFonts w:cs="Arial"/>
          <w:i/>
        </w:rPr>
        <w:lastRenderedPageBreak/>
        <w:t>“</w:t>
      </w:r>
      <w:r w:rsidRPr="00E6086A">
        <w:rPr>
          <w:rFonts w:cs="Arial"/>
          <w:b/>
          <w:i/>
        </w:rPr>
        <w:t>TERCERO</w:t>
      </w:r>
      <w:r w:rsidRPr="00E6086A">
        <w:rPr>
          <w:rFonts w:cs="Arial"/>
          <w:i/>
        </w:rPr>
        <w:t>:</w:t>
      </w:r>
      <w:r w:rsidRPr="00E6086A">
        <w:rPr>
          <w:rFonts w:cs="Arial"/>
          <w:b/>
          <w:i/>
        </w:rPr>
        <w:t xml:space="preserve"> N</w:t>
      </w:r>
      <w:r w:rsidR="002F3A67" w:rsidRPr="00E6086A">
        <w:rPr>
          <w:rFonts w:cs="Arial"/>
          <w:b/>
          <w:i/>
        </w:rPr>
        <w:t xml:space="preserve">IÉGANSE </w:t>
      </w:r>
      <w:r w:rsidR="002F3A67" w:rsidRPr="00E6086A">
        <w:rPr>
          <w:rFonts w:cs="Arial"/>
          <w:i/>
        </w:rPr>
        <w:t>la</w:t>
      </w:r>
      <w:r w:rsidR="009A37B9">
        <w:rPr>
          <w:rFonts w:cs="Arial"/>
          <w:i/>
        </w:rPr>
        <w:t>s</w:t>
      </w:r>
      <w:r w:rsidR="002F3A67" w:rsidRPr="00E6086A">
        <w:rPr>
          <w:rFonts w:cs="Arial"/>
          <w:i/>
        </w:rPr>
        <w:t xml:space="preserve"> súplicas de la demanda”. </w:t>
      </w:r>
    </w:p>
    <w:p w:rsidR="008E64E0" w:rsidRPr="00E6086A" w:rsidRDefault="008E64E0" w:rsidP="009D3798">
      <w:pPr>
        <w:pStyle w:val="Textoindependienteprimerasangra2"/>
        <w:spacing w:line="276" w:lineRule="auto"/>
        <w:ind w:left="0" w:firstLine="0"/>
        <w:rPr>
          <w:rFonts w:cs="Arial"/>
          <w:i/>
        </w:rPr>
      </w:pPr>
    </w:p>
    <w:p w:rsidR="008E64E0" w:rsidRPr="00E6086A" w:rsidRDefault="008E64E0" w:rsidP="009D3798">
      <w:pPr>
        <w:pStyle w:val="Textoindependienteprimerasangra2"/>
        <w:spacing w:line="276" w:lineRule="auto"/>
        <w:ind w:left="0" w:firstLine="0"/>
        <w:rPr>
          <w:rFonts w:cs="Arial"/>
          <w:i/>
        </w:rPr>
      </w:pPr>
    </w:p>
    <w:p w:rsidR="00F773C8" w:rsidRPr="00E6086A" w:rsidRDefault="00F773C8" w:rsidP="009D3798">
      <w:pPr>
        <w:pStyle w:val="Textoindependienteprimerasangra2"/>
        <w:spacing w:line="276" w:lineRule="auto"/>
        <w:ind w:left="0" w:firstLine="0"/>
        <w:rPr>
          <w:rFonts w:cs="Arial"/>
          <w:i/>
        </w:rPr>
      </w:pPr>
    </w:p>
    <w:p w:rsidR="00F21484" w:rsidRPr="00E6086A" w:rsidRDefault="009334DE" w:rsidP="009D3798">
      <w:pPr>
        <w:pStyle w:val="Lista"/>
        <w:ind w:left="0"/>
        <w:jc w:val="center"/>
        <w:rPr>
          <w:rFonts w:ascii="Arial" w:hAnsi="Arial" w:cs="Arial"/>
          <w:b/>
        </w:rPr>
      </w:pPr>
      <w:r w:rsidRPr="00E6086A">
        <w:rPr>
          <w:rFonts w:ascii="Arial" w:hAnsi="Arial" w:cs="Arial"/>
          <w:b/>
        </w:rPr>
        <w:t>I</w:t>
      </w:r>
      <w:r w:rsidR="00F21484" w:rsidRPr="00E6086A">
        <w:rPr>
          <w:rFonts w:ascii="Arial" w:hAnsi="Arial" w:cs="Arial"/>
          <w:b/>
        </w:rPr>
        <w:t>.</w:t>
      </w:r>
      <w:r w:rsidR="00E759BE" w:rsidRPr="00E6086A">
        <w:rPr>
          <w:rFonts w:ascii="Arial" w:hAnsi="Arial" w:cs="Arial"/>
          <w:b/>
        </w:rPr>
        <w:tab/>
      </w:r>
      <w:r w:rsidR="00F21484" w:rsidRPr="00E6086A">
        <w:rPr>
          <w:rFonts w:ascii="Arial" w:hAnsi="Arial" w:cs="Arial"/>
          <w:b/>
        </w:rPr>
        <w:t>A N T E C E D E N T E S</w:t>
      </w:r>
    </w:p>
    <w:p w:rsidR="00F00A7F" w:rsidRPr="00E6086A" w:rsidRDefault="00F00A7F" w:rsidP="009D3798">
      <w:pPr>
        <w:rPr>
          <w:rFonts w:cs="Arial"/>
          <w:b/>
        </w:rPr>
      </w:pPr>
    </w:p>
    <w:p w:rsidR="00F21484" w:rsidRPr="00E6086A" w:rsidRDefault="00F21484" w:rsidP="009D3798">
      <w:pPr>
        <w:pStyle w:val="Lista2"/>
        <w:ind w:left="0" w:firstLine="0"/>
        <w:rPr>
          <w:rFonts w:cs="Arial"/>
          <w:b/>
        </w:rPr>
      </w:pPr>
      <w:r w:rsidRPr="00E6086A">
        <w:rPr>
          <w:rFonts w:cs="Arial"/>
          <w:b/>
        </w:rPr>
        <w:t>1.</w:t>
      </w:r>
      <w:r w:rsidR="009D0836" w:rsidRPr="00E6086A">
        <w:rPr>
          <w:rFonts w:cs="Arial"/>
          <w:b/>
        </w:rPr>
        <w:t xml:space="preserve"> </w:t>
      </w:r>
      <w:r w:rsidRPr="00E6086A">
        <w:rPr>
          <w:rFonts w:cs="Arial"/>
          <w:b/>
        </w:rPr>
        <w:t>La demanda</w:t>
      </w:r>
    </w:p>
    <w:p w:rsidR="00F21484" w:rsidRPr="00E6086A" w:rsidRDefault="00F21484" w:rsidP="009D3798">
      <w:pPr>
        <w:widowControl w:val="0"/>
        <w:autoSpaceDE w:val="0"/>
        <w:autoSpaceDN w:val="0"/>
        <w:adjustRightInd w:val="0"/>
        <w:rPr>
          <w:rFonts w:cs="Arial"/>
        </w:rPr>
      </w:pPr>
    </w:p>
    <w:p w:rsidR="003076F9" w:rsidRPr="00E6086A" w:rsidRDefault="00F21484" w:rsidP="009D3798">
      <w:pPr>
        <w:pStyle w:val="Continuarlista2"/>
        <w:spacing w:after="0"/>
        <w:ind w:left="0"/>
        <w:rPr>
          <w:rFonts w:cs="Arial"/>
        </w:rPr>
      </w:pPr>
      <w:r w:rsidRPr="00E6086A">
        <w:rPr>
          <w:rFonts w:cs="Arial"/>
        </w:rPr>
        <w:t>M</w:t>
      </w:r>
      <w:r w:rsidR="00EA0EB1" w:rsidRPr="00E6086A">
        <w:rPr>
          <w:rFonts w:cs="Arial"/>
        </w:rPr>
        <w:t>ediante demanda presentada</w:t>
      </w:r>
      <w:r w:rsidR="00AA67A0" w:rsidRPr="00E6086A">
        <w:rPr>
          <w:rFonts w:cs="Arial"/>
        </w:rPr>
        <w:t xml:space="preserve"> </w:t>
      </w:r>
      <w:r w:rsidR="00FD5088" w:rsidRPr="00E6086A">
        <w:rPr>
          <w:rFonts w:cs="Arial"/>
        </w:rPr>
        <w:t xml:space="preserve">el </w:t>
      </w:r>
      <w:r w:rsidR="009D5A51" w:rsidRPr="00E6086A">
        <w:rPr>
          <w:rFonts w:cs="Arial"/>
        </w:rPr>
        <w:t xml:space="preserve">3 </w:t>
      </w:r>
      <w:r w:rsidR="00903072" w:rsidRPr="00E6086A">
        <w:rPr>
          <w:rFonts w:cs="Arial"/>
        </w:rPr>
        <w:t xml:space="preserve">de </w:t>
      </w:r>
      <w:r w:rsidR="009D5A51" w:rsidRPr="00E6086A">
        <w:rPr>
          <w:rFonts w:cs="Arial"/>
        </w:rPr>
        <w:t xml:space="preserve">febrero </w:t>
      </w:r>
      <w:r w:rsidR="00903072" w:rsidRPr="00E6086A">
        <w:rPr>
          <w:rFonts w:cs="Arial"/>
        </w:rPr>
        <w:t>de 200</w:t>
      </w:r>
      <w:r w:rsidR="009D5A51" w:rsidRPr="00E6086A">
        <w:rPr>
          <w:rFonts w:cs="Arial"/>
        </w:rPr>
        <w:t>0</w:t>
      </w:r>
      <w:r w:rsidR="00903072" w:rsidRPr="00E6086A">
        <w:rPr>
          <w:rFonts w:cs="Arial"/>
        </w:rPr>
        <w:t>, la socieda</w:t>
      </w:r>
      <w:r w:rsidR="00C92B8D" w:rsidRPr="00E6086A">
        <w:rPr>
          <w:rFonts w:cs="Arial"/>
        </w:rPr>
        <w:t>d</w:t>
      </w:r>
      <w:r w:rsidR="009D5A51" w:rsidRPr="00E6086A">
        <w:rPr>
          <w:rFonts w:cs="Arial"/>
        </w:rPr>
        <w:t xml:space="preserve"> P</w:t>
      </w:r>
      <w:r w:rsidR="00C92B8D" w:rsidRPr="00E6086A">
        <w:rPr>
          <w:rFonts w:cs="Arial"/>
        </w:rPr>
        <w:t>É</w:t>
      </w:r>
      <w:r w:rsidR="009D5A51" w:rsidRPr="00E6086A">
        <w:rPr>
          <w:rFonts w:cs="Arial"/>
        </w:rPr>
        <w:t>REZ Y CIA LTDA</w:t>
      </w:r>
      <w:r w:rsidR="00C92B8D" w:rsidRPr="00E6086A">
        <w:rPr>
          <w:rFonts w:cs="Arial"/>
        </w:rPr>
        <w:t xml:space="preserve">, en </w:t>
      </w:r>
      <w:r w:rsidR="009D5A51" w:rsidRPr="00E6086A">
        <w:rPr>
          <w:rFonts w:cs="Arial"/>
        </w:rPr>
        <w:t xml:space="preserve">su propio nombre y como representante de la </w:t>
      </w:r>
      <w:r w:rsidR="00D43D2E" w:rsidRPr="00E6086A">
        <w:rPr>
          <w:rFonts w:cs="Arial"/>
        </w:rPr>
        <w:t xml:space="preserve">UNIÓN TEMPORAL </w:t>
      </w:r>
      <w:r w:rsidR="009D5A51" w:rsidRPr="00E6086A">
        <w:rPr>
          <w:rFonts w:cs="Arial"/>
        </w:rPr>
        <w:t>P</w:t>
      </w:r>
      <w:r w:rsidR="00057FB1" w:rsidRPr="00E6086A">
        <w:rPr>
          <w:rFonts w:cs="Arial"/>
        </w:rPr>
        <w:t>É</w:t>
      </w:r>
      <w:r w:rsidR="009D5A51" w:rsidRPr="00E6086A">
        <w:rPr>
          <w:rFonts w:cs="Arial"/>
        </w:rPr>
        <w:t xml:space="preserve">REZ Y CIA LTDA – REDYCO LTDA </w:t>
      </w:r>
      <w:r w:rsidR="00C92B8D" w:rsidRPr="00E6086A">
        <w:rPr>
          <w:rFonts w:cs="Arial"/>
        </w:rPr>
        <w:t>y la sociedad REDYCO LTDA</w:t>
      </w:r>
      <w:r w:rsidR="007045FC" w:rsidRPr="00E6086A">
        <w:rPr>
          <w:rStyle w:val="Refdenotaalpie"/>
          <w:rFonts w:cs="Arial"/>
        </w:rPr>
        <w:footnoteReference w:id="1"/>
      </w:r>
      <w:r w:rsidR="00903072" w:rsidRPr="00E6086A">
        <w:rPr>
          <w:rFonts w:cs="Arial"/>
        </w:rPr>
        <w:t xml:space="preserve"> </w:t>
      </w:r>
      <w:r w:rsidR="00057FB1" w:rsidRPr="00E6086A">
        <w:rPr>
          <w:rFonts w:cs="Arial"/>
        </w:rPr>
        <w:t xml:space="preserve">en su propio nombre, obrando </w:t>
      </w:r>
      <w:r w:rsidR="00F5352D" w:rsidRPr="00E6086A">
        <w:rPr>
          <w:rFonts w:cs="Arial"/>
        </w:rPr>
        <w:t xml:space="preserve">en ejercicio </w:t>
      </w:r>
      <w:r w:rsidR="00FD5088" w:rsidRPr="00E6086A">
        <w:rPr>
          <w:rFonts w:cs="Arial"/>
        </w:rPr>
        <w:t xml:space="preserve">de la acción </w:t>
      </w:r>
      <w:r w:rsidR="003B600F" w:rsidRPr="00E6086A">
        <w:rPr>
          <w:rFonts w:cs="Arial"/>
        </w:rPr>
        <w:t>de nulidad y restablecimiento del derecho</w:t>
      </w:r>
      <w:r w:rsidR="007A0264" w:rsidRPr="00E6086A">
        <w:rPr>
          <w:rFonts w:cs="Arial"/>
        </w:rPr>
        <w:t xml:space="preserve">, </w:t>
      </w:r>
      <w:r w:rsidRPr="00E6086A">
        <w:rPr>
          <w:rFonts w:cs="Arial"/>
        </w:rPr>
        <w:t>solicit</w:t>
      </w:r>
      <w:r w:rsidR="003B600F" w:rsidRPr="00E6086A">
        <w:rPr>
          <w:rFonts w:cs="Arial"/>
        </w:rPr>
        <w:t xml:space="preserve">aron </w:t>
      </w:r>
      <w:r w:rsidRPr="00E6086A">
        <w:rPr>
          <w:rFonts w:cs="Arial"/>
        </w:rPr>
        <w:t>las siguientes declaraciones y condenas</w:t>
      </w:r>
      <w:r w:rsidR="00F5352D" w:rsidRPr="00E6086A">
        <w:rPr>
          <w:rFonts w:cs="Arial"/>
        </w:rPr>
        <w:t xml:space="preserve"> contra</w:t>
      </w:r>
      <w:r w:rsidR="004B723D" w:rsidRPr="00E6086A">
        <w:rPr>
          <w:rFonts w:cs="Arial"/>
        </w:rPr>
        <w:t xml:space="preserve"> </w:t>
      </w:r>
      <w:r w:rsidR="00487A67" w:rsidRPr="00E6086A">
        <w:rPr>
          <w:rFonts w:cs="Arial"/>
        </w:rPr>
        <w:t xml:space="preserve">el </w:t>
      </w:r>
      <w:r w:rsidR="003B600F" w:rsidRPr="00E6086A">
        <w:rPr>
          <w:rFonts w:cs="Arial"/>
        </w:rPr>
        <w:t xml:space="preserve">municipio </w:t>
      </w:r>
      <w:r w:rsidR="00A10D20" w:rsidRPr="00E6086A">
        <w:rPr>
          <w:rFonts w:cs="Arial"/>
        </w:rPr>
        <w:t>d</w:t>
      </w:r>
      <w:r w:rsidR="00487A67" w:rsidRPr="00E6086A">
        <w:rPr>
          <w:rFonts w:cs="Arial"/>
        </w:rPr>
        <w:t>e</w:t>
      </w:r>
      <w:r w:rsidR="003B600F" w:rsidRPr="00E6086A">
        <w:rPr>
          <w:rFonts w:cs="Arial"/>
        </w:rPr>
        <w:t xml:space="preserve"> Medellín (se transcribe literal</w:t>
      </w:r>
      <w:r w:rsidR="0047313F" w:rsidRPr="00E6086A">
        <w:rPr>
          <w:rFonts w:cs="Arial"/>
        </w:rPr>
        <w:t xml:space="preserve"> </w:t>
      </w:r>
      <w:r w:rsidR="00404C7C" w:rsidRPr="00E6086A">
        <w:rPr>
          <w:rFonts w:cs="Arial"/>
        </w:rPr>
        <w:t>incluso con posibles errores)</w:t>
      </w:r>
      <w:r w:rsidR="0047313F" w:rsidRPr="00E6086A">
        <w:rPr>
          <w:rFonts w:cs="Arial"/>
        </w:rPr>
        <w:t xml:space="preserve">: </w:t>
      </w:r>
    </w:p>
    <w:p w:rsidR="00935F70" w:rsidRPr="00E6086A" w:rsidRDefault="00935F70" w:rsidP="009D3798">
      <w:pPr>
        <w:pStyle w:val="Continuarlista2"/>
        <w:spacing w:after="0"/>
        <w:ind w:left="0"/>
        <w:rPr>
          <w:rFonts w:cs="Arial"/>
          <w:lang w:val="es-MX"/>
        </w:rPr>
      </w:pPr>
    </w:p>
    <w:p w:rsidR="001A3B54" w:rsidRPr="00E6086A" w:rsidRDefault="00404C7C" w:rsidP="009D3798">
      <w:pPr>
        <w:pStyle w:val="Continuarlista2"/>
        <w:spacing w:after="0" w:line="276" w:lineRule="auto"/>
        <w:ind w:left="0"/>
        <w:rPr>
          <w:rFonts w:cs="Arial"/>
          <w:i/>
          <w:lang w:val="es-MX"/>
        </w:rPr>
      </w:pPr>
      <w:r w:rsidRPr="00E6086A">
        <w:rPr>
          <w:rFonts w:cs="Arial"/>
          <w:i/>
          <w:lang w:val="es-MX"/>
        </w:rPr>
        <w:t xml:space="preserve">“PRIMERA: </w:t>
      </w:r>
      <w:r w:rsidR="00787F19" w:rsidRPr="00E6086A">
        <w:rPr>
          <w:rFonts w:cs="Arial"/>
          <w:i/>
          <w:lang w:val="es-MX"/>
        </w:rPr>
        <w:t>Que se declare la nulidad de la resolución No. 075 del 23 de Diciembre de 1999, por medio de la cual se adjudica un contrato al Consorcio JOR</w:t>
      </w:r>
      <w:r w:rsidR="00856492" w:rsidRPr="00E6086A">
        <w:rPr>
          <w:rFonts w:cs="Arial"/>
          <w:i/>
          <w:lang w:val="es-MX"/>
        </w:rPr>
        <w:t>G</w:t>
      </w:r>
      <w:r w:rsidR="00787F19" w:rsidRPr="00E6086A">
        <w:rPr>
          <w:rFonts w:cs="Arial"/>
          <w:i/>
          <w:lang w:val="es-MX"/>
        </w:rPr>
        <w:t>E MONTAÑEZ Y CIA LTDA</w:t>
      </w:r>
      <w:r w:rsidR="00D43D2E" w:rsidRPr="00E6086A">
        <w:rPr>
          <w:rFonts w:cs="Arial"/>
          <w:i/>
          <w:lang w:val="es-MX"/>
        </w:rPr>
        <w:t xml:space="preserve"> </w:t>
      </w:r>
      <w:r w:rsidR="00787F19" w:rsidRPr="00E6086A">
        <w:rPr>
          <w:rFonts w:cs="Arial"/>
          <w:i/>
          <w:lang w:val="es-MX"/>
        </w:rPr>
        <w:t>-</w:t>
      </w:r>
      <w:r w:rsidR="00D43D2E" w:rsidRPr="00E6086A">
        <w:rPr>
          <w:rFonts w:cs="Arial"/>
          <w:i/>
          <w:lang w:val="es-MX"/>
        </w:rPr>
        <w:t xml:space="preserve"> </w:t>
      </w:r>
      <w:r w:rsidR="00787F19" w:rsidRPr="00E6086A">
        <w:rPr>
          <w:rFonts w:cs="Arial"/>
          <w:i/>
          <w:lang w:val="es-MX"/>
        </w:rPr>
        <w:t>ALVARO RODRÍ</w:t>
      </w:r>
      <w:r w:rsidR="00856492" w:rsidRPr="00E6086A">
        <w:rPr>
          <w:rFonts w:cs="Arial"/>
          <w:i/>
          <w:lang w:val="es-MX"/>
        </w:rPr>
        <w:t>G</w:t>
      </w:r>
      <w:r w:rsidR="00787F19" w:rsidRPr="00E6086A">
        <w:rPr>
          <w:rFonts w:cs="Arial"/>
          <w:i/>
          <w:lang w:val="es-MX"/>
        </w:rPr>
        <w:t>UEZ BERM</w:t>
      </w:r>
      <w:r w:rsidR="00856492" w:rsidRPr="00E6086A">
        <w:rPr>
          <w:rFonts w:cs="Arial"/>
          <w:i/>
          <w:lang w:val="es-MX"/>
        </w:rPr>
        <w:t>Ú</w:t>
      </w:r>
      <w:r w:rsidR="00787F19" w:rsidRPr="00E6086A">
        <w:rPr>
          <w:rFonts w:cs="Arial"/>
          <w:i/>
          <w:lang w:val="es-MX"/>
        </w:rPr>
        <w:t>DEZ, para la terminación de la estructura, construcción de la cubierta, cerrajería, mampostería</w:t>
      </w:r>
      <w:r w:rsidR="001A3B54" w:rsidRPr="00E6086A">
        <w:rPr>
          <w:rFonts w:cs="Arial"/>
          <w:i/>
          <w:lang w:val="es-MX"/>
        </w:rPr>
        <w:t xml:space="preserve">, redes de servicio, obras de urbanismo y complementarias en el Colegio Blanquizal, Calle 5 F por Carreras 92 EE y 93 de Medellín, por un valor de UN MIL </w:t>
      </w:r>
      <w:r w:rsidR="003B785E" w:rsidRPr="00E6086A">
        <w:rPr>
          <w:rFonts w:cs="Arial"/>
          <w:i/>
          <w:lang w:val="es-MX"/>
        </w:rPr>
        <w:t xml:space="preserve">TRES </w:t>
      </w:r>
      <w:r w:rsidR="001A3B54" w:rsidRPr="00E6086A">
        <w:rPr>
          <w:rFonts w:cs="Arial"/>
          <w:i/>
          <w:lang w:val="es-MX"/>
        </w:rPr>
        <w:t>MILLONES UN PESO ($1.003’000.001,00)</w:t>
      </w:r>
      <w:r w:rsidR="003B785E" w:rsidRPr="00E6086A">
        <w:rPr>
          <w:rFonts w:cs="Arial"/>
          <w:i/>
          <w:lang w:val="es-MX"/>
        </w:rPr>
        <w:t>,</w:t>
      </w:r>
      <w:r w:rsidR="001A3B54" w:rsidRPr="00E6086A">
        <w:rPr>
          <w:rFonts w:cs="Arial"/>
          <w:i/>
          <w:lang w:val="es-MX"/>
        </w:rPr>
        <w:t xml:space="preserve"> y un plazo para su ejecución de doscientos cuarenta (240) días solares.</w:t>
      </w:r>
    </w:p>
    <w:p w:rsidR="001A3B54" w:rsidRPr="00E6086A" w:rsidRDefault="001A3B54" w:rsidP="009D3798">
      <w:pPr>
        <w:pStyle w:val="Continuarlista2"/>
        <w:spacing w:after="0" w:line="276" w:lineRule="auto"/>
        <w:ind w:left="0"/>
        <w:rPr>
          <w:rFonts w:cs="Arial"/>
          <w:i/>
          <w:lang w:val="es-MX"/>
        </w:rPr>
      </w:pPr>
    </w:p>
    <w:p w:rsidR="001B38EA" w:rsidRPr="00E6086A" w:rsidRDefault="001A3B54" w:rsidP="009D3798">
      <w:pPr>
        <w:pStyle w:val="Continuarlista2"/>
        <w:spacing w:after="0" w:line="276" w:lineRule="auto"/>
        <w:ind w:left="0"/>
        <w:rPr>
          <w:rFonts w:cs="Arial"/>
          <w:i/>
          <w:lang w:val="es-MX"/>
        </w:rPr>
      </w:pPr>
      <w:r w:rsidRPr="00E6086A">
        <w:rPr>
          <w:rFonts w:cs="Arial"/>
          <w:i/>
          <w:lang w:val="es-MX"/>
        </w:rPr>
        <w:t xml:space="preserve">“SEGUNDA: Que en consecuencia se restablezca el Derecho de las Sociedades Demandantes, y se condene al Municipio de Medellín </w:t>
      </w:r>
      <w:r w:rsidR="00574B4E" w:rsidRPr="00E6086A">
        <w:rPr>
          <w:rFonts w:cs="Arial"/>
          <w:i/>
          <w:lang w:val="es-MX"/>
        </w:rPr>
        <w:t>A</w:t>
      </w:r>
      <w:r w:rsidRPr="00E6086A">
        <w:rPr>
          <w:rFonts w:cs="Arial"/>
          <w:i/>
          <w:lang w:val="es-MX"/>
        </w:rPr>
        <w:t xml:space="preserve"> PAGAR AL LICITANTE PÉREZ C. Y CÍA LTDA </w:t>
      </w:r>
      <w:r w:rsidR="00B97F98" w:rsidRPr="00E6086A">
        <w:rPr>
          <w:rFonts w:cs="Arial"/>
          <w:i/>
          <w:lang w:val="es-MX"/>
        </w:rPr>
        <w:t>y REYDCO LTDA, la suma equivalente a TRESCIENTOS DIEZ Y SEIS MILLONES OCHOCIENTOS CUARENTA Y TRES MIL OCHOCIENTOS TREINTA Y UN PESOS ($316’843.831,00), correspondiente a las utilidades que hubiera obtenido dicho licitante</w:t>
      </w:r>
      <w:r w:rsidR="001B38EA" w:rsidRPr="00E6086A">
        <w:rPr>
          <w:rFonts w:cs="Arial"/>
          <w:i/>
          <w:lang w:val="es-MX"/>
        </w:rPr>
        <w:t xml:space="preserve"> si se le hubiera adjudicado el contrato </w:t>
      </w:r>
      <w:r w:rsidR="003B785E" w:rsidRPr="00E6086A">
        <w:rPr>
          <w:rFonts w:cs="Arial"/>
          <w:i/>
          <w:lang w:val="es-MX"/>
        </w:rPr>
        <w:t xml:space="preserve">de </w:t>
      </w:r>
      <w:r w:rsidR="001B38EA" w:rsidRPr="00E6086A">
        <w:rPr>
          <w:rFonts w:cs="Arial"/>
          <w:i/>
          <w:lang w:val="es-MX"/>
        </w:rPr>
        <w:t>terminación de la estructura, construcción de la cubierta, cerrajería, mampostería, redes de servicio, obras de urbanismo y complementarias en el Colegio Blanquizal, Calle 5 F por Carreras 92 EE y 93 de Medellín.</w:t>
      </w:r>
    </w:p>
    <w:p w:rsidR="001B38EA" w:rsidRPr="00E6086A" w:rsidRDefault="001B38EA" w:rsidP="009D3798">
      <w:pPr>
        <w:pStyle w:val="Continuarlista2"/>
        <w:spacing w:after="0" w:line="276" w:lineRule="auto"/>
        <w:ind w:left="0"/>
        <w:rPr>
          <w:rFonts w:cs="Arial"/>
          <w:i/>
          <w:lang w:val="es-MX"/>
        </w:rPr>
      </w:pPr>
    </w:p>
    <w:p w:rsidR="001B38EA" w:rsidRPr="00E6086A" w:rsidRDefault="001B38EA" w:rsidP="009D3798">
      <w:pPr>
        <w:pStyle w:val="Continuarlista2"/>
        <w:spacing w:after="0" w:line="276" w:lineRule="auto"/>
        <w:ind w:left="0"/>
        <w:rPr>
          <w:rFonts w:cs="Arial"/>
          <w:i/>
          <w:lang w:val="es-MX"/>
        </w:rPr>
      </w:pPr>
      <w:r w:rsidRPr="00E6086A">
        <w:rPr>
          <w:rFonts w:cs="Arial"/>
          <w:i/>
          <w:lang w:val="es-MX"/>
        </w:rPr>
        <w:t>“TERCERA</w:t>
      </w:r>
      <w:r w:rsidR="00E453C3" w:rsidRPr="00E6086A">
        <w:rPr>
          <w:rFonts w:cs="Arial"/>
          <w:i/>
          <w:lang w:val="es-MX"/>
        </w:rPr>
        <w:t>: Q</w:t>
      </w:r>
      <w:r w:rsidRPr="00E6086A">
        <w:rPr>
          <w:rFonts w:cs="Arial"/>
          <w:i/>
          <w:lang w:val="es-MX"/>
        </w:rPr>
        <w:t>ue se condene al municipio de Medellín a reconocer sobre la suma relacionada en la pretensión anterior los intereses moratorios comerciales correspondientes y subsidiariamente los intereses civiles más la corrección monetaria.</w:t>
      </w:r>
    </w:p>
    <w:p w:rsidR="001B38EA" w:rsidRPr="00E6086A" w:rsidRDefault="001B38EA" w:rsidP="009D3798">
      <w:pPr>
        <w:pStyle w:val="Continuarlista2"/>
        <w:spacing w:after="0" w:line="276" w:lineRule="auto"/>
        <w:ind w:left="0"/>
        <w:rPr>
          <w:rFonts w:cs="Arial"/>
          <w:i/>
          <w:lang w:val="es-MX"/>
        </w:rPr>
      </w:pPr>
    </w:p>
    <w:p w:rsidR="00935F70" w:rsidRPr="00E6086A" w:rsidRDefault="001B38EA" w:rsidP="009D3798">
      <w:pPr>
        <w:pStyle w:val="Continuarlista2"/>
        <w:spacing w:after="0" w:line="276" w:lineRule="auto"/>
        <w:ind w:left="0"/>
        <w:rPr>
          <w:rFonts w:cs="Arial"/>
          <w:i/>
          <w:lang w:val="es-MX"/>
        </w:rPr>
      </w:pPr>
      <w:r w:rsidRPr="00E6086A">
        <w:rPr>
          <w:rFonts w:cs="Arial"/>
          <w:i/>
          <w:lang w:val="es-MX"/>
        </w:rPr>
        <w:t>“CUARTA</w:t>
      </w:r>
      <w:r w:rsidR="004C596D" w:rsidRPr="00E6086A">
        <w:rPr>
          <w:rFonts w:cs="Arial"/>
          <w:i/>
          <w:lang w:val="es-MX"/>
        </w:rPr>
        <w:t xml:space="preserve">: Que se condene </w:t>
      </w:r>
      <w:r w:rsidR="00935F70" w:rsidRPr="00E6086A">
        <w:rPr>
          <w:rFonts w:cs="Arial"/>
          <w:i/>
          <w:lang w:val="es-MX"/>
        </w:rPr>
        <w:t>a</w:t>
      </w:r>
      <w:r w:rsidR="004C596D" w:rsidRPr="00E6086A">
        <w:rPr>
          <w:rFonts w:cs="Arial"/>
          <w:i/>
          <w:lang w:val="es-MX"/>
        </w:rPr>
        <w:t>l Municipio de Medellín a pagar cualquier otra suma que resulte</w:t>
      </w:r>
      <w:r w:rsidRPr="00E6086A">
        <w:rPr>
          <w:rFonts w:cs="Arial"/>
          <w:i/>
          <w:lang w:val="es-MX"/>
        </w:rPr>
        <w:t xml:space="preserve"> </w:t>
      </w:r>
      <w:r w:rsidR="004C596D" w:rsidRPr="00E6086A">
        <w:rPr>
          <w:rFonts w:cs="Arial"/>
          <w:i/>
          <w:lang w:val="es-MX"/>
        </w:rPr>
        <w:t xml:space="preserve">probada en el proceso y que constituya un perjuicio derivado de la no </w:t>
      </w:r>
      <w:r w:rsidR="004C596D" w:rsidRPr="00E6086A">
        <w:rPr>
          <w:rFonts w:cs="Arial"/>
          <w:i/>
          <w:lang w:val="es-MX"/>
        </w:rPr>
        <w:lastRenderedPageBreak/>
        <w:t>adjudicación del contrato mencionado para la terminación de la estructura</w:t>
      </w:r>
      <w:r w:rsidRPr="00E6086A">
        <w:rPr>
          <w:rFonts w:cs="Arial"/>
          <w:i/>
          <w:lang w:val="es-MX"/>
        </w:rPr>
        <w:t xml:space="preserve"> </w:t>
      </w:r>
      <w:r w:rsidR="00935F70" w:rsidRPr="00E6086A">
        <w:rPr>
          <w:rFonts w:cs="Arial"/>
          <w:i/>
          <w:lang w:val="es-MX"/>
        </w:rPr>
        <w:t>construcción de la cubierta, cerrajería, mampostería, redes de servicio, obras de urbanismo y complementarias en el Colegio Blanquizal, Calle 5 F por Carreras 92 EE y 93 de Medellín.</w:t>
      </w:r>
    </w:p>
    <w:p w:rsidR="00935F70" w:rsidRPr="00E6086A" w:rsidRDefault="00935F70" w:rsidP="009D3798">
      <w:pPr>
        <w:pStyle w:val="Continuarlista2"/>
        <w:spacing w:after="0" w:line="276" w:lineRule="auto"/>
        <w:ind w:left="0"/>
        <w:rPr>
          <w:rFonts w:cs="Arial"/>
          <w:i/>
          <w:lang w:val="es-MX"/>
        </w:rPr>
      </w:pPr>
    </w:p>
    <w:p w:rsidR="00935F70" w:rsidRPr="00E6086A" w:rsidRDefault="00935F70" w:rsidP="009D3798">
      <w:pPr>
        <w:pStyle w:val="Continuarlista2"/>
        <w:spacing w:after="0" w:line="276" w:lineRule="auto"/>
        <w:ind w:left="0"/>
        <w:rPr>
          <w:rFonts w:cs="Arial"/>
          <w:i/>
          <w:lang w:val="es-MX"/>
        </w:rPr>
      </w:pPr>
      <w:r w:rsidRPr="00E6086A">
        <w:rPr>
          <w:rFonts w:cs="Arial"/>
          <w:lang w:val="es-MX"/>
        </w:rPr>
        <w:t>“</w:t>
      </w:r>
      <w:r w:rsidRPr="00E6086A">
        <w:rPr>
          <w:rFonts w:cs="Arial"/>
          <w:i/>
          <w:lang w:val="es-MX"/>
        </w:rPr>
        <w:t>QUINTA: Que se condene en costas al municipio de Medellín.</w:t>
      </w:r>
    </w:p>
    <w:p w:rsidR="00935F70" w:rsidRPr="00E6086A" w:rsidRDefault="00935F70" w:rsidP="009D3798">
      <w:pPr>
        <w:pStyle w:val="Continuarlista2"/>
        <w:spacing w:after="0" w:line="276" w:lineRule="auto"/>
        <w:ind w:left="0"/>
        <w:rPr>
          <w:rFonts w:cs="Arial"/>
          <w:i/>
          <w:lang w:val="es-MX"/>
        </w:rPr>
      </w:pPr>
    </w:p>
    <w:p w:rsidR="00935F70" w:rsidRPr="00E6086A" w:rsidRDefault="00935F70" w:rsidP="009D3798">
      <w:pPr>
        <w:pStyle w:val="Continuarlista2"/>
        <w:spacing w:after="0" w:line="276" w:lineRule="auto"/>
        <w:ind w:left="0"/>
        <w:rPr>
          <w:rFonts w:cs="Arial"/>
          <w:i/>
          <w:lang w:val="es-MX"/>
        </w:rPr>
      </w:pPr>
      <w:r w:rsidRPr="00E6086A">
        <w:rPr>
          <w:rFonts w:cs="Arial"/>
          <w:i/>
          <w:lang w:val="es-MX"/>
        </w:rPr>
        <w:t>“SEXTA: Que en la sentencia se tenga en cuenta lo dispuesto en el último inciso del artículo 177 del Código Contencioso Administrativo”.</w:t>
      </w:r>
    </w:p>
    <w:p w:rsidR="00935F70" w:rsidRPr="00E6086A" w:rsidRDefault="00935F70" w:rsidP="009D3798">
      <w:pPr>
        <w:pStyle w:val="Continuarlista2"/>
        <w:spacing w:after="0"/>
        <w:ind w:left="0"/>
        <w:rPr>
          <w:rFonts w:cs="Arial"/>
          <w:i/>
          <w:lang w:val="es-MX"/>
        </w:rPr>
      </w:pPr>
      <w:r w:rsidRPr="00E6086A">
        <w:rPr>
          <w:rFonts w:cs="Arial"/>
          <w:i/>
          <w:lang w:val="es-MX"/>
        </w:rPr>
        <w:t xml:space="preserve"> </w:t>
      </w:r>
    </w:p>
    <w:p w:rsidR="00F21484" w:rsidRPr="00E6086A" w:rsidRDefault="00F21484" w:rsidP="009D3798">
      <w:pPr>
        <w:pStyle w:val="Lista3"/>
        <w:ind w:left="0" w:firstLine="0"/>
        <w:rPr>
          <w:rFonts w:cs="Arial"/>
          <w:b/>
        </w:rPr>
      </w:pPr>
      <w:r w:rsidRPr="00E6086A">
        <w:rPr>
          <w:rFonts w:cs="Arial"/>
          <w:b/>
        </w:rPr>
        <w:t>2.</w:t>
      </w:r>
      <w:r w:rsidR="009D0836" w:rsidRPr="00E6086A">
        <w:rPr>
          <w:rFonts w:cs="Arial"/>
          <w:b/>
        </w:rPr>
        <w:t xml:space="preserve"> </w:t>
      </w:r>
      <w:r w:rsidRPr="00E6086A">
        <w:rPr>
          <w:rFonts w:cs="Arial"/>
          <w:b/>
        </w:rPr>
        <w:t>Los hechos</w:t>
      </w:r>
    </w:p>
    <w:p w:rsidR="005E0015" w:rsidRPr="00E6086A" w:rsidRDefault="005E0015" w:rsidP="009D3798">
      <w:pPr>
        <w:widowControl w:val="0"/>
        <w:autoSpaceDE w:val="0"/>
        <w:autoSpaceDN w:val="0"/>
        <w:adjustRightInd w:val="0"/>
        <w:rPr>
          <w:rFonts w:cs="Arial"/>
          <w:lang w:val="es-MX"/>
        </w:rPr>
      </w:pPr>
    </w:p>
    <w:p w:rsidR="00D45ABC" w:rsidRPr="00E6086A" w:rsidRDefault="00D45ABC" w:rsidP="009D3798">
      <w:pPr>
        <w:pStyle w:val="Textoindependiente"/>
        <w:rPr>
          <w:rFonts w:cs="Arial"/>
          <w:szCs w:val="24"/>
        </w:rPr>
      </w:pPr>
      <w:r w:rsidRPr="00E6086A">
        <w:rPr>
          <w:rFonts w:cs="Arial"/>
          <w:szCs w:val="24"/>
          <w:lang w:val="es-CO"/>
        </w:rPr>
        <w:t>E</w:t>
      </w:r>
      <w:r w:rsidRPr="00E6086A">
        <w:rPr>
          <w:rFonts w:cs="Arial"/>
          <w:szCs w:val="24"/>
        </w:rPr>
        <w:t>n el escrito de demanda</w:t>
      </w:r>
      <w:r w:rsidR="004E6E35" w:rsidRPr="00E6086A">
        <w:rPr>
          <w:rFonts w:cs="Arial"/>
          <w:szCs w:val="24"/>
        </w:rPr>
        <w:t>,</w:t>
      </w:r>
      <w:r w:rsidR="00FD5088" w:rsidRPr="00E6086A">
        <w:rPr>
          <w:rFonts w:cs="Arial"/>
          <w:szCs w:val="24"/>
        </w:rPr>
        <w:t xml:space="preserve"> </w:t>
      </w:r>
      <w:r w:rsidRPr="00E6086A">
        <w:rPr>
          <w:rFonts w:cs="Arial"/>
          <w:szCs w:val="24"/>
        </w:rPr>
        <w:t>la parte actora narró los siguientes hechos:</w:t>
      </w:r>
    </w:p>
    <w:p w:rsidR="00F82E49" w:rsidRPr="00E6086A" w:rsidRDefault="00F82E49" w:rsidP="009D3798">
      <w:pPr>
        <w:pStyle w:val="Lista2"/>
        <w:ind w:left="0" w:firstLine="0"/>
        <w:rPr>
          <w:rFonts w:cs="Arial"/>
          <w:b/>
        </w:rPr>
      </w:pPr>
    </w:p>
    <w:p w:rsidR="00A85200" w:rsidRPr="00E6086A" w:rsidRDefault="00E509A6" w:rsidP="009D3798">
      <w:pPr>
        <w:pStyle w:val="Lista2"/>
        <w:ind w:left="0" w:firstLine="0"/>
        <w:rPr>
          <w:rFonts w:cs="Arial"/>
        </w:rPr>
      </w:pPr>
      <w:r w:rsidRPr="00E6086A">
        <w:rPr>
          <w:rFonts w:cs="Arial"/>
          <w:b/>
        </w:rPr>
        <w:t xml:space="preserve">2.1. </w:t>
      </w:r>
      <w:r w:rsidRPr="00E6086A">
        <w:rPr>
          <w:rFonts w:cs="Arial"/>
        </w:rPr>
        <w:t xml:space="preserve">Mediante </w:t>
      </w:r>
      <w:r w:rsidR="009F4A09" w:rsidRPr="00E6086A">
        <w:rPr>
          <w:rFonts w:cs="Arial"/>
        </w:rPr>
        <w:t xml:space="preserve">la </w:t>
      </w:r>
      <w:r w:rsidRPr="00E6086A">
        <w:rPr>
          <w:rFonts w:cs="Arial"/>
        </w:rPr>
        <w:t xml:space="preserve">Resolución </w:t>
      </w:r>
      <w:r w:rsidR="00464097" w:rsidRPr="00E6086A">
        <w:rPr>
          <w:rFonts w:cs="Arial"/>
        </w:rPr>
        <w:t>1028</w:t>
      </w:r>
      <w:r w:rsidRPr="00E6086A">
        <w:rPr>
          <w:rFonts w:cs="Arial"/>
        </w:rPr>
        <w:t xml:space="preserve"> de </w:t>
      </w:r>
      <w:r w:rsidR="00464097" w:rsidRPr="00E6086A">
        <w:rPr>
          <w:rFonts w:cs="Arial"/>
        </w:rPr>
        <w:t>6 de septiembre de 1999</w:t>
      </w:r>
      <w:r w:rsidR="00546251" w:rsidRPr="00E6086A">
        <w:rPr>
          <w:rFonts w:cs="Arial"/>
        </w:rPr>
        <w:t>,</w:t>
      </w:r>
      <w:r w:rsidRPr="00E6086A">
        <w:rPr>
          <w:rFonts w:cs="Arial"/>
        </w:rPr>
        <w:t xml:space="preserve"> </w:t>
      </w:r>
      <w:r w:rsidR="00A85200" w:rsidRPr="00E6086A">
        <w:rPr>
          <w:rFonts w:cs="Arial"/>
        </w:rPr>
        <w:t xml:space="preserve">el </w:t>
      </w:r>
      <w:r w:rsidR="00464097" w:rsidRPr="00E6086A">
        <w:rPr>
          <w:rFonts w:cs="Arial"/>
        </w:rPr>
        <w:t xml:space="preserve">municipio de Medellín </w:t>
      </w:r>
      <w:r w:rsidRPr="00E6086A">
        <w:rPr>
          <w:rFonts w:cs="Arial"/>
        </w:rPr>
        <w:t xml:space="preserve">ordenó la apertura de la Licitación Pública </w:t>
      </w:r>
      <w:r w:rsidR="00464097" w:rsidRPr="00E6086A">
        <w:rPr>
          <w:rFonts w:cs="Arial"/>
        </w:rPr>
        <w:t>09 M/99</w:t>
      </w:r>
      <w:r w:rsidR="001B1057" w:rsidRPr="00E6086A">
        <w:rPr>
          <w:rFonts w:cs="Arial"/>
        </w:rPr>
        <w:t>,</w:t>
      </w:r>
      <w:r w:rsidR="00464097" w:rsidRPr="00E6086A">
        <w:rPr>
          <w:rFonts w:cs="Arial"/>
        </w:rPr>
        <w:t xml:space="preserve"> </w:t>
      </w:r>
      <w:r w:rsidRPr="00E6086A">
        <w:rPr>
          <w:rFonts w:cs="Arial"/>
        </w:rPr>
        <w:t xml:space="preserve">cuyo objeto </w:t>
      </w:r>
      <w:r w:rsidR="00A85200" w:rsidRPr="00E6086A">
        <w:rPr>
          <w:rFonts w:cs="Arial"/>
        </w:rPr>
        <w:t>fue</w:t>
      </w:r>
      <w:r w:rsidRPr="00E6086A">
        <w:rPr>
          <w:rFonts w:cs="Arial"/>
        </w:rPr>
        <w:t xml:space="preserve"> la </w:t>
      </w:r>
      <w:r w:rsidR="00464097" w:rsidRPr="00E6086A">
        <w:rPr>
          <w:rFonts w:cs="Arial"/>
          <w:lang w:val="es-MX"/>
        </w:rPr>
        <w:t xml:space="preserve">construcción de la cubierta, cerrajería, mampostería, redes de servicio, obras de urbanismo y complementarias en el Colegio Blanquizal, </w:t>
      </w:r>
      <w:r w:rsidR="005B50D8" w:rsidRPr="00E6086A">
        <w:rPr>
          <w:rFonts w:cs="Arial"/>
          <w:lang w:val="es-MX"/>
        </w:rPr>
        <w:t xml:space="preserve">ubicado en la </w:t>
      </w:r>
      <w:r w:rsidR="00464097" w:rsidRPr="00E6086A">
        <w:rPr>
          <w:rFonts w:cs="Arial"/>
          <w:lang w:val="es-MX"/>
        </w:rPr>
        <w:t>Calle 5 F por Carreras 92 EE y 93 de Medellín.</w:t>
      </w:r>
      <w:r w:rsidR="0082057F" w:rsidRPr="00E6086A">
        <w:rPr>
          <w:rFonts w:cs="Arial"/>
        </w:rPr>
        <w:t xml:space="preserve"> </w:t>
      </w:r>
    </w:p>
    <w:p w:rsidR="00150BC8" w:rsidRPr="00E6086A" w:rsidRDefault="00150BC8" w:rsidP="009D3798">
      <w:pPr>
        <w:pStyle w:val="Continuarlista2"/>
        <w:spacing w:after="0"/>
        <w:ind w:left="0"/>
        <w:rPr>
          <w:rFonts w:cs="Arial"/>
        </w:rPr>
      </w:pPr>
    </w:p>
    <w:p w:rsidR="007E54B9" w:rsidRPr="00E6086A" w:rsidRDefault="00E509A6" w:rsidP="009D3798">
      <w:pPr>
        <w:pStyle w:val="Continuarlista2"/>
        <w:spacing w:after="0"/>
        <w:ind w:left="0"/>
        <w:rPr>
          <w:rFonts w:cs="Arial"/>
        </w:rPr>
      </w:pPr>
      <w:r w:rsidRPr="00E6086A">
        <w:rPr>
          <w:rFonts w:cs="Arial"/>
          <w:b/>
        </w:rPr>
        <w:t>2.2.</w:t>
      </w:r>
      <w:r w:rsidRPr="00E6086A">
        <w:rPr>
          <w:rFonts w:cs="Arial"/>
        </w:rPr>
        <w:t xml:space="preserve"> </w:t>
      </w:r>
      <w:r w:rsidR="00464097" w:rsidRPr="00E6086A">
        <w:rPr>
          <w:rFonts w:cs="Arial"/>
        </w:rPr>
        <w:t>El INVAL</w:t>
      </w:r>
      <w:r w:rsidR="007E54B9" w:rsidRPr="00E6086A">
        <w:rPr>
          <w:rFonts w:cs="Arial"/>
        </w:rPr>
        <w:t>,</w:t>
      </w:r>
      <w:r w:rsidR="00464097" w:rsidRPr="00E6086A">
        <w:rPr>
          <w:rFonts w:cs="Arial"/>
        </w:rPr>
        <w:t xml:space="preserve"> por decisión del municipio de Medellín</w:t>
      </w:r>
      <w:r w:rsidR="007E54B9" w:rsidRPr="00E6086A">
        <w:rPr>
          <w:rFonts w:cs="Arial"/>
        </w:rPr>
        <w:t xml:space="preserve">, fue el </w:t>
      </w:r>
      <w:r w:rsidR="00B22157" w:rsidRPr="00E6086A">
        <w:rPr>
          <w:rFonts w:cs="Arial"/>
        </w:rPr>
        <w:t xml:space="preserve">encargado de </w:t>
      </w:r>
      <w:r w:rsidR="007E54B9" w:rsidRPr="00E6086A">
        <w:rPr>
          <w:rFonts w:cs="Arial"/>
        </w:rPr>
        <w:t xml:space="preserve">adelantar los trámites de la mencionada licitación, incluyendo la realización de los estudios </w:t>
      </w:r>
      <w:r w:rsidR="00B14018" w:rsidRPr="00E6086A">
        <w:rPr>
          <w:rFonts w:cs="Arial"/>
        </w:rPr>
        <w:t>jurídicos, técnicos y financieros.</w:t>
      </w:r>
    </w:p>
    <w:p w:rsidR="00710AC5" w:rsidRPr="00E6086A" w:rsidRDefault="00710AC5" w:rsidP="009D3798">
      <w:pPr>
        <w:pStyle w:val="Continuarlista2"/>
        <w:spacing w:after="0"/>
        <w:ind w:left="0"/>
        <w:rPr>
          <w:rFonts w:cs="Arial"/>
        </w:rPr>
      </w:pPr>
    </w:p>
    <w:p w:rsidR="00336F19" w:rsidRPr="00E6086A" w:rsidRDefault="00710AC5" w:rsidP="009D3798">
      <w:pPr>
        <w:pStyle w:val="Continuarlista2"/>
        <w:spacing w:after="0"/>
        <w:ind w:left="0"/>
        <w:rPr>
          <w:rFonts w:cs="Arial"/>
        </w:rPr>
      </w:pPr>
      <w:r w:rsidRPr="00E6086A">
        <w:rPr>
          <w:rFonts w:cs="Arial"/>
          <w:b/>
        </w:rPr>
        <w:t>2.3.</w:t>
      </w:r>
      <w:r w:rsidRPr="00E6086A">
        <w:rPr>
          <w:rFonts w:cs="Arial"/>
        </w:rPr>
        <w:t xml:space="preserve"> </w:t>
      </w:r>
      <w:r w:rsidR="005B50D8" w:rsidRPr="00E6086A">
        <w:rPr>
          <w:rFonts w:cs="Arial"/>
        </w:rPr>
        <w:t>A la licitación pública s</w:t>
      </w:r>
      <w:r w:rsidR="00B14018" w:rsidRPr="00E6086A">
        <w:rPr>
          <w:rFonts w:cs="Arial"/>
        </w:rPr>
        <w:t xml:space="preserve">e presentaron trece propuestas, de las cuales </w:t>
      </w:r>
      <w:r w:rsidR="00336F19" w:rsidRPr="00E6086A">
        <w:rPr>
          <w:rFonts w:cs="Arial"/>
        </w:rPr>
        <w:t>se calificaron en ceros</w:t>
      </w:r>
      <w:r w:rsidR="003A1D88" w:rsidRPr="00E6086A">
        <w:rPr>
          <w:rFonts w:cs="Arial"/>
        </w:rPr>
        <w:t>,</w:t>
      </w:r>
      <w:r w:rsidR="005B50D8" w:rsidRPr="00E6086A">
        <w:rPr>
          <w:rFonts w:cs="Arial"/>
        </w:rPr>
        <w:t xml:space="preserve"> en el </w:t>
      </w:r>
      <w:r w:rsidR="00515242" w:rsidRPr="00E6086A">
        <w:rPr>
          <w:rFonts w:cs="Arial"/>
        </w:rPr>
        <w:t>factor de precio,</w:t>
      </w:r>
      <w:r w:rsidR="00336F19" w:rsidRPr="00E6086A">
        <w:rPr>
          <w:rFonts w:cs="Arial"/>
        </w:rPr>
        <w:t xml:space="preserve"> </w:t>
      </w:r>
      <w:r w:rsidR="00E453C3" w:rsidRPr="00E6086A">
        <w:rPr>
          <w:rFonts w:cs="Arial"/>
        </w:rPr>
        <w:t xml:space="preserve">aquellas </w:t>
      </w:r>
      <w:r w:rsidR="00336F19" w:rsidRPr="00E6086A">
        <w:rPr>
          <w:rFonts w:cs="Arial"/>
        </w:rPr>
        <w:t xml:space="preserve">que </w:t>
      </w:r>
      <w:r w:rsidR="00E453C3" w:rsidRPr="00E6086A">
        <w:rPr>
          <w:rFonts w:cs="Arial"/>
        </w:rPr>
        <w:t xml:space="preserve">quedaron ubicadas </w:t>
      </w:r>
      <w:r w:rsidR="00336F19" w:rsidRPr="00E6086A">
        <w:rPr>
          <w:rFonts w:cs="Arial"/>
        </w:rPr>
        <w:t>por fuera de los límites PB</w:t>
      </w:r>
      <w:r w:rsidR="005A5123" w:rsidRPr="00E6086A">
        <w:rPr>
          <w:rFonts w:cs="Arial"/>
        </w:rPr>
        <w:t>1</w:t>
      </w:r>
      <w:r w:rsidR="00336F19" w:rsidRPr="00E6086A">
        <w:rPr>
          <w:rFonts w:cs="Arial"/>
        </w:rPr>
        <w:t xml:space="preserve"> y PB</w:t>
      </w:r>
      <w:r w:rsidR="005A5123" w:rsidRPr="00E6086A">
        <w:rPr>
          <w:rFonts w:cs="Arial"/>
        </w:rPr>
        <w:t>2</w:t>
      </w:r>
      <w:r w:rsidR="00336F19" w:rsidRPr="00E6086A">
        <w:rPr>
          <w:rFonts w:cs="Arial"/>
        </w:rPr>
        <w:t xml:space="preserve">, </w:t>
      </w:r>
      <w:r w:rsidR="0085525C" w:rsidRPr="00E6086A">
        <w:rPr>
          <w:rFonts w:cs="Arial"/>
        </w:rPr>
        <w:t xml:space="preserve">de acuerdo con </w:t>
      </w:r>
      <w:r w:rsidR="005A5123" w:rsidRPr="00E6086A">
        <w:rPr>
          <w:rFonts w:cs="Arial"/>
        </w:rPr>
        <w:t xml:space="preserve">el procedimiento de calificación </w:t>
      </w:r>
      <w:r w:rsidR="00336F19" w:rsidRPr="00E6086A">
        <w:rPr>
          <w:rFonts w:cs="Arial"/>
        </w:rPr>
        <w:t>fijado en el pliego de condiciones.</w:t>
      </w:r>
    </w:p>
    <w:p w:rsidR="00336F19" w:rsidRPr="00E6086A" w:rsidRDefault="00336F19" w:rsidP="009D3798">
      <w:pPr>
        <w:pStyle w:val="Continuarlista2"/>
        <w:spacing w:after="0"/>
        <w:ind w:left="0"/>
        <w:rPr>
          <w:rFonts w:cs="Arial"/>
        </w:rPr>
      </w:pPr>
    </w:p>
    <w:p w:rsidR="00AC5965" w:rsidRPr="00E6086A" w:rsidRDefault="00336F19" w:rsidP="009D3798">
      <w:pPr>
        <w:pStyle w:val="Continuarlista2"/>
        <w:spacing w:after="0"/>
        <w:ind w:left="0"/>
        <w:rPr>
          <w:rFonts w:cs="Arial"/>
        </w:rPr>
      </w:pPr>
      <w:r w:rsidRPr="00E6086A">
        <w:rPr>
          <w:rFonts w:cs="Arial"/>
          <w:b/>
        </w:rPr>
        <w:t>2.4.</w:t>
      </w:r>
      <w:r w:rsidRPr="00E6086A">
        <w:rPr>
          <w:rFonts w:cs="Arial"/>
        </w:rPr>
        <w:t xml:space="preserve"> E</w:t>
      </w:r>
      <w:r w:rsidR="005A5123" w:rsidRPr="00E6086A">
        <w:rPr>
          <w:rFonts w:cs="Arial"/>
        </w:rPr>
        <w:t>n la</w:t>
      </w:r>
      <w:r w:rsidRPr="00E6086A">
        <w:rPr>
          <w:rFonts w:cs="Arial"/>
        </w:rPr>
        <w:t xml:space="preserve"> evaluación realizada por </w:t>
      </w:r>
      <w:r w:rsidR="005A5123" w:rsidRPr="00E6086A">
        <w:rPr>
          <w:rFonts w:cs="Arial"/>
        </w:rPr>
        <w:t xml:space="preserve">el </w:t>
      </w:r>
      <w:r w:rsidRPr="00E6086A">
        <w:rPr>
          <w:rFonts w:cs="Arial"/>
        </w:rPr>
        <w:t xml:space="preserve">INVAL </w:t>
      </w:r>
      <w:r w:rsidR="005A5123" w:rsidRPr="00E6086A">
        <w:rPr>
          <w:rFonts w:cs="Arial"/>
        </w:rPr>
        <w:t xml:space="preserve">se </w:t>
      </w:r>
      <w:r w:rsidRPr="00E6086A">
        <w:rPr>
          <w:rFonts w:cs="Arial"/>
        </w:rPr>
        <w:t xml:space="preserve">indicó como mejor propuesta la presentada por la </w:t>
      </w:r>
      <w:r w:rsidR="00EC697A" w:rsidRPr="00E6086A">
        <w:rPr>
          <w:rFonts w:cs="Arial"/>
        </w:rPr>
        <w:t xml:space="preserve">Unión Temporal </w:t>
      </w:r>
      <w:r w:rsidR="00AC5965" w:rsidRPr="00E6086A">
        <w:rPr>
          <w:rFonts w:cs="Arial"/>
        </w:rPr>
        <w:t xml:space="preserve">Pérez C. y Cía Ltda- Redyco Ltda con un puntaje </w:t>
      </w:r>
      <w:r w:rsidR="005A5123" w:rsidRPr="00E6086A">
        <w:rPr>
          <w:rFonts w:cs="Arial"/>
        </w:rPr>
        <w:t xml:space="preserve">final </w:t>
      </w:r>
      <w:r w:rsidR="00AC5965" w:rsidRPr="00E6086A">
        <w:rPr>
          <w:rFonts w:cs="Arial"/>
        </w:rPr>
        <w:t>de 907</w:t>
      </w:r>
      <w:r w:rsidR="005A5123" w:rsidRPr="00E6086A">
        <w:rPr>
          <w:rFonts w:cs="Arial"/>
        </w:rPr>
        <w:t>,</w:t>
      </w:r>
      <w:r w:rsidR="00AC5965" w:rsidRPr="00E6086A">
        <w:rPr>
          <w:rFonts w:cs="Arial"/>
        </w:rPr>
        <w:t>97.</w:t>
      </w:r>
    </w:p>
    <w:p w:rsidR="00AC5965" w:rsidRPr="00E6086A" w:rsidRDefault="00AC5965" w:rsidP="009D3798">
      <w:pPr>
        <w:pStyle w:val="Continuarlista2"/>
        <w:spacing w:after="0"/>
        <w:ind w:left="0"/>
        <w:rPr>
          <w:rFonts w:cs="Arial"/>
        </w:rPr>
      </w:pPr>
    </w:p>
    <w:p w:rsidR="003B785E" w:rsidRPr="00E6086A" w:rsidRDefault="00C15929" w:rsidP="009D3798">
      <w:pPr>
        <w:pStyle w:val="Continuarlista2"/>
        <w:spacing w:after="0"/>
        <w:ind w:left="0"/>
        <w:rPr>
          <w:rFonts w:cs="Arial"/>
        </w:rPr>
      </w:pPr>
      <w:r w:rsidRPr="00E6086A">
        <w:rPr>
          <w:rFonts w:cs="Arial"/>
          <w:b/>
        </w:rPr>
        <w:t>2.5.</w:t>
      </w:r>
      <w:r w:rsidRPr="00E6086A">
        <w:rPr>
          <w:rFonts w:cs="Arial"/>
        </w:rPr>
        <w:t xml:space="preserve"> E</w:t>
      </w:r>
      <w:r w:rsidR="00515242" w:rsidRPr="00E6086A">
        <w:rPr>
          <w:rFonts w:cs="Arial"/>
        </w:rPr>
        <w:t xml:space="preserve">n el </w:t>
      </w:r>
      <w:r w:rsidRPr="00E6086A">
        <w:rPr>
          <w:rFonts w:cs="Arial"/>
        </w:rPr>
        <w:t xml:space="preserve">informe </w:t>
      </w:r>
      <w:r w:rsidR="00EC697A" w:rsidRPr="00E6086A">
        <w:rPr>
          <w:rFonts w:cs="Arial"/>
        </w:rPr>
        <w:t xml:space="preserve">presentado por el </w:t>
      </w:r>
      <w:r w:rsidRPr="00E6086A">
        <w:rPr>
          <w:rFonts w:cs="Arial"/>
        </w:rPr>
        <w:t>INVAL se advirtió que la Unión Temporal Lama Ingenieros Ltda – Asfaltadora Colombiana</w:t>
      </w:r>
      <w:r w:rsidR="00F26DB4" w:rsidRPr="00E6086A">
        <w:rPr>
          <w:rFonts w:cs="Arial"/>
        </w:rPr>
        <w:t xml:space="preserve"> Ltda</w:t>
      </w:r>
      <w:r w:rsidRPr="00E6086A">
        <w:rPr>
          <w:rFonts w:cs="Arial"/>
        </w:rPr>
        <w:t xml:space="preserve"> presentó una póliza de seriedad de la propuesta por un valor inferior al 10% del presupuesto oficial, que er</w:t>
      </w:r>
      <w:r w:rsidR="00336F19" w:rsidRPr="00E6086A">
        <w:rPr>
          <w:rFonts w:cs="Arial"/>
        </w:rPr>
        <w:t>a</w:t>
      </w:r>
      <w:r w:rsidRPr="00E6086A">
        <w:rPr>
          <w:rFonts w:cs="Arial"/>
        </w:rPr>
        <w:t xml:space="preserve"> el mínimo exigido en el pliego de condiciones</w:t>
      </w:r>
      <w:r w:rsidR="003A1D88" w:rsidRPr="00E6086A">
        <w:rPr>
          <w:rFonts w:cs="Arial"/>
        </w:rPr>
        <w:t xml:space="preserve"> y</w:t>
      </w:r>
      <w:r w:rsidR="005A5123" w:rsidRPr="00E6086A">
        <w:rPr>
          <w:rFonts w:cs="Arial"/>
        </w:rPr>
        <w:t xml:space="preserve"> que, por ello </w:t>
      </w:r>
      <w:r w:rsidR="003A1D88" w:rsidRPr="00E6086A">
        <w:rPr>
          <w:rFonts w:cs="Arial"/>
        </w:rPr>
        <w:t xml:space="preserve">se decidió </w:t>
      </w:r>
      <w:r w:rsidR="00F26DB4" w:rsidRPr="00E6086A">
        <w:rPr>
          <w:rFonts w:cs="Arial"/>
        </w:rPr>
        <w:t xml:space="preserve">el rechazo de </w:t>
      </w:r>
      <w:r w:rsidR="003A1D88" w:rsidRPr="00E6086A">
        <w:rPr>
          <w:rFonts w:cs="Arial"/>
        </w:rPr>
        <w:t>su propuesta</w:t>
      </w:r>
      <w:r w:rsidR="00F26DB4" w:rsidRPr="00E6086A">
        <w:rPr>
          <w:rFonts w:cs="Arial"/>
        </w:rPr>
        <w:t xml:space="preserve"> para efectos de la calificación.</w:t>
      </w:r>
      <w:r w:rsidR="003A1D88" w:rsidRPr="00E6086A">
        <w:rPr>
          <w:rFonts w:cs="Arial"/>
        </w:rPr>
        <w:t xml:space="preserve"> No</w:t>
      </w:r>
      <w:r w:rsidRPr="00E6086A">
        <w:rPr>
          <w:rFonts w:cs="Arial"/>
        </w:rPr>
        <w:t xml:space="preserve"> obstante lo </w:t>
      </w:r>
      <w:r w:rsidR="005A5123" w:rsidRPr="00E6086A">
        <w:rPr>
          <w:rFonts w:cs="Arial"/>
        </w:rPr>
        <w:t xml:space="preserve">anterior, </w:t>
      </w:r>
      <w:r w:rsidR="00861BAC" w:rsidRPr="00E6086A">
        <w:rPr>
          <w:rFonts w:cs="Arial"/>
        </w:rPr>
        <w:t xml:space="preserve">según narró la parte demandante, </w:t>
      </w:r>
      <w:r w:rsidR="00B02D75" w:rsidRPr="00E6086A">
        <w:rPr>
          <w:rFonts w:cs="Arial"/>
        </w:rPr>
        <w:t xml:space="preserve">al resolver las objeciones de los distintos participantes, </w:t>
      </w:r>
      <w:r w:rsidR="00861BAC" w:rsidRPr="00E6086A">
        <w:rPr>
          <w:rFonts w:cs="Arial"/>
        </w:rPr>
        <w:lastRenderedPageBreak/>
        <w:t xml:space="preserve">apartándose de la calificación elaborada por el INVAL, </w:t>
      </w:r>
      <w:r w:rsidR="0085525C" w:rsidRPr="00E6086A">
        <w:rPr>
          <w:rFonts w:cs="Arial"/>
        </w:rPr>
        <w:t xml:space="preserve">el comité de </w:t>
      </w:r>
      <w:r w:rsidR="00612BDD" w:rsidRPr="00E6086A">
        <w:rPr>
          <w:rFonts w:cs="Arial"/>
        </w:rPr>
        <w:t xml:space="preserve">contrataciones </w:t>
      </w:r>
      <w:r w:rsidR="003A1D88" w:rsidRPr="00E6086A">
        <w:rPr>
          <w:rFonts w:cs="Arial"/>
        </w:rPr>
        <w:t xml:space="preserve">del municipio de Medellín </w:t>
      </w:r>
      <w:r w:rsidR="000C0075" w:rsidRPr="00E6086A">
        <w:rPr>
          <w:rFonts w:cs="Arial"/>
        </w:rPr>
        <w:t>decidió aceptar la calificación de la propuesta</w:t>
      </w:r>
      <w:r w:rsidR="00EC697A" w:rsidRPr="00E6086A">
        <w:rPr>
          <w:rFonts w:cs="Arial"/>
        </w:rPr>
        <w:t xml:space="preserve"> de </w:t>
      </w:r>
      <w:r w:rsidR="00F26DB4" w:rsidRPr="00E6086A">
        <w:rPr>
          <w:rFonts w:cs="Arial"/>
        </w:rPr>
        <w:t>la referida proponente</w:t>
      </w:r>
      <w:r w:rsidR="00612BDD" w:rsidRPr="00E6086A">
        <w:rPr>
          <w:rFonts w:cs="Arial"/>
        </w:rPr>
        <w:t xml:space="preserve"> para efectos de </w:t>
      </w:r>
      <w:r w:rsidR="003B785E" w:rsidRPr="00E6086A">
        <w:rPr>
          <w:rFonts w:cs="Arial"/>
        </w:rPr>
        <w:t>asignar los puntajes</w:t>
      </w:r>
      <w:r w:rsidR="000C0075" w:rsidRPr="00E6086A">
        <w:rPr>
          <w:rFonts w:cs="Arial"/>
        </w:rPr>
        <w:t xml:space="preserve">, </w:t>
      </w:r>
      <w:r w:rsidR="004B1B15" w:rsidRPr="00E6086A">
        <w:rPr>
          <w:rFonts w:cs="Arial"/>
        </w:rPr>
        <w:t xml:space="preserve">desconociendo </w:t>
      </w:r>
      <w:r w:rsidR="003B785E" w:rsidRPr="00E6086A">
        <w:rPr>
          <w:rFonts w:cs="Arial"/>
        </w:rPr>
        <w:t xml:space="preserve">con ello </w:t>
      </w:r>
      <w:r w:rsidR="004B1B15" w:rsidRPr="00E6086A">
        <w:rPr>
          <w:rFonts w:cs="Arial"/>
        </w:rPr>
        <w:t xml:space="preserve">el pliego de condiciones y las reglas de la Ley 80 de 1993, toda vez que </w:t>
      </w:r>
      <w:r w:rsidR="000C0075" w:rsidRPr="00E6086A">
        <w:rPr>
          <w:rFonts w:cs="Arial"/>
        </w:rPr>
        <w:t>invoc</w:t>
      </w:r>
      <w:r w:rsidR="004B1B15" w:rsidRPr="00E6086A">
        <w:rPr>
          <w:rFonts w:cs="Arial"/>
        </w:rPr>
        <w:t>ó,</w:t>
      </w:r>
      <w:r w:rsidR="000C0075" w:rsidRPr="00E6086A">
        <w:rPr>
          <w:rFonts w:cs="Arial"/>
        </w:rPr>
        <w:t xml:space="preserve"> </w:t>
      </w:r>
      <w:r w:rsidR="004B1B15" w:rsidRPr="00E6086A">
        <w:rPr>
          <w:rFonts w:cs="Arial"/>
        </w:rPr>
        <w:t xml:space="preserve">de manera improcedente, </w:t>
      </w:r>
      <w:r w:rsidR="000C0075" w:rsidRPr="00E6086A">
        <w:rPr>
          <w:rFonts w:cs="Arial"/>
        </w:rPr>
        <w:t>el principio de la economía previsto en el artículo 25 de la citada Ley</w:t>
      </w:r>
      <w:r w:rsidR="003B785E" w:rsidRPr="00E6086A">
        <w:rPr>
          <w:rFonts w:cs="Arial"/>
        </w:rPr>
        <w:t>.</w:t>
      </w:r>
    </w:p>
    <w:p w:rsidR="00DB088B" w:rsidRPr="00E6086A" w:rsidRDefault="003B785E" w:rsidP="009D3798">
      <w:pPr>
        <w:pStyle w:val="Continuarlista2"/>
        <w:spacing w:after="0"/>
        <w:ind w:left="0"/>
        <w:rPr>
          <w:rFonts w:cs="Arial"/>
        </w:rPr>
      </w:pPr>
      <w:r w:rsidRPr="00E6086A">
        <w:rPr>
          <w:rFonts w:cs="Arial"/>
        </w:rPr>
        <w:t xml:space="preserve"> </w:t>
      </w:r>
    </w:p>
    <w:p w:rsidR="007D027B" w:rsidRPr="00E6086A" w:rsidRDefault="00813592" w:rsidP="009D3798">
      <w:pPr>
        <w:pStyle w:val="Continuarlista2"/>
        <w:spacing w:after="0"/>
        <w:ind w:left="0"/>
        <w:rPr>
          <w:rFonts w:cs="Arial"/>
        </w:rPr>
      </w:pPr>
      <w:r w:rsidRPr="00E6086A">
        <w:rPr>
          <w:rFonts w:cs="Arial"/>
          <w:b/>
        </w:rPr>
        <w:t>2.6.</w:t>
      </w:r>
      <w:r w:rsidRPr="00E6086A">
        <w:rPr>
          <w:rFonts w:cs="Arial"/>
        </w:rPr>
        <w:t xml:space="preserve"> </w:t>
      </w:r>
      <w:r w:rsidR="00F26DB4" w:rsidRPr="00E6086A">
        <w:rPr>
          <w:rFonts w:cs="Arial"/>
        </w:rPr>
        <w:t xml:space="preserve">La demandante narró </w:t>
      </w:r>
      <w:r w:rsidR="000B00C5" w:rsidRPr="00E6086A">
        <w:rPr>
          <w:rFonts w:cs="Arial"/>
        </w:rPr>
        <w:t>que e</w:t>
      </w:r>
      <w:r w:rsidR="004F6C52" w:rsidRPr="00E6086A">
        <w:rPr>
          <w:rFonts w:cs="Arial"/>
        </w:rPr>
        <w:t>n el traslado del informe de calificación</w:t>
      </w:r>
      <w:r w:rsidR="003B785E" w:rsidRPr="00E6086A">
        <w:rPr>
          <w:rFonts w:cs="Arial"/>
        </w:rPr>
        <w:t xml:space="preserve"> de la licitación</w:t>
      </w:r>
      <w:r w:rsidR="004F6C52" w:rsidRPr="00E6086A">
        <w:rPr>
          <w:rFonts w:cs="Arial"/>
        </w:rPr>
        <w:t>, e</w:t>
      </w:r>
      <w:r w:rsidR="007D7C55" w:rsidRPr="00E6086A">
        <w:rPr>
          <w:rFonts w:cs="Arial"/>
        </w:rPr>
        <w:t>l consorcio Jorge Montañez y Cía Ltda- Alvaro Rodr</w:t>
      </w:r>
      <w:r w:rsidR="003B785E" w:rsidRPr="00E6086A">
        <w:rPr>
          <w:rFonts w:cs="Arial"/>
        </w:rPr>
        <w:t>í</w:t>
      </w:r>
      <w:r w:rsidR="007D7C55" w:rsidRPr="00E6086A">
        <w:rPr>
          <w:rFonts w:cs="Arial"/>
        </w:rPr>
        <w:t>guez Bermúdez solicit</w:t>
      </w:r>
      <w:r w:rsidR="00154550" w:rsidRPr="00E6086A">
        <w:rPr>
          <w:rFonts w:cs="Arial"/>
        </w:rPr>
        <w:t>ó</w:t>
      </w:r>
      <w:r w:rsidR="00D33115" w:rsidRPr="00E6086A">
        <w:rPr>
          <w:rFonts w:cs="Arial"/>
        </w:rPr>
        <w:t xml:space="preserve"> </w:t>
      </w:r>
      <w:r w:rsidR="007D7C55" w:rsidRPr="00E6086A">
        <w:rPr>
          <w:rFonts w:cs="Arial"/>
        </w:rPr>
        <w:t xml:space="preserve">reconsiderar </w:t>
      </w:r>
      <w:r w:rsidR="0085525C" w:rsidRPr="00E6086A">
        <w:rPr>
          <w:rFonts w:cs="Arial"/>
        </w:rPr>
        <w:t xml:space="preserve">el </w:t>
      </w:r>
      <w:r w:rsidR="007D7C55" w:rsidRPr="00E6086A">
        <w:rPr>
          <w:rFonts w:cs="Arial"/>
        </w:rPr>
        <w:t xml:space="preserve">rechazo de la </w:t>
      </w:r>
      <w:r w:rsidR="00EC697A" w:rsidRPr="00E6086A">
        <w:rPr>
          <w:rFonts w:cs="Arial"/>
        </w:rPr>
        <w:t>Unión Temporal Lama Ingenieros Ltda – Asfaltadora Colombiana</w:t>
      </w:r>
      <w:r w:rsidR="00F26DB4" w:rsidRPr="00E6086A">
        <w:rPr>
          <w:rFonts w:cs="Arial"/>
        </w:rPr>
        <w:t xml:space="preserve"> Ltda</w:t>
      </w:r>
      <w:r w:rsidR="007D7C55" w:rsidRPr="00E6086A">
        <w:rPr>
          <w:rFonts w:cs="Arial"/>
        </w:rPr>
        <w:t>, toda vez que si esto sucedía cambiaba el orden de elegibilidad</w:t>
      </w:r>
      <w:r w:rsidR="00F26DB4" w:rsidRPr="00E6086A">
        <w:rPr>
          <w:rFonts w:cs="Arial"/>
        </w:rPr>
        <w:t xml:space="preserve"> a su favor</w:t>
      </w:r>
      <w:r w:rsidR="007D7C55" w:rsidRPr="00E6086A">
        <w:rPr>
          <w:rFonts w:cs="Arial"/>
        </w:rPr>
        <w:t xml:space="preserve">, a lo </w:t>
      </w:r>
      <w:r w:rsidR="004C428B" w:rsidRPr="00E6086A">
        <w:rPr>
          <w:rFonts w:cs="Arial"/>
        </w:rPr>
        <w:t>cua</w:t>
      </w:r>
      <w:r w:rsidR="003B785E" w:rsidRPr="00E6086A">
        <w:rPr>
          <w:rFonts w:cs="Arial"/>
        </w:rPr>
        <w:t>l</w:t>
      </w:r>
      <w:r w:rsidR="004C428B" w:rsidRPr="00E6086A">
        <w:rPr>
          <w:rFonts w:cs="Arial"/>
        </w:rPr>
        <w:t xml:space="preserve"> </w:t>
      </w:r>
      <w:r w:rsidR="004F6C52" w:rsidRPr="00E6086A">
        <w:rPr>
          <w:rFonts w:cs="Arial"/>
        </w:rPr>
        <w:t>no accedió el INVAL</w:t>
      </w:r>
      <w:r w:rsidR="003B785E" w:rsidRPr="00E6086A">
        <w:rPr>
          <w:rFonts w:cs="Arial"/>
        </w:rPr>
        <w:t>.</w:t>
      </w:r>
      <w:r w:rsidR="004C428B" w:rsidRPr="00E6086A">
        <w:rPr>
          <w:rFonts w:cs="Arial"/>
        </w:rPr>
        <w:t xml:space="preserve"> Sin embargo, </w:t>
      </w:r>
      <w:r w:rsidR="007D7C55" w:rsidRPr="00E6086A">
        <w:rPr>
          <w:rFonts w:cs="Arial"/>
        </w:rPr>
        <w:t xml:space="preserve">el </w:t>
      </w:r>
      <w:r w:rsidR="00D33115" w:rsidRPr="00E6086A">
        <w:rPr>
          <w:rFonts w:cs="Arial"/>
        </w:rPr>
        <w:t>comité asesor de la contratación</w:t>
      </w:r>
      <w:r w:rsidR="00D06D8D" w:rsidRPr="00E6086A">
        <w:rPr>
          <w:rFonts w:cs="Arial"/>
        </w:rPr>
        <w:t xml:space="preserve"> </w:t>
      </w:r>
      <w:r w:rsidR="004F6C52" w:rsidRPr="00E6086A">
        <w:rPr>
          <w:rFonts w:cs="Arial"/>
        </w:rPr>
        <w:t xml:space="preserve">se apartó del informe del INVAL y, como consecuencia, el municipio </w:t>
      </w:r>
      <w:r w:rsidR="000B00C5" w:rsidRPr="00E6086A">
        <w:rPr>
          <w:rFonts w:cs="Arial"/>
        </w:rPr>
        <w:t xml:space="preserve">de Medellín accedió a la </w:t>
      </w:r>
      <w:r w:rsidR="004F6C52" w:rsidRPr="00E6086A">
        <w:rPr>
          <w:rFonts w:cs="Arial"/>
        </w:rPr>
        <w:t>re</w:t>
      </w:r>
      <w:r w:rsidR="00D06D8D" w:rsidRPr="00E6086A">
        <w:rPr>
          <w:rFonts w:cs="Arial"/>
        </w:rPr>
        <w:t>califica</w:t>
      </w:r>
      <w:r w:rsidR="003B785E" w:rsidRPr="00E6086A">
        <w:rPr>
          <w:rFonts w:cs="Arial"/>
        </w:rPr>
        <w:t>ción de</w:t>
      </w:r>
      <w:r w:rsidR="00D06D8D" w:rsidRPr="00E6086A">
        <w:rPr>
          <w:rFonts w:cs="Arial"/>
        </w:rPr>
        <w:t xml:space="preserve"> las propuestas</w:t>
      </w:r>
      <w:r w:rsidR="00F26DB4" w:rsidRPr="00E6086A">
        <w:rPr>
          <w:rFonts w:cs="Arial"/>
        </w:rPr>
        <w:t xml:space="preserve">. </w:t>
      </w:r>
      <w:r w:rsidR="004C428B" w:rsidRPr="00E6086A">
        <w:rPr>
          <w:rFonts w:cs="Arial"/>
        </w:rPr>
        <w:t>Así las cosas</w:t>
      </w:r>
      <w:r w:rsidR="003B785E" w:rsidRPr="00E6086A">
        <w:rPr>
          <w:rFonts w:cs="Arial"/>
        </w:rPr>
        <w:t>,</w:t>
      </w:r>
      <w:r w:rsidR="004C428B" w:rsidRPr="00E6086A">
        <w:rPr>
          <w:rFonts w:cs="Arial"/>
        </w:rPr>
        <w:t xml:space="preserve"> el municipio, </w:t>
      </w:r>
      <w:r w:rsidR="003B785E" w:rsidRPr="00E6086A">
        <w:rPr>
          <w:rFonts w:cs="Arial"/>
        </w:rPr>
        <w:t xml:space="preserve">obrando en </w:t>
      </w:r>
      <w:r w:rsidR="004C428B" w:rsidRPr="00E6086A">
        <w:rPr>
          <w:rFonts w:cs="Arial"/>
        </w:rPr>
        <w:t xml:space="preserve">contra del informe del INVAL, </w:t>
      </w:r>
      <w:r w:rsidR="00F26DB4" w:rsidRPr="00E6086A">
        <w:rPr>
          <w:rFonts w:cs="Arial"/>
        </w:rPr>
        <w:t xml:space="preserve">decidió </w:t>
      </w:r>
      <w:r w:rsidR="00D06D8D" w:rsidRPr="00E6086A">
        <w:rPr>
          <w:rFonts w:cs="Arial"/>
        </w:rPr>
        <w:t xml:space="preserve">la adjudicación a favor del </w:t>
      </w:r>
      <w:r w:rsidR="003B785E" w:rsidRPr="00E6086A">
        <w:rPr>
          <w:rFonts w:cs="Arial"/>
        </w:rPr>
        <w:t xml:space="preserve">citado </w:t>
      </w:r>
      <w:r w:rsidR="00D06D8D" w:rsidRPr="00E6086A">
        <w:rPr>
          <w:rFonts w:cs="Arial"/>
        </w:rPr>
        <w:t xml:space="preserve">consorcio, </w:t>
      </w:r>
      <w:r w:rsidR="007C72E8" w:rsidRPr="00E6086A">
        <w:rPr>
          <w:rFonts w:cs="Arial"/>
        </w:rPr>
        <w:t xml:space="preserve">a través de </w:t>
      </w:r>
      <w:r w:rsidR="00D06D8D" w:rsidRPr="00E6086A">
        <w:rPr>
          <w:rFonts w:cs="Arial"/>
        </w:rPr>
        <w:t>la Resolución 075 de diciembre 23 de 1999.</w:t>
      </w:r>
    </w:p>
    <w:p w:rsidR="007D027B" w:rsidRPr="00E6086A" w:rsidRDefault="007D027B" w:rsidP="009D3798">
      <w:pPr>
        <w:pStyle w:val="Continuarlista2"/>
        <w:spacing w:after="0"/>
        <w:ind w:left="0"/>
        <w:rPr>
          <w:rFonts w:cs="Arial"/>
        </w:rPr>
      </w:pPr>
    </w:p>
    <w:p w:rsidR="00DB088B" w:rsidRPr="00E6086A" w:rsidRDefault="00DB088B" w:rsidP="009D3798">
      <w:pPr>
        <w:pStyle w:val="Continuarlista2"/>
        <w:spacing w:after="0"/>
        <w:ind w:left="0"/>
        <w:rPr>
          <w:rFonts w:cs="Arial"/>
        </w:rPr>
      </w:pPr>
      <w:r w:rsidRPr="00E6086A">
        <w:rPr>
          <w:rFonts w:cs="Arial"/>
          <w:b/>
        </w:rPr>
        <w:t>2.</w:t>
      </w:r>
      <w:r w:rsidR="00E96B5B" w:rsidRPr="00E6086A">
        <w:rPr>
          <w:rFonts w:cs="Arial"/>
          <w:b/>
        </w:rPr>
        <w:t>7</w:t>
      </w:r>
      <w:r w:rsidRPr="00E6086A">
        <w:rPr>
          <w:rFonts w:cs="Arial"/>
          <w:b/>
        </w:rPr>
        <w:t>.</w:t>
      </w:r>
      <w:r w:rsidRPr="00E6086A">
        <w:rPr>
          <w:rFonts w:cs="Arial"/>
        </w:rPr>
        <w:t xml:space="preserve"> </w:t>
      </w:r>
      <w:r w:rsidR="00302495" w:rsidRPr="00E6086A">
        <w:rPr>
          <w:rFonts w:cs="Arial"/>
        </w:rPr>
        <w:t xml:space="preserve">Según </w:t>
      </w:r>
      <w:r w:rsidR="000B00C5" w:rsidRPr="00E6086A">
        <w:rPr>
          <w:rFonts w:cs="Arial"/>
        </w:rPr>
        <w:t xml:space="preserve">destacó </w:t>
      </w:r>
      <w:r w:rsidR="00302495" w:rsidRPr="00E6086A">
        <w:rPr>
          <w:rFonts w:cs="Arial"/>
        </w:rPr>
        <w:t xml:space="preserve">la demandante, </w:t>
      </w:r>
      <w:r w:rsidR="007C72E8" w:rsidRPr="00E6086A">
        <w:rPr>
          <w:rFonts w:cs="Arial"/>
        </w:rPr>
        <w:t xml:space="preserve">de acuerdo con el informe del INVAL, </w:t>
      </w:r>
      <w:r w:rsidR="00D06D8D" w:rsidRPr="00E6086A">
        <w:rPr>
          <w:rFonts w:cs="Arial"/>
        </w:rPr>
        <w:t>c</w:t>
      </w:r>
      <w:r w:rsidRPr="00E6086A">
        <w:rPr>
          <w:rFonts w:cs="Arial"/>
        </w:rPr>
        <w:t>on arreglo al pliego de condiciones y a la ley</w:t>
      </w:r>
      <w:r w:rsidR="000B00C5" w:rsidRPr="00E6086A">
        <w:rPr>
          <w:rFonts w:cs="Arial"/>
        </w:rPr>
        <w:t>,</w:t>
      </w:r>
      <w:r w:rsidRPr="00E6086A">
        <w:rPr>
          <w:rFonts w:cs="Arial"/>
        </w:rPr>
        <w:t xml:space="preserve"> </w:t>
      </w:r>
      <w:r w:rsidR="00302495" w:rsidRPr="00E6086A">
        <w:rPr>
          <w:rFonts w:cs="Arial"/>
        </w:rPr>
        <w:t xml:space="preserve">su </w:t>
      </w:r>
      <w:r w:rsidRPr="00E6086A">
        <w:rPr>
          <w:rFonts w:cs="Arial"/>
        </w:rPr>
        <w:t>propuesta era la mejor</w:t>
      </w:r>
      <w:r w:rsidR="00302495" w:rsidRPr="00E6086A">
        <w:rPr>
          <w:rFonts w:cs="Arial"/>
        </w:rPr>
        <w:t xml:space="preserve"> y, por tanto, tenía derecho a la adjudicación del contrato. </w:t>
      </w:r>
    </w:p>
    <w:p w:rsidR="00E96B5B" w:rsidRPr="00E6086A" w:rsidRDefault="00E96B5B" w:rsidP="009D3798">
      <w:pPr>
        <w:pStyle w:val="Continuarlista2"/>
        <w:spacing w:after="0"/>
        <w:ind w:left="0"/>
        <w:rPr>
          <w:rFonts w:cs="Arial"/>
          <w:b/>
        </w:rPr>
      </w:pPr>
    </w:p>
    <w:p w:rsidR="003D178D" w:rsidRPr="00E6086A" w:rsidRDefault="003D178D" w:rsidP="009D3798">
      <w:pPr>
        <w:pStyle w:val="Continuarlista2"/>
        <w:spacing w:after="0"/>
        <w:ind w:left="0"/>
        <w:rPr>
          <w:rFonts w:cs="Arial"/>
          <w:b/>
        </w:rPr>
      </w:pPr>
      <w:r w:rsidRPr="00E6086A">
        <w:rPr>
          <w:rFonts w:cs="Arial"/>
          <w:b/>
        </w:rPr>
        <w:t>3. Concepto de violación</w:t>
      </w:r>
    </w:p>
    <w:p w:rsidR="000E2AD6" w:rsidRPr="00E6086A" w:rsidRDefault="000E2AD6" w:rsidP="009D3798">
      <w:pPr>
        <w:pStyle w:val="Continuarlista2"/>
        <w:spacing w:after="0"/>
        <w:ind w:left="0"/>
        <w:rPr>
          <w:rFonts w:cs="Arial"/>
        </w:rPr>
      </w:pPr>
    </w:p>
    <w:p w:rsidR="00DC39DE" w:rsidRPr="00E6086A" w:rsidRDefault="000E2AD6" w:rsidP="009D3798">
      <w:pPr>
        <w:pStyle w:val="Continuarlista2"/>
        <w:spacing w:after="0"/>
        <w:ind w:left="0"/>
        <w:rPr>
          <w:rFonts w:cs="Arial"/>
          <w:i/>
        </w:rPr>
      </w:pPr>
      <w:r w:rsidRPr="00E6086A">
        <w:rPr>
          <w:rFonts w:cs="Arial"/>
        </w:rPr>
        <w:t xml:space="preserve">La parte </w:t>
      </w:r>
      <w:r w:rsidR="008B03BA" w:rsidRPr="00E6086A">
        <w:rPr>
          <w:rFonts w:cs="Arial"/>
        </w:rPr>
        <w:t xml:space="preserve">actora </w:t>
      </w:r>
      <w:r w:rsidRPr="00E6086A">
        <w:rPr>
          <w:rFonts w:cs="Arial"/>
        </w:rPr>
        <w:t>i</w:t>
      </w:r>
      <w:r w:rsidR="006323F5" w:rsidRPr="00E6086A">
        <w:rPr>
          <w:rFonts w:cs="Arial"/>
        </w:rPr>
        <w:t xml:space="preserve">nvocó </w:t>
      </w:r>
      <w:r w:rsidR="00827F3B" w:rsidRPr="00E6086A">
        <w:rPr>
          <w:rFonts w:cs="Arial"/>
        </w:rPr>
        <w:t>el artículo 77 de la Ley 80 de 1993, en el cual se advierte que el acto de adjudicación es su</w:t>
      </w:r>
      <w:r w:rsidR="00234333" w:rsidRPr="00E6086A">
        <w:rPr>
          <w:rFonts w:cs="Arial"/>
        </w:rPr>
        <w:t>s</w:t>
      </w:r>
      <w:r w:rsidR="00827F3B" w:rsidRPr="00E6086A">
        <w:rPr>
          <w:rFonts w:cs="Arial"/>
        </w:rPr>
        <w:t>ceptible de la acción de nulidad y restablecimi</w:t>
      </w:r>
      <w:r w:rsidR="00234333" w:rsidRPr="00E6086A">
        <w:rPr>
          <w:rFonts w:cs="Arial"/>
        </w:rPr>
        <w:t>en</w:t>
      </w:r>
      <w:r w:rsidR="00827F3B" w:rsidRPr="00E6086A">
        <w:rPr>
          <w:rFonts w:cs="Arial"/>
        </w:rPr>
        <w:t>to del derecho. Como causales de nulidad invocó</w:t>
      </w:r>
      <w:r w:rsidR="00AE7504" w:rsidRPr="00E6086A">
        <w:rPr>
          <w:rFonts w:cs="Arial"/>
        </w:rPr>
        <w:t xml:space="preserve"> </w:t>
      </w:r>
      <w:r w:rsidR="00827F3B" w:rsidRPr="00E6086A">
        <w:rPr>
          <w:rFonts w:cs="Arial"/>
        </w:rPr>
        <w:t xml:space="preserve">la violación de </w:t>
      </w:r>
      <w:r w:rsidR="00AE7504" w:rsidRPr="00E6086A">
        <w:rPr>
          <w:rFonts w:cs="Arial"/>
        </w:rPr>
        <w:t>los artículos 29 y 3 de la Constitución Política y el apartamiento de los principios consagrados en los artículos 3, 23</w:t>
      </w:r>
      <w:r w:rsidR="00234333" w:rsidRPr="00E6086A">
        <w:rPr>
          <w:rFonts w:cs="Arial"/>
        </w:rPr>
        <w:t>, 24, 25, 26, 28, 29 y 30 de la Ley 80 de 1993</w:t>
      </w:r>
      <w:r w:rsidR="00DC39DE" w:rsidRPr="00E6086A">
        <w:rPr>
          <w:rFonts w:cs="Arial"/>
        </w:rPr>
        <w:t>. Agregó que l</w:t>
      </w:r>
      <w:r w:rsidR="008B3E29" w:rsidRPr="00E6086A">
        <w:rPr>
          <w:rFonts w:cs="Arial"/>
        </w:rPr>
        <w:t>a</w:t>
      </w:r>
      <w:r w:rsidR="00DC39DE" w:rsidRPr="00E6086A">
        <w:rPr>
          <w:rFonts w:cs="Arial"/>
        </w:rPr>
        <w:t xml:space="preserve"> resolución acusada incurrió en un abuso de poder y </w:t>
      </w:r>
      <w:r w:rsidR="00F26DB4" w:rsidRPr="00E6086A">
        <w:rPr>
          <w:rFonts w:cs="Arial"/>
        </w:rPr>
        <w:t xml:space="preserve">para fundar su concepto, </w:t>
      </w:r>
      <w:r w:rsidR="00DC39DE" w:rsidRPr="00E6086A">
        <w:rPr>
          <w:rFonts w:cs="Arial"/>
        </w:rPr>
        <w:t>reseñó la violación del punto 1.10, numeral 4 del pliego de condiciones en el cual se indicó que</w:t>
      </w:r>
      <w:r w:rsidR="00907417" w:rsidRPr="00E6086A">
        <w:rPr>
          <w:rFonts w:cs="Arial"/>
        </w:rPr>
        <w:t>:</w:t>
      </w:r>
      <w:r w:rsidR="00DC39DE" w:rsidRPr="00E6086A">
        <w:rPr>
          <w:rFonts w:cs="Arial"/>
        </w:rPr>
        <w:t xml:space="preserve"> “</w:t>
      </w:r>
      <w:r w:rsidR="00DC39DE" w:rsidRPr="00E6086A">
        <w:rPr>
          <w:rFonts w:cs="Arial"/>
          <w:i/>
        </w:rPr>
        <w:t>El municipio rechazará las propuestas que presenten la póliza por un valor inferior al solicitado”.</w:t>
      </w:r>
    </w:p>
    <w:p w:rsidR="0090169C" w:rsidRPr="00E6086A" w:rsidRDefault="0090169C" w:rsidP="009D3798">
      <w:pPr>
        <w:pStyle w:val="Lista3"/>
        <w:ind w:left="0" w:firstLine="0"/>
        <w:rPr>
          <w:rFonts w:cs="Arial"/>
        </w:rPr>
      </w:pPr>
    </w:p>
    <w:p w:rsidR="00F21484" w:rsidRPr="00E6086A" w:rsidRDefault="0015263D" w:rsidP="009D3798">
      <w:pPr>
        <w:pStyle w:val="Lista3"/>
        <w:ind w:left="0" w:firstLine="0"/>
        <w:rPr>
          <w:rFonts w:cs="Arial"/>
          <w:b/>
        </w:rPr>
      </w:pPr>
      <w:r w:rsidRPr="00E6086A">
        <w:rPr>
          <w:rFonts w:cs="Arial"/>
          <w:b/>
        </w:rPr>
        <w:t>4</w:t>
      </w:r>
      <w:r w:rsidR="00F21484" w:rsidRPr="00E6086A">
        <w:rPr>
          <w:rFonts w:cs="Arial"/>
          <w:b/>
        </w:rPr>
        <w:t>.</w:t>
      </w:r>
      <w:r w:rsidR="00CE2A56" w:rsidRPr="00E6086A">
        <w:rPr>
          <w:rFonts w:cs="Arial"/>
          <w:b/>
        </w:rPr>
        <w:t xml:space="preserve"> </w:t>
      </w:r>
      <w:r w:rsidR="00F21484" w:rsidRPr="00E6086A">
        <w:rPr>
          <w:rFonts w:cs="Arial"/>
          <w:b/>
        </w:rPr>
        <w:t>Actuación procesal</w:t>
      </w:r>
    </w:p>
    <w:p w:rsidR="00F21484" w:rsidRPr="00E6086A" w:rsidRDefault="00F21484" w:rsidP="009D3798">
      <w:pPr>
        <w:rPr>
          <w:rFonts w:cs="Arial"/>
          <w:bCs/>
          <w:iCs/>
        </w:rPr>
      </w:pPr>
    </w:p>
    <w:p w:rsidR="00265D85" w:rsidRPr="00E6086A" w:rsidRDefault="0015263D" w:rsidP="009D3798">
      <w:pPr>
        <w:pStyle w:val="Lista4"/>
        <w:ind w:left="0" w:firstLine="0"/>
        <w:rPr>
          <w:rFonts w:cs="Arial"/>
          <w:bCs/>
          <w:iCs/>
        </w:rPr>
      </w:pPr>
      <w:r w:rsidRPr="00E6086A">
        <w:rPr>
          <w:rFonts w:cs="Arial"/>
          <w:b/>
        </w:rPr>
        <w:lastRenderedPageBreak/>
        <w:t>4</w:t>
      </w:r>
      <w:r w:rsidR="00265D85" w:rsidRPr="00E6086A">
        <w:rPr>
          <w:rFonts w:cs="Arial"/>
          <w:b/>
        </w:rPr>
        <w:t>.1.</w:t>
      </w:r>
      <w:r w:rsidR="00CE2A56" w:rsidRPr="00E6086A">
        <w:rPr>
          <w:rFonts w:cs="Arial"/>
          <w:b/>
        </w:rPr>
        <w:t xml:space="preserve"> </w:t>
      </w:r>
      <w:r w:rsidR="0098368A" w:rsidRPr="00E6086A">
        <w:rPr>
          <w:rFonts w:cs="Arial"/>
        </w:rPr>
        <w:t>E</w:t>
      </w:r>
      <w:r w:rsidR="00F21484" w:rsidRPr="00E6086A">
        <w:rPr>
          <w:rFonts w:cs="Arial"/>
        </w:rPr>
        <w:t>l Tribunal Administrativo de</w:t>
      </w:r>
      <w:r w:rsidR="00232F37" w:rsidRPr="00E6086A">
        <w:rPr>
          <w:rFonts w:cs="Arial"/>
        </w:rPr>
        <w:t xml:space="preserve"> Antioquia </w:t>
      </w:r>
      <w:r w:rsidR="006D7845" w:rsidRPr="00E6086A">
        <w:rPr>
          <w:rFonts w:cs="Arial"/>
        </w:rPr>
        <w:t>ad</w:t>
      </w:r>
      <w:r w:rsidR="00885A4A" w:rsidRPr="00E6086A">
        <w:rPr>
          <w:rFonts w:cs="Arial"/>
        </w:rPr>
        <w:t xml:space="preserve">mitió la </w:t>
      </w:r>
      <w:r w:rsidR="0098368A" w:rsidRPr="00E6086A">
        <w:rPr>
          <w:rFonts w:cs="Arial"/>
        </w:rPr>
        <w:t xml:space="preserve">demanda mediante auto de </w:t>
      </w:r>
      <w:r w:rsidR="00646556" w:rsidRPr="00E6086A">
        <w:rPr>
          <w:rFonts w:cs="Arial"/>
        </w:rPr>
        <w:t>27</w:t>
      </w:r>
      <w:r w:rsidR="00EF0009" w:rsidRPr="00E6086A">
        <w:rPr>
          <w:rFonts w:cs="Arial"/>
        </w:rPr>
        <w:t xml:space="preserve"> de </w:t>
      </w:r>
      <w:r w:rsidR="00646556" w:rsidRPr="00E6086A">
        <w:rPr>
          <w:rFonts w:cs="Arial"/>
        </w:rPr>
        <w:t>noviembre</w:t>
      </w:r>
      <w:r w:rsidR="00EF0009" w:rsidRPr="00E6086A">
        <w:rPr>
          <w:rFonts w:cs="Arial"/>
        </w:rPr>
        <w:t xml:space="preserve"> de 200</w:t>
      </w:r>
      <w:r w:rsidR="00646556" w:rsidRPr="00E6086A">
        <w:rPr>
          <w:rFonts w:cs="Arial"/>
        </w:rPr>
        <w:t>2</w:t>
      </w:r>
      <w:r w:rsidR="00EF0009" w:rsidRPr="00E6086A">
        <w:rPr>
          <w:rStyle w:val="Refdenotaalpie"/>
          <w:rFonts w:cs="Arial"/>
        </w:rPr>
        <w:footnoteReference w:id="2"/>
      </w:r>
      <w:r w:rsidR="00026AEE" w:rsidRPr="00E6086A">
        <w:rPr>
          <w:rFonts w:cs="Arial"/>
        </w:rPr>
        <w:t xml:space="preserve"> y abrió el proceso a pruebas, a través del auto de 12 de agosto de 2003</w:t>
      </w:r>
      <w:r w:rsidR="00026AEE" w:rsidRPr="00E6086A">
        <w:rPr>
          <w:rStyle w:val="Refdenotaalpie"/>
          <w:rFonts w:cs="Arial"/>
        </w:rPr>
        <w:footnoteReference w:id="3"/>
      </w:r>
      <w:r w:rsidR="00280DB3" w:rsidRPr="00E6086A">
        <w:rPr>
          <w:rFonts w:cs="Arial"/>
        </w:rPr>
        <w:t>.</w:t>
      </w:r>
      <w:r w:rsidR="003B10EC" w:rsidRPr="00E6086A">
        <w:rPr>
          <w:rFonts w:cs="Arial"/>
          <w:bCs/>
          <w:iCs/>
        </w:rPr>
        <w:t xml:space="preserve"> </w:t>
      </w:r>
    </w:p>
    <w:p w:rsidR="00AA0BE1" w:rsidRPr="00E6086A" w:rsidRDefault="00AA0BE1" w:rsidP="009D3798">
      <w:pPr>
        <w:pStyle w:val="Lista4"/>
        <w:ind w:left="0" w:firstLine="0"/>
        <w:rPr>
          <w:rFonts w:cs="Arial"/>
          <w:bCs/>
          <w:iCs/>
        </w:rPr>
      </w:pPr>
    </w:p>
    <w:p w:rsidR="00F21484" w:rsidRPr="00E6086A" w:rsidRDefault="0015263D" w:rsidP="009D3798">
      <w:pPr>
        <w:pStyle w:val="Lista2"/>
        <w:ind w:left="0" w:firstLine="0"/>
        <w:rPr>
          <w:rFonts w:cs="Arial"/>
          <w:b/>
        </w:rPr>
      </w:pPr>
      <w:r w:rsidRPr="00E6086A">
        <w:rPr>
          <w:rFonts w:cs="Arial"/>
          <w:b/>
        </w:rPr>
        <w:t>4</w:t>
      </w:r>
      <w:r w:rsidR="0009687C" w:rsidRPr="00E6086A">
        <w:rPr>
          <w:rFonts w:cs="Arial"/>
          <w:b/>
        </w:rPr>
        <w:t>.</w:t>
      </w:r>
      <w:r w:rsidR="0070647A" w:rsidRPr="00E6086A">
        <w:rPr>
          <w:rFonts w:cs="Arial"/>
          <w:b/>
        </w:rPr>
        <w:t>2</w:t>
      </w:r>
      <w:r w:rsidR="0009687C" w:rsidRPr="00E6086A">
        <w:rPr>
          <w:rFonts w:cs="Arial"/>
          <w:b/>
        </w:rPr>
        <w:t>.</w:t>
      </w:r>
      <w:r w:rsidR="006144E0" w:rsidRPr="00E6086A">
        <w:rPr>
          <w:rFonts w:cs="Arial"/>
          <w:b/>
        </w:rPr>
        <w:t xml:space="preserve"> </w:t>
      </w:r>
      <w:r w:rsidR="00F21484" w:rsidRPr="00E6086A">
        <w:rPr>
          <w:rFonts w:cs="Arial"/>
          <w:b/>
        </w:rPr>
        <w:t>Contestación de la demanda</w:t>
      </w:r>
    </w:p>
    <w:p w:rsidR="00F21484" w:rsidRPr="00E6086A" w:rsidRDefault="00F21484" w:rsidP="009D3798">
      <w:pPr>
        <w:rPr>
          <w:rFonts w:cs="Arial"/>
          <w:b/>
          <w:bCs/>
          <w:iCs/>
        </w:rPr>
      </w:pPr>
    </w:p>
    <w:p w:rsidR="00693A8D" w:rsidRPr="00E6086A" w:rsidRDefault="00435553" w:rsidP="009D3798">
      <w:pPr>
        <w:pStyle w:val="Continuarlista2"/>
        <w:spacing w:after="0"/>
        <w:ind w:left="0"/>
        <w:rPr>
          <w:rFonts w:cs="Arial"/>
        </w:rPr>
      </w:pPr>
      <w:r w:rsidRPr="00E6086A">
        <w:rPr>
          <w:rFonts w:cs="Arial"/>
        </w:rPr>
        <w:t xml:space="preserve">En la contestación </w:t>
      </w:r>
      <w:r w:rsidR="00454D56" w:rsidRPr="00E6086A">
        <w:rPr>
          <w:rFonts w:cs="Arial"/>
        </w:rPr>
        <w:t>a</w:t>
      </w:r>
      <w:r w:rsidRPr="00E6086A">
        <w:rPr>
          <w:rFonts w:cs="Arial"/>
        </w:rPr>
        <w:t xml:space="preserve"> la demanda</w:t>
      </w:r>
      <w:r w:rsidR="00094559" w:rsidRPr="00E6086A">
        <w:rPr>
          <w:rFonts w:cs="Arial"/>
        </w:rPr>
        <w:t>,</w:t>
      </w:r>
      <w:r w:rsidR="00CB0A90" w:rsidRPr="00E6086A">
        <w:rPr>
          <w:rFonts w:cs="Arial"/>
        </w:rPr>
        <w:t xml:space="preserve"> </w:t>
      </w:r>
      <w:r w:rsidR="00280DB3" w:rsidRPr="00E6086A">
        <w:rPr>
          <w:rFonts w:cs="Arial"/>
        </w:rPr>
        <w:t xml:space="preserve">el municipio de Medellin </w:t>
      </w:r>
      <w:r w:rsidR="004C2763" w:rsidRPr="00E6086A">
        <w:rPr>
          <w:rFonts w:cs="Arial"/>
        </w:rPr>
        <w:t xml:space="preserve">observó que era una entidad territorial </w:t>
      </w:r>
      <w:r w:rsidR="009B3676" w:rsidRPr="00E6086A">
        <w:rPr>
          <w:rFonts w:cs="Arial"/>
        </w:rPr>
        <w:t xml:space="preserve">de </w:t>
      </w:r>
      <w:r w:rsidR="008D4E20" w:rsidRPr="00E6086A">
        <w:rPr>
          <w:rFonts w:cs="Arial"/>
        </w:rPr>
        <w:t xml:space="preserve">diferente </w:t>
      </w:r>
      <w:r w:rsidR="009B3676" w:rsidRPr="00E6086A">
        <w:rPr>
          <w:rFonts w:cs="Arial"/>
        </w:rPr>
        <w:t xml:space="preserve">naturaleza jurídica que </w:t>
      </w:r>
      <w:r w:rsidR="008D4E20" w:rsidRPr="00E6086A">
        <w:rPr>
          <w:rFonts w:cs="Arial"/>
        </w:rPr>
        <w:t xml:space="preserve">el </w:t>
      </w:r>
      <w:r w:rsidR="004C2763" w:rsidRPr="00E6086A">
        <w:rPr>
          <w:rFonts w:cs="Arial"/>
        </w:rPr>
        <w:t>INVAL</w:t>
      </w:r>
      <w:r w:rsidR="00693A8D" w:rsidRPr="00E6086A">
        <w:rPr>
          <w:rFonts w:cs="Arial"/>
        </w:rPr>
        <w:t xml:space="preserve"> y que este último era </w:t>
      </w:r>
      <w:r w:rsidR="004C2763" w:rsidRPr="00E6086A">
        <w:rPr>
          <w:rFonts w:cs="Arial"/>
        </w:rPr>
        <w:t xml:space="preserve">un establecimiento público, jurídicamente </w:t>
      </w:r>
      <w:r w:rsidR="008D4E20" w:rsidRPr="00E6086A">
        <w:rPr>
          <w:rFonts w:cs="Arial"/>
        </w:rPr>
        <w:t>autónomo</w:t>
      </w:r>
      <w:r w:rsidR="004C2763" w:rsidRPr="00E6086A">
        <w:rPr>
          <w:rFonts w:cs="Arial"/>
        </w:rPr>
        <w:t xml:space="preserve">. </w:t>
      </w:r>
      <w:r w:rsidR="00693A8D" w:rsidRPr="00E6086A">
        <w:rPr>
          <w:rFonts w:cs="Arial"/>
        </w:rPr>
        <w:t xml:space="preserve">Sin embargo, especificó que en </w:t>
      </w:r>
      <w:r w:rsidR="004C2763" w:rsidRPr="00E6086A">
        <w:rPr>
          <w:rFonts w:cs="Arial"/>
        </w:rPr>
        <w:t xml:space="preserve">la </w:t>
      </w:r>
      <w:r w:rsidR="00693A8D" w:rsidRPr="00E6086A">
        <w:rPr>
          <w:rFonts w:cs="Arial"/>
        </w:rPr>
        <w:t>R</w:t>
      </w:r>
      <w:r w:rsidR="004C2763" w:rsidRPr="00E6086A">
        <w:rPr>
          <w:rFonts w:cs="Arial"/>
        </w:rPr>
        <w:t xml:space="preserve">esolución </w:t>
      </w:r>
      <w:r w:rsidR="009D5CBF" w:rsidRPr="00E6086A">
        <w:rPr>
          <w:rFonts w:cs="Arial"/>
        </w:rPr>
        <w:t xml:space="preserve">1028 de 1999, expedida por el Alcalde de Medellín para dar </w:t>
      </w:r>
      <w:r w:rsidR="004C2763" w:rsidRPr="00E6086A">
        <w:rPr>
          <w:rFonts w:cs="Arial"/>
        </w:rPr>
        <w:t>apertura de la licitación</w:t>
      </w:r>
      <w:r w:rsidR="009D5CBF" w:rsidRPr="00E6086A">
        <w:rPr>
          <w:rFonts w:cs="Arial"/>
        </w:rPr>
        <w:t>,</w:t>
      </w:r>
      <w:r w:rsidR="004C2763" w:rsidRPr="00E6086A">
        <w:rPr>
          <w:rFonts w:cs="Arial"/>
        </w:rPr>
        <w:t xml:space="preserve"> se </w:t>
      </w:r>
      <w:r w:rsidR="009D5CBF" w:rsidRPr="00E6086A">
        <w:rPr>
          <w:rFonts w:cs="Arial"/>
        </w:rPr>
        <w:t xml:space="preserve">ordenó al </w:t>
      </w:r>
      <w:r w:rsidR="004C2763" w:rsidRPr="00E6086A">
        <w:rPr>
          <w:rFonts w:cs="Arial"/>
        </w:rPr>
        <w:t xml:space="preserve">INVAL </w:t>
      </w:r>
      <w:r w:rsidR="009D5CBF" w:rsidRPr="00E6086A">
        <w:rPr>
          <w:rFonts w:cs="Arial"/>
        </w:rPr>
        <w:t xml:space="preserve">adelantar los trámites correspondientes </w:t>
      </w:r>
      <w:r w:rsidR="004C2763" w:rsidRPr="00E6086A">
        <w:rPr>
          <w:rFonts w:cs="Arial"/>
        </w:rPr>
        <w:t xml:space="preserve">y </w:t>
      </w:r>
      <w:r w:rsidR="005D179C" w:rsidRPr="00E6086A">
        <w:rPr>
          <w:rFonts w:cs="Arial"/>
        </w:rPr>
        <w:t>que</w:t>
      </w:r>
      <w:r w:rsidR="00F26DB4" w:rsidRPr="00E6086A">
        <w:rPr>
          <w:rFonts w:cs="Arial"/>
        </w:rPr>
        <w:t xml:space="preserve">, por tanto, </w:t>
      </w:r>
      <w:r w:rsidR="008B3511" w:rsidRPr="00E6086A">
        <w:rPr>
          <w:rFonts w:cs="Arial"/>
        </w:rPr>
        <w:t xml:space="preserve">esa entidad obró dentro de </w:t>
      </w:r>
      <w:r w:rsidR="00693A8D" w:rsidRPr="00E6086A">
        <w:rPr>
          <w:rFonts w:cs="Arial"/>
        </w:rPr>
        <w:t xml:space="preserve">dicha autorización. </w:t>
      </w:r>
    </w:p>
    <w:p w:rsidR="00693A8D" w:rsidRPr="00E6086A" w:rsidRDefault="00693A8D" w:rsidP="009D3798">
      <w:pPr>
        <w:pStyle w:val="Continuarlista2"/>
        <w:spacing w:after="0"/>
        <w:ind w:left="0"/>
        <w:rPr>
          <w:rFonts w:cs="Arial"/>
        </w:rPr>
      </w:pPr>
    </w:p>
    <w:p w:rsidR="00F26DB4" w:rsidRPr="00E6086A" w:rsidRDefault="00693A8D" w:rsidP="009D3798">
      <w:pPr>
        <w:pStyle w:val="Continuarlista2"/>
        <w:spacing w:after="0"/>
        <w:ind w:left="0"/>
        <w:rPr>
          <w:rFonts w:cs="Arial"/>
        </w:rPr>
      </w:pPr>
      <w:r w:rsidRPr="00E6086A">
        <w:rPr>
          <w:rFonts w:cs="Arial"/>
        </w:rPr>
        <w:t xml:space="preserve">Puntualizó </w:t>
      </w:r>
      <w:r w:rsidR="008B3511" w:rsidRPr="00E6086A">
        <w:rPr>
          <w:rFonts w:cs="Arial"/>
        </w:rPr>
        <w:t xml:space="preserve">que </w:t>
      </w:r>
      <w:r w:rsidR="006A13AF" w:rsidRPr="00E6086A">
        <w:rPr>
          <w:rFonts w:cs="Arial"/>
        </w:rPr>
        <w:t xml:space="preserve">la entidad </w:t>
      </w:r>
      <w:r w:rsidR="008B3511" w:rsidRPr="00E6086A">
        <w:rPr>
          <w:rFonts w:cs="Arial"/>
        </w:rPr>
        <w:t>que adjudicó el contrato fue el municipio de Medellín.</w:t>
      </w:r>
    </w:p>
    <w:p w:rsidR="006A13AF" w:rsidRPr="00E6086A" w:rsidRDefault="005D179C" w:rsidP="009D3798">
      <w:pPr>
        <w:pStyle w:val="Continuarlista2"/>
        <w:spacing w:after="0"/>
        <w:ind w:left="0"/>
        <w:rPr>
          <w:rFonts w:cs="Arial"/>
        </w:rPr>
      </w:pPr>
      <w:r w:rsidRPr="00E6086A">
        <w:rPr>
          <w:rFonts w:cs="Arial"/>
        </w:rPr>
        <w:t xml:space="preserve"> </w:t>
      </w:r>
    </w:p>
    <w:p w:rsidR="004C2763" w:rsidRPr="00E6086A" w:rsidRDefault="005D179C" w:rsidP="009D3798">
      <w:pPr>
        <w:pStyle w:val="Continuarlista2"/>
        <w:spacing w:after="0"/>
        <w:ind w:left="0"/>
        <w:rPr>
          <w:rFonts w:cs="Arial"/>
        </w:rPr>
      </w:pPr>
      <w:r w:rsidRPr="00E6086A">
        <w:rPr>
          <w:rFonts w:cs="Arial"/>
        </w:rPr>
        <w:t>A</w:t>
      </w:r>
      <w:r w:rsidR="004C2763" w:rsidRPr="00E6086A">
        <w:rPr>
          <w:rFonts w:cs="Arial"/>
        </w:rPr>
        <w:t>llegó el Acuerdo 39 de 1981, expedido por el Concejo Municipal, mediante el cual se creó el Instituto Metropolitano de Valorización de Medellín INVAL.</w:t>
      </w:r>
    </w:p>
    <w:p w:rsidR="008D4E20" w:rsidRPr="00E6086A" w:rsidRDefault="008D4E20" w:rsidP="009D3798">
      <w:pPr>
        <w:pStyle w:val="Continuarlista2"/>
        <w:spacing w:after="0"/>
        <w:ind w:left="0"/>
        <w:rPr>
          <w:rFonts w:cs="Arial"/>
        </w:rPr>
      </w:pPr>
    </w:p>
    <w:p w:rsidR="004F4E99" w:rsidRPr="00E6086A" w:rsidRDefault="009B3676" w:rsidP="009D3798">
      <w:pPr>
        <w:pStyle w:val="Continuarlista2"/>
        <w:spacing w:after="0"/>
        <w:ind w:left="0"/>
        <w:rPr>
          <w:rFonts w:cs="Arial"/>
        </w:rPr>
      </w:pPr>
      <w:r w:rsidRPr="00E6086A">
        <w:rPr>
          <w:rFonts w:cs="Arial"/>
        </w:rPr>
        <w:t>O</w:t>
      </w:r>
      <w:r w:rsidR="00E153E9" w:rsidRPr="00E6086A">
        <w:rPr>
          <w:rFonts w:cs="Arial"/>
        </w:rPr>
        <w:t xml:space="preserve">bservó que </w:t>
      </w:r>
      <w:r w:rsidR="00280DB3" w:rsidRPr="00E6086A">
        <w:rPr>
          <w:rFonts w:cs="Arial"/>
        </w:rPr>
        <w:t>la cláusula contenida en el punto 10.4 del pliego de condiciones resultaba violatoria del artículo 25 de la Ley 80 de</w:t>
      </w:r>
      <w:r w:rsidRPr="00E6086A">
        <w:rPr>
          <w:rFonts w:cs="Arial"/>
        </w:rPr>
        <w:t xml:space="preserve"> </w:t>
      </w:r>
      <w:r w:rsidR="00280DB3" w:rsidRPr="00E6086A">
        <w:rPr>
          <w:rFonts w:cs="Arial"/>
        </w:rPr>
        <w:t>1993, toda vez que el rechazo de las propuestas solo era procedente con fundamento en requisitos que otorga</w:t>
      </w:r>
      <w:r w:rsidR="008B3E29" w:rsidRPr="00E6086A">
        <w:rPr>
          <w:rFonts w:cs="Arial"/>
        </w:rPr>
        <w:t>ba</w:t>
      </w:r>
      <w:r w:rsidR="00280DB3" w:rsidRPr="00E6086A">
        <w:rPr>
          <w:rFonts w:cs="Arial"/>
        </w:rPr>
        <w:t xml:space="preserve">n puntaje. Explicó que por esa razón se </w:t>
      </w:r>
      <w:r w:rsidR="006A13AF" w:rsidRPr="00E6086A">
        <w:rPr>
          <w:rFonts w:cs="Arial"/>
        </w:rPr>
        <w:t xml:space="preserve">incluyeron en la </w:t>
      </w:r>
      <w:r w:rsidR="00280DB3" w:rsidRPr="00E6086A">
        <w:rPr>
          <w:rFonts w:cs="Arial"/>
        </w:rPr>
        <w:t>califica</w:t>
      </w:r>
      <w:r w:rsidR="006A13AF" w:rsidRPr="00E6086A">
        <w:rPr>
          <w:rFonts w:cs="Arial"/>
        </w:rPr>
        <w:t xml:space="preserve">ción </w:t>
      </w:r>
      <w:r w:rsidR="00280DB3" w:rsidRPr="00E6086A">
        <w:rPr>
          <w:rFonts w:cs="Arial"/>
        </w:rPr>
        <w:t xml:space="preserve">todas las propuestas que </w:t>
      </w:r>
      <w:r w:rsidR="006A13AF" w:rsidRPr="00E6086A">
        <w:rPr>
          <w:rFonts w:cs="Arial"/>
        </w:rPr>
        <w:t xml:space="preserve">se </w:t>
      </w:r>
      <w:r w:rsidR="00280DB3" w:rsidRPr="00E6086A">
        <w:rPr>
          <w:rFonts w:cs="Arial"/>
        </w:rPr>
        <w:t>presentaron</w:t>
      </w:r>
      <w:r w:rsidR="006A13AF" w:rsidRPr="00E6086A">
        <w:rPr>
          <w:rFonts w:cs="Arial"/>
        </w:rPr>
        <w:t xml:space="preserve"> con </w:t>
      </w:r>
      <w:r w:rsidR="00280DB3" w:rsidRPr="00E6086A">
        <w:rPr>
          <w:rFonts w:cs="Arial"/>
        </w:rPr>
        <w:t xml:space="preserve">errores en </w:t>
      </w:r>
      <w:r w:rsidR="006A13AF" w:rsidRPr="00E6086A">
        <w:rPr>
          <w:rFonts w:cs="Arial"/>
        </w:rPr>
        <w:t xml:space="preserve">el valor de </w:t>
      </w:r>
      <w:r w:rsidR="00280DB3" w:rsidRPr="00E6086A">
        <w:rPr>
          <w:rFonts w:cs="Arial"/>
        </w:rPr>
        <w:t xml:space="preserve">la póliza de seriedad de la </w:t>
      </w:r>
      <w:r w:rsidR="00F00C19" w:rsidRPr="00E6086A">
        <w:rPr>
          <w:rFonts w:cs="Arial"/>
        </w:rPr>
        <w:t>oferta</w:t>
      </w:r>
      <w:r w:rsidR="00280DB3" w:rsidRPr="00E6086A">
        <w:rPr>
          <w:rFonts w:cs="Arial"/>
        </w:rPr>
        <w:t xml:space="preserve">. </w:t>
      </w:r>
    </w:p>
    <w:p w:rsidR="004F4E99" w:rsidRPr="00E6086A" w:rsidRDefault="004F4E99" w:rsidP="009D3798">
      <w:pPr>
        <w:pStyle w:val="Continuarlista2"/>
        <w:spacing w:after="0"/>
        <w:ind w:left="0"/>
        <w:rPr>
          <w:rFonts w:cs="Arial"/>
        </w:rPr>
      </w:pPr>
    </w:p>
    <w:p w:rsidR="004F4E99" w:rsidRPr="00E6086A" w:rsidRDefault="00F00C19" w:rsidP="009D3798">
      <w:pPr>
        <w:pStyle w:val="Continuarlista2"/>
        <w:spacing w:after="0"/>
        <w:ind w:left="0"/>
        <w:rPr>
          <w:rFonts w:cs="Arial"/>
        </w:rPr>
      </w:pPr>
      <w:r w:rsidRPr="00E6086A">
        <w:rPr>
          <w:rFonts w:cs="Arial"/>
        </w:rPr>
        <w:t xml:space="preserve">El municipio </w:t>
      </w:r>
      <w:r w:rsidR="006A13AF" w:rsidRPr="00E6086A">
        <w:rPr>
          <w:rFonts w:cs="Arial"/>
        </w:rPr>
        <w:t xml:space="preserve">de Medellín </w:t>
      </w:r>
      <w:r w:rsidRPr="00E6086A">
        <w:rPr>
          <w:rFonts w:cs="Arial"/>
        </w:rPr>
        <w:t>presentó como excepciones</w:t>
      </w:r>
      <w:r w:rsidR="002E1C1B" w:rsidRPr="00E6086A">
        <w:rPr>
          <w:rFonts w:cs="Arial"/>
        </w:rPr>
        <w:t>:</w:t>
      </w:r>
      <w:r w:rsidRPr="00E6086A">
        <w:rPr>
          <w:rFonts w:cs="Arial"/>
        </w:rPr>
        <w:t xml:space="preserve"> </w:t>
      </w:r>
      <w:r w:rsidR="002E1C1B" w:rsidRPr="00E6086A">
        <w:rPr>
          <w:rFonts w:cs="Arial"/>
          <w:b/>
        </w:rPr>
        <w:t>i)</w:t>
      </w:r>
      <w:r w:rsidR="002E1C1B" w:rsidRPr="00E6086A">
        <w:rPr>
          <w:rFonts w:cs="Arial"/>
        </w:rPr>
        <w:t xml:space="preserve"> </w:t>
      </w:r>
      <w:r w:rsidRPr="00E6086A">
        <w:rPr>
          <w:rFonts w:cs="Arial"/>
        </w:rPr>
        <w:t xml:space="preserve">la buena fe en la actuación </w:t>
      </w:r>
      <w:r w:rsidR="00161B5B" w:rsidRPr="00E6086A">
        <w:rPr>
          <w:rFonts w:cs="Arial"/>
        </w:rPr>
        <w:t xml:space="preserve">precontractual </w:t>
      </w:r>
      <w:r w:rsidRPr="00E6086A">
        <w:rPr>
          <w:rFonts w:cs="Arial"/>
        </w:rPr>
        <w:t xml:space="preserve">y </w:t>
      </w:r>
      <w:r w:rsidR="002E1C1B" w:rsidRPr="00E6086A">
        <w:rPr>
          <w:rFonts w:cs="Arial"/>
          <w:b/>
        </w:rPr>
        <w:t>ii)</w:t>
      </w:r>
      <w:r w:rsidR="002E1C1B" w:rsidRPr="00E6086A">
        <w:rPr>
          <w:rFonts w:cs="Arial"/>
        </w:rPr>
        <w:t xml:space="preserve"> </w:t>
      </w:r>
      <w:r w:rsidRPr="00E6086A">
        <w:rPr>
          <w:rFonts w:cs="Arial"/>
        </w:rPr>
        <w:t>la impro</w:t>
      </w:r>
      <w:r w:rsidR="004F4E99" w:rsidRPr="00E6086A">
        <w:rPr>
          <w:rFonts w:cs="Arial"/>
        </w:rPr>
        <w:t>ce</w:t>
      </w:r>
      <w:r w:rsidRPr="00E6086A">
        <w:rPr>
          <w:rFonts w:cs="Arial"/>
        </w:rPr>
        <w:t>de</w:t>
      </w:r>
      <w:r w:rsidR="004F4E99" w:rsidRPr="00E6086A">
        <w:rPr>
          <w:rFonts w:cs="Arial"/>
        </w:rPr>
        <w:t xml:space="preserve">ncia de la acción de nulidad y restablecimiento del derecho, </w:t>
      </w:r>
      <w:r w:rsidR="00161B5B" w:rsidRPr="00E6086A">
        <w:rPr>
          <w:rFonts w:cs="Arial"/>
        </w:rPr>
        <w:t xml:space="preserve">teniendo en cuenta </w:t>
      </w:r>
      <w:r w:rsidR="00C76C8C" w:rsidRPr="00E6086A">
        <w:rPr>
          <w:rFonts w:cs="Arial"/>
        </w:rPr>
        <w:t xml:space="preserve">que </w:t>
      </w:r>
      <w:r w:rsidR="004F4E99" w:rsidRPr="00E6086A">
        <w:rPr>
          <w:rFonts w:cs="Arial"/>
        </w:rPr>
        <w:t>la demanda</w:t>
      </w:r>
      <w:r w:rsidR="005A070A" w:rsidRPr="00E6086A">
        <w:rPr>
          <w:rFonts w:cs="Arial"/>
        </w:rPr>
        <w:t>da</w:t>
      </w:r>
      <w:r w:rsidR="004F4E99" w:rsidRPr="00E6086A">
        <w:rPr>
          <w:rFonts w:cs="Arial"/>
        </w:rPr>
        <w:t xml:space="preserve"> cuestionó todo el proceso </w:t>
      </w:r>
      <w:r w:rsidR="00161B5B" w:rsidRPr="00E6086A">
        <w:rPr>
          <w:rFonts w:cs="Arial"/>
        </w:rPr>
        <w:t>pre</w:t>
      </w:r>
      <w:r w:rsidR="004F4E99" w:rsidRPr="00E6086A">
        <w:rPr>
          <w:rFonts w:cs="Arial"/>
        </w:rPr>
        <w:t>contractual</w:t>
      </w:r>
      <w:r w:rsidR="00161B5B" w:rsidRPr="00E6086A">
        <w:rPr>
          <w:rFonts w:cs="Arial"/>
        </w:rPr>
        <w:t xml:space="preserve"> y no solo el acto de adjudicación</w:t>
      </w:r>
      <w:r w:rsidR="004F4E99" w:rsidRPr="00E6086A">
        <w:rPr>
          <w:rFonts w:cs="Arial"/>
        </w:rPr>
        <w:t xml:space="preserve">. </w:t>
      </w:r>
    </w:p>
    <w:p w:rsidR="009D24D9" w:rsidRPr="00E6086A" w:rsidRDefault="009D24D9" w:rsidP="009D3798">
      <w:pPr>
        <w:pStyle w:val="Continuarlista2"/>
        <w:spacing w:after="0"/>
        <w:ind w:left="0"/>
        <w:rPr>
          <w:rFonts w:cs="Arial"/>
        </w:rPr>
      </w:pPr>
    </w:p>
    <w:p w:rsidR="00F21484" w:rsidRPr="00E6086A" w:rsidRDefault="0015263D" w:rsidP="009D3798">
      <w:pPr>
        <w:pStyle w:val="Lista2"/>
        <w:ind w:left="0" w:firstLine="0"/>
        <w:rPr>
          <w:rFonts w:cs="Arial"/>
          <w:b/>
        </w:rPr>
      </w:pPr>
      <w:r w:rsidRPr="00E6086A">
        <w:rPr>
          <w:rFonts w:cs="Arial"/>
          <w:b/>
        </w:rPr>
        <w:t>4</w:t>
      </w:r>
      <w:r w:rsidR="0009687C" w:rsidRPr="00E6086A">
        <w:rPr>
          <w:rFonts w:cs="Arial"/>
          <w:b/>
        </w:rPr>
        <w:t>.</w:t>
      </w:r>
      <w:r w:rsidR="0070647A" w:rsidRPr="00E6086A">
        <w:rPr>
          <w:rFonts w:cs="Arial"/>
          <w:b/>
        </w:rPr>
        <w:t>3</w:t>
      </w:r>
      <w:r w:rsidR="00F21484" w:rsidRPr="00E6086A">
        <w:rPr>
          <w:rFonts w:cs="Arial"/>
          <w:b/>
        </w:rPr>
        <w:t>.</w:t>
      </w:r>
      <w:r w:rsidR="00077B4B" w:rsidRPr="00E6086A">
        <w:rPr>
          <w:rFonts w:cs="Arial"/>
          <w:b/>
        </w:rPr>
        <w:t xml:space="preserve"> </w:t>
      </w:r>
      <w:r w:rsidR="00F21484" w:rsidRPr="00E6086A">
        <w:rPr>
          <w:rFonts w:cs="Arial"/>
          <w:b/>
        </w:rPr>
        <w:t>La sentencia impugnada</w:t>
      </w:r>
    </w:p>
    <w:p w:rsidR="00D550F9" w:rsidRPr="00E6086A" w:rsidRDefault="00D550F9" w:rsidP="009D3798">
      <w:pPr>
        <w:numPr>
          <w:ilvl w:val="12"/>
          <w:numId w:val="0"/>
        </w:numPr>
        <w:rPr>
          <w:rFonts w:cs="Arial"/>
          <w:bCs/>
        </w:rPr>
      </w:pPr>
    </w:p>
    <w:p w:rsidR="00B3090F" w:rsidRPr="00E6086A" w:rsidRDefault="00D550F9" w:rsidP="009D3798">
      <w:pPr>
        <w:pStyle w:val="Continuarlista2"/>
        <w:spacing w:after="0"/>
        <w:ind w:left="0"/>
        <w:rPr>
          <w:rFonts w:cs="Arial"/>
        </w:rPr>
      </w:pPr>
      <w:r w:rsidRPr="00E6086A">
        <w:rPr>
          <w:rFonts w:cs="Arial"/>
        </w:rPr>
        <w:t xml:space="preserve">El Tribunal </w:t>
      </w:r>
      <w:r w:rsidR="00C90583" w:rsidRPr="00E6086A">
        <w:rPr>
          <w:rFonts w:cs="Arial"/>
        </w:rPr>
        <w:t>Administrativo de</w:t>
      </w:r>
      <w:r w:rsidR="00EF33A4" w:rsidRPr="00E6086A">
        <w:rPr>
          <w:rFonts w:cs="Arial"/>
        </w:rPr>
        <w:t xml:space="preserve"> </w:t>
      </w:r>
      <w:r w:rsidR="009B3676" w:rsidRPr="00E6086A">
        <w:rPr>
          <w:rFonts w:cs="Arial"/>
        </w:rPr>
        <w:t xml:space="preserve">Antioquia </w:t>
      </w:r>
      <w:r w:rsidRPr="00E6086A">
        <w:rPr>
          <w:rFonts w:cs="Arial"/>
        </w:rPr>
        <w:t xml:space="preserve">profirió sentencia </w:t>
      </w:r>
      <w:r w:rsidR="00276074" w:rsidRPr="00E6086A">
        <w:rPr>
          <w:rFonts w:cs="Arial"/>
        </w:rPr>
        <w:t xml:space="preserve">el </w:t>
      </w:r>
      <w:r w:rsidR="00EF33A4" w:rsidRPr="00E6086A">
        <w:rPr>
          <w:rFonts w:cs="Arial"/>
        </w:rPr>
        <w:t>2</w:t>
      </w:r>
      <w:r w:rsidR="000205A0" w:rsidRPr="00E6086A">
        <w:rPr>
          <w:rFonts w:cs="Arial"/>
        </w:rPr>
        <w:t>5</w:t>
      </w:r>
      <w:r w:rsidR="00EF33A4" w:rsidRPr="00E6086A">
        <w:rPr>
          <w:rFonts w:cs="Arial"/>
        </w:rPr>
        <w:t xml:space="preserve"> de </w:t>
      </w:r>
      <w:r w:rsidR="000205A0" w:rsidRPr="00E6086A">
        <w:rPr>
          <w:rFonts w:cs="Arial"/>
        </w:rPr>
        <w:t xml:space="preserve">agosto </w:t>
      </w:r>
      <w:r w:rsidR="00EF33A4" w:rsidRPr="00E6086A">
        <w:rPr>
          <w:rFonts w:cs="Arial"/>
        </w:rPr>
        <w:t>de 201</w:t>
      </w:r>
      <w:r w:rsidR="000205A0" w:rsidRPr="00E6086A">
        <w:rPr>
          <w:rFonts w:cs="Arial"/>
        </w:rPr>
        <w:t>1</w:t>
      </w:r>
      <w:r w:rsidR="00685CBA" w:rsidRPr="00E6086A">
        <w:rPr>
          <w:rFonts w:cs="Arial"/>
        </w:rPr>
        <w:t>,</w:t>
      </w:r>
      <w:r w:rsidR="00EF33A4" w:rsidRPr="00E6086A">
        <w:rPr>
          <w:rFonts w:cs="Arial"/>
        </w:rPr>
        <w:t xml:space="preserve"> </w:t>
      </w:r>
      <w:r w:rsidR="00B3090F" w:rsidRPr="00E6086A">
        <w:rPr>
          <w:rFonts w:cs="Arial"/>
        </w:rPr>
        <w:t>mediante la cual denegó las s</w:t>
      </w:r>
      <w:r w:rsidR="00E827DF" w:rsidRPr="00E6086A">
        <w:rPr>
          <w:rFonts w:cs="Arial"/>
        </w:rPr>
        <w:t>ú</w:t>
      </w:r>
      <w:r w:rsidR="00B3090F" w:rsidRPr="00E6086A">
        <w:rPr>
          <w:rFonts w:cs="Arial"/>
        </w:rPr>
        <w:t xml:space="preserve">plicas de la demanda. </w:t>
      </w:r>
    </w:p>
    <w:p w:rsidR="00B3090F" w:rsidRPr="00E6086A" w:rsidRDefault="00B3090F" w:rsidP="009D3798">
      <w:pPr>
        <w:pStyle w:val="Continuarlista2"/>
        <w:spacing w:after="0"/>
        <w:ind w:left="0"/>
        <w:rPr>
          <w:rFonts w:cs="Arial"/>
        </w:rPr>
      </w:pPr>
    </w:p>
    <w:p w:rsidR="00685CBA" w:rsidRPr="00E6086A" w:rsidRDefault="00B3090F" w:rsidP="009D3798">
      <w:pPr>
        <w:pStyle w:val="Continuarlista2"/>
        <w:spacing w:after="0"/>
        <w:ind w:left="0"/>
        <w:rPr>
          <w:rFonts w:cs="Arial"/>
        </w:rPr>
      </w:pPr>
      <w:r w:rsidRPr="00E6086A">
        <w:rPr>
          <w:rFonts w:cs="Arial"/>
        </w:rPr>
        <w:t xml:space="preserve">El Tribunal </w:t>
      </w:r>
      <w:r w:rsidRPr="00E6086A">
        <w:rPr>
          <w:rFonts w:cs="Arial"/>
          <w:i/>
        </w:rPr>
        <w:t>a quo</w:t>
      </w:r>
      <w:r w:rsidRPr="00E6086A">
        <w:rPr>
          <w:rFonts w:cs="Arial"/>
        </w:rPr>
        <w:t xml:space="preserve"> </w:t>
      </w:r>
      <w:r w:rsidR="000205A0" w:rsidRPr="00E6086A">
        <w:rPr>
          <w:rFonts w:cs="Arial"/>
        </w:rPr>
        <w:t xml:space="preserve">declaró que no procedía la objeción por error grave presentada frente al dictamen </w:t>
      </w:r>
      <w:r w:rsidR="00685CBA" w:rsidRPr="00E6086A">
        <w:rPr>
          <w:rFonts w:cs="Arial"/>
        </w:rPr>
        <w:t>pericial.</w:t>
      </w:r>
    </w:p>
    <w:p w:rsidR="00685CBA" w:rsidRPr="00E6086A" w:rsidRDefault="00685CBA" w:rsidP="009D3798">
      <w:pPr>
        <w:pStyle w:val="Continuarlista2"/>
        <w:spacing w:after="0"/>
        <w:ind w:left="0"/>
        <w:rPr>
          <w:rFonts w:cs="Arial"/>
        </w:rPr>
      </w:pPr>
    </w:p>
    <w:p w:rsidR="007E7658" w:rsidRPr="00E6086A" w:rsidRDefault="00685CBA" w:rsidP="009D3798">
      <w:pPr>
        <w:pStyle w:val="Continuarlista2"/>
        <w:spacing w:after="0"/>
        <w:ind w:left="0"/>
        <w:rPr>
          <w:rFonts w:cs="Arial"/>
        </w:rPr>
      </w:pPr>
      <w:r w:rsidRPr="00E6086A">
        <w:rPr>
          <w:rFonts w:cs="Arial"/>
        </w:rPr>
        <w:t>P</w:t>
      </w:r>
      <w:r w:rsidR="00EC799A" w:rsidRPr="00E6086A">
        <w:rPr>
          <w:rFonts w:cs="Arial"/>
        </w:rPr>
        <w:t>or otra parte</w:t>
      </w:r>
      <w:r w:rsidR="002E1C1B" w:rsidRPr="00E6086A">
        <w:rPr>
          <w:rFonts w:cs="Arial"/>
        </w:rPr>
        <w:t>,</w:t>
      </w:r>
      <w:r w:rsidR="000205A0" w:rsidRPr="00E6086A">
        <w:rPr>
          <w:rFonts w:cs="Arial"/>
        </w:rPr>
        <w:t xml:space="preserve"> </w:t>
      </w:r>
      <w:r w:rsidR="007E7658" w:rsidRPr="00E6086A">
        <w:rPr>
          <w:rFonts w:cs="Arial"/>
        </w:rPr>
        <w:t xml:space="preserve">observó que la controversia era susceptible de ventilarse </w:t>
      </w:r>
      <w:r w:rsidR="00EC799A" w:rsidRPr="00E6086A">
        <w:rPr>
          <w:rFonts w:cs="Arial"/>
        </w:rPr>
        <w:t xml:space="preserve">a través de la acción instaurada, </w:t>
      </w:r>
      <w:r w:rsidR="007E7658" w:rsidRPr="00E6086A">
        <w:rPr>
          <w:rFonts w:cs="Arial"/>
        </w:rPr>
        <w:t xml:space="preserve">dado que la demanda se presentó dentro del término de 4 meses </w:t>
      </w:r>
      <w:r w:rsidRPr="00E6086A">
        <w:rPr>
          <w:rFonts w:cs="Arial"/>
        </w:rPr>
        <w:t xml:space="preserve">referido a </w:t>
      </w:r>
      <w:r w:rsidR="007E7658" w:rsidRPr="00E6086A">
        <w:rPr>
          <w:rFonts w:cs="Arial"/>
        </w:rPr>
        <w:t xml:space="preserve">la acción de nulidad y restablecimiento del derecho contenida en el artículo 85 del CCA. </w:t>
      </w:r>
    </w:p>
    <w:p w:rsidR="007E7658" w:rsidRPr="00E6086A" w:rsidRDefault="007E7658" w:rsidP="009D3798">
      <w:pPr>
        <w:pStyle w:val="Continuarlista2"/>
        <w:spacing w:after="0"/>
        <w:ind w:left="0"/>
        <w:rPr>
          <w:rFonts w:cs="Arial"/>
        </w:rPr>
      </w:pPr>
    </w:p>
    <w:p w:rsidR="00F7715F" w:rsidRPr="00E6086A" w:rsidRDefault="00ED0F89" w:rsidP="009D3798">
      <w:pPr>
        <w:pStyle w:val="Continuarlista2"/>
        <w:spacing w:after="0"/>
        <w:ind w:left="0"/>
        <w:rPr>
          <w:rFonts w:cs="Arial"/>
        </w:rPr>
      </w:pPr>
      <w:r w:rsidRPr="00E6086A">
        <w:rPr>
          <w:rFonts w:cs="Arial"/>
        </w:rPr>
        <w:t>Al resolver el fondo del asunto</w:t>
      </w:r>
      <w:r w:rsidR="00685CBA" w:rsidRPr="00E6086A">
        <w:rPr>
          <w:rFonts w:cs="Arial"/>
        </w:rPr>
        <w:t>, la sentencia de primera instancia</w:t>
      </w:r>
      <w:r w:rsidRPr="00E6086A">
        <w:rPr>
          <w:rFonts w:cs="Arial"/>
        </w:rPr>
        <w:t xml:space="preserve"> reseñó que el INVAL obr</w:t>
      </w:r>
      <w:r w:rsidR="00B22157" w:rsidRPr="00E6086A">
        <w:rPr>
          <w:rFonts w:cs="Arial"/>
        </w:rPr>
        <w:t>aba</w:t>
      </w:r>
      <w:r w:rsidRPr="00E6086A">
        <w:rPr>
          <w:rFonts w:cs="Arial"/>
        </w:rPr>
        <w:t xml:space="preserve"> como delegatario para adelantar las actuaciones del procedimiento precontractual</w:t>
      </w:r>
      <w:r w:rsidR="00EC799A" w:rsidRPr="00E6086A">
        <w:rPr>
          <w:rFonts w:cs="Arial"/>
        </w:rPr>
        <w:t xml:space="preserve"> y que</w:t>
      </w:r>
      <w:r w:rsidR="002E1C1B" w:rsidRPr="00E6086A">
        <w:rPr>
          <w:rFonts w:cs="Arial"/>
        </w:rPr>
        <w:t>,</w:t>
      </w:r>
      <w:r w:rsidR="00EC799A" w:rsidRPr="00E6086A">
        <w:rPr>
          <w:rFonts w:cs="Arial"/>
        </w:rPr>
        <w:t xml:space="preserve"> en tal calidad</w:t>
      </w:r>
      <w:r w:rsidR="002E1C1B" w:rsidRPr="00E6086A">
        <w:rPr>
          <w:rFonts w:cs="Arial"/>
        </w:rPr>
        <w:t>,</w:t>
      </w:r>
      <w:r w:rsidR="00EC799A" w:rsidRPr="00E6086A">
        <w:rPr>
          <w:rFonts w:cs="Arial"/>
        </w:rPr>
        <w:t xml:space="preserve"> </w:t>
      </w:r>
      <w:r w:rsidR="00402501" w:rsidRPr="00E6086A">
        <w:rPr>
          <w:rFonts w:cs="Arial"/>
        </w:rPr>
        <w:t>presentó el informe de calificación, no obstante lo cual en la audiencia del 23 de diciembre de 1999, en atención a las observaciones de los participantes, el secretario de obras públicas</w:t>
      </w:r>
      <w:r w:rsidR="00EC799A" w:rsidRPr="00E6086A">
        <w:rPr>
          <w:rFonts w:cs="Arial"/>
        </w:rPr>
        <w:t xml:space="preserve"> del municipio </w:t>
      </w:r>
      <w:r w:rsidR="00402501" w:rsidRPr="00E6086A">
        <w:rPr>
          <w:rFonts w:cs="Arial"/>
        </w:rPr>
        <w:t>motivó la re</w:t>
      </w:r>
      <w:r w:rsidR="00F7715F" w:rsidRPr="00E6086A">
        <w:rPr>
          <w:rFonts w:cs="Arial"/>
        </w:rPr>
        <w:t>s</w:t>
      </w:r>
      <w:r w:rsidR="00402501" w:rsidRPr="00E6086A">
        <w:rPr>
          <w:rFonts w:cs="Arial"/>
        </w:rPr>
        <w:t xml:space="preserve">puesta de </w:t>
      </w:r>
      <w:r w:rsidR="008D79CA" w:rsidRPr="00E6086A">
        <w:rPr>
          <w:rFonts w:cs="Arial"/>
        </w:rPr>
        <w:t>la entidad territorial a las observaciones de los distintos p</w:t>
      </w:r>
      <w:r w:rsidR="00CC607D" w:rsidRPr="00E6086A">
        <w:rPr>
          <w:rFonts w:cs="Arial"/>
        </w:rPr>
        <w:t>roponentes</w:t>
      </w:r>
      <w:r w:rsidR="008D79CA" w:rsidRPr="00E6086A">
        <w:rPr>
          <w:rFonts w:cs="Arial"/>
        </w:rPr>
        <w:t xml:space="preserve"> </w:t>
      </w:r>
      <w:r w:rsidR="00402501" w:rsidRPr="00E6086A">
        <w:rPr>
          <w:rFonts w:cs="Arial"/>
        </w:rPr>
        <w:t xml:space="preserve">y </w:t>
      </w:r>
      <w:r w:rsidR="008D79CA" w:rsidRPr="00E6086A">
        <w:rPr>
          <w:rFonts w:cs="Arial"/>
        </w:rPr>
        <w:t xml:space="preserve">fundamentó </w:t>
      </w:r>
      <w:r w:rsidR="00402501" w:rsidRPr="00E6086A">
        <w:rPr>
          <w:rFonts w:cs="Arial"/>
        </w:rPr>
        <w:t>la decisión adoptada</w:t>
      </w:r>
      <w:r w:rsidR="008D79CA" w:rsidRPr="00E6086A">
        <w:rPr>
          <w:rFonts w:cs="Arial"/>
        </w:rPr>
        <w:t xml:space="preserve"> indicando que el municipio </w:t>
      </w:r>
      <w:r w:rsidR="00F7715F" w:rsidRPr="00E6086A">
        <w:rPr>
          <w:rFonts w:cs="Arial"/>
        </w:rPr>
        <w:t xml:space="preserve">no estaba de acuerdo con el INVAL, dado que no se podían rechazar las propuestas por asuntos formales. </w:t>
      </w:r>
    </w:p>
    <w:p w:rsidR="00F7715F" w:rsidRPr="00E6086A" w:rsidRDefault="00F7715F" w:rsidP="009D3798">
      <w:pPr>
        <w:pStyle w:val="Continuarlista2"/>
        <w:spacing w:after="0"/>
        <w:ind w:left="0"/>
        <w:rPr>
          <w:rFonts w:cs="Arial"/>
        </w:rPr>
      </w:pPr>
    </w:p>
    <w:p w:rsidR="00795EFD" w:rsidRPr="00E6086A" w:rsidRDefault="00F7715F" w:rsidP="009D3798">
      <w:pPr>
        <w:pStyle w:val="Continuarlista2"/>
        <w:spacing w:after="0"/>
        <w:ind w:left="0"/>
        <w:rPr>
          <w:rFonts w:cs="Arial"/>
        </w:rPr>
      </w:pPr>
      <w:r w:rsidRPr="00E6086A">
        <w:rPr>
          <w:rFonts w:cs="Arial"/>
        </w:rPr>
        <w:t xml:space="preserve">De acuerdo con </w:t>
      </w:r>
      <w:r w:rsidR="00C76C8C" w:rsidRPr="00E6086A">
        <w:rPr>
          <w:rFonts w:cs="Arial"/>
        </w:rPr>
        <w:t>su</w:t>
      </w:r>
      <w:r w:rsidRPr="00E6086A">
        <w:rPr>
          <w:rFonts w:cs="Arial"/>
        </w:rPr>
        <w:t xml:space="preserve"> análisis </w:t>
      </w:r>
      <w:r w:rsidR="00685CBA" w:rsidRPr="00E6086A">
        <w:rPr>
          <w:rFonts w:cs="Arial"/>
        </w:rPr>
        <w:t xml:space="preserve">sobre las motivaciones </w:t>
      </w:r>
      <w:r w:rsidRPr="00E6086A">
        <w:rPr>
          <w:rFonts w:cs="Arial"/>
        </w:rPr>
        <w:t xml:space="preserve">del acta de la audiencia y de la Resolución 075 del 23 de diciembre de 1999, mediante la cual el municipio realizó </w:t>
      </w:r>
      <w:r w:rsidR="00795EFD" w:rsidRPr="00E6086A">
        <w:rPr>
          <w:rFonts w:cs="Arial"/>
        </w:rPr>
        <w:t xml:space="preserve">la adjudicación, el </w:t>
      </w:r>
      <w:r w:rsidR="008D79CA" w:rsidRPr="00E6086A">
        <w:rPr>
          <w:rFonts w:cs="Arial"/>
        </w:rPr>
        <w:t>T</w:t>
      </w:r>
      <w:r w:rsidR="00795EFD" w:rsidRPr="00E6086A">
        <w:rPr>
          <w:rFonts w:cs="Arial"/>
        </w:rPr>
        <w:t xml:space="preserve">ribunal </w:t>
      </w:r>
      <w:r w:rsidR="00795EFD" w:rsidRPr="00E6086A">
        <w:rPr>
          <w:rFonts w:cs="Arial"/>
          <w:i/>
        </w:rPr>
        <w:t>a quo</w:t>
      </w:r>
      <w:r w:rsidR="00795EFD" w:rsidRPr="00E6086A">
        <w:rPr>
          <w:rFonts w:cs="Arial"/>
        </w:rPr>
        <w:t xml:space="preserve"> observó que los proponentes fueron debidamente </w:t>
      </w:r>
      <w:r w:rsidR="00CB7005" w:rsidRPr="00E6086A">
        <w:rPr>
          <w:rFonts w:cs="Arial"/>
        </w:rPr>
        <w:t xml:space="preserve">informados </w:t>
      </w:r>
      <w:r w:rsidR="00795EFD" w:rsidRPr="00E6086A">
        <w:rPr>
          <w:rFonts w:cs="Arial"/>
        </w:rPr>
        <w:t>de la</w:t>
      </w:r>
      <w:r w:rsidR="009773A1" w:rsidRPr="00E6086A">
        <w:rPr>
          <w:rFonts w:cs="Arial"/>
        </w:rPr>
        <w:t xml:space="preserve">s razones </w:t>
      </w:r>
      <w:r w:rsidR="00795EFD" w:rsidRPr="00E6086A">
        <w:rPr>
          <w:rFonts w:cs="Arial"/>
        </w:rPr>
        <w:t xml:space="preserve">de la decisión y </w:t>
      </w:r>
      <w:r w:rsidR="009773A1" w:rsidRPr="00E6086A">
        <w:rPr>
          <w:rFonts w:cs="Arial"/>
        </w:rPr>
        <w:t xml:space="preserve">advirtió, </w:t>
      </w:r>
      <w:r w:rsidR="00795EFD" w:rsidRPr="00E6086A">
        <w:rPr>
          <w:rFonts w:cs="Arial"/>
        </w:rPr>
        <w:t xml:space="preserve">por otra parte, </w:t>
      </w:r>
      <w:r w:rsidR="009773A1" w:rsidRPr="00E6086A">
        <w:rPr>
          <w:rFonts w:cs="Arial"/>
        </w:rPr>
        <w:t xml:space="preserve">que </w:t>
      </w:r>
      <w:r w:rsidR="00795EFD" w:rsidRPr="00E6086A">
        <w:rPr>
          <w:rFonts w:cs="Arial"/>
        </w:rPr>
        <w:t xml:space="preserve">el concepto del INVAL no </w:t>
      </w:r>
      <w:r w:rsidR="00604F23" w:rsidRPr="00E6086A">
        <w:rPr>
          <w:rFonts w:cs="Arial"/>
        </w:rPr>
        <w:t>tenía la naturaleza de</w:t>
      </w:r>
      <w:r w:rsidR="00795EFD" w:rsidRPr="00E6086A">
        <w:rPr>
          <w:rFonts w:cs="Arial"/>
        </w:rPr>
        <w:t xml:space="preserve"> una decisión administrativa.</w:t>
      </w:r>
    </w:p>
    <w:p w:rsidR="00795EFD" w:rsidRPr="00E6086A" w:rsidRDefault="00795EFD" w:rsidP="009D3798">
      <w:pPr>
        <w:pStyle w:val="Continuarlista2"/>
        <w:spacing w:after="0"/>
        <w:ind w:left="0"/>
        <w:rPr>
          <w:rFonts w:cs="Arial"/>
        </w:rPr>
      </w:pPr>
    </w:p>
    <w:p w:rsidR="009773A1" w:rsidRPr="00E6086A" w:rsidRDefault="002752C8" w:rsidP="009D3798">
      <w:pPr>
        <w:pStyle w:val="Continuarlista2"/>
        <w:spacing w:after="0"/>
        <w:ind w:left="0"/>
        <w:rPr>
          <w:rFonts w:cs="Arial"/>
        </w:rPr>
      </w:pPr>
      <w:r w:rsidRPr="00E6086A">
        <w:rPr>
          <w:rFonts w:cs="Arial"/>
        </w:rPr>
        <w:t xml:space="preserve">El Tribunal </w:t>
      </w:r>
      <w:r w:rsidRPr="00E6086A">
        <w:rPr>
          <w:rFonts w:cs="Arial"/>
          <w:i/>
        </w:rPr>
        <w:t>a quo</w:t>
      </w:r>
      <w:r w:rsidRPr="00E6086A">
        <w:rPr>
          <w:rFonts w:cs="Arial"/>
        </w:rPr>
        <w:t xml:space="preserve"> estimó que la actuación del municipio se ajustó a los principios que rigen el proceso licitatorio y que </w:t>
      </w:r>
      <w:r w:rsidR="009773A1" w:rsidRPr="00E6086A">
        <w:rPr>
          <w:rFonts w:cs="Arial"/>
        </w:rPr>
        <w:t xml:space="preserve">se </w:t>
      </w:r>
      <w:r w:rsidRPr="00E6086A">
        <w:rPr>
          <w:rFonts w:cs="Arial"/>
        </w:rPr>
        <w:t>efectuó una interpretación razonable del pliego</w:t>
      </w:r>
      <w:r w:rsidR="00CB7005" w:rsidRPr="00E6086A">
        <w:rPr>
          <w:rFonts w:cs="Arial"/>
        </w:rPr>
        <w:t xml:space="preserve"> de condiciones</w:t>
      </w:r>
      <w:r w:rsidR="006E0AAE" w:rsidRPr="00E6086A">
        <w:rPr>
          <w:rFonts w:cs="Arial"/>
        </w:rPr>
        <w:t xml:space="preserve">, toda vez que la decisión de rechazo </w:t>
      </w:r>
      <w:r w:rsidR="00604F23" w:rsidRPr="00E6086A">
        <w:rPr>
          <w:rFonts w:cs="Arial"/>
        </w:rPr>
        <w:t xml:space="preserve">de la oferta para efectos de la calificación, </w:t>
      </w:r>
      <w:r w:rsidR="006E0AAE" w:rsidRPr="00E6086A">
        <w:rPr>
          <w:rFonts w:cs="Arial"/>
        </w:rPr>
        <w:t>adoptada en</w:t>
      </w:r>
      <w:r w:rsidR="00DA5F8B" w:rsidRPr="00E6086A">
        <w:rPr>
          <w:rFonts w:cs="Arial"/>
        </w:rPr>
        <w:t xml:space="preserve"> </w:t>
      </w:r>
      <w:r w:rsidR="006E0AAE" w:rsidRPr="00E6086A">
        <w:rPr>
          <w:rFonts w:cs="Arial"/>
        </w:rPr>
        <w:t>los estudios del INVAL</w:t>
      </w:r>
      <w:r w:rsidR="00604F23" w:rsidRPr="00E6086A">
        <w:rPr>
          <w:rFonts w:cs="Arial"/>
        </w:rPr>
        <w:t>,</w:t>
      </w:r>
      <w:r w:rsidR="006E0AAE" w:rsidRPr="00E6086A">
        <w:rPr>
          <w:rFonts w:cs="Arial"/>
        </w:rPr>
        <w:t xml:space="preserve"> </w:t>
      </w:r>
      <w:r w:rsidR="00604F23" w:rsidRPr="00E6086A">
        <w:rPr>
          <w:rFonts w:cs="Arial"/>
        </w:rPr>
        <w:t xml:space="preserve">se fundó en </w:t>
      </w:r>
      <w:r w:rsidR="006E0AAE" w:rsidRPr="00E6086A">
        <w:rPr>
          <w:rFonts w:cs="Arial"/>
        </w:rPr>
        <w:t xml:space="preserve">un requisito puramente formal y no sustancial, </w:t>
      </w:r>
      <w:r w:rsidR="00604F23" w:rsidRPr="00E6086A">
        <w:rPr>
          <w:rFonts w:cs="Arial"/>
        </w:rPr>
        <w:t xml:space="preserve">el cual </w:t>
      </w:r>
      <w:r w:rsidR="006E0AAE" w:rsidRPr="00E6086A">
        <w:rPr>
          <w:rFonts w:cs="Arial"/>
        </w:rPr>
        <w:t xml:space="preserve">no daba </w:t>
      </w:r>
      <w:r w:rsidR="00CB7005" w:rsidRPr="00E6086A">
        <w:rPr>
          <w:rFonts w:cs="Arial"/>
        </w:rPr>
        <w:t xml:space="preserve">lugar a </w:t>
      </w:r>
      <w:r w:rsidR="00604F23" w:rsidRPr="00E6086A">
        <w:rPr>
          <w:rFonts w:cs="Arial"/>
        </w:rPr>
        <w:t xml:space="preserve">excluir </w:t>
      </w:r>
      <w:r w:rsidR="006E0AAE" w:rsidRPr="00E6086A">
        <w:rPr>
          <w:rFonts w:cs="Arial"/>
        </w:rPr>
        <w:t>la</w:t>
      </w:r>
      <w:r w:rsidR="009A37B9">
        <w:rPr>
          <w:rFonts w:cs="Arial"/>
        </w:rPr>
        <w:t>s</w:t>
      </w:r>
      <w:r w:rsidR="006E0AAE" w:rsidRPr="00E6086A">
        <w:rPr>
          <w:rFonts w:cs="Arial"/>
        </w:rPr>
        <w:t xml:space="preserve"> propuestas</w:t>
      </w:r>
      <w:r w:rsidR="00F333F4" w:rsidRPr="00E6086A">
        <w:rPr>
          <w:rFonts w:cs="Arial"/>
        </w:rPr>
        <w:t xml:space="preserve"> que presentaban errores en la póliza de seriedad de la oferta</w:t>
      </w:r>
      <w:r w:rsidR="002E1C1B" w:rsidRPr="00E6086A">
        <w:rPr>
          <w:rFonts w:cs="Arial"/>
        </w:rPr>
        <w:t>.</w:t>
      </w:r>
    </w:p>
    <w:p w:rsidR="00DA5F8B" w:rsidRPr="00E6086A" w:rsidRDefault="00DA5F8B" w:rsidP="009D3798">
      <w:pPr>
        <w:pStyle w:val="Continuarlista2"/>
        <w:spacing w:after="0"/>
        <w:ind w:left="0"/>
        <w:rPr>
          <w:rFonts w:cs="Arial"/>
        </w:rPr>
      </w:pPr>
    </w:p>
    <w:p w:rsidR="00981A61" w:rsidRPr="00E6086A" w:rsidRDefault="00DA5F8B" w:rsidP="009D3798">
      <w:pPr>
        <w:pStyle w:val="Continuarlista2"/>
        <w:spacing w:after="0"/>
        <w:ind w:left="0"/>
        <w:rPr>
          <w:rFonts w:cs="Arial"/>
        </w:rPr>
      </w:pPr>
      <w:r w:rsidRPr="00E6086A">
        <w:rPr>
          <w:rFonts w:cs="Arial"/>
        </w:rPr>
        <w:t xml:space="preserve">El Tribunal </w:t>
      </w:r>
      <w:r w:rsidRPr="00E6086A">
        <w:rPr>
          <w:rFonts w:cs="Arial"/>
          <w:i/>
        </w:rPr>
        <w:t>a quo</w:t>
      </w:r>
      <w:r w:rsidRPr="00E6086A">
        <w:rPr>
          <w:rFonts w:cs="Arial"/>
        </w:rPr>
        <w:t xml:space="preserve"> invocó la jurisprudencia del Consejo de Estado, en casos similares</w:t>
      </w:r>
      <w:r w:rsidRPr="00E6086A">
        <w:rPr>
          <w:rStyle w:val="Refdenotaalpie"/>
          <w:rFonts w:cs="Arial"/>
        </w:rPr>
        <w:footnoteReference w:id="4"/>
      </w:r>
      <w:r w:rsidRPr="00E6086A">
        <w:rPr>
          <w:rFonts w:cs="Arial"/>
        </w:rPr>
        <w:t xml:space="preserve">. </w:t>
      </w:r>
    </w:p>
    <w:p w:rsidR="00981A61" w:rsidRPr="00E6086A" w:rsidRDefault="00981A61" w:rsidP="009D3798">
      <w:pPr>
        <w:pStyle w:val="Continuarlista2"/>
        <w:spacing w:after="0"/>
        <w:ind w:left="0"/>
        <w:rPr>
          <w:rFonts w:cs="Arial"/>
        </w:rPr>
      </w:pPr>
    </w:p>
    <w:p w:rsidR="00CB7005" w:rsidRPr="00E6086A" w:rsidRDefault="00981A61" w:rsidP="009D3798">
      <w:pPr>
        <w:pStyle w:val="Continuarlista2"/>
        <w:spacing w:after="0"/>
        <w:ind w:left="0"/>
        <w:rPr>
          <w:rFonts w:cs="Arial"/>
        </w:rPr>
      </w:pPr>
      <w:r w:rsidRPr="00E6086A">
        <w:rPr>
          <w:rFonts w:cs="Arial"/>
        </w:rPr>
        <w:lastRenderedPageBreak/>
        <w:t xml:space="preserve">Finalmente, el Tribunal </w:t>
      </w:r>
      <w:r w:rsidRPr="00E6086A">
        <w:rPr>
          <w:rFonts w:cs="Arial"/>
          <w:i/>
        </w:rPr>
        <w:t>a quo</w:t>
      </w:r>
      <w:r w:rsidRPr="00E6086A">
        <w:rPr>
          <w:rFonts w:cs="Arial"/>
        </w:rPr>
        <w:t xml:space="preserve"> estimó que la parte demandante no log</w:t>
      </w:r>
      <w:r w:rsidR="00FC2910" w:rsidRPr="00E6086A">
        <w:rPr>
          <w:rFonts w:cs="Arial"/>
        </w:rPr>
        <w:t>r</w:t>
      </w:r>
      <w:r w:rsidR="00CB7005" w:rsidRPr="00E6086A">
        <w:rPr>
          <w:rFonts w:cs="Arial"/>
        </w:rPr>
        <w:t xml:space="preserve">ó </w:t>
      </w:r>
      <w:r w:rsidRPr="00E6086A">
        <w:rPr>
          <w:rFonts w:cs="Arial"/>
        </w:rPr>
        <w:t>desvirtuar la legalidad del acto de adjudicación</w:t>
      </w:r>
      <w:r w:rsidR="00CB7005" w:rsidRPr="00E6086A">
        <w:rPr>
          <w:rFonts w:cs="Arial"/>
        </w:rPr>
        <w:t>.</w:t>
      </w:r>
    </w:p>
    <w:p w:rsidR="00FC2910" w:rsidRPr="00E6086A" w:rsidRDefault="00FC2910" w:rsidP="009D3798">
      <w:pPr>
        <w:pStyle w:val="Lista2"/>
        <w:ind w:left="0" w:firstLine="0"/>
        <w:rPr>
          <w:rFonts w:cs="Arial"/>
          <w:b/>
          <w:lang w:val="es-MX"/>
        </w:rPr>
      </w:pPr>
    </w:p>
    <w:p w:rsidR="000E6697" w:rsidRPr="00E6086A" w:rsidRDefault="0015263D" w:rsidP="009D3798">
      <w:pPr>
        <w:pStyle w:val="Lista2"/>
        <w:ind w:left="0" w:firstLine="0"/>
        <w:rPr>
          <w:rFonts w:cs="Arial"/>
          <w:b/>
          <w:lang w:val="es-MX"/>
        </w:rPr>
      </w:pPr>
      <w:r w:rsidRPr="00E6086A">
        <w:rPr>
          <w:rFonts w:cs="Arial"/>
          <w:b/>
          <w:lang w:val="es-MX"/>
        </w:rPr>
        <w:t>4</w:t>
      </w:r>
      <w:r w:rsidR="00C23021" w:rsidRPr="00E6086A">
        <w:rPr>
          <w:rFonts w:cs="Arial"/>
          <w:b/>
          <w:lang w:val="es-MX"/>
        </w:rPr>
        <w:t>.</w:t>
      </w:r>
      <w:r w:rsidR="0070647A" w:rsidRPr="00E6086A">
        <w:rPr>
          <w:rFonts w:cs="Arial"/>
          <w:b/>
          <w:lang w:val="es-MX"/>
        </w:rPr>
        <w:t>4</w:t>
      </w:r>
      <w:r w:rsidR="00C23021" w:rsidRPr="00E6086A">
        <w:rPr>
          <w:rFonts w:cs="Arial"/>
          <w:b/>
          <w:lang w:val="es-MX"/>
        </w:rPr>
        <w:t>.</w:t>
      </w:r>
      <w:r w:rsidR="00A25E83" w:rsidRPr="00E6086A">
        <w:rPr>
          <w:rFonts w:cs="Arial"/>
          <w:b/>
          <w:lang w:val="es-MX"/>
        </w:rPr>
        <w:t xml:space="preserve"> </w:t>
      </w:r>
      <w:r w:rsidR="00484F35" w:rsidRPr="00E6086A">
        <w:rPr>
          <w:rFonts w:cs="Arial"/>
          <w:b/>
          <w:lang w:val="es-MX"/>
        </w:rPr>
        <w:t>El</w:t>
      </w:r>
      <w:r w:rsidR="000E6697" w:rsidRPr="00E6086A">
        <w:rPr>
          <w:rFonts w:cs="Arial"/>
          <w:b/>
          <w:lang w:val="es-MX"/>
        </w:rPr>
        <w:t xml:space="preserve"> recurso de apelación</w:t>
      </w:r>
      <w:r w:rsidR="00F21484" w:rsidRPr="00E6086A">
        <w:rPr>
          <w:rFonts w:cs="Arial"/>
          <w:b/>
          <w:lang w:val="es-MX"/>
        </w:rPr>
        <w:t xml:space="preserve"> </w:t>
      </w:r>
    </w:p>
    <w:p w:rsidR="00751B7F" w:rsidRPr="00E6086A" w:rsidRDefault="00751B7F" w:rsidP="009D3798">
      <w:pPr>
        <w:rPr>
          <w:rFonts w:cs="Arial"/>
          <w:bCs/>
          <w:lang w:val="es-MX"/>
        </w:rPr>
      </w:pPr>
    </w:p>
    <w:p w:rsidR="00CE1F7B" w:rsidRPr="00E6086A" w:rsidRDefault="007D027B" w:rsidP="009D3798">
      <w:pPr>
        <w:pStyle w:val="Textoindependiente"/>
        <w:rPr>
          <w:rFonts w:cs="Arial"/>
          <w:szCs w:val="24"/>
        </w:rPr>
      </w:pPr>
      <w:r w:rsidRPr="00E6086A">
        <w:rPr>
          <w:rFonts w:cs="Arial"/>
          <w:b/>
          <w:szCs w:val="24"/>
        </w:rPr>
        <w:t>4.</w:t>
      </w:r>
      <w:r w:rsidR="0070647A" w:rsidRPr="00E6086A">
        <w:rPr>
          <w:rFonts w:cs="Arial"/>
          <w:b/>
          <w:szCs w:val="24"/>
        </w:rPr>
        <w:t>4</w:t>
      </w:r>
      <w:r w:rsidRPr="00E6086A">
        <w:rPr>
          <w:rFonts w:cs="Arial"/>
          <w:b/>
          <w:szCs w:val="24"/>
        </w:rPr>
        <w:t>.1.</w:t>
      </w:r>
      <w:r w:rsidRPr="00E6086A">
        <w:rPr>
          <w:rFonts w:cs="Arial"/>
          <w:szCs w:val="24"/>
        </w:rPr>
        <w:t xml:space="preserve"> </w:t>
      </w:r>
      <w:r w:rsidR="00D70853" w:rsidRPr="00E6086A">
        <w:rPr>
          <w:rFonts w:cs="Arial"/>
          <w:szCs w:val="24"/>
        </w:rPr>
        <w:t xml:space="preserve">La parte </w:t>
      </w:r>
      <w:r w:rsidR="00106CCD" w:rsidRPr="00E6086A">
        <w:rPr>
          <w:rFonts w:cs="Arial"/>
          <w:szCs w:val="24"/>
        </w:rPr>
        <w:t xml:space="preserve">demandante </w:t>
      </w:r>
      <w:r w:rsidR="00033A87" w:rsidRPr="00E6086A">
        <w:rPr>
          <w:rFonts w:cs="Arial"/>
          <w:szCs w:val="24"/>
        </w:rPr>
        <w:t>impugn</w:t>
      </w:r>
      <w:r w:rsidR="00E84FE1" w:rsidRPr="00E6086A">
        <w:rPr>
          <w:rFonts w:cs="Arial"/>
          <w:szCs w:val="24"/>
        </w:rPr>
        <w:t>ó</w:t>
      </w:r>
      <w:r w:rsidR="00033A87" w:rsidRPr="00E6086A">
        <w:rPr>
          <w:rFonts w:cs="Arial"/>
          <w:szCs w:val="24"/>
        </w:rPr>
        <w:t xml:space="preserve"> la </w:t>
      </w:r>
      <w:r w:rsidR="00DA568E" w:rsidRPr="00E6086A">
        <w:rPr>
          <w:rFonts w:cs="Arial"/>
          <w:szCs w:val="24"/>
        </w:rPr>
        <w:t>sentencia de primera instancia</w:t>
      </w:r>
      <w:r w:rsidR="00C56CF1" w:rsidRPr="00E6086A">
        <w:rPr>
          <w:rFonts w:cs="Arial"/>
          <w:szCs w:val="24"/>
        </w:rPr>
        <w:t xml:space="preserve"> </w:t>
      </w:r>
      <w:r w:rsidR="00F71E86" w:rsidRPr="00E6086A">
        <w:rPr>
          <w:rFonts w:cs="Arial"/>
          <w:szCs w:val="24"/>
        </w:rPr>
        <w:t xml:space="preserve">mediante escrito presentado el </w:t>
      </w:r>
      <w:r w:rsidR="00CB7005" w:rsidRPr="00E6086A">
        <w:rPr>
          <w:rFonts w:cs="Arial"/>
          <w:szCs w:val="24"/>
        </w:rPr>
        <w:t>16</w:t>
      </w:r>
      <w:r w:rsidR="00F71E86" w:rsidRPr="00E6086A">
        <w:rPr>
          <w:rFonts w:cs="Arial"/>
          <w:szCs w:val="24"/>
        </w:rPr>
        <w:t xml:space="preserve"> de </w:t>
      </w:r>
      <w:r w:rsidR="00CB7005" w:rsidRPr="00E6086A">
        <w:rPr>
          <w:rFonts w:cs="Arial"/>
          <w:szCs w:val="24"/>
        </w:rPr>
        <w:t xml:space="preserve">septiembre </w:t>
      </w:r>
      <w:r w:rsidR="00F71E86" w:rsidRPr="00E6086A">
        <w:rPr>
          <w:rFonts w:cs="Arial"/>
          <w:szCs w:val="24"/>
        </w:rPr>
        <w:t>de 201</w:t>
      </w:r>
      <w:r w:rsidR="00CB7005" w:rsidRPr="00E6086A">
        <w:rPr>
          <w:rFonts w:cs="Arial"/>
          <w:szCs w:val="24"/>
        </w:rPr>
        <w:t>1</w:t>
      </w:r>
      <w:r w:rsidR="002F6755" w:rsidRPr="00E6086A">
        <w:rPr>
          <w:rFonts w:cs="Arial"/>
          <w:szCs w:val="24"/>
        </w:rPr>
        <w:t xml:space="preserve">, en el cual </w:t>
      </w:r>
      <w:r w:rsidR="00033A87" w:rsidRPr="00E6086A">
        <w:rPr>
          <w:rFonts w:cs="Arial"/>
          <w:szCs w:val="24"/>
        </w:rPr>
        <w:t>sustent</w:t>
      </w:r>
      <w:r w:rsidR="00C56CF1" w:rsidRPr="00E6086A">
        <w:rPr>
          <w:rFonts w:cs="Arial"/>
          <w:szCs w:val="24"/>
        </w:rPr>
        <w:t>ó</w:t>
      </w:r>
      <w:r w:rsidR="00033A87" w:rsidRPr="00E6086A">
        <w:rPr>
          <w:rFonts w:cs="Arial"/>
          <w:szCs w:val="24"/>
        </w:rPr>
        <w:t xml:space="preserve"> su recurso</w:t>
      </w:r>
      <w:r w:rsidR="002F6755" w:rsidRPr="00E6086A">
        <w:rPr>
          <w:rFonts w:cs="Arial"/>
          <w:szCs w:val="24"/>
        </w:rPr>
        <w:t>.</w:t>
      </w:r>
      <w:r w:rsidR="007B4785" w:rsidRPr="00E6086A">
        <w:rPr>
          <w:rFonts w:cs="Arial"/>
          <w:szCs w:val="24"/>
        </w:rPr>
        <w:t xml:space="preserve"> </w:t>
      </w:r>
    </w:p>
    <w:p w:rsidR="00CE1F7B" w:rsidRPr="00E6086A" w:rsidRDefault="00CE1F7B" w:rsidP="009D3798">
      <w:pPr>
        <w:pStyle w:val="Textoindependiente"/>
        <w:rPr>
          <w:rFonts w:cs="Arial"/>
          <w:szCs w:val="24"/>
        </w:rPr>
      </w:pPr>
    </w:p>
    <w:p w:rsidR="004959E1" w:rsidRPr="00E6086A" w:rsidRDefault="004959E1" w:rsidP="009D3798">
      <w:pPr>
        <w:pStyle w:val="Textoindependiente"/>
        <w:rPr>
          <w:rFonts w:cs="Arial"/>
          <w:szCs w:val="24"/>
          <w:lang w:val="es-MX"/>
        </w:rPr>
      </w:pPr>
      <w:r w:rsidRPr="00E6086A">
        <w:rPr>
          <w:rFonts w:cs="Arial"/>
          <w:szCs w:val="24"/>
          <w:lang w:val="es-MX"/>
        </w:rPr>
        <w:t xml:space="preserve">Manifestó su inconformidad con los argumentos expuestos por el Tribunal </w:t>
      </w:r>
      <w:r w:rsidRPr="00E6086A">
        <w:rPr>
          <w:rFonts w:cs="Arial"/>
          <w:i/>
          <w:szCs w:val="24"/>
          <w:lang w:val="es-MX"/>
        </w:rPr>
        <w:t>a quo</w:t>
      </w:r>
      <w:r w:rsidRPr="00E6086A">
        <w:rPr>
          <w:rFonts w:cs="Arial"/>
          <w:szCs w:val="24"/>
          <w:lang w:val="es-MX"/>
        </w:rPr>
        <w:t xml:space="preserve"> en la siguiente forma:  </w:t>
      </w:r>
    </w:p>
    <w:p w:rsidR="005F1698" w:rsidRPr="00E6086A" w:rsidRDefault="005F1698" w:rsidP="009D3798">
      <w:pPr>
        <w:rPr>
          <w:rFonts w:cs="Arial"/>
          <w:bCs/>
          <w:lang w:val="es-MX"/>
        </w:rPr>
      </w:pPr>
    </w:p>
    <w:p w:rsidR="00FC2910" w:rsidRPr="00E6086A" w:rsidRDefault="005A070A" w:rsidP="009D3798">
      <w:pPr>
        <w:rPr>
          <w:rFonts w:cs="Arial"/>
          <w:bCs/>
          <w:lang w:val="es-MX"/>
        </w:rPr>
      </w:pPr>
      <w:r w:rsidRPr="00E6086A">
        <w:rPr>
          <w:rFonts w:cs="Arial"/>
          <w:b/>
          <w:bCs/>
          <w:lang w:val="es-MX"/>
        </w:rPr>
        <w:t>4.</w:t>
      </w:r>
      <w:r w:rsidR="0070647A" w:rsidRPr="00E6086A">
        <w:rPr>
          <w:rFonts w:cs="Arial"/>
          <w:b/>
          <w:bCs/>
          <w:lang w:val="es-MX"/>
        </w:rPr>
        <w:t>4</w:t>
      </w:r>
      <w:r w:rsidRPr="00E6086A">
        <w:rPr>
          <w:rFonts w:cs="Arial"/>
          <w:b/>
          <w:bCs/>
          <w:lang w:val="es-MX"/>
        </w:rPr>
        <w:t>.1.1.</w:t>
      </w:r>
      <w:r w:rsidRPr="00E6086A">
        <w:rPr>
          <w:rFonts w:cs="Arial"/>
          <w:bCs/>
          <w:lang w:val="es-MX"/>
        </w:rPr>
        <w:t xml:space="preserve"> </w:t>
      </w:r>
      <w:r w:rsidR="00854CC3" w:rsidRPr="00E6086A">
        <w:rPr>
          <w:rFonts w:cs="Arial"/>
          <w:bCs/>
          <w:lang w:val="es-MX"/>
        </w:rPr>
        <w:t>Según la apelante, e</w:t>
      </w:r>
      <w:r w:rsidR="0096256D" w:rsidRPr="00E6086A">
        <w:rPr>
          <w:rFonts w:cs="Arial"/>
          <w:bCs/>
          <w:lang w:val="es-MX"/>
        </w:rPr>
        <w:t xml:space="preserve">l error del Tribunal </w:t>
      </w:r>
      <w:r w:rsidR="0096256D" w:rsidRPr="00E6086A">
        <w:rPr>
          <w:rFonts w:cs="Arial"/>
          <w:bCs/>
          <w:i/>
          <w:lang w:val="es-MX"/>
        </w:rPr>
        <w:t>a quo</w:t>
      </w:r>
      <w:r w:rsidR="0096256D" w:rsidRPr="00E6086A">
        <w:rPr>
          <w:rFonts w:cs="Arial"/>
          <w:bCs/>
          <w:lang w:val="es-MX"/>
        </w:rPr>
        <w:t xml:space="preserve"> consistió en aducir una sentencia del Consejo de Estado </w:t>
      </w:r>
      <w:r w:rsidR="00854CC3" w:rsidRPr="00E6086A">
        <w:rPr>
          <w:rFonts w:cs="Arial"/>
          <w:bCs/>
          <w:lang w:val="es-MX"/>
        </w:rPr>
        <w:t xml:space="preserve">que no era aplicable al caso de la presentación de la póliza de seriedad de la oferta por un valor inferior al presupuesto oficial, toda vez que esa providencia solo contenía un pronunciamiento sobre </w:t>
      </w:r>
      <w:r w:rsidR="00E45F41" w:rsidRPr="00E6086A">
        <w:rPr>
          <w:rFonts w:cs="Arial"/>
          <w:bCs/>
          <w:lang w:val="es-MX"/>
        </w:rPr>
        <w:t>e</w:t>
      </w:r>
      <w:r w:rsidR="00854CC3" w:rsidRPr="00E6086A">
        <w:rPr>
          <w:rFonts w:cs="Arial"/>
          <w:bCs/>
          <w:lang w:val="es-MX"/>
        </w:rPr>
        <w:t xml:space="preserve">l orden de </w:t>
      </w:r>
      <w:r w:rsidR="004C6F1E" w:rsidRPr="00E6086A">
        <w:rPr>
          <w:rFonts w:cs="Arial"/>
          <w:bCs/>
          <w:lang w:val="es-MX"/>
        </w:rPr>
        <w:t xml:space="preserve">presentación física de los documentos y </w:t>
      </w:r>
      <w:r w:rsidR="00E45F41" w:rsidRPr="00E6086A">
        <w:rPr>
          <w:rFonts w:cs="Arial"/>
          <w:bCs/>
          <w:lang w:val="es-MX"/>
        </w:rPr>
        <w:t>la</w:t>
      </w:r>
      <w:r w:rsidR="004C6F1E" w:rsidRPr="00E6086A">
        <w:rPr>
          <w:rFonts w:cs="Arial"/>
          <w:bCs/>
          <w:lang w:val="es-MX"/>
        </w:rPr>
        <w:t xml:space="preserve"> </w:t>
      </w:r>
      <w:r w:rsidR="00E45F41" w:rsidRPr="00E6086A">
        <w:rPr>
          <w:rFonts w:cs="Arial"/>
          <w:bCs/>
          <w:lang w:val="es-MX"/>
        </w:rPr>
        <w:t xml:space="preserve">alusión a la </w:t>
      </w:r>
      <w:r w:rsidR="004C6F1E" w:rsidRPr="00E6086A">
        <w:rPr>
          <w:rFonts w:cs="Arial"/>
          <w:bCs/>
          <w:lang w:val="es-MX"/>
        </w:rPr>
        <w:t>di</w:t>
      </w:r>
      <w:r w:rsidR="0096256D" w:rsidRPr="00E6086A">
        <w:rPr>
          <w:rFonts w:cs="Arial"/>
          <w:bCs/>
          <w:lang w:val="es-MX"/>
        </w:rPr>
        <w:t>ferencia</w:t>
      </w:r>
      <w:r w:rsidR="00E45F41" w:rsidRPr="00E6086A">
        <w:rPr>
          <w:rFonts w:cs="Arial"/>
          <w:bCs/>
          <w:lang w:val="es-MX"/>
        </w:rPr>
        <w:t xml:space="preserve"> entre </w:t>
      </w:r>
      <w:r w:rsidR="0096256D" w:rsidRPr="00E6086A">
        <w:rPr>
          <w:rFonts w:cs="Arial"/>
          <w:bCs/>
          <w:lang w:val="es-MX"/>
        </w:rPr>
        <w:t>los requisitos formales y sustanciales</w:t>
      </w:r>
      <w:r w:rsidR="00854CC3" w:rsidRPr="00E6086A">
        <w:rPr>
          <w:rFonts w:cs="Arial"/>
          <w:bCs/>
          <w:lang w:val="es-MX"/>
        </w:rPr>
        <w:t xml:space="preserve">. </w:t>
      </w:r>
    </w:p>
    <w:p w:rsidR="00FC2910" w:rsidRPr="00E6086A" w:rsidRDefault="00FC2910" w:rsidP="009D3798">
      <w:pPr>
        <w:rPr>
          <w:rFonts w:cs="Arial"/>
          <w:bCs/>
          <w:lang w:val="es-MX"/>
        </w:rPr>
      </w:pPr>
    </w:p>
    <w:p w:rsidR="000F52C8" w:rsidRPr="00E6086A" w:rsidRDefault="005A070A" w:rsidP="009D3798">
      <w:pPr>
        <w:rPr>
          <w:rFonts w:cs="Arial"/>
          <w:bCs/>
          <w:lang w:val="es-MX"/>
        </w:rPr>
      </w:pPr>
      <w:r w:rsidRPr="00E6086A">
        <w:rPr>
          <w:rFonts w:cs="Arial"/>
          <w:b/>
          <w:bCs/>
          <w:lang w:val="es-MX"/>
        </w:rPr>
        <w:t>4.</w:t>
      </w:r>
      <w:r w:rsidR="0070647A" w:rsidRPr="00E6086A">
        <w:rPr>
          <w:rFonts w:cs="Arial"/>
          <w:b/>
          <w:bCs/>
          <w:lang w:val="es-MX"/>
        </w:rPr>
        <w:t>4</w:t>
      </w:r>
      <w:r w:rsidRPr="00E6086A">
        <w:rPr>
          <w:rFonts w:cs="Arial"/>
          <w:b/>
          <w:bCs/>
          <w:lang w:val="es-MX"/>
        </w:rPr>
        <w:t>.1.2.</w:t>
      </w:r>
      <w:r w:rsidRPr="00E6086A">
        <w:rPr>
          <w:rFonts w:cs="Arial"/>
          <w:bCs/>
          <w:lang w:val="es-MX"/>
        </w:rPr>
        <w:t xml:space="preserve"> </w:t>
      </w:r>
      <w:r w:rsidR="0096256D" w:rsidRPr="00E6086A">
        <w:rPr>
          <w:rFonts w:cs="Arial"/>
          <w:bCs/>
          <w:lang w:val="es-MX"/>
        </w:rPr>
        <w:t xml:space="preserve">Observó que </w:t>
      </w:r>
      <w:r w:rsidR="00E45F41" w:rsidRPr="00E6086A">
        <w:rPr>
          <w:rFonts w:cs="Arial"/>
          <w:bCs/>
          <w:lang w:val="es-MX"/>
        </w:rPr>
        <w:t xml:space="preserve">en el presente caso </w:t>
      </w:r>
      <w:r w:rsidR="0096256D" w:rsidRPr="00E6086A">
        <w:rPr>
          <w:rFonts w:cs="Arial"/>
          <w:bCs/>
          <w:lang w:val="es-MX"/>
        </w:rPr>
        <w:t xml:space="preserve">el requisito </w:t>
      </w:r>
      <w:r w:rsidR="00E45F41" w:rsidRPr="00E6086A">
        <w:rPr>
          <w:rFonts w:cs="Arial"/>
          <w:bCs/>
          <w:lang w:val="es-MX"/>
        </w:rPr>
        <w:t xml:space="preserve">referido al valor de la póliza de seriedad de la oferta </w:t>
      </w:r>
      <w:r w:rsidR="0096256D" w:rsidRPr="00E6086A">
        <w:rPr>
          <w:rFonts w:cs="Arial"/>
          <w:bCs/>
          <w:lang w:val="es-MX"/>
        </w:rPr>
        <w:t>no era solament</w:t>
      </w:r>
      <w:r w:rsidR="000F52C8" w:rsidRPr="00E6086A">
        <w:rPr>
          <w:rFonts w:cs="Arial"/>
          <w:bCs/>
          <w:lang w:val="es-MX"/>
        </w:rPr>
        <w:t>e</w:t>
      </w:r>
      <w:r w:rsidR="0096256D" w:rsidRPr="00E6086A">
        <w:rPr>
          <w:rFonts w:cs="Arial"/>
          <w:bCs/>
          <w:lang w:val="es-MX"/>
        </w:rPr>
        <w:t xml:space="preserve"> formal</w:t>
      </w:r>
      <w:r w:rsidR="000F52C8" w:rsidRPr="00E6086A">
        <w:rPr>
          <w:rFonts w:cs="Arial"/>
          <w:bCs/>
          <w:lang w:val="es-MX"/>
        </w:rPr>
        <w:t xml:space="preserve">, si se tiene en cuenta </w:t>
      </w:r>
      <w:r w:rsidR="00E45F41" w:rsidRPr="00E6086A">
        <w:rPr>
          <w:rFonts w:cs="Arial"/>
          <w:bCs/>
          <w:lang w:val="es-MX"/>
        </w:rPr>
        <w:t xml:space="preserve">que </w:t>
      </w:r>
      <w:r w:rsidR="000F52C8" w:rsidRPr="00E6086A">
        <w:rPr>
          <w:rFonts w:cs="Arial"/>
          <w:bCs/>
          <w:lang w:val="es-MX"/>
        </w:rPr>
        <w:t xml:space="preserve">el artículo 30 de la </w:t>
      </w:r>
      <w:r w:rsidR="00E45F41" w:rsidRPr="00E6086A">
        <w:rPr>
          <w:rFonts w:cs="Arial"/>
          <w:bCs/>
          <w:lang w:val="es-MX"/>
        </w:rPr>
        <w:t>L</w:t>
      </w:r>
      <w:r w:rsidR="000F52C8" w:rsidRPr="00E6086A">
        <w:rPr>
          <w:rFonts w:cs="Arial"/>
          <w:bCs/>
          <w:lang w:val="es-MX"/>
        </w:rPr>
        <w:t xml:space="preserve">ey 80 de 1993 establece que la entidad estatal podrá </w:t>
      </w:r>
      <w:r w:rsidR="002E1C1B" w:rsidRPr="00E6086A">
        <w:rPr>
          <w:rFonts w:cs="Arial"/>
          <w:bCs/>
          <w:lang w:val="es-MX"/>
        </w:rPr>
        <w:t>hacer efectivo</w:t>
      </w:r>
      <w:r w:rsidR="000F52C8" w:rsidRPr="00E6086A">
        <w:rPr>
          <w:rFonts w:cs="Arial"/>
          <w:bCs/>
          <w:lang w:val="es-MX"/>
        </w:rPr>
        <w:t xml:space="preserve"> el valor de la garantía con</w:t>
      </w:r>
      <w:r w:rsidR="004C6F1E" w:rsidRPr="00E6086A">
        <w:rPr>
          <w:rFonts w:cs="Arial"/>
          <w:bCs/>
          <w:lang w:val="es-MX"/>
        </w:rPr>
        <w:t>s</w:t>
      </w:r>
      <w:r w:rsidR="000F52C8" w:rsidRPr="00E6086A">
        <w:rPr>
          <w:rFonts w:cs="Arial"/>
          <w:bCs/>
          <w:lang w:val="es-MX"/>
        </w:rPr>
        <w:t>titu</w:t>
      </w:r>
      <w:r w:rsidR="004C6F1E" w:rsidRPr="00E6086A">
        <w:rPr>
          <w:rFonts w:cs="Arial"/>
          <w:bCs/>
          <w:lang w:val="es-MX"/>
        </w:rPr>
        <w:t>i</w:t>
      </w:r>
      <w:r w:rsidR="000F52C8" w:rsidRPr="00E6086A">
        <w:rPr>
          <w:rFonts w:cs="Arial"/>
          <w:bCs/>
          <w:lang w:val="es-MX"/>
        </w:rPr>
        <w:t>da en caso de que el adjudicatario no suscriba el contrato.</w:t>
      </w:r>
    </w:p>
    <w:p w:rsidR="000F52C8" w:rsidRPr="00E6086A" w:rsidRDefault="000F52C8" w:rsidP="009D3798">
      <w:pPr>
        <w:rPr>
          <w:rFonts w:cs="Arial"/>
          <w:bCs/>
          <w:lang w:val="es-MX"/>
        </w:rPr>
      </w:pPr>
    </w:p>
    <w:p w:rsidR="00150899" w:rsidRPr="00E6086A" w:rsidRDefault="005A070A" w:rsidP="009D3798">
      <w:pPr>
        <w:rPr>
          <w:rFonts w:cs="Arial"/>
          <w:bCs/>
          <w:lang w:val="es-MX"/>
        </w:rPr>
      </w:pPr>
      <w:r w:rsidRPr="00E6086A">
        <w:rPr>
          <w:rFonts w:cs="Arial"/>
          <w:b/>
          <w:bCs/>
          <w:lang w:val="es-MX"/>
        </w:rPr>
        <w:t>4.</w:t>
      </w:r>
      <w:r w:rsidR="0070647A" w:rsidRPr="00E6086A">
        <w:rPr>
          <w:rFonts w:cs="Arial"/>
          <w:b/>
          <w:bCs/>
          <w:lang w:val="es-MX"/>
        </w:rPr>
        <w:t>4</w:t>
      </w:r>
      <w:r w:rsidRPr="00E6086A">
        <w:rPr>
          <w:rFonts w:cs="Arial"/>
          <w:b/>
          <w:bCs/>
          <w:lang w:val="es-MX"/>
        </w:rPr>
        <w:t>.1.3.</w:t>
      </w:r>
      <w:r w:rsidRPr="00E6086A">
        <w:rPr>
          <w:rFonts w:cs="Arial"/>
          <w:bCs/>
          <w:lang w:val="es-MX"/>
        </w:rPr>
        <w:t xml:space="preserve"> </w:t>
      </w:r>
      <w:r w:rsidR="000829AA" w:rsidRPr="00E6086A">
        <w:rPr>
          <w:rFonts w:cs="Arial"/>
          <w:bCs/>
          <w:lang w:val="es-MX"/>
        </w:rPr>
        <w:t xml:space="preserve">Agregó que el Tribunal </w:t>
      </w:r>
      <w:r w:rsidR="000829AA" w:rsidRPr="00E6086A">
        <w:rPr>
          <w:rFonts w:cs="Arial"/>
          <w:bCs/>
          <w:i/>
          <w:lang w:val="es-MX"/>
        </w:rPr>
        <w:t>a quo</w:t>
      </w:r>
      <w:r w:rsidR="000829AA" w:rsidRPr="00E6086A">
        <w:rPr>
          <w:rFonts w:cs="Arial"/>
          <w:bCs/>
          <w:lang w:val="es-MX"/>
        </w:rPr>
        <w:t xml:space="preserve"> ha debido </w:t>
      </w:r>
      <w:r w:rsidR="00E45F41" w:rsidRPr="00E6086A">
        <w:rPr>
          <w:rFonts w:cs="Arial"/>
          <w:bCs/>
          <w:lang w:val="es-MX"/>
        </w:rPr>
        <w:t xml:space="preserve">advertir </w:t>
      </w:r>
      <w:r w:rsidR="000829AA" w:rsidRPr="00E6086A">
        <w:rPr>
          <w:rFonts w:cs="Arial"/>
          <w:bCs/>
          <w:lang w:val="es-MX"/>
        </w:rPr>
        <w:t>que</w:t>
      </w:r>
      <w:r w:rsidR="00FE217E" w:rsidRPr="00E6086A">
        <w:rPr>
          <w:rFonts w:cs="Arial"/>
          <w:bCs/>
          <w:lang w:val="es-MX"/>
        </w:rPr>
        <w:t xml:space="preserve"> el</w:t>
      </w:r>
      <w:r w:rsidR="000829AA" w:rsidRPr="00E6086A">
        <w:rPr>
          <w:rFonts w:cs="Arial"/>
          <w:bCs/>
          <w:lang w:val="es-MX"/>
        </w:rPr>
        <w:t xml:space="preserve"> municipio obró </w:t>
      </w:r>
      <w:r w:rsidR="00150899" w:rsidRPr="00E6086A">
        <w:rPr>
          <w:rFonts w:cs="Arial"/>
          <w:bCs/>
          <w:lang w:val="es-MX"/>
        </w:rPr>
        <w:t xml:space="preserve">en violación de </w:t>
      </w:r>
      <w:r w:rsidR="000829AA" w:rsidRPr="00E6086A">
        <w:rPr>
          <w:rFonts w:cs="Arial"/>
          <w:bCs/>
          <w:lang w:val="es-MX"/>
        </w:rPr>
        <w:t>sus propios actos, dado que</w:t>
      </w:r>
      <w:r w:rsidR="00FF112C" w:rsidRPr="00E6086A">
        <w:rPr>
          <w:rFonts w:cs="Arial"/>
          <w:bCs/>
          <w:lang w:val="es-MX"/>
        </w:rPr>
        <w:t>,</w:t>
      </w:r>
      <w:r w:rsidR="000829AA" w:rsidRPr="00E6086A">
        <w:rPr>
          <w:rFonts w:cs="Arial"/>
          <w:bCs/>
          <w:lang w:val="es-MX"/>
        </w:rPr>
        <w:t xml:space="preserve"> por un </w:t>
      </w:r>
      <w:r w:rsidR="00FF112C" w:rsidRPr="00E6086A">
        <w:rPr>
          <w:rFonts w:cs="Arial"/>
          <w:bCs/>
          <w:lang w:val="es-MX"/>
        </w:rPr>
        <w:t xml:space="preserve">lado, </w:t>
      </w:r>
      <w:r w:rsidR="000829AA" w:rsidRPr="00E6086A">
        <w:rPr>
          <w:rFonts w:cs="Arial"/>
          <w:bCs/>
          <w:lang w:val="es-MX"/>
        </w:rPr>
        <w:t xml:space="preserve">delegó la evaluación </w:t>
      </w:r>
      <w:r w:rsidR="00FF112C" w:rsidRPr="00E6086A">
        <w:rPr>
          <w:rFonts w:cs="Arial"/>
          <w:bCs/>
          <w:lang w:val="es-MX"/>
        </w:rPr>
        <w:t xml:space="preserve">de las </w:t>
      </w:r>
      <w:r w:rsidR="009A37B9" w:rsidRPr="00E6086A">
        <w:rPr>
          <w:rFonts w:cs="Arial"/>
          <w:bCs/>
          <w:lang w:val="es-MX"/>
        </w:rPr>
        <w:t>propuestas,</w:t>
      </w:r>
      <w:r w:rsidR="00FF112C" w:rsidRPr="00E6086A">
        <w:rPr>
          <w:rFonts w:cs="Arial"/>
          <w:bCs/>
          <w:lang w:val="es-MX"/>
        </w:rPr>
        <w:t xml:space="preserve"> </w:t>
      </w:r>
      <w:r w:rsidR="000829AA" w:rsidRPr="00E6086A">
        <w:rPr>
          <w:rFonts w:cs="Arial"/>
          <w:bCs/>
          <w:lang w:val="es-MX"/>
        </w:rPr>
        <w:t>pero</w:t>
      </w:r>
      <w:r w:rsidR="00FF112C" w:rsidRPr="00E6086A">
        <w:rPr>
          <w:rFonts w:cs="Arial"/>
          <w:bCs/>
          <w:lang w:val="es-MX"/>
        </w:rPr>
        <w:t>,</w:t>
      </w:r>
      <w:r w:rsidR="000829AA" w:rsidRPr="00E6086A">
        <w:rPr>
          <w:rFonts w:cs="Arial"/>
          <w:bCs/>
          <w:lang w:val="es-MX"/>
        </w:rPr>
        <w:t xml:space="preserve"> por otr</w:t>
      </w:r>
      <w:r w:rsidR="00FF112C" w:rsidRPr="00E6086A">
        <w:rPr>
          <w:rFonts w:cs="Arial"/>
          <w:bCs/>
          <w:lang w:val="es-MX"/>
        </w:rPr>
        <w:t xml:space="preserve">o lado, </w:t>
      </w:r>
      <w:r w:rsidR="000829AA" w:rsidRPr="00E6086A">
        <w:rPr>
          <w:rFonts w:cs="Arial"/>
          <w:bCs/>
          <w:lang w:val="es-MX"/>
        </w:rPr>
        <w:t>se apartó de la misma y llegó a adjudicar el contrato con una garantía patrimonial insuficiente</w:t>
      </w:r>
      <w:r w:rsidR="00150899" w:rsidRPr="00E6086A">
        <w:rPr>
          <w:rFonts w:cs="Arial"/>
          <w:bCs/>
          <w:lang w:val="es-MX"/>
        </w:rPr>
        <w:t xml:space="preserve">, actuando </w:t>
      </w:r>
      <w:r w:rsidR="00E45F41" w:rsidRPr="00E6086A">
        <w:rPr>
          <w:rFonts w:cs="Arial"/>
          <w:bCs/>
          <w:lang w:val="es-MX"/>
        </w:rPr>
        <w:t xml:space="preserve">en </w:t>
      </w:r>
      <w:r w:rsidR="00150899" w:rsidRPr="00E6086A">
        <w:rPr>
          <w:rFonts w:cs="Arial"/>
          <w:bCs/>
          <w:lang w:val="es-MX"/>
        </w:rPr>
        <w:t xml:space="preserve">contra </w:t>
      </w:r>
      <w:r w:rsidR="00FC2910" w:rsidRPr="00E6086A">
        <w:rPr>
          <w:rFonts w:cs="Arial"/>
          <w:bCs/>
          <w:lang w:val="es-MX"/>
        </w:rPr>
        <w:t xml:space="preserve">de </w:t>
      </w:r>
      <w:r w:rsidR="00150899" w:rsidRPr="00E6086A">
        <w:rPr>
          <w:rFonts w:cs="Arial"/>
          <w:bCs/>
          <w:lang w:val="es-MX"/>
        </w:rPr>
        <w:t xml:space="preserve">lo dispuesto en el pliego de condiciones. </w:t>
      </w:r>
    </w:p>
    <w:p w:rsidR="00FF112C" w:rsidRPr="00E6086A" w:rsidRDefault="00FF112C" w:rsidP="009D3798">
      <w:pPr>
        <w:rPr>
          <w:rFonts w:cs="Arial"/>
          <w:bCs/>
          <w:lang w:val="es-MX"/>
        </w:rPr>
      </w:pPr>
    </w:p>
    <w:p w:rsidR="00DE737B" w:rsidRPr="00E6086A" w:rsidRDefault="005A070A" w:rsidP="009D3798">
      <w:pPr>
        <w:rPr>
          <w:rFonts w:cs="Arial"/>
          <w:bCs/>
          <w:lang w:val="es-MX"/>
        </w:rPr>
      </w:pPr>
      <w:r w:rsidRPr="00E6086A">
        <w:rPr>
          <w:rFonts w:cs="Arial"/>
          <w:b/>
          <w:bCs/>
          <w:lang w:val="es-MX"/>
        </w:rPr>
        <w:t>4.</w:t>
      </w:r>
      <w:r w:rsidR="0070647A" w:rsidRPr="00E6086A">
        <w:rPr>
          <w:rFonts w:cs="Arial"/>
          <w:b/>
          <w:bCs/>
          <w:lang w:val="es-MX"/>
        </w:rPr>
        <w:t>4</w:t>
      </w:r>
      <w:r w:rsidRPr="00E6086A">
        <w:rPr>
          <w:rFonts w:cs="Arial"/>
          <w:b/>
          <w:bCs/>
          <w:lang w:val="es-MX"/>
        </w:rPr>
        <w:t>.1.4.</w:t>
      </w:r>
      <w:r w:rsidRPr="00E6086A">
        <w:rPr>
          <w:rFonts w:cs="Arial"/>
          <w:bCs/>
          <w:lang w:val="es-MX"/>
        </w:rPr>
        <w:t xml:space="preserve"> </w:t>
      </w:r>
      <w:r w:rsidR="00FF112C" w:rsidRPr="00E6086A">
        <w:rPr>
          <w:rFonts w:cs="Arial"/>
          <w:bCs/>
          <w:lang w:val="es-MX"/>
        </w:rPr>
        <w:t xml:space="preserve">Indicó que la única defensa del municipio </w:t>
      </w:r>
      <w:r w:rsidR="00C14CAC" w:rsidRPr="00E6086A">
        <w:rPr>
          <w:rFonts w:cs="Arial"/>
          <w:bCs/>
          <w:lang w:val="es-MX"/>
        </w:rPr>
        <w:t xml:space="preserve">de Medellín, para apoyar su conducta, </w:t>
      </w:r>
      <w:r w:rsidR="00117341" w:rsidRPr="00E6086A">
        <w:rPr>
          <w:rFonts w:cs="Arial"/>
          <w:bCs/>
          <w:lang w:val="es-MX"/>
        </w:rPr>
        <w:t>fue que la propuesta de U</w:t>
      </w:r>
      <w:r w:rsidR="00C14CAC" w:rsidRPr="00E6086A">
        <w:rPr>
          <w:rFonts w:cs="Arial"/>
          <w:bCs/>
          <w:lang w:val="es-MX"/>
        </w:rPr>
        <w:t xml:space="preserve">nión </w:t>
      </w:r>
      <w:r w:rsidR="00117341" w:rsidRPr="00E6086A">
        <w:rPr>
          <w:rFonts w:cs="Arial"/>
          <w:bCs/>
          <w:lang w:val="es-MX"/>
        </w:rPr>
        <w:t>T</w:t>
      </w:r>
      <w:r w:rsidR="00C14CAC" w:rsidRPr="00E6086A">
        <w:rPr>
          <w:rFonts w:cs="Arial"/>
          <w:bCs/>
          <w:lang w:val="es-MX"/>
        </w:rPr>
        <w:t>emporal</w:t>
      </w:r>
      <w:r w:rsidR="00117341" w:rsidRPr="00E6086A">
        <w:rPr>
          <w:rFonts w:cs="Arial"/>
          <w:bCs/>
          <w:lang w:val="es-MX"/>
        </w:rPr>
        <w:t xml:space="preserve"> Lama Ingenieros </w:t>
      </w:r>
      <w:r w:rsidR="0087229C" w:rsidRPr="00E6086A">
        <w:rPr>
          <w:rFonts w:cs="Arial"/>
          <w:bCs/>
          <w:lang w:val="es-MX"/>
        </w:rPr>
        <w:t xml:space="preserve">Ltda </w:t>
      </w:r>
      <w:r w:rsidR="00117341" w:rsidRPr="00E6086A">
        <w:rPr>
          <w:rFonts w:cs="Arial"/>
          <w:bCs/>
          <w:lang w:val="es-MX"/>
        </w:rPr>
        <w:t xml:space="preserve">– Asfaltadora Colombiana </w:t>
      </w:r>
      <w:r w:rsidR="002E1C1B" w:rsidRPr="00E6086A">
        <w:rPr>
          <w:rFonts w:cs="Arial"/>
          <w:bCs/>
          <w:lang w:val="es-MX"/>
        </w:rPr>
        <w:t xml:space="preserve">Ltda </w:t>
      </w:r>
      <w:r w:rsidR="00117341" w:rsidRPr="00E6086A">
        <w:rPr>
          <w:rFonts w:cs="Arial"/>
          <w:bCs/>
          <w:lang w:val="es-MX"/>
        </w:rPr>
        <w:t>debía ser considerada para proteger el requisito de economía, argumento que era claramente improcedente, toda vez que la póliza de seriedad de la oferta no es un docu</w:t>
      </w:r>
      <w:r w:rsidR="00937840" w:rsidRPr="00E6086A">
        <w:rPr>
          <w:rFonts w:cs="Arial"/>
          <w:bCs/>
          <w:lang w:val="es-MX"/>
        </w:rPr>
        <w:t xml:space="preserve">mento </w:t>
      </w:r>
      <w:r w:rsidR="00C14CAC" w:rsidRPr="00E6086A">
        <w:rPr>
          <w:rFonts w:cs="Arial"/>
          <w:bCs/>
          <w:lang w:val="es-MX"/>
        </w:rPr>
        <w:t xml:space="preserve">de aquellos a los </w:t>
      </w:r>
      <w:r w:rsidR="00117341" w:rsidRPr="00E6086A">
        <w:rPr>
          <w:rFonts w:cs="Arial"/>
          <w:bCs/>
          <w:lang w:val="es-MX"/>
        </w:rPr>
        <w:t>que se refier</w:t>
      </w:r>
      <w:r w:rsidR="00C14CAC" w:rsidRPr="00E6086A">
        <w:rPr>
          <w:rFonts w:cs="Arial"/>
          <w:bCs/>
          <w:lang w:val="es-MX"/>
        </w:rPr>
        <w:t>e</w:t>
      </w:r>
      <w:r w:rsidR="00117341" w:rsidRPr="00E6086A">
        <w:rPr>
          <w:rFonts w:cs="Arial"/>
          <w:bCs/>
          <w:lang w:val="es-MX"/>
        </w:rPr>
        <w:t xml:space="preserve"> </w:t>
      </w:r>
      <w:r w:rsidR="00937840" w:rsidRPr="00E6086A">
        <w:rPr>
          <w:rFonts w:cs="Arial"/>
          <w:bCs/>
          <w:lang w:val="es-MX"/>
        </w:rPr>
        <w:t xml:space="preserve">el artículo 25 de la Ley 80 de 1993, habida cuenta </w:t>
      </w:r>
      <w:r w:rsidR="00FE217E" w:rsidRPr="00E6086A">
        <w:rPr>
          <w:rFonts w:cs="Arial"/>
          <w:bCs/>
          <w:lang w:val="es-MX"/>
        </w:rPr>
        <w:t xml:space="preserve">de </w:t>
      </w:r>
      <w:r w:rsidR="00937840" w:rsidRPr="00E6086A">
        <w:rPr>
          <w:rFonts w:cs="Arial"/>
          <w:bCs/>
          <w:lang w:val="es-MX"/>
        </w:rPr>
        <w:t xml:space="preserve">que no contiene requisitos referidos </w:t>
      </w:r>
      <w:r w:rsidR="00117341" w:rsidRPr="00E6086A">
        <w:rPr>
          <w:rFonts w:cs="Arial"/>
          <w:bCs/>
          <w:lang w:val="es-MX"/>
        </w:rPr>
        <w:t>a la “</w:t>
      </w:r>
      <w:r w:rsidR="00117341" w:rsidRPr="00E6086A">
        <w:rPr>
          <w:rFonts w:cs="Arial"/>
          <w:bCs/>
          <w:i/>
          <w:lang w:val="es-MX"/>
        </w:rPr>
        <w:t>futura contratación ni al proponente</w:t>
      </w:r>
      <w:r w:rsidR="00DE737B" w:rsidRPr="00E6086A">
        <w:rPr>
          <w:rFonts w:cs="Arial"/>
          <w:bCs/>
          <w:i/>
          <w:lang w:val="es-MX"/>
        </w:rPr>
        <w:t xml:space="preserve"> y en todo caso la hipótesis fáctica </w:t>
      </w:r>
      <w:r w:rsidR="00DE737B" w:rsidRPr="00E6086A">
        <w:rPr>
          <w:rFonts w:cs="Arial"/>
          <w:bCs/>
          <w:i/>
          <w:lang w:val="es-MX"/>
        </w:rPr>
        <w:lastRenderedPageBreak/>
        <w:t>correspondiente fue consagrada por el pliego de condiciones de manera expresa como fundamento de rechazo de las propuestas”</w:t>
      </w:r>
      <w:r w:rsidR="00DE737B" w:rsidRPr="00E6086A">
        <w:rPr>
          <w:rStyle w:val="Refdenotaalpie"/>
          <w:rFonts w:cs="Arial"/>
          <w:bCs/>
          <w:i/>
          <w:lang w:val="es-MX"/>
        </w:rPr>
        <w:footnoteReference w:id="5"/>
      </w:r>
      <w:r w:rsidR="00DE737B" w:rsidRPr="00E6086A">
        <w:rPr>
          <w:rFonts w:cs="Arial"/>
          <w:bCs/>
          <w:i/>
          <w:lang w:val="es-MX"/>
        </w:rPr>
        <w:t>.</w:t>
      </w:r>
    </w:p>
    <w:p w:rsidR="00847E5E" w:rsidRPr="00E6086A" w:rsidRDefault="00847E5E" w:rsidP="009D3798">
      <w:pPr>
        <w:rPr>
          <w:rFonts w:cs="Arial"/>
          <w:bCs/>
          <w:lang w:val="es-MX"/>
        </w:rPr>
      </w:pPr>
    </w:p>
    <w:p w:rsidR="00A824C5" w:rsidRPr="00E6086A" w:rsidRDefault="007D027B" w:rsidP="009D3798">
      <w:pPr>
        <w:rPr>
          <w:rFonts w:cs="Arial"/>
          <w:bCs/>
          <w:lang w:val="es-MX"/>
        </w:rPr>
      </w:pPr>
      <w:r w:rsidRPr="00E6086A">
        <w:rPr>
          <w:rFonts w:cs="Arial"/>
          <w:b/>
          <w:bCs/>
          <w:lang w:val="es-MX"/>
        </w:rPr>
        <w:t>4.</w:t>
      </w:r>
      <w:r w:rsidR="0070647A" w:rsidRPr="00E6086A">
        <w:rPr>
          <w:rFonts w:cs="Arial"/>
          <w:b/>
          <w:bCs/>
          <w:lang w:val="es-MX"/>
        </w:rPr>
        <w:t>4</w:t>
      </w:r>
      <w:r w:rsidRPr="00E6086A">
        <w:rPr>
          <w:rFonts w:cs="Arial"/>
          <w:b/>
          <w:bCs/>
          <w:lang w:val="es-MX"/>
        </w:rPr>
        <w:t>.2.</w:t>
      </w:r>
      <w:r w:rsidRPr="00E6086A">
        <w:rPr>
          <w:rFonts w:cs="Arial"/>
          <w:bCs/>
          <w:lang w:val="es-MX"/>
        </w:rPr>
        <w:t xml:space="preserve"> </w:t>
      </w:r>
      <w:r w:rsidR="000E5300" w:rsidRPr="00E6086A">
        <w:rPr>
          <w:rFonts w:cs="Arial"/>
          <w:bCs/>
          <w:lang w:val="es-MX"/>
        </w:rPr>
        <w:t xml:space="preserve">El recurso de apelación fue admitido mediante auto de </w:t>
      </w:r>
      <w:r w:rsidR="00A64416" w:rsidRPr="00E6086A">
        <w:rPr>
          <w:rFonts w:cs="Arial"/>
          <w:bCs/>
          <w:lang w:val="es-MX"/>
        </w:rPr>
        <w:t>12</w:t>
      </w:r>
      <w:r w:rsidR="000E5300" w:rsidRPr="00E6086A">
        <w:rPr>
          <w:rFonts w:cs="Arial"/>
          <w:bCs/>
          <w:lang w:val="es-MX"/>
        </w:rPr>
        <w:t xml:space="preserve"> de </w:t>
      </w:r>
      <w:r w:rsidR="004F041F" w:rsidRPr="00E6086A">
        <w:rPr>
          <w:rFonts w:cs="Arial"/>
          <w:bCs/>
          <w:lang w:val="es-MX"/>
        </w:rPr>
        <w:t>marzo</w:t>
      </w:r>
      <w:r w:rsidR="00A64416" w:rsidRPr="00E6086A">
        <w:rPr>
          <w:rFonts w:cs="Arial"/>
          <w:bCs/>
          <w:lang w:val="es-MX"/>
        </w:rPr>
        <w:t xml:space="preserve"> </w:t>
      </w:r>
      <w:r w:rsidR="000E5300" w:rsidRPr="00E6086A">
        <w:rPr>
          <w:rFonts w:cs="Arial"/>
          <w:bCs/>
          <w:lang w:val="es-MX"/>
        </w:rPr>
        <w:t>de 201</w:t>
      </w:r>
      <w:r w:rsidR="004F041F" w:rsidRPr="00E6086A">
        <w:rPr>
          <w:rFonts w:cs="Arial"/>
          <w:bCs/>
          <w:lang w:val="es-MX"/>
        </w:rPr>
        <w:t>2</w:t>
      </w:r>
      <w:r w:rsidR="000E5300" w:rsidRPr="00E6086A">
        <w:rPr>
          <w:rStyle w:val="Refdenotaalpie"/>
          <w:rFonts w:cs="Arial"/>
          <w:bCs/>
          <w:lang w:val="es-MX"/>
        </w:rPr>
        <w:footnoteReference w:id="6"/>
      </w:r>
      <w:r w:rsidR="000E5300" w:rsidRPr="00E6086A">
        <w:rPr>
          <w:rFonts w:cs="Arial"/>
          <w:bCs/>
          <w:lang w:val="es-MX"/>
        </w:rPr>
        <w:t>.</w:t>
      </w:r>
    </w:p>
    <w:p w:rsidR="000E5300" w:rsidRPr="00E6086A" w:rsidRDefault="000E5300" w:rsidP="009D3798">
      <w:pPr>
        <w:rPr>
          <w:rFonts w:cs="Arial"/>
          <w:bCs/>
          <w:lang w:val="es-MX"/>
        </w:rPr>
      </w:pPr>
    </w:p>
    <w:p w:rsidR="002E1C1B" w:rsidRPr="00E6086A" w:rsidRDefault="002E1C1B" w:rsidP="009D3798">
      <w:pPr>
        <w:rPr>
          <w:rFonts w:cs="Arial"/>
          <w:bCs/>
          <w:lang w:val="es-MX"/>
        </w:rPr>
      </w:pPr>
      <w:r w:rsidRPr="00E6086A">
        <w:rPr>
          <w:rFonts w:cs="Arial"/>
          <w:b/>
          <w:bCs/>
          <w:lang w:val="es-MX"/>
        </w:rPr>
        <w:t>4.</w:t>
      </w:r>
      <w:r w:rsidR="0070647A" w:rsidRPr="00E6086A">
        <w:rPr>
          <w:rFonts w:cs="Arial"/>
          <w:b/>
          <w:bCs/>
          <w:lang w:val="es-MX"/>
        </w:rPr>
        <w:t>4</w:t>
      </w:r>
      <w:r w:rsidRPr="00E6086A">
        <w:rPr>
          <w:rFonts w:cs="Arial"/>
          <w:b/>
          <w:bCs/>
          <w:lang w:val="es-MX"/>
        </w:rPr>
        <w:t>.3.</w:t>
      </w:r>
      <w:r w:rsidRPr="00E6086A">
        <w:rPr>
          <w:rFonts w:cs="Arial"/>
          <w:bCs/>
          <w:lang w:val="es-MX"/>
        </w:rPr>
        <w:t xml:space="preserve"> En su alegato de segunda instancia la demandante reiteró los argumentos de la apelación y resaltó que se violó el artículo 16 del Decreto 679 de 1994, vigente al momento de los hechos, norma que establecía que la garantía de seriedad de la propuesta no podía ser inferior al 10% del valor de la propuesta o del presupuesto oficial estimado, según lo determinaran los pliegos de condiciones. Reafirmó que en el expediente se encuentra acreditado que su propuesta era la que calificaba como primera y, por tanto, la única que gozaba de vocación de elegibilidad. </w:t>
      </w:r>
    </w:p>
    <w:p w:rsidR="002E1C1B" w:rsidRPr="00E6086A" w:rsidRDefault="002E1C1B" w:rsidP="009D3798">
      <w:pPr>
        <w:rPr>
          <w:rFonts w:cs="Arial"/>
          <w:b/>
          <w:bCs/>
          <w:lang w:val="es-MX"/>
        </w:rPr>
      </w:pPr>
    </w:p>
    <w:p w:rsidR="00937840" w:rsidRPr="00E6086A" w:rsidRDefault="007D027B" w:rsidP="009D3798">
      <w:pPr>
        <w:rPr>
          <w:rFonts w:cs="Arial"/>
          <w:bCs/>
          <w:lang w:val="es-MX"/>
        </w:rPr>
      </w:pPr>
      <w:r w:rsidRPr="00E6086A">
        <w:rPr>
          <w:rFonts w:cs="Arial"/>
          <w:b/>
          <w:bCs/>
          <w:lang w:val="es-MX"/>
        </w:rPr>
        <w:t>4.</w:t>
      </w:r>
      <w:r w:rsidR="0070647A" w:rsidRPr="00E6086A">
        <w:rPr>
          <w:rFonts w:cs="Arial"/>
          <w:b/>
          <w:bCs/>
          <w:lang w:val="es-MX"/>
        </w:rPr>
        <w:t>4</w:t>
      </w:r>
      <w:r w:rsidRPr="00E6086A">
        <w:rPr>
          <w:rFonts w:cs="Arial"/>
          <w:b/>
          <w:bCs/>
          <w:lang w:val="es-MX"/>
        </w:rPr>
        <w:t>.</w:t>
      </w:r>
      <w:r w:rsidR="002E1C1B" w:rsidRPr="00E6086A">
        <w:rPr>
          <w:rFonts w:cs="Arial"/>
          <w:b/>
          <w:bCs/>
          <w:lang w:val="es-MX"/>
        </w:rPr>
        <w:t>4</w:t>
      </w:r>
      <w:r w:rsidRPr="00E6086A">
        <w:rPr>
          <w:rFonts w:cs="Arial"/>
          <w:b/>
          <w:bCs/>
          <w:lang w:val="es-MX"/>
        </w:rPr>
        <w:t>.</w:t>
      </w:r>
      <w:r w:rsidRPr="00E6086A">
        <w:rPr>
          <w:rFonts w:cs="Arial"/>
          <w:bCs/>
          <w:lang w:val="es-MX"/>
        </w:rPr>
        <w:t xml:space="preserve"> </w:t>
      </w:r>
      <w:r w:rsidR="00265F0E" w:rsidRPr="00E6086A">
        <w:rPr>
          <w:rFonts w:cs="Arial"/>
          <w:bCs/>
          <w:lang w:val="es-MX"/>
        </w:rPr>
        <w:t xml:space="preserve">En la oportunidad para alegar en segunda instancia, </w:t>
      </w:r>
      <w:r w:rsidR="00DA2637" w:rsidRPr="00E6086A">
        <w:rPr>
          <w:rFonts w:cs="Arial"/>
          <w:bCs/>
          <w:lang w:val="es-MX"/>
        </w:rPr>
        <w:t>el municipio de Medellín</w:t>
      </w:r>
      <w:r w:rsidR="005E2652" w:rsidRPr="00E6086A">
        <w:rPr>
          <w:rFonts w:cs="Arial"/>
          <w:bCs/>
          <w:lang w:val="es-MX"/>
        </w:rPr>
        <w:t>, obrando como parte demandada,</w:t>
      </w:r>
      <w:r w:rsidR="00DA2637" w:rsidRPr="00E6086A">
        <w:rPr>
          <w:rFonts w:cs="Arial"/>
          <w:bCs/>
          <w:lang w:val="es-MX"/>
        </w:rPr>
        <w:t xml:space="preserve"> solicitó </w:t>
      </w:r>
      <w:r w:rsidR="00937840" w:rsidRPr="00E6086A">
        <w:rPr>
          <w:rFonts w:cs="Arial"/>
          <w:bCs/>
          <w:lang w:val="es-MX"/>
        </w:rPr>
        <w:t xml:space="preserve">confirmar la sentencia y, para ello, </w:t>
      </w:r>
      <w:r w:rsidR="00DA2637" w:rsidRPr="00E6086A">
        <w:rPr>
          <w:rFonts w:cs="Arial"/>
          <w:bCs/>
          <w:lang w:val="es-MX"/>
        </w:rPr>
        <w:t xml:space="preserve">tener en cuenta </w:t>
      </w:r>
      <w:r w:rsidR="004F041F" w:rsidRPr="00E6086A">
        <w:rPr>
          <w:rFonts w:cs="Arial"/>
          <w:bCs/>
          <w:lang w:val="es-MX"/>
        </w:rPr>
        <w:t>sus</w:t>
      </w:r>
      <w:r w:rsidR="00DA2637" w:rsidRPr="00E6086A">
        <w:rPr>
          <w:rFonts w:cs="Arial"/>
          <w:bCs/>
          <w:lang w:val="es-MX"/>
        </w:rPr>
        <w:t xml:space="preserve"> argumentos de la contestación de la</w:t>
      </w:r>
      <w:r w:rsidR="000A6E4E" w:rsidRPr="00E6086A">
        <w:rPr>
          <w:rFonts w:cs="Arial"/>
          <w:bCs/>
          <w:lang w:val="es-MX"/>
        </w:rPr>
        <w:t xml:space="preserve"> </w:t>
      </w:r>
      <w:r w:rsidR="00DA2637" w:rsidRPr="00E6086A">
        <w:rPr>
          <w:rFonts w:cs="Arial"/>
          <w:bCs/>
          <w:lang w:val="es-MX"/>
        </w:rPr>
        <w:t xml:space="preserve">demanda y </w:t>
      </w:r>
      <w:r w:rsidR="004F041F" w:rsidRPr="00E6086A">
        <w:rPr>
          <w:rFonts w:cs="Arial"/>
          <w:bCs/>
          <w:lang w:val="es-MX"/>
        </w:rPr>
        <w:t>sus</w:t>
      </w:r>
      <w:r w:rsidR="00DA2637" w:rsidRPr="00E6086A">
        <w:rPr>
          <w:rFonts w:cs="Arial"/>
          <w:bCs/>
          <w:lang w:val="es-MX"/>
        </w:rPr>
        <w:t xml:space="preserve"> alegatos de </w:t>
      </w:r>
      <w:r w:rsidR="004F041F" w:rsidRPr="00E6086A">
        <w:rPr>
          <w:rFonts w:cs="Arial"/>
          <w:bCs/>
          <w:lang w:val="es-MX"/>
        </w:rPr>
        <w:t xml:space="preserve">la </w:t>
      </w:r>
      <w:r w:rsidR="00DA2637" w:rsidRPr="00E6086A">
        <w:rPr>
          <w:rFonts w:cs="Arial"/>
          <w:bCs/>
          <w:lang w:val="es-MX"/>
        </w:rPr>
        <w:t>primera instancia</w:t>
      </w:r>
      <w:r w:rsidR="00937840" w:rsidRPr="00E6086A">
        <w:rPr>
          <w:rFonts w:cs="Arial"/>
          <w:bCs/>
          <w:lang w:val="es-MX"/>
        </w:rPr>
        <w:t xml:space="preserve">. </w:t>
      </w:r>
    </w:p>
    <w:p w:rsidR="00937840" w:rsidRPr="00E6086A" w:rsidRDefault="00937840" w:rsidP="009D3798">
      <w:pPr>
        <w:rPr>
          <w:rFonts w:cs="Arial"/>
          <w:bCs/>
          <w:lang w:val="es-MX"/>
        </w:rPr>
      </w:pPr>
    </w:p>
    <w:p w:rsidR="000A6E4E" w:rsidRPr="00E6086A" w:rsidRDefault="00937840" w:rsidP="009D3798">
      <w:pPr>
        <w:rPr>
          <w:rFonts w:cs="Arial"/>
          <w:bCs/>
          <w:lang w:val="es-MX"/>
        </w:rPr>
      </w:pPr>
      <w:r w:rsidRPr="00E6086A">
        <w:rPr>
          <w:rFonts w:cs="Arial"/>
          <w:bCs/>
          <w:lang w:val="es-MX"/>
        </w:rPr>
        <w:t>Re</w:t>
      </w:r>
      <w:r w:rsidR="00DA2637" w:rsidRPr="00E6086A">
        <w:rPr>
          <w:rFonts w:cs="Arial"/>
          <w:bCs/>
          <w:lang w:val="es-MX"/>
        </w:rPr>
        <w:t>afirmó que no le asiste responsabilidad alguna po</w:t>
      </w:r>
      <w:r w:rsidR="000A6E4E" w:rsidRPr="00E6086A">
        <w:rPr>
          <w:rFonts w:cs="Arial"/>
          <w:bCs/>
          <w:lang w:val="es-MX"/>
        </w:rPr>
        <w:t>r</w:t>
      </w:r>
      <w:r w:rsidR="00DA2637" w:rsidRPr="00E6086A">
        <w:rPr>
          <w:rFonts w:cs="Arial"/>
          <w:bCs/>
          <w:lang w:val="es-MX"/>
        </w:rPr>
        <w:t xml:space="preserve"> no haber a</w:t>
      </w:r>
      <w:r w:rsidRPr="00E6086A">
        <w:rPr>
          <w:rFonts w:cs="Arial"/>
          <w:bCs/>
          <w:lang w:val="es-MX"/>
        </w:rPr>
        <w:t xml:space="preserve">djudicado el contrato a </w:t>
      </w:r>
      <w:r w:rsidR="00DA2637" w:rsidRPr="00E6086A">
        <w:rPr>
          <w:rFonts w:cs="Arial"/>
          <w:bCs/>
          <w:lang w:val="es-MX"/>
        </w:rPr>
        <w:t>la oferta de la demandante</w:t>
      </w:r>
      <w:r w:rsidR="000A6E4E" w:rsidRPr="00E6086A">
        <w:rPr>
          <w:rFonts w:cs="Arial"/>
          <w:bCs/>
          <w:lang w:val="es-MX"/>
        </w:rPr>
        <w:t xml:space="preserve">, dado que </w:t>
      </w:r>
      <w:r w:rsidR="0056718C" w:rsidRPr="00E6086A">
        <w:rPr>
          <w:rFonts w:cs="Arial"/>
          <w:bCs/>
          <w:lang w:val="es-MX"/>
        </w:rPr>
        <w:t>esa</w:t>
      </w:r>
      <w:r w:rsidR="00054F11" w:rsidRPr="00E6086A">
        <w:rPr>
          <w:rFonts w:cs="Arial"/>
          <w:bCs/>
          <w:lang w:val="es-MX"/>
        </w:rPr>
        <w:t xml:space="preserve"> proponente </w:t>
      </w:r>
      <w:r w:rsidR="000A6E4E" w:rsidRPr="00E6086A">
        <w:rPr>
          <w:rFonts w:cs="Arial"/>
          <w:bCs/>
          <w:lang w:val="es-MX"/>
        </w:rPr>
        <w:t>solo t</w:t>
      </w:r>
      <w:r w:rsidR="004F041F" w:rsidRPr="00E6086A">
        <w:rPr>
          <w:rFonts w:cs="Arial"/>
          <w:bCs/>
          <w:lang w:val="es-MX"/>
        </w:rPr>
        <w:t xml:space="preserve">enía </w:t>
      </w:r>
      <w:r w:rsidR="000A6E4E" w:rsidRPr="00E6086A">
        <w:rPr>
          <w:rFonts w:cs="Arial"/>
          <w:bCs/>
          <w:lang w:val="es-MX"/>
        </w:rPr>
        <w:t>una mera expectativa y que</w:t>
      </w:r>
      <w:r w:rsidR="00054F11" w:rsidRPr="00E6086A">
        <w:rPr>
          <w:rFonts w:cs="Arial"/>
          <w:bCs/>
          <w:lang w:val="es-MX"/>
        </w:rPr>
        <w:t xml:space="preserve"> en este proceso </w:t>
      </w:r>
      <w:r w:rsidR="000A6E4E" w:rsidRPr="00E6086A">
        <w:rPr>
          <w:rFonts w:cs="Arial"/>
          <w:bCs/>
          <w:lang w:val="es-MX"/>
        </w:rPr>
        <w:t xml:space="preserve">quedó demostrado que la decisión </w:t>
      </w:r>
      <w:r w:rsidR="002E1C1B" w:rsidRPr="00E6086A">
        <w:rPr>
          <w:rFonts w:cs="Arial"/>
          <w:bCs/>
          <w:lang w:val="es-MX"/>
        </w:rPr>
        <w:t>s</w:t>
      </w:r>
      <w:r w:rsidR="000A6E4E" w:rsidRPr="00E6086A">
        <w:rPr>
          <w:rFonts w:cs="Arial"/>
          <w:bCs/>
          <w:lang w:val="es-MX"/>
        </w:rPr>
        <w:t>e ajustó al pliego de condiciones. ´</w:t>
      </w:r>
    </w:p>
    <w:p w:rsidR="007D027B" w:rsidRPr="00E6086A" w:rsidRDefault="007D027B" w:rsidP="009D3798">
      <w:pPr>
        <w:rPr>
          <w:rFonts w:cs="Arial"/>
          <w:bCs/>
          <w:lang w:val="es-MX"/>
        </w:rPr>
      </w:pPr>
    </w:p>
    <w:p w:rsidR="00EA06B5" w:rsidRPr="00E6086A" w:rsidRDefault="00B013B3" w:rsidP="009D3798">
      <w:pPr>
        <w:rPr>
          <w:rFonts w:cs="Arial"/>
          <w:bCs/>
          <w:i/>
          <w:lang w:val="es-MX"/>
        </w:rPr>
      </w:pPr>
      <w:r w:rsidRPr="00E6086A">
        <w:rPr>
          <w:rFonts w:cs="Arial"/>
          <w:b/>
          <w:bCs/>
          <w:lang w:val="es-MX"/>
        </w:rPr>
        <w:t>4.</w:t>
      </w:r>
      <w:r w:rsidR="0070647A" w:rsidRPr="00E6086A">
        <w:rPr>
          <w:rFonts w:cs="Arial"/>
          <w:b/>
          <w:bCs/>
          <w:lang w:val="es-MX"/>
        </w:rPr>
        <w:t>4</w:t>
      </w:r>
      <w:r w:rsidRPr="00E6086A">
        <w:rPr>
          <w:rFonts w:cs="Arial"/>
          <w:b/>
          <w:bCs/>
          <w:lang w:val="es-MX"/>
        </w:rPr>
        <w:t>.5.</w:t>
      </w:r>
      <w:r w:rsidRPr="00E6086A">
        <w:rPr>
          <w:rFonts w:cs="Arial"/>
          <w:bCs/>
          <w:lang w:val="es-MX"/>
        </w:rPr>
        <w:t xml:space="preserve"> E</w:t>
      </w:r>
      <w:r w:rsidR="00C80D13" w:rsidRPr="00E6086A">
        <w:rPr>
          <w:rFonts w:cs="Arial"/>
          <w:bCs/>
          <w:lang w:val="es-MX"/>
        </w:rPr>
        <w:t xml:space="preserve">l </w:t>
      </w:r>
      <w:r w:rsidR="00473431" w:rsidRPr="00E6086A">
        <w:rPr>
          <w:rFonts w:cs="Arial"/>
          <w:b/>
          <w:bCs/>
          <w:lang w:val="es-MX"/>
        </w:rPr>
        <w:t xml:space="preserve">Ministerio </w:t>
      </w:r>
      <w:r w:rsidR="00484F35" w:rsidRPr="00E6086A">
        <w:rPr>
          <w:rFonts w:cs="Arial"/>
          <w:b/>
          <w:bCs/>
          <w:lang w:val="es-MX"/>
        </w:rPr>
        <w:t>Público</w:t>
      </w:r>
      <w:r w:rsidR="00484F35" w:rsidRPr="00E6086A">
        <w:rPr>
          <w:rFonts w:cs="Arial"/>
          <w:bCs/>
          <w:lang w:val="es-MX"/>
        </w:rPr>
        <w:t xml:space="preserve"> </w:t>
      </w:r>
      <w:r w:rsidR="009672FB" w:rsidRPr="00E6086A">
        <w:rPr>
          <w:rFonts w:cs="Arial"/>
          <w:bCs/>
          <w:lang w:val="es-MX"/>
        </w:rPr>
        <w:t xml:space="preserve">emitió </w:t>
      </w:r>
      <w:r w:rsidR="00EA06B5" w:rsidRPr="00E6086A">
        <w:rPr>
          <w:rFonts w:cs="Arial"/>
          <w:bCs/>
          <w:lang w:val="es-MX"/>
        </w:rPr>
        <w:t xml:space="preserve">su concepto </w:t>
      </w:r>
      <w:r w:rsidR="002E1C1B" w:rsidRPr="00E6086A">
        <w:rPr>
          <w:rFonts w:cs="Arial"/>
          <w:bCs/>
          <w:lang w:val="es-MX"/>
        </w:rPr>
        <w:t xml:space="preserve">en el sentido de que </w:t>
      </w:r>
      <w:r w:rsidR="00CD7864" w:rsidRPr="00E6086A">
        <w:rPr>
          <w:rFonts w:cs="Arial"/>
          <w:bCs/>
          <w:lang w:val="es-MX"/>
        </w:rPr>
        <w:t>la sentencia de primera instancia debe ser confirmada</w:t>
      </w:r>
      <w:r w:rsidR="007841E6" w:rsidRPr="00E6086A">
        <w:rPr>
          <w:rFonts w:cs="Arial"/>
          <w:bCs/>
          <w:lang w:val="es-MX"/>
        </w:rPr>
        <w:t>, toda vez que el municipio</w:t>
      </w:r>
      <w:r w:rsidR="002E1C1B" w:rsidRPr="00E6086A">
        <w:rPr>
          <w:rFonts w:cs="Arial"/>
          <w:bCs/>
          <w:lang w:val="es-MX"/>
        </w:rPr>
        <w:t xml:space="preserve"> de Medellín</w:t>
      </w:r>
      <w:r w:rsidR="007841E6" w:rsidRPr="00E6086A">
        <w:rPr>
          <w:rFonts w:cs="Arial"/>
          <w:bCs/>
          <w:lang w:val="es-MX"/>
        </w:rPr>
        <w:t xml:space="preserve"> “</w:t>
      </w:r>
      <w:r w:rsidR="007841E6" w:rsidRPr="00E6086A">
        <w:rPr>
          <w:rFonts w:cs="Arial"/>
          <w:bCs/>
          <w:i/>
          <w:lang w:val="es-MX"/>
        </w:rPr>
        <w:t>aplicó principios del régimen de contratación estatal para no incurrir en violaciones de normas tanto constitucionales como legales para así adjudicar el contrato que se encontraba en</w:t>
      </w:r>
      <w:r w:rsidR="00D24103" w:rsidRPr="00E6086A">
        <w:rPr>
          <w:rFonts w:cs="Arial"/>
          <w:bCs/>
          <w:i/>
          <w:lang w:val="es-MX"/>
        </w:rPr>
        <w:t xml:space="preserve"> </w:t>
      </w:r>
      <w:r w:rsidR="007841E6" w:rsidRPr="00E6086A">
        <w:rPr>
          <w:rFonts w:cs="Arial"/>
          <w:bCs/>
          <w:i/>
          <w:lang w:val="es-MX"/>
        </w:rPr>
        <w:t>licitación”</w:t>
      </w:r>
      <w:r w:rsidR="007841E6" w:rsidRPr="00E6086A">
        <w:rPr>
          <w:rStyle w:val="Refdenotaalpie"/>
          <w:rFonts w:cs="Arial"/>
          <w:bCs/>
          <w:i/>
          <w:lang w:val="es-MX"/>
        </w:rPr>
        <w:footnoteReference w:id="7"/>
      </w:r>
      <w:r w:rsidR="007841E6" w:rsidRPr="00E6086A">
        <w:rPr>
          <w:rFonts w:cs="Arial"/>
          <w:bCs/>
          <w:i/>
          <w:lang w:val="es-MX"/>
        </w:rPr>
        <w:t>.</w:t>
      </w:r>
      <w:r w:rsidR="00CD7864" w:rsidRPr="00E6086A">
        <w:rPr>
          <w:rFonts w:cs="Arial"/>
          <w:bCs/>
          <w:i/>
          <w:lang w:val="es-MX"/>
        </w:rPr>
        <w:t xml:space="preserve"> </w:t>
      </w:r>
    </w:p>
    <w:p w:rsidR="0070647A" w:rsidRPr="00E6086A" w:rsidRDefault="0070647A" w:rsidP="009D3798">
      <w:pPr>
        <w:jc w:val="center"/>
        <w:rPr>
          <w:rFonts w:cs="Arial"/>
          <w:b/>
        </w:rPr>
      </w:pPr>
    </w:p>
    <w:p w:rsidR="008E64E0" w:rsidRPr="00E6086A" w:rsidRDefault="008E64E0" w:rsidP="009D3798">
      <w:pPr>
        <w:jc w:val="center"/>
        <w:rPr>
          <w:rFonts w:cs="Arial"/>
          <w:b/>
        </w:rPr>
      </w:pPr>
    </w:p>
    <w:p w:rsidR="00F21484" w:rsidRPr="00E6086A" w:rsidRDefault="00F21484" w:rsidP="009D3798">
      <w:pPr>
        <w:pStyle w:val="Lista"/>
        <w:ind w:left="0"/>
        <w:jc w:val="center"/>
        <w:rPr>
          <w:rFonts w:ascii="Arial" w:hAnsi="Arial" w:cs="Arial"/>
          <w:b/>
        </w:rPr>
      </w:pPr>
      <w:r w:rsidRPr="00E6086A">
        <w:rPr>
          <w:rFonts w:ascii="Arial" w:hAnsi="Arial" w:cs="Arial"/>
          <w:b/>
        </w:rPr>
        <w:t>II.</w:t>
      </w:r>
      <w:r w:rsidR="00E759BE" w:rsidRPr="00E6086A">
        <w:rPr>
          <w:rFonts w:ascii="Arial" w:hAnsi="Arial" w:cs="Arial"/>
          <w:b/>
        </w:rPr>
        <w:tab/>
      </w:r>
      <w:r w:rsidRPr="00E6086A">
        <w:rPr>
          <w:rFonts w:ascii="Arial" w:hAnsi="Arial" w:cs="Arial"/>
          <w:b/>
        </w:rPr>
        <w:t>C O N S I D E R A C I O N E S</w:t>
      </w:r>
    </w:p>
    <w:p w:rsidR="00ED77A2" w:rsidRPr="00E6086A" w:rsidRDefault="00ED77A2" w:rsidP="009D3798">
      <w:pPr>
        <w:rPr>
          <w:rFonts w:cs="Arial"/>
        </w:rPr>
      </w:pPr>
    </w:p>
    <w:p w:rsidR="0052529B" w:rsidRPr="00E6086A" w:rsidRDefault="0052529B" w:rsidP="009D3798">
      <w:pPr>
        <w:pStyle w:val="Encabezado"/>
        <w:tabs>
          <w:tab w:val="clear" w:pos="4419"/>
          <w:tab w:val="center" w:pos="0"/>
        </w:tabs>
        <w:rPr>
          <w:rFonts w:cs="Arial"/>
          <w:szCs w:val="24"/>
        </w:rPr>
      </w:pPr>
      <w:r w:rsidRPr="00E6086A">
        <w:rPr>
          <w:rFonts w:cs="Arial"/>
          <w:szCs w:val="24"/>
        </w:rPr>
        <w:lastRenderedPageBreak/>
        <w:t xml:space="preserve">Para resolver la segunda instancia de la presente </w:t>
      </w:r>
      <w:r w:rsidRPr="00E6086A">
        <w:rPr>
          <w:rFonts w:cs="Arial"/>
          <w:i/>
          <w:szCs w:val="24"/>
        </w:rPr>
        <w:t>litis</w:t>
      </w:r>
      <w:r w:rsidR="00DD3E54" w:rsidRPr="00E6086A">
        <w:rPr>
          <w:rFonts w:cs="Arial"/>
          <w:szCs w:val="24"/>
        </w:rPr>
        <w:t>, se abordará</w:t>
      </w:r>
      <w:r w:rsidRPr="00E6086A">
        <w:rPr>
          <w:rFonts w:cs="Arial"/>
          <w:szCs w:val="24"/>
        </w:rPr>
        <w:t xml:space="preserve">n los siguientes temas: </w:t>
      </w:r>
      <w:r w:rsidR="00445973" w:rsidRPr="00E6086A">
        <w:rPr>
          <w:rFonts w:cs="Arial"/>
          <w:b/>
          <w:szCs w:val="24"/>
        </w:rPr>
        <w:t>1</w:t>
      </w:r>
      <w:r w:rsidR="00A50912" w:rsidRPr="00E6086A">
        <w:rPr>
          <w:rFonts w:cs="Arial"/>
          <w:b/>
          <w:szCs w:val="24"/>
        </w:rPr>
        <w:t>)</w:t>
      </w:r>
      <w:r w:rsidR="00F813EB" w:rsidRPr="00E6086A">
        <w:rPr>
          <w:rFonts w:cs="Arial"/>
          <w:szCs w:val="24"/>
        </w:rPr>
        <w:t xml:space="preserve"> </w:t>
      </w:r>
      <w:r w:rsidR="00BF3EF6" w:rsidRPr="00E6086A">
        <w:rPr>
          <w:rFonts w:cs="Arial"/>
          <w:szCs w:val="24"/>
        </w:rPr>
        <w:t xml:space="preserve">jurisdicción y </w:t>
      </w:r>
      <w:r w:rsidR="00CA1EB0" w:rsidRPr="00E6086A">
        <w:rPr>
          <w:rFonts w:cs="Arial"/>
          <w:szCs w:val="24"/>
        </w:rPr>
        <w:t>c</w:t>
      </w:r>
      <w:r w:rsidR="00DF40B5" w:rsidRPr="00E6086A">
        <w:rPr>
          <w:rFonts w:cs="Arial"/>
          <w:szCs w:val="24"/>
        </w:rPr>
        <w:t xml:space="preserve">ompetencia del Consejo de Estado; </w:t>
      </w:r>
      <w:r w:rsidR="00445973" w:rsidRPr="00E6086A">
        <w:rPr>
          <w:rFonts w:cs="Arial"/>
          <w:b/>
          <w:szCs w:val="24"/>
        </w:rPr>
        <w:t>2</w:t>
      </w:r>
      <w:r w:rsidR="00A50912" w:rsidRPr="00E6086A">
        <w:rPr>
          <w:rFonts w:cs="Arial"/>
          <w:b/>
          <w:szCs w:val="24"/>
        </w:rPr>
        <w:t>)</w:t>
      </w:r>
      <w:r w:rsidR="00E8149C" w:rsidRPr="00E6086A">
        <w:rPr>
          <w:rFonts w:cs="Arial"/>
          <w:szCs w:val="24"/>
        </w:rPr>
        <w:t xml:space="preserve"> </w:t>
      </w:r>
      <w:r w:rsidR="00956EB2" w:rsidRPr="00E6086A">
        <w:rPr>
          <w:rFonts w:cs="Arial"/>
          <w:szCs w:val="24"/>
        </w:rPr>
        <w:t>acción pertinente</w:t>
      </w:r>
      <w:r w:rsidR="00EA098D" w:rsidRPr="00E6086A">
        <w:rPr>
          <w:rFonts w:cs="Arial"/>
          <w:szCs w:val="24"/>
        </w:rPr>
        <w:t xml:space="preserve"> contra los actos </w:t>
      </w:r>
      <w:r w:rsidR="004C428B" w:rsidRPr="00E6086A">
        <w:rPr>
          <w:rFonts w:cs="Arial"/>
          <w:szCs w:val="24"/>
        </w:rPr>
        <w:t>previos o precontractuales</w:t>
      </w:r>
      <w:r w:rsidR="00956EB2" w:rsidRPr="00E6086A">
        <w:rPr>
          <w:rFonts w:cs="Arial"/>
          <w:szCs w:val="24"/>
        </w:rPr>
        <w:t xml:space="preserve">; </w:t>
      </w:r>
      <w:r w:rsidR="00956EB2" w:rsidRPr="00E6086A">
        <w:rPr>
          <w:rFonts w:cs="Arial"/>
          <w:b/>
          <w:szCs w:val="24"/>
        </w:rPr>
        <w:t>3)</w:t>
      </w:r>
      <w:r w:rsidR="00EA098D" w:rsidRPr="00E6086A">
        <w:rPr>
          <w:rFonts w:cs="Arial"/>
          <w:b/>
          <w:szCs w:val="24"/>
        </w:rPr>
        <w:t xml:space="preserve"> </w:t>
      </w:r>
      <w:r w:rsidR="00CA1EB0" w:rsidRPr="00E6086A">
        <w:rPr>
          <w:rFonts w:cs="Arial"/>
          <w:szCs w:val="24"/>
        </w:rPr>
        <w:t>c</w:t>
      </w:r>
      <w:r w:rsidR="00E939A0" w:rsidRPr="00E6086A">
        <w:rPr>
          <w:rFonts w:cs="Arial"/>
          <w:szCs w:val="24"/>
        </w:rPr>
        <w:t>aducidad de la acción contractual</w:t>
      </w:r>
      <w:r w:rsidR="004F6E16" w:rsidRPr="00E6086A">
        <w:rPr>
          <w:rFonts w:cs="Arial"/>
          <w:szCs w:val="24"/>
        </w:rPr>
        <w:t xml:space="preserve"> </w:t>
      </w:r>
      <w:r w:rsidR="004C428B" w:rsidRPr="00E6086A">
        <w:rPr>
          <w:rFonts w:cs="Arial"/>
          <w:szCs w:val="24"/>
        </w:rPr>
        <w:t>contra los actos previos que se rigió por el artículo 87 CCA</w:t>
      </w:r>
      <w:r w:rsidR="00E939A0" w:rsidRPr="00E6086A">
        <w:rPr>
          <w:rFonts w:cs="Arial"/>
          <w:szCs w:val="24"/>
        </w:rPr>
        <w:t xml:space="preserve">; </w:t>
      </w:r>
      <w:r w:rsidR="00EA098D" w:rsidRPr="00E6086A">
        <w:rPr>
          <w:rFonts w:cs="Arial"/>
          <w:b/>
          <w:szCs w:val="24"/>
        </w:rPr>
        <w:t>4</w:t>
      </w:r>
      <w:r w:rsidR="004F6E16" w:rsidRPr="00E6086A">
        <w:rPr>
          <w:rFonts w:cs="Arial"/>
          <w:b/>
          <w:szCs w:val="24"/>
        </w:rPr>
        <w:t xml:space="preserve">) </w:t>
      </w:r>
      <w:r w:rsidR="00AE4195" w:rsidRPr="00E6086A">
        <w:rPr>
          <w:rFonts w:cs="Arial"/>
          <w:szCs w:val="24"/>
        </w:rPr>
        <w:t xml:space="preserve">Análisis de los presupuestos procesales </w:t>
      </w:r>
      <w:r w:rsidR="00706416" w:rsidRPr="00E6086A">
        <w:rPr>
          <w:rFonts w:cs="Arial"/>
          <w:szCs w:val="24"/>
        </w:rPr>
        <w:t xml:space="preserve">para aquellos casos en que </w:t>
      </w:r>
      <w:r w:rsidR="00AE4195" w:rsidRPr="00E6086A">
        <w:rPr>
          <w:rFonts w:cs="Arial"/>
          <w:szCs w:val="24"/>
        </w:rPr>
        <w:t xml:space="preserve">la demanda </w:t>
      </w:r>
      <w:r w:rsidR="004C428B" w:rsidRPr="00E6086A">
        <w:rPr>
          <w:rFonts w:cs="Arial"/>
          <w:szCs w:val="24"/>
        </w:rPr>
        <w:t xml:space="preserve">contra los actos previos </w:t>
      </w:r>
      <w:r w:rsidR="00AE4195" w:rsidRPr="00E6086A">
        <w:rPr>
          <w:rFonts w:cs="Arial"/>
          <w:szCs w:val="24"/>
        </w:rPr>
        <w:t xml:space="preserve">se presenta con anterioridad a la firma del contrato; </w:t>
      </w:r>
      <w:r w:rsidR="00AE4195" w:rsidRPr="00E6086A">
        <w:rPr>
          <w:rFonts w:cs="Arial"/>
          <w:b/>
          <w:szCs w:val="24"/>
        </w:rPr>
        <w:t>5)</w:t>
      </w:r>
      <w:r w:rsidR="00AE4195" w:rsidRPr="00E6086A">
        <w:rPr>
          <w:rFonts w:cs="Arial"/>
          <w:szCs w:val="24"/>
        </w:rPr>
        <w:t xml:space="preserve"> </w:t>
      </w:r>
      <w:r w:rsidR="00431AB0" w:rsidRPr="00E6086A">
        <w:rPr>
          <w:rFonts w:cs="Arial"/>
          <w:szCs w:val="24"/>
        </w:rPr>
        <w:t xml:space="preserve">Análisis de las pruebas allegadas al proceso; </w:t>
      </w:r>
      <w:r w:rsidR="00431AB0" w:rsidRPr="00E6086A">
        <w:rPr>
          <w:rFonts w:cs="Arial"/>
          <w:b/>
          <w:szCs w:val="24"/>
        </w:rPr>
        <w:t>6)</w:t>
      </w:r>
      <w:r w:rsidR="00431AB0" w:rsidRPr="00E6086A">
        <w:rPr>
          <w:rFonts w:cs="Arial"/>
          <w:szCs w:val="24"/>
        </w:rPr>
        <w:t xml:space="preserve"> </w:t>
      </w:r>
      <w:r w:rsidR="00EA098D" w:rsidRPr="00E6086A">
        <w:rPr>
          <w:rFonts w:cs="Arial"/>
          <w:szCs w:val="24"/>
        </w:rPr>
        <w:t>el caso concreto</w:t>
      </w:r>
      <w:r w:rsidR="00431AB0" w:rsidRPr="00E6086A">
        <w:rPr>
          <w:rFonts w:cs="Arial"/>
          <w:szCs w:val="24"/>
        </w:rPr>
        <w:t xml:space="preserve">; </w:t>
      </w:r>
      <w:r w:rsidR="00431AB0" w:rsidRPr="00E6086A">
        <w:rPr>
          <w:rFonts w:cs="Arial"/>
          <w:b/>
          <w:szCs w:val="24"/>
          <w:lang w:val="es-CO"/>
        </w:rPr>
        <w:t>7</w:t>
      </w:r>
      <w:r w:rsidR="00E964B2" w:rsidRPr="00E6086A">
        <w:rPr>
          <w:rFonts w:cs="Arial"/>
          <w:b/>
          <w:szCs w:val="24"/>
          <w:lang w:val="es-CO"/>
        </w:rPr>
        <w:t xml:space="preserve">) </w:t>
      </w:r>
      <w:r w:rsidR="00F810DD" w:rsidRPr="00E6086A">
        <w:rPr>
          <w:rFonts w:cs="Arial"/>
          <w:szCs w:val="24"/>
        </w:rPr>
        <w:t>costas</w:t>
      </w:r>
      <w:r w:rsidRPr="00E6086A">
        <w:rPr>
          <w:rFonts w:cs="Arial"/>
          <w:szCs w:val="24"/>
        </w:rPr>
        <w:t>.</w:t>
      </w:r>
    </w:p>
    <w:p w:rsidR="00C874B4" w:rsidRPr="00E6086A" w:rsidRDefault="00C874B4" w:rsidP="009D3798">
      <w:pPr>
        <w:pStyle w:val="NormalWeb"/>
        <w:spacing w:before="0" w:beforeAutospacing="0" w:after="0" w:afterAutospacing="0"/>
        <w:rPr>
          <w:rFonts w:cs="Arial"/>
        </w:rPr>
      </w:pPr>
    </w:p>
    <w:p w:rsidR="00317A4E" w:rsidRPr="00E6086A" w:rsidRDefault="002F2954" w:rsidP="009D3798">
      <w:pPr>
        <w:pStyle w:val="NormalWeb"/>
        <w:spacing w:before="0" w:beforeAutospacing="0" w:after="0" w:afterAutospacing="0"/>
        <w:rPr>
          <w:rFonts w:cs="Arial"/>
        </w:rPr>
      </w:pPr>
      <w:r w:rsidRPr="00E6086A">
        <w:rPr>
          <w:rFonts w:cs="Arial"/>
        </w:rPr>
        <w:t xml:space="preserve">En el caso concreto se estudiará el </w:t>
      </w:r>
      <w:r w:rsidR="00317A4E" w:rsidRPr="00E6086A">
        <w:rPr>
          <w:rFonts w:cs="Arial"/>
        </w:rPr>
        <w:t>requisito de la póliza de seriedad de la oferta otorgada por un valor menor del requerido en el pliego de condiciones</w:t>
      </w:r>
      <w:r w:rsidR="00422ABB" w:rsidRPr="00E6086A">
        <w:rPr>
          <w:rFonts w:cs="Arial"/>
        </w:rPr>
        <w:t>, p</w:t>
      </w:r>
      <w:r w:rsidR="00396420" w:rsidRPr="00E6086A">
        <w:rPr>
          <w:rFonts w:cs="Arial"/>
        </w:rPr>
        <w:t>unto en el cual se concluirá</w:t>
      </w:r>
      <w:r w:rsidR="00422ABB" w:rsidRPr="00E6086A">
        <w:rPr>
          <w:rFonts w:cs="Arial"/>
        </w:rPr>
        <w:t xml:space="preserve"> que </w:t>
      </w:r>
      <w:r w:rsidR="00317A4E" w:rsidRPr="00E6086A">
        <w:rPr>
          <w:rFonts w:cs="Arial"/>
        </w:rPr>
        <w:t>no afecta</w:t>
      </w:r>
      <w:r w:rsidR="00422ABB" w:rsidRPr="00E6086A">
        <w:rPr>
          <w:rFonts w:cs="Arial"/>
        </w:rPr>
        <w:t>ba la</w:t>
      </w:r>
      <w:r w:rsidR="00317A4E" w:rsidRPr="00E6086A">
        <w:rPr>
          <w:rFonts w:cs="Arial"/>
        </w:rPr>
        <w:t xml:space="preserve"> comparación de propuestas</w:t>
      </w:r>
      <w:r w:rsidR="00130DC2" w:rsidRPr="00E6086A">
        <w:rPr>
          <w:rFonts w:cs="Arial"/>
        </w:rPr>
        <w:t xml:space="preserve"> y que era improcedente su rechazo de acuerdo con el numeral 15 del artículo 25 de la Ley 80 de 1993.</w:t>
      </w:r>
      <w:r w:rsidR="009672FB" w:rsidRPr="00E6086A">
        <w:rPr>
          <w:rFonts w:cs="Arial"/>
        </w:rPr>
        <w:t xml:space="preserve"> En el mismo punto </w:t>
      </w:r>
      <w:r w:rsidR="00422ABB" w:rsidRPr="00E6086A">
        <w:rPr>
          <w:rFonts w:cs="Arial"/>
        </w:rPr>
        <w:t>se detallará el</w:t>
      </w:r>
      <w:r w:rsidR="00317A4E" w:rsidRPr="00E6086A">
        <w:rPr>
          <w:rFonts w:cs="Arial"/>
        </w:rPr>
        <w:t xml:space="preserve"> </w:t>
      </w:r>
      <w:r w:rsidRPr="00E6086A">
        <w:rPr>
          <w:rFonts w:cs="Arial"/>
        </w:rPr>
        <w:t>contenido del pliego de condiciones y se reiterará la jurisprudencia acerca del principio del fondo sobre la forma</w:t>
      </w:r>
      <w:r w:rsidR="009672FB" w:rsidRPr="00E6086A">
        <w:rPr>
          <w:rFonts w:cs="Arial"/>
        </w:rPr>
        <w:t>,</w:t>
      </w:r>
      <w:r w:rsidRPr="00E6086A">
        <w:rPr>
          <w:rFonts w:cs="Arial"/>
        </w:rPr>
        <w:t xml:space="preserve"> en la interpretación de los requisitos del pliego de condiciones.</w:t>
      </w:r>
    </w:p>
    <w:p w:rsidR="002F2954" w:rsidRPr="00E6086A" w:rsidRDefault="002F2954" w:rsidP="009D3798">
      <w:pPr>
        <w:pStyle w:val="NormalWeb"/>
        <w:spacing w:before="0" w:beforeAutospacing="0" w:after="0" w:afterAutospacing="0"/>
        <w:rPr>
          <w:rFonts w:cs="Arial"/>
        </w:rPr>
      </w:pPr>
      <w:r w:rsidRPr="00E6086A">
        <w:rPr>
          <w:rFonts w:cs="Arial"/>
        </w:rPr>
        <w:t xml:space="preserve"> </w:t>
      </w:r>
    </w:p>
    <w:p w:rsidR="00117C54" w:rsidRPr="00E6086A" w:rsidRDefault="00CD461C" w:rsidP="009D3798">
      <w:pPr>
        <w:rPr>
          <w:rFonts w:cs="Arial"/>
          <w:b/>
          <w:lang w:val="es-CO"/>
        </w:rPr>
      </w:pPr>
      <w:r w:rsidRPr="00E6086A">
        <w:rPr>
          <w:rFonts w:cs="Arial"/>
          <w:b/>
          <w:lang w:val="es-CO"/>
        </w:rPr>
        <w:t>1</w:t>
      </w:r>
      <w:r w:rsidR="00F971DB" w:rsidRPr="00E6086A">
        <w:rPr>
          <w:rFonts w:cs="Arial"/>
          <w:b/>
          <w:lang w:val="es-CO"/>
        </w:rPr>
        <w:t>.</w:t>
      </w:r>
      <w:r w:rsidR="002B5EAB" w:rsidRPr="00E6086A">
        <w:rPr>
          <w:rFonts w:cs="Arial"/>
          <w:b/>
          <w:lang w:val="es-CO"/>
        </w:rPr>
        <w:t xml:space="preserve"> </w:t>
      </w:r>
      <w:r w:rsidR="00C874B4" w:rsidRPr="00E6086A">
        <w:rPr>
          <w:rFonts w:cs="Arial"/>
          <w:b/>
          <w:lang w:val="es-CO"/>
        </w:rPr>
        <w:t>Competencia del Consejo de Estado</w:t>
      </w:r>
    </w:p>
    <w:p w:rsidR="00205871" w:rsidRPr="00E6086A" w:rsidRDefault="00205871" w:rsidP="009D3798">
      <w:pPr>
        <w:rPr>
          <w:rFonts w:cs="Arial"/>
          <w:b/>
          <w:lang w:val="es-CO"/>
        </w:rPr>
      </w:pPr>
    </w:p>
    <w:p w:rsidR="00205871" w:rsidRPr="00E6086A" w:rsidRDefault="00F971DB" w:rsidP="009D3798">
      <w:pPr>
        <w:rPr>
          <w:rFonts w:cs="Arial"/>
          <w:b/>
          <w:lang w:val="es-CO"/>
        </w:rPr>
      </w:pPr>
      <w:r w:rsidRPr="00E6086A">
        <w:rPr>
          <w:rFonts w:cs="Arial"/>
          <w:b/>
          <w:lang w:val="es-CO"/>
        </w:rPr>
        <w:t xml:space="preserve">1.1. </w:t>
      </w:r>
      <w:r w:rsidR="00205871" w:rsidRPr="00E6086A">
        <w:rPr>
          <w:rFonts w:cs="Arial"/>
          <w:b/>
          <w:lang w:val="es-CO"/>
        </w:rPr>
        <w:t>Jurisdicción Competente</w:t>
      </w:r>
    </w:p>
    <w:p w:rsidR="00A43131" w:rsidRPr="00E6086A" w:rsidRDefault="00A43131" w:rsidP="009D3798">
      <w:pPr>
        <w:pStyle w:val="Textoindependiente"/>
        <w:autoSpaceDE/>
        <w:adjustRightInd/>
        <w:rPr>
          <w:rFonts w:cs="Arial"/>
          <w:szCs w:val="24"/>
          <w:lang w:val="es-CO"/>
        </w:rPr>
      </w:pPr>
    </w:p>
    <w:p w:rsidR="0094555B" w:rsidRPr="00E6086A" w:rsidRDefault="00D632BF" w:rsidP="009D3798">
      <w:pPr>
        <w:rPr>
          <w:rFonts w:cs="Arial"/>
        </w:rPr>
      </w:pPr>
      <w:r w:rsidRPr="00E6086A">
        <w:rPr>
          <w:rFonts w:cs="Arial"/>
        </w:rPr>
        <w:t>Se confirma la competencia de la Jurisdicción de lo Contencioso Administrativo, para conocer del presente asunto, c</w:t>
      </w:r>
      <w:r w:rsidR="00FD7C79" w:rsidRPr="00E6086A">
        <w:rPr>
          <w:rFonts w:cs="Arial"/>
        </w:rPr>
        <w:t xml:space="preserve">on </w:t>
      </w:r>
      <w:r w:rsidR="0081321A" w:rsidRPr="00E6086A">
        <w:rPr>
          <w:rFonts w:cs="Arial"/>
        </w:rPr>
        <w:t xml:space="preserve">fundamento en el </w:t>
      </w:r>
      <w:r w:rsidR="00FD7C79" w:rsidRPr="00E6086A">
        <w:rPr>
          <w:rFonts w:cs="Arial"/>
        </w:rPr>
        <w:t xml:space="preserve">criterio orgánico que </w:t>
      </w:r>
      <w:r w:rsidR="001F0064" w:rsidRPr="00E6086A">
        <w:rPr>
          <w:rFonts w:cs="Arial"/>
        </w:rPr>
        <w:t>se a</w:t>
      </w:r>
      <w:r w:rsidR="00FC1C91" w:rsidRPr="00E6086A">
        <w:rPr>
          <w:rFonts w:cs="Arial"/>
        </w:rPr>
        <w:t>doptó en la Ley 80 de 1993</w:t>
      </w:r>
      <w:r w:rsidR="00CF1943" w:rsidRPr="00E6086A">
        <w:rPr>
          <w:rStyle w:val="Refdenotaalpie"/>
          <w:rFonts w:cs="Arial"/>
        </w:rPr>
        <w:footnoteReference w:id="8"/>
      </w:r>
      <w:r w:rsidR="00CF1943" w:rsidRPr="00E6086A">
        <w:rPr>
          <w:rFonts w:cs="Arial"/>
        </w:rPr>
        <w:t>, en concordancia con el artículo 82 del Código Contencioso Administrativo</w:t>
      </w:r>
      <w:r w:rsidR="00C045C1" w:rsidRPr="00E6086A">
        <w:rPr>
          <w:rStyle w:val="Refdenotaalpie"/>
          <w:rFonts w:cs="Arial"/>
        </w:rPr>
        <w:footnoteReference w:id="9"/>
      </w:r>
      <w:r w:rsidR="00FC1C91" w:rsidRPr="00E6086A">
        <w:rPr>
          <w:rFonts w:cs="Arial"/>
        </w:rPr>
        <w:t>;</w:t>
      </w:r>
      <w:r w:rsidR="001F0064" w:rsidRPr="00E6086A">
        <w:rPr>
          <w:rFonts w:cs="Arial"/>
        </w:rPr>
        <w:t xml:space="preserve"> </w:t>
      </w:r>
      <w:r w:rsidR="00B013B3" w:rsidRPr="00E6086A">
        <w:rPr>
          <w:rFonts w:cs="Arial"/>
        </w:rPr>
        <w:t xml:space="preserve">toda vez que </w:t>
      </w:r>
      <w:r w:rsidR="00096035" w:rsidRPr="00E6086A">
        <w:rPr>
          <w:rFonts w:cs="Arial"/>
        </w:rPr>
        <w:t xml:space="preserve">en este caso </w:t>
      </w:r>
      <w:r w:rsidR="00FC1C91" w:rsidRPr="00E6086A">
        <w:rPr>
          <w:rFonts w:cs="Arial"/>
        </w:rPr>
        <w:t xml:space="preserve">una de las partes </w:t>
      </w:r>
      <w:r w:rsidR="00D24103" w:rsidRPr="00E6086A">
        <w:rPr>
          <w:rFonts w:cs="Arial"/>
        </w:rPr>
        <w:t xml:space="preserve">del </w:t>
      </w:r>
      <w:r w:rsidR="00807806" w:rsidRPr="00E6086A">
        <w:rPr>
          <w:rFonts w:cs="Arial"/>
        </w:rPr>
        <w:t xml:space="preserve">litigio </w:t>
      </w:r>
      <w:r w:rsidR="00B013B3" w:rsidRPr="00E6086A">
        <w:rPr>
          <w:rFonts w:cs="Arial"/>
        </w:rPr>
        <w:t xml:space="preserve">es </w:t>
      </w:r>
      <w:r w:rsidR="00FC1C91" w:rsidRPr="00E6086A">
        <w:rPr>
          <w:rFonts w:cs="Arial"/>
        </w:rPr>
        <w:t xml:space="preserve">una </w:t>
      </w:r>
      <w:r w:rsidR="009951F0" w:rsidRPr="00E6086A">
        <w:rPr>
          <w:rFonts w:cs="Arial"/>
        </w:rPr>
        <w:t>entidad estatal</w:t>
      </w:r>
      <w:r w:rsidR="00883FCA" w:rsidRPr="00E6086A">
        <w:rPr>
          <w:rFonts w:cs="Arial"/>
        </w:rPr>
        <w:t>,</w:t>
      </w:r>
      <w:r w:rsidR="0081321A" w:rsidRPr="00E6086A">
        <w:rPr>
          <w:rFonts w:cs="Arial"/>
        </w:rPr>
        <w:t xml:space="preserve"> </w:t>
      </w:r>
      <w:r w:rsidRPr="00E6086A">
        <w:rPr>
          <w:rFonts w:cs="Arial"/>
        </w:rPr>
        <w:t xml:space="preserve">además de que el </w:t>
      </w:r>
      <w:r w:rsidR="00807806" w:rsidRPr="00E6086A">
        <w:rPr>
          <w:rFonts w:cs="Arial"/>
        </w:rPr>
        <w:t xml:space="preserve">acto </w:t>
      </w:r>
      <w:r w:rsidR="005E1282" w:rsidRPr="00E6086A">
        <w:rPr>
          <w:rFonts w:cs="Arial"/>
        </w:rPr>
        <w:t xml:space="preserve">administrativo </w:t>
      </w:r>
      <w:r w:rsidRPr="00E6086A">
        <w:rPr>
          <w:rFonts w:cs="Arial"/>
        </w:rPr>
        <w:t>-</w:t>
      </w:r>
      <w:r w:rsidR="00DF2104" w:rsidRPr="00E6086A">
        <w:rPr>
          <w:rFonts w:cs="Arial"/>
        </w:rPr>
        <w:t xml:space="preserve">contentivo </w:t>
      </w:r>
      <w:r w:rsidR="00807806" w:rsidRPr="00E6086A">
        <w:rPr>
          <w:rFonts w:cs="Arial"/>
        </w:rPr>
        <w:t xml:space="preserve">de </w:t>
      </w:r>
      <w:r w:rsidR="00DF2104" w:rsidRPr="00E6086A">
        <w:rPr>
          <w:rFonts w:cs="Arial"/>
        </w:rPr>
        <w:t xml:space="preserve">la </w:t>
      </w:r>
      <w:r w:rsidR="00807806" w:rsidRPr="00E6086A">
        <w:rPr>
          <w:rFonts w:cs="Arial"/>
        </w:rPr>
        <w:t xml:space="preserve">adjudicación </w:t>
      </w:r>
      <w:r w:rsidR="005E1282" w:rsidRPr="00E6086A">
        <w:rPr>
          <w:rFonts w:cs="Arial"/>
        </w:rPr>
        <w:t>de</w:t>
      </w:r>
      <w:r w:rsidR="002E1C1B" w:rsidRPr="00E6086A">
        <w:rPr>
          <w:rFonts w:cs="Arial"/>
        </w:rPr>
        <w:t>l</w:t>
      </w:r>
      <w:r w:rsidR="005E1282" w:rsidRPr="00E6086A">
        <w:rPr>
          <w:rFonts w:cs="Arial"/>
        </w:rPr>
        <w:t xml:space="preserve"> contrato</w:t>
      </w:r>
      <w:r w:rsidRPr="00E6086A">
        <w:rPr>
          <w:rFonts w:cs="Arial"/>
        </w:rPr>
        <w:t>-</w:t>
      </w:r>
      <w:r w:rsidR="005E1282" w:rsidRPr="00E6086A">
        <w:rPr>
          <w:rFonts w:cs="Arial"/>
        </w:rPr>
        <w:t xml:space="preserve"> </w:t>
      </w:r>
      <w:r w:rsidRPr="00E6086A">
        <w:rPr>
          <w:rFonts w:cs="Arial"/>
        </w:rPr>
        <w:t xml:space="preserve">que </w:t>
      </w:r>
      <w:r w:rsidR="00807806" w:rsidRPr="00E6086A">
        <w:rPr>
          <w:rFonts w:cs="Arial"/>
        </w:rPr>
        <w:t>se controvierte en este proceso</w:t>
      </w:r>
      <w:r w:rsidRPr="00E6086A">
        <w:rPr>
          <w:rFonts w:cs="Arial"/>
        </w:rPr>
        <w:t>, es un acto de naturaleza precontractual, susceptible de ser demandado en los términos del artículo 87 del Código Contencioso Administrativo, vigente para la época en que se presentó la demanda.</w:t>
      </w:r>
    </w:p>
    <w:p w:rsidR="005A070A" w:rsidRPr="00E6086A" w:rsidRDefault="005A070A" w:rsidP="009D3798">
      <w:pPr>
        <w:rPr>
          <w:rFonts w:cs="Arial"/>
        </w:rPr>
      </w:pPr>
    </w:p>
    <w:p w:rsidR="00C874B4" w:rsidRPr="00E6086A" w:rsidRDefault="00483B19" w:rsidP="009D3798">
      <w:pPr>
        <w:rPr>
          <w:rFonts w:cs="Arial"/>
          <w:b/>
          <w:color w:val="000000"/>
        </w:rPr>
      </w:pPr>
      <w:r w:rsidRPr="00E6086A">
        <w:rPr>
          <w:rFonts w:cs="Arial"/>
          <w:b/>
          <w:color w:val="000000"/>
        </w:rPr>
        <w:t xml:space="preserve">1.2. </w:t>
      </w:r>
      <w:r w:rsidR="00C874B4" w:rsidRPr="00E6086A">
        <w:rPr>
          <w:rFonts w:cs="Arial"/>
          <w:b/>
          <w:color w:val="000000"/>
        </w:rPr>
        <w:t>Cuantía</w:t>
      </w:r>
    </w:p>
    <w:p w:rsidR="007A330C" w:rsidRPr="00E6086A" w:rsidRDefault="007A330C" w:rsidP="009D3798">
      <w:pPr>
        <w:rPr>
          <w:rFonts w:cs="Arial"/>
          <w:color w:val="000000"/>
        </w:rPr>
      </w:pPr>
    </w:p>
    <w:p w:rsidR="004E55F7" w:rsidRPr="00E6086A" w:rsidRDefault="00E323E2" w:rsidP="009D3798">
      <w:pPr>
        <w:rPr>
          <w:rFonts w:cs="Arial"/>
        </w:rPr>
      </w:pPr>
      <w:r w:rsidRPr="00E6086A">
        <w:rPr>
          <w:rFonts w:cs="Arial"/>
        </w:rPr>
        <w:t xml:space="preserve">Precisa la Sala que le asiste competencia para </w:t>
      </w:r>
      <w:r w:rsidR="00265F0E" w:rsidRPr="00E6086A">
        <w:rPr>
          <w:rFonts w:cs="Arial"/>
        </w:rPr>
        <w:t>resolver el recurso de apelación</w:t>
      </w:r>
      <w:r w:rsidRPr="00E6086A">
        <w:rPr>
          <w:rFonts w:cs="Arial"/>
        </w:rPr>
        <w:t xml:space="preserve">, toda vez que </w:t>
      </w:r>
      <w:r w:rsidR="00265F0E" w:rsidRPr="00E6086A">
        <w:rPr>
          <w:rFonts w:cs="Arial"/>
        </w:rPr>
        <w:t xml:space="preserve">en este litigio </w:t>
      </w:r>
      <w:r w:rsidRPr="00E6086A">
        <w:rPr>
          <w:rFonts w:cs="Arial"/>
        </w:rPr>
        <w:t xml:space="preserve">la </w:t>
      </w:r>
      <w:r w:rsidR="00E64CAE" w:rsidRPr="00E6086A">
        <w:rPr>
          <w:rFonts w:cs="Arial"/>
        </w:rPr>
        <w:t xml:space="preserve">pretensión mayor </w:t>
      </w:r>
      <w:r w:rsidRPr="00E6086A">
        <w:rPr>
          <w:rFonts w:cs="Arial"/>
        </w:rPr>
        <w:t>se estimó en $</w:t>
      </w:r>
      <w:r w:rsidR="00807806" w:rsidRPr="00E6086A">
        <w:rPr>
          <w:rFonts w:cs="Arial"/>
        </w:rPr>
        <w:t>1.013’900.260</w:t>
      </w:r>
      <w:r w:rsidR="00CD1094" w:rsidRPr="00E6086A">
        <w:rPr>
          <w:rStyle w:val="Refdenotaalpie"/>
          <w:rFonts w:cs="Arial"/>
        </w:rPr>
        <w:footnoteReference w:id="10"/>
      </w:r>
      <w:r w:rsidRPr="00E6086A">
        <w:rPr>
          <w:rFonts w:cs="Arial"/>
        </w:rPr>
        <w:t>, valor que resulta superior al monto equivalente a 500 S.M.L.M.V ($</w:t>
      </w:r>
      <w:r w:rsidR="00F41FDA" w:rsidRPr="00E6086A">
        <w:rPr>
          <w:rFonts w:cs="Arial"/>
        </w:rPr>
        <w:t xml:space="preserve">260.100 </w:t>
      </w:r>
      <w:r w:rsidRPr="00E6086A">
        <w:rPr>
          <w:rFonts w:cs="Arial"/>
        </w:rPr>
        <w:t>x 500 = $</w:t>
      </w:r>
      <w:r w:rsidR="00CD1094" w:rsidRPr="00E6086A">
        <w:rPr>
          <w:rFonts w:cs="Arial"/>
        </w:rPr>
        <w:t xml:space="preserve"> </w:t>
      </w:r>
      <w:r w:rsidR="000B2A1C" w:rsidRPr="00E6086A">
        <w:rPr>
          <w:rFonts w:cs="Arial"/>
        </w:rPr>
        <w:t>130’050.000</w:t>
      </w:r>
      <w:r w:rsidRPr="00E6086A">
        <w:rPr>
          <w:rFonts w:cs="Arial"/>
        </w:rPr>
        <w:t>)</w:t>
      </w:r>
      <w:r w:rsidRPr="00E6086A">
        <w:rPr>
          <w:rStyle w:val="Refdenotaalpie"/>
          <w:rFonts w:cs="Arial"/>
        </w:rPr>
        <w:footnoteReference w:id="11"/>
      </w:r>
      <w:r w:rsidRPr="00E6086A">
        <w:rPr>
          <w:rFonts w:cs="Arial"/>
        </w:rPr>
        <w:t>, exigido para que un proceso contractual tuviera vocación de doble instancia</w:t>
      </w:r>
      <w:r w:rsidR="004E55F7" w:rsidRPr="00E6086A">
        <w:rPr>
          <w:rFonts w:cs="Arial"/>
        </w:rPr>
        <w:t>, de conformidad con la</w:t>
      </w:r>
      <w:r w:rsidR="002C1161" w:rsidRPr="00E6086A">
        <w:rPr>
          <w:rFonts w:cs="Arial"/>
        </w:rPr>
        <w:t xml:space="preserve">s reglas de </w:t>
      </w:r>
      <w:r w:rsidR="004E55F7" w:rsidRPr="00E6086A">
        <w:rPr>
          <w:rFonts w:cs="Arial"/>
        </w:rPr>
        <w:t xml:space="preserve">determinación de la cuantía </w:t>
      </w:r>
      <w:r w:rsidR="00FB6237" w:rsidRPr="00E6086A">
        <w:rPr>
          <w:rFonts w:cs="Arial"/>
        </w:rPr>
        <w:t>que se desprende</w:t>
      </w:r>
      <w:r w:rsidR="002C1161" w:rsidRPr="00E6086A">
        <w:rPr>
          <w:rFonts w:cs="Arial"/>
        </w:rPr>
        <w:t>n</w:t>
      </w:r>
      <w:r w:rsidR="00FB6237" w:rsidRPr="00E6086A">
        <w:rPr>
          <w:rFonts w:cs="Arial"/>
        </w:rPr>
        <w:t xml:space="preserve"> de</w:t>
      </w:r>
      <w:r w:rsidR="008410B9" w:rsidRPr="00E6086A">
        <w:rPr>
          <w:rFonts w:cs="Arial"/>
        </w:rPr>
        <w:t xml:space="preserve"> la ley </w:t>
      </w:r>
      <w:r w:rsidR="00FB6237" w:rsidRPr="00E6086A">
        <w:rPr>
          <w:rFonts w:cs="Arial"/>
        </w:rPr>
        <w:t xml:space="preserve">aplicable </w:t>
      </w:r>
      <w:r w:rsidR="004E55F7" w:rsidRPr="00E6086A">
        <w:rPr>
          <w:rFonts w:cs="Arial"/>
        </w:rPr>
        <w:t xml:space="preserve">para </w:t>
      </w:r>
      <w:r w:rsidR="002C1161" w:rsidRPr="00E6086A">
        <w:rPr>
          <w:rFonts w:cs="Arial"/>
        </w:rPr>
        <w:t xml:space="preserve">este </w:t>
      </w:r>
      <w:r w:rsidR="00956EB2" w:rsidRPr="00E6086A">
        <w:rPr>
          <w:rFonts w:cs="Arial"/>
        </w:rPr>
        <w:t>caso</w:t>
      </w:r>
      <w:r w:rsidR="004E55F7" w:rsidRPr="00E6086A">
        <w:rPr>
          <w:rStyle w:val="Refdenotaalpie"/>
          <w:rFonts w:cs="Arial"/>
        </w:rPr>
        <w:footnoteReference w:id="12"/>
      </w:r>
      <w:r w:rsidR="004E55F7" w:rsidRPr="00E6086A">
        <w:rPr>
          <w:rFonts w:cs="Arial"/>
        </w:rPr>
        <w:t xml:space="preserve">. </w:t>
      </w:r>
    </w:p>
    <w:p w:rsidR="00956EB2" w:rsidRPr="00E6086A" w:rsidRDefault="00956EB2" w:rsidP="009D3798">
      <w:pPr>
        <w:rPr>
          <w:rFonts w:cs="Arial"/>
        </w:rPr>
      </w:pPr>
    </w:p>
    <w:p w:rsidR="00192BD9" w:rsidRPr="00E6086A" w:rsidRDefault="00956EB2" w:rsidP="009D3798">
      <w:pPr>
        <w:rPr>
          <w:rFonts w:cs="Arial"/>
        </w:rPr>
      </w:pPr>
      <w:r w:rsidRPr="00E6086A">
        <w:rPr>
          <w:rFonts w:cs="Arial"/>
          <w:b/>
        </w:rPr>
        <w:t>2</w:t>
      </w:r>
      <w:r w:rsidR="00192BD9" w:rsidRPr="00E6086A">
        <w:rPr>
          <w:rFonts w:cs="Arial"/>
          <w:b/>
        </w:rPr>
        <w:t>. Acción pertinente</w:t>
      </w:r>
      <w:r w:rsidR="00EA098D" w:rsidRPr="00E6086A">
        <w:rPr>
          <w:rFonts w:cs="Arial"/>
          <w:b/>
        </w:rPr>
        <w:t xml:space="preserve"> contra los actos </w:t>
      </w:r>
      <w:r w:rsidR="004C428B" w:rsidRPr="00E6086A">
        <w:rPr>
          <w:rFonts w:cs="Arial"/>
          <w:b/>
        </w:rPr>
        <w:t xml:space="preserve">previos o </w:t>
      </w:r>
      <w:r w:rsidR="00EA098D" w:rsidRPr="00E6086A">
        <w:rPr>
          <w:rFonts w:cs="Arial"/>
          <w:b/>
        </w:rPr>
        <w:t>precontractuales</w:t>
      </w:r>
    </w:p>
    <w:p w:rsidR="00EA098D" w:rsidRPr="00E6086A" w:rsidRDefault="00EA098D" w:rsidP="009D3798">
      <w:pPr>
        <w:autoSpaceDN w:val="0"/>
        <w:rPr>
          <w:rFonts w:cs="Arial"/>
          <w:lang w:val="es-ES_tradnl"/>
        </w:rPr>
      </w:pPr>
    </w:p>
    <w:p w:rsidR="00192BD9" w:rsidRPr="00E6086A" w:rsidRDefault="00192BD9" w:rsidP="009D3798">
      <w:pPr>
        <w:autoSpaceDN w:val="0"/>
        <w:rPr>
          <w:rFonts w:cs="Arial"/>
          <w:lang w:val="es-ES_tradnl"/>
        </w:rPr>
      </w:pPr>
      <w:r w:rsidRPr="00E6086A">
        <w:rPr>
          <w:rFonts w:cs="Arial"/>
          <w:lang w:val="es-ES_tradnl"/>
        </w:rPr>
        <w:t>Se precisa aquí que</w:t>
      </w:r>
      <w:r w:rsidR="00101977" w:rsidRPr="00E6086A">
        <w:rPr>
          <w:rFonts w:cs="Arial"/>
          <w:lang w:val="es-ES_tradnl"/>
        </w:rPr>
        <w:t xml:space="preserve"> </w:t>
      </w:r>
      <w:r w:rsidRPr="00E6086A">
        <w:rPr>
          <w:rFonts w:cs="Arial"/>
          <w:lang w:val="es-ES_tradnl"/>
        </w:rPr>
        <w:t>aquellos actos administrativos producidos con ocasión de la actividad contractual con anterioridad a la celebración del contrato, en la etapa de formación de la relación contractual -conocidos como actos previos-, constituyen verdaderos actos administrativos</w:t>
      </w:r>
      <w:r w:rsidR="00101977" w:rsidRPr="00E6086A">
        <w:rPr>
          <w:rFonts w:cs="Arial"/>
          <w:lang w:val="es-ES_tradnl"/>
        </w:rPr>
        <w:t xml:space="preserve">, </w:t>
      </w:r>
      <w:r w:rsidR="00956EB2" w:rsidRPr="00E6086A">
        <w:rPr>
          <w:rFonts w:cs="Arial"/>
          <w:lang w:val="es-ES_tradnl"/>
        </w:rPr>
        <w:t xml:space="preserve">los cuales, </w:t>
      </w:r>
      <w:r w:rsidR="00101977" w:rsidRPr="00E6086A">
        <w:rPr>
          <w:rFonts w:cs="Arial"/>
          <w:lang w:val="es-ES_tradnl"/>
        </w:rPr>
        <w:t>para l</w:t>
      </w:r>
      <w:r w:rsidR="00956EB2" w:rsidRPr="00E6086A">
        <w:rPr>
          <w:rFonts w:cs="Arial"/>
          <w:lang w:val="es-ES_tradnl"/>
        </w:rPr>
        <w:t>a</w:t>
      </w:r>
      <w:r w:rsidR="00101977" w:rsidRPr="00E6086A">
        <w:rPr>
          <w:rFonts w:cs="Arial"/>
          <w:lang w:val="es-ES_tradnl"/>
        </w:rPr>
        <w:t xml:space="preserve"> época de los hechos en este proceso, eran</w:t>
      </w:r>
      <w:r w:rsidRPr="00E6086A">
        <w:rPr>
          <w:rFonts w:cs="Arial"/>
          <w:lang w:val="es-ES_tradnl"/>
        </w:rPr>
        <w:t xml:space="preserve"> pasibles de las acciones previstas en el artículo 87 del Código Contencioso Administrativo, en la forma y oportunidad que allí se contempla</w:t>
      </w:r>
      <w:r w:rsidR="00EA098D" w:rsidRPr="00E6086A">
        <w:rPr>
          <w:rFonts w:cs="Arial"/>
          <w:lang w:val="es-ES_tradnl"/>
        </w:rPr>
        <w:t>ba</w:t>
      </w:r>
      <w:r w:rsidRPr="00E6086A">
        <w:rPr>
          <w:rFonts w:cs="Arial"/>
          <w:vertAlign w:val="superscript"/>
          <w:lang w:val="es-ES_tradnl"/>
        </w:rPr>
        <w:footnoteReference w:id="13"/>
      </w:r>
      <w:r w:rsidRPr="00E6086A">
        <w:rPr>
          <w:rFonts w:cs="Arial"/>
          <w:lang w:val="es-ES_tradnl"/>
        </w:rPr>
        <w:t>.</w:t>
      </w:r>
    </w:p>
    <w:p w:rsidR="005A070A" w:rsidRPr="00E6086A" w:rsidRDefault="005A070A" w:rsidP="009D3798">
      <w:pPr>
        <w:spacing w:line="240" w:lineRule="auto"/>
        <w:rPr>
          <w:rFonts w:cs="Arial"/>
          <w:b/>
        </w:rPr>
      </w:pPr>
    </w:p>
    <w:p w:rsidR="00205871" w:rsidRPr="00E6086A" w:rsidRDefault="00EA098D" w:rsidP="009D3798">
      <w:pPr>
        <w:spacing w:line="240" w:lineRule="auto"/>
        <w:rPr>
          <w:rFonts w:cs="Arial"/>
          <w:b/>
        </w:rPr>
      </w:pPr>
      <w:r w:rsidRPr="00E6086A">
        <w:rPr>
          <w:rFonts w:cs="Arial"/>
          <w:b/>
        </w:rPr>
        <w:t>3</w:t>
      </w:r>
      <w:r w:rsidR="00177B46" w:rsidRPr="00E6086A">
        <w:rPr>
          <w:rFonts w:cs="Arial"/>
          <w:b/>
        </w:rPr>
        <w:t xml:space="preserve">. </w:t>
      </w:r>
      <w:r w:rsidR="006821A8" w:rsidRPr="00E6086A">
        <w:rPr>
          <w:rFonts w:cs="Arial"/>
          <w:b/>
        </w:rPr>
        <w:t>C</w:t>
      </w:r>
      <w:r w:rsidR="00205871" w:rsidRPr="00E6086A">
        <w:rPr>
          <w:rFonts w:cs="Arial"/>
          <w:b/>
        </w:rPr>
        <w:t xml:space="preserve">aducidad de la acción contractual </w:t>
      </w:r>
      <w:r w:rsidR="0018403B" w:rsidRPr="00E6086A">
        <w:rPr>
          <w:rFonts w:cs="Arial"/>
          <w:b/>
        </w:rPr>
        <w:t>contra los actos previos</w:t>
      </w:r>
      <w:r w:rsidR="004C428B" w:rsidRPr="00E6086A">
        <w:rPr>
          <w:rFonts w:cs="Arial"/>
          <w:b/>
        </w:rPr>
        <w:t xml:space="preserve"> que se rigió por el artículo 87 del CCA</w:t>
      </w:r>
    </w:p>
    <w:p w:rsidR="00205871" w:rsidRPr="00E6086A" w:rsidRDefault="00205871" w:rsidP="009D3798">
      <w:pPr>
        <w:rPr>
          <w:rFonts w:cs="Arial"/>
          <w:b/>
        </w:rPr>
      </w:pPr>
    </w:p>
    <w:p w:rsidR="00075147" w:rsidRPr="00E6086A" w:rsidRDefault="00075147" w:rsidP="009D3798">
      <w:pPr>
        <w:tabs>
          <w:tab w:val="center" w:pos="4419"/>
          <w:tab w:val="right" w:pos="8838"/>
        </w:tabs>
        <w:overflowPunct w:val="0"/>
        <w:autoSpaceDE w:val="0"/>
        <w:autoSpaceDN w:val="0"/>
        <w:adjustRightInd w:val="0"/>
        <w:textAlignment w:val="baseline"/>
        <w:rPr>
          <w:rFonts w:cs="Arial"/>
        </w:rPr>
      </w:pPr>
      <w:r w:rsidRPr="00E6086A">
        <w:rPr>
          <w:rFonts w:cs="Arial"/>
        </w:rPr>
        <w:t>Con el propósito de verificar el presupuesto de oportunidad de la demanda, debe observarse el contenido normativo del artículo 87 del Código Contencioso Administrativo, aplicable en este proceso:</w:t>
      </w:r>
    </w:p>
    <w:p w:rsidR="00075147" w:rsidRPr="00E6086A" w:rsidRDefault="00075147" w:rsidP="009D3798">
      <w:pPr>
        <w:tabs>
          <w:tab w:val="center" w:pos="4419"/>
          <w:tab w:val="right" w:pos="8838"/>
        </w:tabs>
        <w:overflowPunct w:val="0"/>
        <w:autoSpaceDE w:val="0"/>
        <w:autoSpaceDN w:val="0"/>
        <w:adjustRightInd w:val="0"/>
        <w:textAlignment w:val="baseline"/>
        <w:rPr>
          <w:rFonts w:cs="Arial"/>
        </w:rPr>
      </w:pPr>
    </w:p>
    <w:p w:rsidR="00075147" w:rsidRPr="00E6086A" w:rsidRDefault="00075147" w:rsidP="009D3798">
      <w:pPr>
        <w:pStyle w:val="NormalWeb"/>
        <w:shd w:val="clear" w:color="auto" w:fill="FFFFFF"/>
        <w:spacing w:before="0" w:beforeAutospacing="0" w:after="0" w:afterAutospacing="0" w:line="276" w:lineRule="auto"/>
        <w:rPr>
          <w:rFonts w:cs="Arial"/>
          <w:i/>
          <w:color w:val="000000"/>
        </w:rPr>
      </w:pPr>
      <w:r w:rsidRPr="00E6086A">
        <w:rPr>
          <w:rFonts w:cs="Arial"/>
          <w:bCs/>
          <w:i/>
          <w:color w:val="000000"/>
        </w:rPr>
        <w:t>“</w:t>
      </w:r>
      <w:r w:rsidR="00957364" w:rsidRPr="00E6086A">
        <w:rPr>
          <w:rFonts w:cs="Arial"/>
          <w:bCs/>
          <w:i/>
          <w:color w:val="000000"/>
        </w:rPr>
        <w:t>Artículo</w:t>
      </w:r>
      <w:bookmarkStart w:id="1" w:name="87"/>
      <w:r w:rsidRPr="00E6086A">
        <w:rPr>
          <w:rFonts w:cs="Arial"/>
          <w:bCs/>
          <w:i/>
          <w:color w:val="000000"/>
        </w:rPr>
        <w:t> </w:t>
      </w:r>
      <w:bookmarkEnd w:id="1"/>
      <w:r w:rsidRPr="00E6086A">
        <w:rPr>
          <w:rFonts w:cs="Arial"/>
          <w:bCs/>
          <w:i/>
          <w:color w:val="000000"/>
        </w:rPr>
        <w:t>87.</w:t>
      </w:r>
      <w:r w:rsidRPr="00E6086A">
        <w:rPr>
          <w:rStyle w:val="apple-converted-space"/>
          <w:rFonts w:cs="Arial"/>
          <w:b/>
          <w:bCs/>
          <w:i/>
          <w:color w:val="000000"/>
        </w:rPr>
        <w:t> </w:t>
      </w:r>
      <w:r w:rsidR="00101977" w:rsidRPr="00E6086A">
        <w:rPr>
          <w:rStyle w:val="apple-converted-space"/>
          <w:rFonts w:cs="Arial"/>
          <w:b/>
          <w:bCs/>
          <w:i/>
          <w:color w:val="000000"/>
        </w:rPr>
        <w:t>(…)</w:t>
      </w:r>
      <w:r w:rsidR="005A070A" w:rsidRPr="00E6086A">
        <w:rPr>
          <w:rStyle w:val="apple-converted-space"/>
          <w:rFonts w:cs="Arial"/>
          <w:b/>
          <w:bCs/>
          <w:i/>
          <w:color w:val="000000"/>
        </w:rPr>
        <w:t>.</w:t>
      </w:r>
      <w:r w:rsidR="00101977" w:rsidRPr="00E6086A">
        <w:rPr>
          <w:rStyle w:val="apple-converted-space"/>
          <w:rFonts w:cs="Arial"/>
          <w:b/>
          <w:bCs/>
          <w:i/>
          <w:color w:val="000000"/>
        </w:rPr>
        <w:t xml:space="preserve"> </w:t>
      </w:r>
    </w:p>
    <w:p w:rsidR="005138BB" w:rsidRPr="00E6086A" w:rsidRDefault="005138BB" w:rsidP="009D3798">
      <w:pPr>
        <w:pStyle w:val="NormalWeb"/>
        <w:spacing w:before="0" w:beforeAutospacing="0" w:after="0" w:afterAutospacing="0" w:line="276" w:lineRule="auto"/>
        <w:rPr>
          <w:rFonts w:cs="Arial"/>
          <w:i/>
          <w:color w:val="000000"/>
          <w:shd w:val="clear" w:color="auto" w:fill="FFFFFF"/>
        </w:rPr>
      </w:pPr>
    </w:p>
    <w:p w:rsidR="00075147" w:rsidRPr="00E6086A" w:rsidRDefault="005138BB" w:rsidP="009D3798">
      <w:pPr>
        <w:pStyle w:val="NormalWeb"/>
        <w:spacing w:before="0" w:beforeAutospacing="0" w:after="0" w:afterAutospacing="0" w:line="276" w:lineRule="auto"/>
        <w:rPr>
          <w:rFonts w:cs="Arial"/>
          <w:i/>
          <w:color w:val="000000"/>
          <w:shd w:val="clear" w:color="auto" w:fill="FFFFFF"/>
        </w:rPr>
      </w:pPr>
      <w:r w:rsidRPr="00E6086A">
        <w:rPr>
          <w:rFonts w:cs="Arial"/>
          <w:i/>
          <w:color w:val="000000"/>
          <w:shd w:val="clear" w:color="auto" w:fill="FFFFFF"/>
        </w:rPr>
        <w:t>“</w:t>
      </w:r>
      <w:r w:rsidR="00075147" w:rsidRPr="00E6086A">
        <w:rPr>
          <w:rFonts w:cs="Arial"/>
          <w:i/>
          <w:color w:val="000000"/>
          <w:shd w:val="clear" w:color="auto" w:fill="FFFFFF"/>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w:t>
      </w:r>
      <w:r w:rsidR="00075147" w:rsidRPr="00E6086A">
        <w:rPr>
          <w:rStyle w:val="apple-converted-space"/>
          <w:rFonts w:cs="Arial"/>
          <w:i/>
          <w:color w:val="000000"/>
          <w:shd w:val="clear" w:color="auto" w:fill="FFFFFF"/>
        </w:rPr>
        <w:t> </w:t>
      </w:r>
      <w:r w:rsidR="00075147" w:rsidRPr="00E6086A">
        <w:rPr>
          <w:rFonts w:cs="Arial"/>
          <w:i/>
          <w:color w:val="000000"/>
          <w:shd w:val="clear" w:color="auto" w:fill="FFFFFF"/>
        </w:rPr>
        <w:t>Una vez celebrado éste, la ilegalidad de los actos previos</w:t>
      </w:r>
      <w:r w:rsidR="00075147" w:rsidRPr="00E6086A">
        <w:rPr>
          <w:rStyle w:val="apple-converted-space"/>
          <w:rFonts w:cs="Arial"/>
          <w:i/>
          <w:color w:val="000000"/>
          <w:shd w:val="clear" w:color="auto" w:fill="FFFFFF"/>
        </w:rPr>
        <w:t> </w:t>
      </w:r>
      <w:r w:rsidR="00075147" w:rsidRPr="00E6086A">
        <w:rPr>
          <w:rFonts w:cs="Arial"/>
          <w:i/>
          <w:color w:val="000000"/>
          <w:shd w:val="clear" w:color="auto" w:fill="FFFFFF"/>
        </w:rPr>
        <w:t>solamente</w:t>
      </w:r>
      <w:r w:rsidR="00075147" w:rsidRPr="00E6086A">
        <w:rPr>
          <w:rStyle w:val="apple-converted-space"/>
          <w:rFonts w:cs="Arial"/>
          <w:i/>
          <w:color w:val="000000"/>
          <w:shd w:val="clear" w:color="auto" w:fill="FFFFFF"/>
        </w:rPr>
        <w:t> </w:t>
      </w:r>
      <w:r w:rsidR="00075147" w:rsidRPr="00E6086A">
        <w:rPr>
          <w:rFonts w:cs="Arial"/>
          <w:i/>
          <w:color w:val="000000"/>
          <w:shd w:val="clear" w:color="auto" w:fill="FFFFFF"/>
        </w:rPr>
        <w:t>podrá invocarse como fundamento de nulidad absoluta del contrato</w:t>
      </w:r>
      <w:r w:rsidR="00534C9D" w:rsidRPr="00E6086A">
        <w:rPr>
          <w:rFonts w:cs="Arial"/>
          <w:i/>
          <w:color w:val="000000"/>
          <w:shd w:val="clear" w:color="auto" w:fill="FFFFFF"/>
        </w:rPr>
        <w:t>”</w:t>
      </w:r>
      <w:r w:rsidR="00DF2104" w:rsidRPr="00E6086A">
        <w:rPr>
          <w:rStyle w:val="apple-converted-space"/>
          <w:rFonts w:cs="Arial"/>
          <w:i/>
          <w:color w:val="000000"/>
          <w:shd w:val="clear" w:color="auto" w:fill="FFFFFF"/>
        </w:rPr>
        <w:t>.</w:t>
      </w:r>
    </w:p>
    <w:p w:rsidR="00075147" w:rsidRPr="00E6086A" w:rsidRDefault="00075147" w:rsidP="009D3798">
      <w:pPr>
        <w:tabs>
          <w:tab w:val="center" w:pos="4419"/>
          <w:tab w:val="right" w:pos="8838"/>
        </w:tabs>
        <w:overflowPunct w:val="0"/>
        <w:autoSpaceDE w:val="0"/>
        <w:autoSpaceDN w:val="0"/>
        <w:adjustRightInd w:val="0"/>
        <w:textAlignment w:val="baseline"/>
        <w:rPr>
          <w:rFonts w:cs="Arial"/>
        </w:rPr>
      </w:pPr>
    </w:p>
    <w:p w:rsidR="0032532C" w:rsidRPr="00E6086A" w:rsidRDefault="005138BB" w:rsidP="009D3798">
      <w:pPr>
        <w:tabs>
          <w:tab w:val="center" w:pos="4419"/>
          <w:tab w:val="right" w:pos="8838"/>
        </w:tabs>
        <w:overflowPunct w:val="0"/>
        <w:autoSpaceDE w:val="0"/>
        <w:autoSpaceDN w:val="0"/>
        <w:adjustRightInd w:val="0"/>
        <w:textAlignment w:val="baseline"/>
        <w:rPr>
          <w:rFonts w:cs="Arial"/>
        </w:rPr>
      </w:pPr>
      <w:r w:rsidRPr="00E6086A">
        <w:rPr>
          <w:rFonts w:cs="Arial"/>
        </w:rPr>
        <w:t xml:space="preserve">En relación con el </w:t>
      </w:r>
      <w:r w:rsidR="00101977" w:rsidRPr="00E6086A">
        <w:rPr>
          <w:rFonts w:cs="Arial"/>
        </w:rPr>
        <w:t xml:space="preserve">citado </w:t>
      </w:r>
      <w:r w:rsidRPr="00E6086A">
        <w:rPr>
          <w:rFonts w:cs="Arial"/>
        </w:rPr>
        <w:t>artículo 87 del Código Contencioso Administrativo, l</w:t>
      </w:r>
      <w:r w:rsidR="0032532C" w:rsidRPr="00E6086A">
        <w:rPr>
          <w:rFonts w:cs="Arial"/>
        </w:rPr>
        <w:t xml:space="preserve">a Sala reitera a continuación la </w:t>
      </w:r>
      <w:r w:rsidR="00EA098D" w:rsidRPr="00E6086A">
        <w:rPr>
          <w:rFonts w:cs="Arial"/>
        </w:rPr>
        <w:t>j</w:t>
      </w:r>
      <w:r w:rsidR="0032532C" w:rsidRPr="00E6086A">
        <w:rPr>
          <w:rFonts w:cs="Arial"/>
        </w:rPr>
        <w:t>urisprudencia de la Subsección</w:t>
      </w:r>
      <w:r w:rsidR="00B461BA" w:rsidRPr="00E6086A">
        <w:rPr>
          <w:rFonts w:cs="Arial"/>
        </w:rPr>
        <w:t xml:space="preserve"> A</w:t>
      </w:r>
      <w:r w:rsidR="00372C5F" w:rsidRPr="00E6086A">
        <w:rPr>
          <w:rStyle w:val="Refdenotaalpie"/>
          <w:rFonts w:cs="Arial"/>
        </w:rPr>
        <w:footnoteReference w:id="14"/>
      </w:r>
      <w:r w:rsidR="0032532C" w:rsidRPr="00E6086A">
        <w:rPr>
          <w:rFonts w:cs="Arial"/>
        </w:rPr>
        <w:t xml:space="preserve">, desarrollada en diversos fallos acerca de la acción contra los actos previos a la celebración del contrato estatal, en los cuales </w:t>
      </w:r>
      <w:r w:rsidR="00EA098D" w:rsidRPr="00E6086A">
        <w:rPr>
          <w:rFonts w:cs="Arial"/>
        </w:rPr>
        <w:t xml:space="preserve">se </w:t>
      </w:r>
      <w:r w:rsidR="0032532C" w:rsidRPr="00E6086A">
        <w:rPr>
          <w:rFonts w:cs="Arial"/>
        </w:rPr>
        <w:t>analizó la caducidad de la acción y, en su caso, la inepta demanda</w:t>
      </w:r>
      <w:r w:rsidR="0032532C" w:rsidRPr="00E6086A">
        <w:rPr>
          <w:rStyle w:val="Refdenotaalpie"/>
          <w:rFonts w:cs="Arial"/>
        </w:rPr>
        <w:footnoteReference w:id="15"/>
      </w:r>
      <w:r w:rsidR="0032532C" w:rsidRPr="00E6086A">
        <w:rPr>
          <w:rFonts w:cs="Arial"/>
        </w:rPr>
        <w:t>, con el siguiente fundamento:</w:t>
      </w:r>
    </w:p>
    <w:p w:rsidR="00372C5F" w:rsidRPr="00E6086A" w:rsidRDefault="00372C5F" w:rsidP="009D3798">
      <w:pPr>
        <w:tabs>
          <w:tab w:val="center" w:pos="4419"/>
          <w:tab w:val="right" w:pos="8838"/>
        </w:tabs>
        <w:overflowPunct w:val="0"/>
        <w:autoSpaceDE w:val="0"/>
        <w:autoSpaceDN w:val="0"/>
        <w:adjustRightInd w:val="0"/>
        <w:textAlignment w:val="baseline"/>
        <w:rPr>
          <w:rFonts w:cs="Arial"/>
        </w:rPr>
      </w:pPr>
    </w:p>
    <w:p w:rsidR="0032532C" w:rsidRPr="00E6086A" w:rsidRDefault="0032532C" w:rsidP="009D3798">
      <w:pPr>
        <w:tabs>
          <w:tab w:val="center" w:pos="4419"/>
          <w:tab w:val="right" w:pos="8838"/>
        </w:tabs>
        <w:overflowPunct w:val="0"/>
        <w:autoSpaceDE w:val="0"/>
        <w:autoSpaceDN w:val="0"/>
        <w:adjustRightInd w:val="0"/>
        <w:spacing w:line="276" w:lineRule="auto"/>
        <w:textAlignment w:val="baseline"/>
        <w:rPr>
          <w:rFonts w:cs="Arial"/>
          <w:i/>
        </w:rPr>
      </w:pPr>
      <w:r w:rsidRPr="00E6086A">
        <w:rPr>
          <w:rFonts w:cs="Arial"/>
          <w:i/>
        </w:rPr>
        <w:t xml:space="preserve">“Así pues, con el propósito de precisar el sentido lógico y razonable con el cual la jurisprudencia de la Sección Tercera ha reconocido la plenitud de los efectos que se derivan del texto consagrado en el comentado inciso 2º del artículo 87 del C.C.A. </w:t>
      </w:r>
      <w:r w:rsidR="00434017" w:rsidRPr="00E6086A">
        <w:rPr>
          <w:rFonts w:cs="Arial"/>
          <w:i/>
        </w:rPr>
        <w:lastRenderedPageBreak/>
        <w:t>-</w:t>
      </w:r>
      <w:r w:rsidRPr="00E6086A">
        <w:rPr>
          <w:rFonts w:cs="Arial"/>
          <w:i/>
        </w:rPr>
        <w:t>norma aplicable exclusivamente a los procesos judiciales iniciados con posterioridad al 8 de julio de 1998, fecha de la publicación de la Ley 446 de julio 7 de 1998 y anteriores al 2 de julio de 2012, puesto que la presentación de demandas con posterioridad a la última fecha señalada se han de regir por las nuevas disposiciones consagradas en el artículo 164-2-c) de la Ley 1437</w:t>
      </w:r>
      <w:r w:rsidR="00434017" w:rsidRPr="00E6086A">
        <w:rPr>
          <w:rFonts w:cs="Arial"/>
          <w:i/>
        </w:rPr>
        <w:t xml:space="preserve">- </w:t>
      </w:r>
      <w:r w:rsidRPr="00E6086A">
        <w:rPr>
          <w:rFonts w:cs="Arial"/>
          <w:i/>
        </w:rPr>
        <w:t>la Sala estima importante puntualizar las diversas hipótesis que se contemplan y regulan dentro de la norma legal en examen, en orden a clarificar la aplicación de los diversos términos de caducidad que en ella se consagran y aclarar así los efectos que se derivan de dicha disposición.</w:t>
      </w:r>
    </w:p>
    <w:p w:rsidR="0032532C" w:rsidRPr="00E6086A" w:rsidRDefault="0032532C" w:rsidP="009D3798">
      <w:pPr>
        <w:tabs>
          <w:tab w:val="center" w:pos="4419"/>
          <w:tab w:val="right" w:pos="8838"/>
        </w:tabs>
        <w:overflowPunct w:val="0"/>
        <w:autoSpaceDE w:val="0"/>
        <w:autoSpaceDN w:val="0"/>
        <w:adjustRightInd w:val="0"/>
        <w:spacing w:line="276" w:lineRule="auto"/>
        <w:textAlignment w:val="baseline"/>
        <w:rPr>
          <w:rFonts w:cs="Arial"/>
          <w:i/>
        </w:rPr>
      </w:pPr>
    </w:p>
    <w:p w:rsidR="0032532C" w:rsidRPr="00E6086A" w:rsidRDefault="0056110A" w:rsidP="009D3798">
      <w:pPr>
        <w:numPr>
          <w:ilvl w:val="0"/>
          <w:numId w:val="18"/>
        </w:numPr>
        <w:tabs>
          <w:tab w:val="center" w:pos="1701"/>
          <w:tab w:val="right" w:pos="8838"/>
        </w:tabs>
        <w:overflowPunct w:val="0"/>
        <w:autoSpaceDE w:val="0"/>
        <w:autoSpaceDN w:val="0"/>
        <w:adjustRightInd w:val="0"/>
        <w:spacing w:line="276" w:lineRule="auto"/>
        <w:ind w:left="0" w:firstLine="0"/>
        <w:textAlignment w:val="baseline"/>
        <w:rPr>
          <w:rFonts w:cs="Arial"/>
          <w:i/>
        </w:rPr>
      </w:pPr>
      <w:r w:rsidRPr="00E6086A">
        <w:rPr>
          <w:rFonts w:cs="Arial"/>
          <w:i/>
        </w:rPr>
        <w:t>“</w:t>
      </w:r>
      <w:r w:rsidR="0032532C" w:rsidRPr="00E6086A">
        <w:rPr>
          <w:rFonts w:cs="Arial"/>
          <w:i/>
        </w:rPr>
        <w:t xml:space="preserve">La </w:t>
      </w:r>
      <w:r w:rsidR="0032532C" w:rsidRPr="00E6086A">
        <w:rPr>
          <w:rFonts w:cs="Arial"/>
          <w:b/>
          <w:i/>
        </w:rPr>
        <w:t>primera hipótesis</w:t>
      </w:r>
      <w:r w:rsidR="0032532C" w:rsidRPr="00E6086A">
        <w:rPr>
          <w:rFonts w:cs="Arial"/>
          <w:i/>
        </w:rPr>
        <w:t xml:space="preserve"> se refiere a aquellos casos en los cuales </w:t>
      </w:r>
      <w:r w:rsidR="0032532C" w:rsidRPr="00E6086A">
        <w:rPr>
          <w:rFonts w:cs="Arial"/>
          <w:b/>
          <w:i/>
        </w:rPr>
        <w:t>el contrato estatal no se ha celebrado aun para la fecha en que, dentro de los 30 días</w:t>
      </w:r>
      <w:r w:rsidR="0032532C" w:rsidRPr="00E6086A">
        <w:rPr>
          <w:rFonts w:cs="Arial"/>
          <w:i/>
        </w:rPr>
        <w:t xml:space="preserve"> </w:t>
      </w:r>
      <w:r w:rsidR="0032532C" w:rsidRPr="00E6086A">
        <w:rPr>
          <w:rFonts w:cs="Arial"/>
          <w:b/>
          <w:i/>
        </w:rPr>
        <w:t>siguientes</w:t>
      </w:r>
      <w:r w:rsidR="0032532C" w:rsidRPr="00E6086A">
        <w:rPr>
          <w:rFonts w:cs="Arial"/>
          <w:i/>
        </w:rPr>
        <w:t xml:space="preserve"> a la comunicación, notificación o publicación del correspondiente acto administrativo de adjudicación, </w:t>
      </w:r>
      <w:r w:rsidR="0032532C" w:rsidRPr="00E6086A">
        <w:rPr>
          <w:rFonts w:cs="Arial"/>
          <w:b/>
          <w:i/>
        </w:rPr>
        <w:t>se demanda ese acto administrativo previo</w:t>
      </w:r>
      <w:r w:rsidR="0032532C" w:rsidRPr="00E6086A">
        <w:rPr>
          <w:rFonts w:cs="Arial"/>
          <w:i/>
        </w:rPr>
        <w:t xml:space="preserve">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de ordinario se concreta en el reconocimiento de los perjuicios ocasionados por el acto nulo y la consiguiente condena para repararlos.  </w:t>
      </w:r>
    </w:p>
    <w:p w:rsidR="0032532C" w:rsidRPr="00E6086A" w:rsidRDefault="0032532C" w:rsidP="009D3798">
      <w:pPr>
        <w:tabs>
          <w:tab w:val="center" w:pos="4419"/>
          <w:tab w:val="right" w:pos="8838"/>
        </w:tabs>
        <w:overflowPunct w:val="0"/>
        <w:autoSpaceDE w:val="0"/>
        <w:autoSpaceDN w:val="0"/>
        <w:adjustRightInd w:val="0"/>
        <w:spacing w:line="276" w:lineRule="auto"/>
        <w:textAlignment w:val="baseline"/>
        <w:rPr>
          <w:rFonts w:cs="Arial"/>
          <w:b/>
          <w:i/>
        </w:rPr>
      </w:pPr>
    </w:p>
    <w:p w:rsidR="0032532C" w:rsidRPr="00E6086A" w:rsidRDefault="0056110A" w:rsidP="009D3798">
      <w:pPr>
        <w:numPr>
          <w:ilvl w:val="0"/>
          <w:numId w:val="18"/>
        </w:numPr>
        <w:tabs>
          <w:tab w:val="center" w:pos="1701"/>
          <w:tab w:val="right" w:pos="8838"/>
        </w:tabs>
        <w:overflowPunct w:val="0"/>
        <w:autoSpaceDE w:val="0"/>
        <w:autoSpaceDN w:val="0"/>
        <w:adjustRightInd w:val="0"/>
        <w:spacing w:line="276" w:lineRule="auto"/>
        <w:ind w:left="0" w:firstLine="0"/>
        <w:textAlignment w:val="baseline"/>
        <w:rPr>
          <w:rFonts w:cs="Arial"/>
          <w:i/>
        </w:rPr>
      </w:pPr>
      <w:r w:rsidRPr="00E6086A">
        <w:rPr>
          <w:rFonts w:cs="Arial"/>
          <w:b/>
          <w:i/>
        </w:rPr>
        <w:t>“</w:t>
      </w:r>
      <w:r w:rsidR="0032532C" w:rsidRPr="00E6086A">
        <w:rPr>
          <w:rFonts w:cs="Arial"/>
          <w:b/>
          <w:i/>
        </w:rPr>
        <w:t>Una segunda</w:t>
      </w:r>
      <w:r w:rsidR="0032532C" w:rsidRPr="00E6086A">
        <w:rPr>
          <w:rFonts w:cs="Arial"/>
          <w:i/>
        </w:rPr>
        <w:t xml:space="preserve"> </w:t>
      </w:r>
      <w:r w:rsidR="0032532C" w:rsidRPr="00E6086A">
        <w:rPr>
          <w:rFonts w:cs="Arial"/>
          <w:b/>
          <w:i/>
        </w:rPr>
        <w:t xml:space="preserve">hipótesis </w:t>
      </w:r>
      <w:r w:rsidR="0032532C" w:rsidRPr="00E6086A">
        <w:rPr>
          <w:rFonts w:cs="Arial"/>
          <w:i/>
        </w:rPr>
        <w:t xml:space="preserve">dice relación con aquellos casos en los cuales hubiere </w:t>
      </w:r>
      <w:r w:rsidR="0032532C" w:rsidRPr="00E6086A">
        <w:rPr>
          <w:rFonts w:cs="Arial"/>
          <w:b/>
          <w:i/>
        </w:rPr>
        <w:t xml:space="preserve">transcurrido el término de 30 días sin que se hubiere celebrado el correspondiente contrato estatal pero igual sin que se hubiere formulado demanda </w:t>
      </w:r>
      <w:r w:rsidR="0032532C" w:rsidRPr="00E6086A">
        <w:rPr>
          <w:rFonts w:cs="Arial"/>
          <w:i/>
        </w:rPr>
        <w:t xml:space="preserve">contra el acto administrativo previo dentro de ese mismo término, cuestión que, como resulta apenas natural, da lugar a la configuración de la caducidad de la acción de nulidad y restablecimiento del derecho, </w:t>
      </w:r>
      <w:r w:rsidR="002D5DB4" w:rsidRPr="00E6086A">
        <w:rPr>
          <w:rFonts w:cs="Arial"/>
          <w:i/>
        </w:rPr>
        <w:t>(…).</w:t>
      </w:r>
    </w:p>
    <w:p w:rsidR="002D5DB4" w:rsidRPr="00E6086A" w:rsidRDefault="002D5DB4" w:rsidP="009D3798">
      <w:pPr>
        <w:pStyle w:val="Prrafodelista"/>
        <w:ind w:left="0"/>
        <w:rPr>
          <w:rFonts w:cs="Arial"/>
          <w:i/>
        </w:rPr>
      </w:pPr>
    </w:p>
    <w:p w:rsidR="0032532C" w:rsidRPr="00E6086A" w:rsidRDefault="0056110A" w:rsidP="009D3798">
      <w:pPr>
        <w:numPr>
          <w:ilvl w:val="0"/>
          <w:numId w:val="18"/>
        </w:numPr>
        <w:tabs>
          <w:tab w:val="center" w:pos="1701"/>
          <w:tab w:val="right" w:pos="8838"/>
        </w:tabs>
        <w:overflowPunct w:val="0"/>
        <w:autoSpaceDE w:val="0"/>
        <w:autoSpaceDN w:val="0"/>
        <w:adjustRightInd w:val="0"/>
        <w:spacing w:line="276" w:lineRule="auto"/>
        <w:ind w:left="0" w:firstLine="0"/>
        <w:textAlignment w:val="baseline"/>
        <w:rPr>
          <w:rFonts w:cs="Arial"/>
          <w:i/>
        </w:rPr>
      </w:pPr>
      <w:r w:rsidRPr="00E6086A">
        <w:rPr>
          <w:rFonts w:cs="Arial"/>
          <w:i/>
        </w:rPr>
        <w:t>“</w:t>
      </w:r>
      <w:r w:rsidR="0032532C" w:rsidRPr="00E6086A">
        <w:rPr>
          <w:rFonts w:cs="Arial"/>
          <w:i/>
        </w:rPr>
        <w:t xml:space="preserve">La </w:t>
      </w:r>
      <w:r w:rsidR="0032532C" w:rsidRPr="00E6086A">
        <w:rPr>
          <w:rFonts w:cs="Arial"/>
          <w:b/>
          <w:i/>
        </w:rPr>
        <w:t>tercera hipótesis</w:t>
      </w:r>
      <w:r w:rsidR="0032532C" w:rsidRPr="00E6086A">
        <w:rPr>
          <w:rFonts w:cs="Arial"/>
          <w:i/>
        </w:rPr>
        <w:t xml:space="preserve"> corresponderá a los eventos en los cuales la entidad estatal y el adjudicatario </w:t>
      </w:r>
      <w:r w:rsidR="0032532C" w:rsidRPr="00E6086A">
        <w:rPr>
          <w:rFonts w:cs="Arial"/>
          <w:b/>
          <w:i/>
        </w:rPr>
        <w:t>proceden a</w:t>
      </w:r>
      <w:r w:rsidR="0032532C" w:rsidRPr="00E6086A">
        <w:rPr>
          <w:rFonts w:cs="Arial"/>
          <w:i/>
        </w:rPr>
        <w:t xml:space="preserve"> </w:t>
      </w:r>
      <w:r w:rsidR="0032532C" w:rsidRPr="00E6086A">
        <w:rPr>
          <w:rFonts w:cs="Arial"/>
          <w:b/>
          <w:i/>
        </w:rPr>
        <w:t xml:space="preserve">celebrar el contrato estatal antes de que expire el término de los 30 días siguientes </w:t>
      </w:r>
      <w:r w:rsidR="0032532C" w:rsidRPr="00E6086A">
        <w:rPr>
          <w:rFonts w:cs="Arial"/>
          <w:i/>
        </w:rPr>
        <w:t>a la notificación, comunicación o publicación del acto de adjudicación, según fuere el caso</w:t>
      </w:r>
      <w:r w:rsidR="0032532C" w:rsidRPr="00E6086A">
        <w:rPr>
          <w:rFonts w:cs="Arial"/>
          <w:b/>
          <w:i/>
        </w:rPr>
        <w:t>, sin que para esa fecha el proponente vencido hubiere ejercido la correspondiente acción</w:t>
      </w:r>
      <w:r w:rsidR="0032532C" w:rsidRPr="00E6086A">
        <w:rPr>
          <w:rFonts w:cs="Arial"/>
          <w:i/>
        </w:rPr>
        <w:t xml:space="preserve"> de 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la declaratoria de ilegalidad de los actos previos</w:t>
      </w:r>
      <w:r w:rsidR="0032532C" w:rsidRPr="00E6086A">
        <w:rPr>
          <w:rFonts w:cs="Arial"/>
          <w:i/>
          <w:vertAlign w:val="superscript"/>
        </w:rPr>
        <w:footnoteReference w:id="16"/>
      </w:r>
      <w:r w:rsidR="0032532C" w:rsidRPr="00E6086A">
        <w:rPr>
          <w:rFonts w:cs="Arial"/>
          <w:i/>
        </w:rPr>
        <w:t xml:space="preserve">, pretensión que –según ya se indicó– incluso servirá de fundamento para que prospere aquella de nulidad del contrato, con la anotación de que en estos casos y siempre que la acción contractual se ejerza dentro del mencionado término de 30 </w:t>
      </w:r>
      <w:r w:rsidR="0032532C" w:rsidRPr="00E6086A">
        <w:rPr>
          <w:rFonts w:cs="Arial"/>
          <w:i/>
        </w:rPr>
        <w:lastRenderedPageBreak/>
        <w:t>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p>
    <w:p w:rsidR="0032532C" w:rsidRPr="00E6086A" w:rsidRDefault="0032532C" w:rsidP="009D3798">
      <w:pPr>
        <w:tabs>
          <w:tab w:val="center" w:pos="284"/>
          <w:tab w:val="right" w:pos="8838"/>
        </w:tabs>
        <w:overflowPunct w:val="0"/>
        <w:autoSpaceDE w:val="0"/>
        <w:autoSpaceDN w:val="0"/>
        <w:adjustRightInd w:val="0"/>
        <w:spacing w:line="276" w:lineRule="auto"/>
        <w:textAlignment w:val="baseline"/>
        <w:rPr>
          <w:rFonts w:cs="Arial"/>
          <w:i/>
        </w:rPr>
      </w:pPr>
    </w:p>
    <w:p w:rsidR="0032532C" w:rsidRPr="00E6086A" w:rsidRDefault="0056110A" w:rsidP="009D3798">
      <w:pPr>
        <w:tabs>
          <w:tab w:val="center" w:pos="284"/>
          <w:tab w:val="right" w:pos="8838"/>
        </w:tabs>
        <w:overflowPunct w:val="0"/>
        <w:autoSpaceDE w:val="0"/>
        <w:autoSpaceDN w:val="0"/>
        <w:adjustRightInd w:val="0"/>
        <w:spacing w:line="276" w:lineRule="auto"/>
        <w:textAlignment w:val="baseline"/>
        <w:rPr>
          <w:rFonts w:cs="Arial"/>
          <w:i/>
        </w:rPr>
      </w:pPr>
      <w:r w:rsidRPr="00E6086A">
        <w:rPr>
          <w:rFonts w:cs="Arial"/>
          <w:i/>
        </w:rPr>
        <w:t>“</w:t>
      </w:r>
      <w:r w:rsidR="0032532C" w:rsidRPr="00E6086A">
        <w:rPr>
          <w:rFonts w:cs="Arial"/>
          <w:i/>
        </w:rPr>
        <w:t>Ahora bien, si en el marco de esta tercera eventualidad se ejerce la correspondiente acción contractual con posterioridad al vencimiento de los mencionados 30 días siguientes a la notificación, comunicación o publicación del acto de adjudicación, según fuere el caso, necesariamente habrá de concluirse de nuevo que en este específico contexto las únicas pretensiones que podrían abrirse paso serán aquellas encaminadas a obtener las correspondientes declaratorias de nulidad del acto administrativo previo de adjudicación y la consiguiente o consecuencial nulidad absoluta del contrato, sin que resulte posible para el Juez de lo Contencioso Administrativo considerar y menos aún estimar las pretensiones económicas resarcitorias del restablecimiento del derecho por la no adjudicación del contrato estatal correspondiente</w:t>
      </w:r>
      <w:r w:rsidR="0032532C" w:rsidRPr="00E6086A">
        <w:rPr>
          <w:rFonts w:cs="Arial"/>
          <w:i/>
          <w:vertAlign w:val="superscript"/>
        </w:rPr>
        <w:footnoteReference w:id="17"/>
      </w:r>
      <w:r w:rsidR="0032532C" w:rsidRPr="00E6086A">
        <w:rPr>
          <w:rFonts w:cs="Arial"/>
          <w:i/>
        </w:rPr>
        <w:t>”</w:t>
      </w:r>
      <w:r w:rsidRPr="00E6086A">
        <w:rPr>
          <w:rFonts w:cs="Arial"/>
          <w:i/>
        </w:rPr>
        <w:t>.</w:t>
      </w:r>
    </w:p>
    <w:p w:rsidR="0032532C" w:rsidRPr="00E6086A" w:rsidRDefault="0032532C" w:rsidP="009D3798">
      <w:pPr>
        <w:spacing w:line="276" w:lineRule="auto"/>
        <w:rPr>
          <w:rFonts w:cs="Arial"/>
        </w:rPr>
      </w:pPr>
    </w:p>
    <w:p w:rsidR="003F2ACF" w:rsidRPr="00E6086A" w:rsidRDefault="0032532C" w:rsidP="009D3798">
      <w:pPr>
        <w:tabs>
          <w:tab w:val="center" w:pos="0"/>
          <w:tab w:val="right" w:pos="8838"/>
        </w:tabs>
        <w:overflowPunct w:val="0"/>
        <w:autoSpaceDE w:val="0"/>
        <w:autoSpaceDN w:val="0"/>
        <w:adjustRightInd w:val="0"/>
        <w:textAlignment w:val="baseline"/>
        <w:rPr>
          <w:rFonts w:cs="Arial"/>
        </w:rPr>
      </w:pPr>
      <w:r w:rsidRPr="00E6086A">
        <w:rPr>
          <w:rFonts w:cs="Arial"/>
          <w:lang w:val="es-ES_tradnl"/>
        </w:rPr>
        <w:t>Descendiendo al caso concreto</w:t>
      </w:r>
      <w:r w:rsidR="005A070A" w:rsidRPr="00E6086A">
        <w:rPr>
          <w:rFonts w:cs="Arial"/>
          <w:lang w:val="es-ES_tradnl"/>
        </w:rPr>
        <w:t>,</w:t>
      </w:r>
      <w:r w:rsidRPr="00E6086A">
        <w:rPr>
          <w:rFonts w:cs="Arial"/>
          <w:lang w:val="es-ES_tradnl"/>
        </w:rPr>
        <w:t xml:space="preserve"> se tiene que la demanda que dio lugar al presente proceso se ubicó en la </w:t>
      </w:r>
      <w:r w:rsidR="006557A6" w:rsidRPr="00E6086A">
        <w:rPr>
          <w:rFonts w:cs="Arial"/>
          <w:b/>
          <w:lang w:val="es-ES_tradnl"/>
        </w:rPr>
        <w:t>primera</w:t>
      </w:r>
      <w:r w:rsidR="006557A6" w:rsidRPr="00E6086A">
        <w:rPr>
          <w:rFonts w:cs="Arial"/>
          <w:lang w:val="es-ES_tradnl"/>
        </w:rPr>
        <w:t xml:space="preserve"> </w:t>
      </w:r>
      <w:r w:rsidRPr="00E6086A">
        <w:rPr>
          <w:rFonts w:cs="Arial"/>
          <w:b/>
          <w:lang w:val="es-ES_tradnl"/>
        </w:rPr>
        <w:t>hipótesis</w:t>
      </w:r>
      <w:r w:rsidRPr="00E6086A">
        <w:rPr>
          <w:rFonts w:cs="Arial"/>
          <w:lang w:val="es-ES_tradnl"/>
        </w:rPr>
        <w:t xml:space="preserve"> planteada en esta providencia</w:t>
      </w:r>
      <w:r w:rsidR="00976E50" w:rsidRPr="00E6086A">
        <w:rPr>
          <w:rFonts w:cs="Arial"/>
          <w:lang w:val="es-ES_tradnl"/>
        </w:rPr>
        <w:t>, es decir</w:t>
      </w:r>
      <w:r w:rsidR="00BD1737" w:rsidRPr="00E6086A">
        <w:rPr>
          <w:rFonts w:cs="Arial"/>
          <w:lang w:val="es-ES_tradnl"/>
        </w:rPr>
        <w:t>,</w:t>
      </w:r>
      <w:r w:rsidR="00976E50" w:rsidRPr="00E6086A">
        <w:rPr>
          <w:rFonts w:cs="Arial"/>
          <w:lang w:val="es-ES_tradnl"/>
        </w:rPr>
        <w:t xml:space="preserve"> que se presentó contra el acto administrativo de adjudicación con anterioridad a la firma del contrato respectivo y </w:t>
      </w:r>
      <w:r w:rsidR="00534C9D" w:rsidRPr="00E6086A">
        <w:rPr>
          <w:rFonts w:cs="Arial"/>
          <w:lang w:val="es-ES_tradnl"/>
        </w:rPr>
        <w:t xml:space="preserve">que </w:t>
      </w:r>
      <w:r w:rsidR="006C6698" w:rsidRPr="00E6086A">
        <w:rPr>
          <w:rFonts w:cs="Arial"/>
          <w:lang w:val="es-ES_tradnl"/>
        </w:rPr>
        <w:t xml:space="preserve">la acción </w:t>
      </w:r>
      <w:r w:rsidR="006557A6" w:rsidRPr="00E6086A">
        <w:rPr>
          <w:rFonts w:cs="Arial"/>
          <w:lang w:val="es-ES_tradnl"/>
        </w:rPr>
        <w:t>se ejerció</w:t>
      </w:r>
      <w:r w:rsidR="00E61E58" w:rsidRPr="00E6086A">
        <w:rPr>
          <w:rFonts w:cs="Arial"/>
          <w:lang w:val="es-ES_tradnl"/>
        </w:rPr>
        <w:t>,</w:t>
      </w:r>
      <w:r w:rsidR="006557A6" w:rsidRPr="00E6086A">
        <w:rPr>
          <w:rFonts w:cs="Arial"/>
          <w:lang w:val="es-ES_tradnl"/>
        </w:rPr>
        <w:t xml:space="preserve"> de manera oportuna, </w:t>
      </w:r>
      <w:r w:rsidRPr="00E6086A">
        <w:rPr>
          <w:rFonts w:cs="Arial"/>
        </w:rPr>
        <w:t xml:space="preserve">el 3 de </w:t>
      </w:r>
      <w:r w:rsidR="003937C3" w:rsidRPr="00E6086A">
        <w:rPr>
          <w:rFonts w:cs="Arial"/>
        </w:rPr>
        <w:t>febrero de 2000</w:t>
      </w:r>
      <w:r w:rsidR="00E61E58" w:rsidRPr="00E6086A">
        <w:rPr>
          <w:rFonts w:cs="Arial"/>
        </w:rPr>
        <w:t xml:space="preserve">. </w:t>
      </w:r>
    </w:p>
    <w:p w:rsidR="003F2ACF" w:rsidRPr="00E6086A" w:rsidRDefault="003F2ACF" w:rsidP="009D3798">
      <w:pPr>
        <w:tabs>
          <w:tab w:val="center" w:pos="0"/>
          <w:tab w:val="right" w:pos="8838"/>
        </w:tabs>
        <w:overflowPunct w:val="0"/>
        <w:autoSpaceDE w:val="0"/>
        <w:autoSpaceDN w:val="0"/>
        <w:adjustRightInd w:val="0"/>
        <w:textAlignment w:val="baseline"/>
        <w:rPr>
          <w:rFonts w:cs="Arial"/>
        </w:rPr>
      </w:pPr>
    </w:p>
    <w:p w:rsidR="00242FE3" w:rsidRPr="00E6086A" w:rsidRDefault="00BD1737" w:rsidP="009D3798">
      <w:pPr>
        <w:tabs>
          <w:tab w:val="center" w:pos="0"/>
          <w:tab w:val="right" w:pos="8838"/>
        </w:tabs>
        <w:overflowPunct w:val="0"/>
        <w:autoSpaceDE w:val="0"/>
        <w:autoSpaceDN w:val="0"/>
        <w:adjustRightInd w:val="0"/>
        <w:textAlignment w:val="baseline"/>
        <w:rPr>
          <w:rFonts w:cs="Arial"/>
        </w:rPr>
      </w:pPr>
      <w:r w:rsidRPr="00E6086A">
        <w:rPr>
          <w:rFonts w:cs="Arial"/>
        </w:rPr>
        <w:t>Se destaca l</w:t>
      </w:r>
      <w:r w:rsidR="00E61E58" w:rsidRPr="00E6086A">
        <w:rPr>
          <w:rFonts w:cs="Arial"/>
        </w:rPr>
        <w:t xml:space="preserve">o anterior </w:t>
      </w:r>
      <w:r w:rsidR="006557A6" w:rsidRPr="00E6086A">
        <w:rPr>
          <w:rFonts w:cs="Arial"/>
        </w:rPr>
        <w:t xml:space="preserve">teniendo en cuenta que el acto de adjudicación </w:t>
      </w:r>
      <w:r w:rsidR="006C6698" w:rsidRPr="00E6086A">
        <w:rPr>
          <w:rFonts w:cs="Arial"/>
        </w:rPr>
        <w:t xml:space="preserve">del contrato </w:t>
      </w:r>
      <w:r w:rsidR="002E2E41" w:rsidRPr="00E6086A">
        <w:rPr>
          <w:rFonts w:cs="Arial"/>
        </w:rPr>
        <w:t xml:space="preserve">fue </w:t>
      </w:r>
      <w:r w:rsidR="007F1F87" w:rsidRPr="00E6086A">
        <w:rPr>
          <w:rFonts w:cs="Arial"/>
        </w:rPr>
        <w:t>comunicado</w:t>
      </w:r>
      <w:r w:rsidR="00A412C0" w:rsidRPr="00E6086A">
        <w:rPr>
          <w:rFonts w:cs="Arial"/>
        </w:rPr>
        <w:t xml:space="preserve"> a la </w:t>
      </w:r>
      <w:r w:rsidR="00534C9D" w:rsidRPr="00E6086A">
        <w:rPr>
          <w:rFonts w:cs="Arial"/>
        </w:rPr>
        <w:t xml:space="preserve">unión temporal </w:t>
      </w:r>
      <w:r w:rsidR="00E61E58" w:rsidRPr="00E6086A">
        <w:rPr>
          <w:rFonts w:cs="Arial"/>
        </w:rPr>
        <w:t xml:space="preserve">que obra como </w:t>
      </w:r>
      <w:r w:rsidR="00A412C0" w:rsidRPr="00E6086A">
        <w:rPr>
          <w:rFonts w:cs="Arial"/>
        </w:rPr>
        <w:t>demanda</w:t>
      </w:r>
      <w:r w:rsidR="00534C9D" w:rsidRPr="00E6086A">
        <w:rPr>
          <w:rFonts w:cs="Arial"/>
        </w:rPr>
        <w:t>nte en este proceso</w:t>
      </w:r>
      <w:r w:rsidR="00A412C0" w:rsidRPr="00E6086A">
        <w:rPr>
          <w:rFonts w:cs="Arial"/>
        </w:rPr>
        <w:t xml:space="preserve"> en la fecha en que el municipio de Medellín le entregó la copia de la Resolución No. 075 del 23 de diciembre de 1999, esto es, el 25 de enero de 2000</w:t>
      </w:r>
      <w:r w:rsidR="00DE4792" w:rsidRPr="00E6086A">
        <w:rPr>
          <w:rStyle w:val="Refdenotaalpie"/>
          <w:rFonts w:cs="Arial"/>
        </w:rPr>
        <w:footnoteReference w:id="18"/>
      </w:r>
      <w:r w:rsidR="00A412C0" w:rsidRPr="00E6086A">
        <w:rPr>
          <w:rFonts w:cs="Arial"/>
        </w:rPr>
        <w:t xml:space="preserve">, según </w:t>
      </w:r>
      <w:r w:rsidR="002E2E41" w:rsidRPr="00E6086A">
        <w:rPr>
          <w:rFonts w:cs="Arial"/>
        </w:rPr>
        <w:t xml:space="preserve">el oficio </w:t>
      </w:r>
      <w:r w:rsidR="00A412C0" w:rsidRPr="00E6086A">
        <w:rPr>
          <w:rFonts w:cs="Arial"/>
        </w:rPr>
        <w:lastRenderedPageBreak/>
        <w:t>de esta última fecha que obra en el plenario</w:t>
      </w:r>
      <w:r w:rsidR="00A412C0" w:rsidRPr="00E6086A">
        <w:rPr>
          <w:rStyle w:val="Refdenotaalpie"/>
          <w:rFonts w:cs="Arial"/>
        </w:rPr>
        <w:footnoteReference w:id="19"/>
      </w:r>
      <w:r w:rsidR="00C049F3" w:rsidRPr="00E6086A">
        <w:rPr>
          <w:rFonts w:cs="Arial"/>
        </w:rPr>
        <w:t>.</w:t>
      </w:r>
      <w:r w:rsidR="006C6698" w:rsidRPr="00E6086A">
        <w:rPr>
          <w:rFonts w:cs="Arial"/>
        </w:rPr>
        <w:t xml:space="preserve"> Por tanto, </w:t>
      </w:r>
      <w:r w:rsidR="00976E50" w:rsidRPr="00E6086A">
        <w:rPr>
          <w:rFonts w:cs="Arial"/>
        </w:rPr>
        <w:t xml:space="preserve">como el término especial de la caducidad de la acción contra el acto previo, fijado en el plazo </w:t>
      </w:r>
      <w:r w:rsidR="00A4756A" w:rsidRPr="00E6086A">
        <w:rPr>
          <w:rFonts w:cs="Arial"/>
        </w:rPr>
        <w:t xml:space="preserve">corto </w:t>
      </w:r>
      <w:r w:rsidR="00976E50" w:rsidRPr="00E6086A">
        <w:rPr>
          <w:rFonts w:cs="Arial"/>
        </w:rPr>
        <w:t xml:space="preserve">de 30 días hábiles, corrió para </w:t>
      </w:r>
      <w:r w:rsidR="00A4756A" w:rsidRPr="00E6086A">
        <w:rPr>
          <w:rFonts w:cs="Arial"/>
        </w:rPr>
        <w:t xml:space="preserve">el </w:t>
      </w:r>
      <w:r w:rsidR="00976E50" w:rsidRPr="00E6086A">
        <w:rPr>
          <w:rFonts w:cs="Arial"/>
        </w:rPr>
        <w:t xml:space="preserve">proponente no favorecido a partir de la fecha de la comunicación del acto, se reafirma que </w:t>
      </w:r>
      <w:r w:rsidR="00A4756A" w:rsidRPr="00E6086A">
        <w:rPr>
          <w:rFonts w:cs="Arial"/>
        </w:rPr>
        <w:t xml:space="preserve">la </w:t>
      </w:r>
      <w:r w:rsidR="00E6144D" w:rsidRPr="00E6086A">
        <w:rPr>
          <w:rFonts w:cs="Arial"/>
        </w:rPr>
        <w:t>demanda se presentó antes de</w:t>
      </w:r>
      <w:r w:rsidR="00976E50" w:rsidRPr="00E6086A">
        <w:rPr>
          <w:rFonts w:cs="Arial"/>
        </w:rPr>
        <w:t xml:space="preserve"> que hubiera configurado la caducidad</w:t>
      </w:r>
      <w:r w:rsidR="00A4756A" w:rsidRPr="00E6086A">
        <w:rPr>
          <w:rFonts w:cs="Arial"/>
        </w:rPr>
        <w:t>,</w:t>
      </w:r>
      <w:r w:rsidR="00976E50" w:rsidRPr="00E6086A">
        <w:rPr>
          <w:rFonts w:cs="Arial"/>
        </w:rPr>
        <w:t xml:space="preserve"> por no haberse vencido el plazo de </w:t>
      </w:r>
      <w:r w:rsidR="00E6144D" w:rsidRPr="00E6086A">
        <w:rPr>
          <w:rFonts w:cs="Arial"/>
        </w:rPr>
        <w:t xml:space="preserve">los 30 días hábiles a que se </w:t>
      </w:r>
      <w:r w:rsidR="00242FE3" w:rsidRPr="00E6086A">
        <w:rPr>
          <w:rFonts w:cs="Arial"/>
        </w:rPr>
        <w:t xml:space="preserve">refiere el artículo 87 del Código Contencioso Administrativo. </w:t>
      </w:r>
    </w:p>
    <w:p w:rsidR="00534C9D" w:rsidRPr="00E6086A" w:rsidRDefault="00534C9D" w:rsidP="009D3798">
      <w:pPr>
        <w:tabs>
          <w:tab w:val="center" w:pos="0"/>
          <w:tab w:val="right" w:pos="8838"/>
        </w:tabs>
        <w:overflowPunct w:val="0"/>
        <w:autoSpaceDE w:val="0"/>
        <w:autoSpaceDN w:val="0"/>
        <w:adjustRightInd w:val="0"/>
        <w:textAlignment w:val="baseline"/>
        <w:rPr>
          <w:rFonts w:cs="Arial"/>
        </w:rPr>
      </w:pPr>
    </w:p>
    <w:p w:rsidR="00632CFD" w:rsidRPr="00E6086A" w:rsidRDefault="00632CFD" w:rsidP="009D3798">
      <w:pPr>
        <w:tabs>
          <w:tab w:val="center" w:pos="0"/>
          <w:tab w:val="right" w:pos="8838"/>
        </w:tabs>
        <w:overflowPunct w:val="0"/>
        <w:autoSpaceDE w:val="0"/>
        <w:autoSpaceDN w:val="0"/>
        <w:adjustRightInd w:val="0"/>
        <w:textAlignment w:val="baseline"/>
        <w:rPr>
          <w:rFonts w:cs="Arial"/>
        </w:rPr>
      </w:pPr>
      <w:r w:rsidRPr="00E6086A">
        <w:rPr>
          <w:rFonts w:cs="Arial"/>
        </w:rPr>
        <w:t xml:space="preserve">Por otra parte, </w:t>
      </w:r>
      <w:r w:rsidR="002E2E41" w:rsidRPr="00E6086A">
        <w:rPr>
          <w:rFonts w:cs="Arial"/>
        </w:rPr>
        <w:t xml:space="preserve">como no se tiene noticia de que para la fecha de la demanda se hubiera firmado el contrato adjudicado </w:t>
      </w:r>
      <w:r w:rsidR="00621E98" w:rsidRPr="00E6086A">
        <w:rPr>
          <w:rFonts w:cs="Arial"/>
        </w:rPr>
        <w:t xml:space="preserve">se asume que no se había suscrito. Se reafirma esta conclusión teniendo en cuenta que </w:t>
      </w:r>
      <w:r w:rsidR="007D2AC2" w:rsidRPr="00E6086A">
        <w:rPr>
          <w:rFonts w:cs="Arial"/>
        </w:rPr>
        <w:t>para la fecha en que se presentó la demanda</w:t>
      </w:r>
      <w:r w:rsidR="00242FE3" w:rsidRPr="00E6086A">
        <w:rPr>
          <w:rFonts w:cs="Arial"/>
        </w:rPr>
        <w:t xml:space="preserve"> </w:t>
      </w:r>
      <w:r w:rsidR="00621E98" w:rsidRPr="00E6086A">
        <w:rPr>
          <w:rFonts w:cs="Arial"/>
        </w:rPr>
        <w:t xml:space="preserve">no había expirado el </w:t>
      </w:r>
      <w:r w:rsidR="00500054" w:rsidRPr="00E6086A">
        <w:rPr>
          <w:rFonts w:cs="Arial"/>
        </w:rPr>
        <w:t xml:space="preserve">plazo </w:t>
      </w:r>
      <w:r w:rsidR="0051140D" w:rsidRPr="00E6086A">
        <w:rPr>
          <w:rFonts w:cs="Arial"/>
        </w:rPr>
        <w:t xml:space="preserve">que el pliego de condiciones estableció para la </w:t>
      </w:r>
      <w:r w:rsidR="00500054" w:rsidRPr="00E6086A">
        <w:rPr>
          <w:rFonts w:cs="Arial"/>
        </w:rPr>
        <w:t>firma</w:t>
      </w:r>
      <w:r w:rsidR="00F063E8" w:rsidRPr="00E6086A">
        <w:rPr>
          <w:rFonts w:cs="Arial"/>
        </w:rPr>
        <w:t xml:space="preserve"> </w:t>
      </w:r>
      <w:r w:rsidR="00621E98" w:rsidRPr="00E6086A">
        <w:rPr>
          <w:rFonts w:cs="Arial"/>
        </w:rPr>
        <w:t>de</w:t>
      </w:r>
      <w:r w:rsidR="00F063E8" w:rsidRPr="00E6086A">
        <w:rPr>
          <w:rFonts w:cs="Arial"/>
        </w:rPr>
        <w:t xml:space="preserve"> ambas partes.</w:t>
      </w:r>
      <w:r w:rsidR="00500054" w:rsidRPr="00E6086A">
        <w:rPr>
          <w:rFonts w:cs="Arial"/>
        </w:rPr>
        <w:t xml:space="preserve"> </w:t>
      </w:r>
    </w:p>
    <w:p w:rsidR="00632CFD" w:rsidRPr="00E6086A" w:rsidRDefault="00632CFD" w:rsidP="009D3798">
      <w:pPr>
        <w:tabs>
          <w:tab w:val="center" w:pos="0"/>
          <w:tab w:val="right" w:pos="8838"/>
        </w:tabs>
        <w:overflowPunct w:val="0"/>
        <w:autoSpaceDE w:val="0"/>
        <w:autoSpaceDN w:val="0"/>
        <w:adjustRightInd w:val="0"/>
        <w:textAlignment w:val="baseline"/>
        <w:rPr>
          <w:rFonts w:cs="Arial"/>
        </w:rPr>
      </w:pPr>
    </w:p>
    <w:p w:rsidR="00632CFD" w:rsidRPr="00E6086A" w:rsidRDefault="00632CFD" w:rsidP="009D3798">
      <w:pPr>
        <w:tabs>
          <w:tab w:val="center" w:pos="0"/>
          <w:tab w:val="right" w:pos="8838"/>
        </w:tabs>
        <w:overflowPunct w:val="0"/>
        <w:autoSpaceDE w:val="0"/>
        <w:autoSpaceDN w:val="0"/>
        <w:adjustRightInd w:val="0"/>
        <w:textAlignment w:val="baseline"/>
        <w:rPr>
          <w:rFonts w:cs="Arial"/>
        </w:rPr>
      </w:pPr>
      <w:r w:rsidRPr="00E6086A">
        <w:rPr>
          <w:rFonts w:cs="Arial"/>
        </w:rPr>
        <w:t>Lo anterior</w:t>
      </w:r>
      <w:r w:rsidR="00242FE3" w:rsidRPr="00E6086A">
        <w:rPr>
          <w:rFonts w:cs="Arial"/>
        </w:rPr>
        <w:t xml:space="preserve">, toda vez que </w:t>
      </w:r>
      <w:r w:rsidR="00EE5D21" w:rsidRPr="00E6086A">
        <w:rPr>
          <w:rFonts w:cs="Arial"/>
        </w:rPr>
        <w:t>en la Resolución No. 075 del 23 de diciembre de 1999 el municipio de Medellín le fij</w:t>
      </w:r>
      <w:r w:rsidR="0029469C" w:rsidRPr="00E6086A">
        <w:rPr>
          <w:rFonts w:cs="Arial"/>
        </w:rPr>
        <w:t>ó</w:t>
      </w:r>
      <w:r w:rsidR="00EE5D21" w:rsidRPr="00E6086A">
        <w:rPr>
          <w:rFonts w:cs="Arial"/>
        </w:rPr>
        <w:t xml:space="preserve"> al adjudicatario un plazo de 10 días hábiles a partir de la entrega del contrato para su </w:t>
      </w:r>
      <w:r w:rsidR="005C3181" w:rsidRPr="00E6086A">
        <w:rPr>
          <w:rFonts w:cs="Arial"/>
          <w:i/>
        </w:rPr>
        <w:t>“</w:t>
      </w:r>
      <w:r w:rsidR="00EE5D21" w:rsidRPr="00E6086A">
        <w:rPr>
          <w:rFonts w:cs="Arial"/>
          <w:i/>
        </w:rPr>
        <w:t>legalización</w:t>
      </w:r>
      <w:r w:rsidR="005C3181" w:rsidRPr="00E6086A">
        <w:rPr>
          <w:rFonts w:cs="Arial"/>
        </w:rPr>
        <w:t>”</w:t>
      </w:r>
      <w:r w:rsidR="00F16282" w:rsidRPr="00E6086A">
        <w:rPr>
          <w:rFonts w:cs="Arial"/>
        </w:rPr>
        <w:t xml:space="preserve"> y</w:t>
      </w:r>
      <w:r w:rsidR="0029469C" w:rsidRPr="00E6086A">
        <w:rPr>
          <w:rFonts w:cs="Arial"/>
        </w:rPr>
        <w:t xml:space="preserve">, por otra parte, </w:t>
      </w:r>
      <w:r w:rsidR="00F16282" w:rsidRPr="00E6086A">
        <w:rPr>
          <w:rFonts w:cs="Arial"/>
        </w:rPr>
        <w:t xml:space="preserve">en el pliego de condiciones </w:t>
      </w:r>
      <w:r w:rsidR="0029469C" w:rsidRPr="00E6086A">
        <w:rPr>
          <w:rFonts w:cs="Arial"/>
        </w:rPr>
        <w:t xml:space="preserve">de la Licitación No. 09M/99 </w:t>
      </w:r>
      <w:r w:rsidR="00F16282" w:rsidRPr="00E6086A">
        <w:rPr>
          <w:rFonts w:cs="Arial"/>
        </w:rPr>
        <w:t xml:space="preserve">se estableció que el municipio tenía un plazo de 7 días hábiles a partir de la adjudicación para elaborar el contrato </w:t>
      </w:r>
      <w:r w:rsidR="0029469C" w:rsidRPr="00E6086A">
        <w:rPr>
          <w:rFonts w:cs="Arial"/>
        </w:rPr>
        <w:t>y entregarlo al adjudicatario y</w:t>
      </w:r>
      <w:r w:rsidR="001B1057" w:rsidRPr="00E6086A">
        <w:rPr>
          <w:rFonts w:cs="Arial"/>
        </w:rPr>
        <w:t>,</w:t>
      </w:r>
      <w:r w:rsidR="0029469C" w:rsidRPr="00E6086A">
        <w:rPr>
          <w:rFonts w:cs="Arial"/>
        </w:rPr>
        <w:t xml:space="preserve"> </w:t>
      </w:r>
      <w:r w:rsidR="007D2AC2" w:rsidRPr="00E6086A">
        <w:rPr>
          <w:rFonts w:cs="Arial"/>
        </w:rPr>
        <w:t xml:space="preserve">además, se fijó </w:t>
      </w:r>
      <w:r w:rsidR="0029469C" w:rsidRPr="00E6086A">
        <w:rPr>
          <w:rFonts w:cs="Arial"/>
        </w:rPr>
        <w:t>un</w:t>
      </w:r>
      <w:r w:rsidR="00500054" w:rsidRPr="00E6086A">
        <w:rPr>
          <w:rFonts w:cs="Arial"/>
        </w:rPr>
        <w:t xml:space="preserve"> </w:t>
      </w:r>
      <w:r w:rsidR="0029469C" w:rsidRPr="00E6086A">
        <w:rPr>
          <w:rFonts w:cs="Arial"/>
        </w:rPr>
        <w:t>plazo de 30 d</w:t>
      </w:r>
      <w:r w:rsidR="00500054" w:rsidRPr="00E6086A">
        <w:rPr>
          <w:rFonts w:cs="Arial"/>
        </w:rPr>
        <w:t xml:space="preserve">ías hábiles a partir de la notificación para </w:t>
      </w:r>
      <w:r w:rsidR="005C3181" w:rsidRPr="00E6086A">
        <w:rPr>
          <w:rFonts w:cs="Arial"/>
          <w:i/>
        </w:rPr>
        <w:t>“</w:t>
      </w:r>
      <w:r w:rsidR="00500054" w:rsidRPr="00E6086A">
        <w:rPr>
          <w:rFonts w:cs="Arial"/>
          <w:i/>
        </w:rPr>
        <w:t>legalizar</w:t>
      </w:r>
      <w:r w:rsidR="005C3181" w:rsidRPr="00E6086A">
        <w:rPr>
          <w:rFonts w:cs="Arial"/>
          <w:i/>
        </w:rPr>
        <w:t>”</w:t>
      </w:r>
      <w:r w:rsidR="00500054" w:rsidRPr="00E6086A">
        <w:rPr>
          <w:rFonts w:cs="Arial"/>
        </w:rPr>
        <w:t xml:space="preserve"> el contrato, </w:t>
      </w:r>
      <w:r w:rsidR="005C3181" w:rsidRPr="00E6086A">
        <w:rPr>
          <w:rFonts w:cs="Arial"/>
        </w:rPr>
        <w:t>entendido en ese contexto</w:t>
      </w:r>
      <w:r w:rsidR="006F3B5B" w:rsidRPr="00E6086A">
        <w:rPr>
          <w:rFonts w:cs="Arial"/>
        </w:rPr>
        <w:t xml:space="preserve"> como el término en que se debía adelantar </w:t>
      </w:r>
      <w:r w:rsidR="00F063E8" w:rsidRPr="00E6086A">
        <w:rPr>
          <w:rFonts w:cs="Arial"/>
        </w:rPr>
        <w:t xml:space="preserve">el registro presupuestal </w:t>
      </w:r>
      <w:r w:rsidR="00AC258E" w:rsidRPr="00E6086A">
        <w:rPr>
          <w:rFonts w:cs="Arial"/>
        </w:rPr>
        <w:t>y publicar</w:t>
      </w:r>
      <w:r w:rsidR="006F3B5B" w:rsidRPr="00E6086A">
        <w:rPr>
          <w:rFonts w:cs="Arial"/>
        </w:rPr>
        <w:t xml:space="preserve"> el contrato</w:t>
      </w:r>
      <w:r w:rsidR="00AC258E" w:rsidRPr="00E6086A">
        <w:rPr>
          <w:rFonts w:cs="Arial"/>
        </w:rPr>
        <w:t xml:space="preserve">, trámite que debía adelantarse </w:t>
      </w:r>
      <w:r w:rsidR="00F063E8" w:rsidRPr="00E6086A">
        <w:rPr>
          <w:rFonts w:cs="Arial"/>
        </w:rPr>
        <w:t xml:space="preserve">con base en el documento </w:t>
      </w:r>
      <w:r w:rsidR="006F3B5B" w:rsidRPr="00E6086A">
        <w:rPr>
          <w:rFonts w:cs="Arial"/>
        </w:rPr>
        <w:t xml:space="preserve">contractual </w:t>
      </w:r>
      <w:r w:rsidR="00F063E8" w:rsidRPr="00E6086A">
        <w:rPr>
          <w:rFonts w:cs="Arial"/>
        </w:rPr>
        <w:t xml:space="preserve">debidamente </w:t>
      </w:r>
      <w:r w:rsidR="00500054" w:rsidRPr="00E6086A">
        <w:rPr>
          <w:rFonts w:cs="Arial"/>
        </w:rPr>
        <w:t>firma</w:t>
      </w:r>
      <w:r w:rsidR="00F063E8" w:rsidRPr="00E6086A">
        <w:rPr>
          <w:rFonts w:cs="Arial"/>
        </w:rPr>
        <w:t xml:space="preserve">do por </w:t>
      </w:r>
      <w:r w:rsidR="00AC258E" w:rsidRPr="00E6086A">
        <w:rPr>
          <w:rFonts w:cs="Arial"/>
        </w:rPr>
        <w:t>el contratista y por el municipio</w:t>
      </w:r>
      <w:r w:rsidR="00F063E8" w:rsidRPr="00E6086A">
        <w:rPr>
          <w:rFonts w:cs="Arial"/>
        </w:rPr>
        <w:t>.</w:t>
      </w:r>
      <w:r w:rsidR="00500054" w:rsidRPr="00E6086A">
        <w:rPr>
          <w:rFonts w:cs="Arial"/>
        </w:rPr>
        <w:t xml:space="preserve"> </w:t>
      </w:r>
      <w:r w:rsidR="0095609D" w:rsidRPr="00E6086A">
        <w:rPr>
          <w:rFonts w:cs="Arial"/>
        </w:rPr>
        <w:t xml:space="preserve"> Estos términos </w:t>
      </w:r>
      <w:r w:rsidR="00AC258E" w:rsidRPr="00E6086A">
        <w:rPr>
          <w:rFonts w:cs="Arial"/>
        </w:rPr>
        <w:t xml:space="preserve">acumulaban </w:t>
      </w:r>
      <w:r w:rsidR="0095609D" w:rsidRPr="00E6086A">
        <w:rPr>
          <w:rFonts w:cs="Arial"/>
        </w:rPr>
        <w:t>un plazo total de 47 días hábiles</w:t>
      </w:r>
      <w:r w:rsidR="00AC258E" w:rsidRPr="00E6086A">
        <w:rPr>
          <w:rFonts w:cs="Arial"/>
        </w:rPr>
        <w:t xml:space="preserve"> para </w:t>
      </w:r>
      <w:r w:rsidR="006F3B5B" w:rsidRPr="00E6086A">
        <w:rPr>
          <w:rFonts w:cs="Arial"/>
        </w:rPr>
        <w:t xml:space="preserve">los </w:t>
      </w:r>
      <w:r w:rsidR="00AC258E" w:rsidRPr="00E6086A">
        <w:rPr>
          <w:rFonts w:cs="Arial"/>
        </w:rPr>
        <w:t>trámite</w:t>
      </w:r>
      <w:r w:rsidR="006F3B5B" w:rsidRPr="00E6086A">
        <w:rPr>
          <w:rFonts w:cs="Arial"/>
        </w:rPr>
        <w:t>s</w:t>
      </w:r>
      <w:r w:rsidR="00AC258E" w:rsidRPr="00E6086A">
        <w:rPr>
          <w:rFonts w:cs="Arial"/>
        </w:rPr>
        <w:t xml:space="preserve"> respectivo</w:t>
      </w:r>
      <w:r w:rsidR="006F3B5B" w:rsidRPr="00E6086A">
        <w:rPr>
          <w:rFonts w:cs="Arial"/>
        </w:rPr>
        <w:t>s</w:t>
      </w:r>
      <w:r w:rsidR="0095609D" w:rsidRPr="00E6086A">
        <w:rPr>
          <w:rFonts w:cs="Arial"/>
        </w:rPr>
        <w:t>.</w:t>
      </w:r>
    </w:p>
    <w:p w:rsidR="00632CFD" w:rsidRPr="00E6086A" w:rsidRDefault="00632CFD" w:rsidP="009D3798">
      <w:pPr>
        <w:tabs>
          <w:tab w:val="center" w:pos="0"/>
          <w:tab w:val="right" w:pos="8838"/>
        </w:tabs>
        <w:overflowPunct w:val="0"/>
        <w:autoSpaceDE w:val="0"/>
        <w:autoSpaceDN w:val="0"/>
        <w:adjustRightInd w:val="0"/>
        <w:textAlignment w:val="baseline"/>
        <w:rPr>
          <w:rFonts w:cs="Arial"/>
        </w:rPr>
      </w:pPr>
    </w:p>
    <w:p w:rsidR="00A60D66" w:rsidRPr="00E6086A" w:rsidRDefault="00976E50" w:rsidP="009D3798">
      <w:pPr>
        <w:tabs>
          <w:tab w:val="center" w:pos="0"/>
          <w:tab w:val="right" w:pos="8838"/>
        </w:tabs>
        <w:overflowPunct w:val="0"/>
        <w:autoSpaceDE w:val="0"/>
        <w:autoSpaceDN w:val="0"/>
        <w:adjustRightInd w:val="0"/>
        <w:textAlignment w:val="baseline"/>
        <w:rPr>
          <w:rFonts w:cs="Arial"/>
        </w:rPr>
      </w:pPr>
      <w:r w:rsidRPr="00E6086A">
        <w:rPr>
          <w:rFonts w:cs="Arial"/>
        </w:rPr>
        <w:t>S</w:t>
      </w:r>
      <w:r w:rsidR="007D1052" w:rsidRPr="00E6086A">
        <w:rPr>
          <w:rFonts w:cs="Arial"/>
        </w:rPr>
        <w:t>e observa que la notificación personal de la Resolución 075 de 1999 al consorcio adjudicatario se realizó el 6 de enero del 2000</w:t>
      </w:r>
      <w:r w:rsidR="007D1052" w:rsidRPr="00E6086A">
        <w:rPr>
          <w:rStyle w:val="Refdenotaalpie"/>
          <w:rFonts w:cs="Arial"/>
        </w:rPr>
        <w:footnoteReference w:id="20"/>
      </w:r>
      <w:r w:rsidRPr="00E6086A">
        <w:rPr>
          <w:rFonts w:cs="Arial"/>
        </w:rPr>
        <w:t xml:space="preserve"> y</w:t>
      </w:r>
      <w:r w:rsidR="007D1052" w:rsidRPr="00E6086A">
        <w:rPr>
          <w:rFonts w:cs="Arial"/>
        </w:rPr>
        <w:t>, p</w:t>
      </w:r>
      <w:r w:rsidR="00632CFD" w:rsidRPr="00E6086A">
        <w:rPr>
          <w:rFonts w:cs="Arial"/>
        </w:rPr>
        <w:t>or ello</w:t>
      </w:r>
      <w:r w:rsidRPr="00E6086A">
        <w:rPr>
          <w:rFonts w:cs="Arial"/>
        </w:rPr>
        <w:t>,</w:t>
      </w:r>
      <w:r w:rsidR="007D1052" w:rsidRPr="00E6086A">
        <w:rPr>
          <w:rFonts w:cs="Arial"/>
        </w:rPr>
        <w:t xml:space="preserve"> </w:t>
      </w:r>
      <w:r w:rsidR="007D2AC2" w:rsidRPr="00E6086A">
        <w:rPr>
          <w:rFonts w:cs="Arial"/>
        </w:rPr>
        <w:t>a partir de allí se iniciaba el trámite para elaborar</w:t>
      </w:r>
      <w:r w:rsidR="004E7B50" w:rsidRPr="00E6086A">
        <w:rPr>
          <w:rFonts w:cs="Arial"/>
        </w:rPr>
        <w:t>,</w:t>
      </w:r>
      <w:r w:rsidR="007D2AC2" w:rsidRPr="00E6086A">
        <w:rPr>
          <w:rFonts w:cs="Arial"/>
        </w:rPr>
        <w:t xml:space="preserve"> firmar </w:t>
      </w:r>
      <w:r w:rsidR="004E7B50" w:rsidRPr="00E6086A">
        <w:rPr>
          <w:rFonts w:cs="Arial"/>
        </w:rPr>
        <w:t xml:space="preserve">publicar y registrar </w:t>
      </w:r>
      <w:r w:rsidR="007D2AC2" w:rsidRPr="00E6086A">
        <w:rPr>
          <w:rFonts w:cs="Arial"/>
        </w:rPr>
        <w:t>el contrato</w:t>
      </w:r>
      <w:r w:rsidR="0095609D" w:rsidRPr="00E6086A">
        <w:rPr>
          <w:rFonts w:cs="Arial"/>
        </w:rPr>
        <w:t xml:space="preserve"> adjudicado</w:t>
      </w:r>
      <w:r w:rsidR="007D2AC2" w:rsidRPr="00E6086A">
        <w:rPr>
          <w:rFonts w:cs="Arial"/>
        </w:rPr>
        <w:t xml:space="preserve">, </w:t>
      </w:r>
      <w:r w:rsidRPr="00E6086A">
        <w:rPr>
          <w:rFonts w:cs="Arial"/>
        </w:rPr>
        <w:t xml:space="preserve">para lo cual se contaba con </w:t>
      </w:r>
      <w:r w:rsidR="007D2AC2" w:rsidRPr="00E6086A">
        <w:rPr>
          <w:rFonts w:cs="Arial"/>
        </w:rPr>
        <w:t xml:space="preserve">un plazo total de </w:t>
      </w:r>
      <w:r w:rsidR="00500054" w:rsidRPr="00E6086A">
        <w:rPr>
          <w:rFonts w:cs="Arial"/>
        </w:rPr>
        <w:t>47 días hábiles</w:t>
      </w:r>
      <w:r w:rsidR="00A60D66" w:rsidRPr="00E6086A">
        <w:rPr>
          <w:rFonts w:cs="Arial"/>
        </w:rPr>
        <w:t xml:space="preserve"> </w:t>
      </w:r>
      <w:r w:rsidR="008C65D4" w:rsidRPr="00E6086A">
        <w:rPr>
          <w:rFonts w:cs="Arial"/>
        </w:rPr>
        <w:t xml:space="preserve">de acuerdo con lo antes mencionado, de manera que </w:t>
      </w:r>
      <w:r w:rsidR="00AD6DBC" w:rsidRPr="00E6086A">
        <w:rPr>
          <w:rFonts w:cs="Arial"/>
        </w:rPr>
        <w:t xml:space="preserve">se infiere </w:t>
      </w:r>
      <w:r w:rsidR="004E7B50" w:rsidRPr="00E6086A">
        <w:rPr>
          <w:rFonts w:cs="Arial"/>
        </w:rPr>
        <w:t>que los trámites podían tomar</w:t>
      </w:r>
      <w:r w:rsidR="008C65D4" w:rsidRPr="00E6086A">
        <w:rPr>
          <w:rFonts w:cs="Arial"/>
        </w:rPr>
        <w:t xml:space="preserve"> un tiempo,</w:t>
      </w:r>
      <w:r w:rsidR="004E7B50" w:rsidRPr="00E6086A">
        <w:rPr>
          <w:rFonts w:cs="Arial"/>
        </w:rPr>
        <w:t xml:space="preserve"> hasta el</w:t>
      </w:r>
      <w:r w:rsidR="001B1057" w:rsidRPr="00E6086A">
        <w:rPr>
          <w:rFonts w:cs="Arial"/>
        </w:rPr>
        <w:t xml:space="preserve"> </w:t>
      </w:r>
      <w:r w:rsidR="000C75C2" w:rsidRPr="00E6086A">
        <w:rPr>
          <w:rFonts w:cs="Arial"/>
        </w:rPr>
        <w:t>1</w:t>
      </w:r>
      <w:r w:rsidR="00A60D66" w:rsidRPr="00E6086A">
        <w:rPr>
          <w:rFonts w:cs="Arial"/>
        </w:rPr>
        <w:t>4</w:t>
      </w:r>
      <w:r w:rsidR="000C75C2" w:rsidRPr="00E6086A">
        <w:rPr>
          <w:rFonts w:cs="Arial"/>
        </w:rPr>
        <w:t xml:space="preserve"> de marzo de 2000</w:t>
      </w:r>
      <w:r w:rsidR="005E2652" w:rsidRPr="00E6086A">
        <w:rPr>
          <w:rFonts w:cs="Arial"/>
        </w:rPr>
        <w:t xml:space="preserve">, fecha para la cual </w:t>
      </w:r>
      <w:r w:rsidR="0070647A" w:rsidRPr="00E6086A">
        <w:rPr>
          <w:rFonts w:cs="Arial"/>
        </w:rPr>
        <w:t xml:space="preserve">la proponente no favorecida </w:t>
      </w:r>
      <w:r w:rsidR="005E2652" w:rsidRPr="00E6086A">
        <w:rPr>
          <w:rFonts w:cs="Arial"/>
        </w:rPr>
        <w:t xml:space="preserve">había presentado la demanda </w:t>
      </w:r>
      <w:r w:rsidR="008C65D4" w:rsidRPr="00E6086A">
        <w:rPr>
          <w:rFonts w:cs="Arial"/>
        </w:rPr>
        <w:t xml:space="preserve">en este proceso, </w:t>
      </w:r>
      <w:r w:rsidR="005E2652" w:rsidRPr="00E6086A">
        <w:rPr>
          <w:rFonts w:cs="Arial"/>
        </w:rPr>
        <w:t>bajo el supuesto espacio temporal de la hipótesis uno, ya expuesta.</w:t>
      </w:r>
    </w:p>
    <w:p w:rsidR="00A60D66" w:rsidRPr="00E6086A" w:rsidRDefault="00A60D66" w:rsidP="009D3798">
      <w:pPr>
        <w:tabs>
          <w:tab w:val="center" w:pos="0"/>
          <w:tab w:val="right" w:pos="8838"/>
        </w:tabs>
        <w:overflowPunct w:val="0"/>
        <w:autoSpaceDE w:val="0"/>
        <w:autoSpaceDN w:val="0"/>
        <w:adjustRightInd w:val="0"/>
        <w:textAlignment w:val="baseline"/>
        <w:rPr>
          <w:rFonts w:cs="Arial"/>
        </w:rPr>
      </w:pPr>
    </w:p>
    <w:p w:rsidR="00AE4195" w:rsidRPr="00E6086A" w:rsidRDefault="002A31D4" w:rsidP="009D3798">
      <w:pPr>
        <w:tabs>
          <w:tab w:val="center" w:pos="0"/>
          <w:tab w:val="right" w:pos="8838"/>
        </w:tabs>
        <w:overflowPunct w:val="0"/>
        <w:autoSpaceDE w:val="0"/>
        <w:autoSpaceDN w:val="0"/>
        <w:adjustRightInd w:val="0"/>
        <w:spacing w:line="240" w:lineRule="auto"/>
        <w:textAlignment w:val="baseline"/>
        <w:rPr>
          <w:rFonts w:cs="Arial"/>
          <w:b/>
        </w:rPr>
      </w:pPr>
      <w:r w:rsidRPr="00E6086A">
        <w:rPr>
          <w:rFonts w:cs="Arial"/>
          <w:b/>
        </w:rPr>
        <w:t>4</w:t>
      </w:r>
      <w:r w:rsidR="007B712B" w:rsidRPr="00E6086A">
        <w:rPr>
          <w:rFonts w:cs="Arial"/>
          <w:b/>
        </w:rPr>
        <w:t xml:space="preserve">. </w:t>
      </w:r>
      <w:r w:rsidR="00C70392" w:rsidRPr="00E6086A">
        <w:rPr>
          <w:rFonts w:cs="Arial"/>
          <w:b/>
        </w:rPr>
        <w:t xml:space="preserve">Análisis de los presupuestos procesales </w:t>
      </w:r>
      <w:r w:rsidR="004C428B" w:rsidRPr="00E6086A">
        <w:rPr>
          <w:rFonts w:cs="Arial"/>
          <w:b/>
        </w:rPr>
        <w:t xml:space="preserve">para aquellos casos en que </w:t>
      </w:r>
      <w:r w:rsidR="00C70392" w:rsidRPr="00E6086A">
        <w:rPr>
          <w:rFonts w:cs="Arial"/>
          <w:b/>
        </w:rPr>
        <w:t xml:space="preserve">la demanda se presenta con anterioridad a la firma del contrato </w:t>
      </w:r>
    </w:p>
    <w:p w:rsidR="001A78BE" w:rsidRPr="00E6086A" w:rsidRDefault="001A78BE" w:rsidP="009D3798">
      <w:pPr>
        <w:tabs>
          <w:tab w:val="center" w:pos="0"/>
          <w:tab w:val="right" w:pos="8838"/>
        </w:tabs>
        <w:overflowPunct w:val="0"/>
        <w:autoSpaceDE w:val="0"/>
        <w:autoSpaceDN w:val="0"/>
        <w:adjustRightInd w:val="0"/>
        <w:spacing w:line="240" w:lineRule="auto"/>
        <w:textAlignment w:val="baseline"/>
        <w:rPr>
          <w:rFonts w:cs="Arial"/>
          <w:b/>
        </w:rPr>
      </w:pPr>
    </w:p>
    <w:p w:rsidR="009A399E" w:rsidRPr="00E6086A" w:rsidRDefault="003F7D9E" w:rsidP="009D3798">
      <w:pPr>
        <w:tabs>
          <w:tab w:val="center" w:pos="0"/>
          <w:tab w:val="right" w:pos="8838"/>
        </w:tabs>
        <w:overflowPunct w:val="0"/>
        <w:autoSpaceDE w:val="0"/>
        <w:autoSpaceDN w:val="0"/>
        <w:adjustRightInd w:val="0"/>
        <w:textAlignment w:val="baseline"/>
        <w:rPr>
          <w:rFonts w:cs="Arial"/>
        </w:rPr>
      </w:pPr>
      <w:r w:rsidRPr="00E6086A">
        <w:rPr>
          <w:rFonts w:cs="Arial"/>
        </w:rPr>
        <w:t xml:space="preserve">Teniendo en cuenta que para el estudio de fondo es pertinente verificar los presupuestos procesales frente al </w:t>
      </w:r>
      <w:r w:rsidR="001A78BE" w:rsidRPr="00E6086A">
        <w:rPr>
          <w:rFonts w:cs="Arial"/>
        </w:rPr>
        <w:t xml:space="preserve">artículo 87 del CCA ya citado, </w:t>
      </w:r>
      <w:r w:rsidR="004C5FA8" w:rsidRPr="00E6086A">
        <w:rPr>
          <w:rFonts w:cs="Arial"/>
        </w:rPr>
        <w:t xml:space="preserve">la Sala precisa </w:t>
      </w:r>
      <w:r w:rsidR="003071EC" w:rsidRPr="00E6086A">
        <w:rPr>
          <w:rFonts w:cs="Arial"/>
        </w:rPr>
        <w:t>lo siguiente:</w:t>
      </w:r>
    </w:p>
    <w:p w:rsidR="009A399E" w:rsidRPr="00E6086A" w:rsidRDefault="009A399E" w:rsidP="009D3798">
      <w:pPr>
        <w:tabs>
          <w:tab w:val="center" w:pos="0"/>
          <w:tab w:val="right" w:pos="8838"/>
        </w:tabs>
        <w:overflowPunct w:val="0"/>
        <w:autoSpaceDE w:val="0"/>
        <w:autoSpaceDN w:val="0"/>
        <w:adjustRightInd w:val="0"/>
        <w:textAlignment w:val="baseline"/>
        <w:rPr>
          <w:rFonts w:cs="Arial"/>
        </w:rPr>
      </w:pPr>
    </w:p>
    <w:p w:rsidR="001A78BE" w:rsidRPr="00E6086A" w:rsidRDefault="009A399E" w:rsidP="009D3798">
      <w:pPr>
        <w:tabs>
          <w:tab w:val="center" w:pos="0"/>
          <w:tab w:val="right" w:pos="8838"/>
        </w:tabs>
        <w:overflowPunct w:val="0"/>
        <w:autoSpaceDE w:val="0"/>
        <w:autoSpaceDN w:val="0"/>
        <w:adjustRightInd w:val="0"/>
        <w:textAlignment w:val="baseline"/>
        <w:rPr>
          <w:rFonts w:cs="Arial"/>
        </w:rPr>
      </w:pPr>
      <w:r w:rsidRPr="00E6086A">
        <w:rPr>
          <w:rFonts w:cs="Arial"/>
          <w:b/>
        </w:rPr>
        <w:t>i)</w:t>
      </w:r>
      <w:r w:rsidRPr="00E6086A">
        <w:rPr>
          <w:rFonts w:cs="Arial"/>
        </w:rPr>
        <w:t xml:space="preserve"> </w:t>
      </w:r>
      <w:r w:rsidR="001A78BE" w:rsidRPr="00E6086A">
        <w:rPr>
          <w:rFonts w:cs="Arial"/>
        </w:rPr>
        <w:t xml:space="preserve">Cuando la demanda se presenta con anterioridad a la firma del contrato puede incoarse la acción de nulidad y restablecimiento del derecho del acto de adjudicación. </w:t>
      </w:r>
    </w:p>
    <w:p w:rsidR="001A78BE" w:rsidRPr="00E6086A" w:rsidRDefault="001A78BE" w:rsidP="009D3798">
      <w:pPr>
        <w:tabs>
          <w:tab w:val="center" w:pos="0"/>
          <w:tab w:val="right" w:pos="8838"/>
        </w:tabs>
        <w:overflowPunct w:val="0"/>
        <w:autoSpaceDE w:val="0"/>
        <w:autoSpaceDN w:val="0"/>
        <w:adjustRightInd w:val="0"/>
        <w:textAlignment w:val="baseline"/>
        <w:rPr>
          <w:rFonts w:cs="Arial"/>
        </w:rPr>
      </w:pPr>
    </w:p>
    <w:p w:rsidR="001A78BE" w:rsidRPr="00E6086A" w:rsidRDefault="009A399E" w:rsidP="009D3798">
      <w:pPr>
        <w:tabs>
          <w:tab w:val="center" w:pos="0"/>
          <w:tab w:val="right" w:pos="8838"/>
        </w:tabs>
        <w:overflowPunct w:val="0"/>
        <w:autoSpaceDE w:val="0"/>
        <w:autoSpaceDN w:val="0"/>
        <w:adjustRightInd w:val="0"/>
        <w:textAlignment w:val="baseline"/>
        <w:rPr>
          <w:rFonts w:cs="Arial"/>
        </w:rPr>
      </w:pPr>
      <w:r w:rsidRPr="00E6086A">
        <w:rPr>
          <w:rFonts w:cs="Arial"/>
          <w:b/>
        </w:rPr>
        <w:t>ii)</w:t>
      </w:r>
      <w:r w:rsidRPr="00E6086A">
        <w:rPr>
          <w:rFonts w:cs="Arial"/>
        </w:rPr>
        <w:t xml:space="preserve"> </w:t>
      </w:r>
      <w:r w:rsidR="001A78BE" w:rsidRPr="00E6086A">
        <w:rPr>
          <w:rFonts w:cs="Arial"/>
        </w:rPr>
        <w:t xml:space="preserve">En </w:t>
      </w:r>
      <w:r w:rsidRPr="00E6086A">
        <w:rPr>
          <w:rFonts w:cs="Arial"/>
        </w:rPr>
        <w:t xml:space="preserve">el </w:t>
      </w:r>
      <w:r w:rsidR="001A78BE" w:rsidRPr="00E6086A">
        <w:rPr>
          <w:rFonts w:cs="Arial"/>
        </w:rPr>
        <w:t xml:space="preserve">supuesto procesal </w:t>
      </w:r>
      <w:r w:rsidRPr="00E6086A">
        <w:rPr>
          <w:rFonts w:cs="Arial"/>
        </w:rPr>
        <w:t xml:space="preserve">de que el contrato no se haya suscrito para la fecha de la demanda, </w:t>
      </w:r>
      <w:r w:rsidR="001A78BE" w:rsidRPr="00E6086A">
        <w:rPr>
          <w:rFonts w:cs="Arial"/>
        </w:rPr>
        <w:t>no se exige la notificación de la demanda al adjudicatario.</w:t>
      </w:r>
    </w:p>
    <w:p w:rsidR="001A78BE" w:rsidRPr="00E6086A" w:rsidRDefault="001A78BE" w:rsidP="009D3798">
      <w:pPr>
        <w:tabs>
          <w:tab w:val="center" w:pos="0"/>
          <w:tab w:val="right" w:pos="8838"/>
        </w:tabs>
        <w:overflowPunct w:val="0"/>
        <w:autoSpaceDE w:val="0"/>
        <w:autoSpaceDN w:val="0"/>
        <w:adjustRightInd w:val="0"/>
        <w:textAlignment w:val="baseline"/>
        <w:rPr>
          <w:rFonts w:cs="Arial"/>
        </w:rPr>
      </w:pPr>
    </w:p>
    <w:p w:rsidR="001A78BE" w:rsidRPr="00E6086A" w:rsidRDefault="009A399E" w:rsidP="009D3798">
      <w:pPr>
        <w:tabs>
          <w:tab w:val="center" w:pos="0"/>
          <w:tab w:val="right" w:pos="8838"/>
        </w:tabs>
        <w:overflowPunct w:val="0"/>
        <w:autoSpaceDE w:val="0"/>
        <w:autoSpaceDN w:val="0"/>
        <w:adjustRightInd w:val="0"/>
        <w:textAlignment w:val="baseline"/>
        <w:rPr>
          <w:rFonts w:cs="Arial"/>
          <w:b/>
        </w:rPr>
      </w:pPr>
      <w:r w:rsidRPr="00E6086A">
        <w:rPr>
          <w:rFonts w:cs="Arial"/>
          <w:b/>
        </w:rPr>
        <w:t>iii)</w:t>
      </w:r>
      <w:r w:rsidRPr="00E6086A">
        <w:rPr>
          <w:rFonts w:cs="Arial"/>
        </w:rPr>
        <w:t xml:space="preserve"> </w:t>
      </w:r>
      <w:r w:rsidR="001A78BE" w:rsidRPr="00E6086A">
        <w:rPr>
          <w:rFonts w:cs="Arial"/>
        </w:rPr>
        <w:t>Solo se impone la integración del adjudicatario como litisconsorte por pasiva cuando se conoce que se ha firmado el contrato</w:t>
      </w:r>
      <w:r w:rsidRPr="00E6086A">
        <w:rPr>
          <w:rFonts w:cs="Arial"/>
        </w:rPr>
        <w:t>.</w:t>
      </w:r>
    </w:p>
    <w:p w:rsidR="001A78BE" w:rsidRPr="00E6086A" w:rsidRDefault="001A78BE" w:rsidP="009D3798">
      <w:pPr>
        <w:tabs>
          <w:tab w:val="center" w:pos="0"/>
          <w:tab w:val="right" w:pos="8838"/>
        </w:tabs>
        <w:overflowPunct w:val="0"/>
        <w:autoSpaceDE w:val="0"/>
        <w:autoSpaceDN w:val="0"/>
        <w:adjustRightInd w:val="0"/>
        <w:textAlignment w:val="baseline"/>
        <w:rPr>
          <w:rFonts w:cs="Arial"/>
          <w:b/>
        </w:rPr>
      </w:pPr>
    </w:p>
    <w:p w:rsidR="00E418CC" w:rsidRPr="00E6086A" w:rsidRDefault="009643B0" w:rsidP="009D3798">
      <w:pPr>
        <w:tabs>
          <w:tab w:val="center" w:pos="0"/>
          <w:tab w:val="right" w:pos="8838"/>
        </w:tabs>
        <w:overflowPunct w:val="0"/>
        <w:autoSpaceDE w:val="0"/>
        <w:autoSpaceDN w:val="0"/>
        <w:adjustRightInd w:val="0"/>
        <w:textAlignment w:val="baseline"/>
        <w:rPr>
          <w:rFonts w:cs="Arial"/>
        </w:rPr>
      </w:pPr>
      <w:r w:rsidRPr="00E6086A">
        <w:rPr>
          <w:rFonts w:cs="Arial"/>
        </w:rPr>
        <w:t xml:space="preserve">De conformidad con los anteriores supuestos, </w:t>
      </w:r>
      <w:r w:rsidR="00E418CC" w:rsidRPr="00E6086A">
        <w:rPr>
          <w:rFonts w:cs="Arial"/>
        </w:rPr>
        <w:t xml:space="preserve">la unión temporal demandante </w:t>
      </w:r>
      <w:r w:rsidRPr="00E6086A">
        <w:rPr>
          <w:rFonts w:cs="Arial"/>
        </w:rPr>
        <w:t xml:space="preserve">podía </w:t>
      </w:r>
      <w:r w:rsidR="000E5B95" w:rsidRPr="00E6086A">
        <w:rPr>
          <w:rFonts w:cs="Arial"/>
        </w:rPr>
        <w:t xml:space="preserve">presentar la </w:t>
      </w:r>
      <w:r w:rsidR="00E418CC" w:rsidRPr="00E6086A">
        <w:rPr>
          <w:rFonts w:cs="Arial"/>
        </w:rPr>
        <w:t xml:space="preserve">demanda únicamente </w:t>
      </w:r>
      <w:r w:rsidR="000E5B95" w:rsidRPr="00E6086A">
        <w:rPr>
          <w:rFonts w:cs="Arial"/>
        </w:rPr>
        <w:t xml:space="preserve">contra </w:t>
      </w:r>
      <w:r w:rsidR="00E418CC" w:rsidRPr="00E6086A">
        <w:rPr>
          <w:rFonts w:cs="Arial"/>
        </w:rPr>
        <w:t xml:space="preserve">el acto de adjudicación, sin incluir la pretensión de nulidad del contrato, toda vez que para la fecha en que se presentó la demanda, el 3 de febrero de 2000, </w:t>
      </w:r>
      <w:r w:rsidRPr="00E6086A">
        <w:rPr>
          <w:rFonts w:cs="Arial"/>
        </w:rPr>
        <w:t xml:space="preserve">no se </w:t>
      </w:r>
      <w:r w:rsidR="00E418CC" w:rsidRPr="00E6086A">
        <w:rPr>
          <w:rFonts w:cs="Arial"/>
        </w:rPr>
        <w:t xml:space="preserve">conocía ni </w:t>
      </w:r>
      <w:r w:rsidRPr="00E6086A">
        <w:rPr>
          <w:rFonts w:cs="Arial"/>
        </w:rPr>
        <w:t xml:space="preserve">se </w:t>
      </w:r>
      <w:r w:rsidR="00E418CC" w:rsidRPr="00E6086A">
        <w:rPr>
          <w:rFonts w:cs="Arial"/>
        </w:rPr>
        <w:t>podía suponer que el contrato h</w:t>
      </w:r>
      <w:r w:rsidRPr="00E6086A">
        <w:rPr>
          <w:rFonts w:cs="Arial"/>
        </w:rPr>
        <w:t xml:space="preserve">ubiera sido </w:t>
      </w:r>
      <w:r w:rsidR="00E418CC" w:rsidRPr="00E6086A">
        <w:rPr>
          <w:rFonts w:cs="Arial"/>
        </w:rPr>
        <w:t>firmado.</w:t>
      </w:r>
    </w:p>
    <w:p w:rsidR="00E418CC" w:rsidRPr="00E6086A" w:rsidRDefault="00E418CC" w:rsidP="009D3798">
      <w:pPr>
        <w:tabs>
          <w:tab w:val="center" w:pos="0"/>
          <w:tab w:val="right" w:pos="8838"/>
        </w:tabs>
        <w:overflowPunct w:val="0"/>
        <w:autoSpaceDE w:val="0"/>
        <w:autoSpaceDN w:val="0"/>
        <w:adjustRightInd w:val="0"/>
        <w:textAlignment w:val="baseline"/>
        <w:rPr>
          <w:rFonts w:cs="Arial"/>
        </w:rPr>
      </w:pPr>
    </w:p>
    <w:p w:rsidR="00E418CC" w:rsidRPr="00E6086A" w:rsidRDefault="00E418CC" w:rsidP="009D3798">
      <w:pPr>
        <w:tabs>
          <w:tab w:val="center" w:pos="0"/>
          <w:tab w:val="right" w:pos="8838"/>
        </w:tabs>
        <w:overflowPunct w:val="0"/>
        <w:autoSpaceDE w:val="0"/>
        <w:autoSpaceDN w:val="0"/>
        <w:adjustRightInd w:val="0"/>
        <w:textAlignment w:val="baseline"/>
        <w:rPr>
          <w:rFonts w:cs="Arial"/>
        </w:rPr>
      </w:pPr>
      <w:r w:rsidRPr="00E6086A">
        <w:rPr>
          <w:rFonts w:cs="Arial"/>
        </w:rPr>
        <w:t>Para reafirmar este punto, se agrega que en la comunicación del 25 de enero de 2000, a través de la cual el municipio de Medellín le entregó a la ahora demandante los documentos relacionados con la actuación del proceso licitatorio no le remitió el contrato ni le refirió que el mismo estuviera firmado.</w:t>
      </w:r>
    </w:p>
    <w:p w:rsidR="00E418CC" w:rsidRPr="00E6086A" w:rsidRDefault="00E418CC" w:rsidP="009D3798">
      <w:pPr>
        <w:tabs>
          <w:tab w:val="center" w:pos="0"/>
          <w:tab w:val="right" w:pos="8838"/>
        </w:tabs>
        <w:overflowPunct w:val="0"/>
        <w:autoSpaceDE w:val="0"/>
        <w:autoSpaceDN w:val="0"/>
        <w:adjustRightInd w:val="0"/>
        <w:spacing w:line="240" w:lineRule="auto"/>
        <w:textAlignment w:val="baseline"/>
        <w:rPr>
          <w:rFonts w:cs="Arial"/>
          <w:b/>
        </w:rPr>
      </w:pPr>
    </w:p>
    <w:p w:rsidR="00B74CF5" w:rsidRPr="00E6086A" w:rsidRDefault="00B74CF5" w:rsidP="009D3798">
      <w:pPr>
        <w:tabs>
          <w:tab w:val="center" w:pos="0"/>
          <w:tab w:val="right" w:pos="8838"/>
        </w:tabs>
        <w:overflowPunct w:val="0"/>
        <w:autoSpaceDE w:val="0"/>
        <w:autoSpaceDN w:val="0"/>
        <w:adjustRightInd w:val="0"/>
        <w:textAlignment w:val="baseline"/>
        <w:rPr>
          <w:rFonts w:cs="Arial"/>
        </w:rPr>
      </w:pPr>
      <w:r w:rsidRPr="00E6086A">
        <w:rPr>
          <w:rFonts w:cs="Arial"/>
        </w:rPr>
        <w:t xml:space="preserve">Se </w:t>
      </w:r>
      <w:r w:rsidR="007A6B4B" w:rsidRPr="00E6086A">
        <w:rPr>
          <w:rFonts w:cs="Arial"/>
        </w:rPr>
        <w:t>re</w:t>
      </w:r>
      <w:r w:rsidR="00C70392" w:rsidRPr="00E6086A">
        <w:rPr>
          <w:rFonts w:cs="Arial"/>
        </w:rPr>
        <w:t xml:space="preserve">itera </w:t>
      </w:r>
      <w:r w:rsidRPr="00E6086A">
        <w:rPr>
          <w:rFonts w:cs="Arial"/>
        </w:rPr>
        <w:t xml:space="preserve">que el documento contentivo del contrato adjudicado en la Licitación 09M/99 no fue entregado a la unión temporal demandante cuando presentó la solicitud </w:t>
      </w:r>
      <w:r w:rsidR="00E418CC" w:rsidRPr="00E6086A">
        <w:rPr>
          <w:rFonts w:cs="Arial"/>
        </w:rPr>
        <w:t xml:space="preserve">de documentos, </w:t>
      </w:r>
      <w:r w:rsidRPr="00E6086A">
        <w:rPr>
          <w:rFonts w:cs="Arial"/>
        </w:rPr>
        <w:t xml:space="preserve">previa a la presentación de </w:t>
      </w:r>
      <w:r w:rsidR="00E418CC" w:rsidRPr="00E6086A">
        <w:rPr>
          <w:rFonts w:cs="Arial"/>
        </w:rPr>
        <w:t>su</w:t>
      </w:r>
      <w:r w:rsidRPr="00E6086A">
        <w:rPr>
          <w:rFonts w:cs="Arial"/>
        </w:rPr>
        <w:t xml:space="preserve"> demanda</w:t>
      </w:r>
      <w:r w:rsidR="007A6B4B" w:rsidRPr="00E6086A">
        <w:rPr>
          <w:rFonts w:cs="Arial"/>
        </w:rPr>
        <w:t xml:space="preserve"> y </w:t>
      </w:r>
      <w:r w:rsidR="00E418CC" w:rsidRPr="00E6086A">
        <w:rPr>
          <w:rFonts w:cs="Arial"/>
        </w:rPr>
        <w:t xml:space="preserve">se observa </w:t>
      </w:r>
      <w:r w:rsidR="007A6B4B" w:rsidRPr="00E6086A">
        <w:rPr>
          <w:rFonts w:cs="Arial"/>
        </w:rPr>
        <w:t>que</w:t>
      </w:r>
      <w:r w:rsidR="00C2412E" w:rsidRPr="00E6086A">
        <w:rPr>
          <w:rFonts w:cs="Arial"/>
        </w:rPr>
        <w:t xml:space="preserve"> tampoco fue reseñado </w:t>
      </w:r>
      <w:r w:rsidR="002A31D4" w:rsidRPr="00E6086A">
        <w:rPr>
          <w:rFonts w:cs="Arial"/>
        </w:rPr>
        <w:t xml:space="preserve">ni </w:t>
      </w:r>
      <w:r w:rsidR="00C2412E" w:rsidRPr="00E6086A">
        <w:rPr>
          <w:rFonts w:cs="Arial"/>
        </w:rPr>
        <w:t xml:space="preserve">allegado por el municipio de Medellín con </w:t>
      </w:r>
      <w:r w:rsidRPr="00E6086A">
        <w:rPr>
          <w:rFonts w:cs="Arial"/>
        </w:rPr>
        <w:t xml:space="preserve">la contestación de la demanda, ni </w:t>
      </w:r>
      <w:r w:rsidR="002A31D4" w:rsidRPr="00E6086A">
        <w:rPr>
          <w:rFonts w:cs="Arial"/>
        </w:rPr>
        <w:t xml:space="preserve">posteriormente, </w:t>
      </w:r>
      <w:r w:rsidRPr="00E6086A">
        <w:rPr>
          <w:rFonts w:cs="Arial"/>
        </w:rPr>
        <w:t>con el oficio mediante el cual remiti</w:t>
      </w:r>
      <w:r w:rsidR="007A6B4B" w:rsidRPr="00E6086A">
        <w:rPr>
          <w:rFonts w:cs="Arial"/>
        </w:rPr>
        <w:t>ó</w:t>
      </w:r>
      <w:r w:rsidRPr="00E6086A">
        <w:rPr>
          <w:rFonts w:cs="Arial"/>
        </w:rPr>
        <w:t xml:space="preserve"> al Tribunal Administrativo de </w:t>
      </w:r>
      <w:r w:rsidR="00C2412E" w:rsidRPr="00E6086A">
        <w:rPr>
          <w:rFonts w:cs="Arial"/>
        </w:rPr>
        <w:t>Antioquia</w:t>
      </w:r>
      <w:r w:rsidRPr="00E6086A">
        <w:rPr>
          <w:rFonts w:cs="Arial"/>
        </w:rPr>
        <w:t xml:space="preserve"> los documentos referidos al proceso licitatorio.</w:t>
      </w:r>
    </w:p>
    <w:p w:rsidR="00B74CF5" w:rsidRPr="00E6086A" w:rsidRDefault="00B74CF5" w:rsidP="009D3798">
      <w:pPr>
        <w:tabs>
          <w:tab w:val="center" w:pos="0"/>
          <w:tab w:val="right" w:pos="8838"/>
        </w:tabs>
        <w:overflowPunct w:val="0"/>
        <w:autoSpaceDE w:val="0"/>
        <w:autoSpaceDN w:val="0"/>
        <w:adjustRightInd w:val="0"/>
        <w:textAlignment w:val="baseline"/>
        <w:rPr>
          <w:rFonts w:cs="Arial"/>
        </w:rPr>
      </w:pPr>
    </w:p>
    <w:p w:rsidR="00FE7CAA" w:rsidRPr="00E6086A" w:rsidRDefault="00E418CC" w:rsidP="009D3798">
      <w:pPr>
        <w:tabs>
          <w:tab w:val="center" w:pos="0"/>
          <w:tab w:val="right" w:pos="8838"/>
        </w:tabs>
        <w:overflowPunct w:val="0"/>
        <w:autoSpaceDE w:val="0"/>
        <w:autoSpaceDN w:val="0"/>
        <w:adjustRightInd w:val="0"/>
        <w:textAlignment w:val="baseline"/>
        <w:rPr>
          <w:rFonts w:cs="Arial"/>
        </w:rPr>
      </w:pPr>
      <w:r w:rsidRPr="00E6086A">
        <w:rPr>
          <w:rFonts w:cs="Arial"/>
        </w:rPr>
        <w:lastRenderedPageBreak/>
        <w:t xml:space="preserve">Como consecuencia, </w:t>
      </w:r>
      <w:r w:rsidR="00B74CF5" w:rsidRPr="00E6086A">
        <w:rPr>
          <w:rFonts w:cs="Arial"/>
        </w:rPr>
        <w:t xml:space="preserve">no </w:t>
      </w:r>
      <w:r w:rsidR="00C2412E" w:rsidRPr="00E6086A">
        <w:rPr>
          <w:rFonts w:cs="Arial"/>
        </w:rPr>
        <w:t xml:space="preserve">hay lugar a imputar una indebida </w:t>
      </w:r>
      <w:r w:rsidR="00F035C4" w:rsidRPr="00E6086A">
        <w:rPr>
          <w:rFonts w:cs="Arial"/>
        </w:rPr>
        <w:t>integración de las pretensiones</w:t>
      </w:r>
      <w:r w:rsidR="00C2412E" w:rsidRPr="00E6086A">
        <w:rPr>
          <w:rFonts w:cs="Arial"/>
        </w:rPr>
        <w:t xml:space="preserve"> de la demanda</w:t>
      </w:r>
      <w:r w:rsidR="00F035C4" w:rsidRPr="00E6086A">
        <w:rPr>
          <w:rFonts w:cs="Arial"/>
        </w:rPr>
        <w:t xml:space="preserve">, </w:t>
      </w:r>
      <w:r w:rsidR="00FE7CAA" w:rsidRPr="00E6086A">
        <w:rPr>
          <w:rFonts w:cs="Arial"/>
        </w:rPr>
        <w:t>toda vez que la demandante no conoció de la firma del contrato y cuando presentó la demanda, el plazo para la firma estaba en curso.</w:t>
      </w:r>
    </w:p>
    <w:p w:rsidR="00FE7CAA" w:rsidRPr="00E6086A" w:rsidRDefault="00FE7CAA" w:rsidP="009D3798">
      <w:pPr>
        <w:tabs>
          <w:tab w:val="center" w:pos="0"/>
          <w:tab w:val="right" w:pos="8838"/>
        </w:tabs>
        <w:overflowPunct w:val="0"/>
        <w:autoSpaceDE w:val="0"/>
        <w:autoSpaceDN w:val="0"/>
        <w:adjustRightInd w:val="0"/>
        <w:textAlignment w:val="baseline"/>
        <w:rPr>
          <w:rFonts w:cs="Arial"/>
        </w:rPr>
      </w:pPr>
    </w:p>
    <w:p w:rsidR="00FE7CAA" w:rsidRPr="00E6086A" w:rsidRDefault="00FE7CAA" w:rsidP="009D3798">
      <w:pPr>
        <w:tabs>
          <w:tab w:val="center" w:pos="0"/>
          <w:tab w:val="right" w:pos="8838"/>
        </w:tabs>
        <w:overflowPunct w:val="0"/>
        <w:autoSpaceDE w:val="0"/>
        <w:autoSpaceDN w:val="0"/>
        <w:adjustRightInd w:val="0"/>
        <w:textAlignment w:val="baseline"/>
        <w:rPr>
          <w:rFonts w:cs="Arial"/>
        </w:rPr>
      </w:pPr>
      <w:r w:rsidRPr="00E6086A">
        <w:rPr>
          <w:rFonts w:cs="Arial"/>
        </w:rPr>
        <w:t>Es más</w:t>
      </w:r>
      <w:r w:rsidR="00E37FAE" w:rsidRPr="00E6086A">
        <w:rPr>
          <w:rFonts w:cs="Arial"/>
        </w:rPr>
        <w:t>,</w:t>
      </w:r>
      <w:r w:rsidRPr="00E6086A">
        <w:rPr>
          <w:rFonts w:cs="Arial"/>
        </w:rPr>
        <w:t xml:space="preserve"> en este proceso no se llegó a conocer si el contrato </w:t>
      </w:r>
      <w:r w:rsidR="004326F0" w:rsidRPr="00E6086A">
        <w:rPr>
          <w:rFonts w:cs="Arial"/>
        </w:rPr>
        <w:t xml:space="preserve">adjudicado </w:t>
      </w:r>
      <w:r w:rsidR="00AD05B7" w:rsidRPr="00E6086A">
        <w:rPr>
          <w:rFonts w:cs="Arial"/>
        </w:rPr>
        <w:t>para la terminación de la estructura y la construcción de las obras en el colegio Blanquizal, en realidad llegó a suscribirse</w:t>
      </w:r>
      <w:r w:rsidRPr="00E6086A">
        <w:rPr>
          <w:rFonts w:cs="Arial"/>
        </w:rPr>
        <w:t>.</w:t>
      </w:r>
    </w:p>
    <w:p w:rsidR="0010023B" w:rsidRPr="00E6086A" w:rsidRDefault="0010023B" w:rsidP="009D3798">
      <w:pPr>
        <w:tabs>
          <w:tab w:val="center" w:pos="0"/>
          <w:tab w:val="right" w:pos="8838"/>
        </w:tabs>
        <w:overflowPunct w:val="0"/>
        <w:autoSpaceDE w:val="0"/>
        <w:autoSpaceDN w:val="0"/>
        <w:adjustRightInd w:val="0"/>
        <w:textAlignment w:val="baseline"/>
        <w:rPr>
          <w:rFonts w:cs="Arial"/>
        </w:rPr>
      </w:pPr>
    </w:p>
    <w:p w:rsidR="00E44BDB" w:rsidRPr="00E6086A" w:rsidRDefault="00112618" w:rsidP="009D3798">
      <w:pPr>
        <w:tabs>
          <w:tab w:val="center" w:pos="0"/>
          <w:tab w:val="right" w:pos="8838"/>
        </w:tabs>
        <w:overflowPunct w:val="0"/>
        <w:autoSpaceDE w:val="0"/>
        <w:autoSpaceDN w:val="0"/>
        <w:adjustRightInd w:val="0"/>
        <w:textAlignment w:val="baseline"/>
        <w:rPr>
          <w:rFonts w:cs="Arial"/>
        </w:rPr>
      </w:pPr>
      <w:r w:rsidRPr="00E6086A">
        <w:rPr>
          <w:rFonts w:cs="Arial"/>
        </w:rPr>
        <w:t xml:space="preserve">En el mismo sentido, tampoco hay lugar a imputar </w:t>
      </w:r>
      <w:r w:rsidR="0032532C" w:rsidRPr="00E6086A">
        <w:rPr>
          <w:rFonts w:cs="Arial"/>
        </w:rPr>
        <w:t xml:space="preserve">la </w:t>
      </w:r>
      <w:r w:rsidRPr="00E6086A">
        <w:rPr>
          <w:rFonts w:cs="Arial"/>
        </w:rPr>
        <w:t>in</w:t>
      </w:r>
      <w:r w:rsidR="0032532C" w:rsidRPr="00E6086A">
        <w:rPr>
          <w:rFonts w:cs="Arial"/>
        </w:rPr>
        <w:t>de</w:t>
      </w:r>
      <w:r w:rsidR="00925E3C" w:rsidRPr="00E6086A">
        <w:rPr>
          <w:rFonts w:cs="Arial"/>
        </w:rPr>
        <w:t>bida integración del contradictorio</w:t>
      </w:r>
      <w:r w:rsidR="00C70392" w:rsidRPr="00E6086A">
        <w:rPr>
          <w:rFonts w:cs="Arial"/>
        </w:rPr>
        <w:t xml:space="preserve"> por pasiva</w:t>
      </w:r>
      <w:r w:rsidR="0009372E" w:rsidRPr="00E6086A">
        <w:rPr>
          <w:rFonts w:cs="Arial"/>
        </w:rPr>
        <w:t>,</w:t>
      </w:r>
      <w:r w:rsidR="0032532C" w:rsidRPr="00E6086A">
        <w:rPr>
          <w:rFonts w:cs="Arial"/>
        </w:rPr>
        <w:t xml:space="preserve"> toda vez que </w:t>
      </w:r>
      <w:r w:rsidR="004326F0" w:rsidRPr="00E6086A">
        <w:rPr>
          <w:rFonts w:cs="Arial"/>
        </w:rPr>
        <w:t>la</w:t>
      </w:r>
      <w:r w:rsidR="00E44BDB" w:rsidRPr="00E6086A">
        <w:rPr>
          <w:rFonts w:cs="Arial"/>
        </w:rPr>
        <w:t xml:space="preserve"> dem</w:t>
      </w:r>
      <w:r w:rsidRPr="00E6086A">
        <w:rPr>
          <w:rFonts w:cs="Arial"/>
        </w:rPr>
        <w:t>a</w:t>
      </w:r>
      <w:r w:rsidR="00E44BDB" w:rsidRPr="00E6086A">
        <w:rPr>
          <w:rFonts w:cs="Arial"/>
        </w:rPr>
        <w:t>ndante no estaba en la obligación de vincular</w:t>
      </w:r>
      <w:r w:rsidR="00994C3B" w:rsidRPr="00E6086A">
        <w:rPr>
          <w:rFonts w:cs="Arial"/>
        </w:rPr>
        <w:t xml:space="preserve"> al consorcio que fue sujeto de la adjudicación</w:t>
      </w:r>
      <w:r w:rsidR="00E37FAE" w:rsidRPr="00E6086A">
        <w:rPr>
          <w:rFonts w:cs="Arial"/>
        </w:rPr>
        <w:t>,</w:t>
      </w:r>
      <w:r w:rsidR="00994C3B" w:rsidRPr="00E6086A">
        <w:rPr>
          <w:rFonts w:cs="Arial"/>
        </w:rPr>
        <w:t xml:space="preserve"> </w:t>
      </w:r>
      <w:r w:rsidR="00E37FAE" w:rsidRPr="00E6086A">
        <w:rPr>
          <w:rFonts w:cs="Arial"/>
        </w:rPr>
        <w:t xml:space="preserve">dado que </w:t>
      </w:r>
      <w:r w:rsidR="00CF4EF4" w:rsidRPr="00E6086A">
        <w:rPr>
          <w:rFonts w:cs="Arial"/>
        </w:rPr>
        <w:t>ese consorcio a</w:t>
      </w:r>
      <w:r w:rsidR="009831C0" w:rsidRPr="00E6086A">
        <w:rPr>
          <w:rFonts w:cs="Arial"/>
        </w:rPr>
        <w:t>ú</w:t>
      </w:r>
      <w:r w:rsidR="00CF4EF4" w:rsidRPr="00E6086A">
        <w:rPr>
          <w:rFonts w:cs="Arial"/>
        </w:rPr>
        <w:t xml:space="preserve">n </w:t>
      </w:r>
      <w:r w:rsidR="00E37FAE" w:rsidRPr="00E6086A">
        <w:rPr>
          <w:rFonts w:cs="Arial"/>
        </w:rPr>
        <w:t xml:space="preserve">no tenía vocación de </w:t>
      </w:r>
      <w:r w:rsidR="00E44BDB" w:rsidRPr="00E6086A">
        <w:rPr>
          <w:rFonts w:cs="Arial"/>
        </w:rPr>
        <w:t xml:space="preserve">parte </w:t>
      </w:r>
      <w:r w:rsidR="00E37FAE" w:rsidRPr="00E6086A">
        <w:rPr>
          <w:rFonts w:cs="Arial"/>
        </w:rPr>
        <w:t xml:space="preserve">contratista </w:t>
      </w:r>
      <w:r w:rsidR="00E44BDB" w:rsidRPr="00E6086A">
        <w:rPr>
          <w:rFonts w:cs="Arial"/>
        </w:rPr>
        <w:t xml:space="preserve">para la fecha en que presentó la demanda. </w:t>
      </w:r>
    </w:p>
    <w:p w:rsidR="00E44BDB" w:rsidRPr="00E6086A" w:rsidRDefault="00E44BDB" w:rsidP="009D3798">
      <w:pPr>
        <w:tabs>
          <w:tab w:val="center" w:pos="0"/>
          <w:tab w:val="right" w:pos="8838"/>
        </w:tabs>
        <w:overflowPunct w:val="0"/>
        <w:autoSpaceDE w:val="0"/>
        <w:autoSpaceDN w:val="0"/>
        <w:adjustRightInd w:val="0"/>
        <w:textAlignment w:val="baseline"/>
        <w:rPr>
          <w:rFonts w:cs="Arial"/>
        </w:rPr>
      </w:pPr>
    </w:p>
    <w:p w:rsidR="004326F0" w:rsidRPr="00E6086A" w:rsidRDefault="00E44BDB" w:rsidP="009D3798">
      <w:pPr>
        <w:tabs>
          <w:tab w:val="center" w:pos="0"/>
          <w:tab w:val="right" w:pos="8838"/>
        </w:tabs>
        <w:overflowPunct w:val="0"/>
        <w:autoSpaceDE w:val="0"/>
        <w:autoSpaceDN w:val="0"/>
        <w:adjustRightInd w:val="0"/>
        <w:textAlignment w:val="baseline"/>
        <w:rPr>
          <w:rFonts w:cs="Arial"/>
        </w:rPr>
      </w:pPr>
      <w:r w:rsidRPr="00E6086A">
        <w:rPr>
          <w:rFonts w:cs="Arial"/>
        </w:rPr>
        <w:t xml:space="preserve">Lo anterior, sin perjuicio de que </w:t>
      </w:r>
      <w:r w:rsidR="00112618" w:rsidRPr="00E6086A">
        <w:rPr>
          <w:rFonts w:cs="Arial"/>
        </w:rPr>
        <w:t xml:space="preserve">el </w:t>
      </w:r>
      <w:r w:rsidRPr="00E6086A">
        <w:rPr>
          <w:rFonts w:cs="Arial"/>
        </w:rPr>
        <w:t xml:space="preserve">Tribunal a quo </w:t>
      </w:r>
      <w:r w:rsidR="004326F0" w:rsidRPr="00E6086A">
        <w:rPr>
          <w:rFonts w:cs="Arial"/>
        </w:rPr>
        <w:t xml:space="preserve">hubiera </w:t>
      </w:r>
      <w:r w:rsidR="00C70392" w:rsidRPr="00E6086A">
        <w:rPr>
          <w:rFonts w:cs="Arial"/>
        </w:rPr>
        <w:t xml:space="preserve">podido </w:t>
      </w:r>
      <w:r w:rsidRPr="00E6086A">
        <w:rPr>
          <w:rFonts w:cs="Arial"/>
        </w:rPr>
        <w:t xml:space="preserve">ordenar </w:t>
      </w:r>
      <w:r w:rsidR="00351396" w:rsidRPr="00E6086A">
        <w:rPr>
          <w:rFonts w:cs="Arial"/>
        </w:rPr>
        <w:t xml:space="preserve">la </w:t>
      </w:r>
      <w:r w:rsidRPr="00E6086A">
        <w:rPr>
          <w:rFonts w:cs="Arial"/>
        </w:rPr>
        <w:t>notificación</w:t>
      </w:r>
      <w:r w:rsidR="00091E6A" w:rsidRPr="00E6086A">
        <w:rPr>
          <w:rFonts w:cs="Arial"/>
        </w:rPr>
        <w:t xml:space="preserve"> del auto admisorio de la demanda al referido consorcio</w:t>
      </w:r>
      <w:r w:rsidRPr="00E6086A">
        <w:rPr>
          <w:rFonts w:cs="Arial"/>
        </w:rPr>
        <w:t xml:space="preserve">, </w:t>
      </w:r>
      <w:r w:rsidR="00CF4EF4" w:rsidRPr="00E6086A">
        <w:rPr>
          <w:rFonts w:cs="Arial"/>
        </w:rPr>
        <w:t xml:space="preserve">como tercero interesado, </w:t>
      </w:r>
      <w:r w:rsidRPr="00E6086A">
        <w:rPr>
          <w:rFonts w:cs="Arial"/>
        </w:rPr>
        <w:t xml:space="preserve">habida cuenta </w:t>
      </w:r>
      <w:r w:rsidR="004326F0" w:rsidRPr="00E6086A">
        <w:rPr>
          <w:rFonts w:cs="Arial"/>
        </w:rPr>
        <w:t xml:space="preserve">de </w:t>
      </w:r>
      <w:r w:rsidR="00112618" w:rsidRPr="00E6086A">
        <w:rPr>
          <w:rFonts w:cs="Arial"/>
        </w:rPr>
        <w:t xml:space="preserve">que el acto cuya nulidad se solicitó le creaba un derecho </w:t>
      </w:r>
      <w:r w:rsidR="00BD33E5" w:rsidRPr="00E6086A">
        <w:rPr>
          <w:rFonts w:cs="Arial"/>
        </w:rPr>
        <w:t xml:space="preserve">a </w:t>
      </w:r>
      <w:r w:rsidR="00994C3B" w:rsidRPr="00E6086A">
        <w:rPr>
          <w:rFonts w:cs="Arial"/>
        </w:rPr>
        <w:t>ese consorcio</w:t>
      </w:r>
      <w:r w:rsidR="004326F0" w:rsidRPr="00E6086A">
        <w:rPr>
          <w:rFonts w:cs="Arial"/>
        </w:rPr>
        <w:t xml:space="preserve"> y que su nulidad podía tener efectos sobre el contrato</w:t>
      </w:r>
      <w:r w:rsidR="00BD33E5" w:rsidRPr="00E6086A">
        <w:rPr>
          <w:rFonts w:cs="Arial"/>
        </w:rPr>
        <w:t>,</w:t>
      </w:r>
      <w:r w:rsidR="004326F0" w:rsidRPr="00E6086A">
        <w:rPr>
          <w:rFonts w:cs="Arial"/>
        </w:rPr>
        <w:t xml:space="preserve"> en caso de que se llegara a celebrar. </w:t>
      </w:r>
    </w:p>
    <w:p w:rsidR="00745F1A" w:rsidRPr="00E6086A" w:rsidRDefault="00745F1A" w:rsidP="009D3798">
      <w:pPr>
        <w:tabs>
          <w:tab w:val="center" w:pos="0"/>
          <w:tab w:val="right" w:pos="8838"/>
        </w:tabs>
        <w:overflowPunct w:val="0"/>
        <w:autoSpaceDE w:val="0"/>
        <w:autoSpaceDN w:val="0"/>
        <w:adjustRightInd w:val="0"/>
        <w:textAlignment w:val="baseline"/>
        <w:rPr>
          <w:rFonts w:cs="Arial"/>
        </w:rPr>
      </w:pPr>
    </w:p>
    <w:p w:rsidR="000174A6" w:rsidRPr="00E6086A" w:rsidRDefault="00CF4EF4" w:rsidP="009D3798">
      <w:pPr>
        <w:rPr>
          <w:rFonts w:cs="Arial"/>
          <w:lang w:val="es-CO"/>
        </w:rPr>
      </w:pPr>
      <w:r w:rsidRPr="00E6086A">
        <w:rPr>
          <w:rFonts w:cs="Arial"/>
          <w:lang w:val="es-CO"/>
        </w:rPr>
        <w:t xml:space="preserve">De acuerdo con todo lo anterior, </w:t>
      </w:r>
      <w:r w:rsidR="000D711E" w:rsidRPr="00E6086A">
        <w:rPr>
          <w:rFonts w:cs="Arial"/>
          <w:lang w:val="es-CO"/>
        </w:rPr>
        <w:t xml:space="preserve">en este </w:t>
      </w:r>
      <w:r w:rsidR="00BD33E5" w:rsidRPr="00E6086A">
        <w:rPr>
          <w:rFonts w:cs="Arial"/>
          <w:lang w:val="es-CO"/>
        </w:rPr>
        <w:t xml:space="preserve">proceso resulta </w:t>
      </w:r>
      <w:r w:rsidR="000430B8" w:rsidRPr="00E6086A">
        <w:rPr>
          <w:rFonts w:cs="Arial"/>
          <w:lang w:val="es-CO"/>
        </w:rPr>
        <w:t xml:space="preserve">viable </w:t>
      </w:r>
      <w:r w:rsidR="000D711E" w:rsidRPr="00E6086A">
        <w:rPr>
          <w:rFonts w:cs="Arial"/>
          <w:lang w:val="es-CO"/>
        </w:rPr>
        <w:t xml:space="preserve">proceder al estudio de fondo de las pretensiones, </w:t>
      </w:r>
      <w:r w:rsidR="000174A6" w:rsidRPr="00E6086A">
        <w:rPr>
          <w:rFonts w:cs="Arial"/>
          <w:lang w:val="es-CO"/>
        </w:rPr>
        <w:t>sin imputar la inepta demanda o la indebida integración de</w:t>
      </w:r>
      <w:r w:rsidR="00BD33E5" w:rsidRPr="00E6086A">
        <w:rPr>
          <w:rFonts w:cs="Arial"/>
          <w:lang w:val="es-CO"/>
        </w:rPr>
        <w:t>l contradictorio por</w:t>
      </w:r>
      <w:r w:rsidR="000174A6" w:rsidRPr="00E6086A">
        <w:rPr>
          <w:rFonts w:cs="Arial"/>
          <w:lang w:val="es-CO"/>
        </w:rPr>
        <w:t xml:space="preserve"> la parte pasiva, toda vez </w:t>
      </w:r>
      <w:r w:rsidR="000D711E" w:rsidRPr="00E6086A">
        <w:rPr>
          <w:rFonts w:cs="Arial"/>
          <w:lang w:val="es-CO"/>
        </w:rPr>
        <w:t>que</w:t>
      </w:r>
      <w:r w:rsidR="000174A6" w:rsidRPr="00E6086A">
        <w:rPr>
          <w:rFonts w:cs="Arial"/>
          <w:lang w:val="es-CO"/>
        </w:rPr>
        <w:t xml:space="preserve">, bajo los supuestos </w:t>
      </w:r>
      <w:r w:rsidR="00E418CC" w:rsidRPr="00E6086A">
        <w:rPr>
          <w:rFonts w:cs="Arial"/>
          <w:lang w:val="es-CO"/>
        </w:rPr>
        <w:t xml:space="preserve">-temporal y fáctico- </w:t>
      </w:r>
      <w:r w:rsidR="000174A6" w:rsidRPr="00E6086A">
        <w:rPr>
          <w:rFonts w:cs="Arial"/>
          <w:lang w:val="es-CO"/>
        </w:rPr>
        <w:t xml:space="preserve">en que se presentó la demanda, la parte actora </w:t>
      </w:r>
      <w:r w:rsidR="000430B8" w:rsidRPr="00E6086A">
        <w:rPr>
          <w:rFonts w:cs="Arial"/>
          <w:lang w:val="es-CO"/>
        </w:rPr>
        <w:t xml:space="preserve">cumplió con los </w:t>
      </w:r>
      <w:r w:rsidR="000D711E" w:rsidRPr="00E6086A">
        <w:rPr>
          <w:rFonts w:cs="Arial"/>
          <w:lang w:val="es-CO"/>
        </w:rPr>
        <w:t xml:space="preserve">presupuestos para </w:t>
      </w:r>
      <w:r w:rsidR="003170AD" w:rsidRPr="00E6086A">
        <w:rPr>
          <w:rFonts w:cs="Arial"/>
          <w:lang w:val="es-CO"/>
        </w:rPr>
        <w:t xml:space="preserve">integrar en debida forma el </w:t>
      </w:r>
      <w:r w:rsidR="003170AD" w:rsidRPr="00E6086A">
        <w:rPr>
          <w:rFonts w:cs="Arial"/>
          <w:i/>
          <w:lang w:val="es-CO"/>
        </w:rPr>
        <w:t>petitum</w:t>
      </w:r>
      <w:r w:rsidR="003170AD" w:rsidRPr="00E6086A">
        <w:rPr>
          <w:rFonts w:cs="Arial"/>
          <w:lang w:val="es-CO"/>
        </w:rPr>
        <w:t xml:space="preserve"> </w:t>
      </w:r>
      <w:r w:rsidR="000430B8" w:rsidRPr="00E6086A">
        <w:rPr>
          <w:rFonts w:cs="Arial"/>
          <w:lang w:val="es-CO"/>
        </w:rPr>
        <w:t xml:space="preserve">sobre el cual </w:t>
      </w:r>
      <w:r w:rsidR="000174A6" w:rsidRPr="00E6086A">
        <w:rPr>
          <w:rFonts w:cs="Arial"/>
          <w:lang w:val="es-CO"/>
        </w:rPr>
        <w:t xml:space="preserve">pretendió la nulidad del </w:t>
      </w:r>
      <w:r w:rsidR="000430B8" w:rsidRPr="00E6086A">
        <w:rPr>
          <w:rFonts w:cs="Arial"/>
          <w:lang w:val="es-CO"/>
        </w:rPr>
        <w:t>acto de adjudicación</w:t>
      </w:r>
      <w:r w:rsidR="000174A6" w:rsidRPr="00E6086A">
        <w:rPr>
          <w:rFonts w:cs="Arial"/>
          <w:lang w:val="es-CO"/>
        </w:rPr>
        <w:t xml:space="preserve"> y la reparación de su derecho.</w:t>
      </w:r>
    </w:p>
    <w:p w:rsidR="00861987" w:rsidRPr="00E6086A" w:rsidRDefault="00994C3B" w:rsidP="009D3798">
      <w:pPr>
        <w:pStyle w:val="Encabezado"/>
        <w:tabs>
          <w:tab w:val="clear" w:pos="4419"/>
          <w:tab w:val="center" w:pos="0"/>
        </w:tabs>
        <w:rPr>
          <w:rFonts w:cs="Arial"/>
          <w:b/>
          <w:szCs w:val="24"/>
        </w:rPr>
      </w:pPr>
      <w:r w:rsidRPr="00E6086A">
        <w:rPr>
          <w:rFonts w:cs="Arial"/>
          <w:b/>
          <w:szCs w:val="24"/>
        </w:rPr>
        <w:t xml:space="preserve">5. </w:t>
      </w:r>
      <w:r w:rsidR="00431AB0" w:rsidRPr="00E6086A">
        <w:rPr>
          <w:rFonts w:cs="Arial"/>
          <w:b/>
          <w:szCs w:val="24"/>
        </w:rPr>
        <w:t>Análisis de l</w:t>
      </w:r>
      <w:r w:rsidR="0039071A" w:rsidRPr="00E6086A">
        <w:rPr>
          <w:rFonts w:cs="Arial"/>
          <w:b/>
          <w:szCs w:val="24"/>
        </w:rPr>
        <w:t>a</w:t>
      </w:r>
      <w:r w:rsidR="00431AB0" w:rsidRPr="00E6086A">
        <w:rPr>
          <w:rFonts w:cs="Arial"/>
          <w:b/>
          <w:szCs w:val="24"/>
        </w:rPr>
        <w:t>s</w:t>
      </w:r>
      <w:r w:rsidR="0039071A" w:rsidRPr="00E6086A">
        <w:rPr>
          <w:rFonts w:cs="Arial"/>
          <w:b/>
          <w:szCs w:val="24"/>
        </w:rPr>
        <w:t xml:space="preserve"> pruebas allegadas al proceso</w:t>
      </w:r>
    </w:p>
    <w:p w:rsidR="00001E9E" w:rsidRPr="00E6086A" w:rsidRDefault="00001E9E" w:rsidP="009D3798">
      <w:pPr>
        <w:pStyle w:val="Encabezado"/>
        <w:tabs>
          <w:tab w:val="clear" w:pos="4419"/>
          <w:tab w:val="center" w:pos="0"/>
        </w:tabs>
        <w:rPr>
          <w:rFonts w:cs="Arial"/>
          <w:b/>
          <w:szCs w:val="24"/>
        </w:rPr>
      </w:pPr>
    </w:p>
    <w:p w:rsidR="00001E9E" w:rsidRPr="00E6086A" w:rsidRDefault="00BD33E5" w:rsidP="009D3798">
      <w:pPr>
        <w:pStyle w:val="Encabezado"/>
        <w:tabs>
          <w:tab w:val="clear" w:pos="4419"/>
          <w:tab w:val="center" w:pos="0"/>
        </w:tabs>
        <w:rPr>
          <w:rFonts w:cs="Arial"/>
          <w:b/>
          <w:szCs w:val="24"/>
        </w:rPr>
      </w:pPr>
      <w:r w:rsidRPr="00E6086A">
        <w:rPr>
          <w:rFonts w:cs="Arial"/>
          <w:b/>
          <w:szCs w:val="24"/>
        </w:rPr>
        <w:t xml:space="preserve">5.1. </w:t>
      </w:r>
      <w:r w:rsidR="00001E9E" w:rsidRPr="00E6086A">
        <w:rPr>
          <w:rFonts w:cs="Arial"/>
          <w:b/>
          <w:szCs w:val="24"/>
        </w:rPr>
        <w:t>El contenido del pliego de condiciones</w:t>
      </w:r>
    </w:p>
    <w:p w:rsidR="00001E9E" w:rsidRPr="00E6086A" w:rsidRDefault="00001E9E" w:rsidP="009D3798">
      <w:pPr>
        <w:pStyle w:val="Encabezado"/>
        <w:tabs>
          <w:tab w:val="clear" w:pos="4419"/>
          <w:tab w:val="center" w:pos="0"/>
        </w:tabs>
        <w:rPr>
          <w:rFonts w:cs="Arial"/>
          <w:b/>
          <w:szCs w:val="24"/>
        </w:rPr>
      </w:pPr>
    </w:p>
    <w:p w:rsidR="00BD33E5" w:rsidRPr="00E6086A" w:rsidRDefault="00BD33E5" w:rsidP="009D3798">
      <w:pPr>
        <w:pStyle w:val="Encabezado"/>
        <w:tabs>
          <w:tab w:val="clear" w:pos="4419"/>
          <w:tab w:val="center" w:pos="0"/>
        </w:tabs>
        <w:rPr>
          <w:rFonts w:cs="Arial"/>
          <w:szCs w:val="24"/>
        </w:rPr>
      </w:pPr>
      <w:r w:rsidRPr="00E6086A">
        <w:rPr>
          <w:rFonts w:cs="Arial"/>
          <w:szCs w:val="24"/>
        </w:rPr>
        <w:t xml:space="preserve">Obra en el expediente el </w:t>
      </w:r>
      <w:r w:rsidR="00AE66FA" w:rsidRPr="00E6086A">
        <w:rPr>
          <w:rFonts w:cs="Arial"/>
          <w:szCs w:val="24"/>
        </w:rPr>
        <w:t xml:space="preserve">documento del pliego de condiciones de la </w:t>
      </w:r>
      <w:r w:rsidR="00F1061A" w:rsidRPr="00E6086A">
        <w:rPr>
          <w:rFonts w:cs="Arial"/>
          <w:szCs w:val="24"/>
        </w:rPr>
        <w:t xml:space="preserve">Licitación Pública </w:t>
      </w:r>
      <w:r w:rsidRPr="00E6086A">
        <w:rPr>
          <w:rFonts w:cs="Arial"/>
          <w:szCs w:val="24"/>
        </w:rPr>
        <w:t>09M/99</w:t>
      </w:r>
      <w:r w:rsidR="00411726" w:rsidRPr="00E6086A">
        <w:rPr>
          <w:rFonts w:cs="Arial"/>
          <w:szCs w:val="24"/>
        </w:rPr>
        <w:t xml:space="preserve">, </w:t>
      </w:r>
      <w:r w:rsidRPr="00E6086A">
        <w:rPr>
          <w:rFonts w:cs="Arial"/>
          <w:szCs w:val="24"/>
        </w:rPr>
        <w:t xml:space="preserve">el acto de apertura de la licitación contenido en la Resolución </w:t>
      </w:r>
      <w:r w:rsidR="00604301" w:rsidRPr="00E6086A">
        <w:rPr>
          <w:rFonts w:cs="Arial"/>
          <w:szCs w:val="24"/>
        </w:rPr>
        <w:t>1028 del 6 de septiembre de 1999, así como las propuestas presentadas en la referida licitaci</w:t>
      </w:r>
      <w:r w:rsidR="00411726" w:rsidRPr="00E6086A">
        <w:rPr>
          <w:rFonts w:cs="Arial"/>
          <w:szCs w:val="24"/>
        </w:rPr>
        <w:t>ó</w:t>
      </w:r>
      <w:r w:rsidR="00604301" w:rsidRPr="00E6086A">
        <w:rPr>
          <w:rFonts w:cs="Arial"/>
          <w:szCs w:val="24"/>
        </w:rPr>
        <w:t>n</w:t>
      </w:r>
      <w:r w:rsidR="00604301" w:rsidRPr="00E6086A">
        <w:rPr>
          <w:rStyle w:val="Refdenotaalpie"/>
          <w:rFonts w:cs="Arial"/>
          <w:szCs w:val="24"/>
        </w:rPr>
        <w:footnoteReference w:id="21"/>
      </w:r>
      <w:r w:rsidR="005E2652" w:rsidRPr="00E6086A">
        <w:rPr>
          <w:rFonts w:cs="Arial"/>
          <w:szCs w:val="24"/>
        </w:rPr>
        <w:t>, sobre los cuales se hacen las siguientes precisiones acerca de su contenido:</w:t>
      </w:r>
    </w:p>
    <w:p w:rsidR="008A624D" w:rsidRPr="00E6086A" w:rsidRDefault="008A624D" w:rsidP="009D3798">
      <w:pPr>
        <w:pStyle w:val="Encabezado"/>
        <w:tabs>
          <w:tab w:val="clear" w:pos="4419"/>
          <w:tab w:val="center" w:pos="0"/>
        </w:tabs>
        <w:rPr>
          <w:rFonts w:cs="Arial"/>
          <w:b/>
          <w:szCs w:val="24"/>
        </w:rPr>
      </w:pPr>
    </w:p>
    <w:p w:rsidR="00EE1972" w:rsidRPr="00E6086A" w:rsidRDefault="008A624D" w:rsidP="009D3798">
      <w:pPr>
        <w:pStyle w:val="Encabezado"/>
        <w:tabs>
          <w:tab w:val="clear" w:pos="4419"/>
          <w:tab w:val="center" w:pos="0"/>
        </w:tabs>
        <w:rPr>
          <w:rFonts w:cs="Arial"/>
          <w:szCs w:val="24"/>
        </w:rPr>
      </w:pPr>
      <w:r w:rsidRPr="00E6086A">
        <w:rPr>
          <w:rFonts w:cs="Arial"/>
          <w:b/>
          <w:szCs w:val="24"/>
        </w:rPr>
        <w:t xml:space="preserve">5.1.1. </w:t>
      </w:r>
      <w:r w:rsidRPr="00E6086A">
        <w:rPr>
          <w:rFonts w:cs="Arial"/>
          <w:szCs w:val="24"/>
        </w:rPr>
        <w:t>El pliego de condiciones en el punto 1.10 relacion</w:t>
      </w:r>
      <w:r w:rsidR="005E2652" w:rsidRPr="00E6086A">
        <w:rPr>
          <w:rFonts w:cs="Arial"/>
          <w:szCs w:val="24"/>
        </w:rPr>
        <w:t>ó</w:t>
      </w:r>
      <w:r w:rsidRPr="00E6086A">
        <w:rPr>
          <w:rFonts w:cs="Arial"/>
          <w:szCs w:val="24"/>
        </w:rPr>
        <w:t xml:space="preserve"> los documentos</w:t>
      </w:r>
      <w:r w:rsidR="005E2652" w:rsidRPr="00E6086A">
        <w:rPr>
          <w:rFonts w:cs="Arial"/>
          <w:szCs w:val="24"/>
        </w:rPr>
        <w:t xml:space="preserve"> exigidos para </w:t>
      </w:r>
      <w:r w:rsidRPr="00E6086A">
        <w:rPr>
          <w:rFonts w:cs="Arial"/>
          <w:szCs w:val="24"/>
        </w:rPr>
        <w:t xml:space="preserve">la propuesta y los requisitos para cada uno de ellos, en algunos ítems, como el </w:t>
      </w:r>
      <w:r w:rsidR="0087229C" w:rsidRPr="00E6086A">
        <w:rPr>
          <w:rFonts w:cs="Arial"/>
          <w:szCs w:val="24"/>
        </w:rPr>
        <w:t xml:space="preserve">numeral 4, </w:t>
      </w:r>
      <w:r w:rsidRPr="00E6086A">
        <w:rPr>
          <w:rFonts w:cs="Arial"/>
          <w:szCs w:val="24"/>
        </w:rPr>
        <w:t>de la garantía de seriedad de la oferta, indic</w:t>
      </w:r>
      <w:r w:rsidR="005E2652" w:rsidRPr="00E6086A">
        <w:rPr>
          <w:rFonts w:cs="Arial"/>
          <w:szCs w:val="24"/>
        </w:rPr>
        <w:t>ó</w:t>
      </w:r>
      <w:r w:rsidRPr="00E6086A">
        <w:rPr>
          <w:rFonts w:cs="Arial"/>
          <w:szCs w:val="24"/>
        </w:rPr>
        <w:t xml:space="preserve"> que procedía el rechazo de las propuestas</w:t>
      </w:r>
      <w:r w:rsidR="005E2652" w:rsidRPr="00E6086A">
        <w:rPr>
          <w:rFonts w:cs="Arial"/>
          <w:szCs w:val="24"/>
        </w:rPr>
        <w:t xml:space="preserve"> en la forma como se transcribe mas adelante. </w:t>
      </w:r>
    </w:p>
    <w:p w:rsidR="00EE1972" w:rsidRPr="00E6086A" w:rsidRDefault="00EE1972" w:rsidP="009D3798">
      <w:pPr>
        <w:pStyle w:val="Encabezado"/>
        <w:tabs>
          <w:tab w:val="clear" w:pos="4419"/>
          <w:tab w:val="center" w:pos="0"/>
        </w:tabs>
        <w:rPr>
          <w:rFonts w:cs="Arial"/>
          <w:szCs w:val="24"/>
        </w:rPr>
      </w:pPr>
    </w:p>
    <w:p w:rsidR="008A624D" w:rsidRPr="00E6086A" w:rsidRDefault="005E2652" w:rsidP="009D3798">
      <w:pPr>
        <w:pStyle w:val="Encabezado"/>
        <w:tabs>
          <w:tab w:val="clear" w:pos="4419"/>
          <w:tab w:val="center" w:pos="0"/>
        </w:tabs>
        <w:rPr>
          <w:rFonts w:cs="Arial"/>
          <w:szCs w:val="24"/>
        </w:rPr>
      </w:pPr>
      <w:r w:rsidRPr="00E6086A">
        <w:rPr>
          <w:rFonts w:cs="Arial"/>
          <w:szCs w:val="24"/>
        </w:rPr>
        <w:t>E</w:t>
      </w:r>
      <w:r w:rsidR="008A624D" w:rsidRPr="00E6086A">
        <w:rPr>
          <w:rFonts w:cs="Arial"/>
          <w:szCs w:val="24"/>
        </w:rPr>
        <w:t xml:space="preserve">n el punto 1.18 </w:t>
      </w:r>
      <w:r w:rsidR="00EE1972" w:rsidRPr="00E6086A">
        <w:rPr>
          <w:rFonts w:cs="Arial"/>
          <w:szCs w:val="24"/>
        </w:rPr>
        <w:t xml:space="preserve">del pliego de condiciones </w:t>
      </w:r>
      <w:r w:rsidR="008A624D" w:rsidRPr="00E6086A">
        <w:rPr>
          <w:rFonts w:cs="Arial"/>
          <w:szCs w:val="24"/>
        </w:rPr>
        <w:t xml:space="preserve">se regularon </w:t>
      </w:r>
      <w:r w:rsidRPr="00E6086A">
        <w:rPr>
          <w:rFonts w:cs="Arial"/>
          <w:szCs w:val="24"/>
        </w:rPr>
        <w:t>los</w:t>
      </w:r>
      <w:r w:rsidR="008A624D" w:rsidRPr="00E6086A">
        <w:rPr>
          <w:rFonts w:cs="Arial"/>
          <w:szCs w:val="24"/>
        </w:rPr>
        <w:t xml:space="preserve"> aspectos </w:t>
      </w:r>
      <w:r w:rsidRPr="00E6086A">
        <w:rPr>
          <w:rFonts w:cs="Arial"/>
          <w:szCs w:val="24"/>
        </w:rPr>
        <w:t xml:space="preserve">relacionados con </w:t>
      </w:r>
      <w:r w:rsidR="008A624D" w:rsidRPr="00E6086A">
        <w:rPr>
          <w:rFonts w:cs="Arial"/>
          <w:szCs w:val="24"/>
        </w:rPr>
        <w:t xml:space="preserve">las reglas de rechazo y eliminación de propuestas y en el punto 1.19 se </w:t>
      </w:r>
      <w:r w:rsidR="009419B3" w:rsidRPr="00E6086A">
        <w:rPr>
          <w:rFonts w:cs="Arial"/>
          <w:szCs w:val="24"/>
        </w:rPr>
        <w:t xml:space="preserve">describieron, </w:t>
      </w:r>
      <w:r w:rsidR="008A624D" w:rsidRPr="00E6086A">
        <w:rPr>
          <w:rFonts w:cs="Arial"/>
          <w:szCs w:val="24"/>
        </w:rPr>
        <w:t xml:space="preserve">entre otros aspectos, la evaluación de propuestas seleccionadas, los criterios de selección, </w:t>
      </w:r>
      <w:r w:rsidR="009831C0" w:rsidRPr="00E6086A">
        <w:rPr>
          <w:rFonts w:cs="Arial"/>
          <w:szCs w:val="24"/>
        </w:rPr>
        <w:t>e</w:t>
      </w:r>
      <w:r w:rsidR="008A624D" w:rsidRPr="00E6086A">
        <w:rPr>
          <w:rFonts w:cs="Arial"/>
          <w:szCs w:val="24"/>
        </w:rPr>
        <w:t xml:space="preserve">l orden de elegibilidad y </w:t>
      </w:r>
      <w:r w:rsidR="009831C0" w:rsidRPr="00E6086A">
        <w:rPr>
          <w:rFonts w:cs="Arial"/>
          <w:szCs w:val="24"/>
        </w:rPr>
        <w:t>e</w:t>
      </w:r>
      <w:r w:rsidR="008A624D" w:rsidRPr="00E6086A">
        <w:rPr>
          <w:rFonts w:cs="Arial"/>
          <w:szCs w:val="24"/>
        </w:rPr>
        <w:t>l procedimiento para efectuar la adjudicación.</w:t>
      </w:r>
    </w:p>
    <w:p w:rsidR="008A624D" w:rsidRPr="00E6086A" w:rsidRDefault="008A624D" w:rsidP="009D3798">
      <w:pPr>
        <w:pStyle w:val="Encabezado"/>
        <w:tabs>
          <w:tab w:val="clear" w:pos="4419"/>
          <w:tab w:val="center" w:pos="0"/>
        </w:tabs>
        <w:rPr>
          <w:rFonts w:cs="Arial"/>
          <w:szCs w:val="24"/>
        </w:rPr>
      </w:pPr>
    </w:p>
    <w:p w:rsidR="008A624D" w:rsidRPr="00E6086A" w:rsidRDefault="008A624D" w:rsidP="009D3798">
      <w:pPr>
        <w:pStyle w:val="Encabezado"/>
        <w:tabs>
          <w:tab w:val="clear" w:pos="4419"/>
          <w:tab w:val="center" w:pos="0"/>
        </w:tabs>
        <w:rPr>
          <w:rFonts w:cs="Arial"/>
          <w:szCs w:val="24"/>
        </w:rPr>
      </w:pPr>
      <w:r w:rsidRPr="00E6086A">
        <w:rPr>
          <w:rFonts w:cs="Arial"/>
          <w:szCs w:val="24"/>
        </w:rPr>
        <w:t xml:space="preserve">A </w:t>
      </w:r>
      <w:r w:rsidR="00A44C89" w:rsidRPr="00E6086A">
        <w:rPr>
          <w:rFonts w:cs="Arial"/>
          <w:szCs w:val="24"/>
        </w:rPr>
        <w:t>continuación,</w:t>
      </w:r>
      <w:r w:rsidRPr="00E6086A">
        <w:rPr>
          <w:rFonts w:cs="Arial"/>
          <w:szCs w:val="24"/>
        </w:rPr>
        <w:t xml:space="preserve"> se transcriben los puntos relacionados con los asuntos materia de evaluación y calificación</w:t>
      </w:r>
      <w:r w:rsidR="005E2652" w:rsidRPr="00E6086A">
        <w:rPr>
          <w:rFonts w:cs="Arial"/>
          <w:szCs w:val="24"/>
        </w:rPr>
        <w:t xml:space="preserve"> (se transcribe literal, incluso con posibles errores)</w:t>
      </w:r>
      <w:r w:rsidRPr="00E6086A">
        <w:rPr>
          <w:rFonts w:cs="Arial"/>
          <w:szCs w:val="24"/>
        </w:rPr>
        <w:t>:</w:t>
      </w:r>
    </w:p>
    <w:p w:rsidR="008A624D" w:rsidRPr="00E6086A" w:rsidRDefault="008A624D" w:rsidP="009D3798">
      <w:pPr>
        <w:pStyle w:val="Encabezado"/>
        <w:tabs>
          <w:tab w:val="clear" w:pos="4419"/>
          <w:tab w:val="center" w:pos="0"/>
        </w:tabs>
        <w:rPr>
          <w:rFonts w:cs="Arial"/>
          <w:szCs w:val="24"/>
        </w:rPr>
      </w:pPr>
    </w:p>
    <w:p w:rsidR="008A624D" w:rsidRPr="00E6086A" w:rsidRDefault="008A624D" w:rsidP="009D3798">
      <w:pPr>
        <w:pStyle w:val="Encabezado"/>
        <w:tabs>
          <w:tab w:val="clear" w:pos="4419"/>
          <w:tab w:val="center" w:pos="567"/>
        </w:tabs>
        <w:rPr>
          <w:rFonts w:cs="Arial"/>
          <w:b/>
          <w:i/>
          <w:szCs w:val="24"/>
        </w:rPr>
      </w:pPr>
      <w:r w:rsidRPr="00E6086A">
        <w:rPr>
          <w:rFonts w:cs="Arial"/>
          <w:i/>
          <w:szCs w:val="24"/>
        </w:rPr>
        <w:t>“</w:t>
      </w:r>
      <w:r w:rsidRPr="00E6086A">
        <w:rPr>
          <w:rFonts w:cs="Arial"/>
          <w:b/>
          <w:i/>
          <w:szCs w:val="24"/>
        </w:rPr>
        <w:t>1.10. DOCUMENTOS DE LA PROPUESTA</w:t>
      </w:r>
    </w:p>
    <w:p w:rsidR="009419B3" w:rsidRPr="00E6086A" w:rsidRDefault="009419B3" w:rsidP="009D3798">
      <w:pPr>
        <w:pStyle w:val="Encabezado"/>
        <w:tabs>
          <w:tab w:val="clear" w:pos="4419"/>
          <w:tab w:val="center" w:pos="567"/>
        </w:tabs>
        <w:rPr>
          <w:rFonts w:cs="Arial"/>
          <w:b/>
          <w:i/>
          <w:szCs w:val="24"/>
        </w:rPr>
      </w:pPr>
    </w:p>
    <w:p w:rsidR="008A624D" w:rsidRPr="00E6086A" w:rsidRDefault="005E2652" w:rsidP="009D3798">
      <w:pPr>
        <w:pStyle w:val="Encabezado"/>
        <w:tabs>
          <w:tab w:val="clear" w:pos="4419"/>
          <w:tab w:val="center" w:pos="567"/>
        </w:tabs>
        <w:rPr>
          <w:rFonts w:cs="Arial"/>
          <w:i/>
          <w:szCs w:val="24"/>
        </w:rPr>
      </w:pPr>
      <w:r w:rsidRPr="00E6086A">
        <w:rPr>
          <w:rFonts w:cs="Arial"/>
          <w:i/>
          <w:szCs w:val="24"/>
        </w:rPr>
        <w:t>“</w:t>
      </w:r>
      <w:r w:rsidR="008A624D" w:rsidRPr="00E6086A">
        <w:rPr>
          <w:rFonts w:cs="Arial"/>
          <w:i/>
          <w:szCs w:val="24"/>
        </w:rPr>
        <w:t>(…).</w:t>
      </w:r>
    </w:p>
    <w:p w:rsidR="009419B3" w:rsidRPr="00E6086A" w:rsidRDefault="009419B3" w:rsidP="009D3798">
      <w:pPr>
        <w:pStyle w:val="Encabezado"/>
        <w:tabs>
          <w:tab w:val="clear" w:pos="4419"/>
          <w:tab w:val="center" w:pos="567"/>
        </w:tabs>
        <w:rPr>
          <w:rFonts w:cs="Arial"/>
          <w:b/>
          <w:i/>
          <w:szCs w:val="24"/>
        </w:rPr>
      </w:pPr>
    </w:p>
    <w:p w:rsidR="008A624D" w:rsidRPr="00E6086A" w:rsidRDefault="005E2652" w:rsidP="009D3798">
      <w:pPr>
        <w:pStyle w:val="Encabezado"/>
        <w:tabs>
          <w:tab w:val="clear" w:pos="4419"/>
          <w:tab w:val="center" w:pos="567"/>
        </w:tabs>
        <w:spacing w:line="276" w:lineRule="auto"/>
        <w:rPr>
          <w:rFonts w:cs="Arial"/>
          <w:i/>
          <w:szCs w:val="24"/>
        </w:rPr>
      </w:pPr>
      <w:r w:rsidRPr="00E6086A">
        <w:rPr>
          <w:rFonts w:cs="Arial"/>
          <w:i/>
          <w:szCs w:val="24"/>
        </w:rPr>
        <w:t>“</w:t>
      </w:r>
      <w:r w:rsidR="008A624D" w:rsidRPr="00E6086A">
        <w:rPr>
          <w:rFonts w:cs="Arial"/>
          <w:b/>
          <w:i/>
          <w:szCs w:val="24"/>
        </w:rPr>
        <w:t xml:space="preserve">4. Garantía de seriedad de la propuesta a nombre del MUNICIPIO DE MEDELLÍN </w:t>
      </w:r>
      <w:r w:rsidR="008A624D" w:rsidRPr="00E6086A">
        <w:rPr>
          <w:rFonts w:cs="Arial"/>
          <w:i/>
          <w:szCs w:val="24"/>
        </w:rPr>
        <w:t>por el valor del 10% del valor del presupuesto oficial, con una vigencia de 90 días calendario, contados a partir de la fecha de cierre de la licitación.</w:t>
      </w:r>
    </w:p>
    <w:p w:rsidR="005E2652" w:rsidRPr="00E6086A" w:rsidRDefault="005E2652" w:rsidP="009D3798">
      <w:pPr>
        <w:pStyle w:val="Encabezado"/>
        <w:tabs>
          <w:tab w:val="clear" w:pos="4419"/>
          <w:tab w:val="center" w:pos="567"/>
        </w:tabs>
        <w:spacing w:line="276" w:lineRule="auto"/>
        <w:rPr>
          <w:rFonts w:cs="Arial"/>
          <w:i/>
          <w:szCs w:val="24"/>
        </w:rPr>
      </w:pPr>
    </w:p>
    <w:p w:rsidR="008A624D" w:rsidRPr="00E6086A" w:rsidRDefault="005E2652" w:rsidP="009D3798">
      <w:pPr>
        <w:pStyle w:val="Encabezado"/>
        <w:tabs>
          <w:tab w:val="clear" w:pos="4419"/>
          <w:tab w:val="center" w:pos="567"/>
        </w:tabs>
        <w:spacing w:line="276" w:lineRule="auto"/>
        <w:rPr>
          <w:rFonts w:cs="Arial"/>
          <w:i/>
          <w:szCs w:val="24"/>
        </w:rPr>
      </w:pPr>
      <w:r w:rsidRPr="00E6086A">
        <w:rPr>
          <w:rFonts w:cs="Arial"/>
          <w:i/>
          <w:szCs w:val="24"/>
        </w:rPr>
        <w:t>“</w:t>
      </w:r>
      <w:r w:rsidR="008A624D" w:rsidRPr="00E6086A">
        <w:rPr>
          <w:rFonts w:cs="Arial"/>
          <w:i/>
          <w:szCs w:val="24"/>
        </w:rPr>
        <w:t>Esta garantía podrá consistir en una póliza expedida por compañías de seguros legalmente autorizadas para funcionar en Colombia o en una garantía bancaria.</w:t>
      </w:r>
    </w:p>
    <w:p w:rsidR="008A624D" w:rsidRPr="00E6086A" w:rsidRDefault="008A624D" w:rsidP="009D3798">
      <w:pPr>
        <w:pStyle w:val="Encabezado"/>
        <w:tabs>
          <w:tab w:val="clear" w:pos="4419"/>
          <w:tab w:val="center" w:pos="567"/>
        </w:tabs>
        <w:spacing w:line="276" w:lineRule="auto"/>
        <w:rPr>
          <w:rFonts w:cs="Arial"/>
          <w:i/>
          <w:szCs w:val="24"/>
        </w:rPr>
      </w:pPr>
    </w:p>
    <w:p w:rsidR="008A624D" w:rsidRPr="00E6086A" w:rsidRDefault="005E2652" w:rsidP="009D3798">
      <w:pPr>
        <w:pStyle w:val="Encabezado"/>
        <w:tabs>
          <w:tab w:val="clear" w:pos="4419"/>
          <w:tab w:val="center" w:pos="567"/>
        </w:tabs>
        <w:spacing w:line="276" w:lineRule="auto"/>
        <w:rPr>
          <w:rFonts w:cs="Arial"/>
          <w:b/>
          <w:i/>
          <w:szCs w:val="24"/>
        </w:rPr>
      </w:pPr>
      <w:r w:rsidRPr="00E6086A">
        <w:rPr>
          <w:rFonts w:cs="Arial"/>
          <w:i/>
          <w:szCs w:val="24"/>
        </w:rPr>
        <w:t>“</w:t>
      </w:r>
      <w:r w:rsidR="008A624D" w:rsidRPr="00E6086A">
        <w:rPr>
          <w:rFonts w:cs="Arial"/>
          <w:b/>
          <w:i/>
          <w:szCs w:val="24"/>
        </w:rPr>
        <w:t>El Municipio rechazará las propuestas que presenten la póliza por un valor inferior al solicitado.</w:t>
      </w:r>
    </w:p>
    <w:p w:rsidR="008A624D" w:rsidRPr="00E6086A" w:rsidRDefault="008A624D" w:rsidP="009D3798">
      <w:pPr>
        <w:pStyle w:val="Encabezado"/>
        <w:tabs>
          <w:tab w:val="clear" w:pos="4419"/>
          <w:tab w:val="center" w:pos="567"/>
        </w:tabs>
        <w:spacing w:line="276" w:lineRule="auto"/>
        <w:rPr>
          <w:rFonts w:cs="Arial"/>
          <w:i/>
          <w:szCs w:val="24"/>
        </w:rPr>
      </w:pPr>
    </w:p>
    <w:p w:rsidR="008A624D" w:rsidRPr="00E6086A" w:rsidRDefault="009419B3" w:rsidP="009D3798">
      <w:pPr>
        <w:pStyle w:val="Encabezado"/>
        <w:tabs>
          <w:tab w:val="clear" w:pos="4419"/>
          <w:tab w:val="center" w:pos="567"/>
        </w:tabs>
        <w:spacing w:line="276" w:lineRule="auto"/>
        <w:rPr>
          <w:rFonts w:cs="Arial"/>
          <w:i/>
          <w:szCs w:val="24"/>
        </w:rPr>
      </w:pPr>
      <w:r w:rsidRPr="00E6086A">
        <w:rPr>
          <w:rFonts w:cs="Arial"/>
          <w:i/>
          <w:szCs w:val="24"/>
        </w:rPr>
        <w:t>“</w:t>
      </w:r>
      <w:r w:rsidR="008A624D" w:rsidRPr="00E6086A">
        <w:rPr>
          <w:rFonts w:cs="Arial"/>
          <w:i/>
          <w:szCs w:val="24"/>
        </w:rPr>
        <w:t>El Municipio podrá solicitar la ampliación de la vigencia cuando no cumpla con el periodo solicitado y cuando las necesidades de la administración exijan la ampliación del plazo para adjudicar. También se solicitará corregir la póliza cuando se coloque como beneficiario cualquier entidad diferente a la solicitada.</w:t>
      </w:r>
    </w:p>
    <w:p w:rsidR="008A624D" w:rsidRPr="00E6086A" w:rsidRDefault="008A624D" w:rsidP="009D3798">
      <w:pPr>
        <w:pStyle w:val="Encabezado"/>
        <w:tabs>
          <w:tab w:val="clear" w:pos="4419"/>
          <w:tab w:val="center" w:pos="567"/>
        </w:tabs>
        <w:spacing w:line="276" w:lineRule="auto"/>
        <w:rPr>
          <w:rFonts w:cs="Arial"/>
          <w:i/>
          <w:szCs w:val="24"/>
        </w:rPr>
      </w:pPr>
    </w:p>
    <w:p w:rsidR="008A624D" w:rsidRPr="00E6086A" w:rsidRDefault="008A624D" w:rsidP="009D3798">
      <w:pPr>
        <w:pStyle w:val="Encabezado"/>
        <w:tabs>
          <w:tab w:val="clear" w:pos="4419"/>
          <w:tab w:val="center" w:pos="567"/>
        </w:tabs>
        <w:spacing w:line="276" w:lineRule="auto"/>
        <w:rPr>
          <w:rFonts w:cs="Arial"/>
          <w:i/>
          <w:szCs w:val="24"/>
        </w:rPr>
      </w:pPr>
      <w:r w:rsidRPr="00E6086A">
        <w:rPr>
          <w:rFonts w:cs="Arial"/>
          <w:i/>
          <w:szCs w:val="24"/>
        </w:rPr>
        <w:t xml:space="preserve">“La propuesta tendrá una validez por un término igual al de la garantía de seriedad de la propuesta. </w:t>
      </w:r>
    </w:p>
    <w:p w:rsidR="008A624D" w:rsidRPr="00E6086A" w:rsidRDefault="008A624D" w:rsidP="009D3798">
      <w:pPr>
        <w:pStyle w:val="Encabezado"/>
        <w:tabs>
          <w:tab w:val="clear" w:pos="4419"/>
          <w:tab w:val="center" w:pos="567"/>
        </w:tabs>
        <w:spacing w:line="276" w:lineRule="auto"/>
        <w:rPr>
          <w:rFonts w:cs="Arial"/>
          <w:i/>
          <w:szCs w:val="24"/>
        </w:rPr>
      </w:pPr>
    </w:p>
    <w:p w:rsidR="008A624D" w:rsidRPr="00E6086A" w:rsidRDefault="008A624D" w:rsidP="009D3798">
      <w:pPr>
        <w:pStyle w:val="Encabezado"/>
        <w:tabs>
          <w:tab w:val="clear" w:pos="4419"/>
          <w:tab w:val="center" w:pos="567"/>
        </w:tabs>
        <w:spacing w:line="276" w:lineRule="auto"/>
        <w:rPr>
          <w:rFonts w:cs="Arial"/>
          <w:i/>
          <w:szCs w:val="24"/>
        </w:rPr>
      </w:pPr>
      <w:r w:rsidRPr="00E6086A">
        <w:rPr>
          <w:rFonts w:cs="Arial"/>
          <w:i/>
          <w:szCs w:val="24"/>
        </w:rPr>
        <w:t>“Al proponente favorecido se le devolverá la garantía de seriedad de la pro</w:t>
      </w:r>
      <w:r w:rsidR="009419B3" w:rsidRPr="00E6086A">
        <w:rPr>
          <w:rFonts w:cs="Arial"/>
          <w:i/>
          <w:szCs w:val="24"/>
        </w:rPr>
        <w:t>p</w:t>
      </w:r>
      <w:r w:rsidRPr="00E6086A">
        <w:rPr>
          <w:rFonts w:cs="Arial"/>
          <w:i/>
          <w:szCs w:val="24"/>
        </w:rPr>
        <w:t xml:space="preserve">uesta cuando esté perfeccionado el contrato; a quienes quedasen en segundo y tercer lugar se les devolverá tres meses después de la adjudicación o al perfeccionarse el contrato si ello ocurre antes, a menos que manifiesten no tener interés en la </w:t>
      </w:r>
      <w:r w:rsidRPr="00E6086A">
        <w:rPr>
          <w:rFonts w:cs="Arial"/>
          <w:i/>
          <w:szCs w:val="24"/>
        </w:rPr>
        <w:lastRenderedPageBreak/>
        <w:t>adjudicación. A los demás proponentes dentro de los cinco (5) días siguientes a la adjudicación”.</w:t>
      </w:r>
    </w:p>
    <w:p w:rsidR="008A624D" w:rsidRPr="00E6086A" w:rsidRDefault="008A624D" w:rsidP="009D3798">
      <w:pPr>
        <w:pStyle w:val="Encabezado"/>
        <w:tabs>
          <w:tab w:val="clear" w:pos="4419"/>
          <w:tab w:val="center" w:pos="567"/>
        </w:tabs>
        <w:spacing w:line="276" w:lineRule="auto"/>
        <w:rPr>
          <w:rFonts w:cs="Arial"/>
          <w:b/>
          <w:i/>
          <w:szCs w:val="24"/>
        </w:rPr>
      </w:pPr>
    </w:p>
    <w:p w:rsidR="008A624D" w:rsidRPr="00E6086A" w:rsidRDefault="008A624D" w:rsidP="009D3798">
      <w:pPr>
        <w:pStyle w:val="Encabezado"/>
        <w:tabs>
          <w:tab w:val="clear" w:pos="4419"/>
          <w:tab w:val="center" w:pos="567"/>
        </w:tabs>
        <w:spacing w:line="276" w:lineRule="auto"/>
        <w:rPr>
          <w:rFonts w:cs="Arial"/>
          <w:i/>
          <w:szCs w:val="24"/>
        </w:rPr>
      </w:pPr>
      <w:r w:rsidRPr="00E6086A">
        <w:rPr>
          <w:rFonts w:cs="Arial"/>
          <w:i/>
          <w:szCs w:val="24"/>
        </w:rPr>
        <w:t>“(…).</w:t>
      </w:r>
    </w:p>
    <w:p w:rsidR="008A624D" w:rsidRPr="00E6086A" w:rsidRDefault="008A624D" w:rsidP="009D3798">
      <w:pPr>
        <w:pStyle w:val="Encabezado"/>
        <w:tabs>
          <w:tab w:val="clear" w:pos="4419"/>
          <w:tab w:val="center" w:pos="567"/>
        </w:tabs>
        <w:spacing w:line="276" w:lineRule="auto"/>
        <w:rPr>
          <w:rFonts w:cs="Arial"/>
          <w:b/>
          <w:i/>
          <w:szCs w:val="24"/>
        </w:rPr>
      </w:pPr>
    </w:p>
    <w:p w:rsidR="008A624D" w:rsidRPr="00E6086A" w:rsidRDefault="008A624D" w:rsidP="009D3798">
      <w:pPr>
        <w:pStyle w:val="Encabezado"/>
        <w:tabs>
          <w:tab w:val="clear" w:pos="4419"/>
          <w:tab w:val="center" w:pos="567"/>
        </w:tabs>
        <w:spacing w:line="276" w:lineRule="auto"/>
        <w:rPr>
          <w:rFonts w:cs="Arial"/>
          <w:i/>
          <w:szCs w:val="24"/>
        </w:rPr>
      </w:pPr>
      <w:r w:rsidRPr="00E6086A">
        <w:rPr>
          <w:rFonts w:cs="Arial"/>
          <w:i/>
          <w:szCs w:val="24"/>
        </w:rPr>
        <w:t>“El Municipio se reserva la facultad de requerir al proponente para que subsane las informalidades en que incurra en la anterior documentación,</w:t>
      </w:r>
      <w:r w:rsidRPr="00E6086A">
        <w:rPr>
          <w:rFonts w:cs="Arial"/>
          <w:b/>
          <w:i/>
          <w:szCs w:val="24"/>
        </w:rPr>
        <w:t xml:space="preserve"> siempre y cuando no se trate de los documentos referidos en los dos numerales siguientes</w:t>
      </w:r>
      <w:r w:rsidRPr="00E6086A">
        <w:rPr>
          <w:rFonts w:cs="Arial"/>
          <w:i/>
          <w:szCs w:val="24"/>
        </w:rPr>
        <w:t>:</w:t>
      </w:r>
    </w:p>
    <w:p w:rsidR="005E2652" w:rsidRPr="00E6086A" w:rsidRDefault="005E2652" w:rsidP="009D3798">
      <w:pPr>
        <w:pStyle w:val="Encabezado"/>
        <w:tabs>
          <w:tab w:val="clear" w:pos="4419"/>
          <w:tab w:val="center" w:pos="567"/>
        </w:tabs>
        <w:spacing w:line="276" w:lineRule="auto"/>
        <w:rPr>
          <w:rFonts w:cs="Arial"/>
          <w:i/>
          <w:szCs w:val="24"/>
        </w:rPr>
      </w:pPr>
    </w:p>
    <w:p w:rsidR="008A624D" w:rsidRPr="00E6086A" w:rsidRDefault="005E2652" w:rsidP="009D3798">
      <w:pPr>
        <w:pStyle w:val="Encabezado"/>
        <w:tabs>
          <w:tab w:val="clear" w:pos="4419"/>
          <w:tab w:val="center" w:pos="567"/>
        </w:tabs>
        <w:spacing w:line="276" w:lineRule="auto"/>
        <w:rPr>
          <w:rFonts w:cs="Arial"/>
          <w:i/>
          <w:szCs w:val="24"/>
        </w:rPr>
      </w:pPr>
      <w:r w:rsidRPr="00E6086A">
        <w:rPr>
          <w:rFonts w:cs="Arial"/>
          <w:i/>
          <w:szCs w:val="24"/>
        </w:rPr>
        <w:t>“</w:t>
      </w:r>
      <w:r w:rsidR="008A624D" w:rsidRPr="00E6086A">
        <w:rPr>
          <w:rFonts w:cs="Arial"/>
          <w:b/>
          <w:i/>
          <w:szCs w:val="24"/>
        </w:rPr>
        <w:t>1. Los referidos a la experiencia específica</w:t>
      </w:r>
      <w:r w:rsidR="008A624D" w:rsidRPr="00E6086A">
        <w:rPr>
          <w:rFonts w:cs="Arial"/>
          <w:i/>
          <w:szCs w:val="24"/>
        </w:rPr>
        <w:t xml:space="preserve">, sobre los cuales únicamente se solicitará las aclaraciones sobre los datos presentados en las certificaciones anexadas con la propuesta. </w:t>
      </w:r>
    </w:p>
    <w:p w:rsidR="005E2652" w:rsidRPr="00E6086A" w:rsidRDefault="005E2652" w:rsidP="009D3798">
      <w:pPr>
        <w:pStyle w:val="Encabezado"/>
        <w:tabs>
          <w:tab w:val="clear" w:pos="4419"/>
          <w:tab w:val="center" w:pos="567"/>
        </w:tabs>
        <w:spacing w:line="276" w:lineRule="auto"/>
        <w:rPr>
          <w:rFonts w:cs="Arial"/>
          <w:i/>
          <w:szCs w:val="24"/>
        </w:rPr>
      </w:pPr>
    </w:p>
    <w:p w:rsidR="008A624D" w:rsidRPr="00E6086A" w:rsidRDefault="005E2652" w:rsidP="009D3798">
      <w:pPr>
        <w:pStyle w:val="Encabezado"/>
        <w:tabs>
          <w:tab w:val="clear" w:pos="4419"/>
          <w:tab w:val="center" w:pos="567"/>
        </w:tabs>
        <w:spacing w:line="276" w:lineRule="auto"/>
        <w:rPr>
          <w:rFonts w:cs="Arial"/>
          <w:i/>
          <w:szCs w:val="24"/>
        </w:rPr>
      </w:pPr>
      <w:r w:rsidRPr="00E6086A">
        <w:rPr>
          <w:rFonts w:cs="Arial"/>
          <w:i/>
          <w:szCs w:val="24"/>
        </w:rPr>
        <w:t>“</w:t>
      </w:r>
      <w:r w:rsidR="008A624D" w:rsidRPr="00E6086A">
        <w:rPr>
          <w:rFonts w:cs="Arial"/>
          <w:b/>
          <w:i/>
          <w:szCs w:val="24"/>
        </w:rPr>
        <w:t>2. Los documentos de carácter esencial para la comparación de propuestas, definidos a continuación:</w:t>
      </w:r>
    </w:p>
    <w:p w:rsidR="005E2652" w:rsidRPr="00E6086A" w:rsidRDefault="005E2652" w:rsidP="009D3798">
      <w:pPr>
        <w:pStyle w:val="Encabezado"/>
        <w:tabs>
          <w:tab w:val="clear" w:pos="4419"/>
          <w:tab w:val="clear" w:pos="8838"/>
          <w:tab w:val="center" w:pos="567"/>
        </w:tabs>
        <w:spacing w:line="276" w:lineRule="auto"/>
        <w:rPr>
          <w:rFonts w:cs="Arial"/>
          <w:i/>
          <w:szCs w:val="24"/>
        </w:rPr>
      </w:pPr>
    </w:p>
    <w:p w:rsidR="005E2652" w:rsidRPr="00E6086A" w:rsidRDefault="005E2652" w:rsidP="009D3798">
      <w:pPr>
        <w:pStyle w:val="Encabezado"/>
        <w:numPr>
          <w:ilvl w:val="0"/>
          <w:numId w:val="32"/>
        </w:numPr>
        <w:tabs>
          <w:tab w:val="clear" w:pos="4419"/>
          <w:tab w:val="clear" w:pos="8838"/>
          <w:tab w:val="center" w:pos="567"/>
        </w:tabs>
        <w:spacing w:line="276" w:lineRule="auto"/>
        <w:ind w:left="0" w:firstLine="0"/>
        <w:rPr>
          <w:rFonts w:cs="Arial"/>
          <w:i/>
          <w:szCs w:val="24"/>
        </w:rPr>
      </w:pPr>
      <w:r w:rsidRPr="00E6086A">
        <w:rPr>
          <w:rFonts w:cs="Arial"/>
          <w:i/>
          <w:szCs w:val="24"/>
        </w:rPr>
        <w:t>“</w:t>
      </w:r>
      <w:r w:rsidR="009419B3" w:rsidRPr="00E6086A">
        <w:rPr>
          <w:rFonts w:cs="Arial"/>
          <w:i/>
          <w:szCs w:val="24"/>
        </w:rPr>
        <w:t xml:space="preserve"> </w:t>
      </w:r>
      <w:r w:rsidR="008A624D" w:rsidRPr="00E6086A">
        <w:rPr>
          <w:rFonts w:cs="Arial"/>
          <w:i/>
          <w:szCs w:val="24"/>
        </w:rPr>
        <w:t>La autorización de la junta para presenta propuesta y para celebrar el contrato, a las personas jurídicas que de acuerdo con lo expresamente manifestado en el certificado de la Cámara de Comercio la requieren.</w:t>
      </w:r>
    </w:p>
    <w:p w:rsidR="009419B3" w:rsidRPr="00E6086A" w:rsidRDefault="009419B3" w:rsidP="009D3798">
      <w:pPr>
        <w:pStyle w:val="Encabezado"/>
        <w:tabs>
          <w:tab w:val="clear" w:pos="4419"/>
          <w:tab w:val="clear" w:pos="8838"/>
          <w:tab w:val="center" w:pos="567"/>
        </w:tabs>
        <w:spacing w:line="276" w:lineRule="auto"/>
        <w:rPr>
          <w:rFonts w:cs="Arial"/>
          <w:i/>
          <w:szCs w:val="24"/>
        </w:rPr>
      </w:pPr>
    </w:p>
    <w:p w:rsidR="009419B3" w:rsidRPr="00E6086A" w:rsidRDefault="005E2652" w:rsidP="009D3798">
      <w:pPr>
        <w:pStyle w:val="Encabezado"/>
        <w:numPr>
          <w:ilvl w:val="0"/>
          <w:numId w:val="31"/>
        </w:numPr>
        <w:tabs>
          <w:tab w:val="clear" w:pos="4419"/>
          <w:tab w:val="clear" w:pos="8838"/>
          <w:tab w:val="center" w:pos="567"/>
        </w:tabs>
        <w:spacing w:line="276" w:lineRule="auto"/>
        <w:ind w:left="0" w:firstLine="0"/>
        <w:rPr>
          <w:rFonts w:cs="Arial"/>
          <w:i/>
          <w:szCs w:val="24"/>
        </w:rPr>
      </w:pPr>
      <w:r w:rsidRPr="00E6086A">
        <w:rPr>
          <w:rFonts w:cs="Arial"/>
          <w:i/>
          <w:szCs w:val="24"/>
        </w:rPr>
        <w:t>“</w:t>
      </w:r>
      <w:r w:rsidR="009419B3" w:rsidRPr="00E6086A">
        <w:rPr>
          <w:rFonts w:cs="Arial"/>
          <w:i/>
          <w:szCs w:val="24"/>
        </w:rPr>
        <w:t xml:space="preserve"> </w:t>
      </w:r>
      <w:r w:rsidR="008A624D" w:rsidRPr="00E6086A">
        <w:rPr>
          <w:rFonts w:cs="Arial"/>
          <w:i/>
          <w:szCs w:val="24"/>
        </w:rPr>
        <w:t>Garantía de seriedad de la propuesta por el valor mínimo solicitado.</w:t>
      </w:r>
    </w:p>
    <w:p w:rsidR="008A624D" w:rsidRPr="00E6086A" w:rsidRDefault="009419B3" w:rsidP="009D3798">
      <w:pPr>
        <w:pStyle w:val="Encabezado"/>
        <w:numPr>
          <w:ilvl w:val="0"/>
          <w:numId w:val="31"/>
        </w:numPr>
        <w:tabs>
          <w:tab w:val="clear" w:pos="4419"/>
          <w:tab w:val="clear" w:pos="8838"/>
          <w:tab w:val="center" w:pos="567"/>
        </w:tabs>
        <w:spacing w:line="276" w:lineRule="auto"/>
        <w:ind w:left="0" w:firstLine="0"/>
        <w:rPr>
          <w:rFonts w:cs="Arial"/>
          <w:i/>
          <w:szCs w:val="24"/>
        </w:rPr>
      </w:pPr>
      <w:r w:rsidRPr="00E6086A">
        <w:rPr>
          <w:rFonts w:cs="Arial"/>
          <w:i/>
          <w:szCs w:val="24"/>
        </w:rPr>
        <w:t>“</w:t>
      </w:r>
      <w:r w:rsidR="008A624D" w:rsidRPr="00E6086A">
        <w:rPr>
          <w:rFonts w:cs="Arial"/>
          <w:i/>
          <w:szCs w:val="24"/>
        </w:rPr>
        <w:t>El formulario de cantidades de obra con todos los valores unitarios”.</w:t>
      </w:r>
    </w:p>
    <w:p w:rsidR="009419B3" w:rsidRPr="00E6086A" w:rsidRDefault="009419B3" w:rsidP="009D3798">
      <w:pPr>
        <w:pStyle w:val="Encabezado"/>
        <w:tabs>
          <w:tab w:val="clear" w:pos="4419"/>
          <w:tab w:val="center" w:pos="567"/>
        </w:tabs>
        <w:spacing w:line="276" w:lineRule="auto"/>
        <w:rPr>
          <w:rFonts w:cs="Arial"/>
          <w:b/>
          <w:i/>
          <w:szCs w:val="24"/>
        </w:rPr>
      </w:pPr>
    </w:p>
    <w:p w:rsidR="008A624D" w:rsidRPr="00E6086A" w:rsidRDefault="009419B3" w:rsidP="009D3798">
      <w:pPr>
        <w:pStyle w:val="Encabezado"/>
        <w:tabs>
          <w:tab w:val="clear" w:pos="4419"/>
          <w:tab w:val="center" w:pos="567"/>
        </w:tabs>
        <w:spacing w:line="276" w:lineRule="auto"/>
        <w:rPr>
          <w:rFonts w:cs="Arial"/>
          <w:i/>
          <w:szCs w:val="24"/>
        </w:rPr>
      </w:pPr>
      <w:r w:rsidRPr="00E6086A">
        <w:rPr>
          <w:rFonts w:cs="Arial"/>
          <w:i/>
          <w:szCs w:val="24"/>
        </w:rPr>
        <w:t>“</w:t>
      </w:r>
      <w:r w:rsidR="008A624D" w:rsidRPr="00E6086A">
        <w:rPr>
          <w:rFonts w:cs="Arial"/>
          <w:i/>
          <w:szCs w:val="24"/>
        </w:rPr>
        <w:t>(…)</w:t>
      </w:r>
      <w:r w:rsidRPr="00E6086A">
        <w:rPr>
          <w:rFonts w:cs="Arial"/>
          <w:i/>
          <w:szCs w:val="24"/>
        </w:rPr>
        <w:t>.</w:t>
      </w:r>
    </w:p>
    <w:p w:rsidR="009419B3" w:rsidRPr="00E6086A" w:rsidRDefault="009419B3" w:rsidP="009D3798">
      <w:pPr>
        <w:pStyle w:val="Encabezado"/>
        <w:tabs>
          <w:tab w:val="clear" w:pos="4419"/>
          <w:tab w:val="center" w:pos="567"/>
        </w:tabs>
        <w:spacing w:line="276" w:lineRule="auto"/>
        <w:rPr>
          <w:rFonts w:cs="Arial"/>
          <w:i/>
          <w:szCs w:val="24"/>
        </w:rPr>
      </w:pPr>
    </w:p>
    <w:p w:rsidR="008A624D" w:rsidRPr="00E6086A" w:rsidRDefault="009419B3" w:rsidP="009D3798">
      <w:pPr>
        <w:pStyle w:val="Encabezado"/>
        <w:tabs>
          <w:tab w:val="clear" w:pos="4419"/>
          <w:tab w:val="center" w:pos="567"/>
        </w:tabs>
        <w:spacing w:line="276" w:lineRule="auto"/>
        <w:rPr>
          <w:rFonts w:cs="Arial"/>
          <w:b/>
          <w:i/>
          <w:szCs w:val="24"/>
        </w:rPr>
      </w:pPr>
      <w:r w:rsidRPr="00E6086A">
        <w:rPr>
          <w:rFonts w:cs="Arial"/>
          <w:i/>
          <w:szCs w:val="24"/>
        </w:rPr>
        <w:t>“</w:t>
      </w:r>
      <w:r w:rsidR="008A624D" w:rsidRPr="00E6086A">
        <w:rPr>
          <w:rFonts w:cs="Arial"/>
          <w:b/>
          <w:i/>
          <w:szCs w:val="24"/>
        </w:rPr>
        <w:t>1.18. RECHAZO Y ELIMINACIÓN DE PROPUESTAS</w:t>
      </w:r>
    </w:p>
    <w:p w:rsidR="009419B3" w:rsidRPr="00E6086A" w:rsidRDefault="009419B3" w:rsidP="009D3798">
      <w:pPr>
        <w:pStyle w:val="Encabezado"/>
        <w:tabs>
          <w:tab w:val="clear" w:pos="4419"/>
          <w:tab w:val="center" w:pos="567"/>
        </w:tabs>
        <w:spacing w:line="276" w:lineRule="auto"/>
        <w:rPr>
          <w:rFonts w:cs="Arial"/>
          <w:i/>
          <w:szCs w:val="24"/>
        </w:rPr>
      </w:pPr>
    </w:p>
    <w:p w:rsidR="008A624D" w:rsidRPr="00E6086A" w:rsidRDefault="009419B3" w:rsidP="009D3798">
      <w:pPr>
        <w:pStyle w:val="Encabezado"/>
        <w:tabs>
          <w:tab w:val="clear" w:pos="4419"/>
          <w:tab w:val="center" w:pos="567"/>
        </w:tabs>
        <w:spacing w:line="276" w:lineRule="auto"/>
        <w:rPr>
          <w:rFonts w:cs="Arial"/>
          <w:i/>
          <w:szCs w:val="24"/>
        </w:rPr>
      </w:pPr>
      <w:r w:rsidRPr="00E6086A">
        <w:rPr>
          <w:rFonts w:cs="Arial"/>
          <w:i/>
          <w:szCs w:val="24"/>
        </w:rPr>
        <w:t>“</w:t>
      </w:r>
      <w:r w:rsidR="008A624D" w:rsidRPr="00E6086A">
        <w:rPr>
          <w:rFonts w:cs="Arial"/>
          <w:i/>
          <w:szCs w:val="24"/>
        </w:rPr>
        <w:t>El municipio de Medellín rechazará y eliminará las propuestas, sin evaluarlas, en cualquiera de los siguientes casos.</w:t>
      </w:r>
    </w:p>
    <w:p w:rsidR="009419B3" w:rsidRPr="00E6086A" w:rsidRDefault="009419B3" w:rsidP="009D3798">
      <w:pPr>
        <w:pStyle w:val="Encabezado"/>
        <w:tabs>
          <w:tab w:val="clear" w:pos="4419"/>
          <w:tab w:val="center" w:pos="567"/>
        </w:tabs>
        <w:spacing w:line="276" w:lineRule="auto"/>
        <w:rPr>
          <w:rFonts w:cs="Arial"/>
          <w:i/>
          <w:szCs w:val="24"/>
        </w:rPr>
      </w:pPr>
    </w:p>
    <w:p w:rsidR="008A624D" w:rsidRPr="00E6086A" w:rsidRDefault="009419B3" w:rsidP="009D3798">
      <w:pPr>
        <w:pStyle w:val="Encabezado"/>
        <w:tabs>
          <w:tab w:val="clear" w:pos="4419"/>
          <w:tab w:val="center" w:pos="567"/>
        </w:tabs>
        <w:spacing w:line="276" w:lineRule="auto"/>
        <w:rPr>
          <w:rFonts w:cs="Arial"/>
          <w:i/>
          <w:szCs w:val="24"/>
        </w:rPr>
      </w:pPr>
      <w:r w:rsidRPr="00E6086A">
        <w:rPr>
          <w:rFonts w:cs="Arial"/>
          <w:i/>
          <w:szCs w:val="24"/>
        </w:rPr>
        <w:t>“</w:t>
      </w:r>
      <w:r w:rsidR="008A624D" w:rsidRPr="00E6086A">
        <w:rPr>
          <w:rFonts w:cs="Arial"/>
          <w:i/>
          <w:szCs w:val="24"/>
        </w:rPr>
        <w:t>1. Cuando en las propuestas se omita colocar, en el documentos de cantidades de obra, el valor unitario de cualquiera de los ítems en él estipulados.</w:t>
      </w:r>
    </w:p>
    <w:p w:rsidR="009419B3" w:rsidRPr="00E6086A" w:rsidRDefault="009419B3" w:rsidP="009D3798">
      <w:pPr>
        <w:pStyle w:val="Encabezado"/>
        <w:tabs>
          <w:tab w:val="clear" w:pos="4419"/>
          <w:tab w:val="center" w:pos="567"/>
        </w:tabs>
        <w:spacing w:line="276" w:lineRule="auto"/>
        <w:rPr>
          <w:rFonts w:cs="Arial"/>
          <w:i/>
          <w:szCs w:val="24"/>
        </w:rPr>
      </w:pPr>
    </w:p>
    <w:p w:rsidR="008A624D" w:rsidRPr="00E6086A" w:rsidRDefault="009419B3" w:rsidP="009D3798">
      <w:pPr>
        <w:pStyle w:val="Encabezado"/>
        <w:tabs>
          <w:tab w:val="clear" w:pos="4419"/>
          <w:tab w:val="center" w:pos="567"/>
        </w:tabs>
        <w:spacing w:line="276" w:lineRule="auto"/>
        <w:rPr>
          <w:rFonts w:cs="Arial"/>
          <w:i/>
          <w:szCs w:val="24"/>
        </w:rPr>
      </w:pPr>
      <w:r w:rsidRPr="00E6086A">
        <w:rPr>
          <w:rFonts w:cs="Arial"/>
          <w:i/>
          <w:szCs w:val="24"/>
        </w:rPr>
        <w:t>“</w:t>
      </w:r>
      <w:r w:rsidR="008A624D" w:rsidRPr="00E6086A">
        <w:rPr>
          <w:rFonts w:cs="Arial"/>
          <w:i/>
          <w:szCs w:val="24"/>
        </w:rPr>
        <w:t>(…)</w:t>
      </w:r>
      <w:r w:rsidR="00EE1972" w:rsidRPr="00E6086A">
        <w:rPr>
          <w:rFonts w:cs="Arial"/>
          <w:i/>
          <w:szCs w:val="24"/>
        </w:rPr>
        <w:t>.</w:t>
      </w:r>
    </w:p>
    <w:p w:rsidR="009419B3" w:rsidRPr="00E6086A" w:rsidRDefault="009419B3" w:rsidP="009D3798">
      <w:pPr>
        <w:pStyle w:val="Encabezado"/>
        <w:tabs>
          <w:tab w:val="clear" w:pos="4419"/>
          <w:tab w:val="center" w:pos="567"/>
        </w:tabs>
        <w:spacing w:line="276" w:lineRule="auto"/>
        <w:rPr>
          <w:rFonts w:cs="Arial"/>
          <w:i/>
          <w:szCs w:val="24"/>
        </w:rPr>
      </w:pPr>
    </w:p>
    <w:p w:rsidR="008A624D" w:rsidRPr="00E6086A" w:rsidRDefault="009419B3" w:rsidP="009D3798">
      <w:pPr>
        <w:pStyle w:val="Encabezado"/>
        <w:tabs>
          <w:tab w:val="clear" w:pos="4419"/>
          <w:tab w:val="center" w:pos="567"/>
        </w:tabs>
        <w:spacing w:line="276" w:lineRule="auto"/>
        <w:rPr>
          <w:rFonts w:cs="Arial"/>
          <w:i/>
          <w:szCs w:val="24"/>
        </w:rPr>
      </w:pPr>
      <w:r w:rsidRPr="00E6086A">
        <w:rPr>
          <w:rFonts w:cs="Arial"/>
          <w:i/>
          <w:szCs w:val="24"/>
        </w:rPr>
        <w:t>“</w:t>
      </w:r>
      <w:r w:rsidR="008A624D" w:rsidRPr="00E6086A">
        <w:rPr>
          <w:rFonts w:cs="Arial"/>
          <w:i/>
          <w:szCs w:val="24"/>
        </w:rPr>
        <w:t>3. Cuando la propuesta esté incompleta en cuanto a que no se cumple con la documentación de carácter esencial para la comparación de propuestas</w:t>
      </w:r>
      <w:r w:rsidRPr="00E6086A">
        <w:rPr>
          <w:rFonts w:cs="Arial"/>
          <w:i/>
          <w:szCs w:val="24"/>
        </w:rPr>
        <w:t xml:space="preserve">” </w:t>
      </w:r>
      <w:r w:rsidRPr="00E6086A">
        <w:rPr>
          <w:rFonts w:cs="Arial"/>
          <w:szCs w:val="24"/>
        </w:rPr>
        <w:t>(las negrillas son del texto original)</w:t>
      </w:r>
      <w:r w:rsidR="008A624D" w:rsidRPr="00E6086A">
        <w:rPr>
          <w:rFonts w:cs="Arial"/>
          <w:szCs w:val="24"/>
        </w:rPr>
        <w:t>.</w:t>
      </w:r>
    </w:p>
    <w:p w:rsidR="00BB1E99" w:rsidRPr="00E6086A" w:rsidRDefault="00BB1E99" w:rsidP="009D3798">
      <w:pPr>
        <w:pStyle w:val="Encabezado"/>
        <w:tabs>
          <w:tab w:val="clear" w:pos="4419"/>
          <w:tab w:val="center" w:pos="0"/>
        </w:tabs>
        <w:rPr>
          <w:rFonts w:cs="Arial"/>
          <w:b/>
          <w:szCs w:val="24"/>
        </w:rPr>
      </w:pPr>
    </w:p>
    <w:p w:rsidR="00001E9E" w:rsidRPr="00E6086A" w:rsidRDefault="009419B3" w:rsidP="009D3798">
      <w:pPr>
        <w:pStyle w:val="Encabezado"/>
        <w:tabs>
          <w:tab w:val="clear" w:pos="4419"/>
          <w:tab w:val="center" w:pos="0"/>
        </w:tabs>
        <w:rPr>
          <w:rFonts w:cs="Arial"/>
          <w:szCs w:val="24"/>
        </w:rPr>
      </w:pPr>
      <w:r w:rsidRPr="00E6086A">
        <w:rPr>
          <w:rFonts w:cs="Arial"/>
          <w:b/>
          <w:szCs w:val="24"/>
        </w:rPr>
        <w:t xml:space="preserve">5.1.2. </w:t>
      </w:r>
      <w:r w:rsidR="00E418CC" w:rsidRPr="00E6086A">
        <w:rPr>
          <w:rFonts w:cs="Arial"/>
          <w:szCs w:val="24"/>
        </w:rPr>
        <w:t xml:space="preserve">Para </w:t>
      </w:r>
      <w:r w:rsidRPr="00E6086A">
        <w:rPr>
          <w:rFonts w:cs="Arial"/>
          <w:szCs w:val="24"/>
        </w:rPr>
        <w:t xml:space="preserve">completar la descripción de esta prueba y </w:t>
      </w:r>
      <w:r w:rsidR="00E418CC" w:rsidRPr="00E6086A">
        <w:rPr>
          <w:rFonts w:cs="Arial"/>
          <w:szCs w:val="24"/>
        </w:rPr>
        <w:t>el entendimiento del debate</w:t>
      </w:r>
      <w:r w:rsidR="00F64BCF" w:rsidRPr="00E6086A">
        <w:rPr>
          <w:rFonts w:cs="Arial"/>
          <w:szCs w:val="24"/>
        </w:rPr>
        <w:t xml:space="preserve"> que se </w:t>
      </w:r>
      <w:r w:rsidR="009E06A0" w:rsidRPr="00E6086A">
        <w:rPr>
          <w:rFonts w:cs="Arial"/>
          <w:szCs w:val="24"/>
        </w:rPr>
        <w:t xml:space="preserve">suscitó </w:t>
      </w:r>
      <w:r w:rsidR="00F64BCF" w:rsidRPr="00E6086A">
        <w:rPr>
          <w:rFonts w:cs="Arial"/>
          <w:szCs w:val="24"/>
        </w:rPr>
        <w:t>en la licitación pública</w:t>
      </w:r>
      <w:r w:rsidRPr="00E6086A">
        <w:rPr>
          <w:rFonts w:cs="Arial"/>
          <w:szCs w:val="24"/>
        </w:rPr>
        <w:t>,</w:t>
      </w:r>
      <w:r w:rsidR="009E06A0" w:rsidRPr="00E6086A">
        <w:rPr>
          <w:rFonts w:cs="Arial"/>
          <w:szCs w:val="24"/>
        </w:rPr>
        <w:t xml:space="preserve"> que ahora </w:t>
      </w:r>
      <w:r w:rsidR="00001E9E" w:rsidRPr="00E6086A">
        <w:rPr>
          <w:rFonts w:cs="Arial"/>
          <w:szCs w:val="24"/>
        </w:rPr>
        <w:t xml:space="preserve">es materia de </w:t>
      </w:r>
      <w:r w:rsidR="009E06A0" w:rsidRPr="00E6086A">
        <w:rPr>
          <w:rFonts w:cs="Arial"/>
          <w:szCs w:val="24"/>
        </w:rPr>
        <w:t xml:space="preserve">este proceso, </w:t>
      </w:r>
      <w:r w:rsidR="00E418CC" w:rsidRPr="00E6086A">
        <w:rPr>
          <w:rFonts w:cs="Arial"/>
          <w:szCs w:val="24"/>
        </w:rPr>
        <w:t xml:space="preserve">es preciso </w:t>
      </w:r>
      <w:r w:rsidR="00F64BCF" w:rsidRPr="00E6086A">
        <w:rPr>
          <w:rFonts w:cs="Arial"/>
          <w:szCs w:val="24"/>
        </w:rPr>
        <w:t>hacer una síntesis del contenido d</w:t>
      </w:r>
      <w:r w:rsidR="00E418CC" w:rsidRPr="00E6086A">
        <w:rPr>
          <w:rFonts w:cs="Arial"/>
          <w:szCs w:val="24"/>
        </w:rPr>
        <w:t>el pliego de condiciones</w:t>
      </w:r>
      <w:r w:rsidR="009E06A0" w:rsidRPr="00E6086A">
        <w:rPr>
          <w:rFonts w:cs="Arial"/>
          <w:szCs w:val="24"/>
        </w:rPr>
        <w:t xml:space="preserve">, en cuanto al aspecto de la calificación de las propuestas. </w:t>
      </w:r>
    </w:p>
    <w:p w:rsidR="00001E9E" w:rsidRPr="00E6086A" w:rsidRDefault="00001E9E" w:rsidP="009D3798">
      <w:pPr>
        <w:pStyle w:val="Encabezado"/>
        <w:tabs>
          <w:tab w:val="clear" w:pos="4419"/>
          <w:tab w:val="center" w:pos="0"/>
        </w:tabs>
        <w:rPr>
          <w:rFonts w:cs="Arial"/>
          <w:szCs w:val="24"/>
        </w:rPr>
      </w:pPr>
    </w:p>
    <w:p w:rsidR="00EB3234" w:rsidRPr="00E6086A" w:rsidRDefault="009E06A0" w:rsidP="009D3798">
      <w:pPr>
        <w:pStyle w:val="Encabezado"/>
        <w:tabs>
          <w:tab w:val="clear" w:pos="4419"/>
          <w:tab w:val="center" w:pos="0"/>
        </w:tabs>
        <w:rPr>
          <w:rFonts w:cs="Arial"/>
          <w:szCs w:val="24"/>
        </w:rPr>
      </w:pPr>
      <w:r w:rsidRPr="00E6086A">
        <w:rPr>
          <w:rFonts w:cs="Arial"/>
          <w:szCs w:val="24"/>
        </w:rPr>
        <w:t xml:space="preserve">El pliego </w:t>
      </w:r>
      <w:r w:rsidR="00001E9E" w:rsidRPr="00E6086A">
        <w:rPr>
          <w:rFonts w:cs="Arial"/>
          <w:szCs w:val="24"/>
        </w:rPr>
        <w:t xml:space="preserve">de condiciones </w:t>
      </w:r>
      <w:r w:rsidR="00E418CC" w:rsidRPr="00E6086A">
        <w:rPr>
          <w:rFonts w:cs="Arial"/>
          <w:szCs w:val="24"/>
        </w:rPr>
        <w:t xml:space="preserve">estableció la adjudicación a la mejor propuesta determinada por la </w:t>
      </w:r>
      <w:r w:rsidR="004D1CA1" w:rsidRPr="00E6086A">
        <w:rPr>
          <w:rFonts w:cs="Arial"/>
          <w:szCs w:val="24"/>
        </w:rPr>
        <w:t>calificación sobre un total de 1000 puntos, distribuidos en los</w:t>
      </w:r>
      <w:r w:rsidR="00E418CC" w:rsidRPr="00E6086A">
        <w:rPr>
          <w:rFonts w:cs="Arial"/>
          <w:szCs w:val="24"/>
        </w:rPr>
        <w:t xml:space="preserve"> </w:t>
      </w:r>
      <w:r w:rsidR="00760665" w:rsidRPr="00E6086A">
        <w:rPr>
          <w:rFonts w:cs="Arial"/>
          <w:szCs w:val="24"/>
        </w:rPr>
        <w:lastRenderedPageBreak/>
        <w:t xml:space="preserve">siguientes </w:t>
      </w:r>
      <w:r w:rsidR="00E418CC" w:rsidRPr="00E6086A">
        <w:rPr>
          <w:rFonts w:cs="Arial"/>
          <w:szCs w:val="24"/>
        </w:rPr>
        <w:t>factores</w:t>
      </w:r>
      <w:r w:rsidR="00760665" w:rsidRPr="00E6086A">
        <w:rPr>
          <w:rFonts w:cs="Arial"/>
          <w:szCs w:val="24"/>
        </w:rPr>
        <w:t>:</w:t>
      </w:r>
      <w:r w:rsidR="00E418CC" w:rsidRPr="00E6086A">
        <w:rPr>
          <w:rFonts w:cs="Arial"/>
          <w:szCs w:val="24"/>
        </w:rPr>
        <w:t xml:space="preserve"> precio</w:t>
      </w:r>
      <w:r w:rsidR="00760665" w:rsidRPr="00E6086A">
        <w:rPr>
          <w:rFonts w:cs="Arial"/>
          <w:szCs w:val="24"/>
        </w:rPr>
        <w:t xml:space="preserve"> (495 puntos)</w:t>
      </w:r>
      <w:r w:rsidR="002907C0" w:rsidRPr="00E6086A">
        <w:rPr>
          <w:rFonts w:cs="Arial"/>
          <w:szCs w:val="24"/>
        </w:rPr>
        <w:t xml:space="preserve">, </w:t>
      </w:r>
      <w:r w:rsidR="00E418CC" w:rsidRPr="00E6086A">
        <w:rPr>
          <w:rFonts w:cs="Arial"/>
          <w:szCs w:val="24"/>
        </w:rPr>
        <w:t>experiencia</w:t>
      </w:r>
      <w:r w:rsidR="00760665" w:rsidRPr="00E6086A">
        <w:rPr>
          <w:rFonts w:cs="Arial"/>
          <w:szCs w:val="24"/>
        </w:rPr>
        <w:t xml:space="preserve"> (400 puntos)</w:t>
      </w:r>
      <w:r w:rsidR="002907C0" w:rsidRPr="00E6086A">
        <w:rPr>
          <w:rFonts w:cs="Arial"/>
          <w:szCs w:val="24"/>
        </w:rPr>
        <w:t>, calida</w:t>
      </w:r>
      <w:r w:rsidR="00D32AA6" w:rsidRPr="00E6086A">
        <w:rPr>
          <w:rFonts w:cs="Arial"/>
          <w:szCs w:val="24"/>
        </w:rPr>
        <w:t>d</w:t>
      </w:r>
      <w:r w:rsidR="00760665" w:rsidRPr="00E6086A">
        <w:rPr>
          <w:rFonts w:cs="Arial"/>
          <w:szCs w:val="24"/>
        </w:rPr>
        <w:t xml:space="preserve"> (5 puntos)</w:t>
      </w:r>
      <w:r w:rsidR="00D32AA6" w:rsidRPr="00E6086A">
        <w:rPr>
          <w:rFonts w:cs="Arial"/>
          <w:szCs w:val="24"/>
        </w:rPr>
        <w:t xml:space="preserve"> y cumplimiento de contratos</w:t>
      </w:r>
      <w:r w:rsidR="004D1CA1" w:rsidRPr="00E6086A">
        <w:rPr>
          <w:rFonts w:cs="Arial"/>
          <w:szCs w:val="24"/>
        </w:rPr>
        <w:t xml:space="preserve"> anteriores</w:t>
      </w:r>
      <w:r w:rsidR="00760665" w:rsidRPr="00E6086A">
        <w:rPr>
          <w:rFonts w:cs="Arial"/>
          <w:szCs w:val="24"/>
        </w:rPr>
        <w:t xml:space="preserve"> (100 puntos)</w:t>
      </w:r>
      <w:r w:rsidR="00E418CC" w:rsidRPr="00E6086A">
        <w:rPr>
          <w:rFonts w:cs="Arial"/>
          <w:szCs w:val="24"/>
        </w:rPr>
        <w:t xml:space="preserve">. </w:t>
      </w:r>
    </w:p>
    <w:p w:rsidR="00EB3234" w:rsidRPr="00E6086A" w:rsidRDefault="00EB3234" w:rsidP="009D3798">
      <w:pPr>
        <w:pStyle w:val="Encabezado"/>
        <w:tabs>
          <w:tab w:val="clear" w:pos="4419"/>
          <w:tab w:val="center" w:pos="0"/>
        </w:tabs>
        <w:rPr>
          <w:rFonts w:cs="Arial"/>
          <w:szCs w:val="24"/>
        </w:rPr>
      </w:pPr>
    </w:p>
    <w:p w:rsidR="00EB3234" w:rsidRPr="00E6086A" w:rsidRDefault="00F64BCF" w:rsidP="009D3798">
      <w:pPr>
        <w:pStyle w:val="Encabezado"/>
        <w:tabs>
          <w:tab w:val="clear" w:pos="4419"/>
          <w:tab w:val="center" w:pos="0"/>
        </w:tabs>
        <w:rPr>
          <w:rFonts w:cs="Arial"/>
          <w:szCs w:val="24"/>
        </w:rPr>
      </w:pPr>
      <w:r w:rsidRPr="00E6086A">
        <w:rPr>
          <w:rFonts w:cs="Arial"/>
          <w:szCs w:val="24"/>
        </w:rPr>
        <w:t>A su vez, e</w:t>
      </w:r>
      <w:r w:rsidR="00E418CC" w:rsidRPr="00E6086A">
        <w:rPr>
          <w:rFonts w:cs="Arial"/>
          <w:szCs w:val="24"/>
        </w:rPr>
        <w:t>l procedimi</w:t>
      </w:r>
      <w:r w:rsidRPr="00E6086A">
        <w:rPr>
          <w:rFonts w:cs="Arial"/>
          <w:szCs w:val="24"/>
        </w:rPr>
        <w:t>e</w:t>
      </w:r>
      <w:r w:rsidR="00E418CC" w:rsidRPr="00E6086A">
        <w:rPr>
          <w:rFonts w:cs="Arial"/>
          <w:szCs w:val="24"/>
        </w:rPr>
        <w:t>nto de asignación de puntaje por el factor de precio se basó en dos fórmulas</w:t>
      </w:r>
      <w:r w:rsidRPr="00E6086A">
        <w:rPr>
          <w:rFonts w:cs="Arial"/>
          <w:szCs w:val="24"/>
        </w:rPr>
        <w:t>:</w:t>
      </w:r>
      <w:r w:rsidR="00E418CC" w:rsidRPr="00E6086A">
        <w:rPr>
          <w:rFonts w:cs="Arial"/>
          <w:szCs w:val="24"/>
        </w:rPr>
        <w:t xml:space="preserve"> PB1 </w:t>
      </w:r>
      <w:r w:rsidRPr="00E6086A">
        <w:rPr>
          <w:rFonts w:cs="Arial"/>
          <w:szCs w:val="24"/>
        </w:rPr>
        <w:t>y</w:t>
      </w:r>
      <w:r w:rsidR="00E418CC" w:rsidRPr="00E6086A">
        <w:rPr>
          <w:rFonts w:cs="Arial"/>
          <w:szCs w:val="24"/>
        </w:rPr>
        <w:t xml:space="preserve"> PB2. A través de la primera </w:t>
      </w:r>
      <w:r w:rsidR="009419B3" w:rsidRPr="00E6086A">
        <w:rPr>
          <w:rFonts w:cs="Arial"/>
          <w:szCs w:val="24"/>
        </w:rPr>
        <w:t>-</w:t>
      </w:r>
      <w:r w:rsidRPr="00E6086A">
        <w:rPr>
          <w:rFonts w:cs="Arial"/>
          <w:szCs w:val="24"/>
        </w:rPr>
        <w:t>PB1</w:t>
      </w:r>
      <w:r w:rsidR="009419B3" w:rsidRPr="00E6086A">
        <w:rPr>
          <w:rFonts w:cs="Arial"/>
          <w:szCs w:val="24"/>
        </w:rPr>
        <w:t>- se</w:t>
      </w:r>
      <w:r w:rsidRPr="00E6086A">
        <w:rPr>
          <w:rFonts w:cs="Arial"/>
          <w:szCs w:val="24"/>
        </w:rPr>
        <w:t xml:space="preserve"> </w:t>
      </w:r>
      <w:r w:rsidR="00E418CC" w:rsidRPr="00E6086A">
        <w:rPr>
          <w:rFonts w:cs="Arial"/>
          <w:szCs w:val="24"/>
        </w:rPr>
        <w:t xml:space="preserve">determinaba el precio medio </w:t>
      </w:r>
      <w:r w:rsidR="00623119" w:rsidRPr="00E6086A">
        <w:rPr>
          <w:rFonts w:cs="Arial"/>
          <w:szCs w:val="24"/>
        </w:rPr>
        <w:t xml:space="preserve">entre </w:t>
      </w:r>
      <w:r w:rsidR="00E418CC" w:rsidRPr="00E6086A">
        <w:rPr>
          <w:rFonts w:cs="Arial"/>
          <w:szCs w:val="24"/>
        </w:rPr>
        <w:t>la</w:t>
      </w:r>
      <w:r w:rsidR="00623119" w:rsidRPr="00E6086A">
        <w:rPr>
          <w:rFonts w:cs="Arial"/>
          <w:szCs w:val="24"/>
        </w:rPr>
        <w:t xml:space="preserve"> sumatoria de las</w:t>
      </w:r>
      <w:r w:rsidR="00E418CC" w:rsidRPr="00E6086A">
        <w:rPr>
          <w:rFonts w:cs="Arial"/>
          <w:szCs w:val="24"/>
        </w:rPr>
        <w:t xml:space="preserve"> propuestas </w:t>
      </w:r>
      <w:r w:rsidR="00623119" w:rsidRPr="00E6086A">
        <w:rPr>
          <w:rFonts w:cs="Arial"/>
          <w:szCs w:val="24"/>
        </w:rPr>
        <w:t>tomadas por su</w:t>
      </w:r>
      <w:r w:rsidR="004D1CA1" w:rsidRPr="00E6086A">
        <w:rPr>
          <w:rFonts w:cs="Arial"/>
          <w:szCs w:val="24"/>
        </w:rPr>
        <w:t>s</w:t>
      </w:r>
      <w:r w:rsidR="00623119" w:rsidRPr="00E6086A">
        <w:rPr>
          <w:rFonts w:cs="Arial"/>
          <w:szCs w:val="24"/>
        </w:rPr>
        <w:t xml:space="preserve"> valores corregidos </w:t>
      </w:r>
      <w:r w:rsidR="00E418CC" w:rsidRPr="00E6086A">
        <w:rPr>
          <w:rFonts w:cs="Arial"/>
          <w:szCs w:val="24"/>
        </w:rPr>
        <w:t xml:space="preserve">y </w:t>
      </w:r>
      <w:r w:rsidR="0087229C" w:rsidRPr="00E6086A">
        <w:rPr>
          <w:rFonts w:cs="Arial"/>
          <w:szCs w:val="24"/>
        </w:rPr>
        <w:t xml:space="preserve">el presupuesto oficial; </w:t>
      </w:r>
      <w:r w:rsidR="009E06A0" w:rsidRPr="00E6086A">
        <w:rPr>
          <w:rFonts w:cs="Arial"/>
          <w:szCs w:val="24"/>
        </w:rPr>
        <w:t>con respecto a e</w:t>
      </w:r>
      <w:r w:rsidR="00001E9E" w:rsidRPr="00E6086A">
        <w:rPr>
          <w:rFonts w:cs="Arial"/>
          <w:szCs w:val="24"/>
        </w:rPr>
        <w:t xml:space="preserve">ste </w:t>
      </w:r>
      <w:r w:rsidR="009419B3" w:rsidRPr="00E6086A">
        <w:rPr>
          <w:rFonts w:cs="Arial"/>
          <w:szCs w:val="24"/>
        </w:rPr>
        <w:t xml:space="preserve">valor </w:t>
      </w:r>
      <w:r w:rsidR="00E418CC" w:rsidRPr="00E6086A">
        <w:rPr>
          <w:rFonts w:cs="Arial"/>
          <w:szCs w:val="24"/>
        </w:rPr>
        <w:t xml:space="preserve">se </w:t>
      </w:r>
      <w:r w:rsidR="009419B3" w:rsidRPr="00E6086A">
        <w:rPr>
          <w:rFonts w:cs="Arial"/>
          <w:szCs w:val="24"/>
        </w:rPr>
        <w:t xml:space="preserve">dispuso </w:t>
      </w:r>
      <w:r w:rsidR="0087229C" w:rsidRPr="00E6086A">
        <w:rPr>
          <w:rFonts w:cs="Arial"/>
          <w:szCs w:val="24"/>
        </w:rPr>
        <w:t xml:space="preserve">asignar un puntaje de cero </w:t>
      </w:r>
      <w:r w:rsidR="00623119" w:rsidRPr="00E6086A">
        <w:rPr>
          <w:rFonts w:cs="Arial"/>
          <w:szCs w:val="24"/>
        </w:rPr>
        <w:t xml:space="preserve">a </w:t>
      </w:r>
      <w:r w:rsidR="0087229C" w:rsidRPr="00E6086A">
        <w:rPr>
          <w:rFonts w:cs="Arial"/>
          <w:szCs w:val="24"/>
        </w:rPr>
        <w:t xml:space="preserve">aquellas </w:t>
      </w:r>
      <w:r w:rsidR="00623119" w:rsidRPr="00E6086A">
        <w:rPr>
          <w:rFonts w:cs="Arial"/>
          <w:szCs w:val="24"/>
        </w:rPr>
        <w:t xml:space="preserve">propuestas </w:t>
      </w:r>
      <w:r w:rsidR="0087229C" w:rsidRPr="00E6086A">
        <w:rPr>
          <w:rFonts w:cs="Arial"/>
          <w:szCs w:val="24"/>
        </w:rPr>
        <w:t xml:space="preserve">que </w:t>
      </w:r>
      <w:r w:rsidR="00354CB4" w:rsidRPr="00E6086A">
        <w:rPr>
          <w:rFonts w:cs="Arial"/>
          <w:szCs w:val="24"/>
        </w:rPr>
        <w:t>se alejaban porcentualmente de la media, en los rangos allí establecidos</w:t>
      </w:r>
      <w:r w:rsidR="0087229C" w:rsidRPr="00E6086A">
        <w:rPr>
          <w:rStyle w:val="Refdenotaalpie"/>
          <w:rFonts w:cs="Arial"/>
          <w:szCs w:val="24"/>
        </w:rPr>
        <w:footnoteReference w:id="22"/>
      </w:r>
      <w:r w:rsidR="00354CB4" w:rsidRPr="00E6086A">
        <w:rPr>
          <w:rFonts w:cs="Arial"/>
          <w:szCs w:val="24"/>
        </w:rPr>
        <w:t xml:space="preserve">. </w:t>
      </w:r>
    </w:p>
    <w:p w:rsidR="00354CB4" w:rsidRPr="00E6086A" w:rsidRDefault="009E06A0" w:rsidP="009D3798">
      <w:pPr>
        <w:pStyle w:val="Encabezado"/>
        <w:tabs>
          <w:tab w:val="clear" w:pos="4419"/>
          <w:tab w:val="center" w:pos="0"/>
        </w:tabs>
        <w:rPr>
          <w:rFonts w:cs="Arial"/>
          <w:szCs w:val="24"/>
        </w:rPr>
      </w:pPr>
      <w:r w:rsidRPr="00E6086A">
        <w:rPr>
          <w:rFonts w:cs="Arial"/>
          <w:szCs w:val="24"/>
        </w:rPr>
        <w:t xml:space="preserve">Solamente las propuestas que se ubicaban en el rango </w:t>
      </w:r>
      <w:r w:rsidR="00590E67" w:rsidRPr="00E6086A">
        <w:rPr>
          <w:rFonts w:cs="Arial"/>
          <w:szCs w:val="24"/>
        </w:rPr>
        <w:t xml:space="preserve">definido para </w:t>
      </w:r>
      <w:r w:rsidRPr="00E6086A">
        <w:rPr>
          <w:rFonts w:cs="Arial"/>
          <w:szCs w:val="24"/>
        </w:rPr>
        <w:t xml:space="preserve">PB1 eran objeto de inclusión en el procedimiento de determinación del PB2. </w:t>
      </w:r>
      <w:r w:rsidR="00354CB4" w:rsidRPr="00E6086A">
        <w:rPr>
          <w:rFonts w:cs="Arial"/>
          <w:szCs w:val="24"/>
        </w:rPr>
        <w:t xml:space="preserve">A través de la </w:t>
      </w:r>
      <w:r w:rsidR="009419B3" w:rsidRPr="00E6086A">
        <w:rPr>
          <w:rFonts w:cs="Arial"/>
          <w:szCs w:val="24"/>
        </w:rPr>
        <w:t xml:space="preserve">segunda </w:t>
      </w:r>
      <w:r w:rsidR="00354CB4" w:rsidRPr="00E6086A">
        <w:rPr>
          <w:rFonts w:cs="Arial"/>
          <w:szCs w:val="24"/>
        </w:rPr>
        <w:t xml:space="preserve">fórmula </w:t>
      </w:r>
      <w:r w:rsidR="009419B3" w:rsidRPr="00E6086A">
        <w:rPr>
          <w:rFonts w:cs="Arial"/>
          <w:szCs w:val="24"/>
        </w:rPr>
        <w:t>-</w:t>
      </w:r>
      <w:r w:rsidR="00354CB4" w:rsidRPr="00E6086A">
        <w:rPr>
          <w:rFonts w:cs="Arial"/>
          <w:szCs w:val="24"/>
        </w:rPr>
        <w:t>PB2</w:t>
      </w:r>
      <w:r w:rsidR="009419B3" w:rsidRPr="00E6086A">
        <w:rPr>
          <w:rFonts w:cs="Arial"/>
          <w:szCs w:val="24"/>
        </w:rPr>
        <w:t>-</w:t>
      </w:r>
      <w:r w:rsidR="00590E67" w:rsidRPr="00E6086A">
        <w:rPr>
          <w:rFonts w:cs="Arial"/>
          <w:szCs w:val="24"/>
        </w:rPr>
        <w:t xml:space="preserve"> </w:t>
      </w:r>
      <w:r w:rsidR="00C41712" w:rsidRPr="00E6086A">
        <w:rPr>
          <w:rFonts w:cs="Arial"/>
          <w:szCs w:val="24"/>
        </w:rPr>
        <w:t>se determinaba un rango de las propuestas en relación</w:t>
      </w:r>
      <w:r w:rsidR="00590E67" w:rsidRPr="00E6086A">
        <w:rPr>
          <w:rFonts w:cs="Arial"/>
          <w:szCs w:val="24"/>
        </w:rPr>
        <w:t xml:space="preserve"> </w:t>
      </w:r>
      <w:r w:rsidR="00C41712" w:rsidRPr="00E6086A">
        <w:rPr>
          <w:rFonts w:cs="Arial"/>
          <w:szCs w:val="24"/>
        </w:rPr>
        <w:t xml:space="preserve">con </w:t>
      </w:r>
      <w:r w:rsidR="00354CB4" w:rsidRPr="00E6086A">
        <w:rPr>
          <w:rFonts w:cs="Arial"/>
          <w:szCs w:val="24"/>
        </w:rPr>
        <w:t xml:space="preserve">el cálculo de </w:t>
      </w:r>
      <w:r w:rsidR="005A070A" w:rsidRPr="00E6086A">
        <w:rPr>
          <w:rFonts w:cs="Arial"/>
          <w:szCs w:val="24"/>
        </w:rPr>
        <w:t>una</w:t>
      </w:r>
      <w:r w:rsidR="00354CB4" w:rsidRPr="00E6086A">
        <w:rPr>
          <w:rFonts w:cs="Arial"/>
          <w:szCs w:val="24"/>
        </w:rPr>
        <w:t xml:space="preserve"> media geométrica</w:t>
      </w:r>
      <w:r w:rsidR="001F71E8" w:rsidRPr="00E6086A">
        <w:rPr>
          <w:rStyle w:val="Refdenotaalpie"/>
          <w:rFonts w:cs="Arial"/>
          <w:szCs w:val="24"/>
        </w:rPr>
        <w:footnoteReference w:id="23"/>
      </w:r>
      <w:r w:rsidR="00354CB4" w:rsidRPr="00E6086A">
        <w:rPr>
          <w:rFonts w:cs="Arial"/>
          <w:szCs w:val="24"/>
        </w:rPr>
        <w:t xml:space="preserve"> de los precios de las propuestas seleccionadas</w:t>
      </w:r>
      <w:r w:rsidR="00C41712" w:rsidRPr="00E6086A">
        <w:rPr>
          <w:rFonts w:cs="Arial"/>
          <w:szCs w:val="24"/>
        </w:rPr>
        <w:t xml:space="preserve"> y </w:t>
      </w:r>
      <w:r w:rsidR="00354CB4" w:rsidRPr="00E6086A">
        <w:rPr>
          <w:rFonts w:cs="Arial"/>
          <w:szCs w:val="24"/>
        </w:rPr>
        <w:t xml:space="preserve">se asignaba </w:t>
      </w:r>
      <w:r w:rsidR="00590E67" w:rsidRPr="00E6086A">
        <w:rPr>
          <w:rFonts w:cs="Arial"/>
          <w:szCs w:val="24"/>
        </w:rPr>
        <w:t xml:space="preserve">el </w:t>
      </w:r>
      <w:r w:rsidR="00354CB4" w:rsidRPr="00E6086A">
        <w:rPr>
          <w:rFonts w:cs="Arial"/>
          <w:szCs w:val="24"/>
        </w:rPr>
        <w:t>puntaje</w:t>
      </w:r>
      <w:r w:rsidR="00EB3234" w:rsidRPr="00E6086A">
        <w:rPr>
          <w:rFonts w:cs="Arial"/>
          <w:szCs w:val="24"/>
        </w:rPr>
        <w:t>,</w:t>
      </w:r>
      <w:r w:rsidR="00354CB4" w:rsidRPr="00E6086A">
        <w:rPr>
          <w:rFonts w:cs="Arial"/>
          <w:szCs w:val="24"/>
        </w:rPr>
        <w:t xml:space="preserve"> </w:t>
      </w:r>
      <w:r w:rsidRPr="00E6086A">
        <w:rPr>
          <w:rFonts w:cs="Arial"/>
          <w:szCs w:val="24"/>
        </w:rPr>
        <w:t>por el factor de precio</w:t>
      </w:r>
      <w:r w:rsidR="00EB3234" w:rsidRPr="00E6086A">
        <w:rPr>
          <w:rFonts w:cs="Arial"/>
          <w:szCs w:val="24"/>
        </w:rPr>
        <w:t>,</w:t>
      </w:r>
      <w:r w:rsidRPr="00E6086A">
        <w:rPr>
          <w:rFonts w:cs="Arial"/>
          <w:szCs w:val="24"/>
        </w:rPr>
        <w:t xml:space="preserve"> </w:t>
      </w:r>
      <w:r w:rsidR="00354CB4" w:rsidRPr="00E6086A">
        <w:rPr>
          <w:rFonts w:cs="Arial"/>
          <w:szCs w:val="24"/>
        </w:rPr>
        <w:t xml:space="preserve">a cada una de las propuestas, en </w:t>
      </w:r>
      <w:r w:rsidR="00623119" w:rsidRPr="00E6086A">
        <w:rPr>
          <w:rFonts w:cs="Arial"/>
          <w:szCs w:val="24"/>
        </w:rPr>
        <w:t>relación lineal</w:t>
      </w:r>
      <w:r w:rsidR="00590E67" w:rsidRPr="00E6086A">
        <w:rPr>
          <w:rStyle w:val="Refdenotaalpie"/>
          <w:rFonts w:cs="Arial"/>
          <w:szCs w:val="24"/>
        </w:rPr>
        <w:footnoteReference w:id="24"/>
      </w:r>
      <w:r w:rsidR="00354CB4" w:rsidRPr="00E6086A">
        <w:rPr>
          <w:rFonts w:cs="Arial"/>
          <w:szCs w:val="24"/>
        </w:rPr>
        <w:t>.</w:t>
      </w:r>
    </w:p>
    <w:p w:rsidR="00354CB4" w:rsidRPr="00E6086A" w:rsidRDefault="00354CB4" w:rsidP="009D3798">
      <w:pPr>
        <w:pStyle w:val="Encabezado"/>
        <w:tabs>
          <w:tab w:val="clear" w:pos="4419"/>
          <w:tab w:val="center" w:pos="0"/>
        </w:tabs>
        <w:rPr>
          <w:rFonts w:cs="Arial"/>
          <w:szCs w:val="24"/>
        </w:rPr>
      </w:pPr>
    </w:p>
    <w:p w:rsidR="009E06A0" w:rsidRPr="00E6086A" w:rsidRDefault="00354CB4" w:rsidP="009D3798">
      <w:pPr>
        <w:pStyle w:val="Encabezado"/>
        <w:tabs>
          <w:tab w:val="clear" w:pos="4419"/>
          <w:tab w:val="center" w:pos="0"/>
        </w:tabs>
        <w:rPr>
          <w:rFonts w:cs="Arial"/>
          <w:szCs w:val="24"/>
        </w:rPr>
      </w:pPr>
      <w:r w:rsidRPr="00E6086A">
        <w:rPr>
          <w:rFonts w:cs="Arial"/>
          <w:szCs w:val="24"/>
        </w:rPr>
        <w:t xml:space="preserve">Se hace </w:t>
      </w:r>
      <w:r w:rsidR="00C6050B" w:rsidRPr="00E6086A">
        <w:rPr>
          <w:rFonts w:cs="Arial"/>
          <w:szCs w:val="24"/>
        </w:rPr>
        <w:t xml:space="preserve">la anterior </w:t>
      </w:r>
      <w:r w:rsidRPr="00E6086A">
        <w:rPr>
          <w:rFonts w:cs="Arial"/>
          <w:szCs w:val="24"/>
        </w:rPr>
        <w:t xml:space="preserve">precisión para </w:t>
      </w:r>
      <w:r w:rsidR="00E54648" w:rsidRPr="00E6086A">
        <w:rPr>
          <w:rFonts w:cs="Arial"/>
          <w:szCs w:val="24"/>
        </w:rPr>
        <w:t xml:space="preserve">destacar que </w:t>
      </w:r>
      <w:r w:rsidRPr="00E6086A">
        <w:rPr>
          <w:rFonts w:cs="Arial"/>
          <w:szCs w:val="24"/>
        </w:rPr>
        <w:t xml:space="preserve">el puntaje </w:t>
      </w:r>
      <w:r w:rsidR="00623119" w:rsidRPr="00E6086A">
        <w:rPr>
          <w:rFonts w:cs="Arial"/>
          <w:szCs w:val="24"/>
        </w:rPr>
        <w:t xml:space="preserve">final </w:t>
      </w:r>
      <w:r w:rsidRPr="00E6086A">
        <w:rPr>
          <w:rFonts w:cs="Arial"/>
          <w:szCs w:val="24"/>
        </w:rPr>
        <w:t>asignad</w:t>
      </w:r>
      <w:r w:rsidR="00C6050B" w:rsidRPr="00E6086A">
        <w:rPr>
          <w:rFonts w:cs="Arial"/>
          <w:szCs w:val="24"/>
        </w:rPr>
        <w:t>o</w:t>
      </w:r>
      <w:r w:rsidRPr="00E6086A">
        <w:rPr>
          <w:rFonts w:cs="Arial"/>
          <w:szCs w:val="24"/>
        </w:rPr>
        <w:t xml:space="preserve"> a cada prop</w:t>
      </w:r>
      <w:r w:rsidR="00623119" w:rsidRPr="00E6086A">
        <w:rPr>
          <w:rFonts w:cs="Arial"/>
          <w:szCs w:val="24"/>
        </w:rPr>
        <w:t xml:space="preserve">onente </w:t>
      </w:r>
      <w:r w:rsidRPr="00E6086A">
        <w:rPr>
          <w:rFonts w:cs="Arial"/>
          <w:szCs w:val="24"/>
        </w:rPr>
        <w:t>podía variar de acuerdo con la</w:t>
      </w:r>
      <w:r w:rsidR="009E06A0" w:rsidRPr="00E6086A">
        <w:rPr>
          <w:rFonts w:cs="Arial"/>
          <w:szCs w:val="24"/>
        </w:rPr>
        <w:t xml:space="preserve"> cantidad </w:t>
      </w:r>
      <w:r w:rsidR="00C6050B" w:rsidRPr="00E6086A">
        <w:rPr>
          <w:rFonts w:cs="Arial"/>
          <w:szCs w:val="24"/>
        </w:rPr>
        <w:t xml:space="preserve">de </w:t>
      </w:r>
      <w:r w:rsidR="009E06A0" w:rsidRPr="00E6086A">
        <w:rPr>
          <w:rFonts w:cs="Arial"/>
          <w:szCs w:val="24"/>
        </w:rPr>
        <w:t xml:space="preserve">propuestas </w:t>
      </w:r>
      <w:r w:rsidR="00623119" w:rsidRPr="00E6086A">
        <w:rPr>
          <w:rFonts w:cs="Arial"/>
          <w:szCs w:val="24"/>
        </w:rPr>
        <w:t xml:space="preserve">consideradas hábiles </w:t>
      </w:r>
      <w:r w:rsidR="00C6050B" w:rsidRPr="00E6086A">
        <w:rPr>
          <w:rFonts w:cs="Arial"/>
          <w:szCs w:val="24"/>
        </w:rPr>
        <w:t xml:space="preserve">y </w:t>
      </w:r>
      <w:r w:rsidR="00590E67" w:rsidRPr="00E6086A">
        <w:rPr>
          <w:rFonts w:cs="Arial"/>
          <w:szCs w:val="24"/>
        </w:rPr>
        <w:t xml:space="preserve">con </w:t>
      </w:r>
      <w:r w:rsidR="00C6050B" w:rsidRPr="00E6086A">
        <w:rPr>
          <w:rFonts w:cs="Arial"/>
          <w:szCs w:val="24"/>
        </w:rPr>
        <w:t xml:space="preserve">el </w:t>
      </w:r>
      <w:r w:rsidR="00623119" w:rsidRPr="00E6086A">
        <w:rPr>
          <w:rFonts w:cs="Arial"/>
          <w:szCs w:val="24"/>
        </w:rPr>
        <w:t xml:space="preserve">precio corregido de cada una de ellas. </w:t>
      </w:r>
    </w:p>
    <w:p w:rsidR="009E06A0" w:rsidRPr="00E6086A" w:rsidRDefault="009E06A0" w:rsidP="009D3798">
      <w:pPr>
        <w:pStyle w:val="Encabezado"/>
        <w:tabs>
          <w:tab w:val="clear" w:pos="4419"/>
          <w:tab w:val="center" w:pos="0"/>
        </w:tabs>
        <w:rPr>
          <w:rFonts w:cs="Arial"/>
          <w:szCs w:val="24"/>
        </w:rPr>
      </w:pPr>
    </w:p>
    <w:p w:rsidR="00E54648" w:rsidRPr="00E6086A" w:rsidRDefault="00354CB4" w:rsidP="009D3798">
      <w:pPr>
        <w:pStyle w:val="Encabezado"/>
        <w:tabs>
          <w:tab w:val="clear" w:pos="4419"/>
          <w:tab w:val="center" w:pos="0"/>
        </w:tabs>
        <w:rPr>
          <w:rFonts w:cs="Arial"/>
          <w:szCs w:val="24"/>
        </w:rPr>
      </w:pPr>
      <w:r w:rsidRPr="00E6086A">
        <w:rPr>
          <w:rFonts w:cs="Arial"/>
          <w:szCs w:val="24"/>
        </w:rPr>
        <w:t xml:space="preserve">La comprensión de este aspecto </w:t>
      </w:r>
      <w:r w:rsidR="009E06A0" w:rsidRPr="00E6086A">
        <w:rPr>
          <w:rFonts w:cs="Arial"/>
          <w:szCs w:val="24"/>
        </w:rPr>
        <w:t xml:space="preserve">contenido en el pliego </w:t>
      </w:r>
      <w:r w:rsidR="00C6050B" w:rsidRPr="00E6086A">
        <w:rPr>
          <w:rFonts w:cs="Arial"/>
          <w:szCs w:val="24"/>
        </w:rPr>
        <w:t xml:space="preserve">de condiciones </w:t>
      </w:r>
      <w:r w:rsidR="009E06A0" w:rsidRPr="00E6086A">
        <w:rPr>
          <w:rFonts w:cs="Arial"/>
          <w:szCs w:val="24"/>
        </w:rPr>
        <w:t xml:space="preserve">lleva a entender </w:t>
      </w:r>
      <w:r w:rsidR="009831C0" w:rsidRPr="00E6086A">
        <w:rPr>
          <w:rFonts w:cs="Arial"/>
          <w:szCs w:val="24"/>
        </w:rPr>
        <w:t xml:space="preserve">la razón por la cual </w:t>
      </w:r>
      <w:r w:rsidR="009E06A0" w:rsidRPr="00E6086A">
        <w:rPr>
          <w:rFonts w:cs="Arial"/>
          <w:szCs w:val="24"/>
        </w:rPr>
        <w:t>el debate s</w:t>
      </w:r>
      <w:r w:rsidR="0039071A" w:rsidRPr="00E6086A">
        <w:rPr>
          <w:rFonts w:cs="Arial"/>
          <w:szCs w:val="24"/>
        </w:rPr>
        <w:t>obre la garantía de seriedad de la oferta s</w:t>
      </w:r>
      <w:r w:rsidR="009E06A0" w:rsidRPr="00E6086A">
        <w:rPr>
          <w:rFonts w:cs="Arial"/>
          <w:szCs w:val="24"/>
        </w:rPr>
        <w:t>e refir</w:t>
      </w:r>
      <w:r w:rsidR="006021A3" w:rsidRPr="00E6086A">
        <w:rPr>
          <w:rFonts w:cs="Arial"/>
          <w:szCs w:val="24"/>
        </w:rPr>
        <w:t xml:space="preserve">ió </w:t>
      </w:r>
      <w:r w:rsidR="009E06A0" w:rsidRPr="00E6086A">
        <w:rPr>
          <w:rFonts w:cs="Arial"/>
          <w:szCs w:val="24"/>
        </w:rPr>
        <w:t>a si debió incluirse o no una propuesta</w:t>
      </w:r>
      <w:r w:rsidR="00E54648" w:rsidRPr="00E6086A">
        <w:rPr>
          <w:rFonts w:cs="Arial"/>
          <w:szCs w:val="24"/>
        </w:rPr>
        <w:t xml:space="preserve"> más (la que </w:t>
      </w:r>
      <w:r w:rsidR="00922156" w:rsidRPr="00E6086A">
        <w:rPr>
          <w:rFonts w:cs="Arial"/>
          <w:szCs w:val="24"/>
        </w:rPr>
        <w:t xml:space="preserve">se denominará </w:t>
      </w:r>
      <w:r w:rsidR="00E54648" w:rsidRPr="00E6086A">
        <w:rPr>
          <w:rFonts w:cs="Arial"/>
          <w:szCs w:val="24"/>
        </w:rPr>
        <w:t>treceava)</w:t>
      </w:r>
      <w:r w:rsidR="009E06A0" w:rsidRPr="00E6086A">
        <w:rPr>
          <w:rFonts w:cs="Arial"/>
          <w:szCs w:val="24"/>
        </w:rPr>
        <w:t xml:space="preserve">, </w:t>
      </w:r>
      <w:r w:rsidR="00C6050B" w:rsidRPr="00E6086A">
        <w:rPr>
          <w:rFonts w:cs="Arial"/>
          <w:szCs w:val="24"/>
        </w:rPr>
        <w:t xml:space="preserve">dentro de los datos </w:t>
      </w:r>
      <w:r w:rsidR="00623119" w:rsidRPr="00E6086A">
        <w:rPr>
          <w:rFonts w:cs="Arial"/>
          <w:szCs w:val="24"/>
        </w:rPr>
        <w:t xml:space="preserve">del cálculo </w:t>
      </w:r>
      <w:r w:rsidR="009E06A0" w:rsidRPr="00E6086A">
        <w:rPr>
          <w:rFonts w:cs="Arial"/>
          <w:szCs w:val="24"/>
        </w:rPr>
        <w:t xml:space="preserve">para efecto de asignar </w:t>
      </w:r>
      <w:r w:rsidR="00E54648" w:rsidRPr="00E6086A">
        <w:rPr>
          <w:rFonts w:cs="Arial"/>
          <w:szCs w:val="24"/>
        </w:rPr>
        <w:t xml:space="preserve">el </w:t>
      </w:r>
      <w:r w:rsidR="009E06A0" w:rsidRPr="00E6086A">
        <w:rPr>
          <w:rFonts w:cs="Arial"/>
          <w:szCs w:val="24"/>
        </w:rPr>
        <w:t>puntaje</w:t>
      </w:r>
      <w:r w:rsidR="0039071A" w:rsidRPr="00E6086A">
        <w:rPr>
          <w:rFonts w:cs="Arial"/>
          <w:szCs w:val="24"/>
        </w:rPr>
        <w:t xml:space="preserve"> </w:t>
      </w:r>
      <w:r w:rsidR="00E54648" w:rsidRPr="00E6086A">
        <w:rPr>
          <w:rFonts w:cs="Arial"/>
          <w:szCs w:val="24"/>
        </w:rPr>
        <w:t xml:space="preserve">de precio </w:t>
      </w:r>
      <w:r w:rsidR="0039071A" w:rsidRPr="00E6086A">
        <w:rPr>
          <w:rFonts w:cs="Arial"/>
          <w:szCs w:val="24"/>
        </w:rPr>
        <w:t>a la parte ahora demandante</w:t>
      </w:r>
      <w:r w:rsidR="00590E67" w:rsidRPr="00E6086A">
        <w:rPr>
          <w:rFonts w:cs="Arial"/>
          <w:szCs w:val="24"/>
        </w:rPr>
        <w:t xml:space="preserve">. </w:t>
      </w:r>
    </w:p>
    <w:p w:rsidR="00E54648" w:rsidRPr="00E6086A" w:rsidRDefault="00E54648" w:rsidP="009D3798">
      <w:pPr>
        <w:pStyle w:val="Encabezado"/>
        <w:tabs>
          <w:tab w:val="clear" w:pos="4419"/>
          <w:tab w:val="center" w:pos="0"/>
        </w:tabs>
        <w:rPr>
          <w:rFonts w:cs="Arial"/>
          <w:szCs w:val="24"/>
        </w:rPr>
      </w:pPr>
    </w:p>
    <w:p w:rsidR="00E54648" w:rsidRPr="00E6086A" w:rsidRDefault="00E54648" w:rsidP="009D3798">
      <w:pPr>
        <w:pStyle w:val="Encabezado"/>
        <w:tabs>
          <w:tab w:val="clear" w:pos="4419"/>
          <w:tab w:val="center" w:pos="0"/>
        </w:tabs>
        <w:rPr>
          <w:rFonts w:cs="Arial"/>
          <w:szCs w:val="24"/>
        </w:rPr>
      </w:pPr>
      <w:r w:rsidRPr="00E6086A">
        <w:rPr>
          <w:rFonts w:cs="Arial"/>
          <w:szCs w:val="24"/>
        </w:rPr>
        <w:lastRenderedPageBreak/>
        <w:t xml:space="preserve">Con base en la </w:t>
      </w:r>
      <w:r w:rsidR="00C14B71" w:rsidRPr="00E6086A">
        <w:rPr>
          <w:rFonts w:cs="Arial"/>
          <w:szCs w:val="24"/>
        </w:rPr>
        <w:t xml:space="preserve">inclusión de la treceava </w:t>
      </w:r>
      <w:r w:rsidRPr="00E6086A">
        <w:rPr>
          <w:rFonts w:cs="Arial"/>
          <w:szCs w:val="24"/>
        </w:rPr>
        <w:t>propuesta</w:t>
      </w:r>
      <w:r w:rsidR="00C14B71" w:rsidRPr="00E6086A">
        <w:rPr>
          <w:rFonts w:cs="Arial"/>
          <w:szCs w:val="24"/>
        </w:rPr>
        <w:t>, según las pruebas</w:t>
      </w:r>
      <w:r w:rsidR="00146A02" w:rsidRPr="00E6086A">
        <w:rPr>
          <w:rFonts w:cs="Arial"/>
          <w:szCs w:val="24"/>
        </w:rPr>
        <w:t>,</w:t>
      </w:r>
      <w:r w:rsidR="00C14B71" w:rsidRPr="00E6086A">
        <w:rPr>
          <w:rFonts w:cs="Arial"/>
          <w:szCs w:val="24"/>
        </w:rPr>
        <w:t xml:space="preserve"> </w:t>
      </w:r>
      <w:r w:rsidRPr="00E6086A">
        <w:rPr>
          <w:rFonts w:cs="Arial"/>
          <w:szCs w:val="24"/>
        </w:rPr>
        <w:t xml:space="preserve">se observa que </w:t>
      </w:r>
      <w:r w:rsidR="00C14B71" w:rsidRPr="00E6086A">
        <w:rPr>
          <w:rFonts w:cs="Arial"/>
          <w:szCs w:val="24"/>
        </w:rPr>
        <w:t>queda</w:t>
      </w:r>
      <w:r w:rsidR="00922156" w:rsidRPr="00E6086A">
        <w:rPr>
          <w:rFonts w:cs="Arial"/>
          <w:szCs w:val="24"/>
        </w:rPr>
        <w:t>ban</w:t>
      </w:r>
      <w:r w:rsidR="00C14B71" w:rsidRPr="00E6086A">
        <w:rPr>
          <w:rFonts w:cs="Arial"/>
          <w:szCs w:val="24"/>
        </w:rPr>
        <w:t xml:space="preserve"> once propuestas seleccionadas dentro del rango PB1 y al aplicar la fórmula de PB2 </w:t>
      </w:r>
      <w:r w:rsidR="00922156" w:rsidRPr="00E6086A">
        <w:rPr>
          <w:rFonts w:cs="Arial"/>
          <w:szCs w:val="24"/>
        </w:rPr>
        <w:t>y asignar los puntajes</w:t>
      </w:r>
      <w:r w:rsidR="00146A02" w:rsidRPr="00E6086A">
        <w:rPr>
          <w:rFonts w:cs="Arial"/>
          <w:szCs w:val="24"/>
        </w:rPr>
        <w:t xml:space="preserve"> correspondientes</w:t>
      </w:r>
      <w:r w:rsidR="00922156" w:rsidRPr="00E6086A">
        <w:rPr>
          <w:rFonts w:cs="Arial"/>
          <w:szCs w:val="24"/>
        </w:rPr>
        <w:t xml:space="preserve">, </w:t>
      </w:r>
      <w:r w:rsidRPr="00E6086A">
        <w:rPr>
          <w:rFonts w:cs="Arial"/>
          <w:szCs w:val="24"/>
        </w:rPr>
        <w:t xml:space="preserve">el primer lugar lo obtenía el Consorcio </w:t>
      </w:r>
      <w:r w:rsidR="00C14B71" w:rsidRPr="00E6086A">
        <w:rPr>
          <w:rFonts w:cs="Arial"/>
          <w:i/>
          <w:szCs w:val="24"/>
          <w:lang w:val="es-MX"/>
        </w:rPr>
        <w:t>JORGE MONTAÑEZ Y CIA LTDA - ALVARO RODRÍGUEZ BERMÚDEZ</w:t>
      </w:r>
      <w:r w:rsidR="00C14B71" w:rsidRPr="00E6086A">
        <w:rPr>
          <w:rFonts w:cs="Arial"/>
          <w:szCs w:val="24"/>
        </w:rPr>
        <w:t xml:space="preserve"> </w:t>
      </w:r>
      <w:r w:rsidRPr="00E6086A">
        <w:rPr>
          <w:rFonts w:cs="Arial"/>
          <w:szCs w:val="24"/>
        </w:rPr>
        <w:t>que resultó adjudicatario</w:t>
      </w:r>
      <w:r w:rsidR="00C14B71" w:rsidRPr="00E6086A">
        <w:rPr>
          <w:rFonts w:cs="Arial"/>
          <w:szCs w:val="24"/>
        </w:rPr>
        <w:t xml:space="preserve">, al paso que </w:t>
      </w:r>
      <w:r w:rsidRPr="00E6086A">
        <w:rPr>
          <w:rFonts w:cs="Arial"/>
          <w:szCs w:val="24"/>
        </w:rPr>
        <w:t xml:space="preserve">el puntaje de la </w:t>
      </w:r>
      <w:r w:rsidR="00922156" w:rsidRPr="00E6086A">
        <w:rPr>
          <w:rFonts w:cs="Arial"/>
          <w:szCs w:val="24"/>
        </w:rPr>
        <w:t xml:space="preserve">unión temporal </w:t>
      </w:r>
      <w:r w:rsidRPr="00E6086A">
        <w:rPr>
          <w:rFonts w:cs="Arial"/>
          <w:szCs w:val="24"/>
        </w:rPr>
        <w:t xml:space="preserve">ahora demandante pasaba del primer </w:t>
      </w:r>
      <w:r w:rsidR="00922156" w:rsidRPr="00E6086A">
        <w:rPr>
          <w:rFonts w:cs="Arial"/>
          <w:szCs w:val="24"/>
        </w:rPr>
        <w:t xml:space="preserve">lugar asignado en los informes del INVAL </w:t>
      </w:r>
      <w:r w:rsidRPr="00E6086A">
        <w:rPr>
          <w:rFonts w:cs="Arial"/>
          <w:szCs w:val="24"/>
        </w:rPr>
        <w:t>al segundo lugar.</w:t>
      </w:r>
    </w:p>
    <w:p w:rsidR="00590E67" w:rsidRPr="00E6086A" w:rsidRDefault="00590E67" w:rsidP="009D3798">
      <w:pPr>
        <w:pStyle w:val="Encabezado"/>
        <w:tabs>
          <w:tab w:val="clear" w:pos="4419"/>
          <w:tab w:val="center" w:pos="0"/>
        </w:tabs>
        <w:rPr>
          <w:rFonts w:cs="Arial"/>
          <w:szCs w:val="24"/>
        </w:rPr>
      </w:pPr>
    </w:p>
    <w:p w:rsidR="00590E67" w:rsidRPr="00E6086A" w:rsidRDefault="00590E67" w:rsidP="009D3798">
      <w:pPr>
        <w:pStyle w:val="Encabezado"/>
        <w:tabs>
          <w:tab w:val="clear" w:pos="4419"/>
          <w:tab w:val="center" w:pos="0"/>
        </w:tabs>
        <w:rPr>
          <w:rFonts w:cs="Arial"/>
          <w:szCs w:val="24"/>
        </w:rPr>
      </w:pPr>
      <w:r w:rsidRPr="00E6086A">
        <w:rPr>
          <w:rFonts w:cs="Arial"/>
          <w:szCs w:val="24"/>
        </w:rPr>
        <w:t>Se advierte lo anterior d</w:t>
      </w:r>
      <w:r w:rsidR="009E5D0D" w:rsidRPr="00E6086A">
        <w:rPr>
          <w:rFonts w:cs="Arial"/>
          <w:szCs w:val="24"/>
        </w:rPr>
        <w:t>esde ahora, d</w:t>
      </w:r>
      <w:r w:rsidRPr="00E6086A">
        <w:rPr>
          <w:rFonts w:cs="Arial"/>
          <w:szCs w:val="24"/>
        </w:rPr>
        <w:t>ado</w:t>
      </w:r>
      <w:r w:rsidR="00A44C89">
        <w:rPr>
          <w:rFonts w:cs="Arial"/>
          <w:szCs w:val="24"/>
        </w:rPr>
        <w:t xml:space="preserve"> </w:t>
      </w:r>
      <w:r w:rsidRPr="00E6086A">
        <w:rPr>
          <w:rFonts w:cs="Arial"/>
          <w:szCs w:val="24"/>
        </w:rPr>
        <w:t xml:space="preserve">que </w:t>
      </w:r>
      <w:r w:rsidR="00146A02" w:rsidRPr="00E6086A">
        <w:rPr>
          <w:rFonts w:cs="Arial"/>
          <w:szCs w:val="24"/>
        </w:rPr>
        <w:t>en algunos apartes de la demanda, se pod</w:t>
      </w:r>
      <w:r w:rsidR="006021A3" w:rsidRPr="00E6086A">
        <w:rPr>
          <w:rFonts w:cs="Arial"/>
          <w:szCs w:val="24"/>
        </w:rPr>
        <w:t>r</w:t>
      </w:r>
      <w:r w:rsidR="00146A02" w:rsidRPr="00E6086A">
        <w:rPr>
          <w:rFonts w:cs="Arial"/>
          <w:szCs w:val="24"/>
        </w:rPr>
        <w:t xml:space="preserve">ía entender </w:t>
      </w:r>
      <w:r w:rsidRPr="00E6086A">
        <w:rPr>
          <w:rFonts w:cs="Arial"/>
          <w:szCs w:val="24"/>
        </w:rPr>
        <w:t>que el a</w:t>
      </w:r>
      <w:r w:rsidR="00C14B71" w:rsidRPr="00E6086A">
        <w:rPr>
          <w:rFonts w:cs="Arial"/>
          <w:szCs w:val="24"/>
        </w:rPr>
        <w:t>cto acusado incorporó</w:t>
      </w:r>
      <w:r w:rsidRPr="00E6086A">
        <w:rPr>
          <w:rFonts w:cs="Arial"/>
          <w:szCs w:val="24"/>
        </w:rPr>
        <w:t xml:space="preserve"> una adjudicación a favor de un proponente que no presentó la póliza de seriedad </w:t>
      </w:r>
      <w:r w:rsidR="009E5D0D" w:rsidRPr="00E6086A">
        <w:rPr>
          <w:rFonts w:cs="Arial"/>
          <w:szCs w:val="24"/>
        </w:rPr>
        <w:t xml:space="preserve">con la cobertura completa, </w:t>
      </w:r>
      <w:r w:rsidR="00146A02" w:rsidRPr="00E6086A">
        <w:rPr>
          <w:rFonts w:cs="Arial"/>
          <w:szCs w:val="24"/>
        </w:rPr>
        <w:t xml:space="preserve">habiendo </w:t>
      </w:r>
      <w:r w:rsidR="009E5D0D" w:rsidRPr="00E6086A">
        <w:rPr>
          <w:rFonts w:cs="Arial"/>
          <w:szCs w:val="24"/>
        </w:rPr>
        <w:t>queda</w:t>
      </w:r>
      <w:r w:rsidR="00146A02" w:rsidRPr="00E6086A">
        <w:rPr>
          <w:rFonts w:cs="Arial"/>
          <w:szCs w:val="24"/>
        </w:rPr>
        <w:t xml:space="preserve">do el </w:t>
      </w:r>
      <w:r w:rsidR="009E5D0D" w:rsidRPr="00E6086A">
        <w:rPr>
          <w:rFonts w:cs="Arial"/>
          <w:szCs w:val="24"/>
        </w:rPr>
        <w:t>municipio en descubierto para el evento del artículo 30 de la Ley 80 de 1993</w:t>
      </w:r>
      <w:r w:rsidR="009E5D0D" w:rsidRPr="00E6086A">
        <w:rPr>
          <w:rStyle w:val="Refdenotaalpie"/>
          <w:rFonts w:cs="Arial"/>
          <w:szCs w:val="24"/>
        </w:rPr>
        <w:footnoteReference w:id="25"/>
      </w:r>
      <w:r w:rsidR="009E5D0D" w:rsidRPr="00E6086A">
        <w:rPr>
          <w:rFonts w:cs="Arial"/>
          <w:szCs w:val="24"/>
        </w:rPr>
        <w:t xml:space="preserve">, </w:t>
      </w:r>
      <w:r w:rsidRPr="00E6086A">
        <w:rPr>
          <w:rFonts w:cs="Arial"/>
          <w:szCs w:val="24"/>
        </w:rPr>
        <w:t>aspecto que no es correcto para el caso en cuestión.</w:t>
      </w:r>
      <w:r w:rsidR="00E54648" w:rsidRPr="00E6086A">
        <w:rPr>
          <w:rFonts w:cs="Arial"/>
          <w:szCs w:val="24"/>
        </w:rPr>
        <w:t xml:space="preserve"> Se resalta que la adjudicación no fue a favor de la Unión Temporal Lama Ltda – Asfaltadora Colombiana Ltda.</w:t>
      </w:r>
    </w:p>
    <w:p w:rsidR="00C14B71" w:rsidRPr="00E6086A" w:rsidRDefault="00C14B71" w:rsidP="009D3798">
      <w:pPr>
        <w:pStyle w:val="Encabezado"/>
        <w:tabs>
          <w:tab w:val="clear" w:pos="4419"/>
          <w:tab w:val="center" w:pos="0"/>
        </w:tabs>
        <w:rPr>
          <w:rFonts w:cs="Arial"/>
          <w:b/>
          <w:szCs w:val="24"/>
        </w:rPr>
      </w:pPr>
    </w:p>
    <w:p w:rsidR="00FD1858" w:rsidRPr="00E6086A" w:rsidRDefault="00E916EC" w:rsidP="009D3798">
      <w:pPr>
        <w:pStyle w:val="Encabezado"/>
        <w:tabs>
          <w:tab w:val="clear" w:pos="4419"/>
          <w:tab w:val="center" w:pos="0"/>
        </w:tabs>
        <w:rPr>
          <w:rFonts w:cs="Arial"/>
          <w:b/>
          <w:szCs w:val="24"/>
        </w:rPr>
      </w:pPr>
      <w:r w:rsidRPr="00E6086A">
        <w:rPr>
          <w:rFonts w:cs="Arial"/>
          <w:b/>
          <w:szCs w:val="24"/>
        </w:rPr>
        <w:t>5.</w:t>
      </w:r>
      <w:r w:rsidR="00AE66FA" w:rsidRPr="00E6086A">
        <w:rPr>
          <w:rFonts w:cs="Arial"/>
          <w:b/>
          <w:szCs w:val="24"/>
        </w:rPr>
        <w:t>2</w:t>
      </w:r>
      <w:r w:rsidRPr="00E6086A">
        <w:rPr>
          <w:rFonts w:cs="Arial"/>
          <w:b/>
          <w:szCs w:val="24"/>
        </w:rPr>
        <w:t>.</w:t>
      </w:r>
      <w:r w:rsidR="00FD1858" w:rsidRPr="00E6086A">
        <w:rPr>
          <w:rFonts w:cs="Arial"/>
          <w:b/>
          <w:szCs w:val="24"/>
        </w:rPr>
        <w:t xml:space="preserve"> La Resolución 075 de 1999</w:t>
      </w:r>
    </w:p>
    <w:p w:rsidR="00FD1858" w:rsidRPr="00E6086A" w:rsidRDefault="00FD1858" w:rsidP="009D3798">
      <w:pPr>
        <w:pStyle w:val="Encabezado"/>
        <w:tabs>
          <w:tab w:val="clear" w:pos="4419"/>
          <w:tab w:val="center" w:pos="0"/>
        </w:tabs>
        <w:rPr>
          <w:rFonts w:cs="Arial"/>
          <w:b/>
          <w:szCs w:val="24"/>
        </w:rPr>
      </w:pPr>
    </w:p>
    <w:p w:rsidR="00BB1E99" w:rsidRPr="00E6086A" w:rsidRDefault="00411726" w:rsidP="009D3798">
      <w:pPr>
        <w:pStyle w:val="Encabezado"/>
        <w:tabs>
          <w:tab w:val="clear" w:pos="4419"/>
          <w:tab w:val="center" w:pos="0"/>
        </w:tabs>
        <w:rPr>
          <w:rFonts w:cs="Arial"/>
          <w:szCs w:val="24"/>
        </w:rPr>
      </w:pPr>
      <w:r w:rsidRPr="00E6086A">
        <w:rPr>
          <w:rFonts w:cs="Arial"/>
          <w:szCs w:val="24"/>
        </w:rPr>
        <w:t xml:space="preserve">Se allegó al plenario el acto administrativo </w:t>
      </w:r>
      <w:r w:rsidR="0039071A" w:rsidRPr="00E6086A">
        <w:rPr>
          <w:rFonts w:cs="Arial"/>
          <w:szCs w:val="24"/>
        </w:rPr>
        <w:t>cuya nulidad se pretende</w:t>
      </w:r>
      <w:r w:rsidR="006F0D09" w:rsidRPr="00E6086A">
        <w:rPr>
          <w:rFonts w:cs="Arial"/>
          <w:szCs w:val="24"/>
        </w:rPr>
        <w:t>, esto es,</w:t>
      </w:r>
      <w:r w:rsidR="00BB1E99" w:rsidRPr="00E6086A">
        <w:rPr>
          <w:rFonts w:cs="Arial"/>
          <w:szCs w:val="24"/>
        </w:rPr>
        <w:t xml:space="preserve"> la Resolución 075 de 23 de </w:t>
      </w:r>
      <w:r w:rsidR="006F0D09" w:rsidRPr="00E6086A">
        <w:rPr>
          <w:rFonts w:cs="Arial"/>
          <w:szCs w:val="24"/>
        </w:rPr>
        <w:t xml:space="preserve">diciembre de </w:t>
      </w:r>
      <w:r w:rsidR="00BB1E99" w:rsidRPr="00E6086A">
        <w:rPr>
          <w:rFonts w:cs="Arial"/>
          <w:szCs w:val="24"/>
        </w:rPr>
        <w:t xml:space="preserve">1999, </w:t>
      </w:r>
      <w:r w:rsidR="006F0D09" w:rsidRPr="00E6086A">
        <w:rPr>
          <w:rFonts w:cs="Arial"/>
          <w:szCs w:val="24"/>
        </w:rPr>
        <w:t xml:space="preserve">de cuya parte </w:t>
      </w:r>
      <w:r w:rsidR="00BB1E99" w:rsidRPr="00E6086A">
        <w:rPr>
          <w:rFonts w:cs="Arial"/>
          <w:szCs w:val="24"/>
        </w:rPr>
        <w:t>consider</w:t>
      </w:r>
      <w:r w:rsidR="006F0D09" w:rsidRPr="00E6086A">
        <w:rPr>
          <w:rFonts w:cs="Arial"/>
          <w:szCs w:val="24"/>
        </w:rPr>
        <w:t>ativa, se destaca lo siguiente (se transcribe literal, incluso con posibles errores):</w:t>
      </w:r>
    </w:p>
    <w:p w:rsidR="00BB1E99" w:rsidRPr="00E6086A" w:rsidRDefault="00BB1E99" w:rsidP="009D3798">
      <w:pPr>
        <w:pStyle w:val="Encabezado"/>
        <w:tabs>
          <w:tab w:val="clear" w:pos="4419"/>
          <w:tab w:val="center" w:pos="0"/>
        </w:tabs>
        <w:rPr>
          <w:rFonts w:cs="Arial"/>
          <w:b/>
          <w:szCs w:val="24"/>
        </w:rPr>
      </w:pPr>
    </w:p>
    <w:p w:rsidR="00C05D40" w:rsidRPr="00E6086A" w:rsidRDefault="00BB1E99" w:rsidP="009D3798">
      <w:pPr>
        <w:pStyle w:val="Encabezado"/>
        <w:tabs>
          <w:tab w:val="clear" w:pos="4419"/>
          <w:tab w:val="center" w:pos="567"/>
        </w:tabs>
        <w:spacing w:line="276" w:lineRule="auto"/>
        <w:rPr>
          <w:rFonts w:cs="Arial"/>
          <w:i/>
          <w:szCs w:val="24"/>
        </w:rPr>
      </w:pPr>
      <w:r w:rsidRPr="00E6086A">
        <w:rPr>
          <w:rFonts w:cs="Arial"/>
          <w:i/>
          <w:szCs w:val="24"/>
        </w:rPr>
        <w:t>“</w:t>
      </w:r>
      <w:r w:rsidR="00D23DFC" w:rsidRPr="00E6086A">
        <w:rPr>
          <w:rFonts w:cs="Arial"/>
          <w:i/>
          <w:szCs w:val="24"/>
        </w:rPr>
        <w:t>8.</w:t>
      </w:r>
      <w:r w:rsidR="00D23DFC" w:rsidRPr="00E6086A">
        <w:rPr>
          <w:rFonts w:cs="Arial"/>
          <w:b/>
          <w:i/>
          <w:szCs w:val="24"/>
        </w:rPr>
        <w:t xml:space="preserve"> </w:t>
      </w:r>
      <w:r w:rsidR="00D23DFC" w:rsidRPr="00E6086A">
        <w:rPr>
          <w:rFonts w:cs="Arial"/>
          <w:i/>
          <w:szCs w:val="24"/>
        </w:rPr>
        <w:t xml:space="preserve">Que el Comité Asesor de la Contratación de Obras Públicas según consta en el Acta 12 del 12 de diciembre de 1999, luego de estudiar la evaluación de las propuestas y analizar las reclamaciones presentadas, así como las respuestas que a las misma se dan, no estuvo de acuerdo con </w:t>
      </w:r>
      <w:r w:rsidR="0041561A" w:rsidRPr="00E6086A">
        <w:rPr>
          <w:rFonts w:cs="Arial"/>
          <w:i/>
          <w:szCs w:val="24"/>
        </w:rPr>
        <w:t>la posición presentada por el INVAL con relación a la reclamación del contratista Unión Temporal Jorge Montañez y Cía Ltda- Alvaro Rodríguez Bermúdez y Lama Ingeniería Ltda</w:t>
      </w:r>
      <w:r w:rsidR="00C05D40" w:rsidRPr="00E6086A">
        <w:rPr>
          <w:rFonts w:cs="Arial"/>
          <w:i/>
          <w:szCs w:val="24"/>
        </w:rPr>
        <w:t xml:space="preserve"> – Asfaltadora Colombia</w:t>
      </w:r>
      <w:r w:rsidR="00F73BAA" w:rsidRPr="00E6086A">
        <w:rPr>
          <w:rFonts w:cs="Arial"/>
          <w:i/>
          <w:szCs w:val="24"/>
        </w:rPr>
        <w:t>na</w:t>
      </w:r>
      <w:r w:rsidR="00C05D40" w:rsidRPr="00E6086A">
        <w:rPr>
          <w:rFonts w:cs="Arial"/>
          <w:i/>
          <w:szCs w:val="24"/>
        </w:rPr>
        <w:t>, aduciendo que el pliego de condiciones no puede estar por encima de la Constitución y d</w:t>
      </w:r>
      <w:r w:rsidR="00BD73D2" w:rsidRPr="00E6086A">
        <w:rPr>
          <w:rFonts w:cs="Arial"/>
          <w:i/>
          <w:szCs w:val="24"/>
        </w:rPr>
        <w:t xml:space="preserve">e </w:t>
      </w:r>
      <w:r w:rsidR="00C05D40" w:rsidRPr="00E6086A">
        <w:rPr>
          <w:rFonts w:cs="Arial"/>
          <w:i/>
          <w:szCs w:val="24"/>
        </w:rPr>
        <w:t>la Ley 80, y sustenta su posición, así:</w:t>
      </w:r>
    </w:p>
    <w:p w:rsidR="00C05D40" w:rsidRPr="00E6086A" w:rsidRDefault="00C05D40" w:rsidP="009D3798">
      <w:pPr>
        <w:pStyle w:val="Encabezado"/>
        <w:tabs>
          <w:tab w:val="clear" w:pos="4419"/>
          <w:tab w:val="center" w:pos="567"/>
        </w:tabs>
        <w:spacing w:line="276" w:lineRule="auto"/>
        <w:rPr>
          <w:rFonts w:cs="Arial"/>
          <w:i/>
          <w:szCs w:val="24"/>
        </w:rPr>
      </w:pPr>
    </w:p>
    <w:p w:rsidR="00FC78B6" w:rsidRPr="00E6086A" w:rsidRDefault="00C05D40" w:rsidP="009D3798">
      <w:pPr>
        <w:pStyle w:val="Encabezado"/>
        <w:tabs>
          <w:tab w:val="clear" w:pos="4419"/>
          <w:tab w:val="center" w:pos="567"/>
        </w:tabs>
        <w:spacing w:line="276" w:lineRule="auto"/>
        <w:rPr>
          <w:rFonts w:cs="Arial"/>
          <w:i/>
          <w:szCs w:val="24"/>
        </w:rPr>
      </w:pPr>
      <w:r w:rsidRPr="00E6086A">
        <w:rPr>
          <w:rFonts w:cs="Arial"/>
          <w:i/>
          <w:szCs w:val="24"/>
        </w:rPr>
        <w:t>‘Una vez leído el informe de evaluación correspondiente a la licitación 09M/99, el Comité se aparta del concepto jurídico presentado en el mismo, en el cual se rechaza una pr</w:t>
      </w:r>
      <w:r w:rsidR="00BD73D2" w:rsidRPr="00E6086A">
        <w:rPr>
          <w:rFonts w:cs="Arial"/>
          <w:i/>
          <w:szCs w:val="24"/>
        </w:rPr>
        <w:t>o</w:t>
      </w:r>
      <w:r w:rsidRPr="00E6086A">
        <w:rPr>
          <w:rFonts w:cs="Arial"/>
          <w:i/>
          <w:szCs w:val="24"/>
        </w:rPr>
        <w:t>puesta por no presentar póliza de seriedad de la propuesta por el valor del presupuesto oficial; desconociendo el principio de la economía</w:t>
      </w:r>
      <w:r w:rsidR="00E14050" w:rsidRPr="00E6086A">
        <w:rPr>
          <w:rFonts w:cs="Arial"/>
          <w:i/>
          <w:szCs w:val="24"/>
        </w:rPr>
        <w:t xml:space="preserve"> que contempla la Ley 80/93 en su artículo 25, que en el inciso 2º, del numeral 15 reza: </w:t>
      </w:r>
      <w:r w:rsidR="00E14050" w:rsidRPr="00E6086A">
        <w:rPr>
          <w:rFonts w:cs="Arial"/>
          <w:i/>
          <w:szCs w:val="24"/>
        </w:rPr>
        <w:lastRenderedPageBreak/>
        <w:t xml:space="preserve">‘la ausencia de requisitos y la falta de documentos referentes a la futura contratación o al proponente no necesarios para la comparación de las propuestas, no servirá de título suficiente para el rechazo </w:t>
      </w:r>
      <w:r w:rsidR="00FC78B6" w:rsidRPr="00E6086A">
        <w:rPr>
          <w:rFonts w:cs="Arial"/>
          <w:i/>
          <w:szCs w:val="24"/>
        </w:rPr>
        <w:t>de los ofrecimientos hechos’.</w:t>
      </w:r>
    </w:p>
    <w:p w:rsidR="00FC78B6" w:rsidRPr="00E6086A" w:rsidRDefault="00FC78B6" w:rsidP="009D3798">
      <w:pPr>
        <w:pStyle w:val="Encabezado"/>
        <w:tabs>
          <w:tab w:val="clear" w:pos="4419"/>
          <w:tab w:val="center" w:pos="567"/>
        </w:tabs>
        <w:spacing w:line="276" w:lineRule="auto"/>
        <w:rPr>
          <w:rFonts w:cs="Arial"/>
          <w:i/>
          <w:szCs w:val="24"/>
        </w:rPr>
      </w:pPr>
    </w:p>
    <w:p w:rsidR="00FC78B6" w:rsidRPr="00E6086A" w:rsidRDefault="00FC78B6" w:rsidP="009D3798">
      <w:pPr>
        <w:pStyle w:val="Encabezado"/>
        <w:tabs>
          <w:tab w:val="clear" w:pos="4419"/>
          <w:tab w:val="center" w:pos="567"/>
        </w:tabs>
        <w:spacing w:line="276" w:lineRule="auto"/>
        <w:rPr>
          <w:rFonts w:cs="Arial"/>
          <w:i/>
          <w:szCs w:val="24"/>
        </w:rPr>
      </w:pPr>
      <w:r w:rsidRPr="00E6086A">
        <w:rPr>
          <w:rFonts w:cs="Arial"/>
          <w:i/>
          <w:szCs w:val="24"/>
        </w:rPr>
        <w:t>‘Existe pues prohibición legal para rechazar un</w:t>
      </w:r>
      <w:r w:rsidR="00AE66FA" w:rsidRPr="00E6086A">
        <w:rPr>
          <w:rFonts w:cs="Arial"/>
          <w:i/>
          <w:szCs w:val="24"/>
        </w:rPr>
        <w:t>a</w:t>
      </w:r>
      <w:r w:rsidRPr="00E6086A">
        <w:rPr>
          <w:rFonts w:cs="Arial"/>
          <w:i/>
          <w:szCs w:val="24"/>
        </w:rPr>
        <w:t xml:space="preserve"> propuesta por falta de un requisito sustancial, que no solo puede ser corregido, sino que en ningún momento impide la comparación de las propuestas’.</w:t>
      </w:r>
    </w:p>
    <w:p w:rsidR="00FC78B6" w:rsidRPr="00E6086A" w:rsidRDefault="00FC78B6" w:rsidP="009D3798">
      <w:pPr>
        <w:pStyle w:val="Encabezado"/>
        <w:tabs>
          <w:tab w:val="clear" w:pos="4419"/>
          <w:tab w:val="center" w:pos="567"/>
        </w:tabs>
        <w:spacing w:line="276" w:lineRule="auto"/>
        <w:rPr>
          <w:rFonts w:cs="Arial"/>
          <w:i/>
          <w:szCs w:val="24"/>
        </w:rPr>
      </w:pPr>
    </w:p>
    <w:p w:rsidR="009E47DA" w:rsidRPr="00E6086A" w:rsidRDefault="00FC78B6" w:rsidP="009D3798">
      <w:pPr>
        <w:pStyle w:val="Encabezado"/>
        <w:tabs>
          <w:tab w:val="clear" w:pos="4419"/>
          <w:tab w:val="center" w:pos="567"/>
        </w:tabs>
        <w:spacing w:line="276" w:lineRule="auto"/>
        <w:rPr>
          <w:rFonts w:cs="Arial"/>
          <w:i/>
          <w:szCs w:val="24"/>
        </w:rPr>
      </w:pPr>
      <w:r w:rsidRPr="00E6086A">
        <w:rPr>
          <w:rFonts w:cs="Arial"/>
          <w:i/>
          <w:szCs w:val="24"/>
        </w:rPr>
        <w:t>‘Si bien es cierto que la Entidad contratante tiene la facultad de elaborar los pliegos de condiciones o términos de referencia, que más adelante serán ley para las partes, no puede ampararse en esa discre</w:t>
      </w:r>
      <w:r w:rsidR="00395B65" w:rsidRPr="00E6086A">
        <w:rPr>
          <w:rFonts w:cs="Arial"/>
          <w:i/>
          <w:szCs w:val="24"/>
        </w:rPr>
        <w:t>c</w:t>
      </w:r>
      <w:r w:rsidRPr="00E6086A">
        <w:rPr>
          <w:rFonts w:cs="Arial"/>
          <w:i/>
          <w:szCs w:val="24"/>
        </w:rPr>
        <w:t>ionalidad</w:t>
      </w:r>
      <w:r w:rsidR="009E47DA" w:rsidRPr="00E6086A">
        <w:rPr>
          <w:rFonts w:cs="Arial"/>
          <w:i/>
          <w:szCs w:val="24"/>
        </w:rPr>
        <w:t xml:space="preserve"> para contravenir una disposición de rango legal como lo es el citado artículo 25 del estatuto contractual, Principio de Economía, y olvidar el deber de selección objetiva de que trata el artículo 29 de la misma ley.</w:t>
      </w:r>
    </w:p>
    <w:p w:rsidR="009E47DA" w:rsidRPr="00E6086A" w:rsidRDefault="009E47DA" w:rsidP="009D3798">
      <w:pPr>
        <w:pStyle w:val="Encabezado"/>
        <w:tabs>
          <w:tab w:val="clear" w:pos="4419"/>
          <w:tab w:val="center" w:pos="567"/>
        </w:tabs>
        <w:spacing w:line="276" w:lineRule="auto"/>
        <w:rPr>
          <w:rFonts w:cs="Arial"/>
          <w:i/>
          <w:szCs w:val="24"/>
        </w:rPr>
      </w:pPr>
    </w:p>
    <w:p w:rsidR="00691374" w:rsidRPr="00E6086A" w:rsidRDefault="009E47DA" w:rsidP="009D3798">
      <w:pPr>
        <w:pStyle w:val="Encabezado"/>
        <w:tabs>
          <w:tab w:val="clear" w:pos="4419"/>
          <w:tab w:val="center" w:pos="567"/>
        </w:tabs>
        <w:spacing w:line="276" w:lineRule="auto"/>
        <w:rPr>
          <w:rFonts w:cs="Arial"/>
          <w:i/>
          <w:szCs w:val="24"/>
        </w:rPr>
      </w:pPr>
      <w:r w:rsidRPr="00E6086A">
        <w:rPr>
          <w:rFonts w:cs="Arial"/>
          <w:i/>
          <w:szCs w:val="24"/>
        </w:rPr>
        <w:t>‘Por lo anterior, y conforme a l</w:t>
      </w:r>
      <w:r w:rsidR="00395B65" w:rsidRPr="00E6086A">
        <w:rPr>
          <w:rFonts w:cs="Arial"/>
          <w:i/>
          <w:szCs w:val="24"/>
        </w:rPr>
        <w:t>os</w:t>
      </w:r>
      <w:r w:rsidRPr="00E6086A">
        <w:rPr>
          <w:rFonts w:cs="Arial"/>
          <w:i/>
          <w:szCs w:val="24"/>
        </w:rPr>
        <w:t xml:space="preserve"> postulados de la buena fe de que trata el artículo 83 de la Carta</w:t>
      </w:r>
      <w:r w:rsidR="00691374" w:rsidRPr="00E6086A">
        <w:rPr>
          <w:rFonts w:cs="Arial"/>
          <w:i/>
          <w:szCs w:val="24"/>
        </w:rPr>
        <w:t>, el Comité considera que la propuesta no debe ser rechazada, y se debe proceder a evaluar con las demás presentadas en la licitación’.</w:t>
      </w:r>
    </w:p>
    <w:p w:rsidR="00A54D43" w:rsidRPr="00E6086A" w:rsidRDefault="00A54D43" w:rsidP="009D3798">
      <w:pPr>
        <w:pStyle w:val="Encabezado"/>
        <w:tabs>
          <w:tab w:val="clear" w:pos="4419"/>
          <w:tab w:val="center" w:pos="567"/>
        </w:tabs>
        <w:spacing w:line="276" w:lineRule="auto"/>
        <w:rPr>
          <w:rFonts w:cs="Arial"/>
          <w:i/>
          <w:szCs w:val="24"/>
        </w:rPr>
      </w:pPr>
    </w:p>
    <w:p w:rsidR="0054763D" w:rsidRPr="00E6086A" w:rsidRDefault="00A54D43" w:rsidP="009D3798">
      <w:pPr>
        <w:pStyle w:val="Encabezado"/>
        <w:tabs>
          <w:tab w:val="clear" w:pos="4419"/>
          <w:tab w:val="center" w:pos="567"/>
        </w:tabs>
        <w:spacing w:line="276" w:lineRule="auto"/>
        <w:rPr>
          <w:rFonts w:cs="Arial"/>
          <w:i/>
          <w:szCs w:val="24"/>
        </w:rPr>
      </w:pPr>
      <w:r w:rsidRPr="00E6086A">
        <w:rPr>
          <w:rFonts w:cs="Arial"/>
          <w:i/>
          <w:szCs w:val="24"/>
        </w:rPr>
        <w:t>“</w:t>
      </w:r>
      <w:r w:rsidR="00691374" w:rsidRPr="00E6086A">
        <w:rPr>
          <w:rFonts w:cs="Arial"/>
          <w:i/>
          <w:szCs w:val="24"/>
        </w:rPr>
        <w:t>Por lo tanto, recomendó la adjudicación del contrato de obra pública, cuyo objeto es: ‘Terminación de la estructura, construcción de la cubierta, cerrajería, mampostería, redes de servicio</w:t>
      </w:r>
      <w:r w:rsidRPr="00E6086A">
        <w:rPr>
          <w:rFonts w:cs="Arial"/>
          <w:i/>
          <w:szCs w:val="24"/>
        </w:rPr>
        <w:t>, o</w:t>
      </w:r>
      <w:r w:rsidR="00691374" w:rsidRPr="00E6086A">
        <w:rPr>
          <w:rFonts w:cs="Arial"/>
          <w:i/>
          <w:szCs w:val="24"/>
        </w:rPr>
        <w:t>bras de urbanismo y complementarias en el Colegio Blanquizal Calle 57F por Carreras 92EE y 9</w:t>
      </w:r>
      <w:r w:rsidRPr="00E6086A">
        <w:rPr>
          <w:rFonts w:cs="Arial"/>
          <w:i/>
          <w:szCs w:val="24"/>
        </w:rPr>
        <w:t>3 de esta ciudad, al consorcio JORGE MONTAÑEZ Y CIA LTDA – ALVARO RODR</w:t>
      </w:r>
      <w:r w:rsidR="003325FD" w:rsidRPr="00E6086A">
        <w:rPr>
          <w:rFonts w:cs="Arial"/>
          <w:i/>
          <w:szCs w:val="24"/>
        </w:rPr>
        <w:t>Í</w:t>
      </w:r>
      <w:r w:rsidRPr="00E6086A">
        <w:rPr>
          <w:rFonts w:cs="Arial"/>
          <w:i/>
          <w:szCs w:val="24"/>
        </w:rPr>
        <w:t xml:space="preserve">GUEZ BERMÚDEZ, por valor </w:t>
      </w:r>
      <w:r w:rsidR="0054763D" w:rsidRPr="00E6086A">
        <w:rPr>
          <w:rFonts w:cs="Arial"/>
          <w:i/>
          <w:szCs w:val="24"/>
        </w:rPr>
        <w:t>de UN MIL TRES MILLONES UN PESO M/CTE ($1.003’000.001,00).</w:t>
      </w:r>
    </w:p>
    <w:p w:rsidR="0054763D" w:rsidRPr="00E6086A" w:rsidRDefault="0054763D" w:rsidP="009D3798">
      <w:pPr>
        <w:pStyle w:val="Encabezado"/>
        <w:tabs>
          <w:tab w:val="clear" w:pos="4419"/>
          <w:tab w:val="center" w:pos="567"/>
        </w:tabs>
        <w:spacing w:line="276" w:lineRule="auto"/>
        <w:rPr>
          <w:rFonts w:cs="Arial"/>
          <w:i/>
          <w:szCs w:val="24"/>
        </w:rPr>
      </w:pPr>
    </w:p>
    <w:p w:rsidR="008A5FA3" w:rsidRPr="00E6086A" w:rsidRDefault="003325FD" w:rsidP="009D3798">
      <w:pPr>
        <w:pStyle w:val="Encabezado"/>
        <w:tabs>
          <w:tab w:val="clear" w:pos="4419"/>
          <w:tab w:val="center" w:pos="567"/>
        </w:tabs>
        <w:spacing w:line="276" w:lineRule="auto"/>
        <w:rPr>
          <w:rFonts w:cs="Arial"/>
          <w:i/>
          <w:szCs w:val="24"/>
        </w:rPr>
      </w:pPr>
      <w:r w:rsidRPr="00E6086A">
        <w:rPr>
          <w:rFonts w:cs="Arial"/>
          <w:i/>
          <w:szCs w:val="24"/>
        </w:rPr>
        <w:t>“</w:t>
      </w:r>
      <w:r w:rsidR="0054763D" w:rsidRPr="00E6086A">
        <w:rPr>
          <w:rFonts w:cs="Arial"/>
          <w:i/>
          <w:szCs w:val="24"/>
        </w:rPr>
        <w:t xml:space="preserve">9. Que como corresponde, ante la solicitud de adjudicación a través  </w:t>
      </w:r>
      <w:r w:rsidR="00FD47F7" w:rsidRPr="00E6086A">
        <w:rPr>
          <w:rFonts w:cs="Arial"/>
          <w:i/>
          <w:szCs w:val="24"/>
        </w:rPr>
        <w:t xml:space="preserve">de la Audiencia Pública, la misma se llevó a cabo el día 23 de diciembre de 1999 a las 10 de la mañana, previa citación de todos los proponentes y los funcionarios correspondientes de la cual se levantó </w:t>
      </w:r>
      <w:r w:rsidR="008A5FA3" w:rsidRPr="00E6086A">
        <w:rPr>
          <w:rFonts w:cs="Arial"/>
          <w:i/>
          <w:szCs w:val="24"/>
        </w:rPr>
        <w:t>Acta correspondiente, la cual hace parte integrante de esta Resolución, sin que se presentaran circunstancias que invalidaran la actuación.</w:t>
      </w:r>
    </w:p>
    <w:p w:rsidR="00CA5822" w:rsidRPr="00E6086A" w:rsidRDefault="00CA5822" w:rsidP="009D3798">
      <w:pPr>
        <w:pStyle w:val="Encabezado"/>
        <w:tabs>
          <w:tab w:val="clear" w:pos="4419"/>
          <w:tab w:val="center" w:pos="567"/>
        </w:tabs>
        <w:spacing w:line="276" w:lineRule="auto"/>
        <w:rPr>
          <w:rFonts w:cs="Arial"/>
          <w:i/>
          <w:szCs w:val="24"/>
        </w:rPr>
      </w:pPr>
    </w:p>
    <w:p w:rsidR="004716C0" w:rsidRPr="00E6086A" w:rsidRDefault="008B4C59" w:rsidP="009D3798">
      <w:pPr>
        <w:pStyle w:val="Encabezado"/>
        <w:tabs>
          <w:tab w:val="clear" w:pos="4419"/>
          <w:tab w:val="center" w:pos="567"/>
        </w:tabs>
        <w:spacing w:line="276" w:lineRule="auto"/>
        <w:rPr>
          <w:rFonts w:cs="Arial"/>
          <w:i/>
          <w:szCs w:val="24"/>
        </w:rPr>
      </w:pPr>
      <w:r w:rsidRPr="00E6086A">
        <w:rPr>
          <w:rFonts w:cs="Arial"/>
          <w:i/>
          <w:szCs w:val="24"/>
        </w:rPr>
        <w:t>“</w:t>
      </w:r>
      <w:r w:rsidR="008A5FA3" w:rsidRPr="00E6086A">
        <w:rPr>
          <w:rFonts w:cs="Arial"/>
          <w:i/>
          <w:szCs w:val="24"/>
        </w:rPr>
        <w:t xml:space="preserve">10. Que mediante el Decreto 724 de septiembre de 1999, el Alcalde de Medellín delegó en el Secretario de Obras Públicas, la competencia para celebrar contratos de obra </w:t>
      </w:r>
      <w:r w:rsidR="004716C0" w:rsidRPr="00E6086A">
        <w:rPr>
          <w:rFonts w:cs="Arial"/>
          <w:i/>
          <w:szCs w:val="24"/>
        </w:rPr>
        <w:t>púb</w:t>
      </w:r>
      <w:r w:rsidR="00C01A50" w:rsidRPr="00E6086A">
        <w:rPr>
          <w:rFonts w:cs="Arial"/>
          <w:i/>
          <w:szCs w:val="24"/>
        </w:rPr>
        <w:t>l</w:t>
      </w:r>
      <w:r w:rsidR="004716C0" w:rsidRPr="00E6086A">
        <w:rPr>
          <w:rFonts w:cs="Arial"/>
          <w:i/>
          <w:szCs w:val="24"/>
        </w:rPr>
        <w:t xml:space="preserve">ica Hasta Veinte Mil Salarios Mínimos, </w:t>
      </w:r>
    </w:p>
    <w:p w:rsidR="004716C0" w:rsidRPr="00E6086A" w:rsidRDefault="004716C0" w:rsidP="009D3798">
      <w:pPr>
        <w:pStyle w:val="Encabezado"/>
        <w:tabs>
          <w:tab w:val="clear" w:pos="4419"/>
          <w:tab w:val="center" w:pos="567"/>
        </w:tabs>
        <w:spacing w:line="276" w:lineRule="auto"/>
        <w:rPr>
          <w:rFonts w:cs="Arial"/>
          <w:i/>
          <w:szCs w:val="24"/>
        </w:rPr>
      </w:pPr>
    </w:p>
    <w:p w:rsidR="004716C0" w:rsidRPr="00E6086A" w:rsidRDefault="00457795" w:rsidP="009D3798">
      <w:pPr>
        <w:pStyle w:val="Encabezado"/>
        <w:tabs>
          <w:tab w:val="clear" w:pos="4419"/>
          <w:tab w:val="center" w:pos="567"/>
        </w:tabs>
        <w:spacing w:line="276" w:lineRule="auto"/>
        <w:jc w:val="center"/>
        <w:rPr>
          <w:rFonts w:cs="Arial"/>
          <w:i/>
          <w:szCs w:val="24"/>
        </w:rPr>
      </w:pPr>
      <w:r w:rsidRPr="00E6086A">
        <w:rPr>
          <w:rFonts w:cs="Arial"/>
          <w:i/>
          <w:szCs w:val="24"/>
        </w:rPr>
        <w:t>“</w:t>
      </w:r>
      <w:r w:rsidR="004716C0" w:rsidRPr="00E6086A">
        <w:rPr>
          <w:rFonts w:cs="Arial"/>
          <w:i/>
          <w:szCs w:val="24"/>
        </w:rPr>
        <w:t>RESUELVE</w:t>
      </w:r>
    </w:p>
    <w:p w:rsidR="004716C0" w:rsidRPr="00E6086A" w:rsidRDefault="004716C0" w:rsidP="009D3798">
      <w:pPr>
        <w:pStyle w:val="Encabezado"/>
        <w:tabs>
          <w:tab w:val="clear" w:pos="4419"/>
          <w:tab w:val="center" w:pos="567"/>
        </w:tabs>
        <w:spacing w:line="276" w:lineRule="auto"/>
        <w:rPr>
          <w:rFonts w:cs="Arial"/>
          <w:i/>
          <w:szCs w:val="24"/>
        </w:rPr>
      </w:pPr>
    </w:p>
    <w:p w:rsidR="008B5CAD" w:rsidRPr="00E6086A" w:rsidRDefault="00457795" w:rsidP="009D3798">
      <w:pPr>
        <w:pStyle w:val="Encabezado"/>
        <w:tabs>
          <w:tab w:val="clear" w:pos="4419"/>
          <w:tab w:val="center" w:pos="567"/>
        </w:tabs>
        <w:spacing w:line="276" w:lineRule="auto"/>
        <w:rPr>
          <w:rFonts w:cs="Arial"/>
          <w:i/>
          <w:szCs w:val="24"/>
        </w:rPr>
      </w:pPr>
      <w:r w:rsidRPr="00E6086A">
        <w:rPr>
          <w:rFonts w:cs="Arial"/>
          <w:i/>
          <w:szCs w:val="24"/>
        </w:rPr>
        <w:t>“</w:t>
      </w:r>
      <w:r w:rsidR="004716C0" w:rsidRPr="00E6086A">
        <w:rPr>
          <w:rFonts w:cs="Arial"/>
          <w:i/>
          <w:szCs w:val="24"/>
        </w:rPr>
        <w:t>ARTÍCULO PRIMERO. Adjudicar al CONSORCIO JORGE MONTAÑEZ Y CIA LTDA – ALVARO RODRÍGUEZ BERMUDEZ</w:t>
      </w:r>
      <w:r w:rsidR="00442C66" w:rsidRPr="00E6086A">
        <w:rPr>
          <w:rFonts w:cs="Arial"/>
          <w:i/>
          <w:szCs w:val="24"/>
        </w:rPr>
        <w:t xml:space="preserve">, la licitación 09M de 1999, cuyo objeto es la </w:t>
      </w:r>
      <w:r w:rsidR="0031321F" w:rsidRPr="00E6086A">
        <w:rPr>
          <w:rFonts w:cs="Arial"/>
          <w:i/>
          <w:szCs w:val="24"/>
        </w:rPr>
        <w:t>‘</w:t>
      </w:r>
      <w:r w:rsidR="00442C66" w:rsidRPr="00E6086A">
        <w:rPr>
          <w:rFonts w:cs="Arial"/>
          <w:i/>
          <w:szCs w:val="24"/>
        </w:rPr>
        <w:t>Terminación de estructura, construcción de cubierta, cerrajería, mampostería, redes de servicio, obras de urbanismo y complementarias en el Colegio Bl</w:t>
      </w:r>
      <w:r w:rsidR="0031321F" w:rsidRPr="00E6086A">
        <w:rPr>
          <w:rFonts w:cs="Arial"/>
          <w:i/>
          <w:szCs w:val="24"/>
        </w:rPr>
        <w:t>a</w:t>
      </w:r>
      <w:r w:rsidR="00442C66" w:rsidRPr="00E6086A">
        <w:rPr>
          <w:rFonts w:cs="Arial"/>
          <w:i/>
          <w:szCs w:val="24"/>
        </w:rPr>
        <w:t>nquizal, Calle 5F por Carreras 92EE y 93’</w:t>
      </w:r>
      <w:r w:rsidR="0031321F" w:rsidRPr="00E6086A">
        <w:rPr>
          <w:rFonts w:cs="Arial"/>
          <w:i/>
          <w:szCs w:val="24"/>
        </w:rPr>
        <w:t xml:space="preserve"> de esta ciudad, por un valor de UN MIL TRES MILLONES UN PESO M/CTE (1.003’001.001,</w:t>
      </w:r>
      <w:r w:rsidR="002C4792" w:rsidRPr="00E6086A">
        <w:rPr>
          <w:rFonts w:cs="Arial"/>
          <w:i/>
          <w:szCs w:val="24"/>
        </w:rPr>
        <w:t>oo</w:t>
      </w:r>
      <w:r w:rsidR="0031321F" w:rsidRPr="00E6086A">
        <w:rPr>
          <w:rFonts w:cs="Arial"/>
          <w:i/>
          <w:szCs w:val="24"/>
        </w:rPr>
        <w:t>)</w:t>
      </w:r>
      <w:r w:rsidR="008B5CAD" w:rsidRPr="00E6086A">
        <w:rPr>
          <w:rFonts w:cs="Arial"/>
          <w:i/>
          <w:szCs w:val="24"/>
        </w:rPr>
        <w:t xml:space="preserve"> y un plazo de ejecución de doscientos cuarenta días (240) solares</w:t>
      </w:r>
      <w:r w:rsidR="008B04E4" w:rsidRPr="00E6086A">
        <w:rPr>
          <w:rFonts w:cs="Arial"/>
          <w:i/>
          <w:szCs w:val="24"/>
        </w:rPr>
        <w:t>’</w:t>
      </w:r>
      <w:r w:rsidR="008B5CAD" w:rsidRPr="00E6086A">
        <w:rPr>
          <w:rFonts w:cs="Arial"/>
          <w:i/>
          <w:szCs w:val="24"/>
        </w:rPr>
        <w:t>.</w:t>
      </w:r>
    </w:p>
    <w:p w:rsidR="00CA5822" w:rsidRPr="00E6086A" w:rsidRDefault="00CA5822" w:rsidP="009D3798">
      <w:pPr>
        <w:pStyle w:val="Encabezado"/>
        <w:tabs>
          <w:tab w:val="clear" w:pos="4419"/>
          <w:tab w:val="center" w:pos="567"/>
        </w:tabs>
        <w:spacing w:line="276" w:lineRule="auto"/>
        <w:rPr>
          <w:rFonts w:cs="Arial"/>
          <w:i/>
          <w:szCs w:val="24"/>
        </w:rPr>
      </w:pPr>
    </w:p>
    <w:p w:rsidR="008B5CAD" w:rsidRPr="00E6086A" w:rsidRDefault="00CA5822" w:rsidP="009D3798">
      <w:pPr>
        <w:pStyle w:val="Encabezado"/>
        <w:tabs>
          <w:tab w:val="clear" w:pos="4419"/>
          <w:tab w:val="center" w:pos="567"/>
        </w:tabs>
        <w:spacing w:line="276" w:lineRule="auto"/>
        <w:rPr>
          <w:rFonts w:cs="Arial"/>
          <w:i/>
          <w:szCs w:val="24"/>
        </w:rPr>
      </w:pPr>
      <w:r w:rsidRPr="00E6086A">
        <w:rPr>
          <w:rFonts w:cs="Arial"/>
          <w:i/>
          <w:szCs w:val="24"/>
        </w:rPr>
        <w:t>“</w:t>
      </w:r>
      <w:r w:rsidR="008B5CAD" w:rsidRPr="00E6086A">
        <w:rPr>
          <w:rFonts w:cs="Arial"/>
          <w:i/>
          <w:szCs w:val="24"/>
        </w:rPr>
        <w:t>(…)</w:t>
      </w:r>
      <w:r w:rsidRPr="00E6086A">
        <w:rPr>
          <w:rFonts w:cs="Arial"/>
          <w:i/>
          <w:szCs w:val="24"/>
        </w:rPr>
        <w:t>.</w:t>
      </w:r>
    </w:p>
    <w:p w:rsidR="00CA5822" w:rsidRPr="00E6086A" w:rsidRDefault="00CA5822" w:rsidP="009D3798">
      <w:pPr>
        <w:pStyle w:val="Encabezado"/>
        <w:tabs>
          <w:tab w:val="clear" w:pos="4419"/>
          <w:tab w:val="center" w:pos="567"/>
        </w:tabs>
        <w:spacing w:line="276" w:lineRule="auto"/>
        <w:rPr>
          <w:rFonts w:cs="Arial"/>
          <w:i/>
          <w:szCs w:val="24"/>
        </w:rPr>
      </w:pPr>
    </w:p>
    <w:p w:rsidR="008B5CAD" w:rsidRPr="00E6086A" w:rsidRDefault="00A6365D" w:rsidP="009D3798">
      <w:pPr>
        <w:pStyle w:val="Encabezado"/>
        <w:tabs>
          <w:tab w:val="clear" w:pos="4419"/>
          <w:tab w:val="center" w:pos="567"/>
        </w:tabs>
        <w:spacing w:line="276" w:lineRule="auto"/>
        <w:rPr>
          <w:rFonts w:cs="Arial"/>
          <w:i/>
          <w:szCs w:val="24"/>
        </w:rPr>
      </w:pPr>
      <w:r w:rsidRPr="00E6086A">
        <w:rPr>
          <w:rFonts w:cs="Arial"/>
          <w:i/>
          <w:szCs w:val="24"/>
        </w:rPr>
        <w:t>“</w:t>
      </w:r>
      <w:r w:rsidR="008B5CAD" w:rsidRPr="00E6086A">
        <w:rPr>
          <w:rFonts w:cs="Arial"/>
          <w:i/>
          <w:szCs w:val="24"/>
        </w:rPr>
        <w:t>NOTIF</w:t>
      </w:r>
      <w:r w:rsidRPr="00E6086A">
        <w:rPr>
          <w:rFonts w:cs="Arial"/>
          <w:i/>
          <w:szCs w:val="24"/>
        </w:rPr>
        <w:t>Í</w:t>
      </w:r>
      <w:r w:rsidR="008B5CAD" w:rsidRPr="00E6086A">
        <w:rPr>
          <w:rFonts w:cs="Arial"/>
          <w:i/>
          <w:szCs w:val="24"/>
        </w:rPr>
        <w:t>QUESE Y C</w:t>
      </w:r>
      <w:r w:rsidR="00B258DC" w:rsidRPr="00E6086A">
        <w:rPr>
          <w:rFonts w:cs="Arial"/>
          <w:i/>
          <w:szCs w:val="24"/>
        </w:rPr>
        <w:t>Ú</w:t>
      </w:r>
      <w:r w:rsidR="008B5CAD" w:rsidRPr="00E6086A">
        <w:rPr>
          <w:rFonts w:cs="Arial"/>
          <w:i/>
          <w:szCs w:val="24"/>
        </w:rPr>
        <w:t xml:space="preserve">MPLASE </w:t>
      </w:r>
    </w:p>
    <w:p w:rsidR="00A6365D" w:rsidRPr="00E6086A" w:rsidRDefault="00A6365D" w:rsidP="009D3798">
      <w:pPr>
        <w:pStyle w:val="Encabezado"/>
        <w:tabs>
          <w:tab w:val="clear" w:pos="4419"/>
          <w:tab w:val="center" w:pos="567"/>
        </w:tabs>
        <w:spacing w:line="276" w:lineRule="auto"/>
        <w:rPr>
          <w:rFonts w:cs="Arial"/>
          <w:i/>
          <w:szCs w:val="24"/>
        </w:rPr>
      </w:pPr>
    </w:p>
    <w:p w:rsidR="008B5CAD" w:rsidRPr="00E6086A" w:rsidRDefault="00A6365D" w:rsidP="009D3798">
      <w:pPr>
        <w:pStyle w:val="Encabezado"/>
        <w:tabs>
          <w:tab w:val="clear" w:pos="4419"/>
          <w:tab w:val="center" w:pos="567"/>
        </w:tabs>
        <w:spacing w:line="276" w:lineRule="auto"/>
        <w:rPr>
          <w:rFonts w:cs="Arial"/>
          <w:i/>
          <w:szCs w:val="24"/>
        </w:rPr>
      </w:pPr>
      <w:r w:rsidRPr="00E6086A">
        <w:rPr>
          <w:rFonts w:cs="Arial"/>
          <w:i/>
          <w:szCs w:val="24"/>
        </w:rPr>
        <w:t>“</w:t>
      </w:r>
      <w:r w:rsidR="008B5CAD" w:rsidRPr="00E6086A">
        <w:rPr>
          <w:rFonts w:cs="Arial"/>
          <w:i/>
          <w:szCs w:val="24"/>
        </w:rPr>
        <w:t>Dada en Medellín, a los 23 d</w:t>
      </w:r>
      <w:r w:rsidRPr="00E6086A">
        <w:rPr>
          <w:rFonts w:cs="Arial"/>
          <w:i/>
          <w:szCs w:val="24"/>
        </w:rPr>
        <w:t>í</w:t>
      </w:r>
      <w:r w:rsidR="008B5CAD" w:rsidRPr="00E6086A">
        <w:rPr>
          <w:rFonts w:cs="Arial"/>
          <w:i/>
          <w:szCs w:val="24"/>
        </w:rPr>
        <w:t>as del mes de Diciembre de 1999</w:t>
      </w:r>
    </w:p>
    <w:p w:rsidR="008B5CAD" w:rsidRPr="00E6086A" w:rsidRDefault="008B5CAD" w:rsidP="009D3798">
      <w:pPr>
        <w:pStyle w:val="Encabezado"/>
        <w:tabs>
          <w:tab w:val="clear" w:pos="4419"/>
          <w:tab w:val="center" w:pos="567"/>
        </w:tabs>
        <w:spacing w:line="276" w:lineRule="auto"/>
        <w:rPr>
          <w:rFonts w:cs="Arial"/>
          <w:i/>
          <w:szCs w:val="24"/>
        </w:rPr>
      </w:pPr>
    </w:p>
    <w:p w:rsidR="008B5CAD" w:rsidRPr="00E6086A" w:rsidRDefault="00A6365D" w:rsidP="009D3798">
      <w:pPr>
        <w:pStyle w:val="Encabezado"/>
        <w:tabs>
          <w:tab w:val="clear" w:pos="4419"/>
          <w:tab w:val="center" w:pos="567"/>
        </w:tabs>
        <w:spacing w:line="276" w:lineRule="auto"/>
        <w:rPr>
          <w:rFonts w:cs="Arial"/>
          <w:i/>
          <w:szCs w:val="24"/>
        </w:rPr>
      </w:pPr>
      <w:r w:rsidRPr="00E6086A">
        <w:rPr>
          <w:rFonts w:cs="Arial"/>
          <w:i/>
          <w:szCs w:val="24"/>
        </w:rPr>
        <w:t>“</w:t>
      </w:r>
      <w:r w:rsidR="008B5CAD" w:rsidRPr="00E6086A">
        <w:rPr>
          <w:rFonts w:cs="Arial"/>
          <w:i/>
          <w:szCs w:val="24"/>
        </w:rPr>
        <w:t>LUIS FERNANDO BUSTAMENTE ARISMENDY</w:t>
      </w:r>
      <w:r w:rsidRPr="00E6086A">
        <w:rPr>
          <w:rFonts w:cs="Arial"/>
          <w:i/>
          <w:szCs w:val="24"/>
        </w:rPr>
        <w:t xml:space="preserve"> (firmado)</w:t>
      </w:r>
    </w:p>
    <w:p w:rsidR="00A6365D" w:rsidRPr="00E6086A" w:rsidRDefault="008B5CAD" w:rsidP="009D3798">
      <w:pPr>
        <w:pStyle w:val="Encabezado"/>
        <w:tabs>
          <w:tab w:val="clear" w:pos="4419"/>
          <w:tab w:val="center" w:pos="567"/>
        </w:tabs>
        <w:spacing w:line="276" w:lineRule="auto"/>
        <w:rPr>
          <w:rFonts w:cs="Arial"/>
          <w:i/>
          <w:szCs w:val="24"/>
        </w:rPr>
      </w:pPr>
      <w:r w:rsidRPr="00E6086A">
        <w:rPr>
          <w:rFonts w:cs="Arial"/>
          <w:i/>
          <w:szCs w:val="24"/>
        </w:rPr>
        <w:t>Secretario de Obras Públicas de Medellín</w:t>
      </w:r>
      <w:r w:rsidR="00A6365D" w:rsidRPr="00E6086A">
        <w:rPr>
          <w:rFonts w:cs="Arial"/>
          <w:i/>
          <w:szCs w:val="24"/>
        </w:rPr>
        <w:t>”.</w:t>
      </w:r>
    </w:p>
    <w:p w:rsidR="00A6365D" w:rsidRPr="00E6086A" w:rsidRDefault="00A6365D" w:rsidP="009D3798">
      <w:pPr>
        <w:pStyle w:val="Encabezado"/>
        <w:tabs>
          <w:tab w:val="clear" w:pos="4419"/>
          <w:tab w:val="center" w:pos="567"/>
        </w:tabs>
        <w:rPr>
          <w:rFonts w:cs="Arial"/>
          <w:szCs w:val="24"/>
        </w:rPr>
      </w:pPr>
    </w:p>
    <w:p w:rsidR="007D39D6" w:rsidRPr="00E6086A" w:rsidRDefault="007D39D6" w:rsidP="009D3798">
      <w:pPr>
        <w:pStyle w:val="Encabezado"/>
        <w:tabs>
          <w:tab w:val="clear" w:pos="4419"/>
          <w:tab w:val="center" w:pos="0"/>
        </w:tabs>
        <w:rPr>
          <w:rFonts w:cs="Arial"/>
          <w:szCs w:val="24"/>
        </w:rPr>
      </w:pPr>
      <w:r w:rsidRPr="00E6086A">
        <w:rPr>
          <w:rFonts w:cs="Arial"/>
          <w:b/>
          <w:szCs w:val="24"/>
        </w:rPr>
        <w:t>5.</w:t>
      </w:r>
      <w:r w:rsidR="008C4A71" w:rsidRPr="00E6086A">
        <w:rPr>
          <w:rFonts w:cs="Arial"/>
          <w:b/>
          <w:szCs w:val="24"/>
        </w:rPr>
        <w:t>3</w:t>
      </w:r>
      <w:r w:rsidRPr="00E6086A">
        <w:rPr>
          <w:rFonts w:cs="Arial"/>
          <w:b/>
          <w:szCs w:val="24"/>
        </w:rPr>
        <w:t>.</w:t>
      </w:r>
      <w:r w:rsidR="0039071A" w:rsidRPr="00E6086A">
        <w:rPr>
          <w:rFonts w:cs="Arial"/>
          <w:b/>
          <w:szCs w:val="24"/>
        </w:rPr>
        <w:t xml:space="preserve"> Observaciones de los proponentes.</w:t>
      </w:r>
      <w:r w:rsidR="0039071A" w:rsidRPr="00E6086A">
        <w:rPr>
          <w:rFonts w:cs="Arial"/>
          <w:szCs w:val="24"/>
        </w:rPr>
        <w:t xml:space="preserve"> </w:t>
      </w:r>
      <w:r w:rsidR="008C4A71" w:rsidRPr="00E6086A">
        <w:rPr>
          <w:rFonts w:cs="Arial"/>
          <w:szCs w:val="24"/>
        </w:rPr>
        <w:t xml:space="preserve">Igualmente, se allegaron </w:t>
      </w:r>
      <w:r w:rsidR="0039071A" w:rsidRPr="00E6086A">
        <w:rPr>
          <w:rFonts w:cs="Arial"/>
          <w:szCs w:val="24"/>
        </w:rPr>
        <w:t xml:space="preserve">como pruebas </w:t>
      </w:r>
      <w:r w:rsidRPr="00E6086A">
        <w:rPr>
          <w:rFonts w:cs="Arial"/>
          <w:szCs w:val="24"/>
        </w:rPr>
        <w:t>las comunicaciones que los participantes presentaron en el término del traslado de las evaluaciones, entre otras</w:t>
      </w:r>
      <w:r w:rsidR="006021A3" w:rsidRPr="00E6086A">
        <w:rPr>
          <w:rFonts w:cs="Arial"/>
          <w:szCs w:val="24"/>
        </w:rPr>
        <w:t>,</w:t>
      </w:r>
      <w:r w:rsidRPr="00E6086A">
        <w:rPr>
          <w:rFonts w:cs="Arial"/>
          <w:szCs w:val="24"/>
        </w:rPr>
        <w:t xml:space="preserve"> la que radicó el Consorcio Jorge Montañez y Cía Ltda – Alvaro Rodríguez, de fecha 19 de octubre de 1999, mediante la cual solicitó no rechazar la propuesta de </w:t>
      </w:r>
      <w:r w:rsidR="008C4A71" w:rsidRPr="00E6086A">
        <w:rPr>
          <w:rFonts w:cs="Arial"/>
          <w:szCs w:val="24"/>
        </w:rPr>
        <w:t xml:space="preserve">la </w:t>
      </w:r>
      <w:r w:rsidRPr="00E6086A">
        <w:rPr>
          <w:rFonts w:cs="Arial"/>
          <w:szCs w:val="24"/>
        </w:rPr>
        <w:t>U</w:t>
      </w:r>
      <w:r w:rsidR="008C4A71" w:rsidRPr="00E6086A">
        <w:rPr>
          <w:rFonts w:cs="Arial"/>
          <w:szCs w:val="24"/>
        </w:rPr>
        <w:t xml:space="preserve">nión Temporal </w:t>
      </w:r>
      <w:r w:rsidRPr="00E6086A">
        <w:rPr>
          <w:rFonts w:cs="Arial"/>
          <w:szCs w:val="24"/>
        </w:rPr>
        <w:t>Lama Ingenieros – Asfaltadora Colombia</w:t>
      </w:r>
      <w:r w:rsidR="008C4A71" w:rsidRPr="00E6086A">
        <w:rPr>
          <w:rFonts w:cs="Arial"/>
          <w:szCs w:val="24"/>
        </w:rPr>
        <w:t>na</w:t>
      </w:r>
      <w:r w:rsidR="00C6050B" w:rsidRPr="00E6086A">
        <w:rPr>
          <w:rFonts w:cs="Arial"/>
          <w:szCs w:val="24"/>
        </w:rPr>
        <w:t xml:space="preserve"> Ltda</w:t>
      </w:r>
      <w:r w:rsidRPr="00E6086A">
        <w:rPr>
          <w:rFonts w:cs="Arial"/>
          <w:szCs w:val="24"/>
        </w:rPr>
        <w:t xml:space="preserve">, para efectos de </w:t>
      </w:r>
      <w:r w:rsidR="008C4A71" w:rsidRPr="00E6086A">
        <w:rPr>
          <w:rFonts w:cs="Arial"/>
          <w:szCs w:val="24"/>
        </w:rPr>
        <w:t xml:space="preserve">incluirla dentro del </w:t>
      </w:r>
      <w:r w:rsidRPr="00E6086A">
        <w:rPr>
          <w:rFonts w:cs="Arial"/>
          <w:szCs w:val="24"/>
        </w:rPr>
        <w:t>c</w:t>
      </w:r>
      <w:r w:rsidR="008C4A71" w:rsidRPr="00E6086A">
        <w:rPr>
          <w:rFonts w:cs="Arial"/>
          <w:szCs w:val="24"/>
        </w:rPr>
        <w:t>á</w:t>
      </w:r>
      <w:r w:rsidRPr="00E6086A">
        <w:rPr>
          <w:rFonts w:cs="Arial"/>
          <w:szCs w:val="24"/>
        </w:rPr>
        <w:t>lcul</w:t>
      </w:r>
      <w:r w:rsidR="008C4A71" w:rsidRPr="00E6086A">
        <w:rPr>
          <w:rFonts w:cs="Arial"/>
          <w:szCs w:val="24"/>
        </w:rPr>
        <w:t xml:space="preserve">o de </w:t>
      </w:r>
      <w:r w:rsidRPr="00E6086A">
        <w:rPr>
          <w:rFonts w:cs="Arial"/>
          <w:szCs w:val="24"/>
        </w:rPr>
        <w:t>los puntajes asignados con respecto al precio</w:t>
      </w:r>
      <w:r w:rsidRPr="00E6086A">
        <w:rPr>
          <w:rStyle w:val="Refdenotaalpie"/>
          <w:rFonts w:cs="Arial"/>
          <w:szCs w:val="24"/>
        </w:rPr>
        <w:footnoteReference w:id="26"/>
      </w:r>
      <w:r w:rsidRPr="00E6086A">
        <w:rPr>
          <w:rFonts w:cs="Arial"/>
          <w:szCs w:val="24"/>
        </w:rPr>
        <w:t xml:space="preserve">. </w:t>
      </w:r>
    </w:p>
    <w:p w:rsidR="007D39D6" w:rsidRPr="00E6086A" w:rsidRDefault="007D39D6" w:rsidP="009D3798">
      <w:pPr>
        <w:pStyle w:val="Encabezado"/>
        <w:tabs>
          <w:tab w:val="clear" w:pos="4419"/>
          <w:tab w:val="center" w:pos="0"/>
        </w:tabs>
        <w:rPr>
          <w:rFonts w:cs="Arial"/>
          <w:szCs w:val="24"/>
        </w:rPr>
      </w:pPr>
    </w:p>
    <w:p w:rsidR="00B4732A" w:rsidRPr="00E6086A" w:rsidRDefault="00E916EC" w:rsidP="009D3798">
      <w:pPr>
        <w:pStyle w:val="Encabezado"/>
        <w:tabs>
          <w:tab w:val="clear" w:pos="4419"/>
          <w:tab w:val="center" w:pos="0"/>
        </w:tabs>
        <w:rPr>
          <w:rFonts w:cs="Arial"/>
          <w:szCs w:val="24"/>
        </w:rPr>
      </w:pPr>
      <w:r w:rsidRPr="00E6086A">
        <w:rPr>
          <w:rFonts w:cs="Arial"/>
          <w:b/>
          <w:szCs w:val="24"/>
        </w:rPr>
        <w:t>5.</w:t>
      </w:r>
      <w:r w:rsidR="002C4B04" w:rsidRPr="00E6086A">
        <w:rPr>
          <w:rFonts w:cs="Arial"/>
          <w:b/>
          <w:szCs w:val="24"/>
        </w:rPr>
        <w:t>4</w:t>
      </w:r>
      <w:r w:rsidRPr="00E6086A">
        <w:rPr>
          <w:rFonts w:cs="Arial"/>
          <w:szCs w:val="24"/>
        </w:rPr>
        <w:t xml:space="preserve"> </w:t>
      </w:r>
      <w:r w:rsidR="0039071A" w:rsidRPr="00E6086A">
        <w:rPr>
          <w:rFonts w:cs="Arial"/>
          <w:b/>
          <w:szCs w:val="24"/>
        </w:rPr>
        <w:t>Informe del INVAL</w:t>
      </w:r>
      <w:r w:rsidR="0039071A" w:rsidRPr="00E6086A">
        <w:rPr>
          <w:rFonts w:cs="Arial"/>
          <w:szCs w:val="24"/>
        </w:rPr>
        <w:t xml:space="preserve">. </w:t>
      </w:r>
      <w:r w:rsidR="00A6365D" w:rsidRPr="00E6086A">
        <w:rPr>
          <w:rFonts w:cs="Arial"/>
          <w:szCs w:val="24"/>
        </w:rPr>
        <w:t>Obra en el expediente el in</w:t>
      </w:r>
      <w:r w:rsidR="001E3802" w:rsidRPr="00E6086A">
        <w:rPr>
          <w:rFonts w:cs="Arial"/>
          <w:szCs w:val="24"/>
        </w:rPr>
        <w:t xml:space="preserve">forme de evaluación de diciembre 20 de 1999, suscrito por el Director Jurídico encargado, el </w:t>
      </w:r>
      <w:r w:rsidR="00317681" w:rsidRPr="00E6086A">
        <w:rPr>
          <w:rFonts w:cs="Arial"/>
          <w:szCs w:val="24"/>
        </w:rPr>
        <w:t>Director de Diseños, Presupuesto y Licitaciones, y la Ingeniera de Presupuestos y Licitaciones</w:t>
      </w:r>
      <w:r w:rsidR="002C4B04" w:rsidRPr="00E6086A">
        <w:rPr>
          <w:rFonts w:cs="Arial"/>
          <w:szCs w:val="24"/>
        </w:rPr>
        <w:t xml:space="preserve"> del INVAL</w:t>
      </w:r>
      <w:r w:rsidR="00317681" w:rsidRPr="00E6086A">
        <w:rPr>
          <w:rFonts w:cs="Arial"/>
          <w:szCs w:val="24"/>
        </w:rPr>
        <w:t>, en el cual se concluyó que la propuesta que obten</w:t>
      </w:r>
      <w:r w:rsidR="00967D59" w:rsidRPr="00E6086A">
        <w:rPr>
          <w:rFonts w:cs="Arial"/>
          <w:szCs w:val="24"/>
        </w:rPr>
        <w:t>í</w:t>
      </w:r>
      <w:r w:rsidR="00317681" w:rsidRPr="00E6086A">
        <w:rPr>
          <w:rFonts w:cs="Arial"/>
          <w:szCs w:val="24"/>
        </w:rPr>
        <w:t>a el mayor puntaje era la presentada por UT P</w:t>
      </w:r>
      <w:r w:rsidR="008B04E4" w:rsidRPr="00E6086A">
        <w:rPr>
          <w:rFonts w:cs="Arial"/>
          <w:szCs w:val="24"/>
        </w:rPr>
        <w:t>É</w:t>
      </w:r>
      <w:r w:rsidR="00317681" w:rsidRPr="00E6086A">
        <w:rPr>
          <w:rFonts w:cs="Arial"/>
          <w:szCs w:val="24"/>
        </w:rPr>
        <w:t xml:space="preserve">REZ Y CIA LTDA </w:t>
      </w:r>
      <w:r w:rsidR="00967D59" w:rsidRPr="00E6086A">
        <w:rPr>
          <w:rFonts w:cs="Arial"/>
          <w:szCs w:val="24"/>
        </w:rPr>
        <w:t>– REDYCO LTDA</w:t>
      </w:r>
      <w:r w:rsidR="00967D59" w:rsidRPr="00E6086A">
        <w:rPr>
          <w:rStyle w:val="Refdenotaalpie"/>
          <w:rFonts w:cs="Arial"/>
          <w:szCs w:val="24"/>
        </w:rPr>
        <w:footnoteReference w:id="27"/>
      </w:r>
      <w:r w:rsidR="00B4732A" w:rsidRPr="00E6086A">
        <w:rPr>
          <w:rFonts w:cs="Arial"/>
          <w:szCs w:val="24"/>
        </w:rPr>
        <w:t>.</w:t>
      </w:r>
    </w:p>
    <w:p w:rsidR="00B4732A" w:rsidRPr="00E6086A" w:rsidRDefault="00B4732A" w:rsidP="009D3798">
      <w:pPr>
        <w:pStyle w:val="Encabezado"/>
        <w:tabs>
          <w:tab w:val="clear" w:pos="4419"/>
          <w:tab w:val="center" w:pos="0"/>
        </w:tabs>
        <w:rPr>
          <w:rFonts w:cs="Arial"/>
          <w:szCs w:val="24"/>
        </w:rPr>
      </w:pPr>
    </w:p>
    <w:p w:rsidR="00A70F38" w:rsidRPr="00E6086A" w:rsidRDefault="00E916EC" w:rsidP="009D3798">
      <w:pPr>
        <w:pStyle w:val="Encabezado"/>
        <w:tabs>
          <w:tab w:val="clear" w:pos="4419"/>
          <w:tab w:val="center" w:pos="0"/>
        </w:tabs>
        <w:rPr>
          <w:rFonts w:cs="Arial"/>
          <w:szCs w:val="24"/>
        </w:rPr>
      </w:pPr>
      <w:r w:rsidRPr="00E6086A">
        <w:rPr>
          <w:rFonts w:cs="Arial"/>
          <w:b/>
          <w:szCs w:val="24"/>
        </w:rPr>
        <w:t>5.</w:t>
      </w:r>
      <w:r w:rsidR="002C4B04" w:rsidRPr="00E6086A">
        <w:rPr>
          <w:rFonts w:cs="Arial"/>
          <w:b/>
          <w:szCs w:val="24"/>
        </w:rPr>
        <w:t>5</w:t>
      </w:r>
      <w:r w:rsidRPr="00E6086A">
        <w:rPr>
          <w:rFonts w:cs="Arial"/>
          <w:b/>
          <w:szCs w:val="24"/>
        </w:rPr>
        <w:t>.</w:t>
      </w:r>
      <w:r w:rsidRPr="00E6086A">
        <w:rPr>
          <w:rFonts w:cs="Arial"/>
          <w:szCs w:val="24"/>
        </w:rPr>
        <w:t xml:space="preserve"> </w:t>
      </w:r>
      <w:r w:rsidR="0039071A" w:rsidRPr="00E6086A">
        <w:rPr>
          <w:rFonts w:cs="Arial"/>
          <w:b/>
          <w:szCs w:val="24"/>
        </w:rPr>
        <w:t>Acta de la audiencia.</w:t>
      </w:r>
      <w:r w:rsidR="0039071A" w:rsidRPr="00E6086A">
        <w:rPr>
          <w:rFonts w:cs="Arial"/>
          <w:szCs w:val="24"/>
        </w:rPr>
        <w:t xml:space="preserve"> </w:t>
      </w:r>
      <w:r w:rsidR="002C4B04" w:rsidRPr="00E6086A">
        <w:rPr>
          <w:rFonts w:cs="Arial"/>
          <w:szCs w:val="24"/>
        </w:rPr>
        <w:t xml:space="preserve">De la misma forma, se acreditó </w:t>
      </w:r>
      <w:r w:rsidR="00967D59" w:rsidRPr="00E6086A">
        <w:rPr>
          <w:rFonts w:cs="Arial"/>
          <w:szCs w:val="24"/>
        </w:rPr>
        <w:t xml:space="preserve">el acta de la audiencia </w:t>
      </w:r>
      <w:r w:rsidR="00611FD7" w:rsidRPr="00E6086A">
        <w:rPr>
          <w:rFonts w:cs="Arial"/>
          <w:szCs w:val="24"/>
        </w:rPr>
        <w:t xml:space="preserve">de fecha </w:t>
      </w:r>
      <w:r w:rsidR="004E5D22" w:rsidRPr="00E6086A">
        <w:rPr>
          <w:rFonts w:cs="Arial"/>
          <w:i/>
          <w:szCs w:val="24"/>
        </w:rPr>
        <w:t>“</w:t>
      </w:r>
      <w:r w:rsidR="00611FD7" w:rsidRPr="00E6086A">
        <w:rPr>
          <w:rFonts w:cs="Arial"/>
          <w:i/>
          <w:szCs w:val="24"/>
        </w:rPr>
        <w:t>jueves 23 de octubre de 1999</w:t>
      </w:r>
      <w:r w:rsidR="004E5D22" w:rsidRPr="00E6086A">
        <w:rPr>
          <w:rFonts w:cs="Arial"/>
          <w:i/>
          <w:szCs w:val="24"/>
        </w:rPr>
        <w:t>”</w:t>
      </w:r>
      <w:r w:rsidR="00C84EF5" w:rsidRPr="00E6086A">
        <w:rPr>
          <w:rStyle w:val="Refdenotaalpie"/>
          <w:rFonts w:cs="Arial"/>
          <w:szCs w:val="24"/>
        </w:rPr>
        <w:footnoteReference w:id="28"/>
      </w:r>
      <w:r w:rsidR="00611FD7" w:rsidRPr="00E6086A">
        <w:rPr>
          <w:rFonts w:cs="Arial"/>
          <w:szCs w:val="24"/>
        </w:rPr>
        <w:t xml:space="preserve">, suscrita </w:t>
      </w:r>
      <w:r w:rsidR="006021A3" w:rsidRPr="00E6086A">
        <w:rPr>
          <w:rFonts w:cs="Arial"/>
          <w:szCs w:val="24"/>
        </w:rPr>
        <w:t xml:space="preserve">por </w:t>
      </w:r>
      <w:r w:rsidR="00611FD7" w:rsidRPr="00E6086A">
        <w:rPr>
          <w:rFonts w:cs="Arial"/>
          <w:szCs w:val="24"/>
        </w:rPr>
        <w:t>el secretario general del INVAL</w:t>
      </w:r>
      <w:r w:rsidR="004E5D22" w:rsidRPr="00E6086A">
        <w:rPr>
          <w:rFonts w:cs="Arial"/>
          <w:szCs w:val="24"/>
        </w:rPr>
        <w:t xml:space="preserve">, en la cual consta que el Secretario de Obras Públicas </w:t>
      </w:r>
      <w:r w:rsidR="002C4B04" w:rsidRPr="00E6086A">
        <w:rPr>
          <w:rFonts w:cs="Arial"/>
          <w:szCs w:val="24"/>
        </w:rPr>
        <w:t xml:space="preserve">del municipio de Medellín </w:t>
      </w:r>
      <w:r w:rsidR="004E5D22" w:rsidRPr="00E6086A">
        <w:rPr>
          <w:rFonts w:cs="Arial"/>
          <w:szCs w:val="24"/>
        </w:rPr>
        <w:t xml:space="preserve">explicó </w:t>
      </w:r>
      <w:r w:rsidR="00C84EF5" w:rsidRPr="00E6086A">
        <w:rPr>
          <w:rFonts w:cs="Arial"/>
          <w:szCs w:val="24"/>
        </w:rPr>
        <w:t xml:space="preserve">a los </w:t>
      </w:r>
      <w:r w:rsidR="00CD5381" w:rsidRPr="00E6086A">
        <w:rPr>
          <w:rFonts w:cs="Arial"/>
          <w:szCs w:val="24"/>
        </w:rPr>
        <w:t xml:space="preserve">proponentes que asistieron </w:t>
      </w:r>
      <w:r w:rsidR="004E5D22" w:rsidRPr="00E6086A">
        <w:rPr>
          <w:rFonts w:cs="Arial"/>
          <w:szCs w:val="24"/>
        </w:rPr>
        <w:t>que en la reunión del comité de contratación de</w:t>
      </w:r>
      <w:r w:rsidR="002C4B04" w:rsidRPr="00E6086A">
        <w:rPr>
          <w:rFonts w:cs="Arial"/>
          <w:szCs w:val="24"/>
        </w:rPr>
        <w:t xml:space="preserve"> ese</w:t>
      </w:r>
      <w:r w:rsidR="004E5D22" w:rsidRPr="00E6086A">
        <w:rPr>
          <w:rFonts w:cs="Arial"/>
          <w:szCs w:val="24"/>
        </w:rPr>
        <w:t xml:space="preserve"> municipio</w:t>
      </w:r>
      <w:r w:rsidR="00CD5381" w:rsidRPr="00E6086A">
        <w:rPr>
          <w:rFonts w:cs="Arial"/>
          <w:szCs w:val="24"/>
        </w:rPr>
        <w:t xml:space="preserve">, </w:t>
      </w:r>
      <w:r w:rsidR="00C84EF5" w:rsidRPr="00E6086A">
        <w:rPr>
          <w:rFonts w:cs="Arial"/>
          <w:i/>
          <w:szCs w:val="24"/>
        </w:rPr>
        <w:t>“haciendo eco de varias doctrinas y jurisprudencias se consideró que el documento de evaluación en el cual se presentaba la recomendación de adjudicación se había apartado de la Ley 80 de 1993 y de la Constitución Nacional”.</w:t>
      </w:r>
      <w:r w:rsidR="00C84EF5" w:rsidRPr="00E6086A">
        <w:rPr>
          <w:rFonts w:cs="Arial"/>
          <w:szCs w:val="24"/>
        </w:rPr>
        <w:t xml:space="preserve"> </w:t>
      </w:r>
      <w:r w:rsidR="002C4B04" w:rsidRPr="00E6086A">
        <w:rPr>
          <w:rFonts w:cs="Arial"/>
          <w:szCs w:val="24"/>
        </w:rPr>
        <w:t xml:space="preserve"> De acuerdo con la referida acta, u</w:t>
      </w:r>
      <w:r w:rsidR="00CD5381" w:rsidRPr="00E6086A">
        <w:rPr>
          <w:rFonts w:cs="Arial"/>
          <w:szCs w:val="24"/>
        </w:rPr>
        <w:t xml:space="preserve">na vez escuchadas </w:t>
      </w:r>
      <w:r w:rsidR="00A70F38" w:rsidRPr="00E6086A">
        <w:rPr>
          <w:rFonts w:cs="Arial"/>
          <w:szCs w:val="24"/>
        </w:rPr>
        <w:t>las intervenciones de los participantes</w:t>
      </w:r>
      <w:r w:rsidR="002C4B04" w:rsidRPr="00E6086A">
        <w:rPr>
          <w:rFonts w:cs="Arial"/>
          <w:szCs w:val="24"/>
        </w:rPr>
        <w:t xml:space="preserve">, </w:t>
      </w:r>
      <w:r w:rsidR="00A70F38" w:rsidRPr="00E6086A">
        <w:rPr>
          <w:rFonts w:cs="Arial"/>
          <w:szCs w:val="24"/>
        </w:rPr>
        <w:t xml:space="preserve">se </w:t>
      </w:r>
      <w:r w:rsidR="00433633" w:rsidRPr="00E6086A">
        <w:rPr>
          <w:rFonts w:cs="Arial"/>
          <w:szCs w:val="24"/>
        </w:rPr>
        <w:t xml:space="preserve">hizo constar </w:t>
      </w:r>
      <w:r w:rsidR="00A70F38" w:rsidRPr="00E6086A">
        <w:rPr>
          <w:rFonts w:cs="Arial"/>
          <w:szCs w:val="24"/>
        </w:rPr>
        <w:t xml:space="preserve">la respuesta </w:t>
      </w:r>
      <w:r w:rsidR="00433633" w:rsidRPr="00E6086A">
        <w:rPr>
          <w:rFonts w:cs="Arial"/>
          <w:szCs w:val="24"/>
        </w:rPr>
        <w:t xml:space="preserve">final </w:t>
      </w:r>
      <w:r w:rsidR="00A70F38" w:rsidRPr="00E6086A">
        <w:rPr>
          <w:rFonts w:cs="Arial"/>
          <w:szCs w:val="24"/>
        </w:rPr>
        <w:t>del municipio, así:</w:t>
      </w:r>
    </w:p>
    <w:p w:rsidR="00A70F38" w:rsidRPr="00E6086A" w:rsidRDefault="00A70F38" w:rsidP="009D3798">
      <w:pPr>
        <w:pStyle w:val="Encabezado"/>
        <w:tabs>
          <w:tab w:val="clear" w:pos="4419"/>
          <w:tab w:val="center" w:pos="0"/>
        </w:tabs>
        <w:rPr>
          <w:rFonts w:cs="Arial"/>
          <w:szCs w:val="24"/>
        </w:rPr>
      </w:pPr>
    </w:p>
    <w:p w:rsidR="00A70F38" w:rsidRPr="00E6086A" w:rsidRDefault="00A70F38" w:rsidP="009D3798">
      <w:pPr>
        <w:pStyle w:val="Encabezado"/>
        <w:tabs>
          <w:tab w:val="clear" w:pos="4419"/>
          <w:tab w:val="center" w:pos="567"/>
        </w:tabs>
        <w:rPr>
          <w:rFonts w:cs="Arial"/>
          <w:i/>
          <w:szCs w:val="24"/>
        </w:rPr>
      </w:pPr>
      <w:r w:rsidRPr="00E6086A">
        <w:rPr>
          <w:rFonts w:cs="Arial"/>
          <w:i/>
          <w:szCs w:val="24"/>
        </w:rPr>
        <w:t>“4. Respuesta del Municipio y Toma de decisiones</w:t>
      </w:r>
    </w:p>
    <w:p w:rsidR="00A70F38" w:rsidRPr="00E6086A" w:rsidRDefault="00A70F38" w:rsidP="009D3798">
      <w:pPr>
        <w:pStyle w:val="Encabezado"/>
        <w:tabs>
          <w:tab w:val="clear" w:pos="4419"/>
          <w:tab w:val="center" w:pos="567"/>
        </w:tabs>
        <w:rPr>
          <w:rFonts w:cs="Arial"/>
          <w:i/>
          <w:szCs w:val="24"/>
        </w:rPr>
      </w:pPr>
    </w:p>
    <w:p w:rsidR="005565C1" w:rsidRPr="00E6086A" w:rsidRDefault="00433633" w:rsidP="009D3798">
      <w:pPr>
        <w:pStyle w:val="Encabezado"/>
        <w:tabs>
          <w:tab w:val="clear" w:pos="4419"/>
          <w:tab w:val="center" w:pos="567"/>
        </w:tabs>
        <w:rPr>
          <w:rFonts w:cs="Arial"/>
          <w:i/>
          <w:szCs w:val="24"/>
        </w:rPr>
      </w:pPr>
      <w:r w:rsidRPr="00E6086A">
        <w:rPr>
          <w:rFonts w:cs="Arial"/>
          <w:i/>
          <w:szCs w:val="24"/>
        </w:rPr>
        <w:t>“</w:t>
      </w:r>
      <w:r w:rsidR="00A70F38" w:rsidRPr="00E6086A">
        <w:rPr>
          <w:rFonts w:cs="Arial"/>
          <w:i/>
          <w:szCs w:val="24"/>
        </w:rPr>
        <w:t xml:space="preserve">No está de acuerdo con la decisión del INVAL y que no puede </w:t>
      </w:r>
      <w:r w:rsidR="005565C1" w:rsidRPr="00E6086A">
        <w:rPr>
          <w:rFonts w:cs="Arial"/>
          <w:i/>
          <w:szCs w:val="24"/>
        </w:rPr>
        <w:t>rechazar por requisitos formales una propuesta, basados en jurisprudencias existentes.</w:t>
      </w:r>
    </w:p>
    <w:p w:rsidR="005565C1" w:rsidRPr="00E6086A" w:rsidRDefault="005565C1" w:rsidP="009D3798">
      <w:pPr>
        <w:pStyle w:val="Encabezado"/>
        <w:tabs>
          <w:tab w:val="clear" w:pos="4419"/>
          <w:tab w:val="center" w:pos="567"/>
        </w:tabs>
        <w:rPr>
          <w:rFonts w:cs="Arial"/>
          <w:i/>
          <w:szCs w:val="24"/>
        </w:rPr>
      </w:pPr>
    </w:p>
    <w:p w:rsidR="005565C1" w:rsidRPr="00E6086A" w:rsidRDefault="00433633" w:rsidP="009D3798">
      <w:pPr>
        <w:pStyle w:val="Encabezado"/>
        <w:tabs>
          <w:tab w:val="clear" w:pos="4419"/>
          <w:tab w:val="center" w:pos="567"/>
        </w:tabs>
        <w:rPr>
          <w:rFonts w:cs="Arial"/>
          <w:i/>
          <w:szCs w:val="24"/>
        </w:rPr>
      </w:pPr>
      <w:r w:rsidRPr="00E6086A">
        <w:rPr>
          <w:rFonts w:cs="Arial"/>
          <w:i/>
          <w:szCs w:val="24"/>
        </w:rPr>
        <w:t>“</w:t>
      </w:r>
      <w:r w:rsidR="005565C1" w:rsidRPr="00E6086A">
        <w:rPr>
          <w:rFonts w:cs="Arial"/>
          <w:i/>
          <w:szCs w:val="24"/>
        </w:rPr>
        <w:t xml:space="preserve">Decisión Final: incluir </w:t>
      </w:r>
      <w:r w:rsidR="005A573F" w:rsidRPr="00E6086A">
        <w:rPr>
          <w:rFonts w:cs="Arial"/>
          <w:i/>
          <w:szCs w:val="24"/>
        </w:rPr>
        <w:t>la p</w:t>
      </w:r>
      <w:r w:rsidR="005565C1" w:rsidRPr="00E6086A">
        <w:rPr>
          <w:rFonts w:cs="Arial"/>
          <w:i/>
          <w:szCs w:val="24"/>
        </w:rPr>
        <w:t>ropuesta que fue recha</w:t>
      </w:r>
      <w:r w:rsidR="00C84EF5" w:rsidRPr="00E6086A">
        <w:rPr>
          <w:rFonts w:cs="Arial"/>
          <w:i/>
          <w:szCs w:val="24"/>
        </w:rPr>
        <w:t>za</w:t>
      </w:r>
      <w:r w:rsidR="005565C1" w:rsidRPr="00E6086A">
        <w:rPr>
          <w:rFonts w:cs="Arial"/>
          <w:i/>
          <w:szCs w:val="24"/>
        </w:rPr>
        <w:t>da por presentar póliza por un menor valor al exigido en los pliegos de condiciones</w:t>
      </w:r>
      <w:r w:rsidR="00C6050B" w:rsidRPr="00E6086A">
        <w:rPr>
          <w:rStyle w:val="Refdenotaalpie"/>
          <w:rFonts w:cs="Arial"/>
          <w:b/>
          <w:i/>
          <w:szCs w:val="24"/>
        </w:rPr>
        <w:footnoteReference w:id="29"/>
      </w:r>
      <w:r w:rsidR="005565C1" w:rsidRPr="00E6086A">
        <w:rPr>
          <w:rFonts w:cs="Arial"/>
          <w:i/>
          <w:szCs w:val="24"/>
        </w:rPr>
        <w:t>, adjudicándole el contrato al CONSORCIO ALVARO RODR</w:t>
      </w:r>
      <w:r w:rsidR="005A573F" w:rsidRPr="00E6086A">
        <w:rPr>
          <w:rFonts w:cs="Arial"/>
          <w:i/>
          <w:szCs w:val="24"/>
        </w:rPr>
        <w:t>Í</w:t>
      </w:r>
      <w:r w:rsidR="005565C1" w:rsidRPr="00E6086A">
        <w:rPr>
          <w:rFonts w:cs="Arial"/>
          <w:i/>
          <w:szCs w:val="24"/>
        </w:rPr>
        <w:t>GUEZ B. – JORGE MONTAÑEZ &amp; CIA LTDA.</w:t>
      </w:r>
    </w:p>
    <w:p w:rsidR="005565C1" w:rsidRPr="00E6086A" w:rsidRDefault="005565C1" w:rsidP="009D3798">
      <w:pPr>
        <w:pStyle w:val="Encabezado"/>
        <w:tabs>
          <w:tab w:val="clear" w:pos="4419"/>
          <w:tab w:val="center" w:pos="567"/>
        </w:tabs>
        <w:rPr>
          <w:rFonts w:cs="Arial"/>
          <w:i/>
          <w:szCs w:val="24"/>
        </w:rPr>
      </w:pPr>
    </w:p>
    <w:p w:rsidR="005565C1" w:rsidRPr="00E6086A" w:rsidRDefault="00433633" w:rsidP="009D3798">
      <w:pPr>
        <w:pStyle w:val="Encabezado"/>
        <w:tabs>
          <w:tab w:val="clear" w:pos="4419"/>
          <w:tab w:val="center" w:pos="567"/>
        </w:tabs>
        <w:rPr>
          <w:rFonts w:cs="Arial"/>
          <w:i/>
          <w:szCs w:val="24"/>
        </w:rPr>
      </w:pPr>
      <w:r w:rsidRPr="00E6086A">
        <w:rPr>
          <w:rFonts w:cs="Arial"/>
          <w:i/>
          <w:szCs w:val="24"/>
        </w:rPr>
        <w:t>“</w:t>
      </w:r>
      <w:r w:rsidR="005565C1" w:rsidRPr="00E6086A">
        <w:rPr>
          <w:rFonts w:cs="Arial"/>
          <w:i/>
          <w:szCs w:val="24"/>
        </w:rPr>
        <w:t>JORGE MARIO CAMPILLO OROZCO (firmado)</w:t>
      </w:r>
    </w:p>
    <w:p w:rsidR="00CD5381" w:rsidRPr="00E6086A" w:rsidRDefault="00433633" w:rsidP="009D3798">
      <w:pPr>
        <w:pStyle w:val="Encabezado"/>
        <w:tabs>
          <w:tab w:val="clear" w:pos="4419"/>
          <w:tab w:val="center" w:pos="567"/>
        </w:tabs>
        <w:rPr>
          <w:rFonts w:cs="Arial"/>
          <w:szCs w:val="24"/>
        </w:rPr>
      </w:pPr>
      <w:r w:rsidRPr="00E6086A">
        <w:rPr>
          <w:rFonts w:cs="Arial"/>
          <w:i/>
          <w:szCs w:val="24"/>
        </w:rPr>
        <w:t>“</w:t>
      </w:r>
      <w:r w:rsidR="005565C1" w:rsidRPr="00E6086A">
        <w:rPr>
          <w:rFonts w:cs="Arial"/>
          <w:i/>
          <w:szCs w:val="24"/>
        </w:rPr>
        <w:t>Secretario General INVAL”</w:t>
      </w:r>
      <w:r w:rsidR="005565C1" w:rsidRPr="00E6086A">
        <w:rPr>
          <w:rStyle w:val="Refdenotaalpie"/>
          <w:rFonts w:cs="Arial"/>
          <w:i/>
          <w:szCs w:val="24"/>
        </w:rPr>
        <w:footnoteReference w:id="30"/>
      </w:r>
      <w:r w:rsidR="005A573F" w:rsidRPr="00E6086A">
        <w:rPr>
          <w:rFonts w:cs="Arial"/>
          <w:i/>
          <w:szCs w:val="24"/>
        </w:rPr>
        <w:t>.</w:t>
      </w:r>
      <w:r w:rsidR="005565C1" w:rsidRPr="00E6086A">
        <w:rPr>
          <w:rFonts w:cs="Arial"/>
          <w:szCs w:val="24"/>
        </w:rPr>
        <w:t xml:space="preserve"> </w:t>
      </w:r>
    </w:p>
    <w:p w:rsidR="00CD5381" w:rsidRPr="00E6086A" w:rsidRDefault="00CD5381" w:rsidP="009D3798">
      <w:pPr>
        <w:pStyle w:val="Encabezado"/>
        <w:tabs>
          <w:tab w:val="clear" w:pos="4419"/>
          <w:tab w:val="center" w:pos="567"/>
        </w:tabs>
        <w:rPr>
          <w:rFonts w:cs="Arial"/>
          <w:szCs w:val="24"/>
        </w:rPr>
      </w:pPr>
    </w:p>
    <w:p w:rsidR="00570E27" w:rsidRPr="00E6086A" w:rsidRDefault="00B41511" w:rsidP="009D3798">
      <w:pPr>
        <w:pStyle w:val="Encabezado"/>
        <w:tabs>
          <w:tab w:val="clear" w:pos="4419"/>
          <w:tab w:val="center" w:pos="0"/>
        </w:tabs>
        <w:rPr>
          <w:rFonts w:cs="Arial"/>
          <w:szCs w:val="24"/>
        </w:rPr>
      </w:pPr>
      <w:r w:rsidRPr="00E6086A">
        <w:rPr>
          <w:rFonts w:cs="Arial"/>
          <w:b/>
          <w:szCs w:val="24"/>
        </w:rPr>
        <w:t>5.</w:t>
      </w:r>
      <w:r w:rsidR="005A573F" w:rsidRPr="00E6086A">
        <w:rPr>
          <w:rFonts w:cs="Arial"/>
          <w:b/>
          <w:szCs w:val="24"/>
        </w:rPr>
        <w:t>6</w:t>
      </w:r>
      <w:r w:rsidRPr="00E6086A">
        <w:rPr>
          <w:rFonts w:cs="Arial"/>
          <w:b/>
          <w:szCs w:val="24"/>
        </w:rPr>
        <w:t>.</w:t>
      </w:r>
      <w:r w:rsidRPr="00E6086A">
        <w:rPr>
          <w:rFonts w:cs="Arial"/>
          <w:szCs w:val="24"/>
        </w:rPr>
        <w:t xml:space="preserve"> </w:t>
      </w:r>
      <w:r w:rsidR="0039071A" w:rsidRPr="00E6086A">
        <w:rPr>
          <w:rFonts w:cs="Arial"/>
          <w:b/>
          <w:szCs w:val="24"/>
        </w:rPr>
        <w:t>Cuadro de calificaciones.</w:t>
      </w:r>
      <w:r w:rsidR="0039071A" w:rsidRPr="00E6086A">
        <w:rPr>
          <w:rFonts w:cs="Arial"/>
          <w:szCs w:val="24"/>
        </w:rPr>
        <w:t xml:space="preserve"> </w:t>
      </w:r>
      <w:r w:rsidR="00B70B8F" w:rsidRPr="00E6086A">
        <w:rPr>
          <w:rFonts w:cs="Arial"/>
          <w:szCs w:val="24"/>
        </w:rPr>
        <w:t>En los folios 94 a 103 del expediente</w:t>
      </w:r>
      <w:r w:rsidR="00B70B8F" w:rsidRPr="00E6086A">
        <w:rPr>
          <w:rStyle w:val="Refdenotaalpie"/>
          <w:rFonts w:cs="Arial"/>
          <w:szCs w:val="24"/>
        </w:rPr>
        <w:footnoteReference w:id="31"/>
      </w:r>
      <w:r w:rsidR="00B70B8F" w:rsidRPr="00E6086A">
        <w:rPr>
          <w:rFonts w:cs="Arial"/>
          <w:szCs w:val="24"/>
        </w:rPr>
        <w:t xml:space="preserve"> obran los cuadros de calificación</w:t>
      </w:r>
      <w:r w:rsidR="00D6020A" w:rsidRPr="00E6086A">
        <w:rPr>
          <w:rFonts w:cs="Arial"/>
          <w:szCs w:val="24"/>
        </w:rPr>
        <w:t xml:space="preserve"> de </w:t>
      </w:r>
      <w:r w:rsidR="00B70B8F" w:rsidRPr="00E6086A">
        <w:rPr>
          <w:rFonts w:cs="Arial"/>
          <w:szCs w:val="24"/>
        </w:rPr>
        <w:t>las propuestas</w:t>
      </w:r>
      <w:r w:rsidR="009E6FB7" w:rsidRPr="00E6086A">
        <w:rPr>
          <w:rFonts w:cs="Arial"/>
          <w:szCs w:val="24"/>
        </w:rPr>
        <w:t xml:space="preserve">. En el </w:t>
      </w:r>
      <w:r w:rsidR="00D6020A" w:rsidRPr="00E6086A">
        <w:rPr>
          <w:rFonts w:cs="Arial"/>
          <w:szCs w:val="24"/>
        </w:rPr>
        <w:t>cuadro final</w:t>
      </w:r>
      <w:r w:rsidR="009E6FB7" w:rsidRPr="00E6086A">
        <w:rPr>
          <w:rFonts w:cs="Arial"/>
          <w:szCs w:val="24"/>
        </w:rPr>
        <w:t xml:space="preserve"> consolidado</w:t>
      </w:r>
      <w:r w:rsidR="00D6020A" w:rsidRPr="00E6086A">
        <w:rPr>
          <w:rFonts w:cs="Arial"/>
          <w:szCs w:val="24"/>
        </w:rPr>
        <w:t xml:space="preserve">, </w:t>
      </w:r>
      <w:r w:rsidR="00E916EC" w:rsidRPr="00E6086A">
        <w:rPr>
          <w:rFonts w:cs="Arial"/>
          <w:szCs w:val="24"/>
        </w:rPr>
        <w:t xml:space="preserve">sin firmas, </w:t>
      </w:r>
      <w:r w:rsidR="00D6020A" w:rsidRPr="00E6086A">
        <w:rPr>
          <w:rFonts w:cs="Arial"/>
          <w:szCs w:val="24"/>
        </w:rPr>
        <w:t xml:space="preserve">aparece con el puntaje más alto el </w:t>
      </w:r>
      <w:r w:rsidR="005A573F" w:rsidRPr="00E6086A">
        <w:rPr>
          <w:rFonts w:cs="Arial"/>
          <w:szCs w:val="24"/>
        </w:rPr>
        <w:t>“</w:t>
      </w:r>
      <w:r w:rsidR="00D6020A" w:rsidRPr="00E6086A">
        <w:rPr>
          <w:rFonts w:cs="Arial"/>
          <w:i/>
          <w:szCs w:val="24"/>
        </w:rPr>
        <w:t>Consorcio Alvaro Rodríguez B Jorge Montañez</w:t>
      </w:r>
      <w:r w:rsidR="005A573F" w:rsidRPr="00E6086A">
        <w:rPr>
          <w:rFonts w:cs="Arial"/>
          <w:i/>
          <w:szCs w:val="24"/>
        </w:rPr>
        <w:t>”</w:t>
      </w:r>
      <w:r w:rsidR="00FD1858" w:rsidRPr="00E6086A">
        <w:rPr>
          <w:rFonts w:cs="Arial"/>
          <w:szCs w:val="24"/>
        </w:rPr>
        <w:t xml:space="preserve"> y</w:t>
      </w:r>
      <w:r w:rsidR="005A573F" w:rsidRPr="00E6086A">
        <w:rPr>
          <w:rFonts w:cs="Arial"/>
          <w:szCs w:val="24"/>
        </w:rPr>
        <w:t>,</w:t>
      </w:r>
      <w:r w:rsidR="00FD1858" w:rsidRPr="00E6086A">
        <w:rPr>
          <w:rFonts w:cs="Arial"/>
          <w:szCs w:val="24"/>
        </w:rPr>
        <w:t xml:space="preserve"> en segundo lugar</w:t>
      </w:r>
      <w:r w:rsidR="005A573F" w:rsidRPr="00E6086A">
        <w:rPr>
          <w:rFonts w:cs="Arial"/>
          <w:szCs w:val="24"/>
        </w:rPr>
        <w:t>,</w:t>
      </w:r>
      <w:r w:rsidR="00FD1858" w:rsidRPr="00E6086A">
        <w:rPr>
          <w:rFonts w:cs="Arial"/>
          <w:szCs w:val="24"/>
        </w:rPr>
        <w:t xml:space="preserve"> la </w:t>
      </w:r>
      <w:r w:rsidR="005A573F" w:rsidRPr="00E6086A">
        <w:rPr>
          <w:rFonts w:cs="Arial"/>
          <w:szCs w:val="24"/>
        </w:rPr>
        <w:t>“</w:t>
      </w:r>
      <w:r w:rsidR="00FD1858" w:rsidRPr="00E6086A">
        <w:rPr>
          <w:rFonts w:cs="Arial"/>
          <w:i/>
          <w:szCs w:val="24"/>
        </w:rPr>
        <w:t>UT Pérez y Cía Ltda</w:t>
      </w:r>
      <w:r w:rsidR="005A573F" w:rsidRPr="00E6086A">
        <w:rPr>
          <w:rFonts w:cs="Arial"/>
          <w:i/>
          <w:szCs w:val="24"/>
        </w:rPr>
        <w:t>”</w:t>
      </w:r>
      <w:r w:rsidR="00FD1858" w:rsidRPr="00E6086A">
        <w:rPr>
          <w:rFonts w:cs="Arial"/>
          <w:i/>
          <w:szCs w:val="24"/>
        </w:rPr>
        <w:t>.</w:t>
      </w:r>
      <w:r w:rsidR="0039071A" w:rsidRPr="00E6086A">
        <w:rPr>
          <w:rFonts w:cs="Arial"/>
          <w:i/>
          <w:szCs w:val="24"/>
        </w:rPr>
        <w:t xml:space="preserve"> </w:t>
      </w:r>
      <w:r w:rsidR="0039071A" w:rsidRPr="00E6086A">
        <w:rPr>
          <w:rFonts w:cs="Arial"/>
          <w:szCs w:val="24"/>
        </w:rPr>
        <w:t>Este cuadro se allegó como anexo de la Resolución 075 de 1999.</w:t>
      </w:r>
    </w:p>
    <w:p w:rsidR="00FD1858" w:rsidRPr="00E6086A" w:rsidRDefault="00FD1858" w:rsidP="009D3798">
      <w:pPr>
        <w:pStyle w:val="Encabezado"/>
        <w:tabs>
          <w:tab w:val="clear" w:pos="4419"/>
          <w:tab w:val="center" w:pos="0"/>
        </w:tabs>
        <w:rPr>
          <w:rFonts w:cs="Arial"/>
          <w:szCs w:val="24"/>
        </w:rPr>
      </w:pPr>
    </w:p>
    <w:p w:rsidR="00576E4F" w:rsidRPr="00E6086A" w:rsidRDefault="00B41511" w:rsidP="009D3798">
      <w:pPr>
        <w:pStyle w:val="Encabezado"/>
        <w:tabs>
          <w:tab w:val="clear" w:pos="4419"/>
          <w:tab w:val="center" w:pos="0"/>
        </w:tabs>
        <w:rPr>
          <w:rFonts w:cs="Arial"/>
          <w:szCs w:val="24"/>
        </w:rPr>
      </w:pPr>
      <w:r w:rsidRPr="00E6086A">
        <w:rPr>
          <w:rFonts w:cs="Arial"/>
          <w:b/>
          <w:szCs w:val="24"/>
        </w:rPr>
        <w:t>5.</w:t>
      </w:r>
      <w:r w:rsidR="005A573F" w:rsidRPr="00E6086A">
        <w:rPr>
          <w:rFonts w:cs="Arial"/>
          <w:b/>
          <w:szCs w:val="24"/>
        </w:rPr>
        <w:t>7</w:t>
      </w:r>
      <w:r w:rsidRPr="00E6086A">
        <w:rPr>
          <w:rFonts w:cs="Arial"/>
          <w:b/>
          <w:szCs w:val="24"/>
        </w:rPr>
        <w:t>.</w:t>
      </w:r>
      <w:r w:rsidRPr="00E6086A">
        <w:rPr>
          <w:rFonts w:cs="Arial"/>
          <w:szCs w:val="24"/>
        </w:rPr>
        <w:t xml:space="preserve"> </w:t>
      </w:r>
      <w:r w:rsidR="0039071A" w:rsidRPr="00E6086A">
        <w:rPr>
          <w:rFonts w:cs="Arial"/>
          <w:b/>
          <w:szCs w:val="24"/>
        </w:rPr>
        <w:t>Pólizas de seriedad de la oferta.</w:t>
      </w:r>
      <w:r w:rsidR="0039071A" w:rsidRPr="00E6086A">
        <w:rPr>
          <w:rFonts w:cs="Arial"/>
          <w:szCs w:val="24"/>
        </w:rPr>
        <w:t xml:space="preserve"> </w:t>
      </w:r>
      <w:r w:rsidR="00C63463" w:rsidRPr="00E6086A">
        <w:rPr>
          <w:rFonts w:cs="Arial"/>
          <w:szCs w:val="24"/>
        </w:rPr>
        <w:t>De acuerdo con las pruebas allegadas al proceso, l</w:t>
      </w:r>
      <w:r w:rsidRPr="00E6086A">
        <w:rPr>
          <w:rFonts w:cs="Arial"/>
          <w:szCs w:val="24"/>
        </w:rPr>
        <w:t xml:space="preserve">as pólizas de seguro mediante las cuales se acreditó la garantía de seriedad de la oferta, </w:t>
      </w:r>
      <w:r w:rsidR="003E425E" w:rsidRPr="00E6086A">
        <w:rPr>
          <w:rFonts w:cs="Arial"/>
          <w:szCs w:val="24"/>
        </w:rPr>
        <w:t xml:space="preserve">por el 10% del valor del presupuesto oficial </w:t>
      </w:r>
      <w:r w:rsidR="00EF5435" w:rsidRPr="00E6086A">
        <w:rPr>
          <w:rFonts w:cs="Arial"/>
          <w:szCs w:val="24"/>
        </w:rPr>
        <w:t>(</w:t>
      </w:r>
      <w:r w:rsidR="00BC4144" w:rsidRPr="00E6086A">
        <w:rPr>
          <w:rFonts w:cs="Arial"/>
          <w:szCs w:val="24"/>
        </w:rPr>
        <w:t>$1.045’300.691</w:t>
      </w:r>
      <w:r w:rsidR="003021CF" w:rsidRPr="00E6086A">
        <w:rPr>
          <w:rFonts w:cs="Arial"/>
          <w:szCs w:val="24"/>
        </w:rPr>
        <w:t>)</w:t>
      </w:r>
      <w:r w:rsidR="00BC4144" w:rsidRPr="00E6086A">
        <w:rPr>
          <w:rFonts w:cs="Arial"/>
          <w:szCs w:val="24"/>
        </w:rPr>
        <w:t xml:space="preserve">, </w:t>
      </w:r>
      <w:r w:rsidR="00C63463" w:rsidRPr="00E6086A">
        <w:rPr>
          <w:rFonts w:cs="Arial"/>
          <w:szCs w:val="24"/>
        </w:rPr>
        <w:t>fueron</w:t>
      </w:r>
      <w:r w:rsidR="00D90BB3" w:rsidRPr="00E6086A">
        <w:rPr>
          <w:rFonts w:cs="Arial"/>
          <w:szCs w:val="24"/>
        </w:rPr>
        <w:t xml:space="preserve"> las siguientes</w:t>
      </w:r>
      <w:r w:rsidR="00C63463" w:rsidRPr="00E6086A">
        <w:rPr>
          <w:rFonts w:cs="Arial"/>
          <w:szCs w:val="24"/>
        </w:rPr>
        <w:t xml:space="preserve">: </w:t>
      </w:r>
      <w:r w:rsidR="00026129" w:rsidRPr="00E6086A">
        <w:rPr>
          <w:rFonts w:cs="Arial"/>
          <w:szCs w:val="24"/>
        </w:rPr>
        <w:t xml:space="preserve">Unión Temporal </w:t>
      </w:r>
      <w:r w:rsidR="00BC5C82" w:rsidRPr="00E6086A">
        <w:rPr>
          <w:rFonts w:cs="Arial"/>
          <w:szCs w:val="24"/>
        </w:rPr>
        <w:t>P</w:t>
      </w:r>
      <w:r w:rsidR="005A573F" w:rsidRPr="00E6086A">
        <w:rPr>
          <w:rFonts w:cs="Arial"/>
          <w:szCs w:val="24"/>
        </w:rPr>
        <w:t>é</w:t>
      </w:r>
      <w:r w:rsidR="00026129" w:rsidRPr="00E6086A">
        <w:rPr>
          <w:rFonts w:cs="Arial"/>
          <w:szCs w:val="24"/>
        </w:rPr>
        <w:t>rez y Cía Ltda</w:t>
      </w:r>
      <w:r w:rsidR="005A573F" w:rsidRPr="00E6086A">
        <w:rPr>
          <w:rFonts w:cs="Arial"/>
          <w:szCs w:val="24"/>
        </w:rPr>
        <w:t>,</w:t>
      </w:r>
      <w:r w:rsidR="00026129" w:rsidRPr="00E6086A">
        <w:rPr>
          <w:rFonts w:cs="Arial"/>
          <w:szCs w:val="24"/>
        </w:rPr>
        <w:t xml:space="preserve"> valor asegurado: $104’531.000</w:t>
      </w:r>
      <w:r w:rsidR="00C63463" w:rsidRPr="00E6086A">
        <w:rPr>
          <w:rFonts w:cs="Arial"/>
          <w:szCs w:val="24"/>
        </w:rPr>
        <w:t xml:space="preserve">; </w:t>
      </w:r>
      <w:r w:rsidR="00BC5C82" w:rsidRPr="00E6086A">
        <w:rPr>
          <w:rFonts w:cs="Arial"/>
          <w:szCs w:val="24"/>
        </w:rPr>
        <w:t>Consorcio Jorge Montañez y Compañía Ltda</w:t>
      </w:r>
      <w:r w:rsidR="00C07030" w:rsidRPr="00E6086A">
        <w:rPr>
          <w:rFonts w:cs="Arial"/>
          <w:szCs w:val="24"/>
        </w:rPr>
        <w:t>,</w:t>
      </w:r>
      <w:r w:rsidR="00BC5C82" w:rsidRPr="00E6086A">
        <w:rPr>
          <w:rFonts w:cs="Arial"/>
          <w:szCs w:val="24"/>
        </w:rPr>
        <w:t xml:space="preserve"> </w:t>
      </w:r>
      <w:r w:rsidR="00C63463" w:rsidRPr="00E6086A">
        <w:rPr>
          <w:rFonts w:cs="Arial"/>
          <w:szCs w:val="24"/>
        </w:rPr>
        <w:t>v</w:t>
      </w:r>
      <w:r w:rsidR="00BC5C82" w:rsidRPr="00E6086A">
        <w:rPr>
          <w:rFonts w:cs="Arial"/>
          <w:szCs w:val="24"/>
        </w:rPr>
        <w:t>alor asegurado</w:t>
      </w:r>
      <w:r w:rsidR="00C07030" w:rsidRPr="00E6086A">
        <w:rPr>
          <w:rFonts w:cs="Arial"/>
          <w:szCs w:val="24"/>
        </w:rPr>
        <w:t>:</w:t>
      </w:r>
      <w:r w:rsidR="00BC5C82" w:rsidRPr="00E6086A">
        <w:rPr>
          <w:rFonts w:cs="Arial"/>
          <w:szCs w:val="24"/>
        </w:rPr>
        <w:t xml:space="preserve"> $104’530.069</w:t>
      </w:r>
      <w:r w:rsidR="00C63463" w:rsidRPr="00E6086A">
        <w:rPr>
          <w:rFonts w:cs="Arial"/>
          <w:szCs w:val="24"/>
        </w:rPr>
        <w:t xml:space="preserve">; </w:t>
      </w:r>
      <w:r w:rsidR="00571D35" w:rsidRPr="00E6086A">
        <w:rPr>
          <w:rFonts w:cs="Arial"/>
          <w:szCs w:val="24"/>
        </w:rPr>
        <w:t xml:space="preserve">Constructora ECCO Ltda. Arquitectos e Ingenieros Asoc, valor asegurado: </w:t>
      </w:r>
      <w:r w:rsidR="00576E4F" w:rsidRPr="00E6086A">
        <w:rPr>
          <w:rFonts w:cs="Arial"/>
          <w:szCs w:val="24"/>
        </w:rPr>
        <w:t>$104’530.069</w:t>
      </w:r>
      <w:r w:rsidR="00576E4F" w:rsidRPr="00E6086A">
        <w:rPr>
          <w:rStyle w:val="Refdenotaalpie"/>
          <w:rFonts w:cs="Arial"/>
          <w:szCs w:val="24"/>
        </w:rPr>
        <w:footnoteReference w:id="32"/>
      </w:r>
      <w:r w:rsidR="00576E4F" w:rsidRPr="00E6086A">
        <w:rPr>
          <w:rFonts w:cs="Arial"/>
          <w:szCs w:val="24"/>
        </w:rPr>
        <w:t>; Unión Temporal Colvico Ltda – Juan Guillermo Agudelo</w:t>
      </w:r>
      <w:r w:rsidR="008D4D3D" w:rsidRPr="00E6086A">
        <w:rPr>
          <w:rFonts w:cs="Arial"/>
          <w:szCs w:val="24"/>
        </w:rPr>
        <w:t>, valor asegurado: $104’530.069; Consorcio Hag Contratistas</w:t>
      </w:r>
      <w:r w:rsidR="002937B3" w:rsidRPr="00E6086A">
        <w:rPr>
          <w:rFonts w:cs="Arial"/>
          <w:szCs w:val="24"/>
        </w:rPr>
        <w:t>, VALOR ASEGURADO:</w:t>
      </w:r>
      <w:r w:rsidR="008D4D3D" w:rsidRPr="00E6086A">
        <w:rPr>
          <w:rFonts w:cs="Arial"/>
          <w:szCs w:val="24"/>
        </w:rPr>
        <w:t xml:space="preserve"> $104’540.000; </w:t>
      </w:r>
      <w:r w:rsidR="00EF5435" w:rsidRPr="00E6086A">
        <w:rPr>
          <w:rFonts w:cs="Arial"/>
          <w:szCs w:val="24"/>
        </w:rPr>
        <w:t>Unión Temporal Alfonso Giraldo L- Concypa Ltda</w:t>
      </w:r>
      <w:r w:rsidR="00D90BB3" w:rsidRPr="00E6086A">
        <w:rPr>
          <w:rFonts w:cs="Arial"/>
          <w:szCs w:val="24"/>
        </w:rPr>
        <w:t>, valor asegurado</w:t>
      </w:r>
      <w:r w:rsidR="00EF5435" w:rsidRPr="00E6086A">
        <w:rPr>
          <w:rFonts w:cs="Arial"/>
          <w:szCs w:val="24"/>
        </w:rPr>
        <w:t>: $104’530.069; Pór</w:t>
      </w:r>
      <w:r w:rsidR="003021CF" w:rsidRPr="00E6086A">
        <w:rPr>
          <w:rFonts w:cs="Arial"/>
          <w:szCs w:val="24"/>
        </w:rPr>
        <w:t>t</w:t>
      </w:r>
      <w:r w:rsidR="00EF5435" w:rsidRPr="00E6086A">
        <w:rPr>
          <w:rFonts w:cs="Arial"/>
          <w:szCs w:val="24"/>
        </w:rPr>
        <w:t xml:space="preserve">icos S.A., </w:t>
      </w:r>
      <w:r w:rsidR="00C07030" w:rsidRPr="00E6086A">
        <w:rPr>
          <w:rFonts w:cs="Arial"/>
          <w:szCs w:val="24"/>
        </w:rPr>
        <w:t>v</w:t>
      </w:r>
      <w:r w:rsidR="00EF5435" w:rsidRPr="00E6086A">
        <w:rPr>
          <w:rFonts w:cs="Arial"/>
          <w:szCs w:val="24"/>
        </w:rPr>
        <w:t>alor asegurado: $104.530.069</w:t>
      </w:r>
      <w:r w:rsidR="003021CF" w:rsidRPr="00E6086A">
        <w:rPr>
          <w:rFonts w:cs="Arial"/>
          <w:szCs w:val="24"/>
        </w:rPr>
        <w:t>; Consorcio y Constructora Bal</w:t>
      </w:r>
      <w:r w:rsidR="00AE7F4A" w:rsidRPr="00E6086A">
        <w:rPr>
          <w:rFonts w:cs="Arial"/>
          <w:szCs w:val="24"/>
        </w:rPr>
        <w:t>e</w:t>
      </w:r>
      <w:r w:rsidR="003021CF" w:rsidRPr="00E6086A">
        <w:rPr>
          <w:rFonts w:cs="Arial"/>
          <w:szCs w:val="24"/>
        </w:rPr>
        <w:t xml:space="preserve">ares </w:t>
      </w:r>
      <w:r w:rsidR="00C07030" w:rsidRPr="00E6086A">
        <w:rPr>
          <w:rFonts w:cs="Arial"/>
          <w:szCs w:val="24"/>
        </w:rPr>
        <w:t>–</w:t>
      </w:r>
      <w:r w:rsidR="003021CF" w:rsidRPr="00E6086A">
        <w:rPr>
          <w:rFonts w:cs="Arial"/>
          <w:szCs w:val="24"/>
        </w:rPr>
        <w:t xml:space="preserve"> ICIC</w:t>
      </w:r>
      <w:r w:rsidR="00C07030" w:rsidRPr="00E6086A">
        <w:rPr>
          <w:rFonts w:cs="Arial"/>
          <w:szCs w:val="24"/>
        </w:rPr>
        <w:t>, valor asegurado</w:t>
      </w:r>
      <w:r w:rsidR="003021CF" w:rsidRPr="00E6086A">
        <w:rPr>
          <w:rFonts w:cs="Arial"/>
          <w:szCs w:val="24"/>
        </w:rPr>
        <w:t>: $104’530.069;</w:t>
      </w:r>
      <w:r w:rsidR="002E5B22" w:rsidRPr="00E6086A">
        <w:rPr>
          <w:rFonts w:cs="Arial"/>
          <w:szCs w:val="24"/>
        </w:rPr>
        <w:t xml:space="preserve"> Consorcio Obras y Terrenos Limitada – Excavar S.A.</w:t>
      </w:r>
      <w:r w:rsidR="00C07030" w:rsidRPr="00E6086A">
        <w:rPr>
          <w:rFonts w:cs="Arial"/>
          <w:szCs w:val="24"/>
        </w:rPr>
        <w:t>, valor asegurado</w:t>
      </w:r>
      <w:r w:rsidR="002E5B22" w:rsidRPr="00E6086A">
        <w:rPr>
          <w:rFonts w:cs="Arial"/>
          <w:szCs w:val="24"/>
        </w:rPr>
        <w:t>: $104’530.070</w:t>
      </w:r>
      <w:r w:rsidR="005612F6" w:rsidRPr="00E6086A">
        <w:rPr>
          <w:rFonts w:cs="Arial"/>
          <w:szCs w:val="24"/>
        </w:rPr>
        <w:t xml:space="preserve">; Consorcio M y Z Asociados Ltda – Ingeniería Sanitaria, valor asegurado: $105’000.000; Construcciones AP y Cía Ltda, </w:t>
      </w:r>
      <w:r w:rsidR="00C07030" w:rsidRPr="00E6086A">
        <w:rPr>
          <w:rFonts w:cs="Arial"/>
          <w:szCs w:val="24"/>
        </w:rPr>
        <w:t>v</w:t>
      </w:r>
      <w:r w:rsidR="005612F6" w:rsidRPr="00E6086A">
        <w:rPr>
          <w:rFonts w:cs="Arial"/>
          <w:szCs w:val="24"/>
        </w:rPr>
        <w:t xml:space="preserve">alor asegurado: </w:t>
      </w:r>
      <w:r w:rsidR="005612F6" w:rsidRPr="00E6086A">
        <w:rPr>
          <w:rFonts w:cs="Arial"/>
          <w:szCs w:val="24"/>
        </w:rPr>
        <w:lastRenderedPageBreak/>
        <w:t>$110’000.000</w:t>
      </w:r>
      <w:r w:rsidR="00C07030" w:rsidRPr="00E6086A">
        <w:rPr>
          <w:rFonts w:cs="Arial"/>
          <w:szCs w:val="24"/>
        </w:rPr>
        <w:t xml:space="preserve"> y,</w:t>
      </w:r>
      <w:r w:rsidR="00BD712D" w:rsidRPr="00E6086A">
        <w:rPr>
          <w:rFonts w:cs="Arial"/>
          <w:szCs w:val="24"/>
        </w:rPr>
        <w:t xml:space="preserve"> Unión Temporal Ingeniería y Contratos Ltda – Constructora Las Galias S.A.</w:t>
      </w:r>
      <w:r w:rsidR="00C07030" w:rsidRPr="00E6086A">
        <w:rPr>
          <w:rFonts w:cs="Arial"/>
          <w:szCs w:val="24"/>
        </w:rPr>
        <w:t>, valor asegurado</w:t>
      </w:r>
      <w:r w:rsidR="00BD712D" w:rsidRPr="00E6086A">
        <w:rPr>
          <w:rFonts w:cs="Arial"/>
          <w:szCs w:val="24"/>
        </w:rPr>
        <w:t>: $105’000.000.</w:t>
      </w:r>
    </w:p>
    <w:p w:rsidR="00C63463" w:rsidRPr="00E6086A" w:rsidRDefault="00C63463" w:rsidP="009D3798">
      <w:pPr>
        <w:pStyle w:val="Encabezado"/>
        <w:tabs>
          <w:tab w:val="clear" w:pos="4419"/>
          <w:tab w:val="center" w:pos="0"/>
        </w:tabs>
        <w:rPr>
          <w:rFonts w:cs="Arial"/>
          <w:szCs w:val="24"/>
        </w:rPr>
      </w:pPr>
    </w:p>
    <w:p w:rsidR="00D90BB3" w:rsidRPr="00E6086A" w:rsidRDefault="00C63463" w:rsidP="009D3798">
      <w:pPr>
        <w:pStyle w:val="Encabezado"/>
        <w:tabs>
          <w:tab w:val="clear" w:pos="4419"/>
          <w:tab w:val="center" w:pos="0"/>
        </w:tabs>
        <w:rPr>
          <w:rFonts w:cs="Arial"/>
          <w:szCs w:val="24"/>
        </w:rPr>
      </w:pPr>
      <w:r w:rsidRPr="00E6086A">
        <w:rPr>
          <w:rFonts w:cs="Arial"/>
          <w:b/>
          <w:szCs w:val="24"/>
        </w:rPr>
        <w:t>5.</w:t>
      </w:r>
      <w:r w:rsidR="0039071A" w:rsidRPr="00E6086A">
        <w:rPr>
          <w:rFonts w:cs="Arial"/>
          <w:b/>
          <w:szCs w:val="24"/>
        </w:rPr>
        <w:t>7</w:t>
      </w:r>
      <w:r w:rsidRPr="00E6086A">
        <w:rPr>
          <w:rFonts w:cs="Arial"/>
          <w:b/>
          <w:szCs w:val="24"/>
        </w:rPr>
        <w:t>.</w:t>
      </w:r>
      <w:r w:rsidR="0039071A" w:rsidRPr="00E6086A">
        <w:rPr>
          <w:rFonts w:cs="Arial"/>
          <w:b/>
          <w:szCs w:val="24"/>
        </w:rPr>
        <w:t>1.</w:t>
      </w:r>
      <w:r w:rsidRPr="00E6086A">
        <w:rPr>
          <w:rFonts w:cs="Arial"/>
          <w:szCs w:val="24"/>
        </w:rPr>
        <w:t xml:space="preserve"> </w:t>
      </w:r>
      <w:r w:rsidR="00D90BB3" w:rsidRPr="00E6086A">
        <w:rPr>
          <w:rFonts w:cs="Arial"/>
          <w:szCs w:val="24"/>
        </w:rPr>
        <w:t>De conformidad con las pruebas allegadas al plenario, l</w:t>
      </w:r>
      <w:r w:rsidRPr="00E6086A">
        <w:rPr>
          <w:rFonts w:cs="Arial"/>
          <w:szCs w:val="24"/>
        </w:rPr>
        <w:t xml:space="preserve">as pólizas de seguro </w:t>
      </w:r>
      <w:r w:rsidR="00230B62" w:rsidRPr="00E6086A">
        <w:rPr>
          <w:rFonts w:cs="Arial"/>
          <w:szCs w:val="24"/>
        </w:rPr>
        <w:t xml:space="preserve">cuyo valor era inferior al 10% del presupuesto oficial, </w:t>
      </w:r>
      <w:r w:rsidR="00571D35" w:rsidRPr="00E6086A">
        <w:rPr>
          <w:rFonts w:cs="Arial"/>
          <w:szCs w:val="24"/>
        </w:rPr>
        <w:t xml:space="preserve">dado </w:t>
      </w:r>
      <w:r w:rsidR="00230B62" w:rsidRPr="00E6086A">
        <w:rPr>
          <w:rFonts w:cs="Arial"/>
          <w:szCs w:val="24"/>
        </w:rPr>
        <w:t>que se otorgaron por el 10% del valor de la respectiva propuesta</w:t>
      </w:r>
      <w:r w:rsidR="006B4167" w:rsidRPr="00E6086A">
        <w:rPr>
          <w:rFonts w:cs="Arial"/>
          <w:szCs w:val="24"/>
        </w:rPr>
        <w:t>,</w:t>
      </w:r>
      <w:r w:rsidR="00230B62" w:rsidRPr="00E6086A">
        <w:rPr>
          <w:rFonts w:cs="Arial"/>
          <w:szCs w:val="24"/>
        </w:rPr>
        <w:t xml:space="preserve"> eran</w:t>
      </w:r>
      <w:r w:rsidR="00571D35" w:rsidRPr="00E6086A">
        <w:rPr>
          <w:rFonts w:cs="Arial"/>
          <w:szCs w:val="24"/>
        </w:rPr>
        <w:t xml:space="preserve"> las siguientes</w:t>
      </w:r>
      <w:r w:rsidR="00C07030" w:rsidRPr="00E6086A">
        <w:rPr>
          <w:rFonts w:cs="Arial"/>
          <w:szCs w:val="24"/>
        </w:rPr>
        <w:t>:</w:t>
      </w:r>
      <w:r w:rsidR="00571D35" w:rsidRPr="00E6086A">
        <w:rPr>
          <w:rFonts w:cs="Arial"/>
          <w:szCs w:val="24"/>
        </w:rPr>
        <w:t xml:space="preserve"> </w:t>
      </w:r>
      <w:r w:rsidR="00B363B0" w:rsidRPr="00E6086A">
        <w:rPr>
          <w:rFonts w:cs="Arial"/>
          <w:szCs w:val="24"/>
        </w:rPr>
        <w:t>U</w:t>
      </w:r>
      <w:r w:rsidR="00D47DAD" w:rsidRPr="00E6086A">
        <w:rPr>
          <w:rFonts w:cs="Arial"/>
          <w:szCs w:val="24"/>
        </w:rPr>
        <w:t xml:space="preserve">nión </w:t>
      </w:r>
      <w:r w:rsidR="00B363B0" w:rsidRPr="00E6086A">
        <w:rPr>
          <w:rFonts w:cs="Arial"/>
          <w:szCs w:val="24"/>
        </w:rPr>
        <w:t>T</w:t>
      </w:r>
      <w:r w:rsidR="00D47DAD" w:rsidRPr="00E6086A">
        <w:rPr>
          <w:rFonts w:cs="Arial"/>
          <w:szCs w:val="24"/>
        </w:rPr>
        <w:t xml:space="preserve">emporal </w:t>
      </w:r>
      <w:r w:rsidR="00B363B0" w:rsidRPr="00E6086A">
        <w:rPr>
          <w:rFonts w:cs="Arial"/>
          <w:szCs w:val="24"/>
        </w:rPr>
        <w:t>Lama Ingenieros Ltda – Asfaltadora Colombia Ltda, valor asegurado: $103’000.000</w:t>
      </w:r>
      <w:r w:rsidR="009E6FB7" w:rsidRPr="00E6086A">
        <w:rPr>
          <w:rStyle w:val="Refdenotaalpie"/>
          <w:rFonts w:cs="Arial"/>
          <w:szCs w:val="24"/>
        </w:rPr>
        <w:footnoteReference w:id="33"/>
      </w:r>
      <w:r w:rsidR="00571D35" w:rsidRPr="00E6086A">
        <w:rPr>
          <w:rFonts w:cs="Arial"/>
          <w:szCs w:val="24"/>
        </w:rPr>
        <w:t xml:space="preserve"> y </w:t>
      </w:r>
      <w:r w:rsidR="00B363B0" w:rsidRPr="00E6086A">
        <w:rPr>
          <w:rFonts w:cs="Arial"/>
          <w:szCs w:val="24"/>
        </w:rPr>
        <w:t>Consorcio Hag</w:t>
      </w:r>
      <w:r w:rsidR="003255C8" w:rsidRPr="00E6086A">
        <w:rPr>
          <w:rFonts w:cs="Arial"/>
          <w:szCs w:val="24"/>
        </w:rPr>
        <w:t xml:space="preserve"> Contratistas</w:t>
      </w:r>
      <w:r w:rsidR="00B363B0" w:rsidRPr="00E6086A">
        <w:rPr>
          <w:rFonts w:cs="Arial"/>
          <w:szCs w:val="24"/>
        </w:rPr>
        <w:t>, valor asegurado: $92’908</w:t>
      </w:r>
      <w:r w:rsidR="003E425E" w:rsidRPr="00E6086A">
        <w:rPr>
          <w:rFonts w:cs="Arial"/>
          <w:szCs w:val="24"/>
        </w:rPr>
        <w:t>.</w:t>
      </w:r>
      <w:r w:rsidR="00B363B0" w:rsidRPr="00E6086A">
        <w:rPr>
          <w:rFonts w:cs="Arial"/>
          <w:szCs w:val="24"/>
        </w:rPr>
        <w:t>171</w:t>
      </w:r>
      <w:r w:rsidR="003255C8" w:rsidRPr="00E6086A">
        <w:rPr>
          <w:rStyle w:val="Refdenotaalpie"/>
          <w:rFonts w:cs="Arial"/>
          <w:szCs w:val="24"/>
        </w:rPr>
        <w:footnoteReference w:id="34"/>
      </w:r>
      <w:r w:rsidR="006B4167" w:rsidRPr="00E6086A">
        <w:rPr>
          <w:rFonts w:cs="Arial"/>
          <w:szCs w:val="24"/>
        </w:rPr>
        <w:t>.</w:t>
      </w:r>
      <w:r w:rsidR="00D47DAD" w:rsidRPr="00E6086A">
        <w:rPr>
          <w:rFonts w:cs="Arial"/>
          <w:szCs w:val="24"/>
        </w:rPr>
        <w:t xml:space="preserve"> </w:t>
      </w:r>
      <w:r w:rsidR="00D90BB3" w:rsidRPr="00E6086A">
        <w:rPr>
          <w:rFonts w:cs="Arial"/>
          <w:szCs w:val="24"/>
        </w:rPr>
        <w:t xml:space="preserve"> Est</w:t>
      </w:r>
      <w:r w:rsidR="0039071A" w:rsidRPr="00E6086A">
        <w:rPr>
          <w:rFonts w:cs="Arial"/>
          <w:szCs w:val="24"/>
        </w:rPr>
        <w:t>e</w:t>
      </w:r>
      <w:r w:rsidR="00D90BB3" w:rsidRPr="00E6086A">
        <w:rPr>
          <w:rFonts w:cs="Arial"/>
          <w:szCs w:val="24"/>
        </w:rPr>
        <w:t xml:space="preserve"> últim</w:t>
      </w:r>
      <w:r w:rsidR="0039071A" w:rsidRPr="00E6086A">
        <w:rPr>
          <w:rFonts w:cs="Arial"/>
          <w:szCs w:val="24"/>
        </w:rPr>
        <w:t xml:space="preserve">o consorcio </w:t>
      </w:r>
      <w:r w:rsidR="00D90BB3" w:rsidRPr="00E6086A">
        <w:rPr>
          <w:rFonts w:cs="Arial"/>
          <w:szCs w:val="24"/>
        </w:rPr>
        <w:t>presentó otra póliza de seguro por valor equivalente al 10% del presupuesto oficial, según se relacionó en el punto anterior.</w:t>
      </w:r>
    </w:p>
    <w:p w:rsidR="00283EFB" w:rsidRPr="00E6086A" w:rsidRDefault="00D90BB3" w:rsidP="009D3798">
      <w:pPr>
        <w:pStyle w:val="Encabezado"/>
        <w:tabs>
          <w:tab w:val="clear" w:pos="4419"/>
          <w:tab w:val="center" w:pos="0"/>
        </w:tabs>
        <w:rPr>
          <w:rFonts w:cs="Arial"/>
          <w:szCs w:val="24"/>
        </w:rPr>
      </w:pPr>
      <w:r w:rsidRPr="00E6086A">
        <w:rPr>
          <w:rFonts w:cs="Arial"/>
          <w:szCs w:val="24"/>
        </w:rPr>
        <w:t xml:space="preserve"> </w:t>
      </w:r>
    </w:p>
    <w:p w:rsidR="00B363B0" w:rsidRPr="00E6086A" w:rsidRDefault="00F923FC" w:rsidP="009D3798">
      <w:pPr>
        <w:pStyle w:val="Encabezado"/>
        <w:tabs>
          <w:tab w:val="clear" w:pos="4419"/>
          <w:tab w:val="center" w:pos="0"/>
        </w:tabs>
        <w:rPr>
          <w:rFonts w:cs="Arial"/>
          <w:szCs w:val="24"/>
        </w:rPr>
      </w:pPr>
      <w:r w:rsidRPr="00E6086A">
        <w:rPr>
          <w:rFonts w:cs="Arial"/>
          <w:b/>
          <w:szCs w:val="24"/>
        </w:rPr>
        <w:t>5.7.2.</w:t>
      </w:r>
      <w:r w:rsidRPr="00E6086A">
        <w:rPr>
          <w:rFonts w:cs="Arial"/>
          <w:szCs w:val="24"/>
        </w:rPr>
        <w:t xml:space="preserve"> </w:t>
      </w:r>
      <w:r w:rsidR="00D47DAD" w:rsidRPr="00E6086A">
        <w:rPr>
          <w:rFonts w:cs="Arial"/>
          <w:szCs w:val="24"/>
        </w:rPr>
        <w:t xml:space="preserve">Nótese que la póliza </w:t>
      </w:r>
      <w:r w:rsidR="00D90BB3" w:rsidRPr="00E6086A">
        <w:rPr>
          <w:rFonts w:cs="Arial"/>
          <w:szCs w:val="24"/>
        </w:rPr>
        <w:t xml:space="preserve">de seguro requerida en el pliego de condiciones </w:t>
      </w:r>
      <w:r w:rsidR="00D47DAD" w:rsidRPr="00E6086A">
        <w:rPr>
          <w:rFonts w:cs="Arial"/>
          <w:szCs w:val="24"/>
        </w:rPr>
        <w:t xml:space="preserve">debía acreditar un valor </w:t>
      </w:r>
      <w:r w:rsidR="000C6D0E" w:rsidRPr="00E6086A">
        <w:rPr>
          <w:rFonts w:cs="Arial"/>
          <w:szCs w:val="24"/>
        </w:rPr>
        <w:t xml:space="preserve">asegurado </w:t>
      </w:r>
      <w:r w:rsidR="00D47DAD" w:rsidRPr="00E6086A">
        <w:rPr>
          <w:rFonts w:cs="Arial"/>
          <w:szCs w:val="24"/>
        </w:rPr>
        <w:t>de $104’530.069 (10% del presupuesto oficial) y que en el caso de la Unión Temporal Lama Ingenieros Ltda – Asfaltadora Colombia</w:t>
      </w:r>
      <w:r w:rsidR="00D90BB3" w:rsidRPr="00E6086A">
        <w:rPr>
          <w:rFonts w:cs="Arial"/>
          <w:szCs w:val="24"/>
        </w:rPr>
        <w:t>na</w:t>
      </w:r>
      <w:r w:rsidR="00D47DAD" w:rsidRPr="00E6086A">
        <w:rPr>
          <w:rFonts w:cs="Arial"/>
          <w:szCs w:val="24"/>
        </w:rPr>
        <w:t xml:space="preserve"> Ltda </w:t>
      </w:r>
      <w:r w:rsidR="000C6D0E" w:rsidRPr="00E6086A">
        <w:rPr>
          <w:rFonts w:cs="Arial"/>
          <w:szCs w:val="24"/>
        </w:rPr>
        <w:t xml:space="preserve">se otorgó por $103’000.000, de manera que </w:t>
      </w:r>
      <w:r w:rsidR="00D47DAD" w:rsidRPr="00E6086A">
        <w:rPr>
          <w:rFonts w:cs="Arial"/>
          <w:szCs w:val="24"/>
        </w:rPr>
        <w:t>le falt</w:t>
      </w:r>
      <w:r w:rsidR="00283EFB" w:rsidRPr="00E6086A">
        <w:rPr>
          <w:rFonts w:cs="Arial"/>
          <w:szCs w:val="24"/>
        </w:rPr>
        <w:t>aba</w:t>
      </w:r>
      <w:r w:rsidR="00D47DAD" w:rsidRPr="00E6086A">
        <w:rPr>
          <w:rFonts w:cs="Arial"/>
          <w:szCs w:val="24"/>
        </w:rPr>
        <w:t xml:space="preserve"> </w:t>
      </w:r>
      <w:r w:rsidR="000C6D0E" w:rsidRPr="00E6086A">
        <w:rPr>
          <w:rFonts w:cs="Arial"/>
          <w:szCs w:val="24"/>
        </w:rPr>
        <w:t xml:space="preserve">acreditar </w:t>
      </w:r>
      <w:r w:rsidR="00283EFB" w:rsidRPr="00E6086A">
        <w:rPr>
          <w:rFonts w:cs="Arial"/>
          <w:szCs w:val="24"/>
        </w:rPr>
        <w:t>c</w:t>
      </w:r>
      <w:r w:rsidR="00D47DAD" w:rsidRPr="00E6086A">
        <w:rPr>
          <w:rFonts w:cs="Arial"/>
          <w:szCs w:val="24"/>
        </w:rPr>
        <w:t xml:space="preserve">obertura por </w:t>
      </w:r>
      <w:r w:rsidR="00283EFB" w:rsidRPr="00E6086A">
        <w:rPr>
          <w:rFonts w:cs="Arial"/>
          <w:szCs w:val="24"/>
        </w:rPr>
        <w:t>valor de $1’530.069.</w:t>
      </w:r>
      <w:r w:rsidR="00D47DAD" w:rsidRPr="00E6086A">
        <w:rPr>
          <w:rFonts w:cs="Arial"/>
          <w:szCs w:val="24"/>
        </w:rPr>
        <w:t xml:space="preserve"> </w:t>
      </w:r>
    </w:p>
    <w:p w:rsidR="005627B0" w:rsidRPr="00E6086A" w:rsidRDefault="005627B0" w:rsidP="009D3798">
      <w:pPr>
        <w:pStyle w:val="Encabezado"/>
        <w:tabs>
          <w:tab w:val="clear" w:pos="4419"/>
          <w:tab w:val="center" w:pos="0"/>
        </w:tabs>
        <w:rPr>
          <w:rFonts w:cs="Arial"/>
          <w:szCs w:val="24"/>
        </w:rPr>
      </w:pPr>
    </w:p>
    <w:p w:rsidR="006B4167" w:rsidRPr="00E6086A" w:rsidRDefault="006C5375" w:rsidP="009D3798">
      <w:pPr>
        <w:pStyle w:val="Encabezado"/>
        <w:tabs>
          <w:tab w:val="clear" w:pos="4419"/>
          <w:tab w:val="center" w:pos="0"/>
        </w:tabs>
        <w:rPr>
          <w:rFonts w:cs="Arial"/>
          <w:b/>
          <w:szCs w:val="24"/>
        </w:rPr>
      </w:pPr>
      <w:r w:rsidRPr="00E6086A">
        <w:rPr>
          <w:rFonts w:cs="Arial"/>
          <w:b/>
          <w:szCs w:val="24"/>
        </w:rPr>
        <w:t>6. El caso concreto</w:t>
      </w:r>
    </w:p>
    <w:p w:rsidR="00EC61FC" w:rsidRPr="00E6086A" w:rsidRDefault="00EC61FC" w:rsidP="009D3798">
      <w:pPr>
        <w:pStyle w:val="Encabezado"/>
        <w:tabs>
          <w:tab w:val="clear" w:pos="4419"/>
          <w:tab w:val="center" w:pos="0"/>
        </w:tabs>
        <w:rPr>
          <w:rFonts w:cs="Arial"/>
          <w:b/>
          <w:szCs w:val="24"/>
        </w:rPr>
      </w:pPr>
    </w:p>
    <w:p w:rsidR="0039071A" w:rsidRPr="00E6086A" w:rsidRDefault="0039071A" w:rsidP="00A44C89">
      <w:pPr>
        <w:widowControl w:val="0"/>
        <w:tabs>
          <w:tab w:val="left" w:pos="4111"/>
        </w:tabs>
        <w:autoSpaceDE w:val="0"/>
        <w:autoSpaceDN w:val="0"/>
        <w:adjustRightInd w:val="0"/>
        <w:spacing w:line="240" w:lineRule="auto"/>
        <w:rPr>
          <w:rFonts w:cs="Arial"/>
          <w:b/>
        </w:rPr>
      </w:pPr>
      <w:r w:rsidRPr="00E6086A">
        <w:rPr>
          <w:rFonts w:cs="Arial"/>
          <w:b/>
        </w:rPr>
        <w:t>6.</w:t>
      </w:r>
      <w:r w:rsidR="00431AB0" w:rsidRPr="00E6086A">
        <w:rPr>
          <w:rFonts w:cs="Arial"/>
          <w:b/>
        </w:rPr>
        <w:t>1.</w:t>
      </w:r>
      <w:r w:rsidRPr="00E6086A">
        <w:rPr>
          <w:rFonts w:cs="Arial"/>
          <w:b/>
        </w:rPr>
        <w:t xml:space="preserve"> El </w:t>
      </w:r>
      <w:r w:rsidR="006C5375" w:rsidRPr="00E6086A">
        <w:rPr>
          <w:rFonts w:cs="Arial"/>
          <w:b/>
        </w:rPr>
        <w:t xml:space="preserve">menor </w:t>
      </w:r>
      <w:r w:rsidR="00DA21A1" w:rsidRPr="00E6086A">
        <w:rPr>
          <w:rFonts w:cs="Arial"/>
          <w:b/>
        </w:rPr>
        <w:t xml:space="preserve">valor </w:t>
      </w:r>
      <w:r w:rsidR="00431AB0" w:rsidRPr="00E6086A">
        <w:rPr>
          <w:rFonts w:cs="Arial"/>
          <w:b/>
        </w:rPr>
        <w:t xml:space="preserve">asegurado en </w:t>
      </w:r>
      <w:r w:rsidR="006C5375" w:rsidRPr="00E6086A">
        <w:rPr>
          <w:rFonts w:cs="Arial"/>
          <w:b/>
        </w:rPr>
        <w:t xml:space="preserve">la póliza </w:t>
      </w:r>
      <w:r w:rsidR="00783CD7" w:rsidRPr="00E6086A">
        <w:rPr>
          <w:rFonts w:cs="Arial"/>
          <w:b/>
        </w:rPr>
        <w:t xml:space="preserve">de seriedad de la oferta </w:t>
      </w:r>
      <w:r w:rsidR="006A3A0F" w:rsidRPr="00E6086A">
        <w:rPr>
          <w:rFonts w:cs="Arial"/>
          <w:b/>
        </w:rPr>
        <w:t>n</w:t>
      </w:r>
      <w:r w:rsidR="00DA21A1" w:rsidRPr="00E6086A">
        <w:rPr>
          <w:rFonts w:cs="Arial"/>
          <w:b/>
        </w:rPr>
        <w:t>o se asimila a la ausencia de la póli</w:t>
      </w:r>
      <w:r w:rsidR="00431AB0" w:rsidRPr="00E6086A">
        <w:rPr>
          <w:rFonts w:cs="Arial"/>
          <w:b/>
        </w:rPr>
        <w:t xml:space="preserve">za y no </w:t>
      </w:r>
      <w:r w:rsidR="00783CD7" w:rsidRPr="00E6086A">
        <w:rPr>
          <w:rFonts w:cs="Arial"/>
          <w:b/>
        </w:rPr>
        <w:t xml:space="preserve">constituye la falta de un requisito esencial a la comparación de ofertas </w:t>
      </w:r>
    </w:p>
    <w:p w:rsidR="00431AB0" w:rsidRPr="00E6086A" w:rsidRDefault="00431AB0" w:rsidP="009D3798">
      <w:pPr>
        <w:widowControl w:val="0"/>
        <w:autoSpaceDE w:val="0"/>
        <w:autoSpaceDN w:val="0"/>
        <w:adjustRightInd w:val="0"/>
        <w:rPr>
          <w:rFonts w:cs="Arial"/>
          <w:b/>
        </w:rPr>
      </w:pPr>
    </w:p>
    <w:p w:rsidR="005D072C" w:rsidRPr="00E6086A" w:rsidRDefault="005D072C" w:rsidP="009D3798">
      <w:pPr>
        <w:pStyle w:val="Encabezado"/>
        <w:tabs>
          <w:tab w:val="clear" w:pos="4419"/>
          <w:tab w:val="center" w:pos="0"/>
        </w:tabs>
        <w:rPr>
          <w:rFonts w:cs="Arial"/>
          <w:szCs w:val="24"/>
        </w:rPr>
      </w:pPr>
      <w:r w:rsidRPr="00E6086A">
        <w:rPr>
          <w:rFonts w:cs="Arial"/>
          <w:szCs w:val="24"/>
        </w:rPr>
        <w:t>Sin perjuicio del orden en que presentó los argumentos la apelante, e</w:t>
      </w:r>
      <w:r w:rsidR="00DA21A1" w:rsidRPr="00E6086A">
        <w:rPr>
          <w:rFonts w:cs="Arial"/>
          <w:szCs w:val="24"/>
        </w:rPr>
        <w:t xml:space="preserve">l </w:t>
      </w:r>
      <w:r w:rsidR="001F23CA" w:rsidRPr="00E6086A">
        <w:rPr>
          <w:rFonts w:cs="Arial"/>
          <w:szCs w:val="24"/>
        </w:rPr>
        <w:t xml:space="preserve">asunto </w:t>
      </w:r>
      <w:r w:rsidR="00DA21A1" w:rsidRPr="00E6086A">
        <w:rPr>
          <w:rFonts w:cs="Arial"/>
          <w:szCs w:val="24"/>
        </w:rPr>
        <w:t xml:space="preserve">que </w:t>
      </w:r>
      <w:r w:rsidRPr="00E6086A">
        <w:rPr>
          <w:rFonts w:cs="Arial"/>
          <w:szCs w:val="24"/>
        </w:rPr>
        <w:t>ser</w:t>
      </w:r>
      <w:r w:rsidR="003302BD" w:rsidRPr="00E6086A">
        <w:rPr>
          <w:rFonts w:cs="Arial"/>
          <w:szCs w:val="24"/>
        </w:rPr>
        <w:t>á</w:t>
      </w:r>
      <w:r w:rsidRPr="00E6086A">
        <w:rPr>
          <w:rFonts w:cs="Arial"/>
          <w:szCs w:val="24"/>
        </w:rPr>
        <w:t xml:space="preserve"> resuelto en primer lugar, dado que resulta </w:t>
      </w:r>
      <w:r w:rsidR="001F23CA" w:rsidRPr="00E6086A">
        <w:rPr>
          <w:rFonts w:cs="Arial"/>
          <w:szCs w:val="24"/>
        </w:rPr>
        <w:t xml:space="preserve">de carácter central en el </w:t>
      </w:r>
      <w:r w:rsidR="005524FF" w:rsidRPr="00E6086A">
        <w:rPr>
          <w:rFonts w:cs="Arial"/>
          <w:szCs w:val="24"/>
        </w:rPr>
        <w:t>sub-lite</w:t>
      </w:r>
      <w:r w:rsidR="003302BD" w:rsidRPr="00E6086A">
        <w:rPr>
          <w:rFonts w:cs="Arial"/>
          <w:szCs w:val="24"/>
        </w:rPr>
        <w:t xml:space="preserve">, </w:t>
      </w:r>
      <w:r w:rsidR="001F23CA" w:rsidRPr="00E6086A">
        <w:rPr>
          <w:rFonts w:cs="Arial"/>
          <w:szCs w:val="24"/>
        </w:rPr>
        <w:t xml:space="preserve">es </w:t>
      </w:r>
      <w:r w:rsidR="003302BD" w:rsidRPr="00E6086A">
        <w:rPr>
          <w:rFonts w:cs="Arial"/>
          <w:szCs w:val="24"/>
        </w:rPr>
        <w:t>el siguiente:</w:t>
      </w:r>
    </w:p>
    <w:p w:rsidR="005D072C" w:rsidRPr="00E6086A" w:rsidRDefault="005D072C" w:rsidP="009D3798">
      <w:pPr>
        <w:pStyle w:val="Encabezado"/>
        <w:tabs>
          <w:tab w:val="clear" w:pos="4419"/>
          <w:tab w:val="center" w:pos="0"/>
        </w:tabs>
        <w:rPr>
          <w:rFonts w:cs="Arial"/>
          <w:szCs w:val="24"/>
        </w:rPr>
      </w:pPr>
    </w:p>
    <w:p w:rsidR="006C5375" w:rsidRPr="00E6086A" w:rsidRDefault="005D072C" w:rsidP="009D3798">
      <w:pPr>
        <w:pStyle w:val="Encabezado"/>
        <w:tabs>
          <w:tab w:val="clear" w:pos="4419"/>
          <w:tab w:val="center" w:pos="0"/>
        </w:tabs>
        <w:rPr>
          <w:rFonts w:cs="Arial"/>
          <w:szCs w:val="24"/>
        </w:rPr>
      </w:pPr>
      <w:r w:rsidRPr="00E6086A">
        <w:rPr>
          <w:rFonts w:cs="Arial"/>
          <w:szCs w:val="24"/>
        </w:rPr>
        <w:t xml:space="preserve">El </w:t>
      </w:r>
      <w:r w:rsidRPr="00E6086A">
        <w:rPr>
          <w:rFonts w:cs="Arial"/>
          <w:b/>
          <w:szCs w:val="24"/>
        </w:rPr>
        <w:t>problema jurídico</w:t>
      </w:r>
      <w:r w:rsidRPr="00E6086A">
        <w:rPr>
          <w:rFonts w:cs="Arial"/>
          <w:szCs w:val="24"/>
        </w:rPr>
        <w:t xml:space="preserve"> </w:t>
      </w:r>
      <w:r w:rsidR="00DA21A1" w:rsidRPr="00E6086A">
        <w:rPr>
          <w:rFonts w:cs="Arial"/>
          <w:szCs w:val="24"/>
        </w:rPr>
        <w:t xml:space="preserve">consiste </w:t>
      </w:r>
      <w:r w:rsidRPr="00E6086A">
        <w:rPr>
          <w:rFonts w:cs="Arial"/>
          <w:szCs w:val="24"/>
        </w:rPr>
        <w:t xml:space="preserve">concretamente </w:t>
      </w:r>
      <w:r w:rsidR="00DA21A1" w:rsidRPr="00E6086A">
        <w:rPr>
          <w:rFonts w:cs="Arial"/>
          <w:szCs w:val="24"/>
        </w:rPr>
        <w:t xml:space="preserve">en determinar </w:t>
      </w:r>
      <w:r w:rsidR="006C5375" w:rsidRPr="00E6086A">
        <w:rPr>
          <w:rFonts w:cs="Arial"/>
          <w:szCs w:val="24"/>
        </w:rPr>
        <w:t xml:space="preserve">si era </w:t>
      </w:r>
      <w:r w:rsidR="00F923FC" w:rsidRPr="00E6086A">
        <w:rPr>
          <w:rFonts w:cs="Arial"/>
          <w:szCs w:val="24"/>
        </w:rPr>
        <w:t xml:space="preserve">o no </w:t>
      </w:r>
      <w:r w:rsidR="009E5D0D" w:rsidRPr="00E6086A">
        <w:rPr>
          <w:rFonts w:cs="Arial"/>
          <w:szCs w:val="24"/>
        </w:rPr>
        <w:t>ajustado al artículo 25 de la Ley 80 de 1993 aceptar la</w:t>
      </w:r>
      <w:r w:rsidR="006C5375" w:rsidRPr="00E6086A">
        <w:rPr>
          <w:rFonts w:cs="Arial"/>
          <w:szCs w:val="24"/>
        </w:rPr>
        <w:t xml:space="preserve"> inclu</w:t>
      </w:r>
      <w:r w:rsidR="009E5D0D" w:rsidRPr="00E6086A">
        <w:rPr>
          <w:rFonts w:cs="Arial"/>
          <w:szCs w:val="24"/>
        </w:rPr>
        <w:t xml:space="preserve">sión </w:t>
      </w:r>
      <w:r w:rsidR="00063D2C" w:rsidRPr="00E6086A">
        <w:rPr>
          <w:rFonts w:cs="Arial"/>
          <w:szCs w:val="24"/>
        </w:rPr>
        <w:t xml:space="preserve">de </w:t>
      </w:r>
      <w:r w:rsidR="00431AB0" w:rsidRPr="00E6086A">
        <w:rPr>
          <w:rFonts w:cs="Arial"/>
          <w:szCs w:val="24"/>
        </w:rPr>
        <w:t xml:space="preserve">una </w:t>
      </w:r>
      <w:r w:rsidR="006C5375" w:rsidRPr="00E6086A">
        <w:rPr>
          <w:rFonts w:cs="Arial"/>
          <w:szCs w:val="24"/>
        </w:rPr>
        <w:t xml:space="preserve">propuesta que </w:t>
      </w:r>
      <w:r w:rsidR="00431AB0" w:rsidRPr="00E6086A">
        <w:rPr>
          <w:rFonts w:cs="Arial"/>
          <w:szCs w:val="24"/>
        </w:rPr>
        <w:t>se presentó con la</w:t>
      </w:r>
      <w:r w:rsidR="006C5375" w:rsidRPr="00E6086A">
        <w:rPr>
          <w:rFonts w:cs="Arial"/>
          <w:szCs w:val="24"/>
        </w:rPr>
        <w:t xml:space="preserve"> póliza de seriedad de la oferta por valor inferior al requerido en el pliego de condiciones.</w:t>
      </w:r>
    </w:p>
    <w:p w:rsidR="006C5375" w:rsidRPr="00E6086A" w:rsidRDefault="006C5375" w:rsidP="009D3798">
      <w:pPr>
        <w:pStyle w:val="Encabezado"/>
        <w:tabs>
          <w:tab w:val="clear" w:pos="4419"/>
          <w:tab w:val="center" w:pos="0"/>
        </w:tabs>
        <w:rPr>
          <w:rFonts w:cs="Arial"/>
          <w:szCs w:val="24"/>
        </w:rPr>
      </w:pPr>
    </w:p>
    <w:p w:rsidR="001B1689" w:rsidRPr="00E6086A" w:rsidRDefault="001B1689" w:rsidP="009D3798">
      <w:pPr>
        <w:pStyle w:val="Encabezado"/>
        <w:tabs>
          <w:tab w:val="clear" w:pos="4419"/>
          <w:tab w:val="clear" w:pos="8838"/>
          <w:tab w:val="right" w:pos="567"/>
        </w:tabs>
        <w:rPr>
          <w:rFonts w:cs="Arial"/>
          <w:szCs w:val="24"/>
        </w:rPr>
      </w:pPr>
      <w:r w:rsidRPr="00E6086A">
        <w:rPr>
          <w:rFonts w:cs="Arial"/>
          <w:szCs w:val="24"/>
        </w:rPr>
        <w:t>P</w:t>
      </w:r>
      <w:r w:rsidR="00063D2C" w:rsidRPr="00E6086A">
        <w:rPr>
          <w:rFonts w:cs="Arial"/>
          <w:szCs w:val="24"/>
        </w:rPr>
        <w:t xml:space="preserve">revio a </w:t>
      </w:r>
      <w:r w:rsidRPr="00E6086A">
        <w:rPr>
          <w:rFonts w:cs="Arial"/>
          <w:szCs w:val="24"/>
        </w:rPr>
        <w:t xml:space="preserve">realizar el análisis del pliego de condiciones, se llama la atención sobre los siguientes apartes del artículo 25 de la Ley 80 de 1993: </w:t>
      </w:r>
    </w:p>
    <w:p w:rsidR="001B1689" w:rsidRPr="00E6086A" w:rsidRDefault="001B1689" w:rsidP="009D3798">
      <w:pPr>
        <w:pStyle w:val="NormalWeb"/>
        <w:shd w:val="clear" w:color="auto" w:fill="FFFFFF"/>
        <w:tabs>
          <w:tab w:val="left" w:pos="7797"/>
        </w:tabs>
        <w:spacing w:before="0" w:beforeAutospacing="0" w:after="0" w:afterAutospacing="0" w:line="276" w:lineRule="auto"/>
        <w:rPr>
          <w:rFonts w:cs="Arial"/>
          <w:i/>
          <w:color w:val="000000"/>
        </w:rPr>
      </w:pPr>
      <w:r w:rsidRPr="00E6086A">
        <w:rPr>
          <w:rFonts w:cs="Arial"/>
          <w:bCs/>
          <w:i/>
          <w:color w:val="000000"/>
        </w:rPr>
        <w:t>“Artículo  25º.-</w:t>
      </w:r>
      <w:r w:rsidRPr="00E6086A">
        <w:rPr>
          <w:rFonts w:cs="Arial"/>
          <w:b/>
          <w:bCs/>
          <w:i/>
          <w:color w:val="000000"/>
        </w:rPr>
        <w:t> </w:t>
      </w:r>
      <w:bookmarkStart w:id="2" w:name="BM25"/>
      <w:r w:rsidRPr="00E6086A">
        <w:rPr>
          <w:rFonts w:cs="Arial"/>
          <w:i/>
          <w:iCs/>
          <w:color w:val="000000"/>
        </w:rPr>
        <w:t> </w:t>
      </w:r>
      <w:bookmarkEnd w:id="2"/>
      <w:r w:rsidRPr="00E6086A">
        <w:rPr>
          <w:rFonts w:cs="Arial"/>
          <w:i/>
          <w:iCs/>
          <w:color w:val="000000"/>
        </w:rPr>
        <w:t>  Del Principio de Economía.</w:t>
      </w:r>
      <w:r w:rsidRPr="00E6086A">
        <w:rPr>
          <w:rFonts w:cs="Arial"/>
          <w:i/>
          <w:color w:val="000000"/>
        </w:rPr>
        <w:t> </w:t>
      </w:r>
      <w:r w:rsidRPr="00E6086A">
        <w:rPr>
          <w:rFonts w:cs="Arial"/>
          <w:i/>
          <w:iCs/>
          <w:color w:val="000000"/>
        </w:rPr>
        <w:t> </w:t>
      </w:r>
      <w:r w:rsidRPr="00E6086A">
        <w:rPr>
          <w:rFonts w:cs="Arial"/>
          <w:i/>
          <w:color w:val="000000"/>
        </w:rPr>
        <w:t>En virtud de este principio:  </w:t>
      </w:r>
    </w:p>
    <w:p w:rsidR="001B1689" w:rsidRPr="00E6086A" w:rsidRDefault="001B1689" w:rsidP="009D3798">
      <w:pPr>
        <w:pStyle w:val="NormalWeb"/>
        <w:tabs>
          <w:tab w:val="left" w:pos="7797"/>
        </w:tabs>
        <w:spacing w:before="0" w:beforeAutospacing="0" w:after="0" w:afterAutospacing="0" w:line="276" w:lineRule="auto"/>
        <w:rPr>
          <w:rFonts w:cs="Arial"/>
          <w:i/>
          <w:color w:val="000000"/>
          <w:shd w:val="clear" w:color="auto" w:fill="FFFFFF"/>
        </w:rPr>
      </w:pPr>
      <w:r w:rsidRPr="00E6086A">
        <w:rPr>
          <w:rFonts w:cs="Arial"/>
          <w:i/>
          <w:color w:val="000000"/>
          <w:shd w:val="clear" w:color="auto" w:fill="FFFFFF"/>
        </w:rPr>
        <w:lastRenderedPageBreak/>
        <w:t>“1o.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rsidR="001B1689" w:rsidRPr="00E6086A" w:rsidRDefault="001B1689" w:rsidP="009D3798">
      <w:pPr>
        <w:pStyle w:val="NormalWeb"/>
        <w:tabs>
          <w:tab w:val="left" w:pos="7797"/>
        </w:tabs>
        <w:spacing w:before="0" w:beforeAutospacing="0" w:after="0" w:afterAutospacing="0" w:line="276" w:lineRule="auto"/>
        <w:rPr>
          <w:rFonts w:cs="Arial"/>
          <w:i/>
          <w:color w:val="000000"/>
          <w:shd w:val="clear" w:color="auto" w:fill="FFFFFF"/>
        </w:rPr>
      </w:pPr>
      <w:r w:rsidRPr="00E6086A">
        <w:rPr>
          <w:rFonts w:cs="Arial"/>
          <w:i/>
          <w:color w:val="000000"/>
          <w:shd w:val="clear" w:color="auto" w:fill="FFFFFF"/>
        </w:rPr>
        <w:t>“2o.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p>
    <w:p w:rsidR="001B1689" w:rsidRPr="00E6086A" w:rsidRDefault="00063D2C" w:rsidP="009D3798">
      <w:pPr>
        <w:pStyle w:val="NormalWeb"/>
        <w:tabs>
          <w:tab w:val="left" w:pos="7797"/>
        </w:tabs>
        <w:spacing w:before="0" w:beforeAutospacing="0" w:after="0" w:afterAutospacing="0" w:line="276" w:lineRule="auto"/>
        <w:rPr>
          <w:rFonts w:cs="Arial"/>
          <w:i/>
          <w:color w:val="000000"/>
          <w:shd w:val="clear" w:color="auto" w:fill="FFFFFF"/>
        </w:rPr>
      </w:pPr>
      <w:r w:rsidRPr="00E6086A">
        <w:rPr>
          <w:rFonts w:cs="Arial"/>
          <w:i/>
          <w:color w:val="000000"/>
          <w:shd w:val="clear" w:color="auto" w:fill="FFFFFF"/>
        </w:rPr>
        <w:t>“</w:t>
      </w:r>
      <w:r w:rsidR="001B1689" w:rsidRPr="00E6086A">
        <w:rPr>
          <w:rFonts w:cs="Arial"/>
          <w:i/>
          <w:color w:val="000000"/>
          <w:shd w:val="clear" w:color="auto" w:fill="FFFFFF"/>
        </w:rPr>
        <w:t>3o. Se tendrán en consideración que las reglas y procedimientos constituyen mecanismos de la actividad contractual que buscan servir a los fines estatales, a la adecuada, continua y eficiente prestación de los servicios públicos y a la protección y garantía de los derechos de los administrados.</w:t>
      </w:r>
    </w:p>
    <w:p w:rsidR="001B1689" w:rsidRPr="00E6086A" w:rsidRDefault="001B1689" w:rsidP="009D3798">
      <w:pPr>
        <w:pStyle w:val="NormalWeb"/>
        <w:tabs>
          <w:tab w:val="left" w:pos="7797"/>
        </w:tabs>
        <w:spacing w:before="0" w:beforeAutospacing="0" w:after="0" w:afterAutospacing="0" w:line="276" w:lineRule="auto"/>
        <w:rPr>
          <w:rFonts w:cs="Arial"/>
          <w:i/>
          <w:color w:val="000000"/>
          <w:shd w:val="clear" w:color="auto" w:fill="FFFFFF"/>
        </w:rPr>
      </w:pPr>
      <w:r w:rsidRPr="00E6086A">
        <w:rPr>
          <w:rFonts w:cs="Arial"/>
          <w:i/>
          <w:color w:val="000000"/>
          <w:shd w:val="clear" w:color="auto" w:fill="FFFFFF"/>
        </w:rPr>
        <w:t>“(…).</w:t>
      </w:r>
    </w:p>
    <w:p w:rsidR="001B1689" w:rsidRPr="00E6086A" w:rsidRDefault="001B1689" w:rsidP="009D3798">
      <w:pPr>
        <w:pStyle w:val="NormalWeb"/>
        <w:tabs>
          <w:tab w:val="left" w:pos="7797"/>
        </w:tabs>
        <w:spacing w:before="0" w:beforeAutospacing="0" w:after="0" w:afterAutospacing="0" w:line="276" w:lineRule="auto"/>
        <w:rPr>
          <w:rFonts w:cs="Arial"/>
          <w:i/>
          <w:color w:val="000000"/>
          <w:shd w:val="clear" w:color="auto" w:fill="FFFFFF"/>
        </w:rPr>
      </w:pPr>
      <w:r w:rsidRPr="00E6086A">
        <w:rPr>
          <w:rFonts w:cs="Arial"/>
          <w:i/>
          <w:color w:val="000000"/>
          <w:shd w:val="clear" w:color="auto" w:fill="FFFFFF"/>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rsidR="001B1689" w:rsidRPr="00E6086A" w:rsidRDefault="001B1689" w:rsidP="009D3798">
      <w:pPr>
        <w:pStyle w:val="NormalWeb"/>
        <w:shd w:val="clear" w:color="auto" w:fill="FFFFFF"/>
        <w:tabs>
          <w:tab w:val="left" w:pos="7797"/>
        </w:tabs>
        <w:spacing w:before="0" w:beforeAutospacing="0" w:after="0" w:afterAutospacing="0" w:line="276" w:lineRule="auto"/>
        <w:rPr>
          <w:rFonts w:cs="Arial"/>
          <w:i/>
          <w:color w:val="000000"/>
        </w:rPr>
      </w:pPr>
      <w:r w:rsidRPr="00E6086A">
        <w:rPr>
          <w:rFonts w:cs="Arial"/>
          <w:i/>
          <w:color w:val="000000"/>
        </w:rPr>
        <w:t>“La ausencia de requisitos o la falta de documentos referentes a la futura contratación o al proponente, no necesarios para la comparación de propuestas, no servirá de título suficiente para el rechazo de los ofrecimientos hechos.</w:t>
      </w:r>
    </w:p>
    <w:p w:rsidR="001B1689" w:rsidRPr="00E6086A" w:rsidRDefault="001B1689" w:rsidP="009D3798">
      <w:pPr>
        <w:pStyle w:val="NormalWeb"/>
        <w:shd w:val="clear" w:color="auto" w:fill="FFFFFF"/>
        <w:tabs>
          <w:tab w:val="left" w:pos="7797"/>
        </w:tabs>
        <w:spacing w:before="0" w:beforeAutospacing="0" w:after="0" w:afterAutospacing="0" w:line="276" w:lineRule="auto"/>
        <w:rPr>
          <w:rFonts w:cs="Arial"/>
          <w:i/>
          <w:color w:val="000000"/>
          <w:shd w:val="clear" w:color="auto" w:fill="FFFFFF"/>
        </w:rPr>
      </w:pPr>
      <w:r w:rsidRPr="00E6086A">
        <w:rPr>
          <w:rFonts w:cs="Arial"/>
          <w:i/>
          <w:color w:val="000000"/>
        </w:rPr>
        <w:t>“(…)</w:t>
      </w:r>
      <w:r w:rsidR="00063D2C" w:rsidRPr="00E6086A">
        <w:rPr>
          <w:rFonts w:cs="Arial"/>
          <w:i/>
          <w:color w:val="000000"/>
        </w:rPr>
        <w:t>.</w:t>
      </w:r>
    </w:p>
    <w:p w:rsidR="001B1689" w:rsidRPr="00E6086A" w:rsidRDefault="001B1689" w:rsidP="009D3798">
      <w:pPr>
        <w:pStyle w:val="NormalWeb"/>
        <w:tabs>
          <w:tab w:val="left" w:pos="7797"/>
        </w:tabs>
        <w:spacing w:before="0" w:beforeAutospacing="0" w:after="0" w:afterAutospacing="0" w:line="276" w:lineRule="auto"/>
        <w:rPr>
          <w:rFonts w:cs="Arial"/>
          <w:i/>
          <w:color w:val="000000"/>
          <w:shd w:val="clear" w:color="auto" w:fill="FFFFFF"/>
        </w:rPr>
      </w:pPr>
      <w:r w:rsidRPr="00E6086A">
        <w:rPr>
          <w:rFonts w:cs="Arial"/>
          <w:i/>
          <w:color w:val="000000"/>
          <w:shd w:val="clear" w:color="auto" w:fill="FFFFFF"/>
        </w:rPr>
        <w:t>“17. Las entidades no rechazarán las solicitudes que se les formulen por escrito aduciendo la inobservancia por parte del peticionario de las formalidades establecidas por la entidad para su tramitación y oficiosamente procederán a corregirlas y a subsanar los defectos que se adviertan en ellas.</w:t>
      </w:r>
    </w:p>
    <w:p w:rsidR="001B1689" w:rsidRPr="00E6086A" w:rsidRDefault="001B1689" w:rsidP="009D3798">
      <w:pPr>
        <w:pStyle w:val="NormalWeb"/>
        <w:tabs>
          <w:tab w:val="left" w:pos="7797"/>
        </w:tabs>
        <w:spacing w:before="0" w:beforeAutospacing="0" w:after="0" w:afterAutospacing="0" w:line="276" w:lineRule="auto"/>
        <w:rPr>
          <w:rFonts w:cs="Arial"/>
          <w:i/>
          <w:color w:val="000000"/>
          <w:shd w:val="clear" w:color="auto" w:fill="FFFFFF"/>
        </w:rPr>
      </w:pPr>
      <w:r w:rsidRPr="00E6086A">
        <w:rPr>
          <w:rFonts w:cs="Arial"/>
          <w:i/>
          <w:color w:val="000000"/>
          <w:shd w:val="clear" w:color="auto" w:fill="FFFFFF"/>
        </w:rPr>
        <w:t>“(…).</w:t>
      </w:r>
    </w:p>
    <w:p w:rsidR="001B1689" w:rsidRPr="00E6086A" w:rsidRDefault="001B1689" w:rsidP="009D3798">
      <w:pPr>
        <w:pStyle w:val="NormalWeb"/>
        <w:tabs>
          <w:tab w:val="left" w:pos="7797"/>
        </w:tabs>
        <w:spacing w:before="0" w:beforeAutospacing="0" w:after="0" w:afterAutospacing="0" w:line="276" w:lineRule="auto"/>
        <w:rPr>
          <w:rFonts w:cs="Arial"/>
          <w:i/>
          <w:color w:val="000000"/>
          <w:shd w:val="clear" w:color="auto" w:fill="FFFFFF"/>
        </w:rPr>
      </w:pPr>
      <w:r w:rsidRPr="00E6086A">
        <w:rPr>
          <w:rFonts w:cs="Arial"/>
          <w:i/>
          <w:color w:val="000000"/>
          <w:shd w:val="clear" w:color="auto" w:fill="FFFFFF"/>
        </w:rPr>
        <w:t>“18. La declaratoria de desierta de la licitación únicamente procederá por motivos o causas que impidan la escogencia objetiva y se declarará en acto administrativo en el que se señalarán en forma expresa y detallada las razones que han conducido a esa decisión”.</w:t>
      </w:r>
    </w:p>
    <w:p w:rsidR="001B1689" w:rsidRPr="00E6086A" w:rsidRDefault="001B1689" w:rsidP="009D3798">
      <w:pPr>
        <w:pStyle w:val="Encabezado"/>
        <w:tabs>
          <w:tab w:val="clear" w:pos="4419"/>
          <w:tab w:val="center" w:pos="0"/>
        </w:tabs>
        <w:rPr>
          <w:rFonts w:cs="Arial"/>
          <w:szCs w:val="24"/>
        </w:rPr>
      </w:pPr>
    </w:p>
    <w:p w:rsidR="001B1689" w:rsidRPr="00E6086A" w:rsidRDefault="001B1689" w:rsidP="009D3798">
      <w:pPr>
        <w:pStyle w:val="Encabezado"/>
        <w:tabs>
          <w:tab w:val="clear" w:pos="4419"/>
          <w:tab w:val="center" w:pos="0"/>
        </w:tabs>
        <w:rPr>
          <w:rFonts w:cs="Arial"/>
          <w:szCs w:val="24"/>
        </w:rPr>
      </w:pPr>
      <w:r w:rsidRPr="00E6086A">
        <w:rPr>
          <w:rFonts w:cs="Arial"/>
          <w:szCs w:val="24"/>
        </w:rPr>
        <w:t xml:space="preserve">Corresponde ahora </w:t>
      </w:r>
      <w:r w:rsidR="006C5375" w:rsidRPr="00E6086A">
        <w:rPr>
          <w:rFonts w:cs="Arial"/>
          <w:szCs w:val="24"/>
        </w:rPr>
        <w:t xml:space="preserve">analizar el </w:t>
      </w:r>
      <w:r w:rsidR="00F339D8" w:rsidRPr="00E6086A">
        <w:rPr>
          <w:rFonts w:cs="Arial"/>
          <w:szCs w:val="24"/>
        </w:rPr>
        <w:t xml:space="preserve">alcance de la estipulación </w:t>
      </w:r>
      <w:r w:rsidR="005D072C" w:rsidRPr="00E6086A">
        <w:rPr>
          <w:rFonts w:cs="Arial"/>
          <w:szCs w:val="24"/>
        </w:rPr>
        <w:t xml:space="preserve">del pliego de condiciones </w:t>
      </w:r>
      <w:r w:rsidR="00F339D8" w:rsidRPr="00E6086A">
        <w:rPr>
          <w:rFonts w:cs="Arial"/>
          <w:szCs w:val="24"/>
        </w:rPr>
        <w:t>acerca del rechazo de la propuesta</w:t>
      </w:r>
      <w:r w:rsidR="006A3A0F" w:rsidRPr="00E6086A">
        <w:rPr>
          <w:rFonts w:cs="Arial"/>
          <w:szCs w:val="24"/>
        </w:rPr>
        <w:t>,</w:t>
      </w:r>
      <w:r w:rsidR="00F339D8" w:rsidRPr="00E6086A">
        <w:rPr>
          <w:rFonts w:cs="Arial"/>
          <w:szCs w:val="24"/>
        </w:rPr>
        <w:t xml:space="preserve"> </w:t>
      </w:r>
      <w:r w:rsidR="006C5375" w:rsidRPr="00E6086A">
        <w:rPr>
          <w:rFonts w:cs="Arial"/>
          <w:szCs w:val="24"/>
        </w:rPr>
        <w:t xml:space="preserve">frente </w:t>
      </w:r>
      <w:r w:rsidR="00431AB0" w:rsidRPr="00E6086A">
        <w:rPr>
          <w:rFonts w:cs="Arial"/>
          <w:szCs w:val="24"/>
        </w:rPr>
        <w:t xml:space="preserve">al </w:t>
      </w:r>
      <w:r w:rsidRPr="00E6086A">
        <w:rPr>
          <w:rFonts w:cs="Arial"/>
          <w:szCs w:val="24"/>
        </w:rPr>
        <w:t xml:space="preserve">marco legal del artículo </w:t>
      </w:r>
      <w:r w:rsidR="00063D2C" w:rsidRPr="00E6086A">
        <w:rPr>
          <w:rFonts w:cs="Arial"/>
          <w:szCs w:val="24"/>
        </w:rPr>
        <w:t>2</w:t>
      </w:r>
      <w:r w:rsidRPr="00E6086A">
        <w:rPr>
          <w:rFonts w:cs="Arial"/>
          <w:szCs w:val="24"/>
        </w:rPr>
        <w:t xml:space="preserve">5 de la </w:t>
      </w:r>
      <w:r w:rsidR="00063D2C" w:rsidRPr="00E6086A">
        <w:rPr>
          <w:rFonts w:cs="Arial"/>
          <w:szCs w:val="24"/>
        </w:rPr>
        <w:t>L</w:t>
      </w:r>
      <w:r w:rsidRPr="00E6086A">
        <w:rPr>
          <w:rFonts w:cs="Arial"/>
          <w:szCs w:val="24"/>
        </w:rPr>
        <w:t>ey 80 de 1993</w:t>
      </w:r>
      <w:r w:rsidR="00063D2C" w:rsidRPr="00E6086A">
        <w:rPr>
          <w:rFonts w:cs="Arial"/>
          <w:szCs w:val="24"/>
        </w:rPr>
        <w:t>.</w:t>
      </w:r>
    </w:p>
    <w:p w:rsidR="00AC7BB8" w:rsidRPr="00E6086A" w:rsidRDefault="00AC7BB8" w:rsidP="009D3798">
      <w:pPr>
        <w:pStyle w:val="Encabezado"/>
        <w:tabs>
          <w:tab w:val="clear" w:pos="4419"/>
          <w:tab w:val="center" w:pos="0"/>
        </w:tabs>
        <w:rPr>
          <w:rFonts w:cs="Arial"/>
          <w:szCs w:val="24"/>
        </w:rPr>
      </w:pPr>
    </w:p>
    <w:p w:rsidR="006A3A0F" w:rsidRPr="00E6086A" w:rsidRDefault="00EC61FC" w:rsidP="009D3798">
      <w:pPr>
        <w:pStyle w:val="Encabezado"/>
        <w:tabs>
          <w:tab w:val="clear" w:pos="4419"/>
          <w:tab w:val="center" w:pos="0"/>
        </w:tabs>
        <w:rPr>
          <w:rFonts w:cs="Arial"/>
          <w:szCs w:val="24"/>
        </w:rPr>
      </w:pPr>
      <w:r w:rsidRPr="00E6086A">
        <w:rPr>
          <w:rFonts w:cs="Arial"/>
          <w:szCs w:val="24"/>
        </w:rPr>
        <w:t>En</w:t>
      </w:r>
      <w:r w:rsidR="006A3A0F" w:rsidRPr="00E6086A">
        <w:rPr>
          <w:rFonts w:cs="Arial"/>
          <w:szCs w:val="24"/>
        </w:rPr>
        <w:t xml:space="preserve"> el recurso de apelación la parte actora plante</w:t>
      </w:r>
      <w:r w:rsidR="00783CD7" w:rsidRPr="00E6086A">
        <w:rPr>
          <w:rFonts w:cs="Arial"/>
          <w:szCs w:val="24"/>
        </w:rPr>
        <w:t>ó</w:t>
      </w:r>
      <w:r w:rsidR="006A3A0F" w:rsidRPr="00E6086A">
        <w:rPr>
          <w:rFonts w:cs="Arial"/>
          <w:szCs w:val="24"/>
        </w:rPr>
        <w:t xml:space="preserve"> que el problema debe ser resuelto en el sentido de que la disposición del pliego de condiciones era imperativa y no se encontraba en el supuesto de ser un mero requisito formal</w:t>
      </w:r>
      <w:r w:rsidR="00AC7BB8" w:rsidRPr="00E6086A">
        <w:rPr>
          <w:rFonts w:cs="Arial"/>
          <w:szCs w:val="24"/>
        </w:rPr>
        <w:t xml:space="preserve">, </w:t>
      </w:r>
      <w:r w:rsidR="00431AB0" w:rsidRPr="00E6086A">
        <w:rPr>
          <w:rFonts w:cs="Arial"/>
          <w:szCs w:val="24"/>
        </w:rPr>
        <w:t>de manera que el acto de adjudicación, en su criterio, debe ser</w:t>
      </w:r>
      <w:r w:rsidR="00AC7BB8" w:rsidRPr="00E6086A">
        <w:rPr>
          <w:rFonts w:cs="Arial"/>
          <w:szCs w:val="24"/>
        </w:rPr>
        <w:t xml:space="preserve"> a</w:t>
      </w:r>
      <w:r w:rsidR="00431AB0" w:rsidRPr="00E6086A">
        <w:rPr>
          <w:rFonts w:cs="Arial"/>
          <w:szCs w:val="24"/>
        </w:rPr>
        <w:t>nulado</w:t>
      </w:r>
      <w:r w:rsidR="006A3A0F" w:rsidRPr="00E6086A">
        <w:rPr>
          <w:rFonts w:cs="Arial"/>
          <w:szCs w:val="24"/>
        </w:rPr>
        <w:t>.</w:t>
      </w:r>
    </w:p>
    <w:p w:rsidR="00AC7BB8" w:rsidRPr="00E6086A" w:rsidRDefault="00AC7BB8" w:rsidP="009D3798">
      <w:pPr>
        <w:pStyle w:val="Encabezado"/>
        <w:tabs>
          <w:tab w:val="clear" w:pos="4419"/>
          <w:tab w:val="center" w:pos="0"/>
        </w:tabs>
        <w:rPr>
          <w:rFonts w:cs="Arial"/>
          <w:szCs w:val="24"/>
        </w:rPr>
      </w:pPr>
    </w:p>
    <w:p w:rsidR="00431AB0" w:rsidRPr="00E6086A" w:rsidRDefault="00DC19FB" w:rsidP="009D3798">
      <w:pPr>
        <w:pStyle w:val="Encabezado"/>
        <w:tabs>
          <w:tab w:val="clear" w:pos="4419"/>
          <w:tab w:val="center" w:pos="0"/>
        </w:tabs>
        <w:rPr>
          <w:rFonts w:cs="Arial"/>
          <w:szCs w:val="24"/>
        </w:rPr>
      </w:pPr>
      <w:r w:rsidRPr="00E6086A">
        <w:rPr>
          <w:rFonts w:cs="Arial"/>
          <w:szCs w:val="24"/>
        </w:rPr>
        <w:t>La Sala no comparte la a</w:t>
      </w:r>
      <w:r w:rsidR="00AC7BB8" w:rsidRPr="00E6086A">
        <w:rPr>
          <w:rFonts w:cs="Arial"/>
          <w:szCs w:val="24"/>
        </w:rPr>
        <w:t xml:space="preserve">rgumentación de la </w:t>
      </w:r>
      <w:r w:rsidRPr="00E6086A">
        <w:rPr>
          <w:rFonts w:cs="Arial"/>
          <w:szCs w:val="24"/>
        </w:rPr>
        <w:t xml:space="preserve">apelante </w:t>
      </w:r>
      <w:r w:rsidR="005D072C" w:rsidRPr="00E6086A">
        <w:rPr>
          <w:rFonts w:cs="Arial"/>
          <w:szCs w:val="24"/>
        </w:rPr>
        <w:t>y, por el contrario</w:t>
      </w:r>
      <w:r w:rsidR="00C13E29" w:rsidRPr="00E6086A">
        <w:rPr>
          <w:rFonts w:cs="Arial"/>
          <w:szCs w:val="24"/>
        </w:rPr>
        <w:t>,</w:t>
      </w:r>
      <w:r w:rsidR="005D072C" w:rsidRPr="00E6086A">
        <w:rPr>
          <w:rFonts w:cs="Arial"/>
          <w:szCs w:val="24"/>
        </w:rPr>
        <w:t xml:space="preserve"> encuentra que </w:t>
      </w:r>
      <w:r w:rsidRPr="00E6086A">
        <w:rPr>
          <w:rFonts w:cs="Arial"/>
          <w:szCs w:val="24"/>
        </w:rPr>
        <w:t xml:space="preserve">la apreciación del Tribunal </w:t>
      </w:r>
      <w:r w:rsidRPr="00E6086A">
        <w:rPr>
          <w:rFonts w:cs="Arial"/>
          <w:i/>
          <w:szCs w:val="24"/>
        </w:rPr>
        <w:t>a quo</w:t>
      </w:r>
      <w:r w:rsidRPr="00E6086A">
        <w:rPr>
          <w:rFonts w:cs="Arial"/>
          <w:szCs w:val="24"/>
        </w:rPr>
        <w:t xml:space="preserve"> fue correcta</w:t>
      </w:r>
      <w:r w:rsidR="00783CD7" w:rsidRPr="00E6086A">
        <w:rPr>
          <w:rFonts w:cs="Arial"/>
          <w:szCs w:val="24"/>
        </w:rPr>
        <w:t>,</w:t>
      </w:r>
      <w:r w:rsidRPr="00E6086A">
        <w:rPr>
          <w:rFonts w:cs="Arial"/>
          <w:szCs w:val="24"/>
        </w:rPr>
        <w:t xml:space="preserve"> </w:t>
      </w:r>
      <w:r w:rsidR="00783CD7" w:rsidRPr="00E6086A">
        <w:rPr>
          <w:rFonts w:cs="Arial"/>
          <w:szCs w:val="24"/>
        </w:rPr>
        <w:t xml:space="preserve">toda vez que </w:t>
      </w:r>
      <w:r w:rsidR="006C5375" w:rsidRPr="00E6086A">
        <w:rPr>
          <w:rFonts w:cs="Arial"/>
          <w:szCs w:val="24"/>
        </w:rPr>
        <w:t xml:space="preserve">con base en un </w:t>
      </w:r>
      <w:r w:rsidR="006C5375" w:rsidRPr="00E6086A">
        <w:rPr>
          <w:rFonts w:cs="Arial"/>
          <w:szCs w:val="24"/>
        </w:rPr>
        <w:lastRenderedPageBreak/>
        <w:t>criterio de interpretación integral del pliego de condiciones</w:t>
      </w:r>
      <w:r w:rsidRPr="00E6086A">
        <w:rPr>
          <w:rFonts w:cs="Arial"/>
          <w:szCs w:val="24"/>
        </w:rPr>
        <w:t xml:space="preserve"> era válido </w:t>
      </w:r>
      <w:r w:rsidR="00783CD7" w:rsidRPr="00E6086A">
        <w:rPr>
          <w:rFonts w:cs="Arial"/>
          <w:szCs w:val="24"/>
        </w:rPr>
        <w:t xml:space="preserve">considerar que </w:t>
      </w:r>
      <w:r w:rsidRPr="00E6086A">
        <w:rPr>
          <w:rFonts w:cs="Arial"/>
          <w:szCs w:val="24"/>
        </w:rPr>
        <w:t xml:space="preserve">el municipio de Medellín </w:t>
      </w:r>
      <w:r w:rsidR="006C5375" w:rsidRPr="00E6086A">
        <w:rPr>
          <w:rFonts w:cs="Arial"/>
          <w:szCs w:val="24"/>
        </w:rPr>
        <w:t xml:space="preserve">no </w:t>
      </w:r>
      <w:r w:rsidR="00783CD7" w:rsidRPr="00E6086A">
        <w:rPr>
          <w:rFonts w:cs="Arial"/>
          <w:szCs w:val="24"/>
        </w:rPr>
        <w:t xml:space="preserve">debía </w:t>
      </w:r>
      <w:r w:rsidR="006C5375" w:rsidRPr="00E6086A">
        <w:rPr>
          <w:rFonts w:cs="Arial"/>
          <w:szCs w:val="24"/>
        </w:rPr>
        <w:t>a</w:t>
      </w:r>
      <w:r w:rsidRPr="00E6086A">
        <w:rPr>
          <w:rFonts w:cs="Arial"/>
          <w:szCs w:val="24"/>
        </w:rPr>
        <w:t xml:space="preserve">plicar la causal de rechazo </w:t>
      </w:r>
      <w:r w:rsidR="00783CD7" w:rsidRPr="00E6086A">
        <w:rPr>
          <w:rFonts w:cs="Arial"/>
          <w:szCs w:val="24"/>
        </w:rPr>
        <w:t xml:space="preserve">para excluir el precio ofrecido por </w:t>
      </w:r>
      <w:r w:rsidR="00C13E29" w:rsidRPr="00E6086A">
        <w:rPr>
          <w:rFonts w:cs="Arial"/>
          <w:szCs w:val="24"/>
        </w:rPr>
        <w:t xml:space="preserve">la </w:t>
      </w:r>
      <w:r w:rsidR="00A822BB" w:rsidRPr="00E6086A">
        <w:rPr>
          <w:rFonts w:cs="Arial"/>
          <w:szCs w:val="24"/>
        </w:rPr>
        <w:t>U</w:t>
      </w:r>
      <w:r w:rsidR="00783CD7" w:rsidRPr="00E6086A">
        <w:rPr>
          <w:rFonts w:cs="Arial"/>
          <w:szCs w:val="24"/>
        </w:rPr>
        <w:t xml:space="preserve">nión Temporal </w:t>
      </w:r>
      <w:r w:rsidR="00A822BB" w:rsidRPr="00E6086A">
        <w:rPr>
          <w:rFonts w:cs="Arial"/>
          <w:szCs w:val="24"/>
        </w:rPr>
        <w:t>Lama Ingenieros Ltda – Asfaltadora Colombia</w:t>
      </w:r>
      <w:r w:rsidR="006C5375" w:rsidRPr="00E6086A">
        <w:rPr>
          <w:rFonts w:cs="Arial"/>
          <w:szCs w:val="24"/>
        </w:rPr>
        <w:t>na</w:t>
      </w:r>
      <w:r w:rsidR="00A822BB" w:rsidRPr="00E6086A">
        <w:rPr>
          <w:rFonts w:cs="Arial"/>
          <w:szCs w:val="24"/>
        </w:rPr>
        <w:t xml:space="preserve"> Ltda </w:t>
      </w:r>
      <w:r w:rsidR="00783CD7" w:rsidRPr="00E6086A">
        <w:rPr>
          <w:rFonts w:cs="Arial"/>
          <w:szCs w:val="24"/>
        </w:rPr>
        <w:t>de la resp</w:t>
      </w:r>
      <w:r w:rsidR="00276D31" w:rsidRPr="00E6086A">
        <w:rPr>
          <w:rFonts w:cs="Arial"/>
          <w:szCs w:val="24"/>
        </w:rPr>
        <w:t>e</w:t>
      </w:r>
      <w:r w:rsidR="00783CD7" w:rsidRPr="00E6086A">
        <w:rPr>
          <w:rFonts w:cs="Arial"/>
          <w:szCs w:val="24"/>
        </w:rPr>
        <w:t>ctiva calificación</w:t>
      </w:r>
      <w:r w:rsidR="00C13E29" w:rsidRPr="00E6086A">
        <w:rPr>
          <w:rFonts w:cs="Arial"/>
          <w:szCs w:val="24"/>
        </w:rPr>
        <w:t xml:space="preserve">. De la misma forma, se puede apreciar que </w:t>
      </w:r>
      <w:r w:rsidR="00783CD7" w:rsidRPr="00E6086A">
        <w:rPr>
          <w:rFonts w:cs="Arial"/>
          <w:szCs w:val="24"/>
        </w:rPr>
        <w:t xml:space="preserve">el valor de la póliza no era </w:t>
      </w:r>
      <w:r w:rsidR="00431AB0" w:rsidRPr="00E6086A">
        <w:rPr>
          <w:rFonts w:cs="Arial"/>
          <w:szCs w:val="24"/>
        </w:rPr>
        <w:t xml:space="preserve">un requisito esencial a la comparación de las propuestas, según se explica a continuación. </w:t>
      </w:r>
    </w:p>
    <w:p w:rsidR="00A822BB" w:rsidRPr="00E6086A" w:rsidRDefault="00A822BB" w:rsidP="009D3798">
      <w:pPr>
        <w:pStyle w:val="Encabezado"/>
        <w:tabs>
          <w:tab w:val="clear" w:pos="4419"/>
          <w:tab w:val="center" w:pos="0"/>
        </w:tabs>
        <w:rPr>
          <w:rFonts w:cs="Arial"/>
          <w:szCs w:val="24"/>
        </w:rPr>
      </w:pPr>
    </w:p>
    <w:p w:rsidR="00AC7BB8" w:rsidRPr="00E6086A" w:rsidRDefault="000C29CA" w:rsidP="009D3798">
      <w:pPr>
        <w:pStyle w:val="Encabezado"/>
        <w:tabs>
          <w:tab w:val="clear" w:pos="4419"/>
          <w:tab w:val="center" w:pos="0"/>
        </w:tabs>
        <w:rPr>
          <w:rFonts w:cs="Arial"/>
          <w:b/>
          <w:szCs w:val="24"/>
        </w:rPr>
      </w:pPr>
      <w:r w:rsidRPr="00E6086A">
        <w:rPr>
          <w:rFonts w:cs="Arial"/>
          <w:b/>
          <w:szCs w:val="24"/>
        </w:rPr>
        <w:t>6.</w:t>
      </w:r>
      <w:r w:rsidR="007E4A85" w:rsidRPr="00E6086A">
        <w:rPr>
          <w:rFonts w:cs="Arial"/>
          <w:b/>
          <w:szCs w:val="24"/>
        </w:rPr>
        <w:t>2.</w:t>
      </w:r>
      <w:r w:rsidR="004B5D27" w:rsidRPr="00E6086A">
        <w:rPr>
          <w:rFonts w:cs="Arial"/>
          <w:b/>
          <w:szCs w:val="24"/>
        </w:rPr>
        <w:t xml:space="preserve"> </w:t>
      </w:r>
      <w:r w:rsidR="00AC7BB8" w:rsidRPr="00E6086A">
        <w:rPr>
          <w:rFonts w:cs="Arial"/>
          <w:b/>
          <w:szCs w:val="24"/>
        </w:rPr>
        <w:t>Interpretación integral del pliego de condiciones.</w:t>
      </w:r>
    </w:p>
    <w:p w:rsidR="00AC7BB8" w:rsidRPr="00E6086A" w:rsidRDefault="00AC7BB8" w:rsidP="009D3798">
      <w:pPr>
        <w:pStyle w:val="Encabezado"/>
        <w:tabs>
          <w:tab w:val="clear" w:pos="4419"/>
          <w:tab w:val="center" w:pos="0"/>
        </w:tabs>
        <w:rPr>
          <w:rFonts w:cs="Arial"/>
          <w:szCs w:val="24"/>
        </w:rPr>
      </w:pPr>
    </w:p>
    <w:p w:rsidR="006C5375" w:rsidRPr="00E6086A" w:rsidRDefault="00A822BB" w:rsidP="009D3798">
      <w:pPr>
        <w:pStyle w:val="Encabezado"/>
        <w:tabs>
          <w:tab w:val="clear" w:pos="4419"/>
          <w:tab w:val="center" w:pos="0"/>
        </w:tabs>
        <w:rPr>
          <w:rFonts w:cs="Arial"/>
          <w:szCs w:val="24"/>
        </w:rPr>
      </w:pPr>
      <w:r w:rsidRPr="00E6086A">
        <w:rPr>
          <w:rFonts w:cs="Arial"/>
          <w:szCs w:val="24"/>
        </w:rPr>
        <w:t>Aunque el pliego de condiciones estableció</w:t>
      </w:r>
      <w:r w:rsidR="007E4A85" w:rsidRPr="00E6086A">
        <w:rPr>
          <w:rFonts w:cs="Arial"/>
          <w:szCs w:val="24"/>
        </w:rPr>
        <w:t>,</w:t>
      </w:r>
      <w:r w:rsidRPr="00E6086A">
        <w:rPr>
          <w:rFonts w:cs="Arial"/>
          <w:szCs w:val="24"/>
        </w:rPr>
        <w:t xml:space="preserve"> </w:t>
      </w:r>
      <w:r w:rsidR="007E4A85" w:rsidRPr="00E6086A">
        <w:rPr>
          <w:rFonts w:cs="Arial"/>
          <w:szCs w:val="24"/>
        </w:rPr>
        <w:t xml:space="preserve">en el punto </w:t>
      </w:r>
      <w:r w:rsidR="00431AB0" w:rsidRPr="00E6086A">
        <w:rPr>
          <w:rFonts w:cs="Arial"/>
          <w:szCs w:val="24"/>
        </w:rPr>
        <w:t>1.</w:t>
      </w:r>
      <w:r w:rsidR="007E4A85" w:rsidRPr="00E6086A">
        <w:rPr>
          <w:rFonts w:cs="Arial"/>
          <w:szCs w:val="24"/>
        </w:rPr>
        <w:t>10</w:t>
      </w:r>
      <w:r w:rsidR="00431AB0" w:rsidRPr="00E6086A">
        <w:rPr>
          <w:rFonts w:cs="Arial"/>
          <w:szCs w:val="24"/>
        </w:rPr>
        <w:t xml:space="preserve">, numeral </w:t>
      </w:r>
      <w:r w:rsidR="006C5375" w:rsidRPr="00E6086A">
        <w:rPr>
          <w:rFonts w:cs="Arial"/>
          <w:szCs w:val="24"/>
        </w:rPr>
        <w:t>4</w:t>
      </w:r>
      <w:r w:rsidR="007E4A85" w:rsidRPr="00E6086A">
        <w:rPr>
          <w:rFonts w:cs="Arial"/>
          <w:szCs w:val="24"/>
        </w:rPr>
        <w:t xml:space="preserve">, </w:t>
      </w:r>
      <w:r w:rsidRPr="00E6086A">
        <w:rPr>
          <w:rFonts w:cs="Arial"/>
          <w:szCs w:val="24"/>
        </w:rPr>
        <w:t>que:</w:t>
      </w:r>
    </w:p>
    <w:p w:rsidR="006C5375" w:rsidRPr="00E6086A" w:rsidRDefault="006C5375" w:rsidP="009D3798">
      <w:pPr>
        <w:pStyle w:val="Encabezado"/>
        <w:tabs>
          <w:tab w:val="clear" w:pos="4419"/>
          <w:tab w:val="center" w:pos="0"/>
        </w:tabs>
        <w:rPr>
          <w:rFonts w:cs="Arial"/>
          <w:szCs w:val="24"/>
        </w:rPr>
      </w:pPr>
    </w:p>
    <w:p w:rsidR="00A822BB" w:rsidRPr="00E6086A" w:rsidRDefault="007E4A85" w:rsidP="009D3798">
      <w:pPr>
        <w:pStyle w:val="Encabezado"/>
        <w:tabs>
          <w:tab w:val="clear" w:pos="4419"/>
          <w:tab w:val="center" w:pos="567"/>
        </w:tabs>
        <w:spacing w:line="240" w:lineRule="auto"/>
        <w:rPr>
          <w:rFonts w:cs="Arial"/>
          <w:i/>
          <w:szCs w:val="24"/>
        </w:rPr>
      </w:pPr>
      <w:r w:rsidRPr="00E6086A">
        <w:rPr>
          <w:rFonts w:cs="Arial"/>
          <w:i/>
          <w:szCs w:val="24"/>
        </w:rPr>
        <w:t>“</w:t>
      </w:r>
      <w:r w:rsidR="00A822BB" w:rsidRPr="00E6086A">
        <w:rPr>
          <w:rFonts w:cs="Arial"/>
          <w:b/>
          <w:i/>
          <w:szCs w:val="24"/>
        </w:rPr>
        <w:t>El Municipio rechazará las propuestas que presenten la póliza por un valor inferior al solicitado</w:t>
      </w:r>
      <w:r w:rsidRPr="00E6086A">
        <w:rPr>
          <w:rFonts w:cs="Arial"/>
          <w:i/>
          <w:szCs w:val="24"/>
        </w:rPr>
        <w:t>”</w:t>
      </w:r>
      <w:r w:rsidR="006C5375" w:rsidRPr="00E6086A">
        <w:rPr>
          <w:rFonts w:cs="Arial"/>
          <w:i/>
          <w:szCs w:val="24"/>
        </w:rPr>
        <w:t xml:space="preserve"> </w:t>
      </w:r>
      <w:r w:rsidRPr="00E6086A">
        <w:rPr>
          <w:rFonts w:cs="Arial"/>
          <w:szCs w:val="24"/>
        </w:rPr>
        <w:t>(la negrilla es del texto)</w:t>
      </w:r>
      <w:r w:rsidR="00A822BB" w:rsidRPr="00E6086A">
        <w:rPr>
          <w:rFonts w:cs="Arial"/>
          <w:szCs w:val="24"/>
        </w:rPr>
        <w:t>.</w:t>
      </w:r>
    </w:p>
    <w:p w:rsidR="00A822BB" w:rsidRPr="00E6086A" w:rsidRDefault="00A822BB" w:rsidP="009D3798">
      <w:pPr>
        <w:pStyle w:val="Encabezado"/>
        <w:tabs>
          <w:tab w:val="clear" w:pos="4419"/>
          <w:tab w:val="center" w:pos="0"/>
        </w:tabs>
        <w:rPr>
          <w:rFonts w:cs="Arial"/>
          <w:szCs w:val="24"/>
        </w:rPr>
      </w:pPr>
    </w:p>
    <w:p w:rsidR="005D072C" w:rsidRPr="00E6086A" w:rsidRDefault="00A822BB" w:rsidP="009D3798">
      <w:pPr>
        <w:pStyle w:val="Encabezado"/>
        <w:tabs>
          <w:tab w:val="clear" w:pos="4419"/>
          <w:tab w:val="center" w:pos="0"/>
        </w:tabs>
        <w:rPr>
          <w:rFonts w:cs="Arial"/>
          <w:szCs w:val="24"/>
        </w:rPr>
      </w:pPr>
      <w:r w:rsidRPr="00E6086A">
        <w:rPr>
          <w:rFonts w:cs="Arial"/>
          <w:szCs w:val="24"/>
        </w:rPr>
        <w:t>Tambi</w:t>
      </w:r>
      <w:r w:rsidR="006C1716" w:rsidRPr="00E6086A">
        <w:rPr>
          <w:rFonts w:cs="Arial"/>
          <w:szCs w:val="24"/>
        </w:rPr>
        <w:t xml:space="preserve">én </w:t>
      </w:r>
      <w:r w:rsidR="000043A0" w:rsidRPr="00E6086A">
        <w:rPr>
          <w:rFonts w:cs="Arial"/>
          <w:szCs w:val="24"/>
        </w:rPr>
        <w:t xml:space="preserve">es cierto que </w:t>
      </w:r>
      <w:r w:rsidR="007F03CD" w:rsidRPr="00E6086A">
        <w:rPr>
          <w:rFonts w:cs="Arial"/>
          <w:szCs w:val="24"/>
        </w:rPr>
        <w:t xml:space="preserve">en </w:t>
      </w:r>
      <w:r w:rsidR="005627B0" w:rsidRPr="00E6086A">
        <w:rPr>
          <w:rFonts w:cs="Arial"/>
          <w:szCs w:val="24"/>
        </w:rPr>
        <w:t xml:space="preserve">la misma cláusula, párrafo penúltimo, </w:t>
      </w:r>
      <w:r w:rsidR="007F03CD" w:rsidRPr="00E6086A">
        <w:rPr>
          <w:rFonts w:cs="Arial"/>
          <w:szCs w:val="24"/>
        </w:rPr>
        <w:t xml:space="preserve">se </w:t>
      </w:r>
      <w:r w:rsidRPr="00E6086A">
        <w:rPr>
          <w:rFonts w:cs="Arial"/>
          <w:szCs w:val="24"/>
        </w:rPr>
        <w:t>indicó</w:t>
      </w:r>
      <w:r w:rsidR="006C1716" w:rsidRPr="00E6086A">
        <w:rPr>
          <w:rFonts w:cs="Arial"/>
          <w:szCs w:val="24"/>
        </w:rPr>
        <w:t xml:space="preserve"> que no cabía el requerimiento para subsanar </w:t>
      </w:r>
      <w:r w:rsidR="007F03CD" w:rsidRPr="00E6086A">
        <w:rPr>
          <w:rFonts w:cs="Arial"/>
          <w:szCs w:val="24"/>
        </w:rPr>
        <w:t xml:space="preserve">un </w:t>
      </w:r>
      <w:r w:rsidR="008835B1" w:rsidRPr="00E6086A">
        <w:rPr>
          <w:rFonts w:cs="Arial"/>
          <w:szCs w:val="24"/>
        </w:rPr>
        <w:t xml:space="preserve">documento de </w:t>
      </w:r>
      <w:r w:rsidR="008835B1" w:rsidRPr="00E6086A">
        <w:rPr>
          <w:rFonts w:cs="Arial"/>
          <w:i/>
          <w:szCs w:val="24"/>
        </w:rPr>
        <w:t>carácter esencial</w:t>
      </w:r>
      <w:r w:rsidR="008835B1" w:rsidRPr="00E6086A">
        <w:rPr>
          <w:rFonts w:cs="Arial"/>
          <w:szCs w:val="24"/>
        </w:rPr>
        <w:t xml:space="preserve"> </w:t>
      </w:r>
      <w:r w:rsidR="008835B1" w:rsidRPr="00E6086A">
        <w:rPr>
          <w:rFonts w:cs="Arial"/>
          <w:i/>
          <w:szCs w:val="24"/>
        </w:rPr>
        <w:t>para la comparación de las propuestas</w:t>
      </w:r>
      <w:r w:rsidR="00783CD7" w:rsidRPr="00E6086A">
        <w:rPr>
          <w:rFonts w:cs="Arial"/>
          <w:szCs w:val="24"/>
        </w:rPr>
        <w:t xml:space="preserve">. </w:t>
      </w:r>
    </w:p>
    <w:p w:rsidR="001B1689" w:rsidRPr="00E6086A" w:rsidRDefault="001B1689" w:rsidP="009D3798">
      <w:pPr>
        <w:pStyle w:val="Encabezado"/>
        <w:tabs>
          <w:tab w:val="clear" w:pos="4419"/>
          <w:tab w:val="center" w:pos="0"/>
        </w:tabs>
        <w:rPr>
          <w:rFonts w:cs="Arial"/>
          <w:szCs w:val="24"/>
        </w:rPr>
      </w:pPr>
    </w:p>
    <w:p w:rsidR="006C1716" w:rsidRPr="00E6086A" w:rsidRDefault="00E62BE6" w:rsidP="009D3798">
      <w:pPr>
        <w:pStyle w:val="Encabezado"/>
        <w:tabs>
          <w:tab w:val="clear" w:pos="4419"/>
          <w:tab w:val="center" w:pos="0"/>
        </w:tabs>
        <w:rPr>
          <w:rFonts w:cs="Arial"/>
          <w:szCs w:val="24"/>
        </w:rPr>
      </w:pPr>
      <w:r w:rsidRPr="00E6086A">
        <w:rPr>
          <w:rFonts w:cs="Arial"/>
          <w:szCs w:val="24"/>
        </w:rPr>
        <w:t xml:space="preserve">En el citado </w:t>
      </w:r>
      <w:r w:rsidR="007E4A85" w:rsidRPr="00E6086A">
        <w:rPr>
          <w:rFonts w:cs="Arial"/>
          <w:szCs w:val="24"/>
        </w:rPr>
        <w:t>párrafo</w:t>
      </w:r>
      <w:r w:rsidRPr="00E6086A">
        <w:rPr>
          <w:rFonts w:cs="Arial"/>
          <w:szCs w:val="24"/>
        </w:rPr>
        <w:t>,</w:t>
      </w:r>
      <w:r w:rsidR="007E4A85" w:rsidRPr="00E6086A">
        <w:rPr>
          <w:rFonts w:cs="Arial"/>
          <w:szCs w:val="24"/>
        </w:rPr>
        <w:t xml:space="preserve"> contenido en el mismo punto </w:t>
      </w:r>
      <w:r w:rsidR="000043A0" w:rsidRPr="00E6086A">
        <w:rPr>
          <w:rFonts w:cs="Arial"/>
          <w:szCs w:val="24"/>
        </w:rPr>
        <w:t>1.</w:t>
      </w:r>
      <w:r w:rsidR="007E4A85" w:rsidRPr="00E6086A">
        <w:rPr>
          <w:rFonts w:cs="Arial"/>
          <w:szCs w:val="24"/>
        </w:rPr>
        <w:t>10 del pliego de condiciones</w:t>
      </w:r>
      <w:r w:rsidRPr="00E6086A">
        <w:rPr>
          <w:rFonts w:cs="Arial"/>
          <w:szCs w:val="24"/>
        </w:rPr>
        <w:t>, se estipuló</w:t>
      </w:r>
      <w:r w:rsidR="008835B1" w:rsidRPr="00E6086A">
        <w:rPr>
          <w:rFonts w:cs="Arial"/>
          <w:szCs w:val="24"/>
        </w:rPr>
        <w:t xml:space="preserve">: </w:t>
      </w:r>
    </w:p>
    <w:p w:rsidR="006C1716" w:rsidRPr="00E6086A" w:rsidRDefault="006C1716" w:rsidP="009D3798">
      <w:pPr>
        <w:pStyle w:val="Encabezado"/>
        <w:tabs>
          <w:tab w:val="clear" w:pos="4419"/>
          <w:tab w:val="center" w:pos="0"/>
        </w:tabs>
        <w:rPr>
          <w:rFonts w:cs="Arial"/>
          <w:i/>
          <w:szCs w:val="24"/>
        </w:rPr>
      </w:pPr>
    </w:p>
    <w:p w:rsidR="005627B0" w:rsidRPr="00E6086A" w:rsidRDefault="005627B0" w:rsidP="009D3798">
      <w:pPr>
        <w:pStyle w:val="Encabezado"/>
        <w:tabs>
          <w:tab w:val="clear" w:pos="4419"/>
          <w:tab w:val="center" w:pos="567"/>
        </w:tabs>
        <w:spacing w:line="276" w:lineRule="auto"/>
        <w:rPr>
          <w:rFonts w:cs="Arial"/>
          <w:i/>
          <w:szCs w:val="24"/>
        </w:rPr>
      </w:pPr>
      <w:r w:rsidRPr="00E6086A">
        <w:rPr>
          <w:rFonts w:cs="Arial"/>
          <w:i/>
          <w:szCs w:val="24"/>
        </w:rPr>
        <w:t>“El Municipio se reserva la facultad de requerir al proponente para que subsane las informalidades en que incurra en la anterior documentación,</w:t>
      </w:r>
      <w:r w:rsidRPr="00E6086A">
        <w:rPr>
          <w:rFonts w:cs="Arial"/>
          <w:b/>
          <w:i/>
          <w:szCs w:val="24"/>
        </w:rPr>
        <w:t xml:space="preserve"> siempre y cuando no se trate de los documentos referidos en los dos numerales siguientes</w:t>
      </w:r>
      <w:r w:rsidRPr="00E6086A">
        <w:rPr>
          <w:rFonts w:cs="Arial"/>
          <w:i/>
          <w:szCs w:val="24"/>
        </w:rPr>
        <w:t>:</w:t>
      </w:r>
    </w:p>
    <w:p w:rsidR="005627B0" w:rsidRPr="00E6086A" w:rsidRDefault="005627B0" w:rsidP="009D3798">
      <w:pPr>
        <w:pStyle w:val="Encabezado"/>
        <w:tabs>
          <w:tab w:val="clear" w:pos="4419"/>
          <w:tab w:val="center" w:pos="567"/>
        </w:tabs>
        <w:spacing w:line="276" w:lineRule="auto"/>
        <w:rPr>
          <w:rFonts w:cs="Arial"/>
          <w:b/>
          <w:i/>
          <w:szCs w:val="24"/>
        </w:rPr>
      </w:pPr>
    </w:p>
    <w:p w:rsidR="006C1716" w:rsidRPr="00E6086A" w:rsidRDefault="005627B0" w:rsidP="009D3798">
      <w:pPr>
        <w:pStyle w:val="Encabezado"/>
        <w:tabs>
          <w:tab w:val="clear" w:pos="4419"/>
          <w:tab w:val="center" w:pos="567"/>
        </w:tabs>
        <w:spacing w:line="276" w:lineRule="auto"/>
        <w:rPr>
          <w:rFonts w:cs="Arial"/>
          <w:i/>
          <w:szCs w:val="24"/>
        </w:rPr>
      </w:pPr>
      <w:r w:rsidRPr="00E6086A">
        <w:rPr>
          <w:rFonts w:cs="Arial"/>
          <w:i/>
          <w:szCs w:val="24"/>
        </w:rPr>
        <w:t>“</w:t>
      </w:r>
      <w:r w:rsidR="006C1716" w:rsidRPr="00E6086A">
        <w:rPr>
          <w:rFonts w:cs="Arial"/>
          <w:b/>
          <w:i/>
          <w:szCs w:val="24"/>
        </w:rPr>
        <w:t>1. Los referidos a la experiencia específica (…)</w:t>
      </w:r>
      <w:r w:rsidR="007F03CD" w:rsidRPr="00E6086A">
        <w:rPr>
          <w:rFonts w:cs="Arial"/>
          <w:i/>
          <w:szCs w:val="24"/>
        </w:rPr>
        <w:t>.</w:t>
      </w:r>
      <w:r w:rsidR="006C1716" w:rsidRPr="00E6086A">
        <w:rPr>
          <w:rFonts w:cs="Arial"/>
          <w:i/>
          <w:szCs w:val="24"/>
        </w:rPr>
        <w:t xml:space="preserve"> </w:t>
      </w:r>
    </w:p>
    <w:p w:rsidR="007F03CD" w:rsidRPr="00E6086A" w:rsidRDefault="007F03CD" w:rsidP="009D3798">
      <w:pPr>
        <w:pStyle w:val="Encabezado"/>
        <w:tabs>
          <w:tab w:val="clear" w:pos="4419"/>
          <w:tab w:val="center" w:pos="567"/>
        </w:tabs>
        <w:spacing w:line="276" w:lineRule="auto"/>
        <w:rPr>
          <w:rFonts w:cs="Arial"/>
          <w:i/>
          <w:szCs w:val="24"/>
        </w:rPr>
      </w:pPr>
    </w:p>
    <w:p w:rsidR="006C1716" w:rsidRPr="00E6086A" w:rsidRDefault="007E4A85" w:rsidP="009D3798">
      <w:pPr>
        <w:pStyle w:val="Encabezado"/>
        <w:tabs>
          <w:tab w:val="clear" w:pos="4419"/>
          <w:tab w:val="center" w:pos="567"/>
        </w:tabs>
        <w:spacing w:line="276" w:lineRule="auto"/>
        <w:rPr>
          <w:rFonts w:cs="Arial"/>
          <w:i/>
          <w:szCs w:val="24"/>
        </w:rPr>
      </w:pPr>
      <w:r w:rsidRPr="00E6086A">
        <w:rPr>
          <w:rFonts w:cs="Arial"/>
          <w:i/>
          <w:szCs w:val="24"/>
        </w:rPr>
        <w:t>“</w:t>
      </w:r>
      <w:r w:rsidR="006C1716" w:rsidRPr="00E6086A">
        <w:rPr>
          <w:rFonts w:cs="Arial"/>
          <w:b/>
          <w:i/>
          <w:szCs w:val="24"/>
        </w:rPr>
        <w:t>2. Los documentos de carácter esencial para la comparación de propuestas, definidos a continuación</w:t>
      </w:r>
      <w:r w:rsidR="006C1716" w:rsidRPr="00E6086A">
        <w:rPr>
          <w:rFonts w:cs="Arial"/>
          <w:i/>
          <w:szCs w:val="24"/>
        </w:rPr>
        <w:t>:</w:t>
      </w:r>
    </w:p>
    <w:p w:rsidR="007F03CD" w:rsidRPr="00E6086A" w:rsidRDefault="007F03CD" w:rsidP="009D3798">
      <w:pPr>
        <w:pStyle w:val="Encabezado"/>
        <w:tabs>
          <w:tab w:val="clear" w:pos="4419"/>
          <w:tab w:val="center" w:pos="567"/>
        </w:tabs>
        <w:spacing w:line="276" w:lineRule="auto"/>
        <w:rPr>
          <w:rFonts w:cs="Arial"/>
          <w:i/>
          <w:szCs w:val="24"/>
        </w:rPr>
      </w:pPr>
    </w:p>
    <w:p w:rsidR="006C1716" w:rsidRPr="00E6086A" w:rsidRDefault="00C651E2" w:rsidP="009D3798">
      <w:pPr>
        <w:pStyle w:val="Encabezado"/>
        <w:numPr>
          <w:ilvl w:val="0"/>
          <w:numId w:val="31"/>
        </w:numPr>
        <w:tabs>
          <w:tab w:val="clear" w:pos="4419"/>
          <w:tab w:val="clear" w:pos="8838"/>
          <w:tab w:val="right" w:pos="567"/>
        </w:tabs>
        <w:spacing w:line="276" w:lineRule="auto"/>
        <w:ind w:left="0" w:firstLine="0"/>
        <w:rPr>
          <w:rFonts w:cs="Arial"/>
          <w:i/>
          <w:szCs w:val="24"/>
        </w:rPr>
      </w:pPr>
      <w:r w:rsidRPr="00E6086A">
        <w:rPr>
          <w:rFonts w:cs="Arial"/>
          <w:i/>
          <w:szCs w:val="24"/>
        </w:rPr>
        <w:t>“</w:t>
      </w:r>
      <w:r w:rsidR="006C1716" w:rsidRPr="00E6086A">
        <w:rPr>
          <w:rFonts w:cs="Arial"/>
          <w:i/>
          <w:szCs w:val="24"/>
        </w:rPr>
        <w:t>Garantía de seriedad de la propuesta por el valor mínimo solicitado</w:t>
      </w:r>
      <w:r w:rsidR="005627B0" w:rsidRPr="00E6086A">
        <w:rPr>
          <w:rFonts w:cs="Arial"/>
          <w:i/>
          <w:szCs w:val="24"/>
        </w:rPr>
        <w:t>”</w:t>
      </w:r>
      <w:r w:rsidRPr="00E6086A">
        <w:rPr>
          <w:rFonts w:cs="Arial"/>
          <w:i/>
          <w:szCs w:val="24"/>
        </w:rPr>
        <w:t xml:space="preserve"> </w:t>
      </w:r>
      <w:r w:rsidRPr="00E6086A">
        <w:rPr>
          <w:rFonts w:cs="Arial"/>
          <w:szCs w:val="24"/>
        </w:rPr>
        <w:t>(la negrilla es del texto original).</w:t>
      </w:r>
    </w:p>
    <w:p w:rsidR="00111288" w:rsidRPr="00E6086A" w:rsidRDefault="00111288" w:rsidP="009D3798">
      <w:pPr>
        <w:pStyle w:val="Encabezado"/>
        <w:tabs>
          <w:tab w:val="clear" w:pos="4419"/>
          <w:tab w:val="clear" w:pos="8838"/>
          <w:tab w:val="right" w:pos="567"/>
        </w:tabs>
        <w:spacing w:line="276" w:lineRule="auto"/>
        <w:rPr>
          <w:rFonts w:cs="Arial"/>
          <w:i/>
          <w:szCs w:val="24"/>
        </w:rPr>
      </w:pPr>
    </w:p>
    <w:p w:rsidR="000234D5" w:rsidRPr="00E6086A" w:rsidRDefault="00783CD7" w:rsidP="009D3798">
      <w:pPr>
        <w:pStyle w:val="Encabezado"/>
        <w:tabs>
          <w:tab w:val="clear" w:pos="4419"/>
          <w:tab w:val="clear" w:pos="8838"/>
          <w:tab w:val="right" w:pos="567"/>
          <w:tab w:val="left" w:pos="8505"/>
        </w:tabs>
        <w:rPr>
          <w:rFonts w:cs="Arial"/>
          <w:szCs w:val="24"/>
        </w:rPr>
      </w:pPr>
      <w:r w:rsidRPr="00E6086A">
        <w:rPr>
          <w:rFonts w:cs="Arial"/>
          <w:szCs w:val="24"/>
        </w:rPr>
        <w:t xml:space="preserve">Por otra parte, aunque el pliego de condiciones no distinguió entre </w:t>
      </w:r>
      <w:r w:rsidR="005D072C" w:rsidRPr="00E6086A">
        <w:rPr>
          <w:rFonts w:cs="Arial"/>
          <w:szCs w:val="24"/>
        </w:rPr>
        <w:t xml:space="preserve">los </w:t>
      </w:r>
      <w:r w:rsidRPr="00E6086A">
        <w:rPr>
          <w:rFonts w:cs="Arial"/>
          <w:szCs w:val="24"/>
        </w:rPr>
        <w:t xml:space="preserve">requisitos de los proponentes (habilitantes) y </w:t>
      </w:r>
      <w:r w:rsidR="005D072C" w:rsidRPr="00E6086A">
        <w:rPr>
          <w:rFonts w:cs="Arial"/>
          <w:szCs w:val="24"/>
        </w:rPr>
        <w:t xml:space="preserve">los </w:t>
      </w:r>
      <w:r w:rsidRPr="00E6086A">
        <w:rPr>
          <w:rFonts w:cs="Arial"/>
          <w:szCs w:val="24"/>
        </w:rPr>
        <w:t>requisitos de la</w:t>
      </w:r>
      <w:r w:rsidR="005D072C" w:rsidRPr="00E6086A">
        <w:rPr>
          <w:rFonts w:cs="Arial"/>
          <w:szCs w:val="24"/>
        </w:rPr>
        <w:t>s</w:t>
      </w:r>
      <w:r w:rsidRPr="00E6086A">
        <w:rPr>
          <w:rFonts w:cs="Arial"/>
          <w:szCs w:val="24"/>
        </w:rPr>
        <w:t xml:space="preserve"> propuestas (</w:t>
      </w:r>
      <w:r w:rsidR="000234D5" w:rsidRPr="00E6086A">
        <w:rPr>
          <w:rFonts w:cs="Arial"/>
          <w:szCs w:val="24"/>
        </w:rPr>
        <w:t>para la asignación de puntaje)</w:t>
      </w:r>
      <w:r w:rsidR="001B1689" w:rsidRPr="00E6086A">
        <w:rPr>
          <w:rFonts w:cs="Arial"/>
          <w:szCs w:val="24"/>
        </w:rPr>
        <w:t>,</w:t>
      </w:r>
      <w:r w:rsidR="000234D5" w:rsidRPr="00E6086A">
        <w:rPr>
          <w:rFonts w:cs="Arial"/>
          <w:szCs w:val="24"/>
        </w:rPr>
        <w:t xml:space="preserve"> dado que en esa época no </w:t>
      </w:r>
      <w:r w:rsidR="005D072C" w:rsidRPr="00E6086A">
        <w:rPr>
          <w:rFonts w:cs="Arial"/>
          <w:szCs w:val="24"/>
        </w:rPr>
        <w:t>existía la di</w:t>
      </w:r>
      <w:r w:rsidR="007F03CD" w:rsidRPr="00E6086A">
        <w:rPr>
          <w:rFonts w:cs="Arial"/>
          <w:szCs w:val="24"/>
        </w:rPr>
        <w:t xml:space="preserve">ferenciación </w:t>
      </w:r>
      <w:r w:rsidR="005D072C" w:rsidRPr="00E6086A">
        <w:rPr>
          <w:rFonts w:cs="Arial"/>
          <w:szCs w:val="24"/>
        </w:rPr>
        <w:t xml:space="preserve">que se vino a introducir en la Ley 1150 de 2007, </w:t>
      </w:r>
      <w:r w:rsidR="000234D5" w:rsidRPr="00E6086A">
        <w:rPr>
          <w:rFonts w:cs="Arial"/>
          <w:szCs w:val="24"/>
        </w:rPr>
        <w:t xml:space="preserve">se puede </w:t>
      </w:r>
      <w:r w:rsidR="005D072C" w:rsidRPr="00E6086A">
        <w:rPr>
          <w:rFonts w:cs="Arial"/>
          <w:szCs w:val="24"/>
        </w:rPr>
        <w:t xml:space="preserve">observar </w:t>
      </w:r>
      <w:r w:rsidR="000234D5" w:rsidRPr="00E6086A">
        <w:rPr>
          <w:rFonts w:cs="Arial"/>
          <w:szCs w:val="24"/>
        </w:rPr>
        <w:t xml:space="preserve">que la presentación de la póliza era un requisito que no hacia parte de los </w:t>
      </w:r>
      <w:r w:rsidR="00614268" w:rsidRPr="00E6086A">
        <w:rPr>
          <w:rFonts w:cs="Arial"/>
          <w:szCs w:val="24"/>
        </w:rPr>
        <w:t xml:space="preserve">documentos </w:t>
      </w:r>
      <w:r w:rsidR="000234D5" w:rsidRPr="00E6086A">
        <w:rPr>
          <w:rFonts w:cs="Arial"/>
          <w:szCs w:val="24"/>
        </w:rPr>
        <w:t xml:space="preserve">requeridos </w:t>
      </w:r>
      <w:r w:rsidR="00614268" w:rsidRPr="00E6086A">
        <w:rPr>
          <w:rFonts w:cs="Arial"/>
          <w:szCs w:val="24"/>
        </w:rPr>
        <w:t xml:space="preserve">para </w:t>
      </w:r>
      <w:r w:rsidR="005D072C" w:rsidRPr="00E6086A">
        <w:rPr>
          <w:rFonts w:cs="Arial"/>
          <w:szCs w:val="24"/>
        </w:rPr>
        <w:t xml:space="preserve">calificar las </w:t>
      </w:r>
      <w:r w:rsidR="000234D5" w:rsidRPr="00E6086A">
        <w:rPr>
          <w:rFonts w:cs="Arial"/>
          <w:szCs w:val="24"/>
        </w:rPr>
        <w:t xml:space="preserve">propuestas. </w:t>
      </w:r>
    </w:p>
    <w:p w:rsidR="00783CD7" w:rsidRPr="00E6086A" w:rsidRDefault="00783CD7" w:rsidP="009D3798">
      <w:pPr>
        <w:pStyle w:val="Encabezado"/>
        <w:tabs>
          <w:tab w:val="clear" w:pos="4419"/>
          <w:tab w:val="clear" w:pos="8838"/>
          <w:tab w:val="right" w:pos="567"/>
          <w:tab w:val="left" w:pos="8505"/>
        </w:tabs>
        <w:rPr>
          <w:rFonts w:cs="Arial"/>
          <w:szCs w:val="24"/>
        </w:rPr>
      </w:pPr>
    </w:p>
    <w:p w:rsidR="0005334C" w:rsidRPr="00E6086A" w:rsidRDefault="00111288" w:rsidP="009D3798">
      <w:pPr>
        <w:pStyle w:val="Encabezado"/>
        <w:tabs>
          <w:tab w:val="clear" w:pos="4419"/>
          <w:tab w:val="clear" w:pos="8838"/>
          <w:tab w:val="right" w:pos="567"/>
          <w:tab w:val="left" w:pos="8505"/>
        </w:tabs>
        <w:rPr>
          <w:rFonts w:cs="Arial"/>
          <w:szCs w:val="24"/>
        </w:rPr>
      </w:pPr>
      <w:r w:rsidRPr="00E6086A">
        <w:rPr>
          <w:rFonts w:cs="Arial"/>
          <w:szCs w:val="24"/>
        </w:rPr>
        <w:lastRenderedPageBreak/>
        <w:t>Por ello, teniendo en cu</w:t>
      </w:r>
      <w:r w:rsidR="00E81116" w:rsidRPr="00E6086A">
        <w:rPr>
          <w:rFonts w:cs="Arial"/>
          <w:szCs w:val="24"/>
        </w:rPr>
        <w:t>e</w:t>
      </w:r>
      <w:r w:rsidRPr="00E6086A">
        <w:rPr>
          <w:rFonts w:cs="Arial"/>
          <w:szCs w:val="24"/>
        </w:rPr>
        <w:t xml:space="preserve">nta que </w:t>
      </w:r>
      <w:r w:rsidR="00E81116" w:rsidRPr="00E6086A">
        <w:rPr>
          <w:rFonts w:cs="Arial"/>
          <w:szCs w:val="24"/>
        </w:rPr>
        <w:t xml:space="preserve">la </w:t>
      </w:r>
      <w:r w:rsidRPr="00E6086A">
        <w:rPr>
          <w:rFonts w:cs="Arial"/>
          <w:szCs w:val="24"/>
        </w:rPr>
        <w:t>U</w:t>
      </w:r>
      <w:r w:rsidR="00C651E2" w:rsidRPr="00E6086A">
        <w:rPr>
          <w:rFonts w:cs="Arial"/>
          <w:szCs w:val="24"/>
        </w:rPr>
        <w:t xml:space="preserve">nión </w:t>
      </w:r>
      <w:r w:rsidRPr="00E6086A">
        <w:rPr>
          <w:rFonts w:cs="Arial"/>
          <w:szCs w:val="24"/>
        </w:rPr>
        <w:t>T</w:t>
      </w:r>
      <w:r w:rsidR="00C651E2" w:rsidRPr="00E6086A">
        <w:rPr>
          <w:rFonts w:cs="Arial"/>
          <w:szCs w:val="24"/>
        </w:rPr>
        <w:t xml:space="preserve">emporal </w:t>
      </w:r>
      <w:r w:rsidRPr="00E6086A">
        <w:rPr>
          <w:rFonts w:cs="Arial"/>
          <w:szCs w:val="24"/>
        </w:rPr>
        <w:t xml:space="preserve">Lama Ingenieros Ltda – Asfaltadora Colombiana Ltda había presentado una garantía de seriedad de la oferta por </w:t>
      </w:r>
      <w:r w:rsidR="00E81116" w:rsidRPr="00E6086A">
        <w:rPr>
          <w:rFonts w:cs="Arial"/>
          <w:szCs w:val="24"/>
        </w:rPr>
        <w:t xml:space="preserve">la suma de </w:t>
      </w:r>
      <w:r w:rsidRPr="00E6086A">
        <w:rPr>
          <w:rFonts w:cs="Arial"/>
          <w:szCs w:val="24"/>
        </w:rPr>
        <w:t>$103’000.000, siendo el valor m</w:t>
      </w:r>
      <w:r w:rsidR="00B1026A" w:rsidRPr="00E6086A">
        <w:rPr>
          <w:rFonts w:cs="Arial"/>
          <w:szCs w:val="24"/>
        </w:rPr>
        <w:t>í</w:t>
      </w:r>
      <w:r w:rsidRPr="00E6086A">
        <w:rPr>
          <w:rFonts w:cs="Arial"/>
          <w:szCs w:val="24"/>
        </w:rPr>
        <w:t>nimo exigido $</w:t>
      </w:r>
      <w:r w:rsidR="00BD017B" w:rsidRPr="00E6086A">
        <w:rPr>
          <w:rFonts w:cs="Arial"/>
          <w:szCs w:val="24"/>
        </w:rPr>
        <w:t>104’530.069</w:t>
      </w:r>
      <w:r w:rsidRPr="00E6086A">
        <w:rPr>
          <w:rFonts w:cs="Arial"/>
          <w:szCs w:val="24"/>
        </w:rPr>
        <w:t xml:space="preserve">, </w:t>
      </w:r>
      <w:r w:rsidR="005627B0" w:rsidRPr="00E6086A">
        <w:rPr>
          <w:rFonts w:cs="Arial"/>
          <w:szCs w:val="24"/>
        </w:rPr>
        <w:t xml:space="preserve">se </w:t>
      </w:r>
      <w:r w:rsidR="00783CD7" w:rsidRPr="00E6086A">
        <w:rPr>
          <w:rFonts w:cs="Arial"/>
          <w:szCs w:val="24"/>
        </w:rPr>
        <w:t xml:space="preserve">podía </w:t>
      </w:r>
      <w:r w:rsidR="005D072C" w:rsidRPr="00E6086A">
        <w:rPr>
          <w:rFonts w:cs="Arial"/>
          <w:szCs w:val="24"/>
        </w:rPr>
        <w:t xml:space="preserve">aceptar </w:t>
      </w:r>
      <w:r w:rsidR="005627B0" w:rsidRPr="00E6086A">
        <w:rPr>
          <w:rFonts w:cs="Arial"/>
          <w:szCs w:val="24"/>
        </w:rPr>
        <w:t xml:space="preserve">que </w:t>
      </w:r>
      <w:r w:rsidR="00B47364" w:rsidRPr="00E6086A">
        <w:rPr>
          <w:rFonts w:cs="Arial"/>
          <w:szCs w:val="24"/>
        </w:rPr>
        <w:t>esa</w:t>
      </w:r>
      <w:r w:rsidR="001B1689" w:rsidRPr="00E6086A">
        <w:rPr>
          <w:rFonts w:cs="Arial"/>
          <w:szCs w:val="24"/>
        </w:rPr>
        <w:t xml:space="preserve"> propuesta </w:t>
      </w:r>
      <w:r w:rsidR="005627B0" w:rsidRPr="00E6086A">
        <w:rPr>
          <w:rFonts w:cs="Arial"/>
          <w:szCs w:val="24"/>
        </w:rPr>
        <w:t>cumpl</w:t>
      </w:r>
      <w:r w:rsidR="00783CD7" w:rsidRPr="00E6086A">
        <w:rPr>
          <w:rFonts w:cs="Arial"/>
          <w:szCs w:val="24"/>
        </w:rPr>
        <w:t>ía</w:t>
      </w:r>
      <w:r w:rsidR="005627B0" w:rsidRPr="00E6086A">
        <w:rPr>
          <w:rFonts w:cs="Arial"/>
          <w:szCs w:val="24"/>
        </w:rPr>
        <w:t xml:space="preserve"> con el requisito de allegar la póliza de garantía, pero de manera incompleta, lo cual llevaba a trasladar </w:t>
      </w:r>
      <w:r w:rsidR="000234D5" w:rsidRPr="00E6086A">
        <w:rPr>
          <w:rFonts w:cs="Arial"/>
          <w:szCs w:val="24"/>
        </w:rPr>
        <w:t>el</w:t>
      </w:r>
      <w:r w:rsidR="005627B0" w:rsidRPr="00E6086A">
        <w:rPr>
          <w:rFonts w:cs="Arial"/>
          <w:szCs w:val="24"/>
        </w:rPr>
        <w:t xml:space="preserve"> </w:t>
      </w:r>
      <w:r w:rsidR="000234D5" w:rsidRPr="00E6086A">
        <w:rPr>
          <w:rFonts w:cs="Arial"/>
          <w:szCs w:val="24"/>
        </w:rPr>
        <w:t xml:space="preserve">asunto a </w:t>
      </w:r>
      <w:r w:rsidR="005D072C" w:rsidRPr="00E6086A">
        <w:rPr>
          <w:rFonts w:cs="Arial"/>
          <w:szCs w:val="24"/>
        </w:rPr>
        <w:t xml:space="preserve">determinar si </w:t>
      </w:r>
      <w:r w:rsidR="005627B0" w:rsidRPr="00E6086A">
        <w:rPr>
          <w:rFonts w:cs="Arial"/>
          <w:szCs w:val="24"/>
        </w:rPr>
        <w:t xml:space="preserve">esa falencia era </w:t>
      </w:r>
      <w:r w:rsidR="005D072C" w:rsidRPr="00E6086A">
        <w:rPr>
          <w:rFonts w:cs="Arial"/>
          <w:szCs w:val="24"/>
        </w:rPr>
        <w:t xml:space="preserve">o no </w:t>
      </w:r>
      <w:r w:rsidR="005627B0" w:rsidRPr="00E6086A">
        <w:rPr>
          <w:rFonts w:cs="Arial"/>
          <w:szCs w:val="24"/>
        </w:rPr>
        <w:t xml:space="preserve">de carácter esencial para la comparación de </w:t>
      </w:r>
      <w:r w:rsidR="000234D5" w:rsidRPr="00E6086A">
        <w:rPr>
          <w:rFonts w:cs="Arial"/>
          <w:szCs w:val="24"/>
        </w:rPr>
        <w:t xml:space="preserve">las </w:t>
      </w:r>
      <w:r w:rsidR="005D072C" w:rsidRPr="00E6086A">
        <w:rPr>
          <w:rFonts w:cs="Arial"/>
          <w:szCs w:val="24"/>
        </w:rPr>
        <w:t>propuestas</w:t>
      </w:r>
      <w:r w:rsidR="000234D5" w:rsidRPr="00E6086A">
        <w:rPr>
          <w:rFonts w:cs="Arial"/>
          <w:szCs w:val="24"/>
        </w:rPr>
        <w:t>.</w:t>
      </w:r>
      <w:r w:rsidR="005627B0" w:rsidRPr="00E6086A">
        <w:rPr>
          <w:rFonts w:cs="Arial"/>
          <w:szCs w:val="24"/>
        </w:rPr>
        <w:t xml:space="preserve"> </w:t>
      </w:r>
    </w:p>
    <w:p w:rsidR="00E62BE6" w:rsidRPr="00E6086A" w:rsidRDefault="00E62BE6" w:rsidP="009D3798">
      <w:pPr>
        <w:pStyle w:val="Encabezado"/>
        <w:tabs>
          <w:tab w:val="clear" w:pos="4419"/>
          <w:tab w:val="clear" w:pos="8838"/>
          <w:tab w:val="right" w:pos="567"/>
          <w:tab w:val="left" w:pos="8505"/>
        </w:tabs>
        <w:rPr>
          <w:rFonts w:cs="Arial"/>
          <w:szCs w:val="24"/>
        </w:rPr>
      </w:pPr>
    </w:p>
    <w:p w:rsidR="003701EA" w:rsidRPr="00E6086A" w:rsidRDefault="005627B0" w:rsidP="009D3798">
      <w:pPr>
        <w:pStyle w:val="Encabezado"/>
        <w:tabs>
          <w:tab w:val="clear" w:pos="4419"/>
          <w:tab w:val="clear" w:pos="8838"/>
          <w:tab w:val="right" w:pos="567"/>
          <w:tab w:val="left" w:pos="8505"/>
        </w:tabs>
        <w:rPr>
          <w:rFonts w:cs="Arial"/>
          <w:szCs w:val="24"/>
        </w:rPr>
      </w:pPr>
      <w:r w:rsidRPr="00E6086A">
        <w:rPr>
          <w:rFonts w:cs="Arial"/>
          <w:szCs w:val="24"/>
        </w:rPr>
        <w:t>Ya se ha indicado en el análisis de las pruebas que</w:t>
      </w:r>
      <w:r w:rsidR="00AF155D" w:rsidRPr="00E6086A">
        <w:rPr>
          <w:rFonts w:cs="Arial"/>
          <w:szCs w:val="24"/>
        </w:rPr>
        <w:t>,</w:t>
      </w:r>
      <w:r w:rsidRPr="00E6086A">
        <w:rPr>
          <w:rFonts w:cs="Arial"/>
          <w:szCs w:val="24"/>
        </w:rPr>
        <w:t xml:space="preserve"> según el pliego de condiciones</w:t>
      </w:r>
      <w:r w:rsidR="00AF155D" w:rsidRPr="00E6086A">
        <w:rPr>
          <w:rFonts w:cs="Arial"/>
          <w:szCs w:val="24"/>
        </w:rPr>
        <w:t>,</w:t>
      </w:r>
      <w:r w:rsidRPr="00E6086A">
        <w:rPr>
          <w:rFonts w:cs="Arial"/>
          <w:szCs w:val="24"/>
        </w:rPr>
        <w:t xml:space="preserve"> las propuestas se comparaban</w:t>
      </w:r>
      <w:r w:rsidR="0029645B" w:rsidRPr="00E6086A">
        <w:rPr>
          <w:rFonts w:cs="Arial"/>
          <w:szCs w:val="24"/>
        </w:rPr>
        <w:t xml:space="preserve"> y se calificaban</w:t>
      </w:r>
      <w:r w:rsidRPr="00E6086A">
        <w:rPr>
          <w:rFonts w:cs="Arial"/>
          <w:szCs w:val="24"/>
        </w:rPr>
        <w:t xml:space="preserve"> </w:t>
      </w:r>
      <w:r w:rsidR="0029645B" w:rsidRPr="00E6086A">
        <w:rPr>
          <w:rFonts w:cs="Arial"/>
          <w:szCs w:val="24"/>
        </w:rPr>
        <w:t xml:space="preserve">de acuerdo con los puntajes asignados a </w:t>
      </w:r>
      <w:r w:rsidRPr="00E6086A">
        <w:rPr>
          <w:rFonts w:cs="Arial"/>
          <w:szCs w:val="24"/>
        </w:rPr>
        <w:t>los factores de</w:t>
      </w:r>
      <w:r w:rsidR="003701EA" w:rsidRPr="00E6086A">
        <w:rPr>
          <w:rFonts w:cs="Arial"/>
          <w:szCs w:val="24"/>
        </w:rPr>
        <w:t>:</w:t>
      </w:r>
      <w:r w:rsidRPr="00E6086A">
        <w:rPr>
          <w:rFonts w:cs="Arial"/>
          <w:szCs w:val="24"/>
        </w:rPr>
        <w:t xml:space="preserve"> precio</w:t>
      </w:r>
      <w:r w:rsidR="0029645B" w:rsidRPr="00E6086A">
        <w:rPr>
          <w:rFonts w:cs="Arial"/>
          <w:szCs w:val="24"/>
        </w:rPr>
        <w:t>, experiencia, calidad y cumplimiento de contratos anteriores</w:t>
      </w:r>
      <w:r w:rsidRPr="00E6086A">
        <w:rPr>
          <w:rFonts w:cs="Arial"/>
          <w:szCs w:val="24"/>
        </w:rPr>
        <w:t xml:space="preserve">. </w:t>
      </w:r>
      <w:r w:rsidR="00E62BE6" w:rsidRPr="00E6086A">
        <w:rPr>
          <w:rFonts w:cs="Arial"/>
          <w:szCs w:val="24"/>
        </w:rPr>
        <w:t>También se ha descrito que el ítem de precio se determinaba partiendo del valor medio de las propuestas a precios corregidos</w:t>
      </w:r>
      <w:r w:rsidR="0029645B" w:rsidRPr="00E6086A">
        <w:rPr>
          <w:rFonts w:cs="Arial"/>
          <w:szCs w:val="24"/>
        </w:rPr>
        <w:t xml:space="preserve">. </w:t>
      </w:r>
    </w:p>
    <w:p w:rsidR="003701EA" w:rsidRPr="00E6086A" w:rsidRDefault="003701EA" w:rsidP="009D3798">
      <w:pPr>
        <w:pStyle w:val="Encabezado"/>
        <w:tabs>
          <w:tab w:val="clear" w:pos="4419"/>
          <w:tab w:val="clear" w:pos="8838"/>
          <w:tab w:val="right" w:pos="567"/>
          <w:tab w:val="left" w:pos="8505"/>
        </w:tabs>
        <w:rPr>
          <w:rFonts w:cs="Arial"/>
          <w:szCs w:val="24"/>
        </w:rPr>
      </w:pPr>
    </w:p>
    <w:p w:rsidR="005627B0" w:rsidRPr="00E6086A" w:rsidRDefault="0029645B" w:rsidP="009D3798">
      <w:pPr>
        <w:pStyle w:val="Encabezado"/>
        <w:tabs>
          <w:tab w:val="clear" w:pos="4419"/>
          <w:tab w:val="clear" w:pos="8838"/>
          <w:tab w:val="right" w:pos="567"/>
          <w:tab w:val="left" w:pos="8505"/>
        </w:tabs>
        <w:rPr>
          <w:rFonts w:cs="Arial"/>
          <w:szCs w:val="24"/>
        </w:rPr>
      </w:pPr>
      <w:r w:rsidRPr="00E6086A">
        <w:rPr>
          <w:rFonts w:cs="Arial"/>
          <w:szCs w:val="24"/>
        </w:rPr>
        <w:t xml:space="preserve">Como consecuencia, se advierte que </w:t>
      </w:r>
      <w:r w:rsidR="00E62BE6" w:rsidRPr="00E6086A">
        <w:rPr>
          <w:rFonts w:cs="Arial"/>
          <w:szCs w:val="24"/>
        </w:rPr>
        <w:t xml:space="preserve">el </w:t>
      </w:r>
      <w:r w:rsidRPr="00E6086A">
        <w:rPr>
          <w:rFonts w:cs="Arial"/>
          <w:szCs w:val="24"/>
        </w:rPr>
        <w:t xml:space="preserve">valor </w:t>
      </w:r>
      <w:r w:rsidR="00E62BE6" w:rsidRPr="00E6086A">
        <w:rPr>
          <w:rFonts w:cs="Arial"/>
          <w:szCs w:val="24"/>
        </w:rPr>
        <w:t>de la póliza de seriedad de la oferta no hac</w:t>
      </w:r>
      <w:r w:rsidR="00760665" w:rsidRPr="00E6086A">
        <w:rPr>
          <w:rFonts w:cs="Arial"/>
          <w:szCs w:val="24"/>
        </w:rPr>
        <w:t>í</w:t>
      </w:r>
      <w:r w:rsidR="00E62BE6" w:rsidRPr="00E6086A">
        <w:rPr>
          <w:rFonts w:cs="Arial"/>
          <w:szCs w:val="24"/>
        </w:rPr>
        <w:t>a parte de l</w:t>
      </w:r>
      <w:r w:rsidR="000234D5" w:rsidRPr="00E6086A">
        <w:rPr>
          <w:rFonts w:cs="Arial"/>
          <w:szCs w:val="24"/>
        </w:rPr>
        <w:t>os datos a utilizar en l</w:t>
      </w:r>
      <w:r w:rsidR="00E62BE6" w:rsidRPr="00E6086A">
        <w:rPr>
          <w:rFonts w:cs="Arial"/>
          <w:szCs w:val="24"/>
        </w:rPr>
        <w:t xml:space="preserve">as fórmulas </w:t>
      </w:r>
      <w:r w:rsidR="003701EA" w:rsidRPr="00E6086A">
        <w:rPr>
          <w:rFonts w:cs="Arial"/>
          <w:szCs w:val="24"/>
        </w:rPr>
        <w:t xml:space="preserve">requeridas </w:t>
      </w:r>
      <w:r w:rsidR="00E62BE6" w:rsidRPr="00E6086A">
        <w:rPr>
          <w:rFonts w:cs="Arial"/>
          <w:szCs w:val="24"/>
        </w:rPr>
        <w:t>para establecer la comparaci</w:t>
      </w:r>
      <w:r w:rsidR="003701EA" w:rsidRPr="00E6086A">
        <w:rPr>
          <w:rFonts w:cs="Arial"/>
          <w:szCs w:val="24"/>
        </w:rPr>
        <w:t>ón</w:t>
      </w:r>
      <w:r w:rsidR="00E62BE6" w:rsidRPr="00E6086A">
        <w:rPr>
          <w:rFonts w:cs="Arial"/>
          <w:szCs w:val="24"/>
        </w:rPr>
        <w:t xml:space="preserve"> de las propuestas</w:t>
      </w:r>
      <w:r w:rsidRPr="00E6086A">
        <w:rPr>
          <w:rFonts w:cs="Arial"/>
          <w:szCs w:val="24"/>
        </w:rPr>
        <w:t xml:space="preserve">, ni tampoco </w:t>
      </w:r>
      <w:r w:rsidR="00760665" w:rsidRPr="00E6086A">
        <w:rPr>
          <w:rFonts w:cs="Arial"/>
          <w:szCs w:val="24"/>
        </w:rPr>
        <w:t xml:space="preserve">existía </w:t>
      </w:r>
      <w:r w:rsidR="003701EA" w:rsidRPr="00E6086A">
        <w:rPr>
          <w:rFonts w:cs="Arial"/>
          <w:szCs w:val="24"/>
        </w:rPr>
        <w:t xml:space="preserve">en el pliego de condiciones </w:t>
      </w:r>
      <w:r w:rsidR="00760665" w:rsidRPr="00E6086A">
        <w:rPr>
          <w:rFonts w:cs="Arial"/>
          <w:szCs w:val="24"/>
        </w:rPr>
        <w:t>un puntaje asignado a la póliza o a su valor.</w:t>
      </w:r>
      <w:r w:rsidR="003701EA" w:rsidRPr="00E6086A">
        <w:rPr>
          <w:rFonts w:cs="Arial"/>
          <w:szCs w:val="24"/>
        </w:rPr>
        <w:t xml:space="preserve"> </w:t>
      </w:r>
      <w:r w:rsidR="003336EE" w:rsidRPr="00E6086A">
        <w:rPr>
          <w:rFonts w:cs="Arial"/>
          <w:szCs w:val="24"/>
        </w:rPr>
        <w:t>Desde esta perspectiva</w:t>
      </w:r>
      <w:r w:rsidR="00AF155D" w:rsidRPr="00E6086A">
        <w:rPr>
          <w:rFonts w:cs="Arial"/>
          <w:szCs w:val="24"/>
        </w:rPr>
        <w:t>,</w:t>
      </w:r>
      <w:r w:rsidR="003336EE" w:rsidRPr="00E6086A">
        <w:rPr>
          <w:rFonts w:cs="Arial"/>
          <w:szCs w:val="24"/>
        </w:rPr>
        <w:t xml:space="preserve"> el defecto en el valor de la póliza no era causal para inhabilitar la propuesta o excluirla </w:t>
      </w:r>
      <w:r w:rsidR="00AF155D" w:rsidRPr="00E6086A">
        <w:rPr>
          <w:rFonts w:cs="Arial"/>
          <w:szCs w:val="24"/>
        </w:rPr>
        <w:t xml:space="preserve">para efectos del cálculo de </w:t>
      </w:r>
      <w:r w:rsidR="003336EE" w:rsidRPr="00E6086A">
        <w:rPr>
          <w:rFonts w:cs="Arial"/>
          <w:szCs w:val="24"/>
        </w:rPr>
        <w:t>precio medio</w:t>
      </w:r>
      <w:r w:rsidR="0087645C" w:rsidRPr="00E6086A">
        <w:rPr>
          <w:rFonts w:cs="Arial"/>
          <w:szCs w:val="24"/>
        </w:rPr>
        <w:t>, en relación con el cual se determinaban las propuestas habilitadas</w:t>
      </w:r>
      <w:r w:rsidR="00AF155D" w:rsidRPr="00E6086A">
        <w:rPr>
          <w:rFonts w:cs="Arial"/>
          <w:szCs w:val="24"/>
        </w:rPr>
        <w:t>.</w:t>
      </w:r>
      <w:r w:rsidR="00E62BE6" w:rsidRPr="00E6086A">
        <w:rPr>
          <w:rFonts w:cs="Arial"/>
          <w:szCs w:val="24"/>
        </w:rPr>
        <w:t xml:space="preserve"> </w:t>
      </w:r>
    </w:p>
    <w:p w:rsidR="00182684" w:rsidRPr="00E6086A" w:rsidRDefault="00182684" w:rsidP="009D3798">
      <w:pPr>
        <w:pStyle w:val="Encabezado"/>
        <w:tabs>
          <w:tab w:val="clear" w:pos="4419"/>
          <w:tab w:val="clear" w:pos="8838"/>
          <w:tab w:val="right" w:pos="567"/>
          <w:tab w:val="left" w:pos="8505"/>
        </w:tabs>
        <w:rPr>
          <w:rFonts w:cs="Arial"/>
          <w:szCs w:val="24"/>
        </w:rPr>
      </w:pPr>
    </w:p>
    <w:p w:rsidR="0005334C" w:rsidRPr="00E6086A" w:rsidRDefault="0005334C" w:rsidP="009D3798">
      <w:pPr>
        <w:pStyle w:val="Encabezado"/>
        <w:tabs>
          <w:tab w:val="clear" w:pos="4419"/>
          <w:tab w:val="clear" w:pos="8838"/>
          <w:tab w:val="right" w:pos="567"/>
        </w:tabs>
        <w:rPr>
          <w:rFonts w:cs="Arial"/>
          <w:szCs w:val="24"/>
        </w:rPr>
      </w:pPr>
      <w:r w:rsidRPr="00E6086A">
        <w:rPr>
          <w:rFonts w:cs="Arial"/>
          <w:szCs w:val="24"/>
        </w:rPr>
        <w:t xml:space="preserve">Además, si se recuerda que la interpretación correcta del pliego de condiciones debe hacerse con base en el texto íntegro del mismo, se </w:t>
      </w:r>
      <w:r w:rsidR="00E62BE6" w:rsidRPr="00E6086A">
        <w:rPr>
          <w:rFonts w:cs="Arial"/>
          <w:szCs w:val="24"/>
        </w:rPr>
        <w:t>ha</w:t>
      </w:r>
      <w:r w:rsidR="001B1689" w:rsidRPr="00E6086A">
        <w:rPr>
          <w:rFonts w:cs="Arial"/>
          <w:szCs w:val="24"/>
        </w:rPr>
        <w:t>lla</w:t>
      </w:r>
      <w:r w:rsidR="00E62BE6" w:rsidRPr="00E6086A">
        <w:rPr>
          <w:rFonts w:cs="Arial"/>
          <w:szCs w:val="24"/>
        </w:rPr>
        <w:t xml:space="preserve"> la razón al municipio de Medellín</w:t>
      </w:r>
      <w:r w:rsidR="0087645C" w:rsidRPr="00E6086A">
        <w:rPr>
          <w:rFonts w:cs="Arial"/>
          <w:szCs w:val="24"/>
        </w:rPr>
        <w:t>,</w:t>
      </w:r>
      <w:r w:rsidR="00E62BE6" w:rsidRPr="00E6086A">
        <w:rPr>
          <w:rFonts w:cs="Arial"/>
          <w:szCs w:val="24"/>
        </w:rPr>
        <w:t xml:space="preserve"> toda vez que podía </w:t>
      </w:r>
      <w:r w:rsidRPr="00E6086A">
        <w:rPr>
          <w:rFonts w:cs="Arial"/>
          <w:szCs w:val="24"/>
        </w:rPr>
        <w:t>traer a colación el numeral 1.18. del pliego de condiciones</w:t>
      </w:r>
      <w:r w:rsidR="0087645C" w:rsidRPr="00E6086A">
        <w:rPr>
          <w:rFonts w:cs="Arial"/>
          <w:szCs w:val="24"/>
        </w:rPr>
        <w:t>,</w:t>
      </w:r>
      <w:r w:rsidRPr="00E6086A">
        <w:rPr>
          <w:rFonts w:cs="Arial"/>
          <w:szCs w:val="24"/>
        </w:rPr>
        <w:t xml:space="preserve"> en el cual se reiteró el párrafo final del punto 1.10., en el sentido de que el rechazo y la eliminación de propuestas incompletas se ataba al supuesto de que aquellas no cumplieran con la documentación de carácter esencial</w:t>
      </w:r>
      <w:r w:rsidR="00590F93" w:rsidRPr="00E6086A">
        <w:rPr>
          <w:rFonts w:cs="Arial"/>
          <w:szCs w:val="24"/>
        </w:rPr>
        <w:t>,</w:t>
      </w:r>
      <w:r w:rsidRPr="00E6086A">
        <w:rPr>
          <w:rFonts w:cs="Arial"/>
          <w:szCs w:val="24"/>
        </w:rPr>
        <w:t xml:space="preserve"> como habría sido el caso de </w:t>
      </w:r>
      <w:r w:rsidR="000234D5" w:rsidRPr="00E6086A">
        <w:rPr>
          <w:rFonts w:cs="Arial"/>
          <w:szCs w:val="24"/>
        </w:rPr>
        <w:t xml:space="preserve">las </w:t>
      </w:r>
      <w:r w:rsidR="00E62BE6" w:rsidRPr="00E6086A">
        <w:rPr>
          <w:rFonts w:cs="Arial"/>
          <w:szCs w:val="24"/>
        </w:rPr>
        <w:t>propuesta</w:t>
      </w:r>
      <w:r w:rsidR="000234D5" w:rsidRPr="00E6086A">
        <w:rPr>
          <w:rFonts w:cs="Arial"/>
          <w:szCs w:val="24"/>
        </w:rPr>
        <w:t xml:space="preserve">s carentes de </w:t>
      </w:r>
      <w:r w:rsidR="00590F93" w:rsidRPr="00E6086A">
        <w:rPr>
          <w:rFonts w:cs="Arial"/>
          <w:szCs w:val="24"/>
        </w:rPr>
        <w:t xml:space="preserve">póliza alguna para afianzar la </w:t>
      </w:r>
      <w:r w:rsidRPr="00E6086A">
        <w:rPr>
          <w:rFonts w:cs="Arial"/>
          <w:szCs w:val="24"/>
        </w:rPr>
        <w:t xml:space="preserve">seriedad de la oferta. </w:t>
      </w:r>
    </w:p>
    <w:p w:rsidR="0005334C" w:rsidRPr="00E6086A" w:rsidRDefault="0005334C" w:rsidP="009D3798">
      <w:pPr>
        <w:pStyle w:val="Encabezado"/>
        <w:tabs>
          <w:tab w:val="clear" w:pos="4419"/>
          <w:tab w:val="clear" w:pos="8838"/>
          <w:tab w:val="right" w:pos="567"/>
        </w:tabs>
        <w:rPr>
          <w:rFonts w:cs="Arial"/>
          <w:szCs w:val="24"/>
        </w:rPr>
      </w:pPr>
    </w:p>
    <w:p w:rsidR="0005334C" w:rsidRPr="00E6086A" w:rsidRDefault="0005334C" w:rsidP="009D3798">
      <w:pPr>
        <w:pStyle w:val="Encabezado"/>
        <w:tabs>
          <w:tab w:val="clear" w:pos="4419"/>
          <w:tab w:val="clear" w:pos="8838"/>
          <w:tab w:val="right" w:pos="567"/>
        </w:tabs>
        <w:rPr>
          <w:rFonts w:cs="Arial"/>
          <w:szCs w:val="24"/>
        </w:rPr>
      </w:pPr>
      <w:r w:rsidRPr="00E6086A">
        <w:rPr>
          <w:rFonts w:cs="Arial"/>
          <w:szCs w:val="24"/>
        </w:rPr>
        <w:t xml:space="preserve">A continuación se </w:t>
      </w:r>
      <w:r w:rsidR="00590F93" w:rsidRPr="00E6086A">
        <w:rPr>
          <w:rFonts w:cs="Arial"/>
          <w:szCs w:val="24"/>
        </w:rPr>
        <w:t>re</w:t>
      </w:r>
      <w:r w:rsidR="00E62BE6" w:rsidRPr="00E6086A">
        <w:rPr>
          <w:rFonts w:cs="Arial"/>
          <w:szCs w:val="24"/>
        </w:rPr>
        <w:t>seña</w:t>
      </w:r>
      <w:r w:rsidR="00590F93" w:rsidRPr="00E6086A">
        <w:rPr>
          <w:rFonts w:cs="Arial"/>
          <w:szCs w:val="24"/>
        </w:rPr>
        <w:t xml:space="preserve"> </w:t>
      </w:r>
      <w:r w:rsidRPr="00E6086A">
        <w:rPr>
          <w:rFonts w:cs="Arial"/>
          <w:szCs w:val="24"/>
        </w:rPr>
        <w:t xml:space="preserve">la parte pertinente del </w:t>
      </w:r>
      <w:r w:rsidR="000234D5" w:rsidRPr="00E6086A">
        <w:rPr>
          <w:rFonts w:cs="Arial"/>
          <w:szCs w:val="24"/>
        </w:rPr>
        <w:t xml:space="preserve">numeral 1.18. del </w:t>
      </w:r>
      <w:r w:rsidRPr="00E6086A">
        <w:rPr>
          <w:rFonts w:cs="Arial"/>
          <w:szCs w:val="24"/>
        </w:rPr>
        <w:t xml:space="preserve">pliego de condiciones: </w:t>
      </w:r>
    </w:p>
    <w:p w:rsidR="0005334C" w:rsidRPr="00E6086A" w:rsidRDefault="0005334C" w:rsidP="009D3798">
      <w:pPr>
        <w:pStyle w:val="Encabezado"/>
        <w:tabs>
          <w:tab w:val="clear" w:pos="4419"/>
          <w:tab w:val="clear" w:pos="8838"/>
          <w:tab w:val="right" w:pos="567"/>
        </w:tabs>
        <w:rPr>
          <w:rFonts w:cs="Arial"/>
          <w:szCs w:val="24"/>
        </w:rPr>
      </w:pPr>
    </w:p>
    <w:p w:rsidR="0005334C" w:rsidRPr="00E6086A" w:rsidRDefault="0005334C" w:rsidP="009D3798">
      <w:pPr>
        <w:pStyle w:val="Encabezado"/>
        <w:tabs>
          <w:tab w:val="clear" w:pos="4419"/>
          <w:tab w:val="center" w:pos="567"/>
        </w:tabs>
        <w:spacing w:line="276" w:lineRule="auto"/>
        <w:rPr>
          <w:rFonts w:cs="Arial"/>
          <w:b/>
          <w:i/>
          <w:szCs w:val="24"/>
        </w:rPr>
      </w:pPr>
      <w:r w:rsidRPr="00E6086A">
        <w:rPr>
          <w:rFonts w:cs="Arial"/>
          <w:i/>
          <w:szCs w:val="24"/>
        </w:rPr>
        <w:t>“</w:t>
      </w:r>
      <w:r w:rsidRPr="00E6086A">
        <w:rPr>
          <w:rFonts w:cs="Arial"/>
          <w:b/>
          <w:i/>
          <w:szCs w:val="24"/>
        </w:rPr>
        <w:t>1.18. RECHAZO Y ELIMINACIÓN DE PROPUESTAS</w:t>
      </w:r>
    </w:p>
    <w:p w:rsidR="0005334C" w:rsidRPr="00E6086A" w:rsidRDefault="0005334C" w:rsidP="009D3798">
      <w:pPr>
        <w:pStyle w:val="Encabezado"/>
        <w:tabs>
          <w:tab w:val="clear" w:pos="4419"/>
          <w:tab w:val="center" w:pos="567"/>
        </w:tabs>
        <w:spacing w:line="276" w:lineRule="auto"/>
        <w:rPr>
          <w:rFonts w:cs="Arial"/>
          <w:i/>
          <w:szCs w:val="24"/>
        </w:rPr>
      </w:pPr>
    </w:p>
    <w:p w:rsidR="0005334C" w:rsidRPr="00E6086A" w:rsidRDefault="0005334C" w:rsidP="009D3798">
      <w:pPr>
        <w:pStyle w:val="Encabezado"/>
        <w:tabs>
          <w:tab w:val="clear" w:pos="4419"/>
          <w:tab w:val="center" w:pos="567"/>
        </w:tabs>
        <w:spacing w:line="276" w:lineRule="auto"/>
        <w:rPr>
          <w:rFonts w:cs="Arial"/>
          <w:i/>
          <w:szCs w:val="24"/>
        </w:rPr>
      </w:pPr>
      <w:r w:rsidRPr="00E6086A">
        <w:rPr>
          <w:rFonts w:cs="Arial"/>
          <w:i/>
          <w:szCs w:val="24"/>
        </w:rPr>
        <w:t>“El municipio de Medellín rechazará y eliminará las propuestas, sin evaluarlas, en cualquiera de los siguientes casos.</w:t>
      </w:r>
    </w:p>
    <w:p w:rsidR="0005334C" w:rsidRPr="00E6086A" w:rsidRDefault="0005334C" w:rsidP="009D3798">
      <w:pPr>
        <w:pStyle w:val="Encabezado"/>
        <w:tabs>
          <w:tab w:val="clear" w:pos="4419"/>
          <w:tab w:val="center" w:pos="567"/>
        </w:tabs>
        <w:spacing w:line="276" w:lineRule="auto"/>
        <w:rPr>
          <w:rFonts w:cs="Arial"/>
          <w:i/>
          <w:szCs w:val="24"/>
        </w:rPr>
      </w:pPr>
    </w:p>
    <w:p w:rsidR="0005334C" w:rsidRPr="00E6086A" w:rsidRDefault="0005334C" w:rsidP="009D3798">
      <w:pPr>
        <w:pStyle w:val="Encabezado"/>
        <w:tabs>
          <w:tab w:val="clear" w:pos="4419"/>
          <w:tab w:val="center" w:pos="567"/>
        </w:tabs>
        <w:spacing w:line="276" w:lineRule="auto"/>
        <w:rPr>
          <w:rFonts w:cs="Arial"/>
          <w:i/>
          <w:szCs w:val="24"/>
        </w:rPr>
      </w:pPr>
      <w:r w:rsidRPr="00E6086A">
        <w:rPr>
          <w:rFonts w:cs="Arial"/>
          <w:i/>
          <w:szCs w:val="24"/>
        </w:rPr>
        <w:t>“(…)</w:t>
      </w:r>
    </w:p>
    <w:p w:rsidR="0005334C" w:rsidRPr="00E6086A" w:rsidRDefault="0005334C" w:rsidP="009D3798">
      <w:pPr>
        <w:pStyle w:val="Encabezado"/>
        <w:tabs>
          <w:tab w:val="clear" w:pos="4419"/>
          <w:tab w:val="center" w:pos="567"/>
        </w:tabs>
        <w:spacing w:line="276" w:lineRule="auto"/>
        <w:rPr>
          <w:rFonts w:cs="Arial"/>
          <w:i/>
          <w:szCs w:val="24"/>
        </w:rPr>
      </w:pPr>
    </w:p>
    <w:p w:rsidR="0005334C" w:rsidRPr="00E6086A" w:rsidRDefault="0005334C" w:rsidP="009D3798">
      <w:pPr>
        <w:pStyle w:val="Encabezado"/>
        <w:tabs>
          <w:tab w:val="clear" w:pos="4419"/>
          <w:tab w:val="center" w:pos="567"/>
        </w:tabs>
        <w:spacing w:line="276" w:lineRule="auto"/>
        <w:rPr>
          <w:rFonts w:cs="Arial"/>
          <w:i/>
          <w:szCs w:val="24"/>
        </w:rPr>
      </w:pPr>
      <w:r w:rsidRPr="00E6086A">
        <w:rPr>
          <w:rFonts w:cs="Arial"/>
          <w:i/>
          <w:szCs w:val="24"/>
        </w:rPr>
        <w:t>“3. Cuando la propuesta esté incompleta en cuanto a que no se cumple con la documentación de carácter esencial para la comparación de propuestas”.</w:t>
      </w:r>
    </w:p>
    <w:p w:rsidR="0005334C" w:rsidRPr="00E6086A" w:rsidRDefault="0005334C" w:rsidP="009D3798">
      <w:pPr>
        <w:pStyle w:val="Encabezado"/>
        <w:tabs>
          <w:tab w:val="clear" w:pos="4419"/>
          <w:tab w:val="center" w:pos="567"/>
        </w:tabs>
        <w:rPr>
          <w:rFonts w:cs="Arial"/>
          <w:i/>
          <w:szCs w:val="24"/>
        </w:rPr>
      </w:pPr>
    </w:p>
    <w:p w:rsidR="00E62BE6" w:rsidRPr="00E6086A" w:rsidRDefault="00BD017B" w:rsidP="009D3798">
      <w:pPr>
        <w:pStyle w:val="Encabezado"/>
        <w:tabs>
          <w:tab w:val="clear" w:pos="4419"/>
          <w:tab w:val="clear" w:pos="8838"/>
          <w:tab w:val="right" w:pos="567"/>
          <w:tab w:val="left" w:pos="8505"/>
        </w:tabs>
        <w:rPr>
          <w:rFonts w:cs="Arial"/>
          <w:szCs w:val="24"/>
        </w:rPr>
      </w:pPr>
      <w:r w:rsidRPr="00E6086A">
        <w:rPr>
          <w:rFonts w:cs="Arial"/>
          <w:szCs w:val="24"/>
        </w:rPr>
        <w:t xml:space="preserve">Así las cosas, </w:t>
      </w:r>
      <w:r w:rsidR="00DB242B" w:rsidRPr="00E6086A">
        <w:rPr>
          <w:rFonts w:cs="Arial"/>
          <w:szCs w:val="24"/>
        </w:rPr>
        <w:t xml:space="preserve">resultaba cierto que </w:t>
      </w:r>
      <w:r w:rsidR="0087645C" w:rsidRPr="00E6086A">
        <w:rPr>
          <w:rFonts w:cs="Arial"/>
          <w:szCs w:val="24"/>
        </w:rPr>
        <w:t xml:space="preserve">la </w:t>
      </w:r>
      <w:r w:rsidR="001B1689" w:rsidRPr="00E6086A">
        <w:rPr>
          <w:rFonts w:cs="Arial"/>
          <w:szCs w:val="24"/>
        </w:rPr>
        <w:t xml:space="preserve">procedencia o no del rechazo a la propuesta </w:t>
      </w:r>
      <w:r w:rsidR="00DB242B" w:rsidRPr="00E6086A">
        <w:rPr>
          <w:rFonts w:cs="Arial"/>
          <w:szCs w:val="24"/>
        </w:rPr>
        <w:t xml:space="preserve">pasaba por determinar si </w:t>
      </w:r>
      <w:r w:rsidR="000234D5" w:rsidRPr="00E6086A">
        <w:rPr>
          <w:rFonts w:cs="Arial"/>
          <w:szCs w:val="24"/>
        </w:rPr>
        <w:t xml:space="preserve">la falla en la póliza de seriedad de la </w:t>
      </w:r>
      <w:r w:rsidR="001B1689" w:rsidRPr="00E6086A">
        <w:rPr>
          <w:rFonts w:cs="Arial"/>
          <w:szCs w:val="24"/>
        </w:rPr>
        <w:t xml:space="preserve">oferta </w:t>
      </w:r>
      <w:r w:rsidR="00DB242B" w:rsidRPr="00E6086A">
        <w:rPr>
          <w:rFonts w:cs="Arial"/>
          <w:szCs w:val="24"/>
        </w:rPr>
        <w:t>era esencial</w:t>
      </w:r>
      <w:r w:rsidR="00E62BE6" w:rsidRPr="00E6086A">
        <w:rPr>
          <w:rFonts w:cs="Arial"/>
          <w:szCs w:val="24"/>
        </w:rPr>
        <w:t xml:space="preserve"> o no para la comparación de las propuestas</w:t>
      </w:r>
      <w:r w:rsidR="001B1689" w:rsidRPr="00E6086A">
        <w:rPr>
          <w:rFonts w:cs="Arial"/>
          <w:szCs w:val="24"/>
        </w:rPr>
        <w:t>, referida en el artículo 25 de la Ley 80 de 1993</w:t>
      </w:r>
      <w:r w:rsidR="00E62BE6" w:rsidRPr="00E6086A">
        <w:rPr>
          <w:rFonts w:cs="Arial"/>
          <w:szCs w:val="24"/>
        </w:rPr>
        <w:t xml:space="preserve">. </w:t>
      </w:r>
    </w:p>
    <w:p w:rsidR="00E62BE6" w:rsidRPr="00E6086A" w:rsidRDefault="00E62BE6" w:rsidP="009D3798">
      <w:pPr>
        <w:pStyle w:val="Encabezado"/>
        <w:tabs>
          <w:tab w:val="clear" w:pos="4419"/>
          <w:tab w:val="clear" w:pos="8838"/>
          <w:tab w:val="right" w:pos="567"/>
          <w:tab w:val="left" w:pos="8505"/>
        </w:tabs>
        <w:rPr>
          <w:rFonts w:cs="Arial"/>
          <w:szCs w:val="24"/>
        </w:rPr>
      </w:pPr>
    </w:p>
    <w:p w:rsidR="000234D5" w:rsidRPr="00E6086A" w:rsidRDefault="00E62BE6" w:rsidP="009D3798">
      <w:pPr>
        <w:pStyle w:val="Encabezado"/>
        <w:tabs>
          <w:tab w:val="clear" w:pos="4419"/>
          <w:tab w:val="clear" w:pos="8838"/>
          <w:tab w:val="right" w:pos="567"/>
          <w:tab w:val="left" w:pos="8505"/>
        </w:tabs>
        <w:rPr>
          <w:rFonts w:cs="Arial"/>
          <w:szCs w:val="24"/>
        </w:rPr>
      </w:pPr>
      <w:r w:rsidRPr="00E6086A">
        <w:rPr>
          <w:rFonts w:cs="Arial"/>
          <w:szCs w:val="24"/>
        </w:rPr>
        <w:t>Por ello, m</w:t>
      </w:r>
      <w:r w:rsidR="0087645C" w:rsidRPr="00E6086A">
        <w:rPr>
          <w:rFonts w:cs="Arial"/>
          <w:szCs w:val="24"/>
        </w:rPr>
        <w:t>á</w:t>
      </w:r>
      <w:r w:rsidRPr="00E6086A">
        <w:rPr>
          <w:rFonts w:cs="Arial"/>
          <w:szCs w:val="24"/>
        </w:rPr>
        <w:t xml:space="preserve">s que reprochar el contenido del numeral </w:t>
      </w:r>
      <w:r w:rsidR="000234D5" w:rsidRPr="00E6086A">
        <w:rPr>
          <w:rFonts w:cs="Arial"/>
          <w:szCs w:val="24"/>
        </w:rPr>
        <w:t>4 del punto 1.10</w:t>
      </w:r>
      <w:r w:rsidR="00DB242B" w:rsidRPr="00E6086A">
        <w:rPr>
          <w:rFonts w:cs="Arial"/>
          <w:szCs w:val="24"/>
        </w:rPr>
        <w:t xml:space="preserve">, </w:t>
      </w:r>
      <w:r w:rsidR="000234D5" w:rsidRPr="00E6086A">
        <w:rPr>
          <w:rFonts w:cs="Arial"/>
          <w:szCs w:val="24"/>
        </w:rPr>
        <w:t>la Sala advierte que se debía aplicar en relación con el numeral 1.18, esto es, c</w:t>
      </w:r>
      <w:r w:rsidR="001B1689" w:rsidRPr="00E6086A">
        <w:rPr>
          <w:rFonts w:cs="Arial"/>
          <w:szCs w:val="24"/>
        </w:rPr>
        <w:t>o</w:t>
      </w:r>
      <w:r w:rsidR="000234D5" w:rsidRPr="00E6086A">
        <w:rPr>
          <w:rFonts w:cs="Arial"/>
          <w:szCs w:val="24"/>
        </w:rPr>
        <w:t>n base en el carácter no esencial de la póliza de seriedad de la oferta para calificar la respectiva propuesta</w:t>
      </w:r>
      <w:r w:rsidR="001B1689" w:rsidRPr="00E6086A">
        <w:rPr>
          <w:rFonts w:cs="Arial"/>
          <w:szCs w:val="24"/>
        </w:rPr>
        <w:t>, como en efecto lo realizó el municipio de Medellín en el acto acusado</w:t>
      </w:r>
      <w:r w:rsidR="000234D5" w:rsidRPr="00E6086A">
        <w:rPr>
          <w:rFonts w:cs="Arial"/>
          <w:szCs w:val="24"/>
        </w:rPr>
        <w:t>.</w:t>
      </w:r>
    </w:p>
    <w:p w:rsidR="00182684" w:rsidRPr="00E6086A" w:rsidRDefault="00182684" w:rsidP="009D3798">
      <w:pPr>
        <w:pStyle w:val="Encabezado"/>
        <w:tabs>
          <w:tab w:val="clear" w:pos="4419"/>
          <w:tab w:val="clear" w:pos="8838"/>
          <w:tab w:val="right" w:pos="567"/>
          <w:tab w:val="left" w:pos="8505"/>
        </w:tabs>
        <w:rPr>
          <w:rFonts w:cs="Arial"/>
          <w:szCs w:val="24"/>
        </w:rPr>
      </w:pPr>
    </w:p>
    <w:p w:rsidR="00075166" w:rsidRPr="00E6086A" w:rsidRDefault="00AE7675" w:rsidP="009D3798">
      <w:pPr>
        <w:pStyle w:val="Encabezado"/>
        <w:tabs>
          <w:tab w:val="clear" w:pos="4419"/>
          <w:tab w:val="clear" w:pos="8838"/>
          <w:tab w:val="right" w:pos="567"/>
        </w:tabs>
        <w:spacing w:line="240" w:lineRule="auto"/>
        <w:rPr>
          <w:rFonts w:cs="Arial"/>
          <w:b/>
          <w:szCs w:val="24"/>
        </w:rPr>
      </w:pPr>
      <w:r w:rsidRPr="00E6086A">
        <w:rPr>
          <w:rFonts w:cs="Arial"/>
          <w:b/>
          <w:szCs w:val="24"/>
        </w:rPr>
        <w:t>6.</w:t>
      </w:r>
      <w:r w:rsidR="000C29CA" w:rsidRPr="00E6086A">
        <w:rPr>
          <w:rFonts w:cs="Arial"/>
          <w:b/>
          <w:szCs w:val="24"/>
        </w:rPr>
        <w:t>3</w:t>
      </w:r>
      <w:r w:rsidRPr="00E6086A">
        <w:rPr>
          <w:rFonts w:cs="Arial"/>
          <w:b/>
          <w:szCs w:val="24"/>
        </w:rPr>
        <w:t xml:space="preserve">. </w:t>
      </w:r>
      <w:r w:rsidR="00075166" w:rsidRPr="00E6086A">
        <w:rPr>
          <w:rFonts w:cs="Arial"/>
          <w:b/>
          <w:szCs w:val="24"/>
        </w:rPr>
        <w:t>Reiteración jurisprudencial acerca de la valoración de los requisitos de acuerdo con su contenido esencial en cuanto otorguen puntaje para la comparación de ofertas</w:t>
      </w:r>
    </w:p>
    <w:p w:rsidR="00075166" w:rsidRPr="00E6086A" w:rsidRDefault="00075166" w:rsidP="009D3798">
      <w:pPr>
        <w:pStyle w:val="Encabezado"/>
        <w:tabs>
          <w:tab w:val="clear" w:pos="4419"/>
          <w:tab w:val="clear" w:pos="8838"/>
          <w:tab w:val="right" w:pos="567"/>
        </w:tabs>
        <w:rPr>
          <w:rFonts w:cs="Arial"/>
          <w:szCs w:val="24"/>
        </w:rPr>
      </w:pPr>
    </w:p>
    <w:p w:rsidR="00D2646F" w:rsidRPr="00E6086A" w:rsidRDefault="00111E73" w:rsidP="009D3798">
      <w:pPr>
        <w:pStyle w:val="Encabezado"/>
        <w:tabs>
          <w:tab w:val="clear" w:pos="4419"/>
          <w:tab w:val="clear" w:pos="8838"/>
          <w:tab w:val="right" w:pos="567"/>
        </w:tabs>
        <w:rPr>
          <w:rFonts w:cs="Arial"/>
          <w:szCs w:val="24"/>
        </w:rPr>
      </w:pPr>
      <w:r w:rsidRPr="00E6086A">
        <w:rPr>
          <w:rFonts w:cs="Arial"/>
          <w:szCs w:val="24"/>
        </w:rPr>
        <w:t>No comparte la Sala la apreciación de</w:t>
      </w:r>
      <w:r w:rsidR="00E81116" w:rsidRPr="00E6086A">
        <w:rPr>
          <w:rFonts w:cs="Arial"/>
          <w:szCs w:val="24"/>
        </w:rPr>
        <w:t xml:space="preserve"> la</w:t>
      </w:r>
      <w:r w:rsidRPr="00E6086A">
        <w:rPr>
          <w:rFonts w:cs="Arial"/>
          <w:szCs w:val="24"/>
        </w:rPr>
        <w:t xml:space="preserve"> demandante en </w:t>
      </w:r>
      <w:r w:rsidR="001B1689" w:rsidRPr="00E6086A">
        <w:rPr>
          <w:rFonts w:cs="Arial"/>
          <w:szCs w:val="24"/>
        </w:rPr>
        <w:t xml:space="preserve">el primero de los argumentos de la apelación, </w:t>
      </w:r>
      <w:r w:rsidR="001E77E5" w:rsidRPr="00E6086A">
        <w:rPr>
          <w:rFonts w:cs="Arial"/>
          <w:szCs w:val="24"/>
        </w:rPr>
        <w:t xml:space="preserve">en </w:t>
      </w:r>
      <w:r w:rsidRPr="00E6086A">
        <w:rPr>
          <w:rFonts w:cs="Arial"/>
          <w:szCs w:val="24"/>
        </w:rPr>
        <w:t xml:space="preserve">cuanto </w:t>
      </w:r>
      <w:r w:rsidR="00F610EF" w:rsidRPr="00E6086A">
        <w:rPr>
          <w:rFonts w:cs="Arial"/>
          <w:szCs w:val="24"/>
        </w:rPr>
        <w:t xml:space="preserve">a </w:t>
      </w:r>
      <w:r w:rsidRPr="00E6086A">
        <w:rPr>
          <w:rFonts w:cs="Arial"/>
          <w:szCs w:val="24"/>
        </w:rPr>
        <w:t xml:space="preserve">que </w:t>
      </w:r>
      <w:r w:rsidR="00D2646F" w:rsidRPr="00E6086A">
        <w:rPr>
          <w:rFonts w:cs="Arial"/>
          <w:szCs w:val="24"/>
        </w:rPr>
        <w:t xml:space="preserve">en </w:t>
      </w:r>
      <w:r w:rsidR="00F610EF" w:rsidRPr="00E6086A">
        <w:rPr>
          <w:rFonts w:cs="Arial"/>
          <w:szCs w:val="24"/>
        </w:rPr>
        <w:t xml:space="preserve">la sentencia invocada por el Tribunal a quo </w:t>
      </w:r>
      <w:r w:rsidR="00BB087B" w:rsidRPr="00E6086A">
        <w:rPr>
          <w:rFonts w:cs="Arial"/>
          <w:szCs w:val="24"/>
        </w:rPr>
        <w:t xml:space="preserve">se </w:t>
      </w:r>
      <w:r w:rsidR="00075166" w:rsidRPr="00E6086A">
        <w:rPr>
          <w:rFonts w:cs="Arial"/>
          <w:szCs w:val="24"/>
        </w:rPr>
        <w:t>habr</w:t>
      </w:r>
      <w:r w:rsidR="00BB087B" w:rsidRPr="00E6086A">
        <w:rPr>
          <w:rFonts w:cs="Arial"/>
          <w:szCs w:val="24"/>
        </w:rPr>
        <w:t>í</w:t>
      </w:r>
      <w:r w:rsidR="00075166" w:rsidRPr="00E6086A">
        <w:rPr>
          <w:rFonts w:cs="Arial"/>
          <w:szCs w:val="24"/>
        </w:rPr>
        <w:t xml:space="preserve">a </w:t>
      </w:r>
      <w:r w:rsidR="005627B0" w:rsidRPr="00E6086A">
        <w:rPr>
          <w:rFonts w:cs="Arial"/>
          <w:szCs w:val="24"/>
        </w:rPr>
        <w:t>trata</w:t>
      </w:r>
      <w:r w:rsidR="00075166" w:rsidRPr="00E6086A">
        <w:rPr>
          <w:rFonts w:cs="Arial"/>
          <w:szCs w:val="24"/>
        </w:rPr>
        <w:t>do</w:t>
      </w:r>
      <w:r w:rsidR="005627B0" w:rsidRPr="00E6086A">
        <w:rPr>
          <w:rFonts w:cs="Arial"/>
          <w:szCs w:val="24"/>
        </w:rPr>
        <w:t xml:space="preserve"> un caso diferente al del </w:t>
      </w:r>
      <w:r w:rsidR="005627B0" w:rsidRPr="00E6086A">
        <w:rPr>
          <w:rFonts w:cs="Arial"/>
          <w:i/>
          <w:szCs w:val="24"/>
        </w:rPr>
        <w:t>sub lite</w:t>
      </w:r>
      <w:r w:rsidR="005627B0" w:rsidRPr="00E6086A">
        <w:rPr>
          <w:rFonts w:cs="Arial"/>
          <w:szCs w:val="24"/>
        </w:rPr>
        <w:t xml:space="preserve">, </w:t>
      </w:r>
      <w:r w:rsidR="00F610EF" w:rsidRPr="00E6086A">
        <w:rPr>
          <w:rFonts w:cs="Arial"/>
          <w:szCs w:val="24"/>
        </w:rPr>
        <w:t>toda vez que el antecedente jurisprudencial aplicable s</w:t>
      </w:r>
      <w:r w:rsidR="001E77E5" w:rsidRPr="00E6086A">
        <w:rPr>
          <w:rFonts w:cs="Arial"/>
          <w:szCs w:val="24"/>
        </w:rPr>
        <w:t>í</w:t>
      </w:r>
      <w:r w:rsidR="00F610EF" w:rsidRPr="00E6086A">
        <w:rPr>
          <w:rFonts w:cs="Arial"/>
          <w:szCs w:val="24"/>
        </w:rPr>
        <w:t xml:space="preserve"> </w:t>
      </w:r>
      <w:r w:rsidR="00AE7675" w:rsidRPr="00E6086A">
        <w:rPr>
          <w:rFonts w:cs="Arial"/>
          <w:szCs w:val="24"/>
        </w:rPr>
        <w:t xml:space="preserve">se </w:t>
      </w:r>
      <w:r w:rsidR="00F610EF" w:rsidRPr="00E6086A">
        <w:rPr>
          <w:rFonts w:cs="Arial"/>
          <w:szCs w:val="24"/>
        </w:rPr>
        <w:t>correspondía con la interpretación del artículo 25 de la Ley 80 de 1993</w:t>
      </w:r>
      <w:r w:rsidR="00AE7675" w:rsidRPr="00E6086A">
        <w:rPr>
          <w:rFonts w:cs="Arial"/>
          <w:szCs w:val="24"/>
        </w:rPr>
        <w:t xml:space="preserve">. </w:t>
      </w:r>
    </w:p>
    <w:p w:rsidR="00D2646F" w:rsidRPr="00E6086A" w:rsidRDefault="00D2646F" w:rsidP="009D3798">
      <w:pPr>
        <w:pStyle w:val="Encabezado"/>
        <w:tabs>
          <w:tab w:val="clear" w:pos="4419"/>
          <w:tab w:val="clear" w:pos="8838"/>
          <w:tab w:val="right" w:pos="567"/>
        </w:tabs>
        <w:rPr>
          <w:rFonts w:cs="Arial"/>
          <w:szCs w:val="24"/>
        </w:rPr>
      </w:pPr>
    </w:p>
    <w:p w:rsidR="00590F93" w:rsidRPr="00E6086A" w:rsidRDefault="00AE7675" w:rsidP="009D3798">
      <w:pPr>
        <w:pStyle w:val="Encabezado"/>
        <w:tabs>
          <w:tab w:val="clear" w:pos="4419"/>
          <w:tab w:val="clear" w:pos="8838"/>
          <w:tab w:val="right" w:pos="567"/>
        </w:tabs>
        <w:rPr>
          <w:rFonts w:cs="Arial"/>
          <w:szCs w:val="24"/>
        </w:rPr>
      </w:pPr>
      <w:r w:rsidRPr="00E6086A">
        <w:rPr>
          <w:rFonts w:cs="Arial"/>
          <w:szCs w:val="24"/>
        </w:rPr>
        <w:t xml:space="preserve">Esa </w:t>
      </w:r>
      <w:r w:rsidR="00F610EF" w:rsidRPr="00E6086A">
        <w:rPr>
          <w:rFonts w:cs="Arial"/>
          <w:szCs w:val="24"/>
        </w:rPr>
        <w:t>sentencia, como muchas otras</w:t>
      </w:r>
      <w:r w:rsidR="00B92E5E" w:rsidRPr="00E6086A">
        <w:rPr>
          <w:rFonts w:cs="Arial"/>
          <w:szCs w:val="24"/>
        </w:rPr>
        <w:t xml:space="preserve"> emanadas de la Sección Tercera del Consejo de Estado</w:t>
      </w:r>
      <w:r w:rsidR="00F610EF" w:rsidRPr="00E6086A">
        <w:rPr>
          <w:rFonts w:cs="Arial"/>
          <w:szCs w:val="24"/>
        </w:rPr>
        <w:t>, reiter</w:t>
      </w:r>
      <w:r w:rsidR="00590F93" w:rsidRPr="00E6086A">
        <w:rPr>
          <w:rFonts w:cs="Arial"/>
          <w:szCs w:val="24"/>
        </w:rPr>
        <w:t>ó</w:t>
      </w:r>
      <w:r w:rsidR="00F610EF" w:rsidRPr="00E6086A">
        <w:rPr>
          <w:rFonts w:cs="Arial"/>
          <w:szCs w:val="24"/>
        </w:rPr>
        <w:t xml:space="preserve"> el principio de</w:t>
      </w:r>
      <w:r w:rsidRPr="00E6086A">
        <w:rPr>
          <w:rFonts w:cs="Arial"/>
          <w:szCs w:val="24"/>
        </w:rPr>
        <w:t xml:space="preserve"> interpretación del pliego de condiciones sobre la base de aplicar e</w:t>
      </w:r>
      <w:r w:rsidR="00F610EF" w:rsidRPr="00E6086A">
        <w:rPr>
          <w:rFonts w:cs="Arial"/>
          <w:szCs w:val="24"/>
        </w:rPr>
        <w:t>l fondo sobre la forma</w:t>
      </w:r>
      <w:r w:rsidRPr="00E6086A">
        <w:rPr>
          <w:rFonts w:cs="Arial"/>
          <w:szCs w:val="24"/>
        </w:rPr>
        <w:t xml:space="preserve"> –lo sustancial sobre lo material- </w:t>
      </w:r>
      <w:r w:rsidR="00F610EF" w:rsidRPr="00E6086A">
        <w:rPr>
          <w:rFonts w:cs="Arial"/>
          <w:szCs w:val="24"/>
        </w:rPr>
        <w:t>en el análisis de los documentos allegados con las propuestas</w:t>
      </w:r>
      <w:r w:rsidRPr="00E6086A">
        <w:rPr>
          <w:rFonts w:cs="Arial"/>
          <w:szCs w:val="24"/>
        </w:rPr>
        <w:t xml:space="preserve">. </w:t>
      </w:r>
    </w:p>
    <w:p w:rsidR="00590F93" w:rsidRPr="00E6086A" w:rsidRDefault="00590F93" w:rsidP="009D3798">
      <w:pPr>
        <w:pStyle w:val="Encabezado"/>
        <w:tabs>
          <w:tab w:val="clear" w:pos="4419"/>
          <w:tab w:val="clear" w:pos="8838"/>
          <w:tab w:val="right" w:pos="567"/>
        </w:tabs>
        <w:rPr>
          <w:rFonts w:cs="Arial"/>
          <w:szCs w:val="24"/>
        </w:rPr>
      </w:pPr>
    </w:p>
    <w:p w:rsidR="00BB087B" w:rsidRPr="00E6086A" w:rsidRDefault="00E07835" w:rsidP="009D3798">
      <w:pPr>
        <w:rPr>
          <w:rFonts w:cs="Arial"/>
        </w:rPr>
      </w:pPr>
      <w:r w:rsidRPr="00E6086A">
        <w:rPr>
          <w:rFonts w:cs="Arial"/>
        </w:rPr>
        <w:t>Tal como ha advertido esta Subsección en un extenso recuento de la jurisprudencia sobre los actos previos</w:t>
      </w:r>
      <w:r w:rsidRPr="00E6086A">
        <w:rPr>
          <w:rStyle w:val="Refdenotaalpie"/>
          <w:rFonts w:cs="Arial"/>
        </w:rPr>
        <w:footnoteReference w:id="35"/>
      </w:r>
      <w:r w:rsidRPr="00E6086A">
        <w:rPr>
          <w:rFonts w:cs="Arial"/>
        </w:rPr>
        <w:t xml:space="preserve">, la Sección Tercera del Consejo de Estado desarrolló una </w:t>
      </w:r>
      <w:r w:rsidRPr="00E6086A">
        <w:rPr>
          <w:rFonts w:cs="Arial"/>
        </w:rPr>
        <w:lastRenderedPageBreak/>
        <w:t>línea jurisprudencial</w:t>
      </w:r>
      <w:r w:rsidRPr="00E6086A">
        <w:rPr>
          <w:rStyle w:val="Refdenotaalpie"/>
          <w:rFonts w:cs="Arial"/>
        </w:rPr>
        <w:footnoteReference w:id="36"/>
      </w:r>
      <w:r w:rsidRPr="00E6086A">
        <w:rPr>
          <w:rFonts w:cs="Arial"/>
        </w:rPr>
        <w:t xml:space="preserve"> que propugnó por diferenciar entre los requisitos formales y sustanciales exigidos a los proponentes en los pliegos de condiciones, la cual se formuló </w:t>
      </w:r>
      <w:r w:rsidR="00D2646F" w:rsidRPr="00E6086A">
        <w:rPr>
          <w:rFonts w:cs="Arial"/>
        </w:rPr>
        <w:t xml:space="preserve">hace 30 años, </w:t>
      </w:r>
      <w:r w:rsidRPr="00E6086A">
        <w:rPr>
          <w:rFonts w:cs="Arial"/>
        </w:rPr>
        <w:t>desde la sentencia de 19 de febrero de 1987</w:t>
      </w:r>
      <w:r w:rsidRPr="00E6086A">
        <w:rPr>
          <w:rStyle w:val="Refdenotaalpie"/>
          <w:rFonts w:cs="Arial"/>
        </w:rPr>
        <w:footnoteReference w:id="37"/>
      </w:r>
      <w:r w:rsidRPr="00E6086A">
        <w:rPr>
          <w:rFonts w:cs="Arial"/>
        </w:rPr>
        <w:t xml:space="preserve"> (expediente No. 4694), prohijada por la doctrina española y argentina, en cuyos textos se estimó que no todas las condiciones del pliego tienen </w:t>
      </w:r>
      <w:r w:rsidR="00D2646F" w:rsidRPr="00E6086A">
        <w:rPr>
          <w:rFonts w:cs="Arial"/>
        </w:rPr>
        <w:t>u</w:t>
      </w:r>
      <w:r w:rsidRPr="00E6086A">
        <w:rPr>
          <w:rFonts w:cs="Arial"/>
        </w:rPr>
        <w:t>n mismo peso</w:t>
      </w:r>
      <w:r w:rsidR="00BB087B" w:rsidRPr="00E6086A">
        <w:rPr>
          <w:rFonts w:cs="Arial"/>
        </w:rPr>
        <w:t>.</w:t>
      </w:r>
    </w:p>
    <w:p w:rsidR="00BB087B" w:rsidRPr="00E6086A" w:rsidRDefault="00BB087B" w:rsidP="009D3798">
      <w:pPr>
        <w:rPr>
          <w:rFonts w:cs="Arial"/>
        </w:rPr>
      </w:pPr>
    </w:p>
    <w:p w:rsidR="00892EF4" w:rsidRPr="00E6086A" w:rsidRDefault="00BB087B" w:rsidP="009D3798">
      <w:pPr>
        <w:rPr>
          <w:rFonts w:cs="Arial"/>
        </w:rPr>
      </w:pPr>
      <w:r w:rsidRPr="00E6086A">
        <w:rPr>
          <w:rFonts w:cs="Arial"/>
        </w:rPr>
        <w:t>Según ha</w:t>
      </w:r>
      <w:r w:rsidR="00E07835" w:rsidRPr="00E6086A">
        <w:rPr>
          <w:rFonts w:cs="Arial"/>
        </w:rPr>
        <w:t xml:space="preserve"> </w:t>
      </w:r>
      <w:r w:rsidRPr="00E6086A">
        <w:rPr>
          <w:rFonts w:cs="Arial"/>
        </w:rPr>
        <w:t xml:space="preserve">observado esta Subsección </w:t>
      </w:r>
      <w:r w:rsidRPr="00E6086A">
        <w:rPr>
          <w:rFonts w:cs="Arial"/>
          <w:i/>
        </w:rPr>
        <w:t xml:space="preserve">“ (…) </w:t>
      </w:r>
      <w:r w:rsidR="00E07835" w:rsidRPr="00E6086A">
        <w:rPr>
          <w:rFonts w:cs="Arial"/>
          <w:i/>
        </w:rPr>
        <w:t xml:space="preserve">hasta la fecha presente el Consejo de Estado considera que de acuerdo con la </w:t>
      </w:r>
      <w:r w:rsidRPr="00E6086A">
        <w:rPr>
          <w:rFonts w:cs="Arial"/>
          <w:i/>
        </w:rPr>
        <w:t>‘</w:t>
      </w:r>
      <w:r w:rsidR="00E07835" w:rsidRPr="00E6086A">
        <w:rPr>
          <w:rFonts w:cs="Arial"/>
          <w:i/>
        </w:rPr>
        <w:t>lógica de lo razonable</w:t>
      </w:r>
      <w:r w:rsidRPr="00E6086A">
        <w:rPr>
          <w:rFonts w:cs="Arial"/>
          <w:i/>
        </w:rPr>
        <w:t>´</w:t>
      </w:r>
      <w:r w:rsidR="00E07835" w:rsidRPr="00E6086A">
        <w:rPr>
          <w:rFonts w:cs="Arial"/>
          <w:i/>
        </w:rPr>
        <w:t xml:space="preserve"> la entidad contratante puede acudir excepcional y razonadamente a un manejo flexible en la aplicación del pliego de condiciones cuando el apartamiento de la propuesta con relación al contenido de la regla del pliego es de orden menor y no corresponda a requisitos previstos en el pliego en forma sustancial o determinante de las condiciones de la contratación</w:t>
      </w:r>
      <w:r w:rsidR="00E07835" w:rsidRPr="00E6086A">
        <w:rPr>
          <w:rStyle w:val="Refdenotaalpie"/>
          <w:rFonts w:cs="Arial"/>
          <w:i/>
        </w:rPr>
        <w:footnoteReference w:id="38"/>
      </w:r>
      <w:r w:rsidR="0051493E" w:rsidRPr="00E6086A">
        <w:rPr>
          <w:rFonts w:cs="Arial"/>
          <w:i/>
        </w:rPr>
        <w:t>”</w:t>
      </w:r>
      <w:r w:rsidRPr="00E6086A">
        <w:rPr>
          <w:rStyle w:val="Refdenotaalpie"/>
          <w:rFonts w:cs="Arial"/>
          <w:i/>
        </w:rPr>
        <w:footnoteReference w:id="39"/>
      </w:r>
      <w:r w:rsidRPr="00E6086A">
        <w:rPr>
          <w:rFonts w:cs="Arial"/>
          <w:i/>
        </w:rPr>
        <w:t>.</w:t>
      </w:r>
      <w:r w:rsidR="00E07835" w:rsidRPr="00E6086A">
        <w:rPr>
          <w:rFonts w:cs="Arial"/>
        </w:rPr>
        <w:t xml:space="preserve"> </w:t>
      </w:r>
      <w:r w:rsidR="00D2646F" w:rsidRPr="00E6086A">
        <w:rPr>
          <w:rFonts w:cs="Arial"/>
        </w:rPr>
        <w:t xml:space="preserve"> </w:t>
      </w:r>
    </w:p>
    <w:p w:rsidR="00892EF4" w:rsidRPr="00E6086A" w:rsidRDefault="00892EF4" w:rsidP="009D3798">
      <w:pPr>
        <w:rPr>
          <w:rFonts w:cs="Arial"/>
        </w:rPr>
      </w:pPr>
    </w:p>
    <w:p w:rsidR="0051493E" w:rsidRPr="00E6086A" w:rsidRDefault="00892EF4" w:rsidP="009D3798">
      <w:pPr>
        <w:rPr>
          <w:rFonts w:cs="Arial"/>
        </w:rPr>
      </w:pPr>
      <w:r w:rsidRPr="00E6086A">
        <w:rPr>
          <w:rFonts w:cs="Arial"/>
        </w:rPr>
        <w:t>Aunque por la época de los hechos no e</w:t>
      </w:r>
      <w:r w:rsidR="0051493E" w:rsidRPr="00E6086A">
        <w:rPr>
          <w:rFonts w:cs="Arial"/>
        </w:rPr>
        <w:t>ra</w:t>
      </w:r>
      <w:r w:rsidRPr="00E6086A">
        <w:rPr>
          <w:rFonts w:cs="Arial"/>
        </w:rPr>
        <w:t xml:space="preserve"> norma aplicable al asunto que ahora s</w:t>
      </w:r>
      <w:r w:rsidR="0051493E" w:rsidRPr="00E6086A">
        <w:rPr>
          <w:rFonts w:cs="Arial"/>
        </w:rPr>
        <w:t>e</w:t>
      </w:r>
      <w:r w:rsidRPr="00E6086A">
        <w:rPr>
          <w:rFonts w:cs="Arial"/>
        </w:rPr>
        <w:t xml:space="preserve"> juzga, </w:t>
      </w:r>
      <w:r w:rsidR="005524FF" w:rsidRPr="00E6086A">
        <w:rPr>
          <w:rFonts w:cs="Arial"/>
        </w:rPr>
        <w:t>resulta útil</w:t>
      </w:r>
      <w:r w:rsidRPr="00E6086A">
        <w:rPr>
          <w:rFonts w:cs="Arial"/>
        </w:rPr>
        <w:t xml:space="preserve"> anotar que </w:t>
      </w:r>
      <w:r w:rsidR="00D2646F" w:rsidRPr="00E6086A">
        <w:rPr>
          <w:rFonts w:cs="Arial"/>
        </w:rPr>
        <w:t xml:space="preserve">la Ley 1150 de 2011 con la </w:t>
      </w:r>
      <w:r w:rsidRPr="00E6086A">
        <w:rPr>
          <w:rFonts w:cs="Arial"/>
        </w:rPr>
        <w:t>disposición del parágrafo del artículo 5 prohibió de manera expresa el rechazo de propuestas fundado en la falta de requisitos habilitantes</w:t>
      </w:r>
      <w:r w:rsidRPr="00E6086A">
        <w:rPr>
          <w:rStyle w:val="Refdenotaalpie"/>
          <w:rFonts w:cs="Arial"/>
        </w:rPr>
        <w:footnoteReference w:id="40"/>
      </w:r>
      <w:r w:rsidRPr="00E6086A">
        <w:rPr>
          <w:rFonts w:cs="Arial"/>
        </w:rPr>
        <w:t>, entendidos estos últimos, como los que se refieren al proponente o a la futura contratación</w:t>
      </w:r>
      <w:r w:rsidR="0051493E" w:rsidRPr="00E6086A">
        <w:rPr>
          <w:rFonts w:cs="Arial"/>
        </w:rPr>
        <w:t>, aspecto en el cual se ha seguido desarrollando la línea jurisp</w:t>
      </w:r>
      <w:r w:rsidR="00276D31" w:rsidRPr="00E6086A">
        <w:rPr>
          <w:rFonts w:cs="Arial"/>
        </w:rPr>
        <w:t>r</w:t>
      </w:r>
      <w:r w:rsidR="0051493E" w:rsidRPr="00E6086A">
        <w:rPr>
          <w:rFonts w:cs="Arial"/>
        </w:rPr>
        <w:t>udencial que se comenta.</w:t>
      </w:r>
    </w:p>
    <w:p w:rsidR="00E07835" w:rsidRPr="00E6086A" w:rsidRDefault="0051493E" w:rsidP="009D3798">
      <w:pPr>
        <w:rPr>
          <w:rFonts w:cs="Arial"/>
        </w:rPr>
      </w:pPr>
      <w:r w:rsidRPr="00E6086A">
        <w:rPr>
          <w:rFonts w:cs="Arial"/>
        </w:rPr>
        <w:t xml:space="preserve"> </w:t>
      </w:r>
    </w:p>
    <w:p w:rsidR="00E07835" w:rsidRPr="00E6086A" w:rsidRDefault="00E07835" w:rsidP="009D3798">
      <w:pPr>
        <w:rPr>
          <w:rFonts w:cs="Arial"/>
        </w:rPr>
      </w:pPr>
      <w:r w:rsidRPr="00E6086A">
        <w:rPr>
          <w:rFonts w:cs="Arial"/>
        </w:rPr>
        <w:t xml:space="preserve">En </w:t>
      </w:r>
      <w:r w:rsidR="000941DB" w:rsidRPr="00E6086A">
        <w:rPr>
          <w:rFonts w:cs="Arial"/>
        </w:rPr>
        <w:t xml:space="preserve">el mismo sentido </w:t>
      </w:r>
      <w:r w:rsidR="00075166" w:rsidRPr="00E6086A">
        <w:rPr>
          <w:rFonts w:cs="Arial"/>
        </w:rPr>
        <w:t xml:space="preserve">de la sentencia que citó el Tribunal </w:t>
      </w:r>
      <w:r w:rsidR="00075166" w:rsidRPr="00E6086A">
        <w:rPr>
          <w:rFonts w:cs="Arial"/>
          <w:i/>
        </w:rPr>
        <w:t>a quo</w:t>
      </w:r>
      <w:r w:rsidR="000941DB" w:rsidRPr="00E6086A">
        <w:rPr>
          <w:rFonts w:cs="Arial"/>
          <w:i/>
        </w:rPr>
        <w:t>,</w:t>
      </w:r>
      <w:r w:rsidR="00075166" w:rsidRPr="00E6086A">
        <w:rPr>
          <w:rFonts w:cs="Arial"/>
        </w:rPr>
        <w:t xml:space="preserve"> </w:t>
      </w:r>
      <w:r w:rsidR="000941DB" w:rsidRPr="00E6086A">
        <w:rPr>
          <w:rFonts w:cs="Arial"/>
        </w:rPr>
        <w:t xml:space="preserve">e incluso </w:t>
      </w:r>
      <w:r w:rsidR="00075166" w:rsidRPr="00E6086A">
        <w:rPr>
          <w:rFonts w:cs="Arial"/>
        </w:rPr>
        <w:t>con anterioridad a ella</w:t>
      </w:r>
      <w:r w:rsidRPr="00E6086A">
        <w:rPr>
          <w:rFonts w:cs="Arial"/>
        </w:rPr>
        <w:t xml:space="preserve">, el Consejo de Estado </w:t>
      </w:r>
      <w:r w:rsidR="00075166" w:rsidRPr="00E6086A">
        <w:rPr>
          <w:rFonts w:cs="Arial"/>
        </w:rPr>
        <w:t xml:space="preserve">había evidenciado </w:t>
      </w:r>
      <w:r w:rsidRPr="00E6086A">
        <w:rPr>
          <w:rFonts w:cs="Arial"/>
        </w:rPr>
        <w:t>la falsa motivación de</w:t>
      </w:r>
      <w:r w:rsidR="00892EF4" w:rsidRPr="00E6086A">
        <w:rPr>
          <w:rFonts w:cs="Arial"/>
        </w:rPr>
        <w:t xml:space="preserve"> los actos administrativos</w:t>
      </w:r>
      <w:r w:rsidRPr="00E6086A">
        <w:rPr>
          <w:rFonts w:cs="Arial"/>
        </w:rPr>
        <w:t xml:space="preserve"> c</w:t>
      </w:r>
      <w:r w:rsidR="00BB087B" w:rsidRPr="00E6086A">
        <w:rPr>
          <w:rFonts w:cs="Arial"/>
        </w:rPr>
        <w:t xml:space="preserve">uando el rechazo de las propuestas </w:t>
      </w:r>
      <w:r w:rsidR="00892EF4" w:rsidRPr="00E6086A">
        <w:rPr>
          <w:rFonts w:cs="Arial"/>
        </w:rPr>
        <w:t xml:space="preserve">se fundaba en </w:t>
      </w:r>
      <w:r w:rsidR="00BB087B" w:rsidRPr="00E6086A">
        <w:rPr>
          <w:rFonts w:cs="Arial"/>
        </w:rPr>
        <w:t>defectos en las póliza</w:t>
      </w:r>
      <w:r w:rsidR="000941DB" w:rsidRPr="00E6086A">
        <w:rPr>
          <w:rFonts w:cs="Arial"/>
        </w:rPr>
        <w:t>s</w:t>
      </w:r>
      <w:r w:rsidR="00BB087B" w:rsidRPr="00E6086A">
        <w:rPr>
          <w:rFonts w:cs="Arial"/>
        </w:rPr>
        <w:t xml:space="preserve"> de seriedad de la oferta </w:t>
      </w:r>
      <w:r w:rsidR="00892EF4" w:rsidRPr="00E6086A">
        <w:rPr>
          <w:rFonts w:cs="Arial"/>
        </w:rPr>
        <w:t>que se estimar</w:t>
      </w:r>
      <w:r w:rsidR="0051493E" w:rsidRPr="00E6086A">
        <w:rPr>
          <w:rFonts w:cs="Arial"/>
        </w:rPr>
        <w:t>on</w:t>
      </w:r>
      <w:r w:rsidR="00892EF4" w:rsidRPr="00E6086A">
        <w:rPr>
          <w:rFonts w:cs="Arial"/>
        </w:rPr>
        <w:t xml:space="preserve"> </w:t>
      </w:r>
      <w:r w:rsidRPr="00E6086A">
        <w:rPr>
          <w:rFonts w:cs="Arial"/>
        </w:rPr>
        <w:t>menores, inanes o meros formalismos</w:t>
      </w:r>
      <w:r w:rsidR="00BB087B" w:rsidRPr="00E6086A">
        <w:rPr>
          <w:rFonts w:cs="Arial"/>
        </w:rPr>
        <w:t>.</w:t>
      </w:r>
      <w:r w:rsidRPr="00E6086A">
        <w:rPr>
          <w:rFonts w:cs="Arial"/>
        </w:rPr>
        <w:t xml:space="preserve"> Un ejemplo de las consideraciones de la Corporación, siguiendo la </w:t>
      </w:r>
      <w:r w:rsidR="001C6714" w:rsidRPr="00E6086A">
        <w:rPr>
          <w:rFonts w:cs="Arial"/>
        </w:rPr>
        <w:t>orientación</w:t>
      </w:r>
      <w:r w:rsidRPr="00E6086A">
        <w:rPr>
          <w:rFonts w:cs="Arial"/>
        </w:rPr>
        <w:t xml:space="preserve"> jurisprudencial mencionada, es el siguiente: </w:t>
      </w:r>
    </w:p>
    <w:p w:rsidR="00E07835" w:rsidRPr="00E6086A" w:rsidRDefault="00E07835" w:rsidP="009D3798">
      <w:pPr>
        <w:rPr>
          <w:rFonts w:cs="Arial"/>
          <w:i/>
        </w:rPr>
      </w:pPr>
    </w:p>
    <w:p w:rsidR="00E07835" w:rsidRPr="00E6086A" w:rsidRDefault="00E07835" w:rsidP="009D3798">
      <w:pPr>
        <w:shd w:val="clear" w:color="auto" w:fill="FFFFFF"/>
        <w:spacing w:line="276" w:lineRule="auto"/>
        <w:rPr>
          <w:rFonts w:cs="Arial"/>
          <w:i/>
          <w:color w:val="000000"/>
        </w:rPr>
      </w:pPr>
      <w:r w:rsidRPr="00E6086A">
        <w:rPr>
          <w:rFonts w:cs="Arial"/>
          <w:i/>
          <w:color w:val="000000"/>
          <w:shd w:val="clear" w:color="auto" w:fill="FFFFFF"/>
        </w:rPr>
        <w:t>“La Administración puede rechazar las propuestas cuando éstas no reúnan las condiciones que se establecen en el pliego; en cambio, cuando se formulan las propuestas en consonancia con el pliego, surge para la administración la obligación de calificar cada una de ellas para hacerle producir el efecto jurídico deseado, que no es nada distinto a que en la adjudicación se cumpla con todo el proceso negocial de formalización del contrato”</w:t>
      </w:r>
      <w:r w:rsidRPr="00E6086A">
        <w:rPr>
          <w:rFonts w:cs="Arial"/>
          <w:b/>
          <w:i/>
          <w:color w:val="000000"/>
          <w:shd w:val="clear" w:color="auto" w:fill="FFFFFF"/>
        </w:rPr>
        <w:t>.</w:t>
      </w:r>
      <w:r w:rsidRPr="00E6086A">
        <w:rPr>
          <w:rFonts w:cs="Arial"/>
          <w:i/>
          <w:color w:val="000000"/>
          <w:shd w:val="clear" w:color="auto" w:fill="FFFFFF"/>
        </w:rPr>
        <w:t xml:space="preserve"> “Así, por ejemplo, no se podrá rechazar una propuesta por la omisión del oferente de cotizar el componente de un ítem, cuando en otros ítems se ha cotizado el mismo componente; o por no presentar el recibo de pago de la garantía  de seriedad de la oferta, cuando en la misma póliza consta expresamente su cancelación; o por no acompañar el recibo oficial de pago de los pliegos de condiciones, cuando esta información reposa en la misma entidad”.</w:t>
      </w:r>
    </w:p>
    <w:p w:rsidR="00E07835" w:rsidRPr="00E6086A" w:rsidRDefault="00E07835" w:rsidP="009D3798">
      <w:pPr>
        <w:shd w:val="clear" w:color="auto" w:fill="FFFFFF"/>
        <w:spacing w:line="276" w:lineRule="auto"/>
        <w:rPr>
          <w:rFonts w:cs="Arial"/>
          <w:i/>
          <w:color w:val="000000"/>
        </w:rPr>
      </w:pPr>
    </w:p>
    <w:p w:rsidR="00E07835" w:rsidRPr="00E6086A" w:rsidRDefault="00BB087B" w:rsidP="009D3798">
      <w:pPr>
        <w:shd w:val="clear" w:color="auto" w:fill="FFFFFF"/>
        <w:spacing w:line="276" w:lineRule="auto"/>
        <w:rPr>
          <w:rFonts w:cs="Arial"/>
          <w:i/>
          <w:color w:val="000000"/>
        </w:rPr>
      </w:pPr>
      <w:r w:rsidRPr="00E6086A">
        <w:rPr>
          <w:rFonts w:cs="Arial"/>
          <w:i/>
          <w:color w:val="000000"/>
        </w:rPr>
        <w:t>“</w:t>
      </w:r>
      <w:r w:rsidR="00E07835" w:rsidRPr="00E6086A">
        <w:rPr>
          <w:rFonts w:cs="Arial"/>
          <w:i/>
          <w:color w:val="000000"/>
        </w:rPr>
        <w:t>(…)</w:t>
      </w:r>
      <w:r w:rsidR="00892EF4" w:rsidRPr="00E6086A">
        <w:rPr>
          <w:rFonts w:cs="Arial"/>
          <w:i/>
          <w:color w:val="000000"/>
        </w:rPr>
        <w:t>.</w:t>
      </w:r>
      <w:r w:rsidR="00E07835" w:rsidRPr="00E6086A">
        <w:rPr>
          <w:rFonts w:cs="Arial"/>
          <w:i/>
          <w:color w:val="000000"/>
        </w:rPr>
        <w:t xml:space="preserve"> </w:t>
      </w:r>
    </w:p>
    <w:p w:rsidR="00E07835" w:rsidRPr="00E6086A" w:rsidRDefault="00E07835" w:rsidP="009D3798">
      <w:pPr>
        <w:shd w:val="clear" w:color="auto" w:fill="FFFFFF"/>
        <w:spacing w:line="276" w:lineRule="auto"/>
        <w:rPr>
          <w:rFonts w:cs="Arial"/>
          <w:i/>
          <w:color w:val="000000"/>
        </w:rPr>
      </w:pPr>
    </w:p>
    <w:p w:rsidR="00E07835" w:rsidRPr="00E6086A" w:rsidRDefault="00BB087B" w:rsidP="009D3798">
      <w:pPr>
        <w:shd w:val="clear" w:color="auto" w:fill="FFFFFF"/>
        <w:spacing w:line="276" w:lineRule="auto"/>
        <w:rPr>
          <w:rFonts w:cs="Arial"/>
          <w:color w:val="000000"/>
        </w:rPr>
      </w:pPr>
      <w:r w:rsidRPr="00E6086A">
        <w:rPr>
          <w:rFonts w:cs="Arial"/>
          <w:i/>
          <w:color w:val="000000"/>
        </w:rPr>
        <w:t>“</w:t>
      </w:r>
      <w:r w:rsidR="00E07835" w:rsidRPr="00E6086A">
        <w:rPr>
          <w:rFonts w:cs="Arial"/>
          <w:b/>
          <w:i/>
          <w:color w:val="000000"/>
        </w:rPr>
        <w:t>En la falsa motivación de hecho deberá siempre tenerse en cuenta que si cualquiera de los hechos adecuados que adujo la Administración para adoptar una decisión no es contraprobado, en sede judicial, el acto acusado permanece incólume, porque ese hecho se convierte en pilar del acto administrativo.</w:t>
      </w:r>
      <w:r w:rsidR="00E07835" w:rsidRPr="00E6086A">
        <w:rPr>
          <w:rFonts w:cs="Arial"/>
          <w:i/>
          <w:color w:val="000000"/>
        </w:rPr>
        <w:t xml:space="preserve"> Por ello cuando los motivos de hecho son eficientes en la expedición del acto administrativo y este es atacado judicialmente, se requiere enervar la presunción de veracidad respecto de cada uno de ellos; si no ocurre así el acto no se podrá anular porque cualquiera de los hechos así indicados y no quebrados, se presume, da lugar a la decisión. Por consiguiente como el actor, en este caso, no demostró que todas las situaciones omisivas atribuidas por la Administración a su oferta que dieron lugar, en forma adecuada, al rechazo de la misma no fueron desvirtuadas no hay lugar a declarar la nulidad del acto acusado”</w:t>
      </w:r>
      <w:r w:rsidR="00E07835" w:rsidRPr="00E6086A">
        <w:rPr>
          <w:rStyle w:val="Refdenotaalpie"/>
          <w:rFonts w:cs="Arial"/>
          <w:i/>
          <w:color w:val="000000"/>
          <w:shd w:val="clear" w:color="auto" w:fill="FFFFFF"/>
        </w:rPr>
        <w:t xml:space="preserve"> </w:t>
      </w:r>
      <w:r w:rsidR="00E07835" w:rsidRPr="00E6086A">
        <w:rPr>
          <w:rStyle w:val="Refdenotaalpie"/>
          <w:rFonts w:cs="Arial"/>
          <w:i/>
          <w:color w:val="000000"/>
          <w:shd w:val="clear" w:color="auto" w:fill="FFFFFF"/>
        </w:rPr>
        <w:footnoteReference w:id="41"/>
      </w:r>
      <w:r w:rsidR="00E07835" w:rsidRPr="00E6086A">
        <w:rPr>
          <w:rFonts w:cs="Arial"/>
          <w:b/>
          <w:i/>
          <w:color w:val="000000"/>
        </w:rPr>
        <w:t xml:space="preserve"> </w:t>
      </w:r>
      <w:r w:rsidR="00E07835" w:rsidRPr="00E6086A">
        <w:rPr>
          <w:rFonts w:cs="Arial"/>
          <w:color w:val="000000"/>
        </w:rPr>
        <w:t>(</w:t>
      </w:r>
      <w:r w:rsidR="001C6714" w:rsidRPr="00E6086A">
        <w:rPr>
          <w:rFonts w:cs="Arial"/>
          <w:color w:val="000000"/>
        </w:rPr>
        <w:t>s</w:t>
      </w:r>
      <w:r w:rsidR="00E07835" w:rsidRPr="00E6086A">
        <w:rPr>
          <w:rFonts w:cs="Arial"/>
          <w:color w:val="000000"/>
        </w:rPr>
        <w:t>e resalta para los propósitos de este análisis).</w:t>
      </w:r>
    </w:p>
    <w:p w:rsidR="00E07835" w:rsidRPr="00E6086A" w:rsidRDefault="00E07835" w:rsidP="009D3798">
      <w:pPr>
        <w:spacing w:line="276" w:lineRule="auto"/>
        <w:rPr>
          <w:rFonts w:cs="Arial"/>
          <w:i/>
        </w:rPr>
      </w:pPr>
    </w:p>
    <w:p w:rsidR="00E07835" w:rsidRPr="00E6086A" w:rsidRDefault="00E07835" w:rsidP="009D3798">
      <w:pPr>
        <w:rPr>
          <w:rFonts w:cs="Arial"/>
        </w:rPr>
      </w:pPr>
      <w:r w:rsidRPr="00E6086A">
        <w:rPr>
          <w:rFonts w:cs="Arial"/>
        </w:rPr>
        <w:t xml:space="preserve">Similar argumentación </w:t>
      </w:r>
      <w:r w:rsidR="00075166" w:rsidRPr="00E6086A">
        <w:rPr>
          <w:rFonts w:cs="Arial"/>
        </w:rPr>
        <w:t xml:space="preserve">ha reiterado </w:t>
      </w:r>
      <w:r w:rsidRPr="00E6086A">
        <w:rPr>
          <w:rFonts w:cs="Arial"/>
        </w:rPr>
        <w:t xml:space="preserve">la jurisprudencia de esta </w:t>
      </w:r>
      <w:r w:rsidR="00075166" w:rsidRPr="00E6086A">
        <w:rPr>
          <w:rFonts w:cs="Arial"/>
        </w:rPr>
        <w:t>Subsección</w:t>
      </w:r>
      <w:r w:rsidR="00892EF4" w:rsidRPr="00E6086A">
        <w:rPr>
          <w:rFonts w:cs="Arial"/>
        </w:rPr>
        <w:t xml:space="preserve"> A</w:t>
      </w:r>
      <w:r w:rsidRPr="00E6086A">
        <w:rPr>
          <w:rFonts w:cs="Arial"/>
        </w:rPr>
        <w:t>, entrando en el análisis de los procedimientos de licitación adelantados en vigencia de la Ley 80 de 1993,</w:t>
      </w:r>
      <w:r w:rsidR="00BB087B" w:rsidRPr="00E6086A">
        <w:rPr>
          <w:rFonts w:cs="Arial"/>
        </w:rPr>
        <w:t xml:space="preserve"> </w:t>
      </w:r>
      <w:r w:rsidRPr="00E6086A">
        <w:rPr>
          <w:rFonts w:cs="Arial"/>
        </w:rPr>
        <w:t xml:space="preserve">por ejemplo, </w:t>
      </w:r>
      <w:r w:rsidR="00075166" w:rsidRPr="00E6086A">
        <w:rPr>
          <w:rFonts w:cs="Arial"/>
        </w:rPr>
        <w:t xml:space="preserve">en el proveído en que se </w:t>
      </w:r>
      <w:r w:rsidRPr="00E6086A">
        <w:rPr>
          <w:rFonts w:cs="Arial"/>
        </w:rPr>
        <w:t>declaró la nulidad del acto mediante el cual se adjudicó una licitación pública por encontrar demostrado, en ese evento particular, que la propuesta del demandante fue descalificada con fundamento en un requerimiento meramente instrumental</w:t>
      </w:r>
      <w:r w:rsidRPr="00E6086A">
        <w:rPr>
          <w:rStyle w:val="Refdenotaalpie"/>
          <w:rFonts w:cs="Arial"/>
        </w:rPr>
        <w:footnoteReference w:id="42"/>
      </w:r>
      <w:r w:rsidRPr="00E6086A">
        <w:rPr>
          <w:rFonts w:cs="Arial"/>
        </w:rPr>
        <w:t xml:space="preserve">, no obstante lo cual </w:t>
      </w:r>
      <w:r w:rsidR="00892EF4" w:rsidRPr="00E6086A">
        <w:rPr>
          <w:rFonts w:cs="Arial"/>
        </w:rPr>
        <w:t xml:space="preserve">se </w:t>
      </w:r>
      <w:r w:rsidRPr="00E6086A">
        <w:rPr>
          <w:rFonts w:cs="Arial"/>
        </w:rPr>
        <w:t xml:space="preserve">recordó la obligatoriedad del pliego como regla general de la licitación: </w:t>
      </w:r>
    </w:p>
    <w:p w:rsidR="00E07835" w:rsidRPr="00E6086A" w:rsidRDefault="00E07835" w:rsidP="009D3798">
      <w:pPr>
        <w:rPr>
          <w:rFonts w:cs="Arial"/>
          <w:i/>
        </w:rPr>
      </w:pPr>
    </w:p>
    <w:p w:rsidR="00E07835" w:rsidRPr="00E6086A" w:rsidRDefault="00E07835" w:rsidP="009D3798">
      <w:pPr>
        <w:spacing w:line="276" w:lineRule="auto"/>
        <w:rPr>
          <w:rFonts w:cs="Arial"/>
        </w:rPr>
      </w:pPr>
      <w:r w:rsidRPr="00E6086A">
        <w:rPr>
          <w:rFonts w:cs="Arial"/>
          <w:i/>
        </w:rPr>
        <w:t xml:space="preserve">“En esta línea de pensamiento, resulta claro que el rechazo o la descalificación de ofertas no puede depender de la libre discrecionalidad de la administración, en la medida en que el oferente, por el hecho de participar en el proceso licitatorio,  adquiere el derecho de participar en el procedimiento de selección y se genera para él una situación jurídica particular; en consecuencia, para rechazar o descalificar una propuesta, </w:t>
      </w:r>
      <w:r w:rsidRPr="00E6086A">
        <w:rPr>
          <w:rFonts w:cs="Arial"/>
          <w:b/>
          <w:i/>
        </w:rPr>
        <w:t>la entidad pública debe sujetarse a determinadas reglas consistentes en que las causales que dan lugar a ello se encuentren previamente establecidas en la ley, deriven del incumplimiento de requisitos de la propuesta o de la omisión de documentos referentes a la futura contratación que sean necesarios para la comparación de las propuestas, de conformidad con lo establecido en el numeral 15 del artículo 25 de la Ley 80 de 1993, puesto que la causa excluyente debe ser razonable, esencial y proporcionada,</w:t>
      </w:r>
      <w:r w:rsidRPr="00E6086A">
        <w:rPr>
          <w:rFonts w:cs="Arial"/>
          <w:i/>
        </w:rPr>
        <w:t xml:space="preserve"> toda vez que no tendría justificación excluir una propuesta por una deficiencia que no tenga incidencia alguna en la contratación” </w:t>
      </w:r>
      <w:r w:rsidRPr="00E6086A">
        <w:rPr>
          <w:rStyle w:val="Refdenotaalpie"/>
          <w:rFonts w:cs="Arial"/>
          <w:i/>
        </w:rPr>
        <w:footnoteReference w:id="43"/>
      </w:r>
      <w:r w:rsidRPr="00E6086A">
        <w:rPr>
          <w:rFonts w:cs="Arial"/>
          <w:i/>
        </w:rPr>
        <w:t xml:space="preserve"> </w:t>
      </w:r>
      <w:r w:rsidRPr="00E6086A">
        <w:rPr>
          <w:rFonts w:cs="Arial"/>
        </w:rPr>
        <w:t>(</w:t>
      </w:r>
      <w:r w:rsidR="001C6714" w:rsidRPr="00E6086A">
        <w:rPr>
          <w:rFonts w:cs="Arial"/>
        </w:rPr>
        <w:t>l</w:t>
      </w:r>
      <w:r w:rsidRPr="00E6086A">
        <w:rPr>
          <w:rFonts w:cs="Arial"/>
        </w:rPr>
        <w:t>a negrilla no es del texto).</w:t>
      </w:r>
    </w:p>
    <w:p w:rsidR="00E07835" w:rsidRPr="00E6086A" w:rsidRDefault="00E07835" w:rsidP="009D3798">
      <w:pPr>
        <w:pStyle w:val="Encabezado"/>
        <w:tabs>
          <w:tab w:val="clear" w:pos="4419"/>
          <w:tab w:val="clear" w:pos="8838"/>
          <w:tab w:val="right" w:pos="567"/>
        </w:tabs>
        <w:rPr>
          <w:rFonts w:cs="Arial"/>
          <w:szCs w:val="24"/>
        </w:rPr>
      </w:pPr>
    </w:p>
    <w:p w:rsidR="00AE7675" w:rsidRPr="00E6086A" w:rsidRDefault="00AE7675" w:rsidP="009D3798">
      <w:pPr>
        <w:pStyle w:val="Encabezado"/>
        <w:tabs>
          <w:tab w:val="clear" w:pos="4419"/>
          <w:tab w:val="clear" w:pos="8838"/>
          <w:tab w:val="right" w:pos="567"/>
        </w:tabs>
        <w:rPr>
          <w:rFonts w:cs="Arial"/>
          <w:szCs w:val="24"/>
        </w:rPr>
      </w:pPr>
      <w:r w:rsidRPr="00E6086A">
        <w:rPr>
          <w:rFonts w:cs="Arial"/>
          <w:szCs w:val="24"/>
        </w:rPr>
        <w:t>Como consecuencia, la cita de la sentencia del Consejo de Estado era pertinente, en cuanto reafirmaba el mismo principio que el municipio de Medellín había aplicado años antes en el acto administrativo cuestionado en este proceso.</w:t>
      </w:r>
    </w:p>
    <w:p w:rsidR="0051493E" w:rsidRPr="00E6086A" w:rsidRDefault="0051493E" w:rsidP="009D3798">
      <w:pPr>
        <w:pStyle w:val="Encabezado"/>
        <w:tabs>
          <w:tab w:val="clear" w:pos="4419"/>
          <w:tab w:val="clear" w:pos="8838"/>
          <w:tab w:val="right" w:pos="567"/>
        </w:tabs>
        <w:rPr>
          <w:rFonts w:cs="Arial"/>
          <w:szCs w:val="24"/>
        </w:rPr>
      </w:pPr>
    </w:p>
    <w:p w:rsidR="00A204D6" w:rsidRPr="00E6086A" w:rsidRDefault="00CA4483" w:rsidP="009D3798">
      <w:pPr>
        <w:pStyle w:val="Encabezado"/>
        <w:tabs>
          <w:tab w:val="clear" w:pos="4419"/>
          <w:tab w:val="clear" w:pos="8838"/>
          <w:tab w:val="right" w:pos="567"/>
        </w:tabs>
        <w:rPr>
          <w:rFonts w:cs="Arial"/>
          <w:szCs w:val="24"/>
        </w:rPr>
      </w:pPr>
      <w:r w:rsidRPr="00E6086A">
        <w:rPr>
          <w:rFonts w:cs="Arial"/>
          <w:szCs w:val="24"/>
        </w:rPr>
        <w:t xml:space="preserve">Es de la mayor importancia </w:t>
      </w:r>
      <w:r w:rsidR="00DA0C0E" w:rsidRPr="00E6086A">
        <w:rPr>
          <w:rFonts w:cs="Arial"/>
          <w:szCs w:val="24"/>
        </w:rPr>
        <w:t xml:space="preserve">resaltar </w:t>
      </w:r>
      <w:r w:rsidRPr="00E6086A">
        <w:rPr>
          <w:rFonts w:cs="Arial"/>
          <w:szCs w:val="24"/>
        </w:rPr>
        <w:t xml:space="preserve">que </w:t>
      </w:r>
      <w:r w:rsidR="000C29CA" w:rsidRPr="00E6086A">
        <w:rPr>
          <w:rFonts w:cs="Arial"/>
          <w:szCs w:val="24"/>
        </w:rPr>
        <w:t xml:space="preserve">en el caso concreto </w:t>
      </w:r>
      <w:r w:rsidRPr="00E6086A">
        <w:rPr>
          <w:rFonts w:cs="Arial"/>
          <w:szCs w:val="24"/>
        </w:rPr>
        <w:t xml:space="preserve">era improcedente </w:t>
      </w:r>
      <w:r w:rsidR="00A204D6" w:rsidRPr="00E6086A">
        <w:rPr>
          <w:rFonts w:cs="Arial"/>
          <w:szCs w:val="24"/>
        </w:rPr>
        <w:t xml:space="preserve">el rechazo de la propuesta que adolecía de un menor valor en la póliza de garantía allegada, </w:t>
      </w:r>
      <w:r w:rsidRPr="00E6086A">
        <w:rPr>
          <w:rFonts w:cs="Arial"/>
          <w:szCs w:val="24"/>
        </w:rPr>
        <w:t>de acuerdo con el numeral 15 del artículo 25 de la Ley 80 de 1993</w:t>
      </w:r>
      <w:r w:rsidR="00A204D6" w:rsidRPr="00E6086A">
        <w:rPr>
          <w:rFonts w:cs="Arial"/>
          <w:szCs w:val="24"/>
        </w:rPr>
        <w:t xml:space="preserve">, cuyo tenor: </w:t>
      </w:r>
    </w:p>
    <w:p w:rsidR="00A204D6" w:rsidRPr="00E6086A" w:rsidRDefault="00A204D6" w:rsidP="009D3798">
      <w:pPr>
        <w:pStyle w:val="NormalWeb"/>
        <w:tabs>
          <w:tab w:val="left" w:pos="7797"/>
        </w:tabs>
        <w:spacing w:before="0" w:beforeAutospacing="0" w:after="0" w:afterAutospacing="0" w:line="276" w:lineRule="auto"/>
        <w:rPr>
          <w:rFonts w:cs="Arial"/>
          <w:i/>
          <w:color w:val="000000"/>
          <w:shd w:val="clear" w:color="auto" w:fill="FFFFFF"/>
        </w:rPr>
      </w:pPr>
      <w:r w:rsidRPr="00E6086A">
        <w:rPr>
          <w:rFonts w:cs="Arial"/>
          <w:i/>
          <w:color w:val="000000"/>
          <w:shd w:val="clear" w:color="auto" w:fill="FFFFFF"/>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rsidR="00A204D6" w:rsidRPr="00E6086A" w:rsidRDefault="00A204D6" w:rsidP="009D3798">
      <w:pPr>
        <w:pStyle w:val="NormalWeb"/>
        <w:shd w:val="clear" w:color="auto" w:fill="FFFFFF"/>
        <w:tabs>
          <w:tab w:val="left" w:pos="7797"/>
        </w:tabs>
        <w:spacing w:before="0" w:beforeAutospacing="0" w:after="0" w:afterAutospacing="0" w:line="276" w:lineRule="auto"/>
        <w:rPr>
          <w:rFonts w:cs="Arial"/>
          <w:i/>
          <w:color w:val="000000"/>
        </w:rPr>
      </w:pPr>
      <w:r w:rsidRPr="00E6086A">
        <w:rPr>
          <w:rFonts w:cs="Arial"/>
          <w:i/>
          <w:color w:val="000000"/>
        </w:rPr>
        <w:t>“La ausencia de requisitos o la falta de documentos referentes a la futura contratación o al proponente, no necesarios para la comparación de propuestas, no servirá de título suficiente para el rechazo de los ofrecimientos hechos</w:t>
      </w:r>
      <w:r w:rsidR="00DA0C0E" w:rsidRPr="00E6086A">
        <w:rPr>
          <w:rFonts w:cs="Arial"/>
          <w:i/>
          <w:color w:val="000000"/>
        </w:rPr>
        <w:t>”</w:t>
      </w:r>
      <w:r w:rsidRPr="00E6086A">
        <w:rPr>
          <w:rFonts w:cs="Arial"/>
          <w:i/>
          <w:color w:val="000000"/>
        </w:rPr>
        <w:t>.</w:t>
      </w:r>
    </w:p>
    <w:p w:rsidR="00A204D6" w:rsidRPr="00E6086A" w:rsidRDefault="00A204D6" w:rsidP="009D3798">
      <w:pPr>
        <w:pStyle w:val="Encabezado"/>
        <w:tabs>
          <w:tab w:val="clear" w:pos="4419"/>
          <w:tab w:val="clear" w:pos="8838"/>
          <w:tab w:val="right" w:pos="567"/>
        </w:tabs>
        <w:rPr>
          <w:rFonts w:cs="Arial"/>
          <w:b/>
          <w:szCs w:val="24"/>
        </w:rPr>
      </w:pPr>
    </w:p>
    <w:p w:rsidR="0051493E" w:rsidRPr="00E6086A" w:rsidRDefault="00590F93" w:rsidP="009D3798">
      <w:pPr>
        <w:pStyle w:val="Encabezado"/>
        <w:tabs>
          <w:tab w:val="clear" w:pos="4419"/>
          <w:tab w:val="clear" w:pos="8838"/>
          <w:tab w:val="right" w:pos="567"/>
        </w:tabs>
        <w:rPr>
          <w:rFonts w:cs="Arial"/>
          <w:szCs w:val="24"/>
        </w:rPr>
      </w:pPr>
      <w:r w:rsidRPr="00E6086A">
        <w:rPr>
          <w:rFonts w:cs="Arial"/>
          <w:b/>
          <w:szCs w:val="24"/>
        </w:rPr>
        <w:t>6.</w:t>
      </w:r>
      <w:r w:rsidR="0051493E" w:rsidRPr="00E6086A">
        <w:rPr>
          <w:rFonts w:cs="Arial"/>
          <w:b/>
          <w:szCs w:val="24"/>
        </w:rPr>
        <w:t>4</w:t>
      </w:r>
      <w:r w:rsidRPr="00E6086A">
        <w:rPr>
          <w:rFonts w:cs="Arial"/>
          <w:b/>
          <w:szCs w:val="24"/>
        </w:rPr>
        <w:t>.</w:t>
      </w:r>
      <w:r w:rsidRPr="00E6086A">
        <w:rPr>
          <w:rFonts w:cs="Arial"/>
          <w:szCs w:val="24"/>
        </w:rPr>
        <w:t xml:space="preserve"> </w:t>
      </w:r>
      <w:r w:rsidRPr="00E6086A">
        <w:rPr>
          <w:rFonts w:cs="Arial"/>
          <w:b/>
          <w:szCs w:val="24"/>
        </w:rPr>
        <w:t>No se tipificó una adjudicación a favor de quien había presentado la póliza por menor valor</w:t>
      </w:r>
      <w:r w:rsidRPr="00E6086A">
        <w:rPr>
          <w:rFonts w:cs="Arial"/>
          <w:szCs w:val="24"/>
        </w:rPr>
        <w:t xml:space="preserve">. Es importante </w:t>
      </w:r>
      <w:r w:rsidR="00B54E46" w:rsidRPr="00E6086A">
        <w:rPr>
          <w:rFonts w:cs="Arial"/>
          <w:szCs w:val="24"/>
        </w:rPr>
        <w:t xml:space="preserve">observar que </w:t>
      </w:r>
      <w:r w:rsidR="00B257B3" w:rsidRPr="00E6086A">
        <w:rPr>
          <w:rFonts w:cs="Arial"/>
          <w:szCs w:val="24"/>
        </w:rPr>
        <w:t xml:space="preserve">en el proceso se demostró que el consorcio adjudicatario </w:t>
      </w:r>
      <w:r w:rsidR="00EB3AE3" w:rsidRPr="00E6086A">
        <w:rPr>
          <w:rFonts w:cs="Arial"/>
          <w:szCs w:val="24"/>
        </w:rPr>
        <w:t xml:space="preserve">había presentado su garantía </w:t>
      </w:r>
      <w:r w:rsidR="00A0514B" w:rsidRPr="00E6086A">
        <w:rPr>
          <w:rFonts w:cs="Arial"/>
          <w:szCs w:val="24"/>
        </w:rPr>
        <w:t xml:space="preserve">de seriedad de la oferta </w:t>
      </w:r>
      <w:r w:rsidR="00EB3AE3" w:rsidRPr="00E6086A">
        <w:rPr>
          <w:rFonts w:cs="Arial"/>
          <w:szCs w:val="24"/>
        </w:rPr>
        <w:t xml:space="preserve">en debida forma, por el valor establecido en el pliego de </w:t>
      </w:r>
      <w:r w:rsidR="00D97578" w:rsidRPr="00E6086A">
        <w:rPr>
          <w:rFonts w:cs="Arial"/>
          <w:szCs w:val="24"/>
        </w:rPr>
        <w:t>condiciones</w:t>
      </w:r>
      <w:r w:rsidR="00A0514B" w:rsidRPr="00E6086A">
        <w:rPr>
          <w:rFonts w:cs="Arial"/>
          <w:szCs w:val="24"/>
        </w:rPr>
        <w:t xml:space="preserve">. Por ello, </w:t>
      </w:r>
      <w:r w:rsidR="00D97578" w:rsidRPr="00E6086A">
        <w:rPr>
          <w:rFonts w:cs="Arial"/>
          <w:szCs w:val="24"/>
        </w:rPr>
        <w:t>no se puede afirmar que la sentencia de primera instancia ignoró el requisito de la garantía de seriedad de la oferta</w:t>
      </w:r>
      <w:r w:rsidR="009F555A" w:rsidRPr="00E6086A">
        <w:rPr>
          <w:rFonts w:cs="Arial"/>
          <w:szCs w:val="24"/>
        </w:rPr>
        <w:t>, con el cual se protege el patrimonio público</w:t>
      </w:r>
      <w:r w:rsidR="0051493E" w:rsidRPr="00E6086A">
        <w:rPr>
          <w:rFonts w:cs="Arial"/>
          <w:szCs w:val="24"/>
        </w:rPr>
        <w:t xml:space="preserve">, ni que se dejó en descubierto el posible cobro de la garantía en los términos de la </w:t>
      </w:r>
      <w:r w:rsidR="001C6714" w:rsidRPr="00E6086A">
        <w:rPr>
          <w:rFonts w:cs="Arial"/>
          <w:szCs w:val="24"/>
        </w:rPr>
        <w:t>L</w:t>
      </w:r>
      <w:r w:rsidR="0051493E" w:rsidRPr="00E6086A">
        <w:rPr>
          <w:rFonts w:cs="Arial"/>
          <w:szCs w:val="24"/>
        </w:rPr>
        <w:t xml:space="preserve">ey 80 de 1993. </w:t>
      </w:r>
    </w:p>
    <w:p w:rsidR="001C6714" w:rsidRPr="00E6086A" w:rsidRDefault="001C6714" w:rsidP="009D3798">
      <w:pPr>
        <w:pStyle w:val="Encabezado"/>
        <w:tabs>
          <w:tab w:val="clear" w:pos="4419"/>
          <w:tab w:val="clear" w:pos="8838"/>
          <w:tab w:val="right" w:pos="567"/>
        </w:tabs>
        <w:rPr>
          <w:rFonts w:cs="Arial"/>
          <w:szCs w:val="24"/>
        </w:rPr>
      </w:pPr>
    </w:p>
    <w:p w:rsidR="00E52198" w:rsidRPr="00E6086A" w:rsidRDefault="003C72C8" w:rsidP="009D3798">
      <w:pPr>
        <w:pStyle w:val="Encabezado"/>
        <w:tabs>
          <w:tab w:val="clear" w:pos="4419"/>
          <w:tab w:val="clear" w:pos="8838"/>
          <w:tab w:val="right" w:pos="567"/>
        </w:tabs>
        <w:spacing w:line="240" w:lineRule="auto"/>
        <w:rPr>
          <w:rFonts w:cs="Arial"/>
          <w:b/>
          <w:szCs w:val="24"/>
        </w:rPr>
      </w:pPr>
      <w:r w:rsidRPr="00E6086A">
        <w:rPr>
          <w:rFonts w:cs="Arial"/>
          <w:b/>
          <w:szCs w:val="24"/>
        </w:rPr>
        <w:t>6.</w:t>
      </w:r>
      <w:r w:rsidR="001C6714" w:rsidRPr="00E6086A">
        <w:rPr>
          <w:rFonts w:cs="Arial"/>
          <w:b/>
          <w:szCs w:val="24"/>
        </w:rPr>
        <w:t>5</w:t>
      </w:r>
      <w:r w:rsidRPr="00E6086A">
        <w:rPr>
          <w:rFonts w:cs="Arial"/>
          <w:b/>
          <w:szCs w:val="24"/>
        </w:rPr>
        <w:t>.</w:t>
      </w:r>
      <w:r w:rsidR="00E52198" w:rsidRPr="00E6086A">
        <w:rPr>
          <w:rFonts w:cs="Arial"/>
          <w:b/>
          <w:szCs w:val="24"/>
        </w:rPr>
        <w:t xml:space="preserve"> Análisis del </w:t>
      </w:r>
      <w:r w:rsidR="0051493E" w:rsidRPr="00E6086A">
        <w:rPr>
          <w:rFonts w:cs="Arial"/>
          <w:b/>
          <w:szCs w:val="24"/>
        </w:rPr>
        <w:t xml:space="preserve">argumento relacionado con el supuesto desconocimiento del acto propio </w:t>
      </w:r>
    </w:p>
    <w:p w:rsidR="00E52198" w:rsidRPr="00E6086A" w:rsidRDefault="00E52198" w:rsidP="009D3798">
      <w:pPr>
        <w:pStyle w:val="Encabezado"/>
        <w:tabs>
          <w:tab w:val="clear" w:pos="4419"/>
          <w:tab w:val="clear" w:pos="8838"/>
          <w:tab w:val="right" w:pos="567"/>
        </w:tabs>
        <w:rPr>
          <w:rFonts w:cs="Arial"/>
          <w:i/>
          <w:szCs w:val="24"/>
        </w:rPr>
      </w:pPr>
    </w:p>
    <w:p w:rsidR="007D0A47" w:rsidRPr="00E6086A" w:rsidRDefault="00FE0EAC" w:rsidP="009D3798">
      <w:pPr>
        <w:pStyle w:val="Encabezado"/>
        <w:tabs>
          <w:tab w:val="clear" w:pos="4419"/>
          <w:tab w:val="clear" w:pos="8838"/>
          <w:tab w:val="right" w:pos="567"/>
        </w:tabs>
        <w:rPr>
          <w:rFonts w:cs="Arial"/>
          <w:szCs w:val="24"/>
        </w:rPr>
      </w:pPr>
      <w:r w:rsidRPr="00E6086A">
        <w:rPr>
          <w:rFonts w:cs="Arial"/>
          <w:szCs w:val="24"/>
        </w:rPr>
        <w:t>En este acápite, e</w:t>
      </w:r>
      <w:r w:rsidR="0051493E" w:rsidRPr="00E6086A">
        <w:rPr>
          <w:rFonts w:cs="Arial"/>
          <w:szCs w:val="24"/>
        </w:rPr>
        <w:t xml:space="preserve">l </w:t>
      </w:r>
      <w:r w:rsidR="0051493E" w:rsidRPr="00E6086A">
        <w:rPr>
          <w:rFonts w:cs="Arial"/>
          <w:b/>
          <w:szCs w:val="24"/>
        </w:rPr>
        <w:t>problema jurídico</w:t>
      </w:r>
      <w:r w:rsidR="0051493E" w:rsidRPr="00E6086A">
        <w:rPr>
          <w:rFonts w:cs="Arial"/>
          <w:szCs w:val="24"/>
        </w:rPr>
        <w:t xml:space="preserve"> consiste en determinar si </w:t>
      </w:r>
      <w:r w:rsidR="004D72AD" w:rsidRPr="00E6086A">
        <w:rPr>
          <w:rFonts w:cs="Arial"/>
          <w:szCs w:val="24"/>
        </w:rPr>
        <w:t xml:space="preserve">se configuró la </w:t>
      </w:r>
      <w:r w:rsidR="0051493E" w:rsidRPr="00E6086A">
        <w:rPr>
          <w:rFonts w:cs="Arial"/>
          <w:szCs w:val="24"/>
        </w:rPr>
        <w:t xml:space="preserve">delegación de </w:t>
      </w:r>
      <w:r w:rsidR="004D72AD" w:rsidRPr="00E6086A">
        <w:rPr>
          <w:rFonts w:cs="Arial"/>
          <w:szCs w:val="24"/>
        </w:rPr>
        <w:t xml:space="preserve">una </w:t>
      </w:r>
      <w:r w:rsidR="0051493E" w:rsidRPr="00E6086A">
        <w:rPr>
          <w:rFonts w:cs="Arial"/>
          <w:szCs w:val="24"/>
        </w:rPr>
        <w:t xml:space="preserve">función </w:t>
      </w:r>
      <w:r w:rsidR="004D72AD" w:rsidRPr="00E6086A">
        <w:rPr>
          <w:rFonts w:cs="Arial"/>
          <w:szCs w:val="24"/>
        </w:rPr>
        <w:t xml:space="preserve">relacionada con la contratación del municipio de Medellín que se hubiera trasladado al </w:t>
      </w:r>
      <w:r w:rsidR="0051493E" w:rsidRPr="00E6086A">
        <w:rPr>
          <w:rFonts w:cs="Arial"/>
          <w:szCs w:val="24"/>
        </w:rPr>
        <w:t>INVAL y</w:t>
      </w:r>
      <w:r w:rsidR="004D72AD" w:rsidRPr="00E6086A">
        <w:rPr>
          <w:rFonts w:cs="Arial"/>
          <w:szCs w:val="24"/>
        </w:rPr>
        <w:t>,</w:t>
      </w:r>
      <w:r w:rsidR="0051493E" w:rsidRPr="00E6086A">
        <w:rPr>
          <w:rFonts w:cs="Arial"/>
          <w:szCs w:val="24"/>
        </w:rPr>
        <w:t xml:space="preserve"> sobre esa base</w:t>
      </w:r>
      <w:r w:rsidR="00FD2F77" w:rsidRPr="00E6086A">
        <w:rPr>
          <w:rFonts w:cs="Arial"/>
          <w:szCs w:val="24"/>
        </w:rPr>
        <w:t xml:space="preserve">, </w:t>
      </w:r>
      <w:r w:rsidR="004D72AD" w:rsidRPr="00E6086A">
        <w:rPr>
          <w:rFonts w:cs="Arial"/>
          <w:szCs w:val="24"/>
        </w:rPr>
        <w:t xml:space="preserve">evaluar </w:t>
      </w:r>
      <w:r w:rsidR="0051493E" w:rsidRPr="00E6086A">
        <w:rPr>
          <w:rFonts w:cs="Arial"/>
          <w:szCs w:val="24"/>
        </w:rPr>
        <w:t>s</w:t>
      </w:r>
      <w:r w:rsidR="00936186" w:rsidRPr="00E6086A">
        <w:rPr>
          <w:rFonts w:cs="Arial"/>
          <w:szCs w:val="24"/>
        </w:rPr>
        <w:t xml:space="preserve">i se desconoció </w:t>
      </w:r>
      <w:r w:rsidR="004D72AD" w:rsidRPr="00E6086A">
        <w:rPr>
          <w:rFonts w:cs="Arial"/>
          <w:szCs w:val="24"/>
        </w:rPr>
        <w:t>o no un</w:t>
      </w:r>
      <w:r w:rsidR="00936186" w:rsidRPr="00E6086A">
        <w:rPr>
          <w:rFonts w:cs="Arial"/>
          <w:szCs w:val="24"/>
        </w:rPr>
        <w:t xml:space="preserve"> acto propio </w:t>
      </w:r>
      <w:r w:rsidR="004D72AD" w:rsidRPr="00E6086A">
        <w:rPr>
          <w:rFonts w:cs="Arial"/>
          <w:szCs w:val="24"/>
        </w:rPr>
        <w:t xml:space="preserve">del municipio, por el hecho de </w:t>
      </w:r>
      <w:r w:rsidR="00936186" w:rsidRPr="00E6086A">
        <w:rPr>
          <w:rFonts w:cs="Arial"/>
          <w:szCs w:val="24"/>
        </w:rPr>
        <w:t xml:space="preserve">apartarse del </w:t>
      </w:r>
      <w:r w:rsidR="00FD2F77" w:rsidRPr="00E6086A">
        <w:rPr>
          <w:rFonts w:cs="Arial"/>
          <w:szCs w:val="24"/>
        </w:rPr>
        <w:t>informe de</w:t>
      </w:r>
      <w:r w:rsidR="004D72AD" w:rsidRPr="00E6086A">
        <w:rPr>
          <w:rFonts w:cs="Arial"/>
          <w:szCs w:val="24"/>
        </w:rPr>
        <w:t xml:space="preserve"> calificación realizado por el citado </w:t>
      </w:r>
      <w:r w:rsidR="00FD2F77" w:rsidRPr="00E6086A">
        <w:rPr>
          <w:rFonts w:cs="Arial"/>
          <w:szCs w:val="24"/>
        </w:rPr>
        <w:t xml:space="preserve">establecimiento público. </w:t>
      </w:r>
    </w:p>
    <w:p w:rsidR="007D0A47" w:rsidRPr="00E6086A" w:rsidRDefault="007D0A47" w:rsidP="009D3798">
      <w:pPr>
        <w:pStyle w:val="Encabezado"/>
        <w:tabs>
          <w:tab w:val="clear" w:pos="4419"/>
          <w:tab w:val="clear" w:pos="8838"/>
          <w:tab w:val="right" w:pos="567"/>
        </w:tabs>
        <w:rPr>
          <w:rFonts w:cs="Arial"/>
          <w:szCs w:val="24"/>
        </w:rPr>
      </w:pPr>
    </w:p>
    <w:p w:rsidR="007D0A47" w:rsidRPr="00E6086A" w:rsidRDefault="007D0A47" w:rsidP="009D3798">
      <w:pPr>
        <w:pStyle w:val="Encabezado"/>
        <w:tabs>
          <w:tab w:val="clear" w:pos="4419"/>
          <w:tab w:val="clear" w:pos="8838"/>
          <w:tab w:val="right" w:pos="567"/>
        </w:tabs>
        <w:rPr>
          <w:rFonts w:cs="Arial"/>
          <w:szCs w:val="24"/>
        </w:rPr>
      </w:pPr>
      <w:r w:rsidRPr="00E6086A">
        <w:rPr>
          <w:rFonts w:cs="Arial"/>
          <w:szCs w:val="24"/>
        </w:rPr>
        <w:t>Este problema se estudiará teniendo en cuenta que se corresponde con la argumentación de la demanda en cuanto al desvío de poder y que se expuso en la apelación</w:t>
      </w:r>
      <w:r w:rsidR="00EE30E0" w:rsidRPr="00E6086A">
        <w:rPr>
          <w:rFonts w:cs="Arial"/>
          <w:szCs w:val="24"/>
        </w:rPr>
        <w:t xml:space="preserve">. Se agrega </w:t>
      </w:r>
      <w:r w:rsidRPr="00E6086A">
        <w:rPr>
          <w:rFonts w:cs="Arial"/>
          <w:szCs w:val="24"/>
        </w:rPr>
        <w:t xml:space="preserve">que la incompetencia </w:t>
      </w:r>
      <w:r w:rsidR="004D72AD" w:rsidRPr="00E6086A">
        <w:rPr>
          <w:rFonts w:cs="Arial"/>
          <w:szCs w:val="24"/>
        </w:rPr>
        <w:t xml:space="preserve">para expedir el acto administrativo de adjudicación del contrato, en caso que </w:t>
      </w:r>
      <w:r w:rsidRPr="00E6086A">
        <w:rPr>
          <w:rFonts w:cs="Arial"/>
          <w:szCs w:val="24"/>
        </w:rPr>
        <w:t>resulte palmaria en el proceso</w:t>
      </w:r>
      <w:r w:rsidR="004D72AD" w:rsidRPr="00E6086A">
        <w:rPr>
          <w:rFonts w:cs="Arial"/>
          <w:szCs w:val="24"/>
        </w:rPr>
        <w:t>,</w:t>
      </w:r>
      <w:r w:rsidRPr="00E6086A">
        <w:rPr>
          <w:rFonts w:cs="Arial"/>
          <w:szCs w:val="24"/>
        </w:rPr>
        <w:t xml:space="preserve"> ocasiona la decisión oficiosa de nulidad, ante la naturaleza del vicio que afecta</w:t>
      </w:r>
      <w:r w:rsidR="004D72AD" w:rsidRPr="00E6086A">
        <w:rPr>
          <w:rFonts w:cs="Arial"/>
          <w:szCs w:val="24"/>
        </w:rPr>
        <w:t>ría</w:t>
      </w:r>
      <w:r w:rsidRPr="00E6086A">
        <w:rPr>
          <w:rFonts w:cs="Arial"/>
          <w:szCs w:val="24"/>
        </w:rPr>
        <w:t xml:space="preserve"> al acto administrativo.</w:t>
      </w:r>
      <w:r w:rsidR="00C84177" w:rsidRPr="00E6086A">
        <w:rPr>
          <w:rFonts w:cs="Arial"/>
          <w:szCs w:val="24"/>
        </w:rPr>
        <w:t xml:space="preserve"> </w:t>
      </w:r>
    </w:p>
    <w:p w:rsidR="00FD2F77" w:rsidRPr="00E6086A" w:rsidRDefault="00FD2F77" w:rsidP="009D3798">
      <w:pPr>
        <w:pStyle w:val="Encabezado"/>
        <w:tabs>
          <w:tab w:val="clear" w:pos="4419"/>
          <w:tab w:val="clear" w:pos="8838"/>
          <w:tab w:val="right" w:pos="567"/>
        </w:tabs>
        <w:rPr>
          <w:rFonts w:cs="Arial"/>
          <w:szCs w:val="24"/>
        </w:rPr>
      </w:pPr>
    </w:p>
    <w:p w:rsidR="007579AA" w:rsidRPr="00E6086A" w:rsidRDefault="007579AA" w:rsidP="009D3798">
      <w:pPr>
        <w:pStyle w:val="Encabezado"/>
        <w:tabs>
          <w:tab w:val="clear" w:pos="4419"/>
          <w:tab w:val="clear" w:pos="8838"/>
          <w:tab w:val="right" w:pos="567"/>
        </w:tabs>
        <w:rPr>
          <w:rFonts w:cs="Arial"/>
          <w:szCs w:val="24"/>
        </w:rPr>
      </w:pPr>
      <w:r w:rsidRPr="00E6086A">
        <w:rPr>
          <w:rFonts w:cs="Arial"/>
          <w:szCs w:val="24"/>
        </w:rPr>
        <w:t>Para el análisis correspondiente</w:t>
      </w:r>
      <w:r w:rsidR="00EE30E0" w:rsidRPr="00E6086A">
        <w:rPr>
          <w:rFonts w:cs="Arial"/>
          <w:szCs w:val="24"/>
        </w:rPr>
        <w:t xml:space="preserve"> a la </w:t>
      </w:r>
      <w:r w:rsidR="002E2C65" w:rsidRPr="00E6086A">
        <w:rPr>
          <w:rFonts w:cs="Arial"/>
          <w:szCs w:val="24"/>
        </w:rPr>
        <w:t>época de los hechos,</w:t>
      </w:r>
      <w:r w:rsidRPr="00E6086A">
        <w:rPr>
          <w:rFonts w:cs="Arial"/>
          <w:szCs w:val="24"/>
        </w:rPr>
        <w:t xml:space="preserve"> se identifica </w:t>
      </w:r>
      <w:r w:rsidR="004D72AD" w:rsidRPr="00E6086A">
        <w:rPr>
          <w:rFonts w:cs="Arial"/>
          <w:szCs w:val="24"/>
        </w:rPr>
        <w:t xml:space="preserve">como vigente </w:t>
      </w:r>
      <w:r w:rsidRPr="00E6086A">
        <w:rPr>
          <w:rFonts w:cs="Arial"/>
          <w:szCs w:val="24"/>
        </w:rPr>
        <w:t>la Ley 489 de 1998</w:t>
      </w:r>
      <w:r w:rsidR="004D72AD" w:rsidRPr="00E6086A">
        <w:rPr>
          <w:rFonts w:cs="Arial"/>
          <w:szCs w:val="24"/>
        </w:rPr>
        <w:t xml:space="preserve">, </w:t>
      </w:r>
      <w:r w:rsidRPr="00E6086A">
        <w:rPr>
          <w:rFonts w:cs="Arial"/>
          <w:szCs w:val="24"/>
        </w:rPr>
        <w:t xml:space="preserve">norma aplicable en </w:t>
      </w:r>
      <w:r w:rsidR="004D72AD" w:rsidRPr="00E6086A">
        <w:rPr>
          <w:rFonts w:cs="Arial"/>
          <w:szCs w:val="24"/>
        </w:rPr>
        <w:t xml:space="preserve">materia </w:t>
      </w:r>
      <w:r w:rsidR="00EE30E0" w:rsidRPr="00E6086A">
        <w:rPr>
          <w:rFonts w:cs="Arial"/>
          <w:szCs w:val="24"/>
        </w:rPr>
        <w:t xml:space="preserve">de </w:t>
      </w:r>
      <w:r w:rsidR="004D72AD" w:rsidRPr="00E6086A">
        <w:rPr>
          <w:rFonts w:cs="Arial"/>
          <w:szCs w:val="24"/>
        </w:rPr>
        <w:t xml:space="preserve">delegación de la función administrativa, la cual se debe tener presente para </w:t>
      </w:r>
      <w:r w:rsidRPr="00E6086A">
        <w:rPr>
          <w:rFonts w:cs="Arial"/>
          <w:szCs w:val="24"/>
        </w:rPr>
        <w:t>resolver el asunto planteado</w:t>
      </w:r>
      <w:r w:rsidRPr="00E6086A">
        <w:rPr>
          <w:rStyle w:val="Refdenotaalpie"/>
          <w:rFonts w:cs="Arial"/>
          <w:szCs w:val="24"/>
        </w:rPr>
        <w:footnoteReference w:id="44"/>
      </w:r>
      <w:r w:rsidRPr="00E6086A">
        <w:rPr>
          <w:rFonts w:cs="Arial"/>
          <w:szCs w:val="24"/>
        </w:rPr>
        <w:t>,</w:t>
      </w:r>
    </w:p>
    <w:p w:rsidR="007579AA" w:rsidRPr="00E6086A" w:rsidRDefault="007579AA" w:rsidP="009D3798">
      <w:pPr>
        <w:pStyle w:val="Encabezado"/>
        <w:tabs>
          <w:tab w:val="clear" w:pos="4419"/>
          <w:tab w:val="clear" w:pos="8838"/>
          <w:tab w:val="right" w:pos="567"/>
        </w:tabs>
        <w:rPr>
          <w:rFonts w:cs="Arial"/>
          <w:szCs w:val="24"/>
        </w:rPr>
      </w:pPr>
    </w:p>
    <w:p w:rsidR="007579AA" w:rsidRPr="00E6086A" w:rsidRDefault="007579AA" w:rsidP="009D3798">
      <w:pPr>
        <w:pStyle w:val="Encabezado"/>
        <w:tabs>
          <w:tab w:val="clear" w:pos="4419"/>
          <w:tab w:val="clear" w:pos="8838"/>
          <w:tab w:val="right" w:pos="567"/>
        </w:tabs>
        <w:rPr>
          <w:rFonts w:cs="Arial"/>
          <w:szCs w:val="24"/>
        </w:rPr>
      </w:pPr>
      <w:r w:rsidRPr="00E6086A">
        <w:rPr>
          <w:rFonts w:cs="Arial"/>
          <w:szCs w:val="24"/>
        </w:rPr>
        <w:t xml:space="preserve">Se </w:t>
      </w:r>
      <w:r w:rsidR="004D72AD" w:rsidRPr="00E6086A">
        <w:rPr>
          <w:rFonts w:cs="Arial"/>
          <w:szCs w:val="24"/>
        </w:rPr>
        <w:t xml:space="preserve">observa que </w:t>
      </w:r>
      <w:r w:rsidRPr="00E6086A">
        <w:rPr>
          <w:rFonts w:cs="Arial"/>
          <w:szCs w:val="24"/>
        </w:rPr>
        <w:t xml:space="preserve">el acto de delegación </w:t>
      </w:r>
      <w:r w:rsidR="004D72AD" w:rsidRPr="00E6086A">
        <w:rPr>
          <w:rFonts w:cs="Arial"/>
          <w:szCs w:val="24"/>
        </w:rPr>
        <w:t xml:space="preserve">de la función administrativa </w:t>
      </w:r>
      <w:r w:rsidRPr="00E6086A">
        <w:rPr>
          <w:rFonts w:cs="Arial"/>
          <w:szCs w:val="24"/>
        </w:rPr>
        <w:t xml:space="preserve">estaba permitido salvo prohibición legal, de acuerdo con la regla establecida </w:t>
      </w:r>
      <w:r w:rsidR="002E2C65" w:rsidRPr="00E6086A">
        <w:rPr>
          <w:rFonts w:cs="Arial"/>
          <w:szCs w:val="24"/>
        </w:rPr>
        <w:t xml:space="preserve">en el artículo 10 de </w:t>
      </w:r>
      <w:r w:rsidRPr="00E6086A">
        <w:rPr>
          <w:rFonts w:cs="Arial"/>
          <w:szCs w:val="24"/>
        </w:rPr>
        <w:t xml:space="preserve">la Ley 489 de 1998 y </w:t>
      </w:r>
      <w:r w:rsidR="004D72AD" w:rsidRPr="00E6086A">
        <w:rPr>
          <w:rFonts w:cs="Arial"/>
          <w:szCs w:val="24"/>
        </w:rPr>
        <w:t xml:space="preserve">se puntualiza </w:t>
      </w:r>
      <w:r w:rsidRPr="00E6086A">
        <w:rPr>
          <w:rFonts w:cs="Arial"/>
          <w:szCs w:val="24"/>
        </w:rPr>
        <w:t>que la misma ley indicó los requisitos</w:t>
      </w:r>
      <w:r w:rsidR="00C84177" w:rsidRPr="00E6086A">
        <w:rPr>
          <w:rFonts w:cs="Arial"/>
          <w:szCs w:val="24"/>
        </w:rPr>
        <w:t xml:space="preserve"> de la delegación, </w:t>
      </w:r>
      <w:r w:rsidR="00FD2F77" w:rsidRPr="00E6086A">
        <w:rPr>
          <w:rFonts w:cs="Arial"/>
          <w:szCs w:val="24"/>
        </w:rPr>
        <w:t>en</w:t>
      </w:r>
      <w:r w:rsidR="00C84177" w:rsidRPr="00E6086A">
        <w:rPr>
          <w:rFonts w:cs="Arial"/>
          <w:szCs w:val="24"/>
        </w:rPr>
        <w:t>tre</w:t>
      </w:r>
      <w:r w:rsidR="00FD2F77" w:rsidRPr="00E6086A">
        <w:rPr>
          <w:rFonts w:cs="Arial"/>
          <w:szCs w:val="24"/>
        </w:rPr>
        <w:t xml:space="preserve"> </w:t>
      </w:r>
      <w:r w:rsidRPr="00E6086A">
        <w:rPr>
          <w:rFonts w:cs="Arial"/>
          <w:szCs w:val="24"/>
        </w:rPr>
        <w:t>los cuales se exige que el acto de delegación tenga un contenido concreto o especifico</w:t>
      </w:r>
      <w:r w:rsidRPr="00E6086A">
        <w:rPr>
          <w:rStyle w:val="Refdenotaalpie"/>
          <w:rFonts w:cs="Arial"/>
          <w:szCs w:val="24"/>
        </w:rPr>
        <w:footnoteReference w:id="45"/>
      </w:r>
      <w:r w:rsidRPr="00E6086A">
        <w:rPr>
          <w:rFonts w:cs="Arial"/>
          <w:szCs w:val="24"/>
        </w:rPr>
        <w:t>.</w:t>
      </w:r>
    </w:p>
    <w:p w:rsidR="00EE30E0" w:rsidRPr="00E6086A" w:rsidRDefault="00EE30E0" w:rsidP="009D3798">
      <w:pPr>
        <w:pStyle w:val="Encabezado"/>
        <w:tabs>
          <w:tab w:val="clear" w:pos="4419"/>
          <w:tab w:val="clear" w:pos="8838"/>
          <w:tab w:val="right" w:pos="567"/>
        </w:tabs>
        <w:rPr>
          <w:rFonts w:cs="Arial"/>
          <w:szCs w:val="24"/>
        </w:rPr>
      </w:pPr>
    </w:p>
    <w:p w:rsidR="007579AA" w:rsidRPr="00E6086A" w:rsidRDefault="007579AA" w:rsidP="009D3798">
      <w:pPr>
        <w:pStyle w:val="Encabezado"/>
        <w:tabs>
          <w:tab w:val="clear" w:pos="4419"/>
          <w:tab w:val="clear" w:pos="8838"/>
          <w:tab w:val="right" w:pos="567"/>
        </w:tabs>
        <w:rPr>
          <w:rFonts w:cs="Arial"/>
          <w:szCs w:val="24"/>
        </w:rPr>
      </w:pPr>
      <w:r w:rsidRPr="00E6086A">
        <w:rPr>
          <w:rFonts w:cs="Arial"/>
          <w:szCs w:val="24"/>
        </w:rPr>
        <w:t>Por otra parte</w:t>
      </w:r>
      <w:r w:rsidR="00FD2F77" w:rsidRPr="00E6086A">
        <w:rPr>
          <w:rFonts w:cs="Arial"/>
          <w:szCs w:val="24"/>
        </w:rPr>
        <w:t>,</w:t>
      </w:r>
      <w:r w:rsidRPr="00E6086A">
        <w:rPr>
          <w:rFonts w:cs="Arial"/>
          <w:szCs w:val="24"/>
        </w:rPr>
        <w:t xml:space="preserve"> se advierte que en el presente caso, </w:t>
      </w:r>
      <w:r w:rsidR="00350DEF" w:rsidRPr="00E6086A">
        <w:rPr>
          <w:rFonts w:cs="Arial"/>
          <w:szCs w:val="24"/>
        </w:rPr>
        <w:t xml:space="preserve">en el ámbito </w:t>
      </w:r>
      <w:r w:rsidR="00EE30E0" w:rsidRPr="00E6086A">
        <w:rPr>
          <w:rFonts w:cs="Arial"/>
          <w:szCs w:val="24"/>
        </w:rPr>
        <w:t xml:space="preserve">municipal, </w:t>
      </w:r>
      <w:r w:rsidR="00FD2F77" w:rsidRPr="00E6086A">
        <w:rPr>
          <w:rFonts w:cs="Arial"/>
          <w:szCs w:val="24"/>
        </w:rPr>
        <w:t xml:space="preserve">se encontraba vigente </w:t>
      </w:r>
      <w:r w:rsidRPr="00E6086A">
        <w:rPr>
          <w:rFonts w:cs="Arial"/>
          <w:szCs w:val="24"/>
        </w:rPr>
        <w:t xml:space="preserve">el Decreto 724 </w:t>
      </w:r>
      <w:r w:rsidR="002E2C65" w:rsidRPr="00E6086A">
        <w:rPr>
          <w:rFonts w:cs="Arial"/>
          <w:szCs w:val="24"/>
        </w:rPr>
        <w:t>de 1999</w:t>
      </w:r>
      <w:r w:rsidR="00350DEF" w:rsidRPr="00E6086A">
        <w:rPr>
          <w:rFonts w:cs="Arial"/>
          <w:szCs w:val="24"/>
        </w:rPr>
        <w:t>,</w:t>
      </w:r>
      <w:r w:rsidR="002E2C65" w:rsidRPr="00E6086A">
        <w:rPr>
          <w:rFonts w:cs="Arial"/>
          <w:szCs w:val="24"/>
        </w:rPr>
        <w:t xml:space="preserve"> </w:t>
      </w:r>
      <w:r w:rsidR="00EE30E0" w:rsidRPr="00E6086A">
        <w:rPr>
          <w:rFonts w:cs="Arial"/>
          <w:szCs w:val="24"/>
        </w:rPr>
        <w:t xml:space="preserve">expedido por la Alcaldía de Medellín, </w:t>
      </w:r>
      <w:r w:rsidRPr="00E6086A">
        <w:rPr>
          <w:rFonts w:cs="Arial"/>
          <w:szCs w:val="24"/>
        </w:rPr>
        <w:t>invocado de manera expl</w:t>
      </w:r>
      <w:r w:rsidR="00847994" w:rsidRPr="00E6086A">
        <w:rPr>
          <w:rFonts w:cs="Arial"/>
          <w:szCs w:val="24"/>
        </w:rPr>
        <w:t>í</w:t>
      </w:r>
      <w:r w:rsidRPr="00E6086A">
        <w:rPr>
          <w:rFonts w:cs="Arial"/>
          <w:szCs w:val="24"/>
        </w:rPr>
        <w:t>cita en la Resolución 075 de 1999</w:t>
      </w:r>
      <w:r w:rsidR="00EE30E0" w:rsidRPr="00E6086A">
        <w:rPr>
          <w:rFonts w:cs="Arial"/>
          <w:szCs w:val="24"/>
        </w:rPr>
        <w:t xml:space="preserve">. Mediante el citado decreto, </w:t>
      </w:r>
      <w:r w:rsidRPr="00E6086A">
        <w:rPr>
          <w:rFonts w:cs="Arial"/>
          <w:szCs w:val="24"/>
        </w:rPr>
        <w:t xml:space="preserve">la </w:t>
      </w:r>
      <w:r w:rsidR="00EE30E0" w:rsidRPr="00E6086A">
        <w:rPr>
          <w:rFonts w:cs="Arial"/>
          <w:szCs w:val="24"/>
        </w:rPr>
        <w:t>A</w:t>
      </w:r>
      <w:r w:rsidRPr="00E6086A">
        <w:rPr>
          <w:rFonts w:cs="Arial"/>
          <w:szCs w:val="24"/>
        </w:rPr>
        <w:t>lca</w:t>
      </w:r>
      <w:r w:rsidR="00EE30E0" w:rsidRPr="00E6086A">
        <w:rPr>
          <w:rFonts w:cs="Arial"/>
          <w:szCs w:val="24"/>
        </w:rPr>
        <w:t>l</w:t>
      </w:r>
      <w:r w:rsidRPr="00E6086A">
        <w:rPr>
          <w:rFonts w:cs="Arial"/>
          <w:szCs w:val="24"/>
        </w:rPr>
        <w:t>d</w:t>
      </w:r>
      <w:r w:rsidR="002E2C65" w:rsidRPr="00E6086A">
        <w:rPr>
          <w:rFonts w:cs="Arial"/>
          <w:szCs w:val="24"/>
        </w:rPr>
        <w:t>í</w:t>
      </w:r>
      <w:r w:rsidR="00FD2F77" w:rsidRPr="00E6086A">
        <w:rPr>
          <w:rFonts w:cs="Arial"/>
          <w:szCs w:val="24"/>
        </w:rPr>
        <w:t>a</w:t>
      </w:r>
      <w:r w:rsidRPr="00E6086A">
        <w:rPr>
          <w:rFonts w:cs="Arial"/>
          <w:szCs w:val="24"/>
        </w:rPr>
        <w:t xml:space="preserve"> de Medellín </w:t>
      </w:r>
      <w:r w:rsidR="002E2C65" w:rsidRPr="00E6086A">
        <w:rPr>
          <w:rFonts w:cs="Arial"/>
          <w:szCs w:val="24"/>
        </w:rPr>
        <w:t>dispu</w:t>
      </w:r>
      <w:r w:rsidR="00AA13D8" w:rsidRPr="00E6086A">
        <w:rPr>
          <w:rFonts w:cs="Arial"/>
          <w:szCs w:val="24"/>
        </w:rPr>
        <w:t>so</w:t>
      </w:r>
      <w:r w:rsidR="002E2C65" w:rsidRPr="00E6086A">
        <w:rPr>
          <w:rFonts w:cs="Arial"/>
          <w:szCs w:val="24"/>
        </w:rPr>
        <w:t xml:space="preserve"> </w:t>
      </w:r>
      <w:r w:rsidRPr="00E6086A">
        <w:rPr>
          <w:rFonts w:cs="Arial"/>
          <w:szCs w:val="24"/>
        </w:rPr>
        <w:t xml:space="preserve">la delegación </w:t>
      </w:r>
      <w:r w:rsidR="00EE30E0" w:rsidRPr="00E6086A">
        <w:rPr>
          <w:rFonts w:cs="Arial"/>
          <w:szCs w:val="24"/>
        </w:rPr>
        <w:t xml:space="preserve">de competencia </w:t>
      </w:r>
      <w:r w:rsidR="004C3C70" w:rsidRPr="00E6086A">
        <w:rPr>
          <w:rFonts w:cs="Arial"/>
          <w:szCs w:val="24"/>
        </w:rPr>
        <w:t xml:space="preserve">para la contratación </w:t>
      </w:r>
      <w:r w:rsidR="00EE30E0" w:rsidRPr="00E6086A">
        <w:rPr>
          <w:rFonts w:cs="Arial"/>
          <w:szCs w:val="24"/>
        </w:rPr>
        <w:t>en el Secretario de Obras Públicas, en los siguientes términos y condiciones:</w:t>
      </w:r>
    </w:p>
    <w:p w:rsidR="007579AA" w:rsidRPr="00E6086A" w:rsidRDefault="007579AA" w:rsidP="009D3798">
      <w:pPr>
        <w:spacing w:line="276" w:lineRule="auto"/>
        <w:rPr>
          <w:rFonts w:cs="Arial"/>
          <w:i/>
          <w:color w:val="000000"/>
        </w:rPr>
      </w:pPr>
      <w:bookmarkStart w:id="3" w:name="4"/>
      <w:r w:rsidRPr="00E6086A">
        <w:rPr>
          <w:rFonts w:cs="Arial"/>
          <w:bCs/>
          <w:i/>
        </w:rPr>
        <w:t>“Artículo Cuarto</w:t>
      </w:r>
      <w:r w:rsidRPr="00E6086A">
        <w:rPr>
          <w:rFonts w:cs="Arial"/>
          <w:b/>
          <w:bCs/>
          <w:i/>
          <w:color w:val="E5842C"/>
        </w:rPr>
        <w:t>.</w:t>
      </w:r>
      <w:bookmarkEnd w:id="3"/>
      <w:r w:rsidR="00EE30E0" w:rsidRPr="00E6086A">
        <w:rPr>
          <w:rFonts w:cs="Arial"/>
          <w:b/>
          <w:bCs/>
          <w:i/>
          <w:color w:val="E5842C"/>
        </w:rPr>
        <w:t xml:space="preserve"> </w:t>
      </w:r>
      <w:r w:rsidRPr="00E6086A">
        <w:rPr>
          <w:rFonts w:cs="Arial"/>
          <w:i/>
          <w:color w:val="000000"/>
        </w:rPr>
        <w:t>Deléguese en el Secretario de Obras Públicas la competencia para celebrar contratos de obra pública, consultoría para obra pública y arrendamiento maquinaria y equipo para obra pública hasta veinte mil (20.000) salarios mínimos, equivalentes para 1999, a la suma de $4.076.520.000.00. Dicha delegación comprende todos los actos inherentes a la actividad contractual, así como la ordenación del gasto.</w:t>
      </w:r>
    </w:p>
    <w:p w:rsidR="007579AA" w:rsidRPr="00E6086A" w:rsidRDefault="007579AA" w:rsidP="009D3798">
      <w:pPr>
        <w:spacing w:line="276" w:lineRule="auto"/>
        <w:rPr>
          <w:rFonts w:cs="Arial"/>
          <w:i/>
        </w:rPr>
      </w:pPr>
      <w:r w:rsidRPr="00E6086A">
        <w:rPr>
          <w:rFonts w:cs="Arial"/>
          <w:bCs/>
          <w:i/>
        </w:rPr>
        <w:t>“Parágrafo.</w:t>
      </w:r>
      <w:r w:rsidRPr="00E6086A">
        <w:rPr>
          <w:rFonts w:cs="Arial"/>
          <w:i/>
        </w:rPr>
        <w:t> La</w:t>
      </w:r>
      <w:r w:rsidRPr="00E6086A">
        <w:rPr>
          <w:rFonts w:cs="Arial"/>
          <w:i/>
          <w:color w:val="000000"/>
        </w:rPr>
        <w:t xml:space="preserve"> Secretaría de Obras Públicas, adelantará y celebrará los contratos de construcción, mantenimiento y conservación de los establecimientos educativos, cuando la cuantía de los mismos excede de mil (1000) salarios mínimos legales”.</w:t>
      </w:r>
    </w:p>
    <w:p w:rsidR="007579AA" w:rsidRPr="00E6086A" w:rsidRDefault="007579AA" w:rsidP="009D3798">
      <w:pPr>
        <w:pStyle w:val="Encabezado"/>
        <w:tabs>
          <w:tab w:val="clear" w:pos="4419"/>
          <w:tab w:val="clear" w:pos="8838"/>
          <w:tab w:val="right" w:pos="567"/>
        </w:tabs>
        <w:rPr>
          <w:rFonts w:cs="Arial"/>
          <w:szCs w:val="24"/>
        </w:rPr>
      </w:pPr>
    </w:p>
    <w:p w:rsidR="002660EA" w:rsidRPr="00E6086A" w:rsidRDefault="007D0A47" w:rsidP="009D3798">
      <w:pPr>
        <w:pStyle w:val="Encabezado"/>
        <w:tabs>
          <w:tab w:val="clear" w:pos="4419"/>
          <w:tab w:val="clear" w:pos="8838"/>
          <w:tab w:val="right" w:pos="567"/>
        </w:tabs>
        <w:rPr>
          <w:rFonts w:cs="Arial"/>
          <w:szCs w:val="24"/>
        </w:rPr>
      </w:pPr>
      <w:r w:rsidRPr="00E6086A">
        <w:rPr>
          <w:rFonts w:cs="Arial"/>
          <w:szCs w:val="24"/>
        </w:rPr>
        <w:t xml:space="preserve">En ese contexto, </w:t>
      </w:r>
      <w:r w:rsidR="007579AA" w:rsidRPr="00E6086A">
        <w:rPr>
          <w:rFonts w:cs="Arial"/>
          <w:szCs w:val="24"/>
        </w:rPr>
        <w:t>l</w:t>
      </w:r>
      <w:r w:rsidR="00E52198" w:rsidRPr="00E6086A">
        <w:rPr>
          <w:rFonts w:cs="Arial"/>
          <w:szCs w:val="24"/>
        </w:rPr>
        <w:t xml:space="preserve">a Sala advierte que en la Resolución 1028 de septiembre 6 de 1999 </w:t>
      </w:r>
      <w:r w:rsidR="002660EA" w:rsidRPr="00E6086A">
        <w:rPr>
          <w:rFonts w:cs="Arial"/>
          <w:szCs w:val="24"/>
        </w:rPr>
        <w:t xml:space="preserve">expedida por el Alcalde de Medellín, </w:t>
      </w:r>
      <w:r w:rsidR="00EE30E0" w:rsidRPr="00E6086A">
        <w:rPr>
          <w:rFonts w:cs="Arial"/>
          <w:szCs w:val="24"/>
        </w:rPr>
        <w:t xml:space="preserve">mediante la cual se abrió la licitación pública sub lite, </w:t>
      </w:r>
      <w:r w:rsidR="003C72C8" w:rsidRPr="00E6086A">
        <w:rPr>
          <w:rFonts w:cs="Arial"/>
          <w:szCs w:val="24"/>
        </w:rPr>
        <w:t xml:space="preserve">no </w:t>
      </w:r>
      <w:r w:rsidR="00C84177" w:rsidRPr="00E6086A">
        <w:rPr>
          <w:rFonts w:cs="Arial"/>
          <w:szCs w:val="24"/>
        </w:rPr>
        <w:t xml:space="preserve">se configuró </w:t>
      </w:r>
      <w:r w:rsidR="00E52198" w:rsidRPr="00E6086A">
        <w:rPr>
          <w:rFonts w:cs="Arial"/>
          <w:szCs w:val="24"/>
        </w:rPr>
        <w:t xml:space="preserve">un acto de </w:t>
      </w:r>
      <w:r w:rsidR="00936186" w:rsidRPr="00E6086A">
        <w:rPr>
          <w:rFonts w:cs="Arial"/>
          <w:szCs w:val="24"/>
        </w:rPr>
        <w:t>delegación</w:t>
      </w:r>
      <w:r w:rsidR="00EE30E0" w:rsidRPr="00E6086A">
        <w:rPr>
          <w:rFonts w:cs="Arial"/>
          <w:szCs w:val="24"/>
        </w:rPr>
        <w:t xml:space="preserve"> de la función administrativa</w:t>
      </w:r>
      <w:r w:rsidR="003C72C8" w:rsidRPr="00E6086A">
        <w:rPr>
          <w:rFonts w:cs="Arial"/>
          <w:szCs w:val="24"/>
        </w:rPr>
        <w:t xml:space="preserve">, toda vez que solo se asignaron </w:t>
      </w:r>
      <w:r w:rsidR="002660EA" w:rsidRPr="00E6086A">
        <w:rPr>
          <w:rFonts w:cs="Arial"/>
          <w:szCs w:val="24"/>
        </w:rPr>
        <w:t xml:space="preserve">al INVAL los </w:t>
      </w:r>
      <w:r w:rsidR="00EE30E0" w:rsidRPr="00E6086A">
        <w:rPr>
          <w:rFonts w:cs="Arial"/>
          <w:szCs w:val="24"/>
        </w:rPr>
        <w:t xml:space="preserve">asuntos de </w:t>
      </w:r>
      <w:r w:rsidR="002660EA" w:rsidRPr="00E6086A">
        <w:rPr>
          <w:rFonts w:cs="Arial"/>
          <w:szCs w:val="24"/>
        </w:rPr>
        <w:t>trámite de la Licitación P</w:t>
      </w:r>
      <w:r w:rsidR="00EE30E0" w:rsidRPr="00E6086A">
        <w:rPr>
          <w:rFonts w:cs="Arial"/>
          <w:szCs w:val="24"/>
        </w:rPr>
        <w:t>ú</w:t>
      </w:r>
      <w:r w:rsidR="002660EA" w:rsidRPr="00E6086A">
        <w:rPr>
          <w:rFonts w:cs="Arial"/>
          <w:szCs w:val="24"/>
        </w:rPr>
        <w:t>blica 09M/99, así:</w:t>
      </w:r>
    </w:p>
    <w:p w:rsidR="002660EA" w:rsidRPr="00E6086A" w:rsidRDefault="002660EA" w:rsidP="009D3798">
      <w:pPr>
        <w:pStyle w:val="Encabezado"/>
        <w:tabs>
          <w:tab w:val="clear" w:pos="4419"/>
          <w:tab w:val="clear" w:pos="8838"/>
          <w:tab w:val="right" w:pos="567"/>
        </w:tabs>
        <w:rPr>
          <w:rFonts w:cs="Arial"/>
          <w:i/>
          <w:szCs w:val="24"/>
        </w:rPr>
      </w:pPr>
    </w:p>
    <w:p w:rsidR="002660EA" w:rsidRPr="00E6086A" w:rsidRDefault="002660EA" w:rsidP="009D3798">
      <w:pPr>
        <w:pStyle w:val="Encabezado"/>
        <w:tabs>
          <w:tab w:val="clear" w:pos="4419"/>
          <w:tab w:val="clear" w:pos="8838"/>
          <w:tab w:val="right" w:pos="567"/>
        </w:tabs>
        <w:spacing w:line="276" w:lineRule="auto"/>
        <w:rPr>
          <w:rFonts w:cs="Arial"/>
          <w:i/>
          <w:szCs w:val="24"/>
        </w:rPr>
      </w:pPr>
      <w:r w:rsidRPr="00E6086A">
        <w:rPr>
          <w:rFonts w:cs="Arial"/>
          <w:i/>
          <w:szCs w:val="24"/>
        </w:rPr>
        <w:t>“ARTÍCULO SEGUNDO: Ordenar el INVAL iniciar los trámites de la pres</w:t>
      </w:r>
      <w:r w:rsidR="00644F10" w:rsidRPr="00E6086A">
        <w:rPr>
          <w:rFonts w:cs="Arial"/>
          <w:i/>
          <w:szCs w:val="24"/>
        </w:rPr>
        <w:t>e</w:t>
      </w:r>
      <w:r w:rsidRPr="00E6086A">
        <w:rPr>
          <w:rFonts w:cs="Arial"/>
          <w:i/>
          <w:szCs w:val="24"/>
        </w:rPr>
        <w:t>nte licitación de acuerdo con las especificaciones técnicas señaladas en el pliego de condiciones”.</w:t>
      </w:r>
    </w:p>
    <w:p w:rsidR="002660EA" w:rsidRPr="00E6086A" w:rsidRDefault="002660EA" w:rsidP="009D3798">
      <w:pPr>
        <w:pStyle w:val="Encabezado"/>
        <w:tabs>
          <w:tab w:val="clear" w:pos="4419"/>
          <w:tab w:val="clear" w:pos="8838"/>
          <w:tab w:val="right" w:pos="567"/>
        </w:tabs>
        <w:spacing w:line="276" w:lineRule="auto"/>
        <w:rPr>
          <w:rFonts w:cs="Arial"/>
          <w:i/>
          <w:szCs w:val="24"/>
        </w:rPr>
      </w:pPr>
    </w:p>
    <w:p w:rsidR="00ED13CB" w:rsidRPr="00E6086A" w:rsidRDefault="00EE30E0" w:rsidP="009D3798">
      <w:pPr>
        <w:pStyle w:val="Encabezado"/>
        <w:tabs>
          <w:tab w:val="clear" w:pos="4419"/>
          <w:tab w:val="clear" w:pos="8838"/>
          <w:tab w:val="right" w:pos="567"/>
        </w:tabs>
        <w:rPr>
          <w:rFonts w:cs="Arial"/>
          <w:szCs w:val="24"/>
        </w:rPr>
      </w:pPr>
      <w:r w:rsidRPr="00E6086A">
        <w:rPr>
          <w:rFonts w:cs="Arial"/>
          <w:szCs w:val="24"/>
        </w:rPr>
        <w:t xml:space="preserve">En realidad, tampoco resulta apropiado </w:t>
      </w:r>
      <w:r w:rsidR="00A0514B" w:rsidRPr="00E6086A">
        <w:rPr>
          <w:rFonts w:cs="Arial"/>
          <w:szCs w:val="24"/>
        </w:rPr>
        <w:t xml:space="preserve">entender que hubo </w:t>
      </w:r>
      <w:r w:rsidRPr="00E6086A">
        <w:rPr>
          <w:rFonts w:cs="Arial"/>
          <w:szCs w:val="24"/>
        </w:rPr>
        <w:t xml:space="preserve">un acto de </w:t>
      </w:r>
      <w:r w:rsidR="00A0514B" w:rsidRPr="00E6086A">
        <w:rPr>
          <w:rFonts w:cs="Arial"/>
          <w:szCs w:val="24"/>
        </w:rPr>
        <w:t>delegación</w:t>
      </w:r>
      <w:r w:rsidRPr="00E6086A">
        <w:rPr>
          <w:rFonts w:cs="Arial"/>
          <w:szCs w:val="24"/>
        </w:rPr>
        <w:t xml:space="preserve"> de competencia</w:t>
      </w:r>
      <w:r w:rsidR="002E2C65" w:rsidRPr="00E6086A">
        <w:rPr>
          <w:rFonts w:cs="Arial"/>
          <w:szCs w:val="24"/>
        </w:rPr>
        <w:t xml:space="preserve">, dado que </w:t>
      </w:r>
      <w:r w:rsidRPr="00E6086A">
        <w:rPr>
          <w:rFonts w:cs="Arial"/>
          <w:szCs w:val="24"/>
        </w:rPr>
        <w:t>si se hubiera tratado de la</w:t>
      </w:r>
      <w:r w:rsidR="002E2C65" w:rsidRPr="00E6086A">
        <w:rPr>
          <w:rFonts w:cs="Arial"/>
          <w:szCs w:val="24"/>
        </w:rPr>
        <w:t xml:space="preserve"> asignación de </w:t>
      </w:r>
      <w:r w:rsidRPr="00E6086A">
        <w:rPr>
          <w:rFonts w:cs="Arial"/>
          <w:szCs w:val="24"/>
        </w:rPr>
        <w:t xml:space="preserve">competencias de una entidad a otra, de acuerdo con </w:t>
      </w:r>
      <w:r w:rsidR="007D0A47" w:rsidRPr="00E6086A">
        <w:rPr>
          <w:rFonts w:cs="Arial"/>
          <w:szCs w:val="24"/>
        </w:rPr>
        <w:t xml:space="preserve">la Ley 489 de 1998 </w:t>
      </w:r>
      <w:r w:rsidRPr="00E6086A">
        <w:rPr>
          <w:rFonts w:cs="Arial"/>
          <w:szCs w:val="24"/>
        </w:rPr>
        <w:t xml:space="preserve">hubiera sido </w:t>
      </w:r>
      <w:r w:rsidR="00ED13CB" w:rsidRPr="00E6086A">
        <w:rPr>
          <w:rFonts w:cs="Arial"/>
          <w:szCs w:val="24"/>
        </w:rPr>
        <w:t xml:space="preserve">necesario acudir al </w:t>
      </w:r>
      <w:r w:rsidR="007D0A47" w:rsidRPr="00E6086A">
        <w:rPr>
          <w:rFonts w:cs="Arial"/>
          <w:szCs w:val="24"/>
        </w:rPr>
        <w:t xml:space="preserve">mecanismo de la </w:t>
      </w:r>
      <w:r w:rsidR="002E2C65" w:rsidRPr="00E6086A">
        <w:rPr>
          <w:rFonts w:cs="Arial"/>
          <w:szCs w:val="24"/>
        </w:rPr>
        <w:t>desconcentración</w:t>
      </w:r>
      <w:r w:rsidR="002E2C65" w:rsidRPr="00E6086A">
        <w:rPr>
          <w:rStyle w:val="Refdenotaalpie"/>
          <w:rFonts w:cs="Arial"/>
          <w:szCs w:val="24"/>
        </w:rPr>
        <w:footnoteReference w:id="46"/>
      </w:r>
      <w:r w:rsidR="002E2C65" w:rsidRPr="00E6086A">
        <w:rPr>
          <w:rFonts w:cs="Arial"/>
          <w:szCs w:val="24"/>
        </w:rPr>
        <w:t xml:space="preserve">, </w:t>
      </w:r>
      <w:r w:rsidR="007D0A47" w:rsidRPr="00E6086A">
        <w:rPr>
          <w:rFonts w:cs="Arial"/>
          <w:szCs w:val="24"/>
        </w:rPr>
        <w:t xml:space="preserve">empero </w:t>
      </w:r>
      <w:r w:rsidR="00ED13CB" w:rsidRPr="00E6086A">
        <w:rPr>
          <w:rFonts w:cs="Arial"/>
          <w:szCs w:val="24"/>
        </w:rPr>
        <w:t>esa</w:t>
      </w:r>
      <w:r w:rsidR="007D0A47" w:rsidRPr="00E6086A">
        <w:rPr>
          <w:rFonts w:cs="Arial"/>
          <w:szCs w:val="24"/>
        </w:rPr>
        <w:t xml:space="preserve"> decisión de distribuir competencias correspondería </w:t>
      </w:r>
      <w:r w:rsidR="002E2C65" w:rsidRPr="00E6086A">
        <w:rPr>
          <w:rFonts w:cs="Arial"/>
          <w:szCs w:val="24"/>
        </w:rPr>
        <w:t xml:space="preserve">al </w:t>
      </w:r>
      <w:r w:rsidR="00ED13CB" w:rsidRPr="00E6086A">
        <w:rPr>
          <w:rFonts w:cs="Arial"/>
          <w:szCs w:val="24"/>
        </w:rPr>
        <w:t>Concejo M</w:t>
      </w:r>
      <w:r w:rsidR="002E2C65" w:rsidRPr="00E6086A">
        <w:rPr>
          <w:rFonts w:cs="Arial"/>
          <w:szCs w:val="24"/>
        </w:rPr>
        <w:t>unicipal</w:t>
      </w:r>
      <w:r w:rsidR="00ED13CB" w:rsidRPr="00E6086A">
        <w:rPr>
          <w:rFonts w:cs="Arial"/>
          <w:szCs w:val="24"/>
        </w:rPr>
        <w:t xml:space="preserve">, circunstancia que no se presentó y que tampoco se requería de acuerdo con </w:t>
      </w:r>
      <w:r w:rsidR="0001321B" w:rsidRPr="00E6086A">
        <w:rPr>
          <w:rFonts w:cs="Arial"/>
          <w:szCs w:val="24"/>
        </w:rPr>
        <w:t xml:space="preserve">el </w:t>
      </w:r>
      <w:r w:rsidR="00C84177" w:rsidRPr="00E6086A">
        <w:rPr>
          <w:rFonts w:cs="Arial"/>
          <w:szCs w:val="24"/>
        </w:rPr>
        <w:t>contenido material de la orden admin</w:t>
      </w:r>
      <w:r w:rsidR="00ED13CB" w:rsidRPr="00E6086A">
        <w:rPr>
          <w:rFonts w:cs="Arial"/>
          <w:szCs w:val="24"/>
        </w:rPr>
        <w:t>i</w:t>
      </w:r>
      <w:r w:rsidR="00C84177" w:rsidRPr="00E6086A">
        <w:rPr>
          <w:rFonts w:cs="Arial"/>
          <w:szCs w:val="24"/>
        </w:rPr>
        <w:t xml:space="preserve">strativa </w:t>
      </w:r>
      <w:r w:rsidR="00ED13CB" w:rsidRPr="00E6086A">
        <w:rPr>
          <w:rFonts w:cs="Arial"/>
          <w:szCs w:val="24"/>
        </w:rPr>
        <w:t>proferida en el acto de apertura de la licitación pública.</w:t>
      </w:r>
    </w:p>
    <w:p w:rsidR="007D0A47" w:rsidRPr="00E6086A" w:rsidRDefault="007D0A47" w:rsidP="009D3798">
      <w:pPr>
        <w:pStyle w:val="Encabezado"/>
        <w:tabs>
          <w:tab w:val="clear" w:pos="4419"/>
          <w:tab w:val="clear" w:pos="8838"/>
          <w:tab w:val="right" w:pos="567"/>
        </w:tabs>
        <w:rPr>
          <w:rFonts w:cs="Arial"/>
          <w:szCs w:val="24"/>
        </w:rPr>
      </w:pPr>
    </w:p>
    <w:p w:rsidR="002E2C65" w:rsidRPr="00E6086A" w:rsidRDefault="00ED13CB" w:rsidP="009D3798">
      <w:pPr>
        <w:pStyle w:val="Encabezado"/>
        <w:tabs>
          <w:tab w:val="clear" w:pos="4419"/>
          <w:tab w:val="clear" w:pos="8838"/>
          <w:tab w:val="right" w:pos="567"/>
        </w:tabs>
        <w:rPr>
          <w:rFonts w:cs="Arial"/>
          <w:szCs w:val="24"/>
        </w:rPr>
      </w:pPr>
      <w:r w:rsidRPr="00E6086A">
        <w:rPr>
          <w:rFonts w:cs="Arial"/>
          <w:szCs w:val="24"/>
        </w:rPr>
        <w:t xml:space="preserve">Como consecuencia, debe </w:t>
      </w:r>
      <w:r w:rsidR="00C84177" w:rsidRPr="00E6086A">
        <w:rPr>
          <w:rFonts w:cs="Arial"/>
          <w:szCs w:val="24"/>
        </w:rPr>
        <w:t xml:space="preserve">observarse que </w:t>
      </w:r>
      <w:r w:rsidR="002E2C65" w:rsidRPr="00E6086A">
        <w:rPr>
          <w:rFonts w:cs="Arial"/>
          <w:szCs w:val="24"/>
        </w:rPr>
        <w:t xml:space="preserve">el artículo segundo de la Resolución </w:t>
      </w:r>
      <w:r w:rsidRPr="00E6086A">
        <w:rPr>
          <w:rFonts w:cs="Arial"/>
          <w:szCs w:val="24"/>
        </w:rPr>
        <w:t>1028 de 1999</w:t>
      </w:r>
      <w:r w:rsidR="002E2C65" w:rsidRPr="00E6086A">
        <w:rPr>
          <w:rFonts w:cs="Arial"/>
          <w:szCs w:val="24"/>
        </w:rPr>
        <w:t xml:space="preserve"> solo conten</w:t>
      </w:r>
      <w:r w:rsidRPr="00E6086A">
        <w:rPr>
          <w:rFonts w:cs="Arial"/>
          <w:szCs w:val="24"/>
        </w:rPr>
        <w:t xml:space="preserve">ía </w:t>
      </w:r>
      <w:r w:rsidR="002E2C65" w:rsidRPr="00E6086A">
        <w:rPr>
          <w:rFonts w:cs="Arial"/>
          <w:szCs w:val="24"/>
        </w:rPr>
        <w:t>una orden referida a los trámites, la cual no tenía el alcance – ni podía tenerlo</w:t>
      </w:r>
      <w:r w:rsidRPr="00E6086A">
        <w:rPr>
          <w:rFonts w:cs="Arial"/>
          <w:szCs w:val="24"/>
        </w:rPr>
        <w:t xml:space="preserve">- </w:t>
      </w:r>
      <w:r w:rsidR="002E2C65" w:rsidRPr="00E6086A">
        <w:rPr>
          <w:rFonts w:cs="Arial"/>
          <w:szCs w:val="24"/>
        </w:rPr>
        <w:t xml:space="preserve">de trasladar </w:t>
      </w:r>
      <w:r w:rsidRPr="00E6086A">
        <w:rPr>
          <w:rFonts w:cs="Arial"/>
          <w:szCs w:val="24"/>
        </w:rPr>
        <w:t>la potestad para adjudicar la contratación del municipio al INVAL</w:t>
      </w:r>
      <w:r w:rsidR="002E2C65" w:rsidRPr="00E6086A">
        <w:rPr>
          <w:rFonts w:cs="Arial"/>
          <w:szCs w:val="24"/>
        </w:rPr>
        <w:t>.</w:t>
      </w:r>
    </w:p>
    <w:p w:rsidR="00936186" w:rsidRPr="00E6086A" w:rsidRDefault="00936186" w:rsidP="009D3798">
      <w:pPr>
        <w:pStyle w:val="Encabezado"/>
        <w:tabs>
          <w:tab w:val="clear" w:pos="4419"/>
          <w:tab w:val="clear" w:pos="8838"/>
          <w:tab w:val="right" w:pos="567"/>
        </w:tabs>
        <w:rPr>
          <w:rFonts w:cs="Arial"/>
          <w:szCs w:val="24"/>
        </w:rPr>
      </w:pPr>
    </w:p>
    <w:p w:rsidR="00ED13CB" w:rsidRPr="00E6086A" w:rsidRDefault="00ED13CB" w:rsidP="009D3798">
      <w:pPr>
        <w:pStyle w:val="Encabezado"/>
        <w:tabs>
          <w:tab w:val="clear" w:pos="4419"/>
          <w:tab w:val="clear" w:pos="8838"/>
          <w:tab w:val="right" w:pos="567"/>
        </w:tabs>
        <w:rPr>
          <w:rFonts w:cs="Arial"/>
          <w:szCs w:val="24"/>
        </w:rPr>
      </w:pPr>
      <w:r w:rsidRPr="00E6086A">
        <w:rPr>
          <w:rFonts w:cs="Arial"/>
          <w:szCs w:val="24"/>
        </w:rPr>
        <w:t>En la práctica t</w:t>
      </w:r>
      <w:r w:rsidR="00FD2F77" w:rsidRPr="00E6086A">
        <w:rPr>
          <w:rFonts w:cs="Arial"/>
          <w:szCs w:val="24"/>
        </w:rPr>
        <w:t xml:space="preserve">ampoco </w:t>
      </w:r>
      <w:r w:rsidRPr="00E6086A">
        <w:rPr>
          <w:rFonts w:cs="Arial"/>
          <w:szCs w:val="24"/>
        </w:rPr>
        <w:t xml:space="preserve">se presentó el ejercicio de una función </w:t>
      </w:r>
      <w:r w:rsidR="00212013" w:rsidRPr="00E6086A">
        <w:rPr>
          <w:rFonts w:cs="Arial"/>
          <w:szCs w:val="24"/>
        </w:rPr>
        <w:t xml:space="preserve">administrativa por parte del INVAL, </w:t>
      </w:r>
      <w:r w:rsidR="00A0514B" w:rsidRPr="00E6086A">
        <w:rPr>
          <w:rFonts w:cs="Arial"/>
          <w:szCs w:val="24"/>
        </w:rPr>
        <w:t xml:space="preserve">dado </w:t>
      </w:r>
      <w:r w:rsidR="003C72C8" w:rsidRPr="00E6086A">
        <w:rPr>
          <w:rFonts w:cs="Arial"/>
          <w:szCs w:val="24"/>
        </w:rPr>
        <w:t xml:space="preserve">que </w:t>
      </w:r>
      <w:r w:rsidRPr="00E6086A">
        <w:rPr>
          <w:rFonts w:cs="Arial"/>
          <w:szCs w:val="24"/>
        </w:rPr>
        <w:t xml:space="preserve">el delegado del municipio, que era el Secretario de Obras Públicas fue el que adoptó la calificación en la forma que se estimó correcta y, con fundamento en la respectiva motivación, </w:t>
      </w:r>
      <w:r w:rsidR="00C84177" w:rsidRPr="00E6086A">
        <w:rPr>
          <w:rFonts w:cs="Arial"/>
          <w:szCs w:val="24"/>
        </w:rPr>
        <w:t>adjudicó el contrato</w:t>
      </w:r>
      <w:r w:rsidRPr="00E6086A">
        <w:rPr>
          <w:rFonts w:cs="Arial"/>
          <w:szCs w:val="24"/>
        </w:rPr>
        <w:t>.</w:t>
      </w:r>
      <w:r w:rsidR="00C84177" w:rsidRPr="00E6086A">
        <w:rPr>
          <w:rFonts w:cs="Arial"/>
          <w:szCs w:val="24"/>
        </w:rPr>
        <w:t xml:space="preserve"> </w:t>
      </w:r>
    </w:p>
    <w:p w:rsidR="00ED13CB" w:rsidRPr="00E6086A" w:rsidRDefault="00ED13CB" w:rsidP="009D3798">
      <w:pPr>
        <w:pStyle w:val="Encabezado"/>
        <w:tabs>
          <w:tab w:val="clear" w:pos="4419"/>
          <w:tab w:val="clear" w:pos="8838"/>
          <w:tab w:val="right" w:pos="567"/>
        </w:tabs>
        <w:rPr>
          <w:rFonts w:cs="Arial"/>
          <w:szCs w:val="24"/>
        </w:rPr>
      </w:pPr>
    </w:p>
    <w:p w:rsidR="00936186" w:rsidRPr="00E6086A" w:rsidRDefault="0001321B" w:rsidP="009D3798">
      <w:pPr>
        <w:pStyle w:val="Encabezado"/>
        <w:tabs>
          <w:tab w:val="clear" w:pos="4419"/>
          <w:tab w:val="clear" w:pos="8838"/>
          <w:tab w:val="right" w:pos="567"/>
        </w:tabs>
        <w:rPr>
          <w:rFonts w:cs="Arial"/>
          <w:szCs w:val="24"/>
        </w:rPr>
      </w:pPr>
      <w:r w:rsidRPr="00E6086A">
        <w:rPr>
          <w:rFonts w:cs="Arial"/>
          <w:szCs w:val="24"/>
        </w:rPr>
        <w:t xml:space="preserve">Así las cosas, </w:t>
      </w:r>
      <w:r w:rsidR="003C72C8" w:rsidRPr="00E6086A">
        <w:rPr>
          <w:rFonts w:cs="Arial"/>
          <w:szCs w:val="24"/>
        </w:rPr>
        <w:t xml:space="preserve">no procede </w:t>
      </w:r>
      <w:r w:rsidR="00ED13CB" w:rsidRPr="00E6086A">
        <w:rPr>
          <w:rFonts w:cs="Arial"/>
          <w:szCs w:val="24"/>
        </w:rPr>
        <w:t xml:space="preserve">afirmar </w:t>
      </w:r>
      <w:r w:rsidR="003C72C8" w:rsidRPr="00E6086A">
        <w:rPr>
          <w:rFonts w:cs="Arial"/>
          <w:szCs w:val="24"/>
        </w:rPr>
        <w:t xml:space="preserve">que </w:t>
      </w:r>
      <w:r w:rsidR="00A0514B" w:rsidRPr="00E6086A">
        <w:rPr>
          <w:rFonts w:cs="Arial"/>
          <w:szCs w:val="24"/>
        </w:rPr>
        <w:t>el municipio de Medell</w:t>
      </w:r>
      <w:r w:rsidR="00201F26" w:rsidRPr="00E6086A">
        <w:rPr>
          <w:rFonts w:cs="Arial"/>
          <w:szCs w:val="24"/>
        </w:rPr>
        <w:t>í</w:t>
      </w:r>
      <w:r w:rsidR="00A0514B" w:rsidRPr="00E6086A">
        <w:rPr>
          <w:rFonts w:cs="Arial"/>
          <w:szCs w:val="24"/>
        </w:rPr>
        <w:t xml:space="preserve">n </w:t>
      </w:r>
      <w:r w:rsidR="003C72C8" w:rsidRPr="00E6086A">
        <w:rPr>
          <w:rFonts w:cs="Arial"/>
          <w:szCs w:val="24"/>
        </w:rPr>
        <w:t xml:space="preserve">desconoció </w:t>
      </w:r>
      <w:r w:rsidR="00A0514B" w:rsidRPr="00E6086A">
        <w:rPr>
          <w:rFonts w:cs="Arial"/>
          <w:szCs w:val="24"/>
        </w:rPr>
        <w:t xml:space="preserve">un </w:t>
      </w:r>
      <w:r w:rsidR="003C72C8" w:rsidRPr="00E6086A">
        <w:rPr>
          <w:rFonts w:cs="Arial"/>
          <w:szCs w:val="24"/>
        </w:rPr>
        <w:t>acto propio</w:t>
      </w:r>
      <w:r w:rsidR="00ED13CB" w:rsidRPr="00E6086A">
        <w:rPr>
          <w:rFonts w:cs="Arial"/>
          <w:szCs w:val="24"/>
        </w:rPr>
        <w:t xml:space="preserve"> cuando decidió apartarse de la calificación que adelantaron los funcionarios del INVAL.</w:t>
      </w:r>
      <w:r w:rsidR="00A0514B" w:rsidRPr="00E6086A">
        <w:rPr>
          <w:rFonts w:cs="Arial"/>
          <w:szCs w:val="24"/>
        </w:rPr>
        <w:t xml:space="preserve"> </w:t>
      </w:r>
    </w:p>
    <w:p w:rsidR="00936186" w:rsidRPr="00E6086A" w:rsidRDefault="00936186" w:rsidP="009D3798">
      <w:pPr>
        <w:pStyle w:val="Encabezado"/>
        <w:tabs>
          <w:tab w:val="clear" w:pos="4419"/>
          <w:tab w:val="clear" w:pos="8838"/>
          <w:tab w:val="right" w:pos="567"/>
        </w:tabs>
        <w:rPr>
          <w:rFonts w:cs="Arial"/>
          <w:szCs w:val="24"/>
        </w:rPr>
      </w:pPr>
    </w:p>
    <w:p w:rsidR="00ED13CB" w:rsidRPr="00E6086A" w:rsidRDefault="00A0514B" w:rsidP="009D3798">
      <w:pPr>
        <w:pStyle w:val="Encabezado"/>
        <w:tabs>
          <w:tab w:val="clear" w:pos="4419"/>
          <w:tab w:val="clear" w:pos="8838"/>
          <w:tab w:val="right" w:pos="567"/>
        </w:tabs>
        <w:rPr>
          <w:rFonts w:cs="Arial"/>
          <w:szCs w:val="24"/>
        </w:rPr>
      </w:pPr>
      <w:r w:rsidRPr="00E6086A">
        <w:rPr>
          <w:rFonts w:cs="Arial"/>
          <w:szCs w:val="24"/>
        </w:rPr>
        <w:t xml:space="preserve">Se </w:t>
      </w:r>
      <w:r w:rsidR="00C84177" w:rsidRPr="00E6086A">
        <w:rPr>
          <w:rFonts w:cs="Arial"/>
          <w:szCs w:val="24"/>
        </w:rPr>
        <w:t xml:space="preserve">agrega </w:t>
      </w:r>
      <w:r w:rsidRPr="00E6086A">
        <w:rPr>
          <w:rFonts w:cs="Arial"/>
          <w:szCs w:val="24"/>
        </w:rPr>
        <w:t xml:space="preserve">que el </w:t>
      </w:r>
      <w:r w:rsidR="003C72C8" w:rsidRPr="00E6086A">
        <w:rPr>
          <w:rFonts w:cs="Arial"/>
          <w:szCs w:val="24"/>
        </w:rPr>
        <w:t xml:space="preserve">informe del INVAL no </w:t>
      </w:r>
      <w:r w:rsidR="00ED13CB" w:rsidRPr="00E6086A">
        <w:rPr>
          <w:rFonts w:cs="Arial"/>
          <w:szCs w:val="24"/>
        </w:rPr>
        <w:t xml:space="preserve">constituyó </w:t>
      </w:r>
      <w:r w:rsidR="003C72C8" w:rsidRPr="00E6086A">
        <w:rPr>
          <w:rFonts w:cs="Arial"/>
          <w:szCs w:val="24"/>
        </w:rPr>
        <w:t>un acto administrativo</w:t>
      </w:r>
      <w:r w:rsidR="00ED13CB" w:rsidRPr="00E6086A">
        <w:rPr>
          <w:rFonts w:cs="Arial"/>
          <w:szCs w:val="24"/>
        </w:rPr>
        <w:t xml:space="preserve"> </w:t>
      </w:r>
      <w:r w:rsidR="00936186" w:rsidRPr="00E6086A">
        <w:rPr>
          <w:rFonts w:cs="Arial"/>
          <w:szCs w:val="24"/>
        </w:rPr>
        <w:t xml:space="preserve">en cuanto </w:t>
      </w:r>
      <w:r w:rsidR="00212013" w:rsidRPr="00E6086A">
        <w:rPr>
          <w:rFonts w:cs="Arial"/>
          <w:szCs w:val="24"/>
        </w:rPr>
        <w:t xml:space="preserve">que a diferencia del acto de adjudicación del contrato </w:t>
      </w:r>
      <w:r w:rsidR="00936186" w:rsidRPr="00E6086A">
        <w:rPr>
          <w:rFonts w:cs="Arial"/>
          <w:szCs w:val="24"/>
        </w:rPr>
        <w:t xml:space="preserve">no </w:t>
      </w:r>
      <w:r w:rsidR="00212013" w:rsidRPr="00E6086A">
        <w:rPr>
          <w:rFonts w:cs="Arial"/>
          <w:szCs w:val="24"/>
        </w:rPr>
        <w:t xml:space="preserve">configuró </w:t>
      </w:r>
      <w:r w:rsidR="00936186" w:rsidRPr="00E6086A">
        <w:rPr>
          <w:rFonts w:cs="Arial"/>
          <w:szCs w:val="24"/>
        </w:rPr>
        <w:t xml:space="preserve">ninguna decisión con efectos jurídicos </w:t>
      </w:r>
      <w:r w:rsidR="00ED13CB" w:rsidRPr="00E6086A">
        <w:rPr>
          <w:rFonts w:cs="Arial"/>
          <w:szCs w:val="24"/>
        </w:rPr>
        <w:t xml:space="preserve">oponibles </w:t>
      </w:r>
      <w:r w:rsidR="00936186" w:rsidRPr="00E6086A">
        <w:rPr>
          <w:rFonts w:cs="Arial"/>
          <w:szCs w:val="24"/>
        </w:rPr>
        <w:t>a los proponentes</w:t>
      </w:r>
      <w:r w:rsidR="00ED13CB" w:rsidRPr="00E6086A">
        <w:rPr>
          <w:rFonts w:cs="Arial"/>
          <w:szCs w:val="24"/>
        </w:rPr>
        <w:t>.</w:t>
      </w:r>
    </w:p>
    <w:p w:rsidR="00FD2F77" w:rsidRPr="00E6086A" w:rsidRDefault="00FD2F77" w:rsidP="009D3798">
      <w:pPr>
        <w:pStyle w:val="Encabezado"/>
        <w:tabs>
          <w:tab w:val="clear" w:pos="4419"/>
          <w:tab w:val="clear" w:pos="8838"/>
          <w:tab w:val="right" w:pos="567"/>
        </w:tabs>
        <w:rPr>
          <w:rFonts w:cs="Arial"/>
          <w:szCs w:val="24"/>
        </w:rPr>
      </w:pPr>
    </w:p>
    <w:p w:rsidR="006A0A1B" w:rsidRPr="00E6086A" w:rsidRDefault="00C84177" w:rsidP="009D3798">
      <w:pPr>
        <w:pStyle w:val="Encabezado"/>
        <w:tabs>
          <w:tab w:val="clear" w:pos="4419"/>
          <w:tab w:val="clear" w:pos="8838"/>
          <w:tab w:val="right" w:pos="567"/>
        </w:tabs>
        <w:rPr>
          <w:rFonts w:cs="Arial"/>
          <w:szCs w:val="24"/>
        </w:rPr>
      </w:pPr>
      <w:r w:rsidRPr="00E6086A">
        <w:rPr>
          <w:rFonts w:cs="Arial"/>
          <w:szCs w:val="24"/>
        </w:rPr>
        <w:t>Ah</w:t>
      </w:r>
      <w:r w:rsidR="00ED13CB" w:rsidRPr="00E6086A">
        <w:rPr>
          <w:rFonts w:cs="Arial"/>
          <w:szCs w:val="24"/>
        </w:rPr>
        <w:t>o</w:t>
      </w:r>
      <w:r w:rsidRPr="00E6086A">
        <w:rPr>
          <w:rFonts w:cs="Arial"/>
          <w:szCs w:val="24"/>
        </w:rPr>
        <w:t xml:space="preserve">ra bien, </w:t>
      </w:r>
      <w:r w:rsidR="00ED13CB" w:rsidRPr="00E6086A">
        <w:rPr>
          <w:rFonts w:cs="Arial"/>
          <w:szCs w:val="24"/>
        </w:rPr>
        <w:t xml:space="preserve">en orden a verificar que el ejercicio de la delegación se ajustó al </w:t>
      </w:r>
      <w:r w:rsidR="00212013" w:rsidRPr="00E6086A">
        <w:rPr>
          <w:rFonts w:cs="Arial"/>
          <w:szCs w:val="24"/>
        </w:rPr>
        <w:t xml:space="preserve">contenido del </w:t>
      </w:r>
      <w:r w:rsidR="00B27C9A" w:rsidRPr="00E6086A">
        <w:rPr>
          <w:rFonts w:cs="Arial"/>
          <w:szCs w:val="24"/>
        </w:rPr>
        <w:t>Decreto que la dispuso</w:t>
      </w:r>
      <w:r w:rsidR="00ED13CB" w:rsidRPr="00E6086A">
        <w:rPr>
          <w:rFonts w:cs="Arial"/>
          <w:szCs w:val="24"/>
        </w:rPr>
        <w:t xml:space="preserve">, </w:t>
      </w:r>
      <w:r w:rsidRPr="00E6086A">
        <w:rPr>
          <w:rFonts w:cs="Arial"/>
          <w:szCs w:val="24"/>
        </w:rPr>
        <w:t>s</w:t>
      </w:r>
      <w:r w:rsidR="004528FC" w:rsidRPr="00E6086A">
        <w:rPr>
          <w:rFonts w:cs="Arial"/>
          <w:szCs w:val="24"/>
        </w:rPr>
        <w:t xml:space="preserve">e </w:t>
      </w:r>
      <w:r w:rsidR="00B27C9A" w:rsidRPr="00E6086A">
        <w:rPr>
          <w:rFonts w:cs="Arial"/>
          <w:szCs w:val="24"/>
        </w:rPr>
        <w:t xml:space="preserve">observa </w:t>
      </w:r>
      <w:r w:rsidR="004528FC" w:rsidRPr="00E6086A">
        <w:rPr>
          <w:rFonts w:cs="Arial"/>
          <w:szCs w:val="24"/>
        </w:rPr>
        <w:t xml:space="preserve">que licitación </w:t>
      </w:r>
      <w:r w:rsidR="00756317" w:rsidRPr="00E6086A">
        <w:rPr>
          <w:rFonts w:cs="Arial"/>
          <w:szCs w:val="24"/>
        </w:rPr>
        <w:t xml:space="preserve">pública </w:t>
      </w:r>
      <w:r w:rsidR="00201F26" w:rsidRPr="00E6086A">
        <w:rPr>
          <w:rFonts w:cs="Arial"/>
          <w:i/>
          <w:szCs w:val="24"/>
        </w:rPr>
        <w:t>sub lite</w:t>
      </w:r>
      <w:r w:rsidR="00201F26" w:rsidRPr="00E6086A">
        <w:rPr>
          <w:rFonts w:cs="Arial"/>
          <w:szCs w:val="24"/>
        </w:rPr>
        <w:t xml:space="preserve"> </w:t>
      </w:r>
      <w:r w:rsidR="004528FC" w:rsidRPr="00E6086A">
        <w:rPr>
          <w:rFonts w:cs="Arial"/>
          <w:szCs w:val="24"/>
        </w:rPr>
        <w:t xml:space="preserve">se refirió al contrato de </w:t>
      </w:r>
      <w:r w:rsidR="00212013" w:rsidRPr="00E6086A">
        <w:rPr>
          <w:rFonts w:cs="Arial"/>
          <w:szCs w:val="24"/>
        </w:rPr>
        <w:t xml:space="preserve">construcción </w:t>
      </w:r>
      <w:r w:rsidR="00224044" w:rsidRPr="00E6086A">
        <w:rPr>
          <w:rFonts w:cs="Arial"/>
          <w:szCs w:val="24"/>
        </w:rPr>
        <w:t>del Colegio B</w:t>
      </w:r>
      <w:r w:rsidR="00212013" w:rsidRPr="00E6086A">
        <w:rPr>
          <w:rFonts w:cs="Arial"/>
          <w:szCs w:val="24"/>
        </w:rPr>
        <w:t xml:space="preserve">lanquizal </w:t>
      </w:r>
      <w:r w:rsidR="00224044" w:rsidRPr="00E6086A">
        <w:rPr>
          <w:rFonts w:cs="Arial"/>
          <w:szCs w:val="24"/>
        </w:rPr>
        <w:t>en la ciudad de Medellín</w:t>
      </w:r>
      <w:r w:rsidR="00B27C9A" w:rsidRPr="00E6086A">
        <w:rPr>
          <w:rFonts w:cs="Arial"/>
          <w:szCs w:val="24"/>
        </w:rPr>
        <w:t>;</w:t>
      </w:r>
      <w:r w:rsidR="00212013" w:rsidRPr="00E6086A">
        <w:rPr>
          <w:rFonts w:cs="Arial"/>
          <w:szCs w:val="24"/>
        </w:rPr>
        <w:t xml:space="preserve"> </w:t>
      </w:r>
      <w:r w:rsidR="008501B9" w:rsidRPr="00E6086A">
        <w:rPr>
          <w:rFonts w:cs="Arial"/>
          <w:szCs w:val="24"/>
        </w:rPr>
        <w:t>que a través de la Resolución 075 de 1999 se adjudicó el contrato por la suma de $1.003’000.001</w:t>
      </w:r>
      <w:r w:rsidR="00212013" w:rsidRPr="00E6086A">
        <w:rPr>
          <w:rFonts w:cs="Arial"/>
          <w:szCs w:val="24"/>
        </w:rPr>
        <w:t xml:space="preserve"> y que ese acto se encontró dentro del rango de la competencia por cuantía prevista en el artículo 4 del Decreto 724 de 1999,</w:t>
      </w:r>
      <w:r w:rsidR="006A0A1B" w:rsidRPr="00E6086A">
        <w:rPr>
          <w:rFonts w:cs="Arial"/>
          <w:szCs w:val="24"/>
        </w:rPr>
        <w:t xml:space="preserve"> toda vez que </w:t>
      </w:r>
      <w:r w:rsidR="00B27C9A" w:rsidRPr="00E6086A">
        <w:rPr>
          <w:rFonts w:cs="Arial"/>
          <w:szCs w:val="24"/>
        </w:rPr>
        <w:t xml:space="preserve">el valor </w:t>
      </w:r>
      <w:r w:rsidR="006A0A1B" w:rsidRPr="00E6086A">
        <w:rPr>
          <w:rFonts w:cs="Arial"/>
          <w:szCs w:val="24"/>
        </w:rPr>
        <w:t>del contrato se ubicó entre los mil y los veinte</w:t>
      </w:r>
      <w:r w:rsidR="00201F26" w:rsidRPr="00E6086A">
        <w:rPr>
          <w:rFonts w:cs="Arial"/>
          <w:szCs w:val="24"/>
        </w:rPr>
        <w:t xml:space="preserve"> </w:t>
      </w:r>
      <w:r w:rsidR="006A0A1B" w:rsidRPr="00E6086A">
        <w:rPr>
          <w:rFonts w:cs="Arial"/>
          <w:szCs w:val="24"/>
        </w:rPr>
        <w:t>mil salarios mínimo</w:t>
      </w:r>
      <w:r w:rsidR="00B4080F" w:rsidRPr="00E6086A">
        <w:rPr>
          <w:rFonts w:cs="Arial"/>
          <w:szCs w:val="24"/>
        </w:rPr>
        <w:t>s</w:t>
      </w:r>
      <w:r w:rsidR="00930B7E" w:rsidRPr="00E6086A">
        <w:rPr>
          <w:rFonts w:cs="Arial"/>
          <w:szCs w:val="24"/>
        </w:rPr>
        <w:t xml:space="preserve"> ($</w:t>
      </w:r>
      <w:r w:rsidR="00930B7E" w:rsidRPr="00E6086A">
        <w:rPr>
          <w:rFonts w:cs="Arial"/>
          <w:color w:val="000000"/>
          <w:szCs w:val="24"/>
        </w:rPr>
        <w:t>236’ 460.000 y $4</w:t>
      </w:r>
      <w:r w:rsidR="004824FD" w:rsidRPr="00E6086A">
        <w:rPr>
          <w:rFonts w:cs="Arial"/>
          <w:color w:val="000000"/>
          <w:szCs w:val="24"/>
        </w:rPr>
        <w:t>.</w:t>
      </w:r>
      <w:r w:rsidR="00930B7E" w:rsidRPr="00E6086A">
        <w:rPr>
          <w:rFonts w:cs="Arial"/>
          <w:color w:val="000000"/>
          <w:szCs w:val="24"/>
        </w:rPr>
        <w:t>729’200.000)</w:t>
      </w:r>
      <w:r w:rsidR="00930B7E" w:rsidRPr="00E6086A">
        <w:rPr>
          <w:rStyle w:val="Refdenotaalpie"/>
          <w:rFonts w:cs="Arial"/>
          <w:color w:val="000000"/>
          <w:szCs w:val="24"/>
        </w:rPr>
        <w:footnoteReference w:id="47"/>
      </w:r>
      <w:r w:rsidR="004C3C70" w:rsidRPr="00E6086A">
        <w:rPr>
          <w:rFonts w:cs="Arial"/>
          <w:color w:val="000000"/>
          <w:szCs w:val="24"/>
        </w:rPr>
        <w:t>,</w:t>
      </w:r>
      <w:r w:rsidR="006A0A1B" w:rsidRPr="00E6086A">
        <w:rPr>
          <w:rFonts w:cs="Arial"/>
          <w:szCs w:val="24"/>
        </w:rPr>
        <w:t xml:space="preserve"> como lo fijó </w:t>
      </w:r>
      <w:r w:rsidR="00B4080F" w:rsidRPr="00E6086A">
        <w:rPr>
          <w:rFonts w:cs="Arial"/>
          <w:szCs w:val="24"/>
        </w:rPr>
        <w:t xml:space="preserve">el </w:t>
      </w:r>
      <w:r w:rsidR="00B27C9A" w:rsidRPr="00E6086A">
        <w:rPr>
          <w:rFonts w:cs="Arial"/>
          <w:szCs w:val="24"/>
        </w:rPr>
        <w:t>D</w:t>
      </w:r>
      <w:r w:rsidR="004824FD" w:rsidRPr="00E6086A">
        <w:rPr>
          <w:rFonts w:cs="Arial"/>
          <w:szCs w:val="24"/>
        </w:rPr>
        <w:t xml:space="preserve">ecreto </w:t>
      </w:r>
      <w:r w:rsidR="00B27C9A" w:rsidRPr="00E6086A">
        <w:rPr>
          <w:rFonts w:cs="Arial"/>
          <w:szCs w:val="24"/>
        </w:rPr>
        <w:t xml:space="preserve">724, que era el acto </w:t>
      </w:r>
      <w:r w:rsidR="004824FD" w:rsidRPr="00E6086A">
        <w:rPr>
          <w:rFonts w:cs="Arial"/>
          <w:szCs w:val="24"/>
        </w:rPr>
        <w:t xml:space="preserve">contentivo de la </w:t>
      </w:r>
      <w:r w:rsidR="00B4080F" w:rsidRPr="00E6086A">
        <w:rPr>
          <w:rFonts w:cs="Arial"/>
          <w:szCs w:val="24"/>
        </w:rPr>
        <w:t>delegación.</w:t>
      </w:r>
    </w:p>
    <w:p w:rsidR="00936186" w:rsidRPr="00E6086A" w:rsidRDefault="00936186" w:rsidP="009D3798">
      <w:pPr>
        <w:pStyle w:val="Encabezado"/>
        <w:tabs>
          <w:tab w:val="clear" w:pos="4419"/>
          <w:tab w:val="clear" w:pos="8838"/>
          <w:tab w:val="right" w:pos="567"/>
        </w:tabs>
        <w:rPr>
          <w:rFonts w:cs="Arial"/>
          <w:szCs w:val="24"/>
        </w:rPr>
      </w:pPr>
    </w:p>
    <w:p w:rsidR="00FD2F77" w:rsidRPr="00E6086A" w:rsidRDefault="00936186" w:rsidP="009D3798">
      <w:pPr>
        <w:pStyle w:val="Encabezado"/>
        <w:tabs>
          <w:tab w:val="clear" w:pos="4419"/>
          <w:tab w:val="clear" w:pos="8838"/>
          <w:tab w:val="right" w:pos="567"/>
        </w:tabs>
        <w:rPr>
          <w:rFonts w:cs="Arial"/>
          <w:szCs w:val="24"/>
        </w:rPr>
      </w:pPr>
      <w:r w:rsidRPr="00E6086A">
        <w:rPr>
          <w:rFonts w:cs="Arial"/>
          <w:szCs w:val="24"/>
        </w:rPr>
        <w:t xml:space="preserve">Finalmente, pueden reiterarse las consideraciones de la sentencia de primera instancia en cuanto </w:t>
      </w:r>
      <w:r w:rsidR="0001321B" w:rsidRPr="00E6086A">
        <w:rPr>
          <w:rFonts w:cs="Arial"/>
          <w:szCs w:val="24"/>
        </w:rPr>
        <w:t xml:space="preserve">a </w:t>
      </w:r>
      <w:r w:rsidRPr="00E6086A">
        <w:rPr>
          <w:rFonts w:cs="Arial"/>
          <w:szCs w:val="24"/>
        </w:rPr>
        <w:t xml:space="preserve">que en el plenario se aprecia que </w:t>
      </w:r>
      <w:r w:rsidR="00FD2F77" w:rsidRPr="00E6086A">
        <w:rPr>
          <w:rFonts w:cs="Arial"/>
          <w:szCs w:val="24"/>
        </w:rPr>
        <w:t xml:space="preserve">el acto acusado </w:t>
      </w:r>
      <w:r w:rsidRPr="00E6086A">
        <w:rPr>
          <w:rFonts w:cs="Arial"/>
          <w:szCs w:val="24"/>
        </w:rPr>
        <w:t>se adopt</w:t>
      </w:r>
      <w:r w:rsidR="00FD2F77" w:rsidRPr="00E6086A">
        <w:rPr>
          <w:rFonts w:cs="Arial"/>
          <w:szCs w:val="24"/>
        </w:rPr>
        <w:t xml:space="preserve">ó bajo observancia del </w:t>
      </w:r>
      <w:r w:rsidRPr="00E6086A">
        <w:rPr>
          <w:rFonts w:cs="Arial"/>
          <w:szCs w:val="24"/>
        </w:rPr>
        <w:t>principio de transparencia establecido en el artículo 24 de la Ley 80 de 1993</w:t>
      </w:r>
      <w:r w:rsidR="00C84177" w:rsidRPr="00E6086A">
        <w:rPr>
          <w:rFonts w:cs="Arial"/>
          <w:szCs w:val="24"/>
        </w:rPr>
        <w:t xml:space="preserve">, </w:t>
      </w:r>
      <w:r w:rsidR="00FD2F77" w:rsidRPr="00E6086A">
        <w:rPr>
          <w:rFonts w:cs="Arial"/>
          <w:szCs w:val="24"/>
        </w:rPr>
        <w:t xml:space="preserve">de acuerdo con </w:t>
      </w:r>
      <w:r w:rsidRPr="00E6086A">
        <w:rPr>
          <w:rFonts w:cs="Arial"/>
          <w:szCs w:val="24"/>
        </w:rPr>
        <w:t xml:space="preserve">los procedimientos de traslado </w:t>
      </w:r>
      <w:r w:rsidR="00C84177" w:rsidRPr="00E6086A">
        <w:rPr>
          <w:rFonts w:cs="Arial"/>
          <w:szCs w:val="24"/>
        </w:rPr>
        <w:t xml:space="preserve">de los informes </w:t>
      </w:r>
      <w:r w:rsidRPr="00E6086A">
        <w:rPr>
          <w:rFonts w:cs="Arial"/>
          <w:szCs w:val="24"/>
        </w:rPr>
        <w:t>y participación de todos los proponentes, es decir</w:t>
      </w:r>
      <w:r w:rsidR="0001321B" w:rsidRPr="00E6086A">
        <w:rPr>
          <w:rFonts w:cs="Arial"/>
          <w:szCs w:val="24"/>
        </w:rPr>
        <w:t>,</w:t>
      </w:r>
      <w:r w:rsidRPr="00E6086A">
        <w:rPr>
          <w:rFonts w:cs="Arial"/>
          <w:szCs w:val="24"/>
        </w:rPr>
        <w:t xml:space="preserve"> con arreglo a la buena fe, al principio del debido proceso y a las reglas del pliego de condiciones, </w:t>
      </w:r>
      <w:r w:rsidR="00FD2F77" w:rsidRPr="00E6086A">
        <w:rPr>
          <w:rFonts w:cs="Arial"/>
          <w:szCs w:val="24"/>
        </w:rPr>
        <w:t xml:space="preserve">sin que se haya acreditado en este proceso la violación de lo dispuesto </w:t>
      </w:r>
      <w:r w:rsidRPr="00E6086A">
        <w:rPr>
          <w:rFonts w:cs="Arial"/>
          <w:szCs w:val="24"/>
        </w:rPr>
        <w:t xml:space="preserve">en los artículos 3, 28, 29 </w:t>
      </w:r>
      <w:r w:rsidR="0001321B" w:rsidRPr="00E6086A">
        <w:rPr>
          <w:rFonts w:cs="Arial"/>
          <w:szCs w:val="24"/>
        </w:rPr>
        <w:t>y</w:t>
      </w:r>
      <w:r w:rsidRPr="00E6086A">
        <w:rPr>
          <w:rFonts w:cs="Arial"/>
          <w:szCs w:val="24"/>
        </w:rPr>
        <w:t xml:space="preserve"> 30 de la Ley 80 de 1993,</w:t>
      </w:r>
      <w:r w:rsidR="00FD2F77" w:rsidRPr="00E6086A">
        <w:rPr>
          <w:rFonts w:cs="Arial"/>
          <w:szCs w:val="24"/>
        </w:rPr>
        <w:t xml:space="preserve"> que aleg</w:t>
      </w:r>
      <w:r w:rsidR="0001321B" w:rsidRPr="00E6086A">
        <w:rPr>
          <w:rFonts w:cs="Arial"/>
          <w:szCs w:val="24"/>
        </w:rPr>
        <w:t>ó</w:t>
      </w:r>
      <w:r w:rsidR="00FD2F77" w:rsidRPr="00E6086A">
        <w:rPr>
          <w:rFonts w:cs="Arial"/>
          <w:szCs w:val="24"/>
        </w:rPr>
        <w:t xml:space="preserve"> la </w:t>
      </w:r>
      <w:r w:rsidR="0001321B" w:rsidRPr="00E6086A">
        <w:rPr>
          <w:rFonts w:cs="Arial"/>
          <w:szCs w:val="24"/>
        </w:rPr>
        <w:t xml:space="preserve">parte </w:t>
      </w:r>
      <w:r w:rsidR="00FD2F77" w:rsidRPr="00E6086A">
        <w:rPr>
          <w:rFonts w:cs="Arial"/>
          <w:szCs w:val="24"/>
        </w:rPr>
        <w:t>demandante.</w:t>
      </w:r>
    </w:p>
    <w:p w:rsidR="00FD2F77" w:rsidRPr="00E6086A" w:rsidRDefault="00FD2F77" w:rsidP="009D3798">
      <w:pPr>
        <w:pStyle w:val="Encabezado"/>
        <w:tabs>
          <w:tab w:val="clear" w:pos="4419"/>
          <w:tab w:val="clear" w:pos="8838"/>
          <w:tab w:val="right" w:pos="567"/>
        </w:tabs>
        <w:rPr>
          <w:rFonts w:cs="Arial"/>
          <w:szCs w:val="24"/>
        </w:rPr>
      </w:pPr>
    </w:p>
    <w:p w:rsidR="00FD2F77" w:rsidRPr="00E6086A" w:rsidRDefault="00FD2F77" w:rsidP="009D3798">
      <w:pPr>
        <w:pStyle w:val="Encabezado"/>
        <w:tabs>
          <w:tab w:val="clear" w:pos="4419"/>
          <w:tab w:val="clear" w:pos="8838"/>
          <w:tab w:val="right" w:pos="567"/>
        </w:tabs>
        <w:rPr>
          <w:rFonts w:cs="Arial"/>
          <w:szCs w:val="24"/>
        </w:rPr>
      </w:pPr>
      <w:r w:rsidRPr="00E6086A">
        <w:rPr>
          <w:rFonts w:cs="Arial"/>
          <w:szCs w:val="24"/>
        </w:rPr>
        <w:t>Como consecuencia, se confirmará la sentencia de primera instancia.</w:t>
      </w:r>
    </w:p>
    <w:p w:rsidR="00936186" w:rsidRPr="00E6086A" w:rsidRDefault="00936186" w:rsidP="009D3798">
      <w:pPr>
        <w:pStyle w:val="Encabezado"/>
        <w:tabs>
          <w:tab w:val="clear" w:pos="4419"/>
          <w:tab w:val="clear" w:pos="8838"/>
          <w:tab w:val="right" w:pos="567"/>
        </w:tabs>
        <w:rPr>
          <w:rFonts w:cs="Arial"/>
          <w:szCs w:val="24"/>
        </w:rPr>
      </w:pPr>
    </w:p>
    <w:p w:rsidR="000C2509" w:rsidRPr="00E6086A" w:rsidRDefault="000C2509" w:rsidP="009D3798">
      <w:pPr>
        <w:pStyle w:val="Encabezado"/>
        <w:tabs>
          <w:tab w:val="clear" w:pos="4419"/>
          <w:tab w:val="clear" w:pos="8838"/>
          <w:tab w:val="right" w:pos="567"/>
        </w:tabs>
        <w:rPr>
          <w:rFonts w:cs="Arial"/>
          <w:szCs w:val="24"/>
        </w:rPr>
      </w:pPr>
    </w:p>
    <w:p w:rsidR="00CF76FD" w:rsidRPr="00E6086A" w:rsidRDefault="000C29CA" w:rsidP="009D3798">
      <w:pPr>
        <w:pStyle w:val="Encabezado"/>
        <w:tabs>
          <w:tab w:val="clear" w:pos="4419"/>
          <w:tab w:val="center" w:pos="0"/>
        </w:tabs>
        <w:rPr>
          <w:rFonts w:cs="Arial"/>
          <w:b/>
          <w:szCs w:val="24"/>
        </w:rPr>
      </w:pPr>
      <w:r w:rsidRPr="00E6086A">
        <w:rPr>
          <w:rFonts w:cs="Arial"/>
          <w:b/>
          <w:szCs w:val="24"/>
        </w:rPr>
        <w:t>7</w:t>
      </w:r>
      <w:r w:rsidR="007A7EDE" w:rsidRPr="00E6086A">
        <w:rPr>
          <w:rFonts w:cs="Arial"/>
          <w:b/>
          <w:szCs w:val="24"/>
        </w:rPr>
        <w:t>.</w:t>
      </w:r>
      <w:r w:rsidR="00824E15" w:rsidRPr="00E6086A">
        <w:rPr>
          <w:rFonts w:cs="Arial"/>
          <w:b/>
          <w:szCs w:val="24"/>
        </w:rPr>
        <w:t xml:space="preserve"> </w:t>
      </w:r>
      <w:r w:rsidR="001C6D0F" w:rsidRPr="00E6086A">
        <w:rPr>
          <w:rFonts w:cs="Arial"/>
          <w:b/>
          <w:szCs w:val="24"/>
        </w:rPr>
        <w:t>Costas</w:t>
      </w:r>
    </w:p>
    <w:p w:rsidR="0007265F" w:rsidRPr="00E6086A" w:rsidRDefault="0007265F" w:rsidP="009D3798">
      <w:pPr>
        <w:rPr>
          <w:rFonts w:cs="Arial"/>
        </w:rPr>
      </w:pPr>
    </w:p>
    <w:p w:rsidR="00921B06" w:rsidRPr="00E6086A" w:rsidRDefault="00CF76FD" w:rsidP="009D3798">
      <w:pPr>
        <w:pStyle w:val="Continuarlista2"/>
        <w:spacing w:after="0"/>
        <w:ind w:left="0"/>
        <w:rPr>
          <w:rFonts w:cs="Arial"/>
        </w:rPr>
      </w:pPr>
      <w:r w:rsidRPr="00E6086A">
        <w:rPr>
          <w:rFonts w:cs="Arial"/>
        </w:rPr>
        <w:t xml:space="preserve">Habida cuenta </w:t>
      </w:r>
      <w:r w:rsidR="002921BB" w:rsidRPr="00E6086A">
        <w:rPr>
          <w:rFonts w:cs="Arial"/>
        </w:rPr>
        <w:t xml:space="preserve">de </w:t>
      </w:r>
      <w:r w:rsidRPr="00E6086A">
        <w:rPr>
          <w:rFonts w:cs="Arial"/>
        </w:rPr>
        <w:t xml:space="preserve">que para el </w:t>
      </w:r>
      <w:r w:rsidR="002921BB" w:rsidRPr="00E6086A">
        <w:rPr>
          <w:rFonts w:cs="Arial"/>
        </w:rPr>
        <w:t xml:space="preserve">presente caso resulta aplicable </w:t>
      </w:r>
      <w:r w:rsidR="005D4B0D" w:rsidRPr="00E6086A">
        <w:rPr>
          <w:rFonts w:cs="Arial"/>
        </w:rPr>
        <w:t>el artículo 55 de la L</w:t>
      </w:r>
      <w:r w:rsidRPr="00E6086A">
        <w:rPr>
          <w:rFonts w:cs="Arial"/>
        </w:rPr>
        <w:t>ey 446 de 1998</w:t>
      </w:r>
      <w:r w:rsidR="0001321B" w:rsidRPr="00E6086A">
        <w:rPr>
          <w:rFonts w:cs="Arial"/>
        </w:rPr>
        <w:t>,</w:t>
      </w:r>
      <w:r w:rsidRPr="00E6086A">
        <w:rPr>
          <w:rFonts w:cs="Arial"/>
        </w:rPr>
        <w:t xml:space="preserve"> </w:t>
      </w:r>
      <w:r w:rsidR="002921BB" w:rsidRPr="00E6086A">
        <w:rPr>
          <w:rFonts w:cs="Arial"/>
        </w:rPr>
        <w:t xml:space="preserve">de acuerdo con el cual </w:t>
      </w:r>
      <w:r w:rsidRPr="00E6086A">
        <w:rPr>
          <w:rFonts w:cs="Arial"/>
        </w:rPr>
        <w:t>s</w:t>
      </w:r>
      <w:r w:rsidR="0001321B" w:rsidRPr="00E6086A">
        <w:rPr>
          <w:rFonts w:cs="Arial"/>
        </w:rPr>
        <w:t>o</w:t>
      </w:r>
      <w:r w:rsidRPr="00E6086A">
        <w:rPr>
          <w:rFonts w:cs="Arial"/>
        </w:rPr>
        <w:t xml:space="preserve">lo hay lugar a la imposición de costas </w:t>
      </w:r>
      <w:r w:rsidR="002921BB" w:rsidRPr="00E6086A">
        <w:rPr>
          <w:rFonts w:cs="Arial"/>
        </w:rPr>
        <w:t xml:space="preserve">de </w:t>
      </w:r>
      <w:r w:rsidR="0087229C" w:rsidRPr="00E6086A">
        <w:rPr>
          <w:rFonts w:cs="Arial"/>
        </w:rPr>
        <w:t xml:space="preserve">conformidad </w:t>
      </w:r>
      <w:r w:rsidR="002921BB" w:rsidRPr="00E6086A">
        <w:rPr>
          <w:rFonts w:cs="Arial"/>
        </w:rPr>
        <w:t xml:space="preserve">con la conducta de las partes y que </w:t>
      </w:r>
      <w:r w:rsidRPr="00E6086A">
        <w:rPr>
          <w:rFonts w:cs="Arial"/>
        </w:rPr>
        <w:t xml:space="preserve">en el </w:t>
      </w:r>
      <w:r w:rsidRPr="00E6086A">
        <w:rPr>
          <w:rFonts w:cs="Arial"/>
          <w:i/>
          <w:iCs/>
        </w:rPr>
        <w:t>sub lite</w:t>
      </w:r>
      <w:r w:rsidRPr="00E6086A">
        <w:rPr>
          <w:rFonts w:cs="Arial"/>
        </w:rPr>
        <w:t xml:space="preserve"> ninguna </w:t>
      </w:r>
      <w:r w:rsidR="00AE6987" w:rsidRPr="00E6086A">
        <w:rPr>
          <w:rFonts w:cs="Arial"/>
        </w:rPr>
        <w:t xml:space="preserve">de ellas </w:t>
      </w:r>
      <w:r w:rsidRPr="00E6086A">
        <w:rPr>
          <w:rFonts w:cs="Arial"/>
        </w:rPr>
        <w:t xml:space="preserve">actuó </w:t>
      </w:r>
      <w:r w:rsidR="00AE6987" w:rsidRPr="00E6086A">
        <w:rPr>
          <w:rFonts w:cs="Arial"/>
        </w:rPr>
        <w:t xml:space="preserve">temerariamente, se concluye que </w:t>
      </w:r>
      <w:r w:rsidRPr="00E6086A">
        <w:rPr>
          <w:rFonts w:cs="Arial"/>
        </w:rPr>
        <w:t xml:space="preserve"> en el presente asunto no habrá lugar a imponer</w:t>
      </w:r>
      <w:r w:rsidR="00AE6987" w:rsidRPr="00E6086A">
        <w:rPr>
          <w:rFonts w:cs="Arial"/>
        </w:rPr>
        <w:t xml:space="preserve"> condena en costas.</w:t>
      </w:r>
    </w:p>
    <w:p w:rsidR="00B66964" w:rsidRPr="00E6086A" w:rsidRDefault="00B66964" w:rsidP="009D3798">
      <w:pPr>
        <w:pStyle w:val="Continuarlista2"/>
        <w:spacing w:after="0"/>
        <w:ind w:left="0"/>
        <w:rPr>
          <w:rFonts w:cs="Arial"/>
        </w:rPr>
      </w:pPr>
    </w:p>
    <w:p w:rsidR="002D4371" w:rsidRPr="00E6086A" w:rsidRDefault="002D4371" w:rsidP="009D3798">
      <w:pPr>
        <w:pStyle w:val="Continuarlista2"/>
        <w:spacing w:after="0"/>
        <w:ind w:left="0"/>
        <w:rPr>
          <w:rFonts w:cs="Arial"/>
        </w:rPr>
      </w:pPr>
      <w:r w:rsidRPr="00E6086A">
        <w:rPr>
          <w:rFonts w:cs="Arial"/>
        </w:rPr>
        <w:t>En mérito de lo expuesto, el Consejo de Estado, en Sala de lo Contencioso Administrativo, Sección Tercera,</w:t>
      </w:r>
      <w:r w:rsidR="00AD4DBE" w:rsidRPr="00E6086A">
        <w:rPr>
          <w:rFonts w:cs="Arial"/>
        </w:rPr>
        <w:t xml:space="preserve"> Subsección A,</w:t>
      </w:r>
      <w:r w:rsidRPr="00E6086A">
        <w:rPr>
          <w:rFonts w:cs="Arial"/>
        </w:rPr>
        <w:t xml:space="preserve"> administrando justicia en nombre de la República de Colombia y por autoridad de la ley,</w:t>
      </w:r>
    </w:p>
    <w:p w:rsidR="0001321B" w:rsidRPr="00E6086A" w:rsidRDefault="0001321B" w:rsidP="009D3798">
      <w:pPr>
        <w:rPr>
          <w:rFonts w:cs="Arial"/>
        </w:rPr>
      </w:pPr>
    </w:p>
    <w:p w:rsidR="00EA2611" w:rsidRPr="00E6086A" w:rsidRDefault="00EA2611" w:rsidP="009D3798">
      <w:pPr>
        <w:pStyle w:val="Ttulo5"/>
        <w:rPr>
          <w:rFonts w:cs="Arial"/>
          <w:bCs/>
          <w:sz w:val="24"/>
          <w:szCs w:val="24"/>
        </w:rPr>
      </w:pPr>
      <w:r w:rsidRPr="00E6086A">
        <w:rPr>
          <w:rFonts w:cs="Arial"/>
          <w:bCs/>
          <w:sz w:val="24"/>
          <w:szCs w:val="24"/>
        </w:rPr>
        <w:t>F A L L A</w:t>
      </w:r>
    </w:p>
    <w:p w:rsidR="00ED77A2" w:rsidRPr="00E6086A" w:rsidRDefault="00ED77A2" w:rsidP="009D3798">
      <w:pPr>
        <w:widowControl w:val="0"/>
        <w:autoSpaceDE w:val="0"/>
        <w:autoSpaceDN w:val="0"/>
        <w:adjustRightInd w:val="0"/>
        <w:rPr>
          <w:rFonts w:cs="Arial"/>
          <w:b/>
        </w:rPr>
      </w:pPr>
    </w:p>
    <w:p w:rsidR="0087229C" w:rsidRPr="00E6086A" w:rsidRDefault="00EA2611" w:rsidP="009D3798">
      <w:pPr>
        <w:widowControl w:val="0"/>
        <w:autoSpaceDE w:val="0"/>
        <w:autoSpaceDN w:val="0"/>
        <w:adjustRightInd w:val="0"/>
        <w:rPr>
          <w:rFonts w:cs="Arial"/>
          <w:lang w:val="es-CO"/>
        </w:rPr>
      </w:pPr>
      <w:r w:rsidRPr="00E6086A">
        <w:rPr>
          <w:rFonts w:cs="Arial"/>
          <w:b/>
        </w:rPr>
        <w:t>PRIMERO</w:t>
      </w:r>
      <w:r w:rsidR="00121D61" w:rsidRPr="00E6086A">
        <w:rPr>
          <w:rFonts w:cs="Arial"/>
          <w:b/>
        </w:rPr>
        <w:t>:</w:t>
      </w:r>
      <w:r w:rsidRPr="00E6086A">
        <w:rPr>
          <w:rFonts w:cs="Arial"/>
          <w:b/>
        </w:rPr>
        <w:t xml:space="preserve"> </w:t>
      </w:r>
      <w:r w:rsidR="0087229C" w:rsidRPr="00E6086A">
        <w:rPr>
          <w:rFonts w:cs="Arial"/>
          <w:b/>
        </w:rPr>
        <w:t xml:space="preserve">CONFIRMAR </w:t>
      </w:r>
      <w:r w:rsidRPr="00E6086A">
        <w:rPr>
          <w:rFonts w:cs="Arial"/>
          <w:lang w:val="es-CO"/>
        </w:rPr>
        <w:t xml:space="preserve">la sentencia </w:t>
      </w:r>
      <w:r w:rsidR="00121D61" w:rsidRPr="00E6086A">
        <w:rPr>
          <w:rFonts w:cs="Arial"/>
          <w:lang w:val="es-CO"/>
        </w:rPr>
        <w:t xml:space="preserve"> proferida por el Tribunal Administrativo de</w:t>
      </w:r>
      <w:r w:rsidR="00AE6987" w:rsidRPr="00E6086A">
        <w:rPr>
          <w:rFonts w:cs="Arial"/>
          <w:lang w:val="es-CO"/>
        </w:rPr>
        <w:t xml:space="preserve">l </w:t>
      </w:r>
      <w:r w:rsidR="0087229C" w:rsidRPr="00E6086A">
        <w:rPr>
          <w:rFonts w:cs="Arial"/>
          <w:lang w:val="es-CO"/>
        </w:rPr>
        <w:t>Antioquia</w:t>
      </w:r>
      <w:r w:rsidR="00AE6987" w:rsidRPr="00E6086A">
        <w:rPr>
          <w:rFonts w:cs="Arial"/>
          <w:lang w:val="es-CO"/>
        </w:rPr>
        <w:t xml:space="preserve"> el 2</w:t>
      </w:r>
      <w:r w:rsidR="0087229C" w:rsidRPr="00E6086A">
        <w:rPr>
          <w:rFonts w:cs="Arial"/>
          <w:lang w:val="es-CO"/>
        </w:rPr>
        <w:t>5 de agosto de 2011.</w:t>
      </w:r>
    </w:p>
    <w:p w:rsidR="00EA2611" w:rsidRPr="00E6086A" w:rsidRDefault="00EA2611" w:rsidP="009D3798">
      <w:pPr>
        <w:widowControl w:val="0"/>
        <w:rPr>
          <w:rFonts w:cs="Arial"/>
        </w:rPr>
      </w:pPr>
    </w:p>
    <w:p w:rsidR="00EA2611" w:rsidRPr="00E6086A" w:rsidRDefault="004B4921" w:rsidP="009D3798">
      <w:pPr>
        <w:widowControl w:val="0"/>
        <w:autoSpaceDE w:val="0"/>
        <w:autoSpaceDN w:val="0"/>
        <w:adjustRightInd w:val="0"/>
        <w:rPr>
          <w:rFonts w:cs="Arial"/>
        </w:rPr>
      </w:pPr>
      <w:r w:rsidRPr="00E6086A">
        <w:rPr>
          <w:rFonts w:cs="Arial"/>
          <w:b/>
        </w:rPr>
        <w:t>SEGUNDO</w:t>
      </w:r>
      <w:r w:rsidR="00EA2611" w:rsidRPr="00E6086A">
        <w:rPr>
          <w:rFonts w:cs="Arial"/>
          <w:b/>
        </w:rPr>
        <w:t xml:space="preserve">: </w:t>
      </w:r>
      <w:r w:rsidR="00EA2611" w:rsidRPr="00E6086A">
        <w:rPr>
          <w:rFonts w:cs="Arial"/>
        </w:rPr>
        <w:t>Sin condena en costas.</w:t>
      </w:r>
    </w:p>
    <w:p w:rsidR="00BB3C60" w:rsidRPr="00E6086A" w:rsidRDefault="00BB3C60" w:rsidP="009D3798">
      <w:pPr>
        <w:widowControl w:val="0"/>
        <w:autoSpaceDE w:val="0"/>
        <w:autoSpaceDN w:val="0"/>
        <w:adjustRightInd w:val="0"/>
        <w:rPr>
          <w:rFonts w:cs="Arial"/>
        </w:rPr>
      </w:pPr>
    </w:p>
    <w:p w:rsidR="00EA2611" w:rsidRPr="00E6086A" w:rsidRDefault="004B4921" w:rsidP="009D3798">
      <w:pPr>
        <w:widowControl w:val="0"/>
        <w:autoSpaceDE w:val="0"/>
        <w:autoSpaceDN w:val="0"/>
        <w:adjustRightInd w:val="0"/>
        <w:rPr>
          <w:rFonts w:cs="Arial"/>
        </w:rPr>
      </w:pPr>
      <w:r w:rsidRPr="00E6086A">
        <w:rPr>
          <w:rFonts w:cs="Arial"/>
          <w:b/>
        </w:rPr>
        <w:t>TERCERO</w:t>
      </w:r>
      <w:r w:rsidR="00EA2611" w:rsidRPr="00E6086A">
        <w:rPr>
          <w:rFonts w:cs="Arial"/>
          <w:b/>
        </w:rPr>
        <w:t xml:space="preserve">: </w:t>
      </w:r>
      <w:r w:rsidR="00EA2611" w:rsidRPr="00E6086A">
        <w:rPr>
          <w:rFonts w:cs="Arial"/>
        </w:rPr>
        <w:t>En firme esta providencia, devuélvase el expediente al Tribunal de origen.</w:t>
      </w:r>
    </w:p>
    <w:p w:rsidR="002F71F7" w:rsidRDefault="002F71F7" w:rsidP="009D3798">
      <w:pPr>
        <w:spacing w:line="240" w:lineRule="auto"/>
        <w:jc w:val="center"/>
        <w:rPr>
          <w:rFonts w:cs="Arial"/>
          <w:b/>
          <w:bCs/>
          <w:noProof/>
        </w:rPr>
      </w:pPr>
    </w:p>
    <w:p w:rsidR="00E6086A" w:rsidRDefault="00E6086A" w:rsidP="009D3798">
      <w:pPr>
        <w:spacing w:line="240" w:lineRule="auto"/>
        <w:jc w:val="center"/>
        <w:rPr>
          <w:rFonts w:cs="Arial"/>
          <w:b/>
          <w:bCs/>
          <w:noProof/>
        </w:rPr>
      </w:pPr>
    </w:p>
    <w:p w:rsidR="00E6086A" w:rsidRDefault="00E6086A" w:rsidP="009D3798">
      <w:pPr>
        <w:spacing w:line="240" w:lineRule="auto"/>
        <w:jc w:val="center"/>
        <w:rPr>
          <w:rFonts w:cs="Arial"/>
          <w:b/>
          <w:bCs/>
          <w:noProof/>
        </w:rPr>
      </w:pPr>
    </w:p>
    <w:p w:rsidR="00E6086A" w:rsidRPr="00E6086A" w:rsidRDefault="00E6086A" w:rsidP="009D3798">
      <w:pPr>
        <w:spacing w:line="240" w:lineRule="auto"/>
        <w:jc w:val="center"/>
        <w:rPr>
          <w:rFonts w:cs="Arial"/>
          <w:b/>
          <w:bCs/>
          <w:noProof/>
        </w:rPr>
      </w:pPr>
    </w:p>
    <w:p w:rsidR="00EA2611" w:rsidRPr="00E6086A" w:rsidRDefault="00EA2611" w:rsidP="009D3798">
      <w:pPr>
        <w:spacing w:line="240" w:lineRule="auto"/>
        <w:jc w:val="center"/>
        <w:rPr>
          <w:rFonts w:cs="Arial"/>
          <w:b/>
          <w:bCs/>
          <w:noProof/>
        </w:rPr>
      </w:pPr>
      <w:r w:rsidRPr="00E6086A">
        <w:rPr>
          <w:rFonts w:cs="Arial"/>
          <w:b/>
          <w:bCs/>
          <w:noProof/>
        </w:rPr>
        <w:t>CÓPIESE, NOTIFÍQUESE Y CÚMPLASE</w:t>
      </w:r>
    </w:p>
    <w:p w:rsidR="002F71F7" w:rsidRPr="00E6086A" w:rsidRDefault="002F71F7" w:rsidP="009D3798">
      <w:pPr>
        <w:spacing w:line="240" w:lineRule="auto"/>
        <w:jc w:val="center"/>
        <w:rPr>
          <w:rFonts w:cs="Arial"/>
        </w:rPr>
      </w:pPr>
    </w:p>
    <w:p w:rsidR="00CC4B8A" w:rsidRPr="00E6086A" w:rsidRDefault="00CC4B8A" w:rsidP="009D3798">
      <w:pPr>
        <w:spacing w:line="240" w:lineRule="auto"/>
        <w:jc w:val="center"/>
        <w:rPr>
          <w:rFonts w:cs="Arial"/>
        </w:rPr>
      </w:pPr>
    </w:p>
    <w:p w:rsidR="004424ED" w:rsidRPr="00E6086A" w:rsidRDefault="004424ED" w:rsidP="009D3798">
      <w:pPr>
        <w:spacing w:line="240" w:lineRule="auto"/>
        <w:jc w:val="center"/>
        <w:rPr>
          <w:rFonts w:cs="Arial"/>
        </w:rPr>
      </w:pPr>
    </w:p>
    <w:p w:rsidR="00EA2611" w:rsidRPr="00E6086A" w:rsidRDefault="00EA2611" w:rsidP="009D3798">
      <w:pPr>
        <w:spacing w:line="240" w:lineRule="auto"/>
        <w:jc w:val="center"/>
        <w:rPr>
          <w:rFonts w:cs="Arial"/>
        </w:rPr>
      </w:pPr>
    </w:p>
    <w:p w:rsidR="00EA2611" w:rsidRPr="00E6086A" w:rsidRDefault="001F48D2" w:rsidP="009D3798">
      <w:pPr>
        <w:widowControl w:val="0"/>
        <w:autoSpaceDE w:val="0"/>
        <w:autoSpaceDN w:val="0"/>
        <w:adjustRightInd w:val="0"/>
        <w:spacing w:line="240" w:lineRule="auto"/>
        <w:jc w:val="center"/>
        <w:rPr>
          <w:rFonts w:cs="Arial"/>
          <w:b/>
        </w:rPr>
      </w:pPr>
      <w:r w:rsidRPr="00E6086A">
        <w:rPr>
          <w:rFonts w:cs="Arial"/>
          <w:b/>
          <w:lang w:val="es-CO"/>
        </w:rPr>
        <w:t>MARTA NUBIA VELÁSQUEZ RICO</w:t>
      </w:r>
    </w:p>
    <w:p w:rsidR="00CC4B8A" w:rsidRPr="00E6086A" w:rsidRDefault="00CC4B8A" w:rsidP="009D3798">
      <w:pPr>
        <w:widowControl w:val="0"/>
        <w:autoSpaceDE w:val="0"/>
        <w:autoSpaceDN w:val="0"/>
        <w:adjustRightInd w:val="0"/>
        <w:spacing w:line="240" w:lineRule="auto"/>
        <w:jc w:val="center"/>
        <w:rPr>
          <w:rFonts w:cs="Arial"/>
          <w:b/>
        </w:rPr>
      </w:pPr>
    </w:p>
    <w:p w:rsidR="002F71F7" w:rsidRPr="00E6086A" w:rsidRDefault="002F71F7" w:rsidP="009D3798">
      <w:pPr>
        <w:widowControl w:val="0"/>
        <w:autoSpaceDE w:val="0"/>
        <w:autoSpaceDN w:val="0"/>
        <w:adjustRightInd w:val="0"/>
        <w:spacing w:line="240" w:lineRule="auto"/>
        <w:jc w:val="center"/>
        <w:rPr>
          <w:rFonts w:cs="Arial"/>
          <w:b/>
        </w:rPr>
      </w:pPr>
    </w:p>
    <w:p w:rsidR="00EA2611" w:rsidRPr="00E6086A" w:rsidRDefault="00EA2611" w:rsidP="009D3798">
      <w:pPr>
        <w:widowControl w:val="0"/>
        <w:autoSpaceDE w:val="0"/>
        <w:autoSpaceDN w:val="0"/>
        <w:adjustRightInd w:val="0"/>
        <w:spacing w:line="240" w:lineRule="auto"/>
        <w:jc w:val="center"/>
        <w:rPr>
          <w:rFonts w:cs="Arial"/>
          <w:b/>
        </w:rPr>
      </w:pPr>
    </w:p>
    <w:p w:rsidR="00750A14" w:rsidRPr="00E6086A" w:rsidRDefault="00750A14" w:rsidP="009D3798">
      <w:pPr>
        <w:widowControl w:val="0"/>
        <w:autoSpaceDE w:val="0"/>
        <w:autoSpaceDN w:val="0"/>
        <w:adjustRightInd w:val="0"/>
        <w:spacing w:line="240" w:lineRule="auto"/>
        <w:jc w:val="center"/>
        <w:rPr>
          <w:rFonts w:cs="Arial"/>
          <w:b/>
        </w:rPr>
      </w:pPr>
    </w:p>
    <w:p w:rsidR="00EA2611" w:rsidRPr="009D3798" w:rsidRDefault="00EA2611" w:rsidP="009D3798">
      <w:pPr>
        <w:widowControl w:val="0"/>
        <w:autoSpaceDE w:val="0"/>
        <w:autoSpaceDN w:val="0"/>
        <w:adjustRightInd w:val="0"/>
        <w:spacing w:line="240" w:lineRule="auto"/>
        <w:jc w:val="center"/>
        <w:rPr>
          <w:rFonts w:cs="Arial"/>
          <w:b/>
        </w:rPr>
      </w:pPr>
      <w:r w:rsidRPr="00E6086A">
        <w:rPr>
          <w:rFonts w:cs="Arial"/>
          <w:b/>
        </w:rPr>
        <w:t>CARLOS ALBERTO ZAMBRANO BARRERA</w:t>
      </w:r>
    </w:p>
    <w:sectPr w:rsidR="00EA2611" w:rsidRPr="009D3798" w:rsidSect="009E3FC6">
      <w:headerReference w:type="even" r:id="rId11"/>
      <w:headerReference w:type="default" r:id="rId12"/>
      <w:footerReference w:type="even" r:id="rId13"/>
      <w:footerReference w:type="default" r:id="rId14"/>
      <w:pgSz w:w="12242" w:h="18722" w:code="14"/>
      <w:pgMar w:top="1701" w:right="1701" w:bottom="1701" w:left="1701"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966" w:rsidRDefault="008C1966" w:rsidP="00C85395">
      <w:r>
        <w:separator/>
      </w:r>
    </w:p>
  </w:endnote>
  <w:endnote w:type="continuationSeparator" w:id="0">
    <w:p w:rsidR="008C1966" w:rsidRDefault="008C1966"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E41" w:rsidRDefault="002E2E41"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E2E41" w:rsidRDefault="002E2E41" w:rsidP="006434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E41" w:rsidRDefault="002E2E41"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966" w:rsidRDefault="008C1966" w:rsidP="00C85395">
      <w:r>
        <w:separator/>
      </w:r>
    </w:p>
  </w:footnote>
  <w:footnote w:type="continuationSeparator" w:id="0">
    <w:p w:rsidR="008C1966" w:rsidRDefault="008C1966" w:rsidP="00C85395">
      <w:r>
        <w:continuationSeparator/>
      </w:r>
    </w:p>
  </w:footnote>
  <w:footnote w:id="1">
    <w:p w:rsidR="002E2E41" w:rsidRPr="00E86854" w:rsidRDefault="002E2E41" w:rsidP="00A10D20">
      <w:pPr>
        <w:pStyle w:val="Textonotapie"/>
        <w:spacing w:line="240" w:lineRule="auto"/>
      </w:pPr>
      <w:r>
        <w:rPr>
          <w:rStyle w:val="Refdenotaalpie"/>
        </w:rPr>
        <w:footnoteRef/>
      </w:r>
      <w:r>
        <w:t xml:space="preserve"> </w:t>
      </w:r>
      <w:r w:rsidRPr="00E86854">
        <w:t xml:space="preserve">En los </w:t>
      </w:r>
      <w:r>
        <w:t>f</w:t>
      </w:r>
      <w:r w:rsidRPr="00E86854">
        <w:t xml:space="preserve">olios </w:t>
      </w:r>
      <w:r>
        <w:t>18 y 19</w:t>
      </w:r>
      <w:r w:rsidRPr="00E86854">
        <w:t>, cuaderno 1, obra</w:t>
      </w:r>
      <w:r>
        <w:t>n los poderes correspondientes. En los folios 26 a 29, cuaderno 1, consta el acuerdo de unión temporal.</w:t>
      </w:r>
    </w:p>
    <w:p w:rsidR="002E2E41" w:rsidRPr="00E86854" w:rsidRDefault="002E2E41" w:rsidP="00A10D20">
      <w:pPr>
        <w:pStyle w:val="Textonotapie"/>
        <w:spacing w:line="240" w:lineRule="auto"/>
        <w:rPr>
          <w:lang w:val="es-CO"/>
        </w:rPr>
      </w:pPr>
    </w:p>
  </w:footnote>
  <w:footnote w:id="2">
    <w:p w:rsidR="002E2E41" w:rsidRPr="00EF0009" w:rsidRDefault="002E2E41">
      <w:pPr>
        <w:pStyle w:val="Textonotapie"/>
        <w:rPr>
          <w:lang w:val="es-CO"/>
        </w:rPr>
      </w:pPr>
      <w:r>
        <w:rPr>
          <w:rStyle w:val="Refdenotaalpie"/>
        </w:rPr>
        <w:footnoteRef/>
      </w:r>
      <w:r>
        <w:t xml:space="preserve"> </w:t>
      </w:r>
      <w:r>
        <w:rPr>
          <w:lang w:val="es-CO"/>
        </w:rPr>
        <w:t>Folio 138, cuaderno 1.</w:t>
      </w:r>
    </w:p>
  </w:footnote>
  <w:footnote w:id="3">
    <w:p w:rsidR="002E2E41" w:rsidRPr="00026AEE" w:rsidRDefault="002E2E41">
      <w:pPr>
        <w:pStyle w:val="Textonotapie"/>
        <w:rPr>
          <w:lang w:val="es-CO"/>
        </w:rPr>
      </w:pPr>
      <w:r>
        <w:rPr>
          <w:rStyle w:val="Refdenotaalpie"/>
        </w:rPr>
        <w:footnoteRef/>
      </w:r>
      <w:r>
        <w:t xml:space="preserve"> </w:t>
      </w:r>
      <w:r>
        <w:rPr>
          <w:lang w:val="es-CO"/>
        </w:rPr>
        <w:t xml:space="preserve">Folios 156 y 157, cuaderno 1. </w:t>
      </w:r>
    </w:p>
  </w:footnote>
  <w:footnote w:id="4">
    <w:p w:rsidR="002E2E41" w:rsidRPr="00DA5F8B" w:rsidRDefault="002E2E41" w:rsidP="00981A61">
      <w:pPr>
        <w:pStyle w:val="Textonotapie"/>
        <w:spacing w:line="240" w:lineRule="auto"/>
        <w:rPr>
          <w:lang w:val="es-CO"/>
        </w:rPr>
      </w:pPr>
      <w:r>
        <w:rPr>
          <w:rStyle w:val="Refdenotaalpie"/>
        </w:rPr>
        <w:footnoteRef/>
      </w:r>
      <w:r>
        <w:t xml:space="preserve"> </w:t>
      </w:r>
      <w:r>
        <w:rPr>
          <w:lang w:val="es-CO"/>
        </w:rPr>
        <w:t>Citó la sentencia de 26 de abril de 2006, emanada de la Sección Tercera del Consejo de Estado, con ponencia de la doctora Ruth Stella Correa.</w:t>
      </w:r>
    </w:p>
  </w:footnote>
  <w:footnote w:id="5">
    <w:p w:rsidR="002E2E41" w:rsidRPr="00DE737B" w:rsidRDefault="002E2E41">
      <w:pPr>
        <w:pStyle w:val="Textonotapie"/>
        <w:rPr>
          <w:lang w:val="es-CO"/>
        </w:rPr>
      </w:pPr>
      <w:r>
        <w:rPr>
          <w:rStyle w:val="Refdenotaalpie"/>
        </w:rPr>
        <w:footnoteRef/>
      </w:r>
      <w:r>
        <w:t xml:space="preserve"> </w:t>
      </w:r>
      <w:r>
        <w:rPr>
          <w:lang w:val="es-CO"/>
        </w:rPr>
        <w:t>Folio 256, cuaderno principal segunda instancia.</w:t>
      </w:r>
    </w:p>
  </w:footnote>
  <w:footnote w:id="6">
    <w:p w:rsidR="002E2E41" w:rsidRDefault="002E2E41" w:rsidP="00E1393F">
      <w:pPr>
        <w:pStyle w:val="Textonotapie"/>
        <w:spacing w:line="240" w:lineRule="auto"/>
      </w:pPr>
      <w:r>
        <w:rPr>
          <w:rStyle w:val="Refdenotaalpie"/>
        </w:rPr>
        <w:footnoteRef/>
      </w:r>
      <w:r>
        <w:t xml:space="preserve"> Folio 262, cuaderno principal segunda instancia.</w:t>
      </w:r>
    </w:p>
    <w:p w:rsidR="002E2E41" w:rsidRPr="000E5300" w:rsidRDefault="002E2E41" w:rsidP="00E1393F">
      <w:pPr>
        <w:pStyle w:val="Textonotapie"/>
        <w:spacing w:line="240" w:lineRule="auto"/>
        <w:rPr>
          <w:lang w:val="es-CO"/>
        </w:rPr>
      </w:pPr>
    </w:p>
  </w:footnote>
  <w:footnote w:id="7">
    <w:p w:rsidR="002E2E41" w:rsidRPr="007841E6" w:rsidRDefault="002E2E41">
      <w:pPr>
        <w:pStyle w:val="Textonotapie"/>
        <w:rPr>
          <w:lang w:val="es-CO"/>
        </w:rPr>
      </w:pPr>
      <w:r>
        <w:rPr>
          <w:rStyle w:val="Refdenotaalpie"/>
        </w:rPr>
        <w:footnoteRef/>
      </w:r>
      <w:r>
        <w:t xml:space="preserve"> </w:t>
      </w:r>
      <w:r>
        <w:rPr>
          <w:lang w:val="es-CO"/>
        </w:rPr>
        <w:t>Folio  324, vuelto, cuaderno principal segunda instancia.</w:t>
      </w:r>
    </w:p>
  </w:footnote>
  <w:footnote w:id="8">
    <w:p w:rsidR="002E2E41" w:rsidRPr="00CF1943" w:rsidRDefault="002E2E41">
      <w:pPr>
        <w:pStyle w:val="Textonotapie"/>
        <w:rPr>
          <w:lang w:val="es-CO"/>
        </w:rPr>
      </w:pPr>
      <w:r>
        <w:rPr>
          <w:rStyle w:val="Refdenotaalpie"/>
        </w:rPr>
        <w:footnoteRef/>
      </w:r>
      <w:r>
        <w:t xml:space="preserve"> </w:t>
      </w:r>
      <w:r>
        <w:rPr>
          <w:lang w:val="es-CO"/>
        </w:rPr>
        <w:t>Artículos 2 y 75 de la Ley 80 de 1993.</w:t>
      </w:r>
    </w:p>
  </w:footnote>
  <w:footnote w:id="9">
    <w:p w:rsidR="002E2E41" w:rsidRDefault="002E2E41" w:rsidP="007C3B64">
      <w:pPr>
        <w:pStyle w:val="Textonotapie"/>
        <w:spacing w:line="240" w:lineRule="auto"/>
        <w:rPr>
          <w:lang w:val="es-CO"/>
        </w:rPr>
      </w:pPr>
      <w:r>
        <w:rPr>
          <w:rStyle w:val="Refdenotaalpie"/>
        </w:rPr>
        <w:footnoteRef/>
      </w:r>
      <w:r>
        <w:t xml:space="preserve"> El criterio orgánico se funda en la asignación de jurisdicción competente para conocer de las controversias contractuales con base en la naturaleza de entidad pública de una de las partes del contrato, definidas éstas de acuerdo con la enumeración del artículo 2º de la Ley 80 de 1993. Este criterio fue corroborado como regla general de la determinación de la jurisdicción competente, de conformidad con las modificaciones introducidas por el artículo 30 de </w:t>
      </w:r>
      <w:r>
        <w:rPr>
          <w:lang w:val="es-CO"/>
        </w:rPr>
        <w:t>la Ley 446 de 1998, la cual entró a regir el 8 de julio de 1998 y por el artículo 1º de la Ley 1107 de 27 de diciembre 2006.  Igualmente constituye la regla general de jurisdicción y de competencia en el medio de control de controversias contractuales previsto en el artículo 103 del Código de Procedimiento Administrativo y Contencioso Administrativo (C.P.A.C.A.) el cual entró a regir el 2 de julio de 2012.</w:t>
      </w:r>
    </w:p>
    <w:p w:rsidR="002E2E41" w:rsidRPr="00C045C1" w:rsidRDefault="002E2E41" w:rsidP="007C3B64">
      <w:pPr>
        <w:pStyle w:val="Textonotapie"/>
        <w:spacing w:line="240" w:lineRule="auto"/>
        <w:rPr>
          <w:lang w:val="es-CO"/>
        </w:rPr>
      </w:pPr>
    </w:p>
  </w:footnote>
  <w:footnote w:id="10">
    <w:p w:rsidR="002E2E41" w:rsidRPr="00CD1094" w:rsidRDefault="002E2E41">
      <w:pPr>
        <w:pStyle w:val="Textonotapie"/>
        <w:rPr>
          <w:lang w:val="es-CO"/>
        </w:rPr>
      </w:pPr>
      <w:r>
        <w:rPr>
          <w:rStyle w:val="Refdenotaalpie"/>
        </w:rPr>
        <w:footnoteRef/>
      </w:r>
      <w:r>
        <w:t xml:space="preserve"> </w:t>
      </w:r>
      <w:r>
        <w:rPr>
          <w:lang w:val="es-CO"/>
        </w:rPr>
        <w:t>Folio 16, cuaderno 1.</w:t>
      </w:r>
    </w:p>
  </w:footnote>
  <w:footnote w:id="11">
    <w:p w:rsidR="002E2E41" w:rsidRPr="00C31B32" w:rsidRDefault="002E2E41" w:rsidP="000829B0">
      <w:pPr>
        <w:pStyle w:val="Textonotapie"/>
        <w:spacing w:line="240" w:lineRule="auto"/>
      </w:pPr>
      <w:r w:rsidRPr="00C31B32">
        <w:rPr>
          <w:rStyle w:val="Refdenotaalpie"/>
        </w:rPr>
        <w:footnoteRef/>
      </w:r>
      <w:r w:rsidRPr="00C31B32">
        <w:t xml:space="preserve"> De acuerdo con el salario mínimo mensual legal vigente para el año 200</w:t>
      </w:r>
      <w:r>
        <w:t>0</w:t>
      </w:r>
      <w:r w:rsidRPr="00C31B32">
        <w:t>, toda vez que la demanda se presentó e</w:t>
      </w:r>
      <w:r>
        <w:t xml:space="preserve">l 3 de febrero de 2000 </w:t>
      </w:r>
      <w:r w:rsidRPr="00C31B32">
        <w:t>(folio</w:t>
      </w:r>
      <w:r>
        <w:t xml:space="preserve"> 18, </w:t>
      </w:r>
      <w:r w:rsidRPr="00C31B32">
        <w:t>cuaderno</w:t>
      </w:r>
      <w:r>
        <w:t xml:space="preserve"> 1</w:t>
      </w:r>
      <w:r w:rsidRPr="00C31B32">
        <w:t>)</w:t>
      </w:r>
      <w:r>
        <w:t xml:space="preserve"> y el recurso de apelación se presentó el 16 de septiembre de 2011.</w:t>
      </w:r>
      <w:r w:rsidRPr="000829B0">
        <w:rPr>
          <w:lang w:val="es-CO"/>
        </w:rPr>
        <w:t xml:space="preserve"> </w:t>
      </w:r>
      <w:r>
        <w:rPr>
          <w:lang w:val="es-CO"/>
        </w:rPr>
        <w:t xml:space="preserve">La apelación se presentó habiendo entrado a regir la Ley 1450 de 2011 – 16 de junio de 2011- de conformidad con la cual se permitió la aplicación del artículo 57 de la Ley 1437 de 2011, para las demandas presentadas antes del 2 de julio de 2012 </w:t>
      </w:r>
      <w:r w:rsidRPr="00720EE7">
        <w:rPr>
          <w:i/>
          <w:lang w:val="es-CO"/>
        </w:rPr>
        <w:t>“con el propósito de evitar la congestión de los Tribunales Administrativos y del Consejo de Estado”.</w:t>
      </w:r>
    </w:p>
    <w:p w:rsidR="002E2E41" w:rsidRPr="00C31B32" w:rsidRDefault="002E2E41" w:rsidP="00E323E2">
      <w:pPr>
        <w:pStyle w:val="Textonotapie"/>
        <w:spacing w:line="240" w:lineRule="auto"/>
        <w:ind w:right="51"/>
        <w:rPr>
          <w:lang w:val="es-CO"/>
        </w:rPr>
      </w:pPr>
    </w:p>
  </w:footnote>
  <w:footnote w:id="12">
    <w:p w:rsidR="002E2E41" w:rsidRDefault="002E2E41" w:rsidP="00B461BA">
      <w:pPr>
        <w:pStyle w:val="Textonotapie"/>
        <w:spacing w:line="240" w:lineRule="auto"/>
      </w:pPr>
      <w:r>
        <w:rPr>
          <w:rStyle w:val="Refdenotaalpie"/>
        </w:rPr>
        <w:footnoteRef/>
      </w:r>
      <w:r>
        <w:t xml:space="preserve"> A este proceso se le aplicaron las reglas contenidas en el Código Contencioso Administrativo (CCA) de acuerdo con lo previsto en el artículo 308 de la Ley 1437 de 2011 (C.P.A.C.A.), teniendo en cuenta que se encontraba en curso para la fecha en que entró a regir el C.P.A.C.A. </w:t>
      </w:r>
    </w:p>
    <w:p w:rsidR="002E2E41" w:rsidRPr="004E55F7" w:rsidRDefault="002E2E41" w:rsidP="00B461BA">
      <w:pPr>
        <w:pStyle w:val="Textonotapie"/>
        <w:spacing w:line="240" w:lineRule="auto"/>
        <w:rPr>
          <w:lang w:val="es-CO"/>
        </w:rPr>
      </w:pPr>
    </w:p>
  </w:footnote>
  <w:footnote w:id="13">
    <w:p w:rsidR="002E2E41" w:rsidRPr="00047C98" w:rsidRDefault="002E2E41" w:rsidP="00192BD9">
      <w:pPr>
        <w:pStyle w:val="Textonotapie"/>
        <w:tabs>
          <w:tab w:val="left" w:pos="8222"/>
        </w:tabs>
        <w:spacing w:line="240" w:lineRule="auto"/>
        <w:ind w:right="-284"/>
        <w:rPr>
          <w:rFonts w:cs="Arial"/>
          <w:i/>
        </w:rPr>
      </w:pPr>
      <w:r w:rsidRPr="00047C98">
        <w:rPr>
          <w:rStyle w:val="Refdenotaalpie"/>
          <w:rFonts w:cs="Arial"/>
          <w:i/>
        </w:rPr>
        <w:footnoteRef/>
      </w:r>
      <w:r w:rsidRPr="00047C98">
        <w:rPr>
          <w:rFonts w:cs="Arial"/>
          <w:i/>
        </w:rPr>
        <w:t xml:space="preserve"> </w:t>
      </w:r>
      <w:r>
        <w:rPr>
          <w:rFonts w:cs="Arial"/>
          <w:i/>
        </w:rPr>
        <w:t>“</w:t>
      </w:r>
      <w:r w:rsidRPr="00047C98">
        <w:rPr>
          <w:rFonts w:cs="Arial"/>
          <w:i/>
        </w:rPr>
        <w:t>Artículo 87</w:t>
      </w:r>
      <w:r>
        <w:rPr>
          <w:rFonts w:cs="Arial"/>
          <w:i/>
        </w:rPr>
        <w:t xml:space="preserve"> C.C.A. </w:t>
      </w:r>
      <w:r w:rsidRPr="00047C98">
        <w:rPr>
          <w:rFonts w:cs="Arial"/>
          <w:i/>
        </w:rPr>
        <w:t>De las controversias contractuales</w:t>
      </w:r>
      <w:r w:rsidRPr="00047C98">
        <w:rPr>
          <w:rFonts w:cs="Arial"/>
          <w:b/>
          <w:i/>
        </w:rPr>
        <w:t>.</w:t>
      </w:r>
      <w:r w:rsidRPr="00047C98">
        <w:rPr>
          <w:rFonts w:cs="Arial"/>
          <w:i/>
        </w:rPr>
        <w:t xml:space="preserve"> (…) 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w:t>
      </w:r>
      <w:r>
        <w:rPr>
          <w:rFonts w:cs="Arial"/>
          <w:i/>
        </w:rPr>
        <w:t>.</w:t>
      </w:r>
    </w:p>
    <w:p w:rsidR="002E2E41" w:rsidRPr="00047C98" w:rsidRDefault="002E2E41" w:rsidP="00192BD9">
      <w:pPr>
        <w:pStyle w:val="Textonotapie"/>
        <w:tabs>
          <w:tab w:val="left" w:pos="8222"/>
        </w:tabs>
        <w:spacing w:line="240" w:lineRule="auto"/>
        <w:ind w:right="-284"/>
        <w:rPr>
          <w:rFonts w:cs="Arial"/>
          <w:i/>
        </w:rPr>
      </w:pPr>
    </w:p>
  </w:footnote>
  <w:footnote w:id="14">
    <w:p w:rsidR="002E2E41" w:rsidRDefault="002E2E41" w:rsidP="00C7429A">
      <w:pPr>
        <w:autoSpaceDE w:val="0"/>
        <w:autoSpaceDN w:val="0"/>
        <w:adjustRightInd w:val="0"/>
        <w:spacing w:line="240" w:lineRule="auto"/>
        <w:rPr>
          <w:lang w:val="es-CO"/>
        </w:rPr>
      </w:pPr>
      <w:r w:rsidRPr="00AD62DE">
        <w:rPr>
          <w:rStyle w:val="Refdenotaalpie"/>
          <w:rFonts w:cs="Arial"/>
          <w:sz w:val="20"/>
          <w:szCs w:val="20"/>
        </w:rPr>
        <w:footnoteRef/>
      </w:r>
      <w:r w:rsidRPr="00AD62DE">
        <w:rPr>
          <w:rFonts w:cs="Arial"/>
          <w:sz w:val="20"/>
          <w:szCs w:val="20"/>
        </w:rPr>
        <w:t xml:space="preserve"> </w:t>
      </w:r>
      <w:r w:rsidRPr="00AD62DE">
        <w:rPr>
          <w:rFonts w:cs="Arial"/>
          <w:sz w:val="20"/>
          <w:szCs w:val="20"/>
          <w:lang w:val="es-CO"/>
        </w:rPr>
        <w:t xml:space="preserve">También acogida por las otras Subsecciones de la Sección Tercera del Consejo de Estado en cuanto al plazo de 30 días para incoar las acción contra los actos previos en vigencia del artículo 87 del Código Contencioso Administrativo, por ejemplo, en las siguientes providencias: </w:t>
      </w:r>
      <w:r w:rsidRPr="00AD62DE">
        <w:rPr>
          <w:rFonts w:cs="Arial"/>
          <w:b/>
          <w:sz w:val="20"/>
          <w:szCs w:val="20"/>
          <w:lang w:val="es-CO"/>
        </w:rPr>
        <w:t>1.</w:t>
      </w:r>
      <w:r w:rsidRPr="00AD62DE">
        <w:rPr>
          <w:rFonts w:cs="Arial"/>
          <w:sz w:val="20"/>
          <w:szCs w:val="20"/>
          <w:lang w:val="es-CO"/>
        </w:rPr>
        <w:t xml:space="preserve"> </w:t>
      </w:r>
      <w:r w:rsidRPr="00AD62DE">
        <w:rPr>
          <w:rFonts w:cs="Arial"/>
          <w:bCs/>
          <w:sz w:val="20"/>
          <w:szCs w:val="20"/>
        </w:rPr>
        <w:t>Subsecci</w:t>
      </w:r>
      <w:r>
        <w:rPr>
          <w:rFonts w:cs="Arial"/>
          <w:bCs/>
          <w:sz w:val="20"/>
          <w:szCs w:val="20"/>
        </w:rPr>
        <w:t>ó</w:t>
      </w:r>
      <w:r w:rsidRPr="00AD62DE">
        <w:rPr>
          <w:rFonts w:cs="Arial"/>
          <w:bCs/>
          <w:sz w:val="20"/>
          <w:szCs w:val="20"/>
        </w:rPr>
        <w:t xml:space="preserve">n B, Consejero Ponente: Ramiro De Jesus Pazos Guerrero, </w:t>
      </w:r>
      <w:r>
        <w:rPr>
          <w:rFonts w:cs="Arial"/>
          <w:bCs/>
          <w:sz w:val="20"/>
          <w:szCs w:val="20"/>
        </w:rPr>
        <w:t>s</w:t>
      </w:r>
      <w:r w:rsidRPr="00AD62DE">
        <w:rPr>
          <w:rFonts w:cs="Arial"/>
          <w:bCs/>
          <w:sz w:val="20"/>
          <w:szCs w:val="20"/>
        </w:rPr>
        <w:t xml:space="preserve">entencia </w:t>
      </w:r>
      <w:r>
        <w:rPr>
          <w:rFonts w:cs="Arial"/>
          <w:bCs/>
          <w:sz w:val="20"/>
          <w:szCs w:val="20"/>
        </w:rPr>
        <w:t>d</w:t>
      </w:r>
      <w:r w:rsidRPr="00AD62DE">
        <w:rPr>
          <w:rFonts w:cs="Arial"/>
          <w:bCs/>
          <w:sz w:val="20"/>
          <w:szCs w:val="20"/>
        </w:rPr>
        <w:t xml:space="preserve">e </w:t>
      </w:r>
      <w:r w:rsidRPr="00AD62DE">
        <w:rPr>
          <w:rFonts w:cs="Arial"/>
          <w:sz w:val="20"/>
          <w:szCs w:val="20"/>
        </w:rPr>
        <w:t xml:space="preserve">27 </w:t>
      </w:r>
      <w:r>
        <w:rPr>
          <w:rFonts w:cs="Arial"/>
          <w:sz w:val="20"/>
          <w:szCs w:val="20"/>
        </w:rPr>
        <w:t>d</w:t>
      </w:r>
      <w:r w:rsidRPr="00AD62DE">
        <w:rPr>
          <w:rFonts w:cs="Arial"/>
          <w:sz w:val="20"/>
          <w:szCs w:val="20"/>
        </w:rPr>
        <w:t xml:space="preserve">e </w:t>
      </w:r>
      <w:r>
        <w:rPr>
          <w:rFonts w:cs="Arial"/>
          <w:sz w:val="20"/>
          <w:szCs w:val="20"/>
        </w:rPr>
        <w:t>m</w:t>
      </w:r>
      <w:r w:rsidRPr="00AD62DE">
        <w:rPr>
          <w:rFonts w:cs="Arial"/>
          <w:sz w:val="20"/>
          <w:szCs w:val="20"/>
        </w:rPr>
        <w:t xml:space="preserve">arzo </w:t>
      </w:r>
      <w:r>
        <w:rPr>
          <w:rFonts w:cs="Arial"/>
          <w:sz w:val="20"/>
          <w:szCs w:val="20"/>
        </w:rPr>
        <w:t>d</w:t>
      </w:r>
      <w:r w:rsidRPr="00AD62DE">
        <w:rPr>
          <w:rFonts w:cs="Arial"/>
          <w:sz w:val="20"/>
          <w:szCs w:val="20"/>
        </w:rPr>
        <w:t>e 2014</w:t>
      </w:r>
      <w:r>
        <w:rPr>
          <w:rFonts w:cs="Arial"/>
          <w:sz w:val="20"/>
          <w:szCs w:val="20"/>
        </w:rPr>
        <w:t>, r</w:t>
      </w:r>
      <w:r w:rsidRPr="00AD62DE">
        <w:rPr>
          <w:rFonts w:cs="Arial"/>
          <w:bCs/>
          <w:sz w:val="20"/>
          <w:szCs w:val="20"/>
        </w:rPr>
        <w:t xml:space="preserve">adicación: 20001-23-31-000-1999-00784-01(27453), </w:t>
      </w:r>
      <w:r>
        <w:rPr>
          <w:rFonts w:cs="Arial"/>
          <w:bCs/>
          <w:sz w:val="20"/>
          <w:szCs w:val="20"/>
        </w:rPr>
        <w:t>a</w:t>
      </w:r>
      <w:r w:rsidRPr="00AD62DE">
        <w:rPr>
          <w:rFonts w:cs="Arial"/>
          <w:bCs/>
          <w:sz w:val="20"/>
          <w:szCs w:val="20"/>
        </w:rPr>
        <w:t xml:space="preserve">ctor: Cooperativa </w:t>
      </w:r>
      <w:r>
        <w:rPr>
          <w:rFonts w:cs="Arial"/>
          <w:bCs/>
          <w:sz w:val="20"/>
          <w:szCs w:val="20"/>
        </w:rPr>
        <w:t>d</w:t>
      </w:r>
      <w:r w:rsidRPr="00AD62DE">
        <w:rPr>
          <w:rFonts w:cs="Arial"/>
          <w:bCs/>
          <w:sz w:val="20"/>
          <w:szCs w:val="20"/>
        </w:rPr>
        <w:t xml:space="preserve">e Trabajo Asociado </w:t>
      </w:r>
      <w:r>
        <w:rPr>
          <w:rFonts w:cs="Arial"/>
          <w:bCs/>
          <w:sz w:val="20"/>
          <w:szCs w:val="20"/>
        </w:rPr>
        <w:t>d</w:t>
      </w:r>
      <w:r w:rsidRPr="00AD62DE">
        <w:rPr>
          <w:rFonts w:cs="Arial"/>
          <w:bCs/>
          <w:sz w:val="20"/>
          <w:szCs w:val="20"/>
        </w:rPr>
        <w:t xml:space="preserve">e Casacara Cootasca, </w:t>
      </w:r>
      <w:r>
        <w:rPr>
          <w:rFonts w:cs="Arial"/>
          <w:bCs/>
          <w:sz w:val="20"/>
          <w:szCs w:val="20"/>
        </w:rPr>
        <w:t>d</w:t>
      </w:r>
      <w:r w:rsidRPr="00AD62DE">
        <w:rPr>
          <w:rFonts w:cs="Arial"/>
          <w:bCs/>
          <w:sz w:val="20"/>
          <w:szCs w:val="20"/>
        </w:rPr>
        <w:t xml:space="preserve">emandado: Instituto Nacional </w:t>
      </w:r>
      <w:r>
        <w:rPr>
          <w:rFonts w:cs="Arial"/>
          <w:bCs/>
          <w:sz w:val="20"/>
          <w:szCs w:val="20"/>
        </w:rPr>
        <w:t>d</w:t>
      </w:r>
      <w:r w:rsidRPr="00AD62DE">
        <w:rPr>
          <w:rFonts w:cs="Arial"/>
          <w:bCs/>
          <w:sz w:val="20"/>
          <w:szCs w:val="20"/>
        </w:rPr>
        <w:t>e V</w:t>
      </w:r>
      <w:r>
        <w:rPr>
          <w:rFonts w:cs="Arial"/>
          <w:bCs/>
          <w:sz w:val="20"/>
          <w:szCs w:val="20"/>
        </w:rPr>
        <w:t>í</w:t>
      </w:r>
      <w:r w:rsidRPr="00AD62DE">
        <w:rPr>
          <w:rFonts w:cs="Arial"/>
          <w:bCs/>
          <w:sz w:val="20"/>
          <w:szCs w:val="20"/>
        </w:rPr>
        <w:t>as – Inv</w:t>
      </w:r>
      <w:r>
        <w:rPr>
          <w:rFonts w:cs="Arial"/>
          <w:bCs/>
          <w:sz w:val="20"/>
          <w:szCs w:val="20"/>
        </w:rPr>
        <w:t>í</w:t>
      </w:r>
      <w:r w:rsidRPr="00AD62DE">
        <w:rPr>
          <w:rFonts w:cs="Arial"/>
          <w:bCs/>
          <w:sz w:val="20"/>
          <w:szCs w:val="20"/>
        </w:rPr>
        <w:t xml:space="preserve">as, </w:t>
      </w:r>
      <w:r>
        <w:rPr>
          <w:rFonts w:cs="Arial"/>
          <w:bCs/>
          <w:sz w:val="20"/>
          <w:szCs w:val="20"/>
        </w:rPr>
        <w:t>r</w:t>
      </w:r>
      <w:r w:rsidRPr="00AD62DE">
        <w:rPr>
          <w:rFonts w:cs="Arial"/>
          <w:bCs/>
          <w:sz w:val="20"/>
          <w:szCs w:val="20"/>
        </w:rPr>
        <w:t xml:space="preserve">eferencia: </w:t>
      </w:r>
      <w:r>
        <w:rPr>
          <w:rFonts w:cs="Arial"/>
          <w:bCs/>
          <w:sz w:val="20"/>
          <w:szCs w:val="20"/>
        </w:rPr>
        <w:t>a</w:t>
      </w:r>
      <w:r w:rsidRPr="00AD62DE">
        <w:rPr>
          <w:rFonts w:cs="Arial"/>
          <w:bCs/>
          <w:sz w:val="20"/>
          <w:szCs w:val="20"/>
        </w:rPr>
        <w:t>cci</w:t>
      </w:r>
      <w:r>
        <w:rPr>
          <w:rFonts w:cs="Arial"/>
          <w:bCs/>
          <w:sz w:val="20"/>
          <w:szCs w:val="20"/>
        </w:rPr>
        <w:t>ó</w:t>
      </w:r>
      <w:r w:rsidRPr="00AD62DE">
        <w:rPr>
          <w:rFonts w:cs="Arial"/>
          <w:bCs/>
          <w:sz w:val="20"/>
          <w:szCs w:val="20"/>
        </w:rPr>
        <w:t xml:space="preserve">n </w:t>
      </w:r>
      <w:r>
        <w:rPr>
          <w:rFonts w:cs="Arial"/>
          <w:bCs/>
          <w:sz w:val="20"/>
          <w:szCs w:val="20"/>
        </w:rPr>
        <w:t>d</w:t>
      </w:r>
      <w:r w:rsidRPr="00AD62DE">
        <w:rPr>
          <w:rFonts w:cs="Arial"/>
          <w:bCs/>
          <w:sz w:val="20"/>
          <w:szCs w:val="20"/>
        </w:rPr>
        <w:t xml:space="preserve">e </w:t>
      </w:r>
      <w:r>
        <w:rPr>
          <w:rFonts w:cs="Arial"/>
          <w:bCs/>
          <w:sz w:val="20"/>
          <w:szCs w:val="20"/>
        </w:rPr>
        <w:t>c</w:t>
      </w:r>
      <w:r w:rsidRPr="00AD62DE">
        <w:rPr>
          <w:rFonts w:cs="Arial"/>
          <w:bCs/>
          <w:sz w:val="20"/>
          <w:szCs w:val="20"/>
        </w:rPr>
        <w:t xml:space="preserve">ontroversias </w:t>
      </w:r>
      <w:r>
        <w:rPr>
          <w:rFonts w:cs="Arial"/>
          <w:bCs/>
          <w:sz w:val="20"/>
          <w:szCs w:val="20"/>
        </w:rPr>
        <w:t>c</w:t>
      </w:r>
      <w:r w:rsidRPr="00AD62DE">
        <w:rPr>
          <w:rFonts w:cs="Arial"/>
          <w:bCs/>
          <w:sz w:val="20"/>
          <w:szCs w:val="20"/>
        </w:rPr>
        <w:t>ontractuales (Apelaci</w:t>
      </w:r>
      <w:r>
        <w:rPr>
          <w:rFonts w:cs="Arial"/>
          <w:bCs/>
          <w:sz w:val="20"/>
          <w:szCs w:val="20"/>
        </w:rPr>
        <w:t>ó</w:t>
      </w:r>
      <w:r w:rsidRPr="00AD62DE">
        <w:rPr>
          <w:rFonts w:cs="Arial"/>
          <w:bCs/>
          <w:sz w:val="20"/>
          <w:szCs w:val="20"/>
        </w:rPr>
        <w:t xml:space="preserve">n Sentencia); </w:t>
      </w:r>
      <w:r w:rsidRPr="00AD62DE">
        <w:rPr>
          <w:rFonts w:cs="Arial"/>
          <w:b/>
          <w:bCs/>
          <w:sz w:val="20"/>
          <w:szCs w:val="20"/>
        </w:rPr>
        <w:t>2.</w:t>
      </w:r>
      <w:r w:rsidRPr="00AD62DE">
        <w:rPr>
          <w:rFonts w:cs="Arial"/>
          <w:bCs/>
          <w:sz w:val="20"/>
          <w:szCs w:val="20"/>
        </w:rPr>
        <w:t xml:space="preserve"> Subsecci</w:t>
      </w:r>
      <w:r>
        <w:rPr>
          <w:rFonts w:cs="Arial"/>
          <w:bCs/>
          <w:sz w:val="20"/>
          <w:szCs w:val="20"/>
        </w:rPr>
        <w:t>ó</w:t>
      </w:r>
      <w:r w:rsidRPr="00AD62DE">
        <w:rPr>
          <w:rFonts w:cs="Arial"/>
          <w:bCs/>
          <w:sz w:val="20"/>
          <w:szCs w:val="20"/>
        </w:rPr>
        <w:t>n C, Consejera Ponente: Olga M</w:t>
      </w:r>
      <w:r>
        <w:rPr>
          <w:rFonts w:cs="Arial"/>
          <w:bCs/>
          <w:sz w:val="20"/>
          <w:szCs w:val="20"/>
        </w:rPr>
        <w:t>é</w:t>
      </w:r>
      <w:r w:rsidRPr="00AD62DE">
        <w:rPr>
          <w:rFonts w:cs="Arial"/>
          <w:bCs/>
          <w:sz w:val="20"/>
          <w:szCs w:val="20"/>
        </w:rPr>
        <w:t xml:space="preserve">lida Valle </w:t>
      </w:r>
      <w:r>
        <w:rPr>
          <w:rFonts w:cs="Arial"/>
          <w:bCs/>
          <w:sz w:val="20"/>
          <w:szCs w:val="20"/>
        </w:rPr>
        <w:t>d</w:t>
      </w:r>
      <w:r w:rsidRPr="00AD62DE">
        <w:rPr>
          <w:rFonts w:cs="Arial"/>
          <w:bCs/>
          <w:sz w:val="20"/>
          <w:szCs w:val="20"/>
        </w:rPr>
        <w:t xml:space="preserve">e De La Hoz, </w:t>
      </w:r>
      <w:r>
        <w:rPr>
          <w:rFonts w:cs="Arial"/>
          <w:bCs/>
          <w:sz w:val="20"/>
          <w:szCs w:val="20"/>
        </w:rPr>
        <w:t xml:space="preserve">sentencia de </w:t>
      </w:r>
      <w:r w:rsidRPr="00AD62DE">
        <w:rPr>
          <w:rFonts w:cs="Arial"/>
          <w:sz w:val="20"/>
          <w:szCs w:val="20"/>
        </w:rPr>
        <w:t xml:space="preserve">10 </w:t>
      </w:r>
      <w:r>
        <w:rPr>
          <w:rFonts w:cs="Arial"/>
          <w:sz w:val="20"/>
          <w:szCs w:val="20"/>
        </w:rPr>
        <w:t>d</w:t>
      </w:r>
      <w:r w:rsidRPr="00AD62DE">
        <w:rPr>
          <w:rFonts w:cs="Arial"/>
          <w:sz w:val="20"/>
          <w:szCs w:val="20"/>
        </w:rPr>
        <w:t xml:space="preserve">e </w:t>
      </w:r>
      <w:r>
        <w:rPr>
          <w:rFonts w:cs="Arial"/>
          <w:sz w:val="20"/>
          <w:szCs w:val="20"/>
        </w:rPr>
        <w:t>s</w:t>
      </w:r>
      <w:r w:rsidRPr="00AD62DE">
        <w:rPr>
          <w:rFonts w:cs="Arial"/>
          <w:sz w:val="20"/>
          <w:szCs w:val="20"/>
        </w:rPr>
        <w:t xml:space="preserve">eptiembre </w:t>
      </w:r>
      <w:r>
        <w:rPr>
          <w:rFonts w:cs="Arial"/>
          <w:sz w:val="20"/>
          <w:szCs w:val="20"/>
        </w:rPr>
        <w:t>d</w:t>
      </w:r>
      <w:r w:rsidRPr="00AD62DE">
        <w:rPr>
          <w:rFonts w:cs="Arial"/>
          <w:sz w:val="20"/>
          <w:szCs w:val="20"/>
        </w:rPr>
        <w:t xml:space="preserve">e 2014, </w:t>
      </w:r>
      <w:r>
        <w:rPr>
          <w:rFonts w:cs="Arial"/>
          <w:sz w:val="20"/>
          <w:szCs w:val="20"/>
        </w:rPr>
        <w:t>r</w:t>
      </w:r>
      <w:r w:rsidRPr="00AD62DE">
        <w:rPr>
          <w:rFonts w:cs="Arial"/>
          <w:bCs/>
          <w:sz w:val="20"/>
          <w:szCs w:val="20"/>
        </w:rPr>
        <w:t xml:space="preserve">adicación: 25000-23-26-000-2000-01305-01(27203), </w:t>
      </w:r>
      <w:r>
        <w:rPr>
          <w:rFonts w:cs="Arial"/>
          <w:bCs/>
          <w:sz w:val="20"/>
          <w:szCs w:val="20"/>
        </w:rPr>
        <w:t>a</w:t>
      </w:r>
      <w:r w:rsidRPr="00AD62DE">
        <w:rPr>
          <w:rFonts w:cs="Arial"/>
          <w:bCs/>
          <w:sz w:val="20"/>
          <w:szCs w:val="20"/>
        </w:rPr>
        <w:t>ctor: Seguridad El Pent</w:t>
      </w:r>
      <w:r>
        <w:rPr>
          <w:rFonts w:cs="Arial"/>
          <w:bCs/>
          <w:sz w:val="20"/>
          <w:szCs w:val="20"/>
        </w:rPr>
        <w:t>á</w:t>
      </w:r>
      <w:r w:rsidRPr="00AD62DE">
        <w:rPr>
          <w:rFonts w:cs="Arial"/>
          <w:bCs/>
          <w:sz w:val="20"/>
          <w:szCs w:val="20"/>
        </w:rPr>
        <w:t xml:space="preserve">gono Colombiano Ltda. - Sepecol Ltda., </w:t>
      </w:r>
      <w:r>
        <w:rPr>
          <w:rFonts w:cs="Arial"/>
          <w:bCs/>
          <w:sz w:val="20"/>
          <w:szCs w:val="20"/>
        </w:rPr>
        <w:t>d</w:t>
      </w:r>
      <w:r w:rsidRPr="00AD62DE">
        <w:rPr>
          <w:rFonts w:cs="Arial"/>
          <w:bCs/>
          <w:sz w:val="20"/>
          <w:szCs w:val="20"/>
        </w:rPr>
        <w:t xml:space="preserve">emandado: Instituto Colombiano </w:t>
      </w:r>
      <w:r>
        <w:rPr>
          <w:rFonts w:cs="Arial"/>
          <w:bCs/>
          <w:sz w:val="20"/>
          <w:szCs w:val="20"/>
        </w:rPr>
        <w:t>d</w:t>
      </w:r>
      <w:r w:rsidRPr="00AD62DE">
        <w:rPr>
          <w:rFonts w:cs="Arial"/>
          <w:bCs/>
          <w:sz w:val="20"/>
          <w:szCs w:val="20"/>
        </w:rPr>
        <w:t xml:space="preserve">e Bienestar Familiar </w:t>
      </w:r>
      <w:r>
        <w:rPr>
          <w:rFonts w:cs="Arial"/>
          <w:bCs/>
          <w:sz w:val="20"/>
          <w:szCs w:val="20"/>
        </w:rPr>
        <w:t>y</w:t>
      </w:r>
      <w:r w:rsidRPr="00AD62DE">
        <w:rPr>
          <w:rFonts w:cs="Arial"/>
          <w:bCs/>
          <w:sz w:val="20"/>
          <w:szCs w:val="20"/>
        </w:rPr>
        <w:t xml:space="preserve"> </w:t>
      </w:r>
      <w:r>
        <w:rPr>
          <w:rFonts w:cs="Arial"/>
          <w:bCs/>
          <w:sz w:val="20"/>
          <w:szCs w:val="20"/>
        </w:rPr>
        <w:t>o</w:t>
      </w:r>
      <w:r w:rsidRPr="00AD62DE">
        <w:rPr>
          <w:rFonts w:cs="Arial"/>
          <w:bCs/>
          <w:sz w:val="20"/>
          <w:szCs w:val="20"/>
        </w:rPr>
        <w:t xml:space="preserve">tros, </w:t>
      </w:r>
      <w:r>
        <w:rPr>
          <w:rFonts w:cs="Arial"/>
          <w:bCs/>
          <w:sz w:val="20"/>
          <w:szCs w:val="20"/>
        </w:rPr>
        <w:t>r</w:t>
      </w:r>
      <w:r w:rsidRPr="00AD62DE">
        <w:rPr>
          <w:rFonts w:cs="Arial"/>
          <w:bCs/>
          <w:sz w:val="20"/>
          <w:szCs w:val="20"/>
        </w:rPr>
        <w:t xml:space="preserve">eferencia: </w:t>
      </w:r>
      <w:r>
        <w:rPr>
          <w:rFonts w:cs="Arial"/>
          <w:bCs/>
          <w:sz w:val="20"/>
          <w:szCs w:val="20"/>
        </w:rPr>
        <w:t>a</w:t>
      </w:r>
      <w:r w:rsidRPr="00AD62DE">
        <w:rPr>
          <w:rFonts w:cs="Arial"/>
          <w:bCs/>
          <w:sz w:val="20"/>
          <w:szCs w:val="20"/>
        </w:rPr>
        <w:t>pelaci</w:t>
      </w:r>
      <w:r>
        <w:rPr>
          <w:rFonts w:cs="Arial"/>
          <w:bCs/>
          <w:sz w:val="20"/>
          <w:szCs w:val="20"/>
        </w:rPr>
        <w:t>ó</w:t>
      </w:r>
      <w:r w:rsidRPr="00AD62DE">
        <w:rPr>
          <w:rFonts w:cs="Arial"/>
          <w:bCs/>
          <w:sz w:val="20"/>
          <w:szCs w:val="20"/>
        </w:rPr>
        <w:t xml:space="preserve">n </w:t>
      </w:r>
      <w:r>
        <w:rPr>
          <w:rFonts w:cs="Arial"/>
          <w:bCs/>
          <w:sz w:val="20"/>
          <w:szCs w:val="20"/>
        </w:rPr>
        <w:t>s</w:t>
      </w:r>
      <w:r w:rsidRPr="00AD62DE">
        <w:rPr>
          <w:rFonts w:cs="Arial"/>
          <w:bCs/>
          <w:sz w:val="20"/>
          <w:szCs w:val="20"/>
        </w:rPr>
        <w:t xml:space="preserve">entencia - </w:t>
      </w:r>
      <w:r>
        <w:rPr>
          <w:rFonts w:cs="Arial"/>
          <w:bCs/>
          <w:sz w:val="20"/>
          <w:szCs w:val="20"/>
        </w:rPr>
        <w:t>a</w:t>
      </w:r>
      <w:r w:rsidRPr="00AD62DE">
        <w:rPr>
          <w:rFonts w:cs="Arial"/>
          <w:bCs/>
          <w:sz w:val="20"/>
          <w:szCs w:val="20"/>
        </w:rPr>
        <w:t>cci</w:t>
      </w:r>
      <w:r>
        <w:rPr>
          <w:rFonts w:cs="Arial"/>
          <w:bCs/>
          <w:sz w:val="20"/>
          <w:szCs w:val="20"/>
        </w:rPr>
        <w:t>ó</w:t>
      </w:r>
      <w:r w:rsidRPr="00AD62DE">
        <w:rPr>
          <w:rFonts w:cs="Arial"/>
          <w:bCs/>
          <w:sz w:val="20"/>
          <w:szCs w:val="20"/>
        </w:rPr>
        <w:t xml:space="preserve">n </w:t>
      </w:r>
      <w:r>
        <w:rPr>
          <w:rFonts w:cs="Arial"/>
          <w:bCs/>
          <w:sz w:val="20"/>
          <w:szCs w:val="20"/>
        </w:rPr>
        <w:t>d</w:t>
      </w:r>
      <w:r w:rsidRPr="00AD62DE">
        <w:rPr>
          <w:rFonts w:cs="Arial"/>
          <w:bCs/>
          <w:sz w:val="20"/>
          <w:szCs w:val="20"/>
        </w:rPr>
        <w:t xml:space="preserve">e </w:t>
      </w:r>
      <w:r>
        <w:rPr>
          <w:rFonts w:cs="Arial"/>
          <w:bCs/>
          <w:sz w:val="20"/>
          <w:szCs w:val="20"/>
        </w:rPr>
        <w:t>n</w:t>
      </w:r>
      <w:r w:rsidRPr="00AD62DE">
        <w:rPr>
          <w:rFonts w:cs="Arial"/>
          <w:bCs/>
          <w:sz w:val="20"/>
          <w:szCs w:val="20"/>
        </w:rPr>
        <w:t xml:space="preserve">ulidad </w:t>
      </w:r>
      <w:r>
        <w:rPr>
          <w:rFonts w:cs="Arial"/>
          <w:bCs/>
          <w:sz w:val="20"/>
          <w:szCs w:val="20"/>
        </w:rPr>
        <w:t>y</w:t>
      </w:r>
      <w:r w:rsidRPr="00AD62DE">
        <w:rPr>
          <w:rFonts w:cs="Arial"/>
          <w:bCs/>
          <w:sz w:val="20"/>
          <w:szCs w:val="20"/>
        </w:rPr>
        <w:t xml:space="preserve"> </w:t>
      </w:r>
      <w:r>
        <w:rPr>
          <w:rFonts w:cs="Arial"/>
          <w:bCs/>
          <w:sz w:val="20"/>
          <w:szCs w:val="20"/>
        </w:rPr>
        <w:t>r</w:t>
      </w:r>
      <w:r w:rsidRPr="00AD62DE">
        <w:rPr>
          <w:rFonts w:cs="Arial"/>
          <w:bCs/>
          <w:sz w:val="20"/>
          <w:szCs w:val="20"/>
        </w:rPr>
        <w:t xml:space="preserve">establecimiento </w:t>
      </w:r>
      <w:r>
        <w:rPr>
          <w:rFonts w:cs="Arial"/>
          <w:bCs/>
          <w:sz w:val="20"/>
          <w:szCs w:val="20"/>
        </w:rPr>
        <w:t>d</w:t>
      </w:r>
      <w:r w:rsidRPr="00AD62DE">
        <w:rPr>
          <w:rFonts w:cs="Arial"/>
          <w:bCs/>
          <w:sz w:val="20"/>
          <w:szCs w:val="20"/>
        </w:rPr>
        <w:t xml:space="preserve">el </w:t>
      </w:r>
      <w:r>
        <w:rPr>
          <w:rFonts w:cs="Arial"/>
          <w:bCs/>
          <w:sz w:val="20"/>
          <w:szCs w:val="20"/>
        </w:rPr>
        <w:t>d</w:t>
      </w:r>
      <w:r w:rsidRPr="00AD62DE">
        <w:rPr>
          <w:rFonts w:cs="Arial"/>
          <w:bCs/>
          <w:sz w:val="20"/>
          <w:szCs w:val="20"/>
        </w:rPr>
        <w:t>erecho</w:t>
      </w:r>
      <w:r>
        <w:rPr>
          <w:rFonts w:cs="Arial"/>
          <w:bCs/>
          <w:sz w:val="20"/>
          <w:szCs w:val="20"/>
        </w:rPr>
        <w:t>.</w:t>
      </w:r>
    </w:p>
    <w:p w:rsidR="002E2E41" w:rsidRPr="00372C5F" w:rsidRDefault="002E2E41">
      <w:pPr>
        <w:pStyle w:val="Textonotapie"/>
        <w:rPr>
          <w:lang w:val="es-CO"/>
        </w:rPr>
      </w:pPr>
    </w:p>
  </w:footnote>
  <w:footnote w:id="15">
    <w:p w:rsidR="002E2E41" w:rsidRPr="002F06B2" w:rsidRDefault="002E2E41" w:rsidP="00FB6237">
      <w:pPr>
        <w:spacing w:line="240" w:lineRule="auto"/>
        <w:rPr>
          <w:rFonts w:cs="Arial"/>
          <w:sz w:val="20"/>
          <w:szCs w:val="20"/>
        </w:rPr>
      </w:pPr>
      <w:r w:rsidRPr="002F06B2">
        <w:rPr>
          <w:rStyle w:val="Refdenotaalpie"/>
          <w:rFonts w:cs="Arial"/>
          <w:sz w:val="20"/>
          <w:szCs w:val="20"/>
        </w:rPr>
        <w:footnoteRef/>
      </w:r>
      <w:r w:rsidRPr="002F06B2">
        <w:rPr>
          <w:rFonts w:cs="Arial"/>
          <w:sz w:val="20"/>
          <w:szCs w:val="20"/>
        </w:rPr>
        <w:t xml:space="preserve"> Consejo de Estado, Sala de lo Contencioso Administrativo, Sección Tercera, Subsección A, Consejero Ponente: Mauricio Fajardo Gómez, jurisprudencia reiterada en las siguientes sentencias: </w:t>
      </w:r>
      <w:r w:rsidRPr="002F06B2">
        <w:rPr>
          <w:rFonts w:cs="Arial"/>
          <w:b/>
          <w:sz w:val="20"/>
          <w:szCs w:val="20"/>
        </w:rPr>
        <w:t>1</w:t>
      </w:r>
      <w:r w:rsidRPr="002F06B2">
        <w:rPr>
          <w:rFonts w:cs="Arial"/>
          <w:sz w:val="20"/>
          <w:szCs w:val="20"/>
        </w:rPr>
        <w:t xml:space="preserve"> Sentencia de 12 de febrero de 2014, radicación 250002326000200137701, expediente 32721, actor Integrantes Unión temporal Bogotá Móvil, demandado Fondo de Educación y Seguridad Vial Fondatt, acción contractual. </w:t>
      </w:r>
      <w:r w:rsidRPr="002F06B2">
        <w:rPr>
          <w:rFonts w:cs="Arial"/>
          <w:b/>
          <w:sz w:val="20"/>
          <w:szCs w:val="20"/>
        </w:rPr>
        <w:t>2.</w:t>
      </w:r>
      <w:r w:rsidRPr="002F06B2">
        <w:rPr>
          <w:rFonts w:cs="Arial"/>
          <w:sz w:val="20"/>
          <w:szCs w:val="20"/>
        </w:rPr>
        <w:t xml:space="preserve"> Sentencia de 12 de febrero de 2014, radicación: 250002326000200102922, expediente 31753, actor Insetel Ltda., demandado: Municipio de Purificación, acción: nulidad y restablecimiento del derecho; </w:t>
      </w:r>
      <w:r w:rsidRPr="002F06B2">
        <w:rPr>
          <w:rFonts w:cs="Arial"/>
          <w:b/>
          <w:sz w:val="20"/>
          <w:szCs w:val="20"/>
        </w:rPr>
        <w:t>3.</w:t>
      </w:r>
      <w:r w:rsidRPr="002F06B2">
        <w:rPr>
          <w:rFonts w:cs="Arial"/>
          <w:sz w:val="20"/>
          <w:szCs w:val="20"/>
        </w:rPr>
        <w:t xml:space="preserve"> Sentencia de enero 29 de 2014, radicación 250002326000 2001 02053 01, expediente 30250, actor Consorcio FAB, demandado Fondo Rotatorio de la Fuerza Aérea, acción contractual; </w:t>
      </w:r>
      <w:r w:rsidRPr="002F06B2">
        <w:rPr>
          <w:rFonts w:cs="Arial"/>
          <w:b/>
          <w:sz w:val="20"/>
          <w:szCs w:val="20"/>
        </w:rPr>
        <w:t>4</w:t>
      </w:r>
      <w:r w:rsidRPr="002F06B2">
        <w:rPr>
          <w:rFonts w:cs="Arial"/>
          <w:sz w:val="20"/>
          <w:szCs w:val="20"/>
        </w:rPr>
        <w:t xml:space="preserve">. Sentencia de noviembre 13 de 2013, radicación 25000232600020010292201, expediente 28479, actor: Unión Temporal de Servicios Eléctricos, demandado: Fondo de Educación y Seguridad Vial Fondatt; </w:t>
      </w:r>
      <w:r w:rsidRPr="002F06B2">
        <w:rPr>
          <w:rFonts w:cs="Arial"/>
          <w:b/>
          <w:sz w:val="20"/>
          <w:szCs w:val="20"/>
        </w:rPr>
        <w:t>5.</w:t>
      </w:r>
      <w:r w:rsidRPr="002F06B2">
        <w:rPr>
          <w:rFonts w:cs="Arial"/>
          <w:sz w:val="20"/>
          <w:szCs w:val="20"/>
        </w:rPr>
        <w:t xml:space="preserve"> sentencia de noviembre 13 de 2013, radicación 2500023260019990219701, expediente 25646, actor Ciarquelet Ltda., demandado Distrito Capital Departamento Administrativo de Acción Comunal Distrital y </w:t>
      </w:r>
      <w:r w:rsidRPr="002F06B2">
        <w:rPr>
          <w:rFonts w:cs="Arial"/>
          <w:sz w:val="20"/>
          <w:szCs w:val="20"/>
          <w:lang w:val="es-CO"/>
        </w:rPr>
        <w:t>o</w:t>
      </w:r>
      <w:r w:rsidRPr="002F06B2">
        <w:rPr>
          <w:rFonts w:cs="Arial"/>
          <w:sz w:val="20"/>
          <w:szCs w:val="20"/>
        </w:rPr>
        <w:t>tro</w:t>
      </w:r>
      <w:r>
        <w:rPr>
          <w:rFonts w:cs="Arial"/>
          <w:sz w:val="20"/>
          <w:szCs w:val="20"/>
        </w:rPr>
        <w:t>.</w:t>
      </w:r>
      <w:r w:rsidRPr="002F06B2">
        <w:rPr>
          <w:rFonts w:cs="Arial"/>
          <w:sz w:val="20"/>
          <w:szCs w:val="20"/>
        </w:rPr>
        <w:t xml:space="preserve"> Igualmente</w:t>
      </w:r>
      <w:r>
        <w:rPr>
          <w:rFonts w:cs="Arial"/>
          <w:sz w:val="20"/>
          <w:szCs w:val="20"/>
        </w:rPr>
        <w:t>, se pueden citar otras sentencias de la misma Subsección A</w:t>
      </w:r>
      <w:r w:rsidRPr="002F06B2">
        <w:rPr>
          <w:rFonts w:cs="Arial"/>
          <w:sz w:val="20"/>
          <w:szCs w:val="20"/>
        </w:rPr>
        <w:t xml:space="preserve">: </w:t>
      </w:r>
      <w:r w:rsidRPr="00C61066">
        <w:rPr>
          <w:rFonts w:cs="Arial"/>
          <w:b/>
          <w:sz w:val="20"/>
          <w:szCs w:val="20"/>
        </w:rPr>
        <w:t>6.</w:t>
      </w:r>
      <w:r w:rsidRPr="00C61066">
        <w:rPr>
          <w:rFonts w:cs="Arial"/>
          <w:sz w:val="20"/>
          <w:szCs w:val="20"/>
        </w:rPr>
        <w:t xml:space="preserve"> Sentencia de 9 de julio de 2014, Consejero Ponente: Carlos Alberto Zambrano Barrera,</w:t>
      </w:r>
      <w:r>
        <w:rPr>
          <w:rFonts w:cs="Arial"/>
          <w:sz w:val="20"/>
          <w:szCs w:val="20"/>
        </w:rPr>
        <w:t xml:space="preserve"> </w:t>
      </w:r>
      <w:r w:rsidRPr="00C61066">
        <w:rPr>
          <w:rFonts w:cs="Arial"/>
          <w:sz w:val="20"/>
          <w:szCs w:val="20"/>
        </w:rPr>
        <w:t>r</w:t>
      </w:r>
      <w:r w:rsidRPr="00C61066">
        <w:rPr>
          <w:rFonts w:cs="Arial"/>
          <w:bCs/>
          <w:sz w:val="20"/>
          <w:szCs w:val="20"/>
        </w:rPr>
        <w:t>adicación: 250002326000200001205</w:t>
      </w:r>
      <w:r w:rsidRPr="00C61066">
        <w:rPr>
          <w:rFonts w:cs="Arial"/>
          <w:sz w:val="20"/>
          <w:szCs w:val="20"/>
        </w:rPr>
        <w:t>-01,</w:t>
      </w:r>
      <w:r>
        <w:rPr>
          <w:rFonts w:cs="Arial"/>
          <w:sz w:val="20"/>
          <w:szCs w:val="20"/>
        </w:rPr>
        <w:t xml:space="preserve"> </w:t>
      </w:r>
      <w:r w:rsidRPr="00C61066">
        <w:rPr>
          <w:rFonts w:cs="Arial"/>
          <w:sz w:val="20"/>
          <w:szCs w:val="20"/>
        </w:rPr>
        <w:t>e</w:t>
      </w:r>
      <w:r w:rsidRPr="00C61066">
        <w:rPr>
          <w:rFonts w:cs="Arial"/>
          <w:bCs/>
          <w:sz w:val="20"/>
          <w:szCs w:val="20"/>
        </w:rPr>
        <w:t xml:space="preserve">xpediente: 27.883, </w:t>
      </w:r>
      <w:r w:rsidRPr="00C61066">
        <w:rPr>
          <w:rFonts w:cs="Arial"/>
          <w:sz w:val="20"/>
          <w:szCs w:val="20"/>
        </w:rPr>
        <w:t>Demandante: Reimpodiesel S.A., Demandado:</w:t>
      </w:r>
      <w:r>
        <w:rPr>
          <w:rFonts w:cs="Arial"/>
          <w:sz w:val="20"/>
          <w:szCs w:val="20"/>
        </w:rPr>
        <w:t xml:space="preserve"> </w:t>
      </w:r>
      <w:r w:rsidRPr="00C61066">
        <w:rPr>
          <w:rFonts w:cs="Arial"/>
          <w:sz w:val="20"/>
          <w:szCs w:val="20"/>
        </w:rPr>
        <w:t xml:space="preserve">Instituto de Desarrollo Urbano –IDU- , </w:t>
      </w:r>
      <w:r w:rsidRPr="00C61066">
        <w:rPr>
          <w:rFonts w:cs="Arial"/>
          <w:bCs/>
          <w:sz w:val="20"/>
          <w:szCs w:val="20"/>
        </w:rPr>
        <w:t>naturaleza: nulidad y restablecimiento del derecho</w:t>
      </w:r>
      <w:r>
        <w:rPr>
          <w:rFonts w:cs="Arial"/>
          <w:bCs/>
          <w:sz w:val="20"/>
          <w:szCs w:val="20"/>
        </w:rPr>
        <w:t xml:space="preserve">; </w:t>
      </w:r>
      <w:r w:rsidRPr="00C61066">
        <w:rPr>
          <w:rFonts w:cs="Arial"/>
          <w:b/>
          <w:bCs/>
          <w:sz w:val="20"/>
          <w:szCs w:val="20"/>
        </w:rPr>
        <w:t>7.</w:t>
      </w:r>
      <w:r>
        <w:rPr>
          <w:rFonts w:cs="Arial"/>
          <w:bCs/>
          <w:sz w:val="20"/>
          <w:szCs w:val="20"/>
        </w:rPr>
        <w:t xml:space="preserve"> </w:t>
      </w:r>
      <w:r w:rsidRPr="002F06B2">
        <w:rPr>
          <w:rFonts w:cs="Arial"/>
          <w:sz w:val="20"/>
          <w:szCs w:val="20"/>
        </w:rPr>
        <w:t xml:space="preserve">sentencia 23 de </w:t>
      </w:r>
      <w:r>
        <w:rPr>
          <w:rFonts w:cs="Arial"/>
          <w:sz w:val="20"/>
          <w:szCs w:val="20"/>
        </w:rPr>
        <w:t>s</w:t>
      </w:r>
      <w:r w:rsidRPr="002F06B2">
        <w:rPr>
          <w:rFonts w:cs="Arial"/>
          <w:sz w:val="20"/>
          <w:szCs w:val="20"/>
        </w:rPr>
        <w:t>eptiembre de 2015.</w:t>
      </w:r>
      <w:r w:rsidRPr="002F06B2">
        <w:rPr>
          <w:rFonts w:eastAsia="Batang" w:cs="Arial"/>
          <w:bCs/>
          <w:sz w:val="20"/>
          <w:szCs w:val="20"/>
          <w:lang w:val="es-ES_tradnl"/>
        </w:rPr>
        <w:t xml:space="preserve">, </w:t>
      </w:r>
      <w:r w:rsidRPr="002F06B2">
        <w:rPr>
          <w:rFonts w:cs="Arial"/>
          <w:sz w:val="20"/>
          <w:szCs w:val="20"/>
        </w:rPr>
        <w:t xml:space="preserve">Consejero Ponente (E): Hernán Andrade Rincón, radicación: 25000233100020020100101 (39327), actor: Cooperativa de Trabajo Servicio de Vigilancia y Seguridad Privada Cooseguridad, demandado:  Bogotá D.C. Secretaría de Educación. </w:t>
      </w:r>
      <w:r w:rsidRPr="001D753E">
        <w:rPr>
          <w:rFonts w:cs="Arial"/>
          <w:b/>
          <w:sz w:val="20"/>
          <w:szCs w:val="20"/>
        </w:rPr>
        <w:t>8.</w:t>
      </w:r>
      <w:r>
        <w:rPr>
          <w:rFonts w:cs="Arial"/>
          <w:sz w:val="20"/>
          <w:szCs w:val="20"/>
        </w:rPr>
        <w:t xml:space="preserve"> </w:t>
      </w:r>
      <w:r w:rsidRPr="00362D1E">
        <w:rPr>
          <w:rFonts w:cs="Arial"/>
          <w:sz w:val="20"/>
          <w:szCs w:val="20"/>
        </w:rPr>
        <w:t xml:space="preserve">Consejo de Estado, Sala de lo Contencioso Administrativo. Sección Tercera – Subsección A, </w:t>
      </w:r>
      <w:r w:rsidRPr="00362D1E">
        <w:rPr>
          <w:rFonts w:cs="Arial"/>
          <w:sz w:val="20"/>
          <w:szCs w:val="20"/>
          <w:lang w:val="es-CO"/>
        </w:rPr>
        <w:t>sentencia de 24 de mayo de 2017, radicación</w:t>
      </w:r>
      <w:r w:rsidRPr="00362D1E">
        <w:rPr>
          <w:rFonts w:cs="Arial"/>
          <w:sz w:val="20"/>
          <w:szCs w:val="20"/>
        </w:rPr>
        <w:t>: 25000232600020090098901 (48388), actor: Instituto Colombiano Agropecuario – ICA, demandado: Qumram Asociados Ltda, acción: reparación directa</w:t>
      </w:r>
      <w:r>
        <w:rPr>
          <w:rFonts w:cs="Arial"/>
          <w:sz w:val="20"/>
          <w:szCs w:val="20"/>
        </w:rPr>
        <w:t>.</w:t>
      </w:r>
    </w:p>
    <w:p w:rsidR="002E2E41" w:rsidRPr="00973043" w:rsidRDefault="002E2E41" w:rsidP="00FB6237">
      <w:pPr>
        <w:pStyle w:val="Textonotapie"/>
        <w:spacing w:line="240" w:lineRule="auto"/>
      </w:pPr>
      <w:r w:rsidRPr="00973043">
        <w:rPr>
          <w:rFonts w:cs="Arial"/>
        </w:rPr>
        <w:t xml:space="preserve">. </w:t>
      </w:r>
    </w:p>
  </w:footnote>
  <w:footnote w:id="16">
    <w:p w:rsidR="002E2E41" w:rsidRPr="003B418D" w:rsidRDefault="002E2E41" w:rsidP="0032532C">
      <w:pPr>
        <w:pStyle w:val="Textonotapie"/>
        <w:spacing w:line="240" w:lineRule="auto"/>
        <w:rPr>
          <w:i/>
          <w:lang w:val="es-MX"/>
        </w:rPr>
      </w:pPr>
      <w:r w:rsidRPr="003B418D">
        <w:rPr>
          <w:rStyle w:val="Refdenotaalpie"/>
        </w:rPr>
        <w:footnoteRef/>
      </w:r>
      <w:r w:rsidRPr="003B418D">
        <w:t xml:space="preserve"> </w:t>
      </w:r>
      <w:r w:rsidRPr="003B418D">
        <w:rPr>
          <w:lang w:val="es-MX"/>
        </w:rPr>
        <w:t>Cita original de la sentencia: “</w:t>
      </w:r>
      <w:r w:rsidRPr="003B418D">
        <w:rPr>
          <w:i/>
        </w:rPr>
        <w:t>De acuerdo con la sentencia C-712 de 2005 se advirtió que la posibilidad de demandar en forma separada los actos precontractuales cesa a partir de la celebración del contrato respectivo, interpretación en la cual se siguió la jurisprudencia del Consejo de Estado en auto de 13 de diciembre de 2001, expediente 19.777 y que se ha respetado en diversos pronunciamientos de la Sección Tercera de esta Corporación, según se relacionó anteriormente en el cuadro resumen de jurisprudencia</w:t>
      </w:r>
      <w:r w:rsidRPr="003B418D">
        <w:rPr>
          <w:i/>
          <w:lang w:val="es-MX"/>
        </w:rPr>
        <w:t>”</w:t>
      </w:r>
      <w:r>
        <w:rPr>
          <w:i/>
          <w:lang w:val="es-MX"/>
        </w:rPr>
        <w:t>.</w:t>
      </w:r>
    </w:p>
    <w:p w:rsidR="002E2E41" w:rsidRPr="003B418D" w:rsidRDefault="002E2E41" w:rsidP="0032532C">
      <w:pPr>
        <w:pStyle w:val="Textonotapie"/>
        <w:rPr>
          <w:i/>
        </w:rPr>
      </w:pPr>
    </w:p>
  </w:footnote>
  <w:footnote w:id="17">
    <w:p w:rsidR="002E2E41" w:rsidRPr="005A7DF4" w:rsidRDefault="002E2E41" w:rsidP="0032532C">
      <w:pPr>
        <w:pStyle w:val="Textonotapie"/>
        <w:spacing w:line="240" w:lineRule="auto"/>
        <w:rPr>
          <w:lang w:val="es-MX"/>
        </w:rPr>
      </w:pPr>
      <w:r w:rsidRPr="005A7DF4">
        <w:rPr>
          <w:rStyle w:val="Refdenotaalpie"/>
        </w:rPr>
        <w:footnoteRef/>
      </w:r>
      <w:r w:rsidRPr="005A7DF4">
        <w:t xml:space="preserve"> </w:t>
      </w:r>
      <w:r w:rsidRPr="005A7DF4">
        <w:rPr>
          <w:lang w:val="es-MX"/>
        </w:rPr>
        <w:t xml:space="preserve">Cita original de la sentencia: </w:t>
      </w:r>
      <w:r w:rsidRPr="005A7DF4">
        <w:rPr>
          <w:i/>
          <w:lang w:val="es-MX"/>
        </w:rPr>
        <w:t>“</w:t>
      </w:r>
      <w:r w:rsidRPr="005A7DF4">
        <w:rPr>
          <w:i/>
        </w:rPr>
        <w:t>Esta conclusión se apoya también con un argumento a contrario sensu, que se utiliza para cuidarse de no extender la consecuencia de la norma a casos no previstos en ella, como sería la de permitir a la acción que se incoa después de vencido el término de 30 días un alcance distinto del establecido explícitamente en la parte final del párrafo segundo del artículo 87, cual es el de obtener la nulidad del contrato celebrado; en este sentido, el argumento que soporta la hipótesis consiste en señalar que la norma dispone que antes del vencimiento del término de los 30 días sí no se ha celebrado el contrato, procede demandar el acto en forma separada con el objeto de obtener su nulidad o la nulidad y el restablecimiento del derecho y en sentido contrario una vez vencido el término mencionado sólo procede la impugnación conjunta de ambos actos y con el objeto exclusivo de la declaratoria de nulidad del contrato, lo cual excluye el restablecimiento del derecho no impetrado oportunamente</w:t>
      </w:r>
      <w:r w:rsidRPr="005A7DF4">
        <w:rPr>
          <w:lang w:val="es-MX"/>
        </w:rPr>
        <w:t>”</w:t>
      </w:r>
      <w:r>
        <w:rPr>
          <w:lang w:val="es-MX"/>
        </w:rPr>
        <w:t>.</w:t>
      </w:r>
    </w:p>
    <w:p w:rsidR="002E2E41" w:rsidRPr="005A7DF4" w:rsidRDefault="002E2E41" w:rsidP="0032532C">
      <w:pPr>
        <w:pStyle w:val="Textonotapie"/>
        <w:spacing w:line="240" w:lineRule="auto"/>
      </w:pPr>
    </w:p>
  </w:footnote>
  <w:footnote w:id="18">
    <w:p w:rsidR="002E2E41" w:rsidRDefault="002E2E41" w:rsidP="00632CFD">
      <w:pPr>
        <w:pStyle w:val="Textonotapie"/>
        <w:spacing w:line="240" w:lineRule="auto"/>
        <w:rPr>
          <w:lang w:val="es-CO"/>
        </w:rPr>
      </w:pPr>
      <w:r>
        <w:rPr>
          <w:rStyle w:val="Refdenotaalpie"/>
        </w:rPr>
        <w:footnoteRef/>
      </w:r>
      <w:r>
        <w:t xml:space="preserve"> </w:t>
      </w:r>
      <w:r>
        <w:rPr>
          <w:lang w:val="es-CO"/>
        </w:rPr>
        <w:t>Teniendo en cuenta que no existe en el expediente constancia de que el acto de adjudicación le hubiera comunicado a la demandante y que la fecha de los poderes otorgados para este proceso es la misma de la demanda, se concluye que el conocimiento de la Resolución 075 de 1999, por parte de la demandante, solo puede inferirse de la comunicación mediante la cual le fue entregada.</w:t>
      </w:r>
    </w:p>
    <w:p w:rsidR="002E2E41" w:rsidRPr="00DE4792" w:rsidRDefault="002E2E41" w:rsidP="00632CFD">
      <w:pPr>
        <w:pStyle w:val="Textonotapie"/>
        <w:spacing w:line="240" w:lineRule="auto"/>
        <w:rPr>
          <w:lang w:val="es-CO"/>
        </w:rPr>
      </w:pPr>
    </w:p>
  </w:footnote>
  <w:footnote w:id="19">
    <w:p w:rsidR="002E2E41" w:rsidRPr="00A412C0" w:rsidRDefault="002E2E41">
      <w:pPr>
        <w:pStyle w:val="Textonotapie"/>
        <w:rPr>
          <w:lang w:val="es-CO"/>
        </w:rPr>
      </w:pPr>
      <w:r>
        <w:rPr>
          <w:rStyle w:val="Refdenotaalpie"/>
        </w:rPr>
        <w:footnoteRef/>
      </w:r>
      <w:r>
        <w:t xml:space="preserve"> </w:t>
      </w:r>
      <w:r>
        <w:rPr>
          <w:lang w:val="es-CO"/>
        </w:rPr>
        <w:t xml:space="preserve">Folio 46 cuaderno 1. </w:t>
      </w:r>
    </w:p>
  </w:footnote>
  <w:footnote w:id="20">
    <w:p w:rsidR="002E2E41" w:rsidRPr="007D1052" w:rsidRDefault="002E2E41">
      <w:pPr>
        <w:pStyle w:val="Textonotapie"/>
        <w:rPr>
          <w:lang w:val="es-CO"/>
        </w:rPr>
      </w:pPr>
      <w:r>
        <w:rPr>
          <w:rStyle w:val="Refdenotaalpie"/>
        </w:rPr>
        <w:footnoteRef/>
      </w:r>
      <w:r>
        <w:t xml:space="preserve"> </w:t>
      </w:r>
      <w:r>
        <w:rPr>
          <w:lang w:val="es-CO"/>
        </w:rPr>
        <w:t>Folio 30, cuaderno 1.</w:t>
      </w:r>
    </w:p>
  </w:footnote>
  <w:footnote w:id="21">
    <w:p w:rsidR="002E2E41" w:rsidRPr="00604301" w:rsidRDefault="002E2E41">
      <w:pPr>
        <w:pStyle w:val="Textonotapie"/>
        <w:rPr>
          <w:lang w:val="es-CO"/>
        </w:rPr>
      </w:pPr>
      <w:r>
        <w:rPr>
          <w:rStyle w:val="Refdenotaalpie"/>
        </w:rPr>
        <w:footnoteRef/>
      </w:r>
      <w:r>
        <w:t xml:space="preserve"> </w:t>
      </w:r>
      <w:r>
        <w:rPr>
          <w:lang w:val="es-CO"/>
        </w:rPr>
        <w:t>Cuadernos 1 a 4 de pruebas.</w:t>
      </w:r>
    </w:p>
  </w:footnote>
  <w:footnote w:id="22">
    <w:p w:rsidR="002E2E41" w:rsidRPr="00623119" w:rsidRDefault="002E2E41" w:rsidP="00623119">
      <w:pPr>
        <w:pStyle w:val="Encabezado"/>
        <w:tabs>
          <w:tab w:val="clear" w:pos="4419"/>
          <w:tab w:val="center" w:pos="0"/>
        </w:tabs>
        <w:spacing w:line="240" w:lineRule="auto"/>
        <w:rPr>
          <w:rFonts w:cs="Arial"/>
          <w:sz w:val="20"/>
        </w:rPr>
      </w:pPr>
      <w:r w:rsidRPr="00623119">
        <w:rPr>
          <w:rStyle w:val="Refdenotaalpie"/>
          <w:sz w:val="20"/>
        </w:rPr>
        <w:footnoteRef/>
      </w:r>
      <w:r w:rsidRPr="00623119">
        <w:rPr>
          <w:sz w:val="20"/>
        </w:rPr>
        <w:t xml:space="preserve"> </w:t>
      </w:r>
      <w:r w:rsidRPr="00623119">
        <w:rPr>
          <w:i/>
          <w:sz w:val="20"/>
        </w:rPr>
        <w:t>“</w:t>
      </w:r>
      <w:r w:rsidRPr="00623119">
        <w:rPr>
          <w:rFonts w:cs="Arial"/>
          <w:i/>
          <w:sz w:val="20"/>
        </w:rPr>
        <w:t>Precio.(…). La calificación para el factor de precio se establecerá a partir del cálculo de PRECIO BASE UNO (PB1) y del PRECIO BASE DOS (PB 2), Con las propuestas hábiles se calcula el PRECIO BASE UNO (PB1) así: PB1 = Po + Pa / 2, donde: Po = Prepuesto oficial, Pa: Sumatoria Pi / N; Pi= Valor corregido de cada propuesta; N= Número de proponentes hábiles. A las propuestas cuyo valor sea inferior al noventa y seis por ciento (96%) o superior al ciento cuatro por ciento (104%) del PB1 se le asignan cero (0) puntos. Entre las propuestas restantes se calcula el PRECIO BASE DOS (pb2) así: (…)”.</w:t>
      </w:r>
      <w:r>
        <w:rPr>
          <w:rFonts w:cs="Arial"/>
          <w:i/>
          <w:sz w:val="20"/>
        </w:rPr>
        <w:t xml:space="preserve"> </w:t>
      </w:r>
      <w:r w:rsidRPr="00AC7838">
        <w:rPr>
          <w:rFonts w:cs="Arial"/>
          <w:sz w:val="20"/>
        </w:rPr>
        <w:t>Folio 12, cuaderno 4</w:t>
      </w:r>
      <w:r>
        <w:rPr>
          <w:rFonts w:cs="Arial"/>
          <w:sz w:val="20"/>
        </w:rPr>
        <w:t>.</w:t>
      </w:r>
    </w:p>
    <w:p w:rsidR="002E2E41" w:rsidRPr="0087229C" w:rsidRDefault="002E2E41">
      <w:pPr>
        <w:pStyle w:val="Textonotapie"/>
        <w:rPr>
          <w:lang w:val="es-MX"/>
        </w:rPr>
      </w:pPr>
    </w:p>
  </w:footnote>
  <w:footnote w:id="23">
    <w:p w:rsidR="002E2E41" w:rsidRDefault="002E2E41" w:rsidP="006539D7">
      <w:pPr>
        <w:pStyle w:val="Textonotapie"/>
        <w:spacing w:line="240" w:lineRule="auto"/>
        <w:rPr>
          <w:lang w:val="es-CO"/>
        </w:rPr>
      </w:pPr>
      <w:r>
        <w:rPr>
          <w:rStyle w:val="Refdenotaalpie"/>
        </w:rPr>
        <w:footnoteRef/>
      </w:r>
      <w:r>
        <w:rPr>
          <w:lang w:val="es-CO"/>
        </w:rPr>
        <w:t xml:space="preserve"> Según se puede observar de la formulación se calculaba la raíz cuadrada de la sumatoria de las diferencias entre las propuestas corregidas y propuesta  media, elevada al cuadrado, dividida por el número de propuestas hábiles. Pliego de Condiciones, folio 12, cuaderno 2. </w:t>
      </w:r>
    </w:p>
    <w:p w:rsidR="002E2E41" w:rsidRPr="001F71E8" w:rsidRDefault="002E2E41" w:rsidP="006539D7">
      <w:pPr>
        <w:pStyle w:val="Textonotapie"/>
        <w:spacing w:line="240" w:lineRule="auto"/>
        <w:rPr>
          <w:lang w:val="es-CO"/>
        </w:rPr>
      </w:pPr>
    </w:p>
  </w:footnote>
  <w:footnote w:id="24">
    <w:p w:rsidR="002E2E41" w:rsidRDefault="002E2E41" w:rsidP="003F6FC5">
      <w:pPr>
        <w:pStyle w:val="Textonotapie"/>
        <w:spacing w:line="240" w:lineRule="auto"/>
        <w:rPr>
          <w:lang w:val="es-MX"/>
        </w:rPr>
      </w:pPr>
      <w:r>
        <w:rPr>
          <w:rStyle w:val="Refdenotaalpie"/>
        </w:rPr>
        <w:footnoteRef/>
      </w:r>
      <w:r>
        <w:t xml:space="preserve"> </w:t>
      </w:r>
      <w:r w:rsidRPr="006539D7">
        <w:rPr>
          <w:i/>
        </w:rPr>
        <w:t>“De acuerdo con lo anterior obtienen el máximo puntaje las propuestas cuyo valor corregido sea igual al 89% del PB2 y las propuestas cuyo valor corregido sea igual al 102% obtienen el 50% del máximo puntaje”</w:t>
      </w:r>
      <w:r>
        <w:t>.</w:t>
      </w:r>
      <w:r>
        <w:rPr>
          <w:lang w:val="es-MX"/>
        </w:rPr>
        <w:t xml:space="preserve"> Pliego de Condiciones, folio 13, cuaderno 4.</w:t>
      </w:r>
    </w:p>
    <w:p w:rsidR="002E2E41" w:rsidRPr="00590E67" w:rsidRDefault="002E2E41" w:rsidP="003F6FC5">
      <w:pPr>
        <w:pStyle w:val="Textonotapie"/>
        <w:spacing w:line="240" w:lineRule="auto"/>
        <w:rPr>
          <w:lang w:val="es-MX"/>
        </w:rPr>
      </w:pPr>
    </w:p>
  </w:footnote>
  <w:footnote w:id="25">
    <w:p w:rsidR="002E2E41" w:rsidRPr="009E5D0D" w:rsidRDefault="002E2E41" w:rsidP="009E5D0D">
      <w:pPr>
        <w:pStyle w:val="Textonotapie"/>
        <w:spacing w:line="240" w:lineRule="auto"/>
        <w:rPr>
          <w:i/>
          <w:lang w:val="es-MX"/>
        </w:rPr>
      </w:pPr>
      <w:r>
        <w:rPr>
          <w:rStyle w:val="Refdenotaalpie"/>
        </w:rPr>
        <w:footnoteRef/>
      </w:r>
      <w:r>
        <w:t xml:space="preserve"> </w:t>
      </w:r>
      <w:r w:rsidRPr="009E5D0D">
        <w:rPr>
          <w:i/>
        </w:rPr>
        <w:t>“</w:t>
      </w:r>
      <w:r w:rsidRPr="009E5D0D">
        <w:rPr>
          <w:rFonts w:cs="Arial"/>
          <w:i/>
          <w:color w:val="000000"/>
          <w:shd w:val="clear" w:color="auto" w:fill="FFFFFF"/>
        </w:rPr>
        <w:t>12. Si el adjudicatario no suscribe el contrato correspondiente dentro del término que se haya señalado, quedará a favor de la entidad contratante, en calidad de sanción, el valor del depósito o garantía constituidos para responder por la seriedad de la propuesta, sin menoscabo de las acciones legales conducentes al reconocimiento de perjuicios causados y no cubiertos por el valor de los citados depósito o garantía</w:t>
      </w:r>
      <w:r>
        <w:rPr>
          <w:rFonts w:cs="Arial"/>
          <w:i/>
          <w:color w:val="000000"/>
          <w:shd w:val="clear" w:color="auto" w:fill="FFFFFF"/>
        </w:rPr>
        <w:t>”</w:t>
      </w:r>
      <w:r w:rsidRPr="009E5D0D">
        <w:rPr>
          <w:rFonts w:cs="Arial"/>
          <w:i/>
          <w:color w:val="000000"/>
          <w:shd w:val="clear" w:color="auto" w:fill="FFFFFF"/>
        </w:rPr>
        <w:t>.</w:t>
      </w:r>
    </w:p>
  </w:footnote>
  <w:footnote w:id="26">
    <w:p w:rsidR="002E2E41" w:rsidRPr="00E75E92" w:rsidRDefault="002E2E41" w:rsidP="007D39D6">
      <w:pPr>
        <w:pStyle w:val="Textonotapie"/>
        <w:rPr>
          <w:lang w:val="es-CO"/>
        </w:rPr>
      </w:pPr>
      <w:r>
        <w:rPr>
          <w:rStyle w:val="Refdenotaalpie"/>
        </w:rPr>
        <w:footnoteRef/>
      </w:r>
      <w:r>
        <w:t xml:space="preserve"> </w:t>
      </w:r>
      <w:r>
        <w:rPr>
          <w:lang w:val="es-CO"/>
        </w:rPr>
        <w:t>Folios 118 a 125, cuaderno 1.</w:t>
      </w:r>
    </w:p>
  </w:footnote>
  <w:footnote w:id="27">
    <w:p w:rsidR="002E2E41" w:rsidRPr="00967D59" w:rsidRDefault="002E2E41">
      <w:pPr>
        <w:pStyle w:val="Textonotapie"/>
        <w:rPr>
          <w:lang w:val="es-CO"/>
        </w:rPr>
      </w:pPr>
      <w:r>
        <w:rPr>
          <w:rStyle w:val="Refdenotaalpie"/>
        </w:rPr>
        <w:footnoteRef/>
      </w:r>
      <w:r>
        <w:t xml:space="preserve"> </w:t>
      </w:r>
      <w:r>
        <w:rPr>
          <w:lang w:val="es-CO"/>
        </w:rPr>
        <w:t>Folios 67 a 77, cuaderno 1.</w:t>
      </w:r>
    </w:p>
  </w:footnote>
  <w:footnote w:id="28">
    <w:p w:rsidR="002E2E41" w:rsidRDefault="002E2E41" w:rsidP="00B258DC">
      <w:pPr>
        <w:pStyle w:val="Textonotapie"/>
        <w:spacing w:line="240" w:lineRule="auto"/>
        <w:rPr>
          <w:lang w:val="es-CO"/>
        </w:rPr>
      </w:pPr>
      <w:r>
        <w:rPr>
          <w:rStyle w:val="Refdenotaalpie"/>
        </w:rPr>
        <w:footnoteRef/>
      </w:r>
      <w:r>
        <w:t xml:space="preserve"> </w:t>
      </w:r>
      <w:r>
        <w:rPr>
          <w:lang w:val="es-CO"/>
        </w:rPr>
        <w:t>Se infiere un error en la fecha, toda vez que en la Resolución 075 de 1999 se indica que la audiencia se realizó el jueves 23 de diciembre de 1999.</w:t>
      </w:r>
    </w:p>
    <w:p w:rsidR="002E2E41" w:rsidRPr="00C84EF5" w:rsidRDefault="002E2E41" w:rsidP="00B258DC">
      <w:pPr>
        <w:pStyle w:val="Textonotapie"/>
        <w:spacing w:line="240" w:lineRule="auto"/>
        <w:rPr>
          <w:lang w:val="es-CO"/>
        </w:rPr>
      </w:pPr>
    </w:p>
  </w:footnote>
  <w:footnote w:id="29">
    <w:p w:rsidR="002E2E41" w:rsidRDefault="002E2E41" w:rsidP="00D90BB3">
      <w:pPr>
        <w:pStyle w:val="Textonotapie"/>
        <w:spacing w:line="240" w:lineRule="auto"/>
        <w:rPr>
          <w:lang w:val="es-MX"/>
        </w:rPr>
      </w:pPr>
      <w:r>
        <w:rPr>
          <w:rStyle w:val="Refdenotaalpie"/>
        </w:rPr>
        <w:footnoteRef/>
      </w:r>
      <w:r>
        <w:rPr>
          <w:lang w:val="es-MX"/>
        </w:rPr>
        <w:t xml:space="preserve">Se identifica la decisión que dio lugar a la variación de la calificación, en concordancia con las formulas de asignación de puntaje a las que se ha hecho referencia en este proveído. </w:t>
      </w:r>
    </w:p>
    <w:p w:rsidR="002E2E41" w:rsidRPr="00C6050B" w:rsidRDefault="002E2E41" w:rsidP="00D90BB3">
      <w:pPr>
        <w:pStyle w:val="Textonotapie"/>
        <w:spacing w:line="240" w:lineRule="auto"/>
        <w:rPr>
          <w:lang w:val="es-MX"/>
        </w:rPr>
      </w:pPr>
    </w:p>
  </w:footnote>
  <w:footnote w:id="30">
    <w:p w:rsidR="002E2E41" w:rsidRPr="005565C1" w:rsidRDefault="002E2E41">
      <w:pPr>
        <w:pStyle w:val="Textonotapie"/>
        <w:rPr>
          <w:lang w:val="es-CO"/>
        </w:rPr>
      </w:pPr>
      <w:r>
        <w:rPr>
          <w:rStyle w:val="Refdenotaalpie"/>
        </w:rPr>
        <w:footnoteRef/>
      </w:r>
      <w:r>
        <w:t xml:space="preserve"> Folios </w:t>
      </w:r>
      <w:r>
        <w:rPr>
          <w:lang w:val="es-CO"/>
        </w:rPr>
        <w:t xml:space="preserve">90 a 93, cuaderno 1.  </w:t>
      </w:r>
    </w:p>
  </w:footnote>
  <w:footnote w:id="31">
    <w:p w:rsidR="002E2E41" w:rsidRPr="00B70B8F" w:rsidRDefault="002E2E41">
      <w:pPr>
        <w:pStyle w:val="Textonotapie"/>
        <w:rPr>
          <w:lang w:val="es-CO"/>
        </w:rPr>
      </w:pPr>
      <w:r>
        <w:rPr>
          <w:rStyle w:val="Refdenotaalpie"/>
        </w:rPr>
        <w:footnoteRef/>
      </w:r>
      <w:r>
        <w:t xml:space="preserve"> </w:t>
      </w:r>
      <w:r>
        <w:rPr>
          <w:lang w:val="es-CO"/>
        </w:rPr>
        <w:t>Cuaderno 1.</w:t>
      </w:r>
    </w:p>
  </w:footnote>
  <w:footnote w:id="32">
    <w:p w:rsidR="002E2E41" w:rsidRPr="00576E4F" w:rsidRDefault="002E2E41">
      <w:pPr>
        <w:pStyle w:val="Textonotapie"/>
        <w:rPr>
          <w:lang w:val="es-CO"/>
        </w:rPr>
      </w:pPr>
      <w:r>
        <w:rPr>
          <w:rStyle w:val="Refdenotaalpie"/>
        </w:rPr>
        <w:footnoteRef/>
      </w:r>
      <w:r>
        <w:t xml:space="preserve"> </w:t>
      </w:r>
      <w:r>
        <w:rPr>
          <w:lang w:val="es-CO"/>
        </w:rPr>
        <w:t>Folio 104 a 116, cuaderno 1.</w:t>
      </w:r>
    </w:p>
  </w:footnote>
  <w:footnote w:id="33">
    <w:p w:rsidR="002E2E41" w:rsidRPr="009E6FB7" w:rsidRDefault="002E2E41">
      <w:pPr>
        <w:pStyle w:val="Textonotapie"/>
        <w:rPr>
          <w:lang w:val="es-CO"/>
        </w:rPr>
      </w:pPr>
      <w:r>
        <w:rPr>
          <w:rStyle w:val="Refdenotaalpie"/>
        </w:rPr>
        <w:footnoteRef/>
      </w:r>
      <w:r>
        <w:t xml:space="preserve"> </w:t>
      </w:r>
      <w:r>
        <w:rPr>
          <w:lang w:val="es-CO"/>
        </w:rPr>
        <w:t>Folio 117, cuaderno 1.</w:t>
      </w:r>
    </w:p>
  </w:footnote>
  <w:footnote w:id="34">
    <w:p w:rsidR="002E2E41" w:rsidRPr="003255C8" w:rsidRDefault="002E2E41" w:rsidP="00F923FC">
      <w:pPr>
        <w:pStyle w:val="Textonotapie"/>
        <w:spacing w:line="240" w:lineRule="auto"/>
        <w:rPr>
          <w:lang w:val="es-CO"/>
        </w:rPr>
      </w:pPr>
      <w:r>
        <w:rPr>
          <w:rStyle w:val="Refdenotaalpie"/>
        </w:rPr>
        <w:footnoteRef/>
      </w:r>
      <w:r>
        <w:t xml:space="preserve"> Póliza expedida el 29 de septiembre de 1999, f</w:t>
      </w:r>
      <w:r>
        <w:rPr>
          <w:lang w:val="es-CO"/>
        </w:rPr>
        <w:t xml:space="preserve">olio 111, cuaderno 1. Esta misma proponente adjuntó otra póliza expedida el 30 de septiembre de 1999, por valor de $104’540.000. </w:t>
      </w:r>
    </w:p>
  </w:footnote>
  <w:footnote w:id="35">
    <w:p w:rsidR="002E2E41" w:rsidRPr="005B78F0" w:rsidRDefault="002E2E41" w:rsidP="00E07835">
      <w:pPr>
        <w:spacing w:line="240" w:lineRule="auto"/>
        <w:rPr>
          <w:sz w:val="20"/>
          <w:szCs w:val="20"/>
        </w:rPr>
      </w:pPr>
      <w:r>
        <w:rPr>
          <w:rStyle w:val="Refdenotaalpie"/>
        </w:rPr>
        <w:footnoteRef/>
      </w:r>
      <w:r>
        <w:t xml:space="preserve"> </w:t>
      </w:r>
      <w:r w:rsidRPr="005B78F0">
        <w:rPr>
          <w:rFonts w:eastAsia="Batang" w:cs="Arial"/>
          <w:bCs/>
          <w:sz w:val="20"/>
          <w:szCs w:val="20"/>
          <w:lang w:val="es-ES_tradnl"/>
        </w:rPr>
        <w:t>C</w:t>
      </w:r>
      <w:r>
        <w:rPr>
          <w:rFonts w:eastAsia="Batang" w:cs="Arial"/>
          <w:bCs/>
          <w:sz w:val="20"/>
          <w:szCs w:val="20"/>
          <w:lang w:val="es-ES_tradnl"/>
        </w:rPr>
        <w:t>onsejo d</w:t>
      </w:r>
      <w:r w:rsidRPr="005B78F0">
        <w:rPr>
          <w:rFonts w:eastAsia="Batang" w:cs="Arial"/>
          <w:bCs/>
          <w:sz w:val="20"/>
          <w:szCs w:val="20"/>
          <w:lang w:val="es-ES_tradnl"/>
        </w:rPr>
        <w:t xml:space="preserve">e Estado, Sala </w:t>
      </w:r>
      <w:r>
        <w:rPr>
          <w:rFonts w:eastAsia="Batang" w:cs="Arial"/>
          <w:bCs/>
          <w:sz w:val="20"/>
          <w:szCs w:val="20"/>
          <w:lang w:val="es-ES_tradnl"/>
        </w:rPr>
        <w:t>d</w:t>
      </w:r>
      <w:r w:rsidRPr="005B78F0">
        <w:rPr>
          <w:rFonts w:eastAsia="Batang" w:cs="Arial"/>
          <w:bCs/>
          <w:sz w:val="20"/>
          <w:szCs w:val="20"/>
          <w:lang w:val="es-ES_tradnl"/>
        </w:rPr>
        <w:t xml:space="preserve">e </w:t>
      </w:r>
      <w:r>
        <w:rPr>
          <w:rFonts w:eastAsia="Batang" w:cs="Arial"/>
          <w:bCs/>
          <w:sz w:val="20"/>
          <w:szCs w:val="20"/>
          <w:lang w:val="es-ES_tradnl"/>
        </w:rPr>
        <w:t>l</w:t>
      </w:r>
      <w:r w:rsidRPr="005B78F0">
        <w:rPr>
          <w:rFonts w:eastAsia="Batang" w:cs="Arial"/>
          <w:bCs/>
          <w:sz w:val="20"/>
          <w:szCs w:val="20"/>
          <w:lang w:val="es-ES_tradnl"/>
        </w:rPr>
        <w:t>o Contencioso Administrativo, Sección Tercera – Subsec</w:t>
      </w:r>
      <w:r>
        <w:rPr>
          <w:rFonts w:eastAsia="Batang" w:cs="Arial"/>
          <w:bCs/>
          <w:sz w:val="20"/>
          <w:szCs w:val="20"/>
          <w:lang w:val="es-ES_tradnl"/>
        </w:rPr>
        <w:t xml:space="preserve">ción </w:t>
      </w:r>
      <w:r w:rsidRPr="005B78F0">
        <w:rPr>
          <w:rFonts w:eastAsia="Batang" w:cs="Arial"/>
          <w:bCs/>
          <w:sz w:val="20"/>
          <w:szCs w:val="20"/>
          <w:lang w:val="es-ES_tradnl"/>
        </w:rPr>
        <w:t xml:space="preserve">A, </w:t>
      </w:r>
      <w:r w:rsidRPr="005B78F0">
        <w:rPr>
          <w:rFonts w:cs="Arial"/>
          <w:sz w:val="20"/>
          <w:szCs w:val="20"/>
        </w:rPr>
        <w:t xml:space="preserve">Consejero Ponente (E): Hernán Andrade Rincón, Sentencia </w:t>
      </w:r>
      <w:r>
        <w:rPr>
          <w:rFonts w:cs="Arial"/>
          <w:sz w:val="20"/>
          <w:szCs w:val="20"/>
        </w:rPr>
        <w:t>d</w:t>
      </w:r>
      <w:r w:rsidRPr="005B78F0">
        <w:rPr>
          <w:rFonts w:cs="Arial"/>
          <w:sz w:val="20"/>
          <w:szCs w:val="20"/>
        </w:rPr>
        <w:t xml:space="preserve">e 1º </w:t>
      </w:r>
      <w:r>
        <w:rPr>
          <w:rFonts w:cs="Arial"/>
          <w:sz w:val="20"/>
          <w:szCs w:val="20"/>
        </w:rPr>
        <w:t>d</w:t>
      </w:r>
      <w:r w:rsidRPr="005B78F0">
        <w:rPr>
          <w:rFonts w:cs="Arial"/>
          <w:sz w:val="20"/>
          <w:szCs w:val="20"/>
        </w:rPr>
        <w:t xml:space="preserve">e </w:t>
      </w:r>
      <w:r>
        <w:rPr>
          <w:rFonts w:cs="Arial"/>
          <w:sz w:val="20"/>
          <w:szCs w:val="20"/>
        </w:rPr>
        <w:t>o</w:t>
      </w:r>
      <w:r w:rsidRPr="005B78F0">
        <w:rPr>
          <w:rFonts w:cs="Arial"/>
          <w:sz w:val="20"/>
          <w:szCs w:val="20"/>
        </w:rPr>
        <w:t xml:space="preserve">ctubre </w:t>
      </w:r>
      <w:r>
        <w:rPr>
          <w:rFonts w:cs="Arial"/>
          <w:sz w:val="20"/>
          <w:szCs w:val="20"/>
        </w:rPr>
        <w:t>d</w:t>
      </w:r>
      <w:r w:rsidRPr="005B78F0">
        <w:rPr>
          <w:rFonts w:cs="Arial"/>
          <w:sz w:val="20"/>
          <w:szCs w:val="20"/>
        </w:rPr>
        <w:t xml:space="preserve">e 2014, </w:t>
      </w:r>
      <w:r>
        <w:rPr>
          <w:rFonts w:cs="Arial"/>
          <w:sz w:val="20"/>
          <w:szCs w:val="20"/>
        </w:rPr>
        <w:t xml:space="preserve">radicación: </w:t>
      </w:r>
      <w:r w:rsidRPr="005B78F0">
        <w:rPr>
          <w:rFonts w:cs="Arial"/>
          <w:sz w:val="20"/>
          <w:szCs w:val="20"/>
        </w:rPr>
        <w:t xml:space="preserve">25000232600020050021401 (34778), Actor: Consorcio Obras Sed 2004, Distrito Capital – Secretaría </w:t>
      </w:r>
      <w:r>
        <w:rPr>
          <w:rFonts w:cs="Arial"/>
          <w:sz w:val="20"/>
          <w:szCs w:val="20"/>
        </w:rPr>
        <w:t>d</w:t>
      </w:r>
      <w:r w:rsidRPr="005B78F0">
        <w:rPr>
          <w:rFonts w:cs="Arial"/>
          <w:sz w:val="20"/>
          <w:szCs w:val="20"/>
        </w:rPr>
        <w:t>e Educación</w:t>
      </w:r>
      <w:r>
        <w:rPr>
          <w:rFonts w:cs="Arial"/>
          <w:sz w:val="20"/>
          <w:szCs w:val="20"/>
        </w:rPr>
        <w:t>.</w:t>
      </w:r>
    </w:p>
    <w:p w:rsidR="002E2E41" w:rsidRPr="00E07835" w:rsidRDefault="002E2E41">
      <w:pPr>
        <w:pStyle w:val="Textonotapie"/>
        <w:rPr>
          <w:lang w:val="es-MX"/>
        </w:rPr>
      </w:pPr>
    </w:p>
  </w:footnote>
  <w:footnote w:id="36">
    <w:p w:rsidR="002E2E41" w:rsidRDefault="002E2E41" w:rsidP="00E07835">
      <w:pPr>
        <w:pStyle w:val="Textonotapie"/>
        <w:spacing w:line="240" w:lineRule="auto"/>
      </w:pPr>
      <w:r>
        <w:rPr>
          <w:rStyle w:val="Refdenotaalpie"/>
        </w:rPr>
        <w:footnoteRef/>
      </w:r>
      <w:r>
        <w:t xml:space="preserve"> Véase el análisis de la línea jurisprudencial, en la siguiente obra: “</w:t>
      </w:r>
      <w:r>
        <w:rPr>
          <w:i/>
        </w:rPr>
        <w:t>LOS GRANDES FALLOS DE LA JURISPRUDENCIA ADMINISTRATIVA COLOMBIANA”</w:t>
      </w:r>
      <w:r>
        <w:t>, Universidad Externado de Colombia, Bogotá, 20</w:t>
      </w:r>
      <w:r>
        <w:rPr>
          <w:lang w:val="es-CO"/>
        </w:rPr>
        <w:t>1</w:t>
      </w:r>
      <w:r>
        <w:t xml:space="preserve">3, Editor Ospina Garzón Andrés Fernando, artículo: </w:t>
      </w:r>
      <w:r>
        <w:rPr>
          <w:i/>
        </w:rPr>
        <w:t>“Diferenciación entre los requisitos formales y sustanciales exigidos a los proponentes en los pliegos de condiciones”</w:t>
      </w:r>
      <w:r>
        <w:t>, autor: Fajardo G</w:t>
      </w:r>
      <w:r>
        <w:rPr>
          <w:lang w:val="es-CO"/>
        </w:rPr>
        <w:t>ó</w:t>
      </w:r>
      <w:r>
        <w:t>mez Mauricio, página 149 y siguientes.</w:t>
      </w:r>
    </w:p>
    <w:p w:rsidR="002E2E41" w:rsidRDefault="002E2E41" w:rsidP="00E07835">
      <w:pPr>
        <w:pStyle w:val="Textonotapie"/>
        <w:spacing w:line="240" w:lineRule="auto"/>
      </w:pPr>
    </w:p>
  </w:footnote>
  <w:footnote w:id="37">
    <w:p w:rsidR="002E2E41" w:rsidRDefault="002E2E41" w:rsidP="00E07835">
      <w:pPr>
        <w:pStyle w:val="Textonotapie"/>
        <w:spacing w:line="240" w:lineRule="auto"/>
      </w:pPr>
      <w:r>
        <w:rPr>
          <w:rStyle w:val="Refdenotaalpie"/>
        </w:rPr>
        <w:footnoteRef/>
      </w:r>
      <w:r>
        <w:t xml:space="preserve"> Consejo de Estado, Sección Tercera, sentencia de 19 de febrero de 1987, </w:t>
      </w:r>
      <w:r>
        <w:rPr>
          <w:lang w:val="es-CO"/>
        </w:rPr>
        <w:t>Consejero P</w:t>
      </w:r>
      <w:r>
        <w:t>onente Julio César Uribe Acosta, actor</w:t>
      </w:r>
      <w:r>
        <w:rPr>
          <w:lang w:val="es-CO"/>
        </w:rPr>
        <w:t>:</w:t>
      </w:r>
      <w:r>
        <w:t xml:space="preserve"> Sociedad Colombiana de Vigilancia S.A. SOCOVIG, demandado</w:t>
      </w:r>
      <w:r>
        <w:rPr>
          <w:lang w:val="es-CO"/>
        </w:rPr>
        <w:t>:</w:t>
      </w:r>
      <w:r>
        <w:t xml:space="preserve"> Empresa de Acueducto y Alcantarillado de Bogotá.</w:t>
      </w:r>
    </w:p>
    <w:p w:rsidR="002E2E41" w:rsidRDefault="002E2E41" w:rsidP="00E07835">
      <w:pPr>
        <w:pStyle w:val="Textonotapie"/>
        <w:spacing w:line="240" w:lineRule="auto"/>
      </w:pPr>
    </w:p>
  </w:footnote>
  <w:footnote w:id="38">
    <w:p w:rsidR="002E2E41" w:rsidRPr="001E77E5" w:rsidRDefault="002E2E41" w:rsidP="00E07835">
      <w:pPr>
        <w:pStyle w:val="Textonotapie"/>
        <w:spacing w:line="240" w:lineRule="auto"/>
        <w:rPr>
          <w:i/>
          <w:lang w:val="es-CO"/>
        </w:rPr>
      </w:pPr>
      <w:r>
        <w:rPr>
          <w:rStyle w:val="Refdenotaalpie"/>
        </w:rPr>
        <w:footnoteRef/>
      </w:r>
      <w:r>
        <w:t xml:space="preserve"> Cita original de la sentencia: “</w:t>
      </w:r>
      <w:r w:rsidRPr="001E77E5">
        <w:rPr>
          <w:i/>
          <w:lang w:val="es-CO"/>
        </w:rPr>
        <w:t xml:space="preserve">Asunto que lleva a observar la necesidad de estimar cada regla del pliego de condiciones dentro de su contexto, puesto que de un pliego a otro la estructuración de un requisito similar puede tener aplicación práctica diferente”. </w:t>
      </w:r>
    </w:p>
    <w:p w:rsidR="002E2E41" w:rsidRPr="001E77E5" w:rsidRDefault="002E2E41" w:rsidP="00E07835">
      <w:pPr>
        <w:pStyle w:val="Textonotapie"/>
        <w:rPr>
          <w:i/>
        </w:rPr>
      </w:pPr>
    </w:p>
  </w:footnote>
  <w:footnote w:id="39">
    <w:p w:rsidR="002E2E41" w:rsidRDefault="002E2E41" w:rsidP="00BB087B">
      <w:pPr>
        <w:pStyle w:val="Textonotapie"/>
        <w:spacing w:line="240" w:lineRule="auto"/>
        <w:rPr>
          <w:rFonts w:cs="Arial"/>
        </w:rPr>
      </w:pPr>
      <w:r>
        <w:rPr>
          <w:rStyle w:val="Refdenotaalpie"/>
        </w:rPr>
        <w:footnoteRef/>
      </w:r>
      <w:r>
        <w:t xml:space="preserve"> </w:t>
      </w:r>
      <w:r w:rsidRPr="005B78F0">
        <w:rPr>
          <w:rFonts w:eastAsia="Batang" w:cs="Arial"/>
          <w:bCs/>
          <w:lang w:val="es-ES_tradnl"/>
        </w:rPr>
        <w:t>C</w:t>
      </w:r>
      <w:r>
        <w:rPr>
          <w:rFonts w:eastAsia="Batang" w:cs="Arial"/>
          <w:bCs/>
          <w:lang w:val="es-ES_tradnl"/>
        </w:rPr>
        <w:t>onsejo d</w:t>
      </w:r>
      <w:r w:rsidRPr="005B78F0">
        <w:rPr>
          <w:rFonts w:eastAsia="Batang" w:cs="Arial"/>
          <w:bCs/>
          <w:lang w:val="es-ES_tradnl"/>
        </w:rPr>
        <w:t xml:space="preserve">e Estado, Sala </w:t>
      </w:r>
      <w:r>
        <w:rPr>
          <w:rFonts w:eastAsia="Batang" w:cs="Arial"/>
          <w:bCs/>
          <w:lang w:val="es-ES_tradnl"/>
        </w:rPr>
        <w:t>d</w:t>
      </w:r>
      <w:r w:rsidRPr="005B78F0">
        <w:rPr>
          <w:rFonts w:eastAsia="Batang" w:cs="Arial"/>
          <w:bCs/>
          <w:lang w:val="es-ES_tradnl"/>
        </w:rPr>
        <w:t xml:space="preserve">e </w:t>
      </w:r>
      <w:r>
        <w:rPr>
          <w:rFonts w:eastAsia="Batang" w:cs="Arial"/>
          <w:bCs/>
          <w:lang w:val="es-ES_tradnl"/>
        </w:rPr>
        <w:t>l</w:t>
      </w:r>
      <w:r w:rsidRPr="005B78F0">
        <w:rPr>
          <w:rFonts w:eastAsia="Batang" w:cs="Arial"/>
          <w:bCs/>
          <w:lang w:val="es-ES_tradnl"/>
        </w:rPr>
        <w:t>o Contencioso Administrativo, Sección Tercera – Subsec</w:t>
      </w:r>
      <w:r>
        <w:rPr>
          <w:rFonts w:eastAsia="Batang" w:cs="Arial"/>
          <w:bCs/>
          <w:lang w:val="es-ES_tradnl"/>
        </w:rPr>
        <w:t xml:space="preserve">ción </w:t>
      </w:r>
      <w:r w:rsidRPr="005B78F0">
        <w:rPr>
          <w:rFonts w:eastAsia="Batang" w:cs="Arial"/>
          <w:bCs/>
          <w:lang w:val="es-ES_tradnl"/>
        </w:rPr>
        <w:t xml:space="preserve">A, </w:t>
      </w:r>
      <w:r w:rsidRPr="005B78F0">
        <w:rPr>
          <w:rFonts w:cs="Arial"/>
        </w:rPr>
        <w:t xml:space="preserve">Consejero Ponente (E): Hernán Andrade Rincón, Sentencia </w:t>
      </w:r>
      <w:r>
        <w:rPr>
          <w:rFonts w:cs="Arial"/>
        </w:rPr>
        <w:t>d</w:t>
      </w:r>
      <w:r w:rsidRPr="005B78F0">
        <w:rPr>
          <w:rFonts w:cs="Arial"/>
        </w:rPr>
        <w:t xml:space="preserve">e 1º </w:t>
      </w:r>
      <w:r>
        <w:rPr>
          <w:rFonts w:cs="Arial"/>
        </w:rPr>
        <w:t>d</w:t>
      </w:r>
      <w:r w:rsidRPr="005B78F0">
        <w:rPr>
          <w:rFonts w:cs="Arial"/>
        </w:rPr>
        <w:t xml:space="preserve">e </w:t>
      </w:r>
      <w:r>
        <w:rPr>
          <w:rFonts w:cs="Arial"/>
        </w:rPr>
        <w:t>o</w:t>
      </w:r>
      <w:r w:rsidRPr="005B78F0">
        <w:rPr>
          <w:rFonts w:cs="Arial"/>
        </w:rPr>
        <w:t xml:space="preserve">ctubre </w:t>
      </w:r>
      <w:r>
        <w:rPr>
          <w:rFonts w:cs="Arial"/>
        </w:rPr>
        <w:t>d</w:t>
      </w:r>
      <w:r w:rsidRPr="005B78F0">
        <w:rPr>
          <w:rFonts w:cs="Arial"/>
        </w:rPr>
        <w:t xml:space="preserve">e 2014, </w:t>
      </w:r>
      <w:r>
        <w:rPr>
          <w:rFonts w:cs="Arial"/>
        </w:rPr>
        <w:t xml:space="preserve">radicación: </w:t>
      </w:r>
      <w:r w:rsidRPr="005B78F0">
        <w:rPr>
          <w:rFonts w:cs="Arial"/>
        </w:rPr>
        <w:t xml:space="preserve">25000232600020050021401 (34778), Actor: Consorcio Obras Sed 2004, Distrito Capital – Secretaría </w:t>
      </w:r>
      <w:r>
        <w:rPr>
          <w:rFonts w:cs="Arial"/>
        </w:rPr>
        <w:t>d</w:t>
      </w:r>
      <w:r w:rsidRPr="005B78F0">
        <w:rPr>
          <w:rFonts w:cs="Arial"/>
        </w:rPr>
        <w:t>e Educación</w:t>
      </w:r>
      <w:r>
        <w:rPr>
          <w:rFonts w:cs="Arial"/>
        </w:rPr>
        <w:t>.</w:t>
      </w:r>
    </w:p>
    <w:p w:rsidR="002E2E41" w:rsidRPr="00BB087B" w:rsidRDefault="002E2E41" w:rsidP="00BB087B">
      <w:pPr>
        <w:pStyle w:val="Textonotapie"/>
        <w:spacing w:line="240" w:lineRule="auto"/>
        <w:rPr>
          <w:lang w:val="es-MX"/>
        </w:rPr>
      </w:pPr>
    </w:p>
  </w:footnote>
  <w:footnote w:id="40">
    <w:p w:rsidR="002E2E41" w:rsidRPr="00892EF4" w:rsidRDefault="002E2E41" w:rsidP="00892EF4">
      <w:pPr>
        <w:pStyle w:val="Textonotapie"/>
        <w:spacing w:line="240" w:lineRule="auto"/>
        <w:rPr>
          <w:lang w:val="es-MX"/>
        </w:rPr>
      </w:pPr>
      <w:r>
        <w:rPr>
          <w:rStyle w:val="Refdenotaalpie"/>
        </w:rPr>
        <w:footnoteRef/>
      </w:r>
      <w:r>
        <w:t xml:space="preserve"> Ley 1150 de 2007. Artículo 5, numeral 4 </w:t>
      </w:r>
      <w:r w:rsidRPr="00892EF4">
        <w:t>“</w:t>
      </w:r>
      <w:r w:rsidRPr="00892EF4">
        <w:rPr>
          <w:rFonts w:cs="Arial"/>
          <w:bCs/>
          <w:i/>
          <w:color w:val="000000"/>
          <w:shd w:val="clear" w:color="auto" w:fill="FFFFFF"/>
        </w:rPr>
        <w:t>Parágrafo 1</w:t>
      </w:r>
      <w:r w:rsidRPr="00892EF4">
        <w:rPr>
          <w:rFonts w:cs="Arial"/>
          <w:i/>
          <w:color w:val="000000"/>
          <w:shd w:val="clear" w:color="auto" w:fill="FFFFFF"/>
        </w:rPr>
        <w: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r>
        <w:rPr>
          <w:rFonts w:cs="Arial"/>
          <w:i/>
          <w:color w:val="000000"/>
          <w:shd w:val="clear" w:color="auto" w:fill="FFFFFF"/>
        </w:rPr>
        <w:t>”</w:t>
      </w:r>
      <w:r w:rsidRPr="00892EF4">
        <w:rPr>
          <w:rFonts w:cs="Arial"/>
          <w:i/>
          <w:color w:val="000000"/>
          <w:shd w:val="clear" w:color="auto" w:fill="FFFFFF"/>
        </w:rPr>
        <w:t>.</w:t>
      </w:r>
      <w:r>
        <w:rPr>
          <w:rFonts w:cs="Arial"/>
          <w:color w:val="000000"/>
          <w:sz w:val="27"/>
          <w:szCs w:val="27"/>
          <w:shd w:val="clear" w:color="auto" w:fill="FFFFFF"/>
        </w:rPr>
        <w:t> </w:t>
      </w:r>
    </w:p>
  </w:footnote>
  <w:footnote w:id="41">
    <w:p w:rsidR="002E2E41" w:rsidRDefault="002E2E41" w:rsidP="00901580">
      <w:pPr>
        <w:shd w:val="clear" w:color="auto" w:fill="FFFFFF"/>
        <w:spacing w:line="240" w:lineRule="auto"/>
        <w:rPr>
          <w:rFonts w:cs="Arial"/>
          <w:bCs/>
          <w:color w:val="000000"/>
          <w:sz w:val="20"/>
          <w:szCs w:val="20"/>
          <w:shd w:val="clear" w:color="auto" w:fill="FFFFFF"/>
        </w:rPr>
      </w:pPr>
      <w:r w:rsidRPr="008E56C0">
        <w:rPr>
          <w:rStyle w:val="Refdenotaalpie"/>
          <w:rFonts w:cs="Arial"/>
          <w:sz w:val="20"/>
          <w:szCs w:val="20"/>
        </w:rPr>
        <w:footnoteRef/>
      </w:r>
      <w:r w:rsidRPr="008E56C0">
        <w:rPr>
          <w:rFonts w:cs="Arial"/>
          <w:sz w:val="20"/>
          <w:szCs w:val="20"/>
        </w:rPr>
        <w:t xml:space="preserve"> </w:t>
      </w:r>
      <w:r w:rsidRPr="008E56C0">
        <w:rPr>
          <w:rFonts w:cs="Arial"/>
          <w:bCs/>
          <w:color w:val="000000"/>
          <w:sz w:val="20"/>
          <w:szCs w:val="20"/>
          <w:shd w:val="clear" w:color="auto" w:fill="FFFFFF"/>
        </w:rPr>
        <w:t>Consejo de Estado, Sala de lo Contencioso Administrativo, Sección Tercera, Consejera Ponente: Maria Elena Giraldo G</w:t>
      </w:r>
      <w:r>
        <w:rPr>
          <w:rFonts w:cs="Arial"/>
          <w:bCs/>
          <w:color w:val="000000"/>
          <w:sz w:val="20"/>
          <w:szCs w:val="20"/>
          <w:shd w:val="clear" w:color="auto" w:fill="FFFFFF"/>
        </w:rPr>
        <w:t>ó</w:t>
      </w:r>
      <w:r w:rsidRPr="008E56C0">
        <w:rPr>
          <w:rFonts w:cs="Arial"/>
          <w:bCs/>
          <w:color w:val="000000"/>
          <w:sz w:val="20"/>
          <w:szCs w:val="20"/>
          <w:shd w:val="clear" w:color="auto" w:fill="FFFFFF"/>
        </w:rPr>
        <w:t>mez, sentencia de 3 de mayo de 2001, radicación: 70001-23-31-000-1994-4626-01(13053).</w:t>
      </w:r>
    </w:p>
    <w:p w:rsidR="002E2E41" w:rsidRDefault="002E2E41" w:rsidP="00901580">
      <w:pPr>
        <w:shd w:val="clear" w:color="auto" w:fill="FFFFFF"/>
        <w:spacing w:line="240" w:lineRule="auto"/>
        <w:rPr>
          <w:lang w:val="es-CO"/>
        </w:rPr>
      </w:pPr>
    </w:p>
  </w:footnote>
  <w:footnote w:id="42">
    <w:p w:rsidR="002E2E41" w:rsidRDefault="002E2E41" w:rsidP="00E07835">
      <w:pPr>
        <w:pStyle w:val="Textonotapie"/>
        <w:spacing w:line="240" w:lineRule="auto"/>
        <w:rPr>
          <w:lang w:val="es-CO"/>
        </w:rPr>
      </w:pPr>
      <w:r>
        <w:rPr>
          <w:rStyle w:val="Refdenotaalpie"/>
        </w:rPr>
        <w:footnoteRef/>
      </w:r>
      <w:r>
        <w:t xml:space="preserve"> </w:t>
      </w:r>
      <w:r>
        <w:rPr>
          <w:lang w:val="es-CO"/>
        </w:rPr>
        <w:t>Se refirió en ese caso a la  conciliación fiscal que se había realizado para corregir la declaración de renta con anterioridad al procedimiento de licitación.</w:t>
      </w:r>
    </w:p>
    <w:p w:rsidR="002E2E41" w:rsidRDefault="002E2E41" w:rsidP="00E07835">
      <w:pPr>
        <w:pStyle w:val="Textonotapie"/>
        <w:spacing w:line="240" w:lineRule="auto"/>
        <w:rPr>
          <w:lang w:val="es-CO"/>
        </w:rPr>
      </w:pPr>
    </w:p>
  </w:footnote>
  <w:footnote w:id="43">
    <w:p w:rsidR="002E2E41" w:rsidRPr="008E56C0" w:rsidRDefault="002E2E41" w:rsidP="00E07835">
      <w:pPr>
        <w:spacing w:line="240" w:lineRule="auto"/>
        <w:rPr>
          <w:rFonts w:cs="Arial"/>
          <w:sz w:val="20"/>
          <w:szCs w:val="20"/>
        </w:rPr>
      </w:pPr>
      <w:r w:rsidRPr="008E56C0">
        <w:rPr>
          <w:rStyle w:val="Refdenotaalpie"/>
          <w:rFonts w:cs="Arial"/>
          <w:sz w:val="20"/>
          <w:szCs w:val="20"/>
        </w:rPr>
        <w:footnoteRef/>
      </w:r>
      <w:r w:rsidRPr="008E56C0">
        <w:rPr>
          <w:rFonts w:cs="Arial"/>
          <w:sz w:val="20"/>
          <w:szCs w:val="20"/>
        </w:rPr>
        <w:t xml:space="preserve"> Consejo de Estado; Sala de lo Contencioso Administrativo, Sección Tercera, Subsección A,  Consejero Ponente</w:t>
      </w:r>
      <w:r>
        <w:rPr>
          <w:rFonts w:cs="Arial"/>
          <w:sz w:val="20"/>
          <w:szCs w:val="20"/>
        </w:rPr>
        <w:t>:</w:t>
      </w:r>
      <w:r w:rsidRPr="008E56C0">
        <w:rPr>
          <w:rFonts w:cs="Arial"/>
          <w:sz w:val="20"/>
          <w:szCs w:val="20"/>
        </w:rPr>
        <w:t xml:space="preserve"> Carlos Alberto Zambrano Barrera, sentencia de 21 de noviembre de 2013, radicación número: 25000-23-26-000-1999-01850-01(25397), actor: Carlos Mario Hincapié Molina, demandado: Instituto de Desarrollo Urbano - IDU-, referencia: nulidad y restablecimiento del </w:t>
      </w:r>
      <w:r>
        <w:rPr>
          <w:rFonts w:cs="Arial"/>
          <w:sz w:val="20"/>
          <w:szCs w:val="20"/>
        </w:rPr>
        <w:t>d</w:t>
      </w:r>
      <w:r w:rsidRPr="008E56C0">
        <w:rPr>
          <w:rFonts w:cs="Arial"/>
          <w:sz w:val="20"/>
          <w:szCs w:val="20"/>
        </w:rPr>
        <w:t>erecho.</w:t>
      </w:r>
    </w:p>
    <w:p w:rsidR="002E2E41" w:rsidRPr="008E56C0" w:rsidRDefault="002E2E41" w:rsidP="00E07835">
      <w:pPr>
        <w:pStyle w:val="Textonotapie"/>
        <w:spacing w:line="240" w:lineRule="auto"/>
        <w:rPr>
          <w:rFonts w:cs="Arial"/>
          <w:lang w:val="es-CO"/>
        </w:rPr>
      </w:pPr>
    </w:p>
  </w:footnote>
  <w:footnote w:id="44">
    <w:p w:rsidR="002E2E41" w:rsidRPr="007579AA" w:rsidRDefault="002E2E41" w:rsidP="00350DEF">
      <w:pPr>
        <w:pStyle w:val="NormalWeb"/>
        <w:shd w:val="clear" w:color="auto" w:fill="FFFFFF"/>
        <w:spacing w:before="0" w:beforeAutospacing="0" w:line="240" w:lineRule="auto"/>
        <w:rPr>
          <w:lang w:val="es-MX"/>
        </w:rPr>
      </w:pPr>
      <w:r w:rsidRPr="007579AA">
        <w:rPr>
          <w:rStyle w:val="Refdenotaalpie"/>
          <w:i/>
          <w:sz w:val="20"/>
          <w:szCs w:val="20"/>
        </w:rPr>
        <w:footnoteRef/>
      </w:r>
      <w:r w:rsidRPr="007579AA">
        <w:rPr>
          <w:i/>
          <w:sz w:val="20"/>
          <w:szCs w:val="20"/>
        </w:rPr>
        <w:t xml:space="preserve"> </w:t>
      </w:r>
      <w:r>
        <w:rPr>
          <w:i/>
          <w:sz w:val="20"/>
          <w:szCs w:val="20"/>
        </w:rPr>
        <w:t>Ley 489 de 1998, “</w:t>
      </w:r>
      <w:r w:rsidRPr="007579AA">
        <w:rPr>
          <w:rFonts w:cs="Arial"/>
          <w:bCs/>
          <w:i/>
          <w:color w:val="000000"/>
          <w:sz w:val="20"/>
          <w:szCs w:val="20"/>
          <w:lang w:val="es-MX" w:eastAsia="es-MX"/>
        </w:rPr>
        <w:t>Artículo 2º.</w:t>
      </w:r>
      <w:r>
        <w:rPr>
          <w:rFonts w:cs="Arial"/>
          <w:bCs/>
          <w:i/>
          <w:color w:val="000000"/>
          <w:sz w:val="20"/>
          <w:szCs w:val="20"/>
          <w:lang w:val="es-MX" w:eastAsia="es-MX"/>
        </w:rPr>
        <w:t xml:space="preserve">(,,,)  </w:t>
      </w:r>
      <w:r w:rsidRPr="007579AA">
        <w:rPr>
          <w:rFonts w:cs="Arial"/>
          <w:bCs/>
          <w:i/>
          <w:color w:val="000000"/>
          <w:sz w:val="20"/>
          <w:szCs w:val="20"/>
          <w:lang w:val="es-MX" w:eastAsia="es-MX"/>
        </w:rPr>
        <w:t>“Parágrafo.-</w:t>
      </w:r>
      <w:r w:rsidRPr="007579AA">
        <w:rPr>
          <w:rFonts w:cs="Arial"/>
          <w:i/>
          <w:color w:val="000000"/>
          <w:sz w:val="20"/>
          <w:szCs w:val="20"/>
          <w:lang w:val="es-MX" w:eastAsia="es-MX"/>
        </w:rPr>
        <w:t> Las reglas relativas a los principios propios de la función administrativa, sobre delegación y desconcentración, características y régimen de las entidades descentralizadas, racionalización administrativa, desarrollo administrativo, participación y control interno de la Administración Pública se aplicarán, en lo pertinente, a las entidades territoriales, sin perjuicio de la autonomía que les es propia de acuerdo con la Constitución Política</w:t>
      </w:r>
      <w:r>
        <w:rPr>
          <w:rFonts w:cs="Arial"/>
          <w:i/>
          <w:color w:val="000000"/>
          <w:sz w:val="20"/>
          <w:szCs w:val="20"/>
          <w:lang w:val="es-MX" w:eastAsia="es-MX"/>
        </w:rPr>
        <w:t>”</w:t>
      </w:r>
      <w:r w:rsidRPr="007579AA">
        <w:rPr>
          <w:rFonts w:cs="Arial"/>
          <w:i/>
          <w:color w:val="000000"/>
          <w:sz w:val="20"/>
          <w:szCs w:val="20"/>
          <w:lang w:val="es-MX" w:eastAsia="es-MX"/>
        </w:rPr>
        <w:t>.</w:t>
      </w:r>
    </w:p>
  </w:footnote>
  <w:footnote w:id="45">
    <w:p w:rsidR="002E2E41" w:rsidRPr="00DE7687" w:rsidRDefault="002E2E41" w:rsidP="007579AA">
      <w:pPr>
        <w:shd w:val="clear" w:color="auto" w:fill="FFFFFF"/>
        <w:spacing w:before="100" w:beforeAutospacing="1" w:after="100" w:afterAutospacing="1" w:line="240" w:lineRule="auto"/>
        <w:rPr>
          <w:rFonts w:cs="Arial"/>
          <w:i/>
          <w:color w:val="000000"/>
          <w:sz w:val="20"/>
          <w:szCs w:val="20"/>
        </w:rPr>
      </w:pPr>
      <w:r w:rsidRPr="00DE7687">
        <w:rPr>
          <w:rStyle w:val="Refdenotaalpie"/>
          <w:i/>
          <w:sz w:val="20"/>
          <w:szCs w:val="20"/>
        </w:rPr>
        <w:footnoteRef/>
      </w:r>
      <w:r w:rsidRPr="00DE7687">
        <w:rPr>
          <w:i/>
          <w:sz w:val="20"/>
          <w:szCs w:val="20"/>
        </w:rPr>
        <w:t xml:space="preserve"> </w:t>
      </w:r>
      <w:r>
        <w:rPr>
          <w:i/>
          <w:sz w:val="20"/>
          <w:szCs w:val="20"/>
        </w:rPr>
        <w:t>“</w:t>
      </w:r>
      <w:r w:rsidRPr="00350DEF">
        <w:rPr>
          <w:rFonts w:cs="Arial"/>
          <w:bCs/>
          <w:i/>
          <w:color w:val="000000"/>
          <w:sz w:val="20"/>
          <w:szCs w:val="20"/>
        </w:rPr>
        <w:t>Artículo 10º.-</w:t>
      </w:r>
      <w:r w:rsidRPr="00350DEF">
        <w:rPr>
          <w:rFonts w:cs="Arial"/>
          <w:i/>
          <w:iCs/>
          <w:color w:val="000000"/>
          <w:sz w:val="20"/>
          <w:szCs w:val="20"/>
        </w:rPr>
        <w:t> </w:t>
      </w:r>
      <w:r w:rsidRPr="00350DEF">
        <w:rPr>
          <w:rFonts w:cs="Arial"/>
          <w:bCs/>
          <w:i/>
          <w:iCs/>
          <w:color w:val="000000"/>
          <w:sz w:val="20"/>
          <w:szCs w:val="20"/>
        </w:rPr>
        <w:t>Requisitos de la delegación</w:t>
      </w:r>
      <w:r w:rsidRPr="00DE7687">
        <w:rPr>
          <w:rFonts w:cs="Arial"/>
          <w:b/>
          <w:bCs/>
          <w:i/>
          <w:iCs/>
          <w:color w:val="000000"/>
          <w:sz w:val="20"/>
          <w:szCs w:val="20"/>
        </w:rPr>
        <w:t>.</w:t>
      </w:r>
      <w:r w:rsidRPr="00DE7687">
        <w:rPr>
          <w:rFonts w:cs="Arial"/>
          <w:i/>
          <w:color w:val="000000"/>
          <w:sz w:val="20"/>
          <w:szCs w:val="20"/>
        </w:rPr>
        <w:t> En el acto de la delegación, que siempre será escrito, se determinará la autoridad delegataria y las funciones o asuntos específicos cuya atención y decisión se transfieren.</w:t>
      </w:r>
    </w:p>
    <w:p w:rsidR="002E2E41" w:rsidRPr="00E90184" w:rsidRDefault="002E2E41" w:rsidP="00350DEF">
      <w:pPr>
        <w:shd w:val="clear" w:color="auto" w:fill="FFFFFF"/>
        <w:spacing w:before="100" w:beforeAutospacing="1" w:after="100" w:afterAutospacing="1" w:line="240" w:lineRule="auto"/>
        <w:rPr>
          <w:lang w:val="es-CO"/>
        </w:rPr>
      </w:pPr>
      <w:r>
        <w:rPr>
          <w:rFonts w:cs="Arial"/>
          <w:i/>
          <w:color w:val="000000"/>
          <w:sz w:val="20"/>
          <w:szCs w:val="20"/>
        </w:rPr>
        <w:t>“</w:t>
      </w:r>
      <w:r w:rsidRPr="00DE7687">
        <w:rPr>
          <w:rFonts w:cs="Arial"/>
          <w:i/>
          <w:color w:val="000000"/>
          <w:sz w:val="20"/>
          <w:szCs w:val="20"/>
        </w:rPr>
        <w:t>El Presidente de la República, los ministros, los directores de departamento administrativo y los representantes legales de entidades descentralizadas deberán informarse en todo momento sobre el desarrollo de las delegaciones que hayan otorgado e impartir orientaciones generales sobre el ejercicio de las funciones delegadas</w:t>
      </w:r>
      <w:r>
        <w:rPr>
          <w:rFonts w:cs="Arial"/>
          <w:i/>
          <w:color w:val="000000"/>
          <w:sz w:val="20"/>
          <w:szCs w:val="20"/>
        </w:rPr>
        <w:t>”</w:t>
      </w:r>
      <w:r w:rsidRPr="00DE7687">
        <w:rPr>
          <w:rFonts w:cs="Arial"/>
          <w:i/>
          <w:color w:val="000000"/>
          <w:sz w:val="20"/>
          <w:szCs w:val="20"/>
        </w:rPr>
        <w:t>.</w:t>
      </w:r>
    </w:p>
  </w:footnote>
  <w:footnote w:id="46">
    <w:p w:rsidR="002E2E41" w:rsidRPr="002E2C65" w:rsidRDefault="002E2E41" w:rsidP="002E2C65">
      <w:pPr>
        <w:pStyle w:val="Textonotapie"/>
        <w:spacing w:line="240" w:lineRule="auto"/>
        <w:rPr>
          <w:lang w:val="es-MX"/>
        </w:rPr>
      </w:pPr>
      <w:r>
        <w:rPr>
          <w:rStyle w:val="Refdenotaalpie"/>
        </w:rPr>
        <w:footnoteRef/>
      </w:r>
      <w:r>
        <w:t xml:space="preserve"> </w:t>
      </w:r>
      <w:r w:rsidRPr="00AA13D8">
        <w:rPr>
          <w:i/>
        </w:rPr>
        <w:t>“</w:t>
      </w:r>
      <w:r w:rsidRPr="00AA13D8">
        <w:rPr>
          <w:rFonts w:cs="Arial"/>
          <w:bCs/>
          <w:i/>
          <w:color w:val="000000"/>
        </w:rPr>
        <w:t>Artículo 8º.-</w:t>
      </w:r>
      <w:r w:rsidRPr="00AA13D8">
        <w:rPr>
          <w:rFonts w:cs="Arial"/>
          <w:i/>
          <w:color w:val="000000"/>
          <w:shd w:val="clear" w:color="auto" w:fill="FFFFFF"/>
        </w:rPr>
        <w:t> </w:t>
      </w:r>
      <w:r w:rsidRPr="00AA13D8">
        <w:rPr>
          <w:rFonts w:cs="Arial"/>
          <w:bCs/>
          <w:i/>
          <w:iCs/>
          <w:color w:val="000000"/>
          <w:shd w:val="clear" w:color="auto" w:fill="FFFFFF"/>
        </w:rPr>
        <w:t>Desconcentración administrativa</w:t>
      </w:r>
      <w:r w:rsidRPr="002E2C65">
        <w:rPr>
          <w:rFonts w:cs="Arial"/>
          <w:i/>
          <w:iCs/>
          <w:color w:val="000000"/>
          <w:shd w:val="clear" w:color="auto" w:fill="FFFFFF"/>
        </w:rPr>
        <w:t>. </w:t>
      </w:r>
      <w:r w:rsidRPr="002E2C65">
        <w:rPr>
          <w:rFonts w:cs="Arial"/>
          <w:i/>
          <w:color w:val="000000"/>
          <w:shd w:val="clear" w:color="auto" w:fill="FFFFFF"/>
        </w:rPr>
        <w:t>La desconcentración es la radicación de competencias y funciones en dependencias ubicadas fuera de la sede principal del organismo o entidad administrativa, sin perjuicio de las potestades y deberes de orientación e instrucción que corresponde ejercer a los jefes superiores de la Administración, la cual no implica delegación y podrá hacerse por territorio y por funciones</w:t>
      </w:r>
      <w:r>
        <w:rPr>
          <w:rFonts w:cs="Arial"/>
          <w:i/>
          <w:color w:val="000000"/>
          <w:shd w:val="clear" w:color="auto" w:fill="FFFFFF"/>
        </w:rPr>
        <w:t>”</w:t>
      </w:r>
      <w:r w:rsidRPr="002E2C65">
        <w:rPr>
          <w:rFonts w:cs="Arial"/>
          <w:i/>
          <w:color w:val="000000"/>
          <w:shd w:val="clear" w:color="auto" w:fill="FFFFFF"/>
        </w:rPr>
        <w:t>.</w:t>
      </w:r>
    </w:p>
  </w:footnote>
  <w:footnote w:id="47">
    <w:p w:rsidR="002E2E41" w:rsidRPr="00930B7E" w:rsidRDefault="002E2E41">
      <w:pPr>
        <w:pStyle w:val="Textonotapie"/>
        <w:rPr>
          <w:lang w:val="es-CO"/>
        </w:rPr>
      </w:pPr>
      <w:r>
        <w:rPr>
          <w:rStyle w:val="Refdenotaalpie"/>
        </w:rPr>
        <w:footnoteRef/>
      </w:r>
      <w:r>
        <w:t xml:space="preserve"> </w:t>
      </w:r>
      <w:r>
        <w:rPr>
          <w:lang w:val="es-CO"/>
        </w:rPr>
        <w:t>Teniendo en cuenta que el salario mínimo legal mensual vigente para 1999 fue de $236.460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E41" w:rsidRDefault="002E2E41"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E2E41" w:rsidRDefault="002E2E41"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E41" w:rsidRDefault="002E2E41" w:rsidP="00D01C40">
    <w:pPr>
      <w:widowControl w:val="0"/>
      <w:autoSpaceDE w:val="0"/>
      <w:autoSpaceDN w:val="0"/>
      <w:adjustRightInd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941"/>
    <w:multiLevelType w:val="hybridMultilevel"/>
    <w:tmpl w:val="A1BC3450"/>
    <w:lvl w:ilvl="0" w:tplc="0C0A0001">
      <w:start w:val="1"/>
      <w:numFmt w:val="bullet"/>
      <w:lvlText w:val=""/>
      <w:lvlJc w:val="left"/>
      <w:pPr>
        <w:ind w:left="1143" w:hanging="360"/>
      </w:pPr>
      <w:rPr>
        <w:rFonts w:ascii="Symbol" w:hAnsi="Symbol" w:hint="default"/>
      </w:rPr>
    </w:lvl>
    <w:lvl w:ilvl="1" w:tplc="080A0003" w:tentative="1">
      <w:start w:val="1"/>
      <w:numFmt w:val="bullet"/>
      <w:lvlText w:val="o"/>
      <w:lvlJc w:val="left"/>
      <w:pPr>
        <w:ind w:left="1863" w:hanging="360"/>
      </w:pPr>
      <w:rPr>
        <w:rFonts w:ascii="Courier New" w:hAnsi="Courier New" w:cs="Courier New" w:hint="default"/>
      </w:rPr>
    </w:lvl>
    <w:lvl w:ilvl="2" w:tplc="080A0005" w:tentative="1">
      <w:start w:val="1"/>
      <w:numFmt w:val="bullet"/>
      <w:lvlText w:val=""/>
      <w:lvlJc w:val="left"/>
      <w:pPr>
        <w:ind w:left="2583" w:hanging="360"/>
      </w:pPr>
      <w:rPr>
        <w:rFonts w:ascii="Wingdings" w:hAnsi="Wingdings" w:hint="default"/>
      </w:rPr>
    </w:lvl>
    <w:lvl w:ilvl="3" w:tplc="080A0001" w:tentative="1">
      <w:start w:val="1"/>
      <w:numFmt w:val="bullet"/>
      <w:lvlText w:val=""/>
      <w:lvlJc w:val="left"/>
      <w:pPr>
        <w:ind w:left="3303" w:hanging="360"/>
      </w:pPr>
      <w:rPr>
        <w:rFonts w:ascii="Symbol" w:hAnsi="Symbol" w:hint="default"/>
      </w:rPr>
    </w:lvl>
    <w:lvl w:ilvl="4" w:tplc="080A0003" w:tentative="1">
      <w:start w:val="1"/>
      <w:numFmt w:val="bullet"/>
      <w:lvlText w:val="o"/>
      <w:lvlJc w:val="left"/>
      <w:pPr>
        <w:ind w:left="4023" w:hanging="360"/>
      </w:pPr>
      <w:rPr>
        <w:rFonts w:ascii="Courier New" w:hAnsi="Courier New" w:cs="Courier New" w:hint="default"/>
      </w:rPr>
    </w:lvl>
    <w:lvl w:ilvl="5" w:tplc="080A0005" w:tentative="1">
      <w:start w:val="1"/>
      <w:numFmt w:val="bullet"/>
      <w:lvlText w:val=""/>
      <w:lvlJc w:val="left"/>
      <w:pPr>
        <w:ind w:left="4743" w:hanging="360"/>
      </w:pPr>
      <w:rPr>
        <w:rFonts w:ascii="Wingdings" w:hAnsi="Wingdings" w:hint="default"/>
      </w:rPr>
    </w:lvl>
    <w:lvl w:ilvl="6" w:tplc="080A0001" w:tentative="1">
      <w:start w:val="1"/>
      <w:numFmt w:val="bullet"/>
      <w:lvlText w:val=""/>
      <w:lvlJc w:val="left"/>
      <w:pPr>
        <w:ind w:left="5463" w:hanging="360"/>
      </w:pPr>
      <w:rPr>
        <w:rFonts w:ascii="Symbol" w:hAnsi="Symbol" w:hint="default"/>
      </w:rPr>
    </w:lvl>
    <w:lvl w:ilvl="7" w:tplc="080A0003" w:tentative="1">
      <w:start w:val="1"/>
      <w:numFmt w:val="bullet"/>
      <w:lvlText w:val="o"/>
      <w:lvlJc w:val="left"/>
      <w:pPr>
        <w:ind w:left="6183" w:hanging="360"/>
      </w:pPr>
      <w:rPr>
        <w:rFonts w:ascii="Courier New" w:hAnsi="Courier New" w:cs="Courier New" w:hint="default"/>
      </w:rPr>
    </w:lvl>
    <w:lvl w:ilvl="8" w:tplc="080A0005" w:tentative="1">
      <w:start w:val="1"/>
      <w:numFmt w:val="bullet"/>
      <w:lvlText w:val=""/>
      <w:lvlJc w:val="left"/>
      <w:pPr>
        <w:ind w:left="6903" w:hanging="360"/>
      </w:pPr>
      <w:rPr>
        <w:rFonts w:ascii="Wingdings" w:hAnsi="Wingdings" w:hint="default"/>
      </w:rPr>
    </w:lvl>
  </w:abstractNum>
  <w:abstractNum w:abstractNumId="1"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2"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5"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8"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4"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66765B"/>
    <w:multiLevelType w:val="hybridMultilevel"/>
    <w:tmpl w:val="92DC6AB6"/>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30"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6"/>
  </w:num>
  <w:num w:numId="2">
    <w:abstractNumId w:val="27"/>
  </w:num>
  <w:num w:numId="3">
    <w:abstractNumId w:val="25"/>
  </w:num>
  <w:num w:numId="4">
    <w:abstractNumId w:val="12"/>
  </w:num>
  <w:num w:numId="5">
    <w:abstractNumId w:val="15"/>
  </w:num>
  <w:num w:numId="6">
    <w:abstractNumId w:val="5"/>
  </w:num>
  <w:num w:numId="7">
    <w:abstractNumId w:val="26"/>
  </w:num>
  <w:num w:numId="8">
    <w:abstractNumId w:val="6"/>
  </w:num>
  <w:num w:numId="9">
    <w:abstractNumId w:val="3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10"/>
  </w:num>
  <w:num w:numId="13">
    <w:abstractNumId w:val="6"/>
  </w:num>
  <w:num w:numId="14">
    <w:abstractNumId w:val="24"/>
  </w:num>
  <w:num w:numId="15">
    <w:abstractNumId w:val="4"/>
  </w:num>
  <w:num w:numId="16">
    <w:abstractNumId w:val="13"/>
  </w:num>
  <w:num w:numId="17">
    <w:abstractNumId w:val="8"/>
  </w:num>
  <w:num w:numId="18">
    <w:abstractNumId w:val="17"/>
  </w:num>
  <w:num w:numId="19">
    <w:abstractNumId w:val="23"/>
  </w:num>
  <w:num w:numId="20">
    <w:abstractNumId w:val="28"/>
  </w:num>
  <w:num w:numId="21">
    <w:abstractNumId w:val="20"/>
  </w:num>
  <w:num w:numId="22">
    <w:abstractNumId w:val="2"/>
  </w:num>
  <w:num w:numId="23">
    <w:abstractNumId w:val="21"/>
  </w:num>
  <w:num w:numId="24">
    <w:abstractNumId w:val="3"/>
  </w:num>
  <w:num w:numId="25">
    <w:abstractNumId w:val="7"/>
  </w:num>
  <w:num w:numId="26">
    <w:abstractNumId w:val="9"/>
  </w:num>
  <w:num w:numId="27">
    <w:abstractNumId w:val="18"/>
  </w:num>
  <w:num w:numId="28">
    <w:abstractNumId w:val="14"/>
  </w:num>
  <w:num w:numId="29">
    <w:abstractNumId w:val="11"/>
  </w:num>
  <w:num w:numId="30">
    <w:abstractNumId w:val="1"/>
  </w:num>
  <w:num w:numId="31">
    <w:abstractNumId w:val="29"/>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gutterAtTop/>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95"/>
    <w:rsid w:val="000004FE"/>
    <w:rsid w:val="0000071A"/>
    <w:rsid w:val="0000092F"/>
    <w:rsid w:val="00000F07"/>
    <w:rsid w:val="000012E0"/>
    <w:rsid w:val="00001679"/>
    <w:rsid w:val="0000193E"/>
    <w:rsid w:val="00001C09"/>
    <w:rsid w:val="00001C23"/>
    <w:rsid w:val="00001E9E"/>
    <w:rsid w:val="00001F90"/>
    <w:rsid w:val="00002764"/>
    <w:rsid w:val="00002E38"/>
    <w:rsid w:val="00003330"/>
    <w:rsid w:val="00003649"/>
    <w:rsid w:val="000036B8"/>
    <w:rsid w:val="0000390B"/>
    <w:rsid w:val="000039FF"/>
    <w:rsid w:val="00003C47"/>
    <w:rsid w:val="000041F0"/>
    <w:rsid w:val="000043A0"/>
    <w:rsid w:val="00004616"/>
    <w:rsid w:val="000049E1"/>
    <w:rsid w:val="0000511F"/>
    <w:rsid w:val="00006466"/>
    <w:rsid w:val="00006BE4"/>
    <w:rsid w:val="000072F1"/>
    <w:rsid w:val="00007C4A"/>
    <w:rsid w:val="00007CAE"/>
    <w:rsid w:val="00010098"/>
    <w:rsid w:val="00010466"/>
    <w:rsid w:val="000104E1"/>
    <w:rsid w:val="0001067B"/>
    <w:rsid w:val="000107A5"/>
    <w:rsid w:val="00010DB5"/>
    <w:rsid w:val="00012D75"/>
    <w:rsid w:val="00012DB3"/>
    <w:rsid w:val="00012FF4"/>
    <w:rsid w:val="00013063"/>
    <w:rsid w:val="0001321B"/>
    <w:rsid w:val="00013615"/>
    <w:rsid w:val="00013AB8"/>
    <w:rsid w:val="00013C26"/>
    <w:rsid w:val="00013E02"/>
    <w:rsid w:val="00013EC4"/>
    <w:rsid w:val="00014013"/>
    <w:rsid w:val="00014595"/>
    <w:rsid w:val="000148A2"/>
    <w:rsid w:val="0001495C"/>
    <w:rsid w:val="000150BD"/>
    <w:rsid w:val="000151C6"/>
    <w:rsid w:val="000152A8"/>
    <w:rsid w:val="0001539B"/>
    <w:rsid w:val="0001540B"/>
    <w:rsid w:val="000155C2"/>
    <w:rsid w:val="00015AAF"/>
    <w:rsid w:val="00015C11"/>
    <w:rsid w:val="00016B27"/>
    <w:rsid w:val="00016B62"/>
    <w:rsid w:val="0001706A"/>
    <w:rsid w:val="000170A9"/>
    <w:rsid w:val="00017266"/>
    <w:rsid w:val="000174A6"/>
    <w:rsid w:val="00017E16"/>
    <w:rsid w:val="00017F4B"/>
    <w:rsid w:val="000203FE"/>
    <w:rsid w:val="000205A0"/>
    <w:rsid w:val="00020AE9"/>
    <w:rsid w:val="00020F82"/>
    <w:rsid w:val="00021148"/>
    <w:rsid w:val="00021342"/>
    <w:rsid w:val="00021A58"/>
    <w:rsid w:val="000223BC"/>
    <w:rsid w:val="0002287B"/>
    <w:rsid w:val="0002326F"/>
    <w:rsid w:val="000232F7"/>
    <w:rsid w:val="000234D5"/>
    <w:rsid w:val="0002353C"/>
    <w:rsid w:val="00023675"/>
    <w:rsid w:val="00023933"/>
    <w:rsid w:val="00024457"/>
    <w:rsid w:val="000247CD"/>
    <w:rsid w:val="0002571A"/>
    <w:rsid w:val="00025A21"/>
    <w:rsid w:val="00025C0C"/>
    <w:rsid w:val="00025C7D"/>
    <w:rsid w:val="000260FB"/>
    <w:rsid w:val="00026129"/>
    <w:rsid w:val="000262BF"/>
    <w:rsid w:val="000263A9"/>
    <w:rsid w:val="000264FE"/>
    <w:rsid w:val="00026AEE"/>
    <w:rsid w:val="00027567"/>
    <w:rsid w:val="00027837"/>
    <w:rsid w:val="00027A49"/>
    <w:rsid w:val="0003004D"/>
    <w:rsid w:val="00030283"/>
    <w:rsid w:val="000302C0"/>
    <w:rsid w:val="00030B1A"/>
    <w:rsid w:val="00030C95"/>
    <w:rsid w:val="00031536"/>
    <w:rsid w:val="00031646"/>
    <w:rsid w:val="0003177A"/>
    <w:rsid w:val="00031F50"/>
    <w:rsid w:val="000320EB"/>
    <w:rsid w:val="000321D5"/>
    <w:rsid w:val="000323EA"/>
    <w:rsid w:val="00032C85"/>
    <w:rsid w:val="0003316F"/>
    <w:rsid w:val="00033185"/>
    <w:rsid w:val="000335CC"/>
    <w:rsid w:val="00033A87"/>
    <w:rsid w:val="00033E47"/>
    <w:rsid w:val="00033E59"/>
    <w:rsid w:val="00034270"/>
    <w:rsid w:val="00034796"/>
    <w:rsid w:val="0003523C"/>
    <w:rsid w:val="000353CD"/>
    <w:rsid w:val="00035DEC"/>
    <w:rsid w:val="0003632B"/>
    <w:rsid w:val="0003635B"/>
    <w:rsid w:val="000363FD"/>
    <w:rsid w:val="00036F1E"/>
    <w:rsid w:val="000400F3"/>
    <w:rsid w:val="00040808"/>
    <w:rsid w:val="00040A0A"/>
    <w:rsid w:val="00041150"/>
    <w:rsid w:val="00041167"/>
    <w:rsid w:val="000411C9"/>
    <w:rsid w:val="00041BC1"/>
    <w:rsid w:val="00041D8F"/>
    <w:rsid w:val="00042364"/>
    <w:rsid w:val="0004266C"/>
    <w:rsid w:val="00042AFC"/>
    <w:rsid w:val="000430B8"/>
    <w:rsid w:val="000439A7"/>
    <w:rsid w:val="00043C20"/>
    <w:rsid w:val="000442CE"/>
    <w:rsid w:val="00044360"/>
    <w:rsid w:val="00044ABB"/>
    <w:rsid w:val="00044F75"/>
    <w:rsid w:val="0004539B"/>
    <w:rsid w:val="00045C62"/>
    <w:rsid w:val="00045C63"/>
    <w:rsid w:val="00045DCF"/>
    <w:rsid w:val="00045E21"/>
    <w:rsid w:val="00045FCB"/>
    <w:rsid w:val="000460C4"/>
    <w:rsid w:val="0004636C"/>
    <w:rsid w:val="00046499"/>
    <w:rsid w:val="0004675A"/>
    <w:rsid w:val="00046F71"/>
    <w:rsid w:val="00047466"/>
    <w:rsid w:val="00047AFA"/>
    <w:rsid w:val="00050A3E"/>
    <w:rsid w:val="00050CA0"/>
    <w:rsid w:val="00050E71"/>
    <w:rsid w:val="00050EC2"/>
    <w:rsid w:val="00051050"/>
    <w:rsid w:val="0005134F"/>
    <w:rsid w:val="0005135E"/>
    <w:rsid w:val="000519A7"/>
    <w:rsid w:val="00051B2B"/>
    <w:rsid w:val="00051FDE"/>
    <w:rsid w:val="000527C6"/>
    <w:rsid w:val="00052B55"/>
    <w:rsid w:val="00053041"/>
    <w:rsid w:val="0005334C"/>
    <w:rsid w:val="00053778"/>
    <w:rsid w:val="000540B2"/>
    <w:rsid w:val="00054130"/>
    <w:rsid w:val="0005420C"/>
    <w:rsid w:val="00054863"/>
    <w:rsid w:val="00054E45"/>
    <w:rsid w:val="00054F11"/>
    <w:rsid w:val="00055411"/>
    <w:rsid w:val="00055A2C"/>
    <w:rsid w:val="00056023"/>
    <w:rsid w:val="000565CB"/>
    <w:rsid w:val="00056F8F"/>
    <w:rsid w:val="000570EE"/>
    <w:rsid w:val="0005739B"/>
    <w:rsid w:val="00057514"/>
    <w:rsid w:val="00057FB1"/>
    <w:rsid w:val="0006047E"/>
    <w:rsid w:val="0006071E"/>
    <w:rsid w:val="00060962"/>
    <w:rsid w:val="00060A10"/>
    <w:rsid w:val="00060D51"/>
    <w:rsid w:val="00061160"/>
    <w:rsid w:val="00061169"/>
    <w:rsid w:val="00061758"/>
    <w:rsid w:val="000619AB"/>
    <w:rsid w:val="00062A8C"/>
    <w:rsid w:val="00062AE2"/>
    <w:rsid w:val="00062EC8"/>
    <w:rsid w:val="0006314A"/>
    <w:rsid w:val="00063601"/>
    <w:rsid w:val="00063833"/>
    <w:rsid w:val="00063D2C"/>
    <w:rsid w:val="00063FDB"/>
    <w:rsid w:val="00064173"/>
    <w:rsid w:val="000641E1"/>
    <w:rsid w:val="00064582"/>
    <w:rsid w:val="0006488A"/>
    <w:rsid w:val="00064D83"/>
    <w:rsid w:val="00064FE5"/>
    <w:rsid w:val="000657C5"/>
    <w:rsid w:val="00065E78"/>
    <w:rsid w:val="00066448"/>
    <w:rsid w:val="000701BA"/>
    <w:rsid w:val="00070220"/>
    <w:rsid w:val="000705E6"/>
    <w:rsid w:val="000708AE"/>
    <w:rsid w:val="00070FC0"/>
    <w:rsid w:val="00071336"/>
    <w:rsid w:val="0007186D"/>
    <w:rsid w:val="00071BC7"/>
    <w:rsid w:val="00071DAB"/>
    <w:rsid w:val="000722F8"/>
    <w:rsid w:val="0007250E"/>
    <w:rsid w:val="0007265F"/>
    <w:rsid w:val="00073241"/>
    <w:rsid w:val="00073360"/>
    <w:rsid w:val="0007367B"/>
    <w:rsid w:val="000739F5"/>
    <w:rsid w:val="00073C49"/>
    <w:rsid w:val="00073DB3"/>
    <w:rsid w:val="000745CE"/>
    <w:rsid w:val="00074C0F"/>
    <w:rsid w:val="00074C56"/>
    <w:rsid w:val="00075147"/>
    <w:rsid w:val="00075166"/>
    <w:rsid w:val="0007558A"/>
    <w:rsid w:val="00075779"/>
    <w:rsid w:val="00075DF6"/>
    <w:rsid w:val="0007608D"/>
    <w:rsid w:val="00076631"/>
    <w:rsid w:val="0007667D"/>
    <w:rsid w:val="000767DB"/>
    <w:rsid w:val="00076AFF"/>
    <w:rsid w:val="000775AE"/>
    <w:rsid w:val="0007792C"/>
    <w:rsid w:val="00077B4B"/>
    <w:rsid w:val="00077B7D"/>
    <w:rsid w:val="00077DF1"/>
    <w:rsid w:val="00077E42"/>
    <w:rsid w:val="00077F0F"/>
    <w:rsid w:val="00077F46"/>
    <w:rsid w:val="00080068"/>
    <w:rsid w:val="00080157"/>
    <w:rsid w:val="0008074F"/>
    <w:rsid w:val="00080778"/>
    <w:rsid w:val="000813E9"/>
    <w:rsid w:val="00081E4F"/>
    <w:rsid w:val="00081F74"/>
    <w:rsid w:val="00082852"/>
    <w:rsid w:val="000829AA"/>
    <w:rsid w:val="000829B0"/>
    <w:rsid w:val="00082D93"/>
    <w:rsid w:val="00082FB7"/>
    <w:rsid w:val="0008343C"/>
    <w:rsid w:val="0008370C"/>
    <w:rsid w:val="00083AEA"/>
    <w:rsid w:val="00083BB5"/>
    <w:rsid w:val="00083C1D"/>
    <w:rsid w:val="00084000"/>
    <w:rsid w:val="000843C9"/>
    <w:rsid w:val="00084419"/>
    <w:rsid w:val="0008441D"/>
    <w:rsid w:val="00084943"/>
    <w:rsid w:val="0008509A"/>
    <w:rsid w:val="00085283"/>
    <w:rsid w:val="00085297"/>
    <w:rsid w:val="00085443"/>
    <w:rsid w:val="000865D7"/>
    <w:rsid w:val="00086ABF"/>
    <w:rsid w:val="00086D58"/>
    <w:rsid w:val="0008752D"/>
    <w:rsid w:val="0008798C"/>
    <w:rsid w:val="00087A3E"/>
    <w:rsid w:val="00087B20"/>
    <w:rsid w:val="00087B3A"/>
    <w:rsid w:val="00087C29"/>
    <w:rsid w:val="0009017C"/>
    <w:rsid w:val="000902CC"/>
    <w:rsid w:val="000903DB"/>
    <w:rsid w:val="0009054D"/>
    <w:rsid w:val="00090865"/>
    <w:rsid w:val="00090A63"/>
    <w:rsid w:val="00090C49"/>
    <w:rsid w:val="00090F3F"/>
    <w:rsid w:val="00091462"/>
    <w:rsid w:val="00091E6A"/>
    <w:rsid w:val="000923E9"/>
    <w:rsid w:val="00092446"/>
    <w:rsid w:val="00092A06"/>
    <w:rsid w:val="00093234"/>
    <w:rsid w:val="000935A8"/>
    <w:rsid w:val="00093655"/>
    <w:rsid w:val="0009372E"/>
    <w:rsid w:val="00093953"/>
    <w:rsid w:val="00093CE2"/>
    <w:rsid w:val="00093FAE"/>
    <w:rsid w:val="000941DB"/>
    <w:rsid w:val="0009429B"/>
    <w:rsid w:val="00094559"/>
    <w:rsid w:val="000946D8"/>
    <w:rsid w:val="00094990"/>
    <w:rsid w:val="000949AA"/>
    <w:rsid w:val="000954D9"/>
    <w:rsid w:val="000958F8"/>
    <w:rsid w:val="00095DC4"/>
    <w:rsid w:val="00095DE2"/>
    <w:rsid w:val="00096035"/>
    <w:rsid w:val="0009606A"/>
    <w:rsid w:val="0009634B"/>
    <w:rsid w:val="000964A2"/>
    <w:rsid w:val="0009687C"/>
    <w:rsid w:val="00097392"/>
    <w:rsid w:val="00097454"/>
    <w:rsid w:val="00097E28"/>
    <w:rsid w:val="00097FFE"/>
    <w:rsid w:val="000A024C"/>
    <w:rsid w:val="000A0632"/>
    <w:rsid w:val="000A10EB"/>
    <w:rsid w:val="000A15C5"/>
    <w:rsid w:val="000A1C44"/>
    <w:rsid w:val="000A2287"/>
    <w:rsid w:val="000A22CE"/>
    <w:rsid w:val="000A263C"/>
    <w:rsid w:val="000A2EF8"/>
    <w:rsid w:val="000A2F71"/>
    <w:rsid w:val="000A2F9E"/>
    <w:rsid w:val="000A3282"/>
    <w:rsid w:val="000A344C"/>
    <w:rsid w:val="000A3D13"/>
    <w:rsid w:val="000A3F4D"/>
    <w:rsid w:val="000A43A4"/>
    <w:rsid w:val="000A4AC6"/>
    <w:rsid w:val="000A551F"/>
    <w:rsid w:val="000A5AB6"/>
    <w:rsid w:val="000A5CC8"/>
    <w:rsid w:val="000A5F64"/>
    <w:rsid w:val="000A6106"/>
    <w:rsid w:val="000A6819"/>
    <w:rsid w:val="000A6E4E"/>
    <w:rsid w:val="000A6E70"/>
    <w:rsid w:val="000A700C"/>
    <w:rsid w:val="000A7800"/>
    <w:rsid w:val="000A79D1"/>
    <w:rsid w:val="000A7DA1"/>
    <w:rsid w:val="000A7F66"/>
    <w:rsid w:val="000B00C5"/>
    <w:rsid w:val="000B00FB"/>
    <w:rsid w:val="000B01EF"/>
    <w:rsid w:val="000B0BFA"/>
    <w:rsid w:val="000B1216"/>
    <w:rsid w:val="000B194A"/>
    <w:rsid w:val="000B1BC1"/>
    <w:rsid w:val="000B1E8C"/>
    <w:rsid w:val="000B2A10"/>
    <w:rsid w:val="000B2A1C"/>
    <w:rsid w:val="000B2B5A"/>
    <w:rsid w:val="000B3002"/>
    <w:rsid w:val="000B3773"/>
    <w:rsid w:val="000B380C"/>
    <w:rsid w:val="000B393A"/>
    <w:rsid w:val="000B3DED"/>
    <w:rsid w:val="000B42EC"/>
    <w:rsid w:val="000B4594"/>
    <w:rsid w:val="000B45E5"/>
    <w:rsid w:val="000B48A9"/>
    <w:rsid w:val="000B4DDE"/>
    <w:rsid w:val="000B4F53"/>
    <w:rsid w:val="000B572D"/>
    <w:rsid w:val="000B5AC9"/>
    <w:rsid w:val="000B5B53"/>
    <w:rsid w:val="000B5BD6"/>
    <w:rsid w:val="000B5D70"/>
    <w:rsid w:val="000B5DB0"/>
    <w:rsid w:val="000B5F09"/>
    <w:rsid w:val="000B60B3"/>
    <w:rsid w:val="000B6230"/>
    <w:rsid w:val="000B6431"/>
    <w:rsid w:val="000B697D"/>
    <w:rsid w:val="000B6FE1"/>
    <w:rsid w:val="000B7705"/>
    <w:rsid w:val="000B7709"/>
    <w:rsid w:val="000B771B"/>
    <w:rsid w:val="000C0075"/>
    <w:rsid w:val="000C0124"/>
    <w:rsid w:val="000C0E6F"/>
    <w:rsid w:val="000C160D"/>
    <w:rsid w:val="000C1611"/>
    <w:rsid w:val="000C189E"/>
    <w:rsid w:val="000C1CDB"/>
    <w:rsid w:val="000C1EB8"/>
    <w:rsid w:val="000C2328"/>
    <w:rsid w:val="000C2509"/>
    <w:rsid w:val="000C26D8"/>
    <w:rsid w:val="000C2852"/>
    <w:rsid w:val="000C29B5"/>
    <w:rsid w:val="000C29CA"/>
    <w:rsid w:val="000C3490"/>
    <w:rsid w:val="000C3815"/>
    <w:rsid w:val="000C3C31"/>
    <w:rsid w:val="000C4289"/>
    <w:rsid w:val="000C4728"/>
    <w:rsid w:val="000C4C7A"/>
    <w:rsid w:val="000C55C9"/>
    <w:rsid w:val="000C62FD"/>
    <w:rsid w:val="000C6608"/>
    <w:rsid w:val="000C6624"/>
    <w:rsid w:val="000C695F"/>
    <w:rsid w:val="000C6D0E"/>
    <w:rsid w:val="000C7086"/>
    <w:rsid w:val="000C74FA"/>
    <w:rsid w:val="000C75C2"/>
    <w:rsid w:val="000C7A5D"/>
    <w:rsid w:val="000C7AAF"/>
    <w:rsid w:val="000C7D37"/>
    <w:rsid w:val="000C7F42"/>
    <w:rsid w:val="000C7FA2"/>
    <w:rsid w:val="000D094E"/>
    <w:rsid w:val="000D099B"/>
    <w:rsid w:val="000D0AB6"/>
    <w:rsid w:val="000D0BCC"/>
    <w:rsid w:val="000D12CC"/>
    <w:rsid w:val="000D13B1"/>
    <w:rsid w:val="000D1F94"/>
    <w:rsid w:val="000D24AB"/>
    <w:rsid w:val="000D25BF"/>
    <w:rsid w:val="000D27BB"/>
    <w:rsid w:val="000D2D7B"/>
    <w:rsid w:val="000D2E0D"/>
    <w:rsid w:val="000D30CA"/>
    <w:rsid w:val="000D32C3"/>
    <w:rsid w:val="000D331B"/>
    <w:rsid w:val="000D36F4"/>
    <w:rsid w:val="000D3769"/>
    <w:rsid w:val="000D3852"/>
    <w:rsid w:val="000D39E6"/>
    <w:rsid w:val="000D44D5"/>
    <w:rsid w:val="000D47FA"/>
    <w:rsid w:val="000D4DED"/>
    <w:rsid w:val="000D4F58"/>
    <w:rsid w:val="000D501B"/>
    <w:rsid w:val="000D5033"/>
    <w:rsid w:val="000D6456"/>
    <w:rsid w:val="000D6865"/>
    <w:rsid w:val="000D69A6"/>
    <w:rsid w:val="000D711E"/>
    <w:rsid w:val="000D7264"/>
    <w:rsid w:val="000D7488"/>
    <w:rsid w:val="000D7509"/>
    <w:rsid w:val="000E0D85"/>
    <w:rsid w:val="000E17DE"/>
    <w:rsid w:val="000E1A1B"/>
    <w:rsid w:val="000E1F75"/>
    <w:rsid w:val="000E20DD"/>
    <w:rsid w:val="000E2AD6"/>
    <w:rsid w:val="000E2CB1"/>
    <w:rsid w:val="000E2CF7"/>
    <w:rsid w:val="000E325E"/>
    <w:rsid w:val="000E3283"/>
    <w:rsid w:val="000E334F"/>
    <w:rsid w:val="000E33D8"/>
    <w:rsid w:val="000E353A"/>
    <w:rsid w:val="000E35AE"/>
    <w:rsid w:val="000E363C"/>
    <w:rsid w:val="000E3BA3"/>
    <w:rsid w:val="000E3FCB"/>
    <w:rsid w:val="000E41A9"/>
    <w:rsid w:val="000E4216"/>
    <w:rsid w:val="000E4266"/>
    <w:rsid w:val="000E426D"/>
    <w:rsid w:val="000E4364"/>
    <w:rsid w:val="000E4479"/>
    <w:rsid w:val="000E4683"/>
    <w:rsid w:val="000E4924"/>
    <w:rsid w:val="000E4DCC"/>
    <w:rsid w:val="000E4E92"/>
    <w:rsid w:val="000E52CC"/>
    <w:rsid w:val="000E5300"/>
    <w:rsid w:val="000E5B95"/>
    <w:rsid w:val="000E61D2"/>
    <w:rsid w:val="000E6697"/>
    <w:rsid w:val="000E6AEE"/>
    <w:rsid w:val="000E6C2F"/>
    <w:rsid w:val="000E76A0"/>
    <w:rsid w:val="000E7986"/>
    <w:rsid w:val="000F03E0"/>
    <w:rsid w:val="000F05E1"/>
    <w:rsid w:val="000F0C2F"/>
    <w:rsid w:val="000F0C94"/>
    <w:rsid w:val="000F180A"/>
    <w:rsid w:val="000F22FF"/>
    <w:rsid w:val="000F265A"/>
    <w:rsid w:val="000F26E1"/>
    <w:rsid w:val="000F2F49"/>
    <w:rsid w:val="000F3037"/>
    <w:rsid w:val="000F3104"/>
    <w:rsid w:val="000F34A9"/>
    <w:rsid w:val="000F3716"/>
    <w:rsid w:val="000F3BDF"/>
    <w:rsid w:val="000F3DF5"/>
    <w:rsid w:val="000F48E0"/>
    <w:rsid w:val="000F494D"/>
    <w:rsid w:val="000F4BE7"/>
    <w:rsid w:val="000F4ECF"/>
    <w:rsid w:val="000F52C8"/>
    <w:rsid w:val="000F55D2"/>
    <w:rsid w:val="000F59B3"/>
    <w:rsid w:val="000F5B4E"/>
    <w:rsid w:val="000F61E7"/>
    <w:rsid w:val="000F6382"/>
    <w:rsid w:val="000F6438"/>
    <w:rsid w:val="000F65E7"/>
    <w:rsid w:val="000F6C13"/>
    <w:rsid w:val="000F7158"/>
    <w:rsid w:val="000F7BB7"/>
    <w:rsid w:val="000F7F26"/>
    <w:rsid w:val="0010023B"/>
    <w:rsid w:val="001002CF"/>
    <w:rsid w:val="00100AD0"/>
    <w:rsid w:val="00100AD9"/>
    <w:rsid w:val="00100C07"/>
    <w:rsid w:val="00100E68"/>
    <w:rsid w:val="001011E1"/>
    <w:rsid w:val="001011E7"/>
    <w:rsid w:val="0010130B"/>
    <w:rsid w:val="00101519"/>
    <w:rsid w:val="00101534"/>
    <w:rsid w:val="0010169B"/>
    <w:rsid w:val="001017D8"/>
    <w:rsid w:val="00101977"/>
    <w:rsid w:val="00101FD2"/>
    <w:rsid w:val="0010218A"/>
    <w:rsid w:val="00102224"/>
    <w:rsid w:val="00102685"/>
    <w:rsid w:val="00102D36"/>
    <w:rsid w:val="0010300A"/>
    <w:rsid w:val="001031B3"/>
    <w:rsid w:val="001031B7"/>
    <w:rsid w:val="001036A6"/>
    <w:rsid w:val="00103A87"/>
    <w:rsid w:val="00103DD6"/>
    <w:rsid w:val="00103E88"/>
    <w:rsid w:val="00103ED3"/>
    <w:rsid w:val="00103EEF"/>
    <w:rsid w:val="001048BA"/>
    <w:rsid w:val="0010497F"/>
    <w:rsid w:val="00104C98"/>
    <w:rsid w:val="00104DE5"/>
    <w:rsid w:val="0010526A"/>
    <w:rsid w:val="001055E6"/>
    <w:rsid w:val="0010587D"/>
    <w:rsid w:val="00105AB1"/>
    <w:rsid w:val="00105C2B"/>
    <w:rsid w:val="00106711"/>
    <w:rsid w:val="00106CCD"/>
    <w:rsid w:val="0010721D"/>
    <w:rsid w:val="001072BE"/>
    <w:rsid w:val="00107852"/>
    <w:rsid w:val="00107FB9"/>
    <w:rsid w:val="0011056D"/>
    <w:rsid w:val="00110674"/>
    <w:rsid w:val="00110AF3"/>
    <w:rsid w:val="00110C75"/>
    <w:rsid w:val="0011113C"/>
    <w:rsid w:val="00111288"/>
    <w:rsid w:val="00111357"/>
    <w:rsid w:val="001116E5"/>
    <w:rsid w:val="001118A8"/>
    <w:rsid w:val="00111E73"/>
    <w:rsid w:val="00111F1F"/>
    <w:rsid w:val="0011227D"/>
    <w:rsid w:val="00112618"/>
    <w:rsid w:val="001126A8"/>
    <w:rsid w:val="001127A4"/>
    <w:rsid w:val="001128E0"/>
    <w:rsid w:val="001128FC"/>
    <w:rsid w:val="0011390B"/>
    <w:rsid w:val="00113E4F"/>
    <w:rsid w:val="00113F61"/>
    <w:rsid w:val="001141DE"/>
    <w:rsid w:val="00114348"/>
    <w:rsid w:val="001143E9"/>
    <w:rsid w:val="0011467E"/>
    <w:rsid w:val="001146DB"/>
    <w:rsid w:val="00114BD0"/>
    <w:rsid w:val="00114CA2"/>
    <w:rsid w:val="00114F8A"/>
    <w:rsid w:val="00115037"/>
    <w:rsid w:val="00115723"/>
    <w:rsid w:val="001158A2"/>
    <w:rsid w:val="001160A0"/>
    <w:rsid w:val="0011628F"/>
    <w:rsid w:val="001168FB"/>
    <w:rsid w:val="00116C60"/>
    <w:rsid w:val="00116CBD"/>
    <w:rsid w:val="00117245"/>
    <w:rsid w:val="00117341"/>
    <w:rsid w:val="0011743F"/>
    <w:rsid w:val="00117A4A"/>
    <w:rsid w:val="00117B56"/>
    <w:rsid w:val="00117B6F"/>
    <w:rsid w:val="00117C54"/>
    <w:rsid w:val="00117F62"/>
    <w:rsid w:val="001201FB"/>
    <w:rsid w:val="00120249"/>
    <w:rsid w:val="0012045C"/>
    <w:rsid w:val="001204EE"/>
    <w:rsid w:val="001206FC"/>
    <w:rsid w:val="00120A14"/>
    <w:rsid w:val="00120E8F"/>
    <w:rsid w:val="00120EA7"/>
    <w:rsid w:val="00120EDB"/>
    <w:rsid w:val="00120F4B"/>
    <w:rsid w:val="0012100A"/>
    <w:rsid w:val="0012136D"/>
    <w:rsid w:val="001216ED"/>
    <w:rsid w:val="00121D61"/>
    <w:rsid w:val="00122629"/>
    <w:rsid w:val="0012279B"/>
    <w:rsid w:val="001229B1"/>
    <w:rsid w:val="00122D67"/>
    <w:rsid w:val="00122FBE"/>
    <w:rsid w:val="00123510"/>
    <w:rsid w:val="001235E1"/>
    <w:rsid w:val="001239DC"/>
    <w:rsid w:val="00123C45"/>
    <w:rsid w:val="00123D2C"/>
    <w:rsid w:val="00123E03"/>
    <w:rsid w:val="00124221"/>
    <w:rsid w:val="0012473C"/>
    <w:rsid w:val="00124B07"/>
    <w:rsid w:val="00124BCC"/>
    <w:rsid w:val="001250FD"/>
    <w:rsid w:val="00125331"/>
    <w:rsid w:val="00125551"/>
    <w:rsid w:val="0012558D"/>
    <w:rsid w:val="00125C69"/>
    <w:rsid w:val="001263EB"/>
    <w:rsid w:val="0012681B"/>
    <w:rsid w:val="00126933"/>
    <w:rsid w:val="00126D4A"/>
    <w:rsid w:val="00126EFE"/>
    <w:rsid w:val="00127103"/>
    <w:rsid w:val="001273CB"/>
    <w:rsid w:val="001274CB"/>
    <w:rsid w:val="00127748"/>
    <w:rsid w:val="00127B3D"/>
    <w:rsid w:val="00127E59"/>
    <w:rsid w:val="0013022F"/>
    <w:rsid w:val="001302AE"/>
    <w:rsid w:val="001306FC"/>
    <w:rsid w:val="00130DC2"/>
    <w:rsid w:val="00130EAA"/>
    <w:rsid w:val="00130FC6"/>
    <w:rsid w:val="00131311"/>
    <w:rsid w:val="0013144C"/>
    <w:rsid w:val="0013154C"/>
    <w:rsid w:val="001316F1"/>
    <w:rsid w:val="00131FC8"/>
    <w:rsid w:val="0013204A"/>
    <w:rsid w:val="00132875"/>
    <w:rsid w:val="001329D5"/>
    <w:rsid w:val="00132A98"/>
    <w:rsid w:val="00132BAD"/>
    <w:rsid w:val="0013334F"/>
    <w:rsid w:val="00133490"/>
    <w:rsid w:val="00134B7A"/>
    <w:rsid w:val="0013517A"/>
    <w:rsid w:val="001351F4"/>
    <w:rsid w:val="00135CC1"/>
    <w:rsid w:val="00135E0F"/>
    <w:rsid w:val="00135EF2"/>
    <w:rsid w:val="001361E1"/>
    <w:rsid w:val="00136487"/>
    <w:rsid w:val="001365E1"/>
    <w:rsid w:val="0013679B"/>
    <w:rsid w:val="0013687B"/>
    <w:rsid w:val="00136A61"/>
    <w:rsid w:val="001371BA"/>
    <w:rsid w:val="0013754B"/>
    <w:rsid w:val="00137C26"/>
    <w:rsid w:val="00140307"/>
    <w:rsid w:val="0014059F"/>
    <w:rsid w:val="001407A0"/>
    <w:rsid w:val="00140D45"/>
    <w:rsid w:val="00141037"/>
    <w:rsid w:val="001414A3"/>
    <w:rsid w:val="001415A6"/>
    <w:rsid w:val="0014166F"/>
    <w:rsid w:val="001416DF"/>
    <w:rsid w:val="00142212"/>
    <w:rsid w:val="0014233F"/>
    <w:rsid w:val="00143396"/>
    <w:rsid w:val="00143B6E"/>
    <w:rsid w:val="00143CB4"/>
    <w:rsid w:val="00143D0D"/>
    <w:rsid w:val="00143DEC"/>
    <w:rsid w:val="00143E4D"/>
    <w:rsid w:val="00143E64"/>
    <w:rsid w:val="001449DF"/>
    <w:rsid w:val="00144D5C"/>
    <w:rsid w:val="00145AB1"/>
    <w:rsid w:val="00146202"/>
    <w:rsid w:val="0014688F"/>
    <w:rsid w:val="00146993"/>
    <w:rsid w:val="00146A02"/>
    <w:rsid w:val="00146AFC"/>
    <w:rsid w:val="00146C5F"/>
    <w:rsid w:val="00146EBB"/>
    <w:rsid w:val="00147456"/>
    <w:rsid w:val="00147C46"/>
    <w:rsid w:val="00147CA9"/>
    <w:rsid w:val="00147F6D"/>
    <w:rsid w:val="00147F79"/>
    <w:rsid w:val="0015002B"/>
    <w:rsid w:val="00150215"/>
    <w:rsid w:val="001502AE"/>
    <w:rsid w:val="001504CA"/>
    <w:rsid w:val="00150899"/>
    <w:rsid w:val="00150B9F"/>
    <w:rsid w:val="00150BC8"/>
    <w:rsid w:val="00150D74"/>
    <w:rsid w:val="00150FB5"/>
    <w:rsid w:val="00151664"/>
    <w:rsid w:val="001524DF"/>
    <w:rsid w:val="0015263D"/>
    <w:rsid w:val="00152DDD"/>
    <w:rsid w:val="00152F97"/>
    <w:rsid w:val="00153240"/>
    <w:rsid w:val="001535AA"/>
    <w:rsid w:val="001539DF"/>
    <w:rsid w:val="00153A2E"/>
    <w:rsid w:val="00153B22"/>
    <w:rsid w:val="00153CED"/>
    <w:rsid w:val="001540C2"/>
    <w:rsid w:val="00154172"/>
    <w:rsid w:val="0015437A"/>
    <w:rsid w:val="00154550"/>
    <w:rsid w:val="00154F12"/>
    <w:rsid w:val="00155915"/>
    <w:rsid w:val="00155D82"/>
    <w:rsid w:val="0015683C"/>
    <w:rsid w:val="00156D10"/>
    <w:rsid w:val="001571FF"/>
    <w:rsid w:val="0015721D"/>
    <w:rsid w:val="00157224"/>
    <w:rsid w:val="0015741E"/>
    <w:rsid w:val="001579E6"/>
    <w:rsid w:val="00157AEB"/>
    <w:rsid w:val="00157F93"/>
    <w:rsid w:val="00160378"/>
    <w:rsid w:val="001603D6"/>
    <w:rsid w:val="00161891"/>
    <w:rsid w:val="00161AF9"/>
    <w:rsid w:val="00161B5B"/>
    <w:rsid w:val="001620AF"/>
    <w:rsid w:val="0016213E"/>
    <w:rsid w:val="001621B3"/>
    <w:rsid w:val="00162248"/>
    <w:rsid w:val="001629CA"/>
    <w:rsid w:val="00162B64"/>
    <w:rsid w:val="00162BBB"/>
    <w:rsid w:val="0016305C"/>
    <w:rsid w:val="001631E3"/>
    <w:rsid w:val="0016353A"/>
    <w:rsid w:val="00163C05"/>
    <w:rsid w:val="00163E82"/>
    <w:rsid w:val="00163FD6"/>
    <w:rsid w:val="0016412E"/>
    <w:rsid w:val="001642C0"/>
    <w:rsid w:val="001642D5"/>
    <w:rsid w:val="00164819"/>
    <w:rsid w:val="00164C0A"/>
    <w:rsid w:val="00164F12"/>
    <w:rsid w:val="00165085"/>
    <w:rsid w:val="00165A48"/>
    <w:rsid w:val="00166260"/>
    <w:rsid w:val="0016675A"/>
    <w:rsid w:val="0016681E"/>
    <w:rsid w:val="00166F15"/>
    <w:rsid w:val="00167243"/>
    <w:rsid w:val="001674C0"/>
    <w:rsid w:val="0016750F"/>
    <w:rsid w:val="00167F39"/>
    <w:rsid w:val="001702DD"/>
    <w:rsid w:val="00170494"/>
    <w:rsid w:val="00170AB7"/>
    <w:rsid w:val="00170BDE"/>
    <w:rsid w:val="00170E21"/>
    <w:rsid w:val="001711CC"/>
    <w:rsid w:val="0017137C"/>
    <w:rsid w:val="00171503"/>
    <w:rsid w:val="001718D9"/>
    <w:rsid w:val="00171AD6"/>
    <w:rsid w:val="00171CC3"/>
    <w:rsid w:val="00171E82"/>
    <w:rsid w:val="00171F50"/>
    <w:rsid w:val="001721EC"/>
    <w:rsid w:val="00172414"/>
    <w:rsid w:val="00172746"/>
    <w:rsid w:val="00172979"/>
    <w:rsid w:val="00172F16"/>
    <w:rsid w:val="00173A1D"/>
    <w:rsid w:val="00173C75"/>
    <w:rsid w:val="00173DD1"/>
    <w:rsid w:val="00174312"/>
    <w:rsid w:val="001749C7"/>
    <w:rsid w:val="00175220"/>
    <w:rsid w:val="0017535F"/>
    <w:rsid w:val="001753C3"/>
    <w:rsid w:val="001758E1"/>
    <w:rsid w:val="00175A7E"/>
    <w:rsid w:val="00175E8E"/>
    <w:rsid w:val="00176100"/>
    <w:rsid w:val="00176402"/>
    <w:rsid w:val="00176469"/>
    <w:rsid w:val="001767F3"/>
    <w:rsid w:val="00176B30"/>
    <w:rsid w:val="00176E12"/>
    <w:rsid w:val="00177780"/>
    <w:rsid w:val="00177B46"/>
    <w:rsid w:val="00177DB2"/>
    <w:rsid w:val="0018002C"/>
    <w:rsid w:val="00180EA4"/>
    <w:rsid w:val="00181451"/>
    <w:rsid w:val="00181F73"/>
    <w:rsid w:val="00181F94"/>
    <w:rsid w:val="00182253"/>
    <w:rsid w:val="00182684"/>
    <w:rsid w:val="001826B1"/>
    <w:rsid w:val="00182860"/>
    <w:rsid w:val="00182930"/>
    <w:rsid w:val="00182E44"/>
    <w:rsid w:val="0018328F"/>
    <w:rsid w:val="00183325"/>
    <w:rsid w:val="00183754"/>
    <w:rsid w:val="00183A76"/>
    <w:rsid w:val="00183B36"/>
    <w:rsid w:val="00183B89"/>
    <w:rsid w:val="0018403B"/>
    <w:rsid w:val="001840AD"/>
    <w:rsid w:val="00184268"/>
    <w:rsid w:val="00184384"/>
    <w:rsid w:val="001843EA"/>
    <w:rsid w:val="00184744"/>
    <w:rsid w:val="00184BCB"/>
    <w:rsid w:val="00184F7D"/>
    <w:rsid w:val="001852A9"/>
    <w:rsid w:val="00185455"/>
    <w:rsid w:val="001857CF"/>
    <w:rsid w:val="00185DF2"/>
    <w:rsid w:val="00186AC5"/>
    <w:rsid w:val="00186F26"/>
    <w:rsid w:val="00186F53"/>
    <w:rsid w:val="00186FCD"/>
    <w:rsid w:val="00187208"/>
    <w:rsid w:val="0018721E"/>
    <w:rsid w:val="00187254"/>
    <w:rsid w:val="0018754D"/>
    <w:rsid w:val="00187564"/>
    <w:rsid w:val="001900B1"/>
    <w:rsid w:val="001905C0"/>
    <w:rsid w:val="00190B67"/>
    <w:rsid w:val="00190BBE"/>
    <w:rsid w:val="00190BDA"/>
    <w:rsid w:val="00191284"/>
    <w:rsid w:val="00191329"/>
    <w:rsid w:val="00191445"/>
    <w:rsid w:val="00191712"/>
    <w:rsid w:val="0019190A"/>
    <w:rsid w:val="00191C4E"/>
    <w:rsid w:val="00192133"/>
    <w:rsid w:val="0019265A"/>
    <w:rsid w:val="00192934"/>
    <w:rsid w:val="00192BD9"/>
    <w:rsid w:val="001931C4"/>
    <w:rsid w:val="00193652"/>
    <w:rsid w:val="001937A3"/>
    <w:rsid w:val="001946DE"/>
    <w:rsid w:val="00194AAF"/>
    <w:rsid w:val="001957C6"/>
    <w:rsid w:val="001957C8"/>
    <w:rsid w:val="00195920"/>
    <w:rsid w:val="001959D7"/>
    <w:rsid w:val="00195F15"/>
    <w:rsid w:val="00196B97"/>
    <w:rsid w:val="00196EE5"/>
    <w:rsid w:val="00197000"/>
    <w:rsid w:val="0019721F"/>
    <w:rsid w:val="00197FE9"/>
    <w:rsid w:val="001A0DD9"/>
    <w:rsid w:val="001A1538"/>
    <w:rsid w:val="001A1942"/>
    <w:rsid w:val="001A1D4B"/>
    <w:rsid w:val="001A2665"/>
    <w:rsid w:val="001A3250"/>
    <w:rsid w:val="001A332C"/>
    <w:rsid w:val="001A3504"/>
    <w:rsid w:val="001A3B54"/>
    <w:rsid w:val="001A3F9A"/>
    <w:rsid w:val="001A4082"/>
    <w:rsid w:val="001A41AC"/>
    <w:rsid w:val="001A45EE"/>
    <w:rsid w:val="001A487B"/>
    <w:rsid w:val="001A52B2"/>
    <w:rsid w:val="001A5C66"/>
    <w:rsid w:val="001A5D20"/>
    <w:rsid w:val="001A604A"/>
    <w:rsid w:val="001A6103"/>
    <w:rsid w:val="001A73A4"/>
    <w:rsid w:val="001A7580"/>
    <w:rsid w:val="001A77F6"/>
    <w:rsid w:val="001A78BE"/>
    <w:rsid w:val="001B08DC"/>
    <w:rsid w:val="001B09CA"/>
    <w:rsid w:val="001B0F84"/>
    <w:rsid w:val="001B1057"/>
    <w:rsid w:val="001B1497"/>
    <w:rsid w:val="001B15F6"/>
    <w:rsid w:val="001B1689"/>
    <w:rsid w:val="001B1C4A"/>
    <w:rsid w:val="001B1D26"/>
    <w:rsid w:val="001B22E6"/>
    <w:rsid w:val="001B26A4"/>
    <w:rsid w:val="001B26CD"/>
    <w:rsid w:val="001B28D2"/>
    <w:rsid w:val="001B2F11"/>
    <w:rsid w:val="001B3038"/>
    <w:rsid w:val="001B31FE"/>
    <w:rsid w:val="001B332A"/>
    <w:rsid w:val="001B3436"/>
    <w:rsid w:val="001B36E3"/>
    <w:rsid w:val="001B38EA"/>
    <w:rsid w:val="001B3D0C"/>
    <w:rsid w:val="001B4C5E"/>
    <w:rsid w:val="001B5156"/>
    <w:rsid w:val="001B523A"/>
    <w:rsid w:val="001B54C5"/>
    <w:rsid w:val="001B5E36"/>
    <w:rsid w:val="001B60FB"/>
    <w:rsid w:val="001B6109"/>
    <w:rsid w:val="001B6A1E"/>
    <w:rsid w:val="001B7012"/>
    <w:rsid w:val="001B7AEB"/>
    <w:rsid w:val="001C08EB"/>
    <w:rsid w:val="001C0F3C"/>
    <w:rsid w:val="001C10C6"/>
    <w:rsid w:val="001C11DD"/>
    <w:rsid w:val="001C128D"/>
    <w:rsid w:val="001C1419"/>
    <w:rsid w:val="001C1747"/>
    <w:rsid w:val="001C181C"/>
    <w:rsid w:val="001C1BD5"/>
    <w:rsid w:val="001C2A4B"/>
    <w:rsid w:val="001C2C4F"/>
    <w:rsid w:val="001C2C99"/>
    <w:rsid w:val="001C3642"/>
    <w:rsid w:val="001C3851"/>
    <w:rsid w:val="001C47A1"/>
    <w:rsid w:val="001C4863"/>
    <w:rsid w:val="001C4DC5"/>
    <w:rsid w:val="001C5898"/>
    <w:rsid w:val="001C59EF"/>
    <w:rsid w:val="001C5E87"/>
    <w:rsid w:val="001C6080"/>
    <w:rsid w:val="001C6714"/>
    <w:rsid w:val="001C69E1"/>
    <w:rsid w:val="001C6D0F"/>
    <w:rsid w:val="001C7217"/>
    <w:rsid w:val="001C795F"/>
    <w:rsid w:val="001D01DA"/>
    <w:rsid w:val="001D01E0"/>
    <w:rsid w:val="001D04B3"/>
    <w:rsid w:val="001D07EF"/>
    <w:rsid w:val="001D0D8E"/>
    <w:rsid w:val="001D10FB"/>
    <w:rsid w:val="001D11D4"/>
    <w:rsid w:val="001D176C"/>
    <w:rsid w:val="001D1D8A"/>
    <w:rsid w:val="001D1E1B"/>
    <w:rsid w:val="001D1E80"/>
    <w:rsid w:val="001D22F7"/>
    <w:rsid w:val="001D29F0"/>
    <w:rsid w:val="001D2F1E"/>
    <w:rsid w:val="001D370C"/>
    <w:rsid w:val="001D3841"/>
    <w:rsid w:val="001D3A14"/>
    <w:rsid w:val="001D3DEB"/>
    <w:rsid w:val="001D3EBA"/>
    <w:rsid w:val="001D4412"/>
    <w:rsid w:val="001D45B7"/>
    <w:rsid w:val="001D469F"/>
    <w:rsid w:val="001D4F2A"/>
    <w:rsid w:val="001D52E5"/>
    <w:rsid w:val="001D5BBA"/>
    <w:rsid w:val="001D6366"/>
    <w:rsid w:val="001D6B91"/>
    <w:rsid w:val="001D6FE4"/>
    <w:rsid w:val="001D735C"/>
    <w:rsid w:val="001D753E"/>
    <w:rsid w:val="001D7B51"/>
    <w:rsid w:val="001D7D48"/>
    <w:rsid w:val="001E0457"/>
    <w:rsid w:val="001E056A"/>
    <w:rsid w:val="001E0757"/>
    <w:rsid w:val="001E13FB"/>
    <w:rsid w:val="001E1C74"/>
    <w:rsid w:val="001E26A9"/>
    <w:rsid w:val="001E2A0B"/>
    <w:rsid w:val="001E2CCD"/>
    <w:rsid w:val="001E32C6"/>
    <w:rsid w:val="001E3802"/>
    <w:rsid w:val="001E3B25"/>
    <w:rsid w:val="001E4055"/>
    <w:rsid w:val="001E4547"/>
    <w:rsid w:val="001E48E5"/>
    <w:rsid w:val="001E4FCD"/>
    <w:rsid w:val="001E50C1"/>
    <w:rsid w:val="001E5619"/>
    <w:rsid w:val="001E5708"/>
    <w:rsid w:val="001E57FC"/>
    <w:rsid w:val="001E5BA6"/>
    <w:rsid w:val="001E5CAC"/>
    <w:rsid w:val="001E5E54"/>
    <w:rsid w:val="001E643F"/>
    <w:rsid w:val="001E6A84"/>
    <w:rsid w:val="001E7059"/>
    <w:rsid w:val="001E7166"/>
    <w:rsid w:val="001E71EC"/>
    <w:rsid w:val="001E730E"/>
    <w:rsid w:val="001E739D"/>
    <w:rsid w:val="001E742E"/>
    <w:rsid w:val="001E7632"/>
    <w:rsid w:val="001E77E2"/>
    <w:rsid w:val="001E77E5"/>
    <w:rsid w:val="001E78C1"/>
    <w:rsid w:val="001E7A1C"/>
    <w:rsid w:val="001E7B8F"/>
    <w:rsid w:val="001E7E8B"/>
    <w:rsid w:val="001E7F63"/>
    <w:rsid w:val="001F0064"/>
    <w:rsid w:val="001F02F1"/>
    <w:rsid w:val="001F0525"/>
    <w:rsid w:val="001F05AB"/>
    <w:rsid w:val="001F0996"/>
    <w:rsid w:val="001F09F2"/>
    <w:rsid w:val="001F0BC9"/>
    <w:rsid w:val="001F0D0F"/>
    <w:rsid w:val="001F0F10"/>
    <w:rsid w:val="001F1071"/>
    <w:rsid w:val="001F17DB"/>
    <w:rsid w:val="001F1B6A"/>
    <w:rsid w:val="001F23CA"/>
    <w:rsid w:val="001F278D"/>
    <w:rsid w:val="001F2F82"/>
    <w:rsid w:val="001F3870"/>
    <w:rsid w:val="001F3B44"/>
    <w:rsid w:val="001F4664"/>
    <w:rsid w:val="001F48D2"/>
    <w:rsid w:val="001F495C"/>
    <w:rsid w:val="001F496C"/>
    <w:rsid w:val="001F4A51"/>
    <w:rsid w:val="001F4BD7"/>
    <w:rsid w:val="001F5566"/>
    <w:rsid w:val="001F57DC"/>
    <w:rsid w:val="001F597A"/>
    <w:rsid w:val="001F5AA1"/>
    <w:rsid w:val="001F604C"/>
    <w:rsid w:val="001F6597"/>
    <w:rsid w:val="001F6B09"/>
    <w:rsid w:val="001F71E8"/>
    <w:rsid w:val="001F72C1"/>
    <w:rsid w:val="001F75A8"/>
    <w:rsid w:val="002001B2"/>
    <w:rsid w:val="0020045A"/>
    <w:rsid w:val="00200792"/>
    <w:rsid w:val="00200A26"/>
    <w:rsid w:val="00200C9E"/>
    <w:rsid w:val="00200D1D"/>
    <w:rsid w:val="0020130B"/>
    <w:rsid w:val="00201352"/>
    <w:rsid w:val="0020160A"/>
    <w:rsid w:val="00201AF5"/>
    <w:rsid w:val="00201B92"/>
    <w:rsid w:val="00201F26"/>
    <w:rsid w:val="00202244"/>
    <w:rsid w:val="002025B2"/>
    <w:rsid w:val="002028B9"/>
    <w:rsid w:val="00202E63"/>
    <w:rsid w:val="00202E7C"/>
    <w:rsid w:val="002031E2"/>
    <w:rsid w:val="00203279"/>
    <w:rsid w:val="002034FF"/>
    <w:rsid w:val="002037DD"/>
    <w:rsid w:val="00204316"/>
    <w:rsid w:val="00204534"/>
    <w:rsid w:val="00204628"/>
    <w:rsid w:val="00204967"/>
    <w:rsid w:val="0020506A"/>
    <w:rsid w:val="0020578A"/>
    <w:rsid w:val="00205871"/>
    <w:rsid w:val="00205B0C"/>
    <w:rsid w:val="00205D5C"/>
    <w:rsid w:val="00206350"/>
    <w:rsid w:val="002106E1"/>
    <w:rsid w:val="00210801"/>
    <w:rsid w:val="00210A27"/>
    <w:rsid w:val="0021125D"/>
    <w:rsid w:val="002114CA"/>
    <w:rsid w:val="002116A2"/>
    <w:rsid w:val="00212013"/>
    <w:rsid w:val="00212A33"/>
    <w:rsid w:val="00212D7A"/>
    <w:rsid w:val="00213686"/>
    <w:rsid w:val="00213F54"/>
    <w:rsid w:val="00214B0C"/>
    <w:rsid w:val="00215026"/>
    <w:rsid w:val="00215250"/>
    <w:rsid w:val="0021540C"/>
    <w:rsid w:val="0021593F"/>
    <w:rsid w:val="002163F4"/>
    <w:rsid w:val="002168EA"/>
    <w:rsid w:val="00216962"/>
    <w:rsid w:val="00216C3E"/>
    <w:rsid w:val="00216E20"/>
    <w:rsid w:val="00216EDE"/>
    <w:rsid w:val="00217BA1"/>
    <w:rsid w:val="0022009C"/>
    <w:rsid w:val="002200AD"/>
    <w:rsid w:val="002203AE"/>
    <w:rsid w:val="002204A4"/>
    <w:rsid w:val="00220976"/>
    <w:rsid w:val="00220BA7"/>
    <w:rsid w:val="00220DE1"/>
    <w:rsid w:val="002210E5"/>
    <w:rsid w:val="00221732"/>
    <w:rsid w:val="00221A92"/>
    <w:rsid w:val="00221DCA"/>
    <w:rsid w:val="00221E02"/>
    <w:rsid w:val="002227B4"/>
    <w:rsid w:val="00223036"/>
    <w:rsid w:val="00223AB3"/>
    <w:rsid w:val="00223F9C"/>
    <w:rsid w:val="00224044"/>
    <w:rsid w:val="00224348"/>
    <w:rsid w:val="00224546"/>
    <w:rsid w:val="00225217"/>
    <w:rsid w:val="0022528E"/>
    <w:rsid w:val="002255C6"/>
    <w:rsid w:val="002256F7"/>
    <w:rsid w:val="002261AE"/>
    <w:rsid w:val="00226410"/>
    <w:rsid w:val="002265BE"/>
    <w:rsid w:val="002266BC"/>
    <w:rsid w:val="00226776"/>
    <w:rsid w:val="00226B31"/>
    <w:rsid w:val="002272ED"/>
    <w:rsid w:val="002275C2"/>
    <w:rsid w:val="002276F5"/>
    <w:rsid w:val="002277E4"/>
    <w:rsid w:val="00227C2C"/>
    <w:rsid w:val="00227DAF"/>
    <w:rsid w:val="002302F7"/>
    <w:rsid w:val="002302F9"/>
    <w:rsid w:val="0023051E"/>
    <w:rsid w:val="002307B9"/>
    <w:rsid w:val="00230B62"/>
    <w:rsid w:val="00231315"/>
    <w:rsid w:val="00231799"/>
    <w:rsid w:val="0023220D"/>
    <w:rsid w:val="002324A0"/>
    <w:rsid w:val="0023287D"/>
    <w:rsid w:val="002329C2"/>
    <w:rsid w:val="00232BD9"/>
    <w:rsid w:val="00232DE0"/>
    <w:rsid w:val="00232F37"/>
    <w:rsid w:val="0023311E"/>
    <w:rsid w:val="002332F2"/>
    <w:rsid w:val="00233346"/>
    <w:rsid w:val="0023397A"/>
    <w:rsid w:val="00233A07"/>
    <w:rsid w:val="002342B7"/>
    <w:rsid w:val="00234333"/>
    <w:rsid w:val="00234489"/>
    <w:rsid w:val="00234644"/>
    <w:rsid w:val="00234828"/>
    <w:rsid w:val="002348DC"/>
    <w:rsid w:val="00235167"/>
    <w:rsid w:val="00235279"/>
    <w:rsid w:val="0023538B"/>
    <w:rsid w:val="0023539B"/>
    <w:rsid w:val="00235F3E"/>
    <w:rsid w:val="00236104"/>
    <w:rsid w:val="00236353"/>
    <w:rsid w:val="00236684"/>
    <w:rsid w:val="002369BE"/>
    <w:rsid w:val="00236B13"/>
    <w:rsid w:val="00236B7D"/>
    <w:rsid w:val="00237896"/>
    <w:rsid w:val="0024028E"/>
    <w:rsid w:val="002403DB"/>
    <w:rsid w:val="0024050D"/>
    <w:rsid w:val="002406D6"/>
    <w:rsid w:val="00240752"/>
    <w:rsid w:val="00240DAF"/>
    <w:rsid w:val="00240E5A"/>
    <w:rsid w:val="00240EFD"/>
    <w:rsid w:val="00241255"/>
    <w:rsid w:val="0024164C"/>
    <w:rsid w:val="0024168A"/>
    <w:rsid w:val="0024190F"/>
    <w:rsid w:val="002420FF"/>
    <w:rsid w:val="00242384"/>
    <w:rsid w:val="002423FD"/>
    <w:rsid w:val="002424FE"/>
    <w:rsid w:val="002426F4"/>
    <w:rsid w:val="00242D65"/>
    <w:rsid w:val="00242FE3"/>
    <w:rsid w:val="00243105"/>
    <w:rsid w:val="002432E8"/>
    <w:rsid w:val="002436C7"/>
    <w:rsid w:val="00243C72"/>
    <w:rsid w:val="00243F2B"/>
    <w:rsid w:val="002446B5"/>
    <w:rsid w:val="00245C45"/>
    <w:rsid w:val="00245DAE"/>
    <w:rsid w:val="0024630C"/>
    <w:rsid w:val="00246749"/>
    <w:rsid w:val="00246BDB"/>
    <w:rsid w:val="00247FE6"/>
    <w:rsid w:val="00250035"/>
    <w:rsid w:val="002504A7"/>
    <w:rsid w:val="0025072E"/>
    <w:rsid w:val="002507D5"/>
    <w:rsid w:val="00250D86"/>
    <w:rsid w:val="00250F2D"/>
    <w:rsid w:val="00251132"/>
    <w:rsid w:val="00251351"/>
    <w:rsid w:val="00251826"/>
    <w:rsid w:val="00251B6D"/>
    <w:rsid w:val="00251DAB"/>
    <w:rsid w:val="002522C2"/>
    <w:rsid w:val="00252527"/>
    <w:rsid w:val="00252B5E"/>
    <w:rsid w:val="00252BA5"/>
    <w:rsid w:val="00252BC4"/>
    <w:rsid w:val="0025303C"/>
    <w:rsid w:val="002532CD"/>
    <w:rsid w:val="002537E4"/>
    <w:rsid w:val="00253A56"/>
    <w:rsid w:val="00253AB7"/>
    <w:rsid w:val="0025419D"/>
    <w:rsid w:val="00254286"/>
    <w:rsid w:val="002542F6"/>
    <w:rsid w:val="00254A92"/>
    <w:rsid w:val="00254BB6"/>
    <w:rsid w:val="00254FF7"/>
    <w:rsid w:val="002552CF"/>
    <w:rsid w:val="0025532D"/>
    <w:rsid w:val="002558C1"/>
    <w:rsid w:val="00255ED6"/>
    <w:rsid w:val="0025686C"/>
    <w:rsid w:val="00256BC5"/>
    <w:rsid w:val="002571B8"/>
    <w:rsid w:val="00257805"/>
    <w:rsid w:val="00257A66"/>
    <w:rsid w:val="00257B4D"/>
    <w:rsid w:val="00257CD1"/>
    <w:rsid w:val="00257CDE"/>
    <w:rsid w:val="00257E22"/>
    <w:rsid w:val="00257F1A"/>
    <w:rsid w:val="00260EC7"/>
    <w:rsid w:val="002614FE"/>
    <w:rsid w:val="00262450"/>
    <w:rsid w:val="002625B1"/>
    <w:rsid w:val="0026267C"/>
    <w:rsid w:val="00262745"/>
    <w:rsid w:val="002629D6"/>
    <w:rsid w:val="00262C70"/>
    <w:rsid w:val="00262FB9"/>
    <w:rsid w:val="0026304F"/>
    <w:rsid w:val="002636B7"/>
    <w:rsid w:val="002639F9"/>
    <w:rsid w:val="00263CBC"/>
    <w:rsid w:val="00263F56"/>
    <w:rsid w:val="00263F5E"/>
    <w:rsid w:val="00263FA2"/>
    <w:rsid w:val="002641BA"/>
    <w:rsid w:val="002643F7"/>
    <w:rsid w:val="002647C3"/>
    <w:rsid w:val="00264DF5"/>
    <w:rsid w:val="002652D6"/>
    <w:rsid w:val="0026563D"/>
    <w:rsid w:val="002657BA"/>
    <w:rsid w:val="00265AB0"/>
    <w:rsid w:val="00265D85"/>
    <w:rsid w:val="00265F0E"/>
    <w:rsid w:val="002660EA"/>
    <w:rsid w:val="00266100"/>
    <w:rsid w:val="002661CD"/>
    <w:rsid w:val="0026623F"/>
    <w:rsid w:val="00266472"/>
    <w:rsid w:val="002665F3"/>
    <w:rsid w:val="00266A3D"/>
    <w:rsid w:val="00266CB6"/>
    <w:rsid w:val="00267437"/>
    <w:rsid w:val="00267717"/>
    <w:rsid w:val="0027012B"/>
    <w:rsid w:val="00270330"/>
    <w:rsid w:val="0027040D"/>
    <w:rsid w:val="00270A3D"/>
    <w:rsid w:val="00271675"/>
    <w:rsid w:val="00271AC8"/>
    <w:rsid w:val="00271DE0"/>
    <w:rsid w:val="0027215F"/>
    <w:rsid w:val="00272594"/>
    <w:rsid w:val="002728AF"/>
    <w:rsid w:val="00273A64"/>
    <w:rsid w:val="00273C8B"/>
    <w:rsid w:val="00273EC6"/>
    <w:rsid w:val="00274A86"/>
    <w:rsid w:val="00274BD0"/>
    <w:rsid w:val="00275125"/>
    <w:rsid w:val="002752C8"/>
    <w:rsid w:val="002752EE"/>
    <w:rsid w:val="002753DC"/>
    <w:rsid w:val="002756BE"/>
    <w:rsid w:val="00275819"/>
    <w:rsid w:val="00275A30"/>
    <w:rsid w:val="00275A73"/>
    <w:rsid w:val="00275E16"/>
    <w:rsid w:val="00276074"/>
    <w:rsid w:val="002767D6"/>
    <w:rsid w:val="00276D31"/>
    <w:rsid w:val="00277145"/>
    <w:rsid w:val="002800AE"/>
    <w:rsid w:val="00280108"/>
    <w:rsid w:val="002801A0"/>
    <w:rsid w:val="002804FA"/>
    <w:rsid w:val="00280A5B"/>
    <w:rsid w:val="00280BBE"/>
    <w:rsid w:val="00280C95"/>
    <w:rsid w:val="00280DB3"/>
    <w:rsid w:val="00280F23"/>
    <w:rsid w:val="00281262"/>
    <w:rsid w:val="002812AE"/>
    <w:rsid w:val="002812FE"/>
    <w:rsid w:val="00281CE6"/>
    <w:rsid w:val="00281FE6"/>
    <w:rsid w:val="00283192"/>
    <w:rsid w:val="00283254"/>
    <w:rsid w:val="00283A2B"/>
    <w:rsid w:val="00283BA8"/>
    <w:rsid w:val="00283EFB"/>
    <w:rsid w:val="00284199"/>
    <w:rsid w:val="00284571"/>
    <w:rsid w:val="0028487F"/>
    <w:rsid w:val="00284B77"/>
    <w:rsid w:val="00284E7D"/>
    <w:rsid w:val="00285144"/>
    <w:rsid w:val="00285331"/>
    <w:rsid w:val="002854DE"/>
    <w:rsid w:val="0028580D"/>
    <w:rsid w:val="00285A0C"/>
    <w:rsid w:val="002862F4"/>
    <w:rsid w:val="00286525"/>
    <w:rsid w:val="00286DC0"/>
    <w:rsid w:val="002878B7"/>
    <w:rsid w:val="00290523"/>
    <w:rsid w:val="002907C0"/>
    <w:rsid w:val="00290AE9"/>
    <w:rsid w:val="00290C4F"/>
    <w:rsid w:val="00290EAA"/>
    <w:rsid w:val="002912B8"/>
    <w:rsid w:val="00291C94"/>
    <w:rsid w:val="0029212B"/>
    <w:rsid w:val="002921BB"/>
    <w:rsid w:val="00292500"/>
    <w:rsid w:val="00292C17"/>
    <w:rsid w:val="00292E39"/>
    <w:rsid w:val="00293449"/>
    <w:rsid w:val="00293488"/>
    <w:rsid w:val="00293661"/>
    <w:rsid w:val="002937B3"/>
    <w:rsid w:val="00293EA2"/>
    <w:rsid w:val="00294062"/>
    <w:rsid w:val="0029411C"/>
    <w:rsid w:val="0029469C"/>
    <w:rsid w:val="002949F2"/>
    <w:rsid w:val="002951D3"/>
    <w:rsid w:val="002956BD"/>
    <w:rsid w:val="00295DBC"/>
    <w:rsid w:val="00295FFC"/>
    <w:rsid w:val="0029645B"/>
    <w:rsid w:val="002966C1"/>
    <w:rsid w:val="0029712D"/>
    <w:rsid w:val="0029732D"/>
    <w:rsid w:val="0029772C"/>
    <w:rsid w:val="002977A9"/>
    <w:rsid w:val="00297F59"/>
    <w:rsid w:val="00297F73"/>
    <w:rsid w:val="00297FF0"/>
    <w:rsid w:val="002A014F"/>
    <w:rsid w:val="002A094E"/>
    <w:rsid w:val="002A0D0B"/>
    <w:rsid w:val="002A0DC8"/>
    <w:rsid w:val="002A0F75"/>
    <w:rsid w:val="002A10CB"/>
    <w:rsid w:val="002A1626"/>
    <w:rsid w:val="002A1A21"/>
    <w:rsid w:val="002A1E9F"/>
    <w:rsid w:val="002A20E0"/>
    <w:rsid w:val="002A2123"/>
    <w:rsid w:val="002A216E"/>
    <w:rsid w:val="002A249C"/>
    <w:rsid w:val="002A31D4"/>
    <w:rsid w:val="002A3299"/>
    <w:rsid w:val="002A351A"/>
    <w:rsid w:val="002A39E7"/>
    <w:rsid w:val="002A40F4"/>
    <w:rsid w:val="002A452D"/>
    <w:rsid w:val="002A477D"/>
    <w:rsid w:val="002A496D"/>
    <w:rsid w:val="002A4AED"/>
    <w:rsid w:val="002A4C62"/>
    <w:rsid w:val="002A5DA1"/>
    <w:rsid w:val="002A5DA2"/>
    <w:rsid w:val="002A5F66"/>
    <w:rsid w:val="002A5FB0"/>
    <w:rsid w:val="002A6236"/>
    <w:rsid w:val="002A6841"/>
    <w:rsid w:val="002A69BD"/>
    <w:rsid w:val="002A6D09"/>
    <w:rsid w:val="002A7168"/>
    <w:rsid w:val="002A747D"/>
    <w:rsid w:val="002A76A7"/>
    <w:rsid w:val="002A78D6"/>
    <w:rsid w:val="002A7AB1"/>
    <w:rsid w:val="002A7E8A"/>
    <w:rsid w:val="002A7F9B"/>
    <w:rsid w:val="002B042F"/>
    <w:rsid w:val="002B0CBE"/>
    <w:rsid w:val="002B0D30"/>
    <w:rsid w:val="002B13A9"/>
    <w:rsid w:val="002B142B"/>
    <w:rsid w:val="002B1792"/>
    <w:rsid w:val="002B18FC"/>
    <w:rsid w:val="002B212D"/>
    <w:rsid w:val="002B2550"/>
    <w:rsid w:val="002B2D32"/>
    <w:rsid w:val="002B2E2B"/>
    <w:rsid w:val="002B32EC"/>
    <w:rsid w:val="002B35E5"/>
    <w:rsid w:val="002B3A6F"/>
    <w:rsid w:val="002B4081"/>
    <w:rsid w:val="002B42E0"/>
    <w:rsid w:val="002B4FE1"/>
    <w:rsid w:val="002B5548"/>
    <w:rsid w:val="002B5767"/>
    <w:rsid w:val="002B58EC"/>
    <w:rsid w:val="002B5979"/>
    <w:rsid w:val="002B5AF6"/>
    <w:rsid w:val="002B5B51"/>
    <w:rsid w:val="002B5EAB"/>
    <w:rsid w:val="002B5F3D"/>
    <w:rsid w:val="002B6248"/>
    <w:rsid w:val="002B64D4"/>
    <w:rsid w:val="002B6536"/>
    <w:rsid w:val="002B6579"/>
    <w:rsid w:val="002B657A"/>
    <w:rsid w:val="002B6A76"/>
    <w:rsid w:val="002B6A96"/>
    <w:rsid w:val="002B6B08"/>
    <w:rsid w:val="002B749B"/>
    <w:rsid w:val="002B7E65"/>
    <w:rsid w:val="002B7F95"/>
    <w:rsid w:val="002C0328"/>
    <w:rsid w:val="002C0CA0"/>
    <w:rsid w:val="002C109F"/>
    <w:rsid w:val="002C1161"/>
    <w:rsid w:val="002C11EE"/>
    <w:rsid w:val="002C1221"/>
    <w:rsid w:val="002C1DCF"/>
    <w:rsid w:val="002C24E6"/>
    <w:rsid w:val="002C254E"/>
    <w:rsid w:val="002C256F"/>
    <w:rsid w:val="002C284C"/>
    <w:rsid w:val="002C2D92"/>
    <w:rsid w:val="002C30EE"/>
    <w:rsid w:val="002C329E"/>
    <w:rsid w:val="002C336C"/>
    <w:rsid w:val="002C35E4"/>
    <w:rsid w:val="002C37C1"/>
    <w:rsid w:val="002C3C8F"/>
    <w:rsid w:val="002C3F82"/>
    <w:rsid w:val="002C412B"/>
    <w:rsid w:val="002C428D"/>
    <w:rsid w:val="002C45D0"/>
    <w:rsid w:val="002C4749"/>
    <w:rsid w:val="002C4792"/>
    <w:rsid w:val="002C492B"/>
    <w:rsid w:val="002C4B04"/>
    <w:rsid w:val="002C4B26"/>
    <w:rsid w:val="002C4DFB"/>
    <w:rsid w:val="002C4E93"/>
    <w:rsid w:val="002C4FD7"/>
    <w:rsid w:val="002C4FE8"/>
    <w:rsid w:val="002C520F"/>
    <w:rsid w:val="002C5418"/>
    <w:rsid w:val="002C544D"/>
    <w:rsid w:val="002C5DA3"/>
    <w:rsid w:val="002C6EA1"/>
    <w:rsid w:val="002C75F0"/>
    <w:rsid w:val="002C774C"/>
    <w:rsid w:val="002C798C"/>
    <w:rsid w:val="002C7C7E"/>
    <w:rsid w:val="002C7C95"/>
    <w:rsid w:val="002C7E38"/>
    <w:rsid w:val="002D06C7"/>
    <w:rsid w:val="002D0DAD"/>
    <w:rsid w:val="002D0DB5"/>
    <w:rsid w:val="002D18B2"/>
    <w:rsid w:val="002D18CE"/>
    <w:rsid w:val="002D1D9B"/>
    <w:rsid w:val="002D2A78"/>
    <w:rsid w:val="002D31E4"/>
    <w:rsid w:val="002D339F"/>
    <w:rsid w:val="002D41DE"/>
    <w:rsid w:val="002D423B"/>
    <w:rsid w:val="002D4371"/>
    <w:rsid w:val="002D494C"/>
    <w:rsid w:val="002D5410"/>
    <w:rsid w:val="002D55BA"/>
    <w:rsid w:val="002D5DB4"/>
    <w:rsid w:val="002D5E88"/>
    <w:rsid w:val="002D66DD"/>
    <w:rsid w:val="002D6703"/>
    <w:rsid w:val="002D6D54"/>
    <w:rsid w:val="002D6EAA"/>
    <w:rsid w:val="002D7265"/>
    <w:rsid w:val="002E012E"/>
    <w:rsid w:val="002E0228"/>
    <w:rsid w:val="002E07A2"/>
    <w:rsid w:val="002E08CD"/>
    <w:rsid w:val="002E0E48"/>
    <w:rsid w:val="002E133B"/>
    <w:rsid w:val="002E1C1B"/>
    <w:rsid w:val="002E22D0"/>
    <w:rsid w:val="002E23F5"/>
    <w:rsid w:val="002E2418"/>
    <w:rsid w:val="002E2935"/>
    <w:rsid w:val="002E2944"/>
    <w:rsid w:val="002E29BD"/>
    <w:rsid w:val="002E2C65"/>
    <w:rsid w:val="002E2E41"/>
    <w:rsid w:val="002E3228"/>
    <w:rsid w:val="002E37B1"/>
    <w:rsid w:val="002E43E0"/>
    <w:rsid w:val="002E454F"/>
    <w:rsid w:val="002E4D65"/>
    <w:rsid w:val="002E4E78"/>
    <w:rsid w:val="002E50D4"/>
    <w:rsid w:val="002E52D3"/>
    <w:rsid w:val="002E5983"/>
    <w:rsid w:val="002E5B22"/>
    <w:rsid w:val="002E5CBD"/>
    <w:rsid w:val="002E6029"/>
    <w:rsid w:val="002E6392"/>
    <w:rsid w:val="002E64C5"/>
    <w:rsid w:val="002E68CF"/>
    <w:rsid w:val="002E6DFF"/>
    <w:rsid w:val="002E6F6B"/>
    <w:rsid w:val="002E7086"/>
    <w:rsid w:val="002E784C"/>
    <w:rsid w:val="002E798D"/>
    <w:rsid w:val="002F04F2"/>
    <w:rsid w:val="002F07A8"/>
    <w:rsid w:val="002F07B2"/>
    <w:rsid w:val="002F0AFA"/>
    <w:rsid w:val="002F0D08"/>
    <w:rsid w:val="002F0D3F"/>
    <w:rsid w:val="002F0F27"/>
    <w:rsid w:val="002F10B7"/>
    <w:rsid w:val="002F1EE5"/>
    <w:rsid w:val="002F2165"/>
    <w:rsid w:val="002F2954"/>
    <w:rsid w:val="002F2CB7"/>
    <w:rsid w:val="002F2D8B"/>
    <w:rsid w:val="002F2EDC"/>
    <w:rsid w:val="002F2F89"/>
    <w:rsid w:val="002F3295"/>
    <w:rsid w:val="002F34A7"/>
    <w:rsid w:val="002F39D9"/>
    <w:rsid w:val="002F3A67"/>
    <w:rsid w:val="002F3D1B"/>
    <w:rsid w:val="002F42B5"/>
    <w:rsid w:val="002F4A61"/>
    <w:rsid w:val="002F4A73"/>
    <w:rsid w:val="002F513A"/>
    <w:rsid w:val="002F5868"/>
    <w:rsid w:val="002F59D3"/>
    <w:rsid w:val="002F5A66"/>
    <w:rsid w:val="002F6165"/>
    <w:rsid w:val="002F61F3"/>
    <w:rsid w:val="002F6755"/>
    <w:rsid w:val="002F6FA4"/>
    <w:rsid w:val="002F71F7"/>
    <w:rsid w:val="002F720A"/>
    <w:rsid w:val="002F7320"/>
    <w:rsid w:val="002F79A2"/>
    <w:rsid w:val="002F79B0"/>
    <w:rsid w:val="002F7A71"/>
    <w:rsid w:val="002F7D0C"/>
    <w:rsid w:val="003002F1"/>
    <w:rsid w:val="003006D5"/>
    <w:rsid w:val="00300761"/>
    <w:rsid w:val="00300893"/>
    <w:rsid w:val="00300C33"/>
    <w:rsid w:val="003013CA"/>
    <w:rsid w:val="003013DC"/>
    <w:rsid w:val="00301814"/>
    <w:rsid w:val="00301A21"/>
    <w:rsid w:val="00302139"/>
    <w:rsid w:val="003021CF"/>
    <w:rsid w:val="003021D8"/>
    <w:rsid w:val="00302495"/>
    <w:rsid w:val="00302582"/>
    <w:rsid w:val="003028EA"/>
    <w:rsid w:val="00302A0B"/>
    <w:rsid w:val="00302A9A"/>
    <w:rsid w:val="00302BC7"/>
    <w:rsid w:val="00302CA8"/>
    <w:rsid w:val="00302E4A"/>
    <w:rsid w:val="00302E6C"/>
    <w:rsid w:val="00303092"/>
    <w:rsid w:val="003034A0"/>
    <w:rsid w:val="00303592"/>
    <w:rsid w:val="003036CF"/>
    <w:rsid w:val="003036E6"/>
    <w:rsid w:val="00303965"/>
    <w:rsid w:val="003039D9"/>
    <w:rsid w:val="00303E1A"/>
    <w:rsid w:val="0030485C"/>
    <w:rsid w:val="00304F03"/>
    <w:rsid w:val="00304FB2"/>
    <w:rsid w:val="003052D3"/>
    <w:rsid w:val="00305567"/>
    <w:rsid w:val="00305689"/>
    <w:rsid w:val="003057D3"/>
    <w:rsid w:val="003058B0"/>
    <w:rsid w:val="003067FF"/>
    <w:rsid w:val="0030684A"/>
    <w:rsid w:val="0030685B"/>
    <w:rsid w:val="0030696C"/>
    <w:rsid w:val="003071EC"/>
    <w:rsid w:val="003073E8"/>
    <w:rsid w:val="00307674"/>
    <w:rsid w:val="003076F9"/>
    <w:rsid w:val="00307BA2"/>
    <w:rsid w:val="00307DC8"/>
    <w:rsid w:val="00307EE7"/>
    <w:rsid w:val="00307FCC"/>
    <w:rsid w:val="00310722"/>
    <w:rsid w:val="003117AC"/>
    <w:rsid w:val="003117BE"/>
    <w:rsid w:val="003117F6"/>
    <w:rsid w:val="003117FE"/>
    <w:rsid w:val="00312187"/>
    <w:rsid w:val="0031298C"/>
    <w:rsid w:val="00312A7A"/>
    <w:rsid w:val="00312D07"/>
    <w:rsid w:val="00312E2A"/>
    <w:rsid w:val="0031321F"/>
    <w:rsid w:val="00313735"/>
    <w:rsid w:val="00313DA5"/>
    <w:rsid w:val="00313EC4"/>
    <w:rsid w:val="00314376"/>
    <w:rsid w:val="00314C04"/>
    <w:rsid w:val="00314C3A"/>
    <w:rsid w:val="00314D45"/>
    <w:rsid w:val="00315316"/>
    <w:rsid w:val="003155F2"/>
    <w:rsid w:val="00315645"/>
    <w:rsid w:val="00315CBF"/>
    <w:rsid w:val="0031657D"/>
    <w:rsid w:val="00316628"/>
    <w:rsid w:val="00316713"/>
    <w:rsid w:val="003170AD"/>
    <w:rsid w:val="00317346"/>
    <w:rsid w:val="00317681"/>
    <w:rsid w:val="00317A4E"/>
    <w:rsid w:val="003200BE"/>
    <w:rsid w:val="003201F2"/>
    <w:rsid w:val="00320451"/>
    <w:rsid w:val="00320862"/>
    <w:rsid w:val="00320998"/>
    <w:rsid w:val="00320A42"/>
    <w:rsid w:val="00321512"/>
    <w:rsid w:val="00321DB8"/>
    <w:rsid w:val="00322199"/>
    <w:rsid w:val="003225A7"/>
    <w:rsid w:val="00322EB1"/>
    <w:rsid w:val="00322F6B"/>
    <w:rsid w:val="00323032"/>
    <w:rsid w:val="003231D6"/>
    <w:rsid w:val="00323356"/>
    <w:rsid w:val="00323369"/>
    <w:rsid w:val="00323492"/>
    <w:rsid w:val="00323DE4"/>
    <w:rsid w:val="00323DF0"/>
    <w:rsid w:val="0032418C"/>
    <w:rsid w:val="00324961"/>
    <w:rsid w:val="0032511B"/>
    <w:rsid w:val="0032532C"/>
    <w:rsid w:val="003255C6"/>
    <w:rsid w:val="003255C8"/>
    <w:rsid w:val="003256DB"/>
    <w:rsid w:val="00325EE5"/>
    <w:rsid w:val="003263A9"/>
    <w:rsid w:val="003269EA"/>
    <w:rsid w:val="00326B68"/>
    <w:rsid w:val="00326BF6"/>
    <w:rsid w:val="0032714E"/>
    <w:rsid w:val="00327181"/>
    <w:rsid w:val="003274AC"/>
    <w:rsid w:val="003300B2"/>
    <w:rsid w:val="00330134"/>
    <w:rsid w:val="003301C9"/>
    <w:rsid w:val="003301CF"/>
    <w:rsid w:val="003301D9"/>
    <w:rsid w:val="003302BD"/>
    <w:rsid w:val="003306B0"/>
    <w:rsid w:val="00330FAB"/>
    <w:rsid w:val="0033132A"/>
    <w:rsid w:val="003315CD"/>
    <w:rsid w:val="003320FA"/>
    <w:rsid w:val="003325FD"/>
    <w:rsid w:val="00332CAF"/>
    <w:rsid w:val="00332D87"/>
    <w:rsid w:val="00332DCC"/>
    <w:rsid w:val="0033319E"/>
    <w:rsid w:val="00333310"/>
    <w:rsid w:val="00333536"/>
    <w:rsid w:val="0033354E"/>
    <w:rsid w:val="003335B9"/>
    <w:rsid w:val="003336EE"/>
    <w:rsid w:val="00333EDE"/>
    <w:rsid w:val="00334E06"/>
    <w:rsid w:val="00334E6C"/>
    <w:rsid w:val="00334F5C"/>
    <w:rsid w:val="0033510A"/>
    <w:rsid w:val="003353E9"/>
    <w:rsid w:val="00335B9F"/>
    <w:rsid w:val="00335FED"/>
    <w:rsid w:val="0033601E"/>
    <w:rsid w:val="0033603F"/>
    <w:rsid w:val="003360F0"/>
    <w:rsid w:val="003360F4"/>
    <w:rsid w:val="00336183"/>
    <w:rsid w:val="00336A59"/>
    <w:rsid w:val="00336C78"/>
    <w:rsid w:val="00336F19"/>
    <w:rsid w:val="00336F21"/>
    <w:rsid w:val="00336F89"/>
    <w:rsid w:val="0033755D"/>
    <w:rsid w:val="00337B19"/>
    <w:rsid w:val="00340286"/>
    <w:rsid w:val="00340754"/>
    <w:rsid w:val="00340CAB"/>
    <w:rsid w:val="0034161F"/>
    <w:rsid w:val="0034197D"/>
    <w:rsid w:val="00341A9C"/>
    <w:rsid w:val="00341BC4"/>
    <w:rsid w:val="00341DA2"/>
    <w:rsid w:val="00341EFB"/>
    <w:rsid w:val="00341FAC"/>
    <w:rsid w:val="003425F0"/>
    <w:rsid w:val="0034274C"/>
    <w:rsid w:val="00342976"/>
    <w:rsid w:val="00342D98"/>
    <w:rsid w:val="0034305A"/>
    <w:rsid w:val="00343824"/>
    <w:rsid w:val="00343C66"/>
    <w:rsid w:val="003441BC"/>
    <w:rsid w:val="00344797"/>
    <w:rsid w:val="00344AF4"/>
    <w:rsid w:val="00344BA0"/>
    <w:rsid w:val="003458F7"/>
    <w:rsid w:val="0034598C"/>
    <w:rsid w:val="003460F6"/>
    <w:rsid w:val="003462E7"/>
    <w:rsid w:val="00346464"/>
    <w:rsid w:val="0034695C"/>
    <w:rsid w:val="00346B74"/>
    <w:rsid w:val="00346E8A"/>
    <w:rsid w:val="00346F7D"/>
    <w:rsid w:val="00346FF5"/>
    <w:rsid w:val="0034765D"/>
    <w:rsid w:val="003501D4"/>
    <w:rsid w:val="00350314"/>
    <w:rsid w:val="00350430"/>
    <w:rsid w:val="0035060B"/>
    <w:rsid w:val="0035084D"/>
    <w:rsid w:val="003509F2"/>
    <w:rsid w:val="00350D2D"/>
    <w:rsid w:val="00350DEF"/>
    <w:rsid w:val="00350E83"/>
    <w:rsid w:val="00350FAB"/>
    <w:rsid w:val="00351396"/>
    <w:rsid w:val="003513B5"/>
    <w:rsid w:val="00351577"/>
    <w:rsid w:val="003518DB"/>
    <w:rsid w:val="0035202F"/>
    <w:rsid w:val="0035212A"/>
    <w:rsid w:val="00352389"/>
    <w:rsid w:val="003525C9"/>
    <w:rsid w:val="003526AF"/>
    <w:rsid w:val="003527DF"/>
    <w:rsid w:val="00353215"/>
    <w:rsid w:val="00353572"/>
    <w:rsid w:val="00353E99"/>
    <w:rsid w:val="003540F3"/>
    <w:rsid w:val="00354389"/>
    <w:rsid w:val="003547EC"/>
    <w:rsid w:val="00354CB4"/>
    <w:rsid w:val="003550AA"/>
    <w:rsid w:val="00355664"/>
    <w:rsid w:val="0035574F"/>
    <w:rsid w:val="003557A8"/>
    <w:rsid w:val="003557AC"/>
    <w:rsid w:val="0035706D"/>
    <w:rsid w:val="00357082"/>
    <w:rsid w:val="003576E2"/>
    <w:rsid w:val="00357777"/>
    <w:rsid w:val="003578A6"/>
    <w:rsid w:val="00357AC2"/>
    <w:rsid w:val="0036009F"/>
    <w:rsid w:val="0036024B"/>
    <w:rsid w:val="003607B3"/>
    <w:rsid w:val="00360DDE"/>
    <w:rsid w:val="003615A0"/>
    <w:rsid w:val="0036194C"/>
    <w:rsid w:val="00361F13"/>
    <w:rsid w:val="0036264B"/>
    <w:rsid w:val="00362735"/>
    <w:rsid w:val="00362925"/>
    <w:rsid w:val="003636A7"/>
    <w:rsid w:val="003636F5"/>
    <w:rsid w:val="00364520"/>
    <w:rsid w:val="00364627"/>
    <w:rsid w:val="0036502C"/>
    <w:rsid w:val="0036514F"/>
    <w:rsid w:val="003651FD"/>
    <w:rsid w:val="003654DD"/>
    <w:rsid w:val="00365E02"/>
    <w:rsid w:val="00366431"/>
    <w:rsid w:val="0036648B"/>
    <w:rsid w:val="00366AB8"/>
    <w:rsid w:val="00366DEC"/>
    <w:rsid w:val="0036705C"/>
    <w:rsid w:val="00367535"/>
    <w:rsid w:val="00367B03"/>
    <w:rsid w:val="00370132"/>
    <w:rsid w:val="003701EA"/>
    <w:rsid w:val="003708C7"/>
    <w:rsid w:val="00370C14"/>
    <w:rsid w:val="00371089"/>
    <w:rsid w:val="0037159A"/>
    <w:rsid w:val="00371CA4"/>
    <w:rsid w:val="0037256D"/>
    <w:rsid w:val="00372635"/>
    <w:rsid w:val="003728AB"/>
    <w:rsid w:val="003728FC"/>
    <w:rsid w:val="00372C5F"/>
    <w:rsid w:val="00372D1F"/>
    <w:rsid w:val="0037352E"/>
    <w:rsid w:val="00373820"/>
    <w:rsid w:val="00373F22"/>
    <w:rsid w:val="00374161"/>
    <w:rsid w:val="0037467B"/>
    <w:rsid w:val="00374689"/>
    <w:rsid w:val="003749C4"/>
    <w:rsid w:val="003756FA"/>
    <w:rsid w:val="00375BCB"/>
    <w:rsid w:val="00376B13"/>
    <w:rsid w:val="00376F4A"/>
    <w:rsid w:val="003773AC"/>
    <w:rsid w:val="003773C4"/>
    <w:rsid w:val="00377656"/>
    <w:rsid w:val="00377B26"/>
    <w:rsid w:val="003802C8"/>
    <w:rsid w:val="00380430"/>
    <w:rsid w:val="0038069C"/>
    <w:rsid w:val="00380755"/>
    <w:rsid w:val="003815D5"/>
    <w:rsid w:val="00381878"/>
    <w:rsid w:val="003818DC"/>
    <w:rsid w:val="00381AD6"/>
    <w:rsid w:val="00381CA6"/>
    <w:rsid w:val="003821E2"/>
    <w:rsid w:val="003827BD"/>
    <w:rsid w:val="003829B7"/>
    <w:rsid w:val="003829E8"/>
    <w:rsid w:val="00383012"/>
    <w:rsid w:val="00383080"/>
    <w:rsid w:val="003834BA"/>
    <w:rsid w:val="003835F9"/>
    <w:rsid w:val="00383C34"/>
    <w:rsid w:val="00384468"/>
    <w:rsid w:val="003846CB"/>
    <w:rsid w:val="00384B85"/>
    <w:rsid w:val="00384C72"/>
    <w:rsid w:val="00385448"/>
    <w:rsid w:val="00385741"/>
    <w:rsid w:val="0038585C"/>
    <w:rsid w:val="003858FC"/>
    <w:rsid w:val="00385A78"/>
    <w:rsid w:val="00385E41"/>
    <w:rsid w:val="00385E4A"/>
    <w:rsid w:val="00385F63"/>
    <w:rsid w:val="00386006"/>
    <w:rsid w:val="003865B6"/>
    <w:rsid w:val="00386931"/>
    <w:rsid w:val="00386991"/>
    <w:rsid w:val="00386A3E"/>
    <w:rsid w:val="00386CE1"/>
    <w:rsid w:val="00387033"/>
    <w:rsid w:val="00387114"/>
    <w:rsid w:val="00387367"/>
    <w:rsid w:val="00387748"/>
    <w:rsid w:val="0039006A"/>
    <w:rsid w:val="0039071A"/>
    <w:rsid w:val="00390CE7"/>
    <w:rsid w:val="00391B14"/>
    <w:rsid w:val="00391B76"/>
    <w:rsid w:val="00391EDE"/>
    <w:rsid w:val="0039201C"/>
    <w:rsid w:val="00392CA5"/>
    <w:rsid w:val="00392CF9"/>
    <w:rsid w:val="00393040"/>
    <w:rsid w:val="00393203"/>
    <w:rsid w:val="003937C3"/>
    <w:rsid w:val="003939D6"/>
    <w:rsid w:val="00393B17"/>
    <w:rsid w:val="00394284"/>
    <w:rsid w:val="00394839"/>
    <w:rsid w:val="00395107"/>
    <w:rsid w:val="00395B65"/>
    <w:rsid w:val="00395CBD"/>
    <w:rsid w:val="003961BA"/>
    <w:rsid w:val="00396226"/>
    <w:rsid w:val="00396420"/>
    <w:rsid w:val="00396CFF"/>
    <w:rsid w:val="00396D0A"/>
    <w:rsid w:val="00396D6A"/>
    <w:rsid w:val="00396E27"/>
    <w:rsid w:val="00396F5E"/>
    <w:rsid w:val="00397D10"/>
    <w:rsid w:val="00397EAC"/>
    <w:rsid w:val="00397F26"/>
    <w:rsid w:val="00397F52"/>
    <w:rsid w:val="003A00AA"/>
    <w:rsid w:val="003A06A2"/>
    <w:rsid w:val="003A0767"/>
    <w:rsid w:val="003A0C0C"/>
    <w:rsid w:val="003A1D88"/>
    <w:rsid w:val="003A1EA2"/>
    <w:rsid w:val="003A2704"/>
    <w:rsid w:val="003A2786"/>
    <w:rsid w:val="003A2C38"/>
    <w:rsid w:val="003A2C6A"/>
    <w:rsid w:val="003A2D52"/>
    <w:rsid w:val="003A3003"/>
    <w:rsid w:val="003A3104"/>
    <w:rsid w:val="003A3111"/>
    <w:rsid w:val="003A3408"/>
    <w:rsid w:val="003A36EB"/>
    <w:rsid w:val="003A3955"/>
    <w:rsid w:val="003A4362"/>
    <w:rsid w:val="003A480A"/>
    <w:rsid w:val="003A4979"/>
    <w:rsid w:val="003A54A2"/>
    <w:rsid w:val="003A559E"/>
    <w:rsid w:val="003A66C0"/>
    <w:rsid w:val="003A6C61"/>
    <w:rsid w:val="003A7311"/>
    <w:rsid w:val="003A745F"/>
    <w:rsid w:val="003A746B"/>
    <w:rsid w:val="003A76A2"/>
    <w:rsid w:val="003B00EE"/>
    <w:rsid w:val="003B01C0"/>
    <w:rsid w:val="003B0CD5"/>
    <w:rsid w:val="003B0D5D"/>
    <w:rsid w:val="003B1033"/>
    <w:rsid w:val="003B10EC"/>
    <w:rsid w:val="003B1291"/>
    <w:rsid w:val="003B1347"/>
    <w:rsid w:val="003B148D"/>
    <w:rsid w:val="003B1977"/>
    <w:rsid w:val="003B1C58"/>
    <w:rsid w:val="003B2738"/>
    <w:rsid w:val="003B2A11"/>
    <w:rsid w:val="003B2A8F"/>
    <w:rsid w:val="003B2E34"/>
    <w:rsid w:val="003B34A9"/>
    <w:rsid w:val="003B3931"/>
    <w:rsid w:val="003B3C52"/>
    <w:rsid w:val="003B3F95"/>
    <w:rsid w:val="003B418D"/>
    <w:rsid w:val="003B4215"/>
    <w:rsid w:val="003B42B5"/>
    <w:rsid w:val="003B4B46"/>
    <w:rsid w:val="003B4F61"/>
    <w:rsid w:val="003B600F"/>
    <w:rsid w:val="003B60A8"/>
    <w:rsid w:val="003B61E5"/>
    <w:rsid w:val="003B669A"/>
    <w:rsid w:val="003B67FC"/>
    <w:rsid w:val="003B785E"/>
    <w:rsid w:val="003B7984"/>
    <w:rsid w:val="003B7AC4"/>
    <w:rsid w:val="003B7B8A"/>
    <w:rsid w:val="003C00AD"/>
    <w:rsid w:val="003C02F8"/>
    <w:rsid w:val="003C04DA"/>
    <w:rsid w:val="003C057F"/>
    <w:rsid w:val="003C0A9F"/>
    <w:rsid w:val="003C13A4"/>
    <w:rsid w:val="003C1975"/>
    <w:rsid w:val="003C1C06"/>
    <w:rsid w:val="003C1CCD"/>
    <w:rsid w:val="003C1FB0"/>
    <w:rsid w:val="003C2299"/>
    <w:rsid w:val="003C2652"/>
    <w:rsid w:val="003C2B0F"/>
    <w:rsid w:val="003C2C8E"/>
    <w:rsid w:val="003C2E5E"/>
    <w:rsid w:val="003C32EF"/>
    <w:rsid w:val="003C3C76"/>
    <w:rsid w:val="003C400E"/>
    <w:rsid w:val="003C40F2"/>
    <w:rsid w:val="003C4224"/>
    <w:rsid w:val="003C4435"/>
    <w:rsid w:val="003C49BF"/>
    <w:rsid w:val="003C4ABB"/>
    <w:rsid w:val="003C519C"/>
    <w:rsid w:val="003C56F0"/>
    <w:rsid w:val="003C584C"/>
    <w:rsid w:val="003C5A32"/>
    <w:rsid w:val="003C6067"/>
    <w:rsid w:val="003C6089"/>
    <w:rsid w:val="003C632F"/>
    <w:rsid w:val="003C63FD"/>
    <w:rsid w:val="003C6495"/>
    <w:rsid w:val="003C69EF"/>
    <w:rsid w:val="003C6AE4"/>
    <w:rsid w:val="003C6D0A"/>
    <w:rsid w:val="003C6F0A"/>
    <w:rsid w:val="003C72C8"/>
    <w:rsid w:val="003D07F9"/>
    <w:rsid w:val="003D08D1"/>
    <w:rsid w:val="003D15F7"/>
    <w:rsid w:val="003D178D"/>
    <w:rsid w:val="003D1863"/>
    <w:rsid w:val="003D1CAD"/>
    <w:rsid w:val="003D1E49"/>
    <w:rsid w:val="003D1F91"/>
    <w:rsid w:val="003D2359"/>
    <w:rsid w:val="003D279C"/>
    <w:rsid w:val="003D283B"/>
    <w:rsid w:val="003D28BE"/>
    <w:rsid w:val="003D2FD5"/>
    <w:rsid w:val="003D3074"/>
    <w:rsid w:val="003D3163"/>
    <w:rsid w:val="003D3385"/>
    <w:rsid w:val="003D3670"/>
    <w:rsid w:val="003D36B0"/>
    <w:rsid w:val="003D3945"/>
    <w:rsid w:val="003D3AB4"/>
    <w:rsid w:val="003D3B07"/>
    <w:rsid w:val="003D3C09"/>
    <w:rsid w:val="003D4403"/>
    <w:rsid w:val="003D5398"/>
    <w:rsid w:val="003D5599"/>
    <w:rsid w:val="003D5654"/>
    <w:rsid w:val="003D5E15"/>
    <w:rsid w:val="003D5F05"/>
    <w:rsid w:val="003D61BE"/>
    <w:rsid w:val="003D6258"/>
    <w:rsid w:val="003D6383"/>
    <w:rsid w:val="003D6625"/>
    <w:rsid w:val="003D6731"/>
    <w:rsid w:val="003D682A"/>
    <w:rsid w:val="003D69A1"/>
    <w:rsid w:val="003D7C66"/>
    <w:rsid w:val="003D7F77"/>
    <w:rsid w:val="003E027E"/>
    <w:rsid w:val="003E02DC"/>
    <w:rsid w:val="003E0421"/>
    <w:rsid w:val="003E05AF"/>
    <w:rsid w:val="003E0B80"/>
    <w:rsid w:val="003E0CD2"/>
    <w:rsid w:val="003E0E40"/>
    <w:rsid w:val="003E1E71"/>
    <w:rsid w:val="003E209B"/>
    <w:rsid w:val="003E25A3"/>
    <w:rsid w:val="003E2ADF"/>
    <w:rsid w:val="003E2FA8"/>
    <w:rsid w:val="003E3029"/>
    <w:rsid w:val="003E31D4"/>
    <w:rsid w:val="003E343D"/>
    <w:rsid w:val="003E37A2"/>
    <w:rsid w:val="003E38F6"/>
    <w:rsid w:val="003E3D5C"/>
    <w:rsid w:val="003E425E"/>
    <w:rsid w:val="003E44B8"/>
    <w:rsid w:val="003E4910"/>
    <w:rsid w:val="003E51BD"/>
    <w:rsid w:val="003E55F2"/>
    <w:rsid w:val="003E5890"/>
    <w:rsid w:val="003E598A"/>
    <w:rsid w:val="003E5A4E"/>
    <w:rsid w:val="003E5D5F"/>
    <w:rsid w:val="003E5EE1"/>
    <w:rsid w:val="003E609D"/>
    <w:rsid w:val="003E60F8"/>
    <w:rsid w:val="003E60FC"/>
    <w:rsid w:val="003E637A"/>
    <w:rsid w:val="003E6593"/>
    <w:rsid w:val="003E661E"/>
    <w:rsid w:val="003E66EA"/>
    <w:rsid w:val="003E6CE9"/>
    <w:rsid w:val="003E73B5"/>
    <w:rsid w:val="003E768F"/>
    <w:rsid w:val="003E7C5E"/>
    <w:rsid w:val="003F02C4"/>
    <w:rsid w:val="003F0457"/>
    <w:rsid w:val="003F0746"/>
    <w:rsid w:val="003F0E64"/>
    <w:rsid w:val="003F104A"/>
    <w:rsid w:val="003F10E5"/>
    <w:rsid w:val="003F2208"/>
    <w:rsid w:val="003F22B5"/>
    <w:rsid w:val="003F2643"/>
    <w:rsid w:val="003F2ACF"/>
    <w:rsid w:val="003F2F8B"/>
    <w:rsid w:val="003F31D8"/>
    <w:rsid w:val="003F3541"/>
    <w:rsid w:val="003F403C"/>
    <w:rsid w:val="003F45A4"/>
    <w:rsid w:val="003F505D"/>
    <w:rsid w:val="003F56B8"/>
    <w:rsid w:val="003F5D88"/>
    <w:rsid w:val="003F5DA9"/>
    <w:rsid w:val="003F6130"/>
    <w:rsid w:val="003F63C9"/>
    <w:rsid w:val="003F6FC5"/>
    <w:rsid w:val="003F78B7"/>
    <w:rsid w:val="003F7BB3"/>
    <w:rsid w:val="003F7D9E"/>
    <w:rsid w:val="004003C1"/>
    <w:rsid w:val="00400836"/>
    <w:rsid w:val="00400B67"/>
    <w:rsid w:val="00401E91"/>
    <w:rsid w:val="00402501"/>
    <w:rsid w:val="004028FC"/>
    <w:rsid w:val="00402D19"/>
    <w:rsid w:val="00402DE6"/>
    <w:rsid w:val="00402E8C"/>
    <w:rsid w:val="00402F72"/>
    <w:rsid w:val="0040329A"/>
    <w:rsid w:val="004033DC"/>
    <w:rsid w:val="00403752"/>
    <w:rsid w:val="004039DF"/>
    <w:rsid w:val="00403D69"/>
    <w:rsid w:val="00403E0A"/>
    <w:rsid w:val="004041CA"/>
    <w:rsid w:val="0040433E"/>
    <w:rsid w:val="00404542"/>
    <w:rsid w:val="00404B3E"/>
    <w:rsid w:val="00404C7C"/>
    <w:rsid w:val="00404DCC"/>
    <w:rsid w:val="00404EC6"/>
    <w:rsid w:val="00405244"/>
    <w:rsid w:val="004052A3"/>
    <w:rsid w:val="0040545B"/>
    <w:rsid w:val="00405499"/>
    <w:rsid w:val="0040564C"/>
    <w:rsid w:val="004056BB"/>
    <w:rsid w:val="00405A0B"/>
    <w:rsid w:val="00405C53"/>
    <w:rsid w:val="0040605D"/>
    <w:rsid w:val="00406883"/>
    <w:rsid w:val="00406B37"/>
    <w:rsid w:val="004071F0"/>
    <w:rsid w:val="0040728D"/>
    <w:rsid w:val="00407346"/>
    <w:rsid w:val="00407934"/>
    <w:rsid w:val="00407E75"/>
    <w:rsid w:val="00407EA2"/>
    <w:rsid w:val="004105D1"/>
    <w:rsid w:val="00410A4D"/>
    <w:rsid w:val="00410D24"/>
    <w:rsid w:val="004111B9"/>
    <w:rsid w:val="00411726"/>
    <w:rsid w:val="00411BD1"/>
    <w:rsid w:val="00411D06"/>
    <w:rsid w:val="00412182"/>
    <w:rsid w:val="00412493"/>
    <w:rsid w:val="004128E3"/>
    <w:rsid w:val="004129E2"/>
    <w:rsid w:val="00414361"/>
    <w:rsid w:val="00414521"/>
    <w:rsid w:val="004145B2"/>
    <w:rsid w:val="00414640"/>
    <w:rsid w:val="00414DAB"/>
    <w:rsid w:val="0041561A"/>
    <w:rsid w:val="00415FE3"/>
    <w:rsid w:val="004164D9"/>
    <w:rsid w:val="00416729"/>
    <w:rsid w:val="00416B59"/>
    <w:rsid w:val="00416BC1"/>
    <w:rsid w:val="00416FA1"/>
    <w:rsid w:val="00416FBB"/>
    <w:rsid w:val="004171FD"/>
    <w:rsid w:val="00417396"/>
    <w:rsid w:val="004175E4"/>
    <w:rsid w:val="004177F3"/>
    <w:rsid w:val="00420024"/>
    <w:rsid w:val="004204F5"/>
    <w:rsid w:val="00420581"/>
    <w:rsid w:val="00420A36"/>
    <w:rsid w:val="00420A9D"/>
    <w:rsid w:val="00420EE2"/>
    <w:rsid w:val="004210D7"/>
    <w:rsid w:val="0042116F"/>
    <w:rsid w:val="0042193F"/>
    <w:rsid w:val="004219B0"/>
    <w:rsid w:val="00421EA7"/>
    <w:rsid w:val="00422545"/>
    <w:rsid w:val="004226E0"/>
    <w:rsid w:val="00422752"/>
    <w:rsid w:val="00422ABB"/>
    <w:rsid w:val="00422B0C"/>
    <w:rsid w:val="00422CD1"/>
    <w:rsid w:val="00422D28"/>
    <w:rsid w:val="004236A8"/>
    <w:rsid w:val="004239F6"/>
    <w:rsid w:val="00423DF6"/>
    <w:rsid w:val="00423EC8"/>
    <w:rsid w:val="004240BF"/>
    <w:rsid w:val="00424634"/>
    <w:rsid w:val="00424A73"/>
    <w:rsid w:val="00424D9C"/>
    <w:rsid w:val="004250D8"/>
    <w:rsid w:val="0042541A"/>
    <w:rsid w:val="004254CB"/>
    <w:rsid w:val="004259E2"/>
    <w:rsid w:val="00425FB1"/>
    <w:rsid w:val="00426165"/>
    <w:rsid w:val="0042654B"/>
    <w:rsid w:val="004269CA"/>
    <w:rsid w:val="00426AC4"/>
    <w:rsid w:val="00426D1C"/>
    <w:rsid w:val="00426E70"/>
    <w:rsid w:val="00427509"/>
    <w:rsid w:val="00427A4A"/>
    <w:rsid w:val="004300C8"/>
    <w:rsid w:val="00430650"/>
    <w:rsid w:val="00430A90"/>
    <w:rsid w:val="004318E7"/>
    <w:rsid w:val="00431A3B"/>
    <w:rsid w:val="00431AB0"/>
    <w:rsid w:val="00431DC9"/>
    <w:rsid w:val="004323C6"/>
    <w:rsid w:val="0043258F"/>
    <w:rsid w:val="00432602"/>
    <w:rsid w:val="0043261C"/>
    <w:rsid w:val="004326F0"/>
    <w:rsid w:val="00432816"/>
    <w:rsid w:val="00432DEA"/>
    <w:rsid w:val="0043338F"/>
    <w:rsid w:val="004333F8"/>
    <w:rsid w:val="00433633"/>
    <w:rsid w:val="004337E4"/>
    <w:rsid w:val="004337F0"/>
    <w:rsid w:val="0043399D"/>
    <w:rsid w:val="00433FD9"/>
    <w:rsid w:val="00434017"/>
    <w:rsid w:val="0043453E"/>
    <w:rsid w:val="004345D5"/>
    <w:rsid w:val="00434DE1"/>
    <w:rsid w:val="00434FB7"/>
    <w:rsid w:val="00435553"/>
    <w:rsid w:val="00435C78"/>
    <w:rsid w:val="00436400"/>
    <w:rsid w:val="004378B3"/>
    <w:rsid w:val="00437958"/>
    <w:rsid w:val="004404BB"/>
    <w:rsid w:val="00440786"/>
    <w:rsid w:val="004407B2"/>
    <w:rsid w:val="004408BD"/>
    <w:rsid w:val="00440D49"/>
    <w:rsid w:val="00441125"/>
    <w:rsid w:val="00441A8C"/>
    <w:rsid w:val="00441C05"/>
    <w:rsid w:val="00441C82"/>
    <w:rsid w:val="00442344"/>
    <w:rsid w:val="00442483"/>
    <w:rsid w:val="004424ED"/>
    <w:rsid w:val="004425FA"/>
    <w:rsid w:val="00442C66"/>
    <w:rsid w:val="00443966"/>
    <w:rsid w:val="00443B39"/>
    <w:rsid w:val="00443CF5"/>
    <w:rsid w:val="004442A0"/>
    <w:rsid w:val="004449A2"/>
    <w:rsid w:val="004449C2"/>
    <w:rsid w:val="00445009"/>
    <w:rsid w:val="0044564D"/>
    <w:rsid w:val="00445973"/>
    <w:rsid w:val="00445A76"/>
    <w:rsid w:val="00445DF3"/>
    <w:rsid w:val="00445E0C"/>
    <w:rsid w:val="004462F0"/>
    <w:rsid w:val="0044654D"/>
    <w:rsid w:val="004466C6"/>
    <w:rsid w:val="0044672C"/>
    <w:rsid w:val="00446834"/>
    <w:rsid w:val="00446E91"/>
    <w:rsid w:val="00446F74"/>
    <w:rsid w:val="004474F8"/>
    <w:rsid w:val="00447922"/>
    <w:rsid w:val="004479A4"/>
    <w:rsid w:val="004479AF"/>
    <w:rsid w:val="00447CAD"/>
    <w:rsid w:val="004502E7"/>
    <w:rsid w:val="0045050A"/>
    <w:rsid w:val="00450A50"/>
    <w:rsid w:val="0045101C"/>
    <w:rsid w:val="00451469"/>
    <w:rsid w:val="00452085"/>
    <w:rsid w:val="00452461"/>
    <w:rsid w:val="004528FC"/>
    <w:rsid w:val="00452CCF"/>
    <w:rsid w:val="004532D7"/>
    <w:rsid w:val="004533EA"/>
    <w:rsid w:val="0045365B"/>
    <w:rsid w:val="004537FA"/>
    <w:rsid w:val="00453BEE"/>
    <w:rsid w:val="00454A42"/>
    <w:rsid w:val="00454D56"/>
    <w:rsid w:val="00456344"/>
    <w:rsid w:val="0045671B"/>
    <w:rsid w:val="00456969"/>
    <w:rsid w:val="00456E50"/>
    <w:rsid w:val="00457612"/>
    <w:rsid w:val="00457795"/>
    <w:rsid w:val="004577F8"/>
    <w:rsid w:val="00457867"/>
    <w:rsid w:val="00457AD3"/>
    <w:rsid w:val="004600DA"/>
    <w:rsid w:val="00460860"/>
    <w:rsid w:val="00460A20"/>
    <w:rsid w:val="00460D69"/>
    <w:rsid w:val="004610E9"/>
    <w:rsid w:val="0046111E"/>
    <w:rsid w:val="00461308"/>
    <w:rsid w:val="00461326"/>
    <w:rsid w:val="00461893"/>
    <w:rsid w:val="00461E7F"/>
    <w:rsid w:val="00461F2A"/>
    <w:rsid w:val="00461F8B"/>
    <w:rsid w:val="0046266B"/>
    <w:rsid w:val="00462B0A"/>
    <w:rsid w:val="00463395"/>
    <w:rsid w:val="0046340E"/>
    <w:rsid w:val="00464097"/>
    <w:rsid w:val="004645BE"/>
    <w:rsid w:val="004649CD"/>
    <w:rsid w:val="00464C91"/>
    <w:rsid w:val="00464E7A"/>
    <w:rsid w:val="00464FFC"/>
    <w:rsid w:val="0046527B"/>
    <w:rsid w:val="00465D91"/>
    <w:rsid w:val="0046630C"/>
    <w:rsid w:val="00466B86"/>
    <w:rsid w:val="00466C21"/>
    <w:rsid w:val="00466D73"/>
    <w:rsid w:val="004672FB"/>
    <w:rsid w:val="00467A8C"/>
    <w:rsid w:val="00467BCD"/>
    <w:rsid w:val="004707A9"/>
    <w:rsid w:val="00471353"/>
    <w:rsid w:val="004713A8"/>
    <w:rsid w:val="0047153F"/>
    <w:rsid w:val="004716C0"/>
    <w:rsid w:val="004716E7"/>
    <w:rsid w:val="00471727"/>
    <w:rsid w:val="0047180E"/>
    <w:rsid w:val="004718F8"/>
    <w:rsid w:val="00471959"/>
    <w:rsid w:val="00471D30"/>
    <w:rsid w:val="00471FF3"/>
    <w:rsid w:val="00472C38"/>
    <w:rsid w:val="00472EB7"/>
    <w:rsid w:val="00473008"/>
    <w:rsid w:val="0047313F"/>
    <w:rsid w:val="004731B8"/>
    <w:rsid w:val="00473353"/>
    <w:rsid w:val="00473431"/>
    <w:rsid w:val="00473596"/>
    <w:rsid w:val="00473617"/>
    <w:rsid w:val="00473B1B"/>
    <w:rsid w:val="00473CC9"/>
    <w:rsid w:val="00473F85"/>
    <w:rsid w:val="0047431E"/>
    <w:rsid w:val="00474381"/>
    <w:rsid w:val="00474545"/>
    <w:rsid w:val="00474713"/>
    <w:rsid w:val="00474858"/>
    <w:rsid w:val="00474CBA"/>
    <w:rsid w:val="0047541B"/>
    <w:rsid w:val="004757C0"/>
    <w:rsid w:val="00475823"/>
    <w:rsid w:val="00475FE0"/>
    <w:rsid w:val="004760FF"/>
    <w:rsid w:val="0047617F"/>
    <w:rsid w:val="00476915"/>
    <w:rsid w:val="00477472"/>
    <w:rsid w:val="00477595"/>
    <w:rsid w:val="004800C2"/>
    <w:rsid w:val="0048042B"/>
    <w:rsid w:val="00480828"/>
    <w:rsid w:val="0048082C"/>
    <w:rsid w:val="004808DE"/>
    <w:rsid w:val="00481155"/>
    <w:rsid w:val="00481E5E"/>
    <w:rsid w:val="00481EDD"/>
    <w:rsid w:val="004821C2"/>
    <w:rsid w:val="004824FD"/>
    <w:rsid w:val="00482642"/>
    <w:rsid w:val="00482EFA"/>
    <w:rsid w:val="004832BD"/>
    <w:rsid w:val="004832D9"/>
    <w:rsid w:val="0048370B"/>
    <w:rsid w:val="00483B19"/>
    <w:rsid w:val="00483DE5"/>
    <w:rsid w:val="00483E29"/>
    <w:rsid w:val="00483F76"/>
    <w:rsid w:val="004846E5"/>
    <w:rsid w:val="00484746"/>
    <w:rsid w:val="0048477B"/>
    <w:rsid w:val="00484ECA"/>
    <w:rsid w:val="00484F35"/>
    <w:rsid w:val="00485139"/>
    <w:rsid w:val="004852EB"/>
    <w:rsid w:val="004854D4"/>
    <w:rsid w:val="004857EA"/>
    <w:rsid w:val="0048581E"/>
    <w:rsid w:val="00485832"/>
    <w:rsid w:val="004858D1"/>
    <w:rsid w:val="00485CB0"/>
    <w:rsid w:val="004860AE"/>
    <w:rsid w:val="0048662D"/>
    <w:rsid w:val="00486729"/>
    <w:rsid w:val="0048692D"/>
    <w:rsid w:val="00486DBD"/>
    <w:rsid w:val="0048739B"/>
    <w:rsid w:val="0048739F"/>
    <w:rsid w:val="00487A67"/>
    <w:rsid w:val="00490589"/>
    <w:rsid w:val="004905D2"/>
    <w:rsid w:val="004909A1"/>
    <w:rsid w:val="00490FE8"/>
    <w:rsid w:val="004913FE"/>
    <w:rsid w:val="0049176E"/>
    <w:rsid w:val="004918D7"/>
    <w:rsid w:val="004921C4"/>
    <w:rsid w:val="0049385E"/>
    <w:rsid w:val="00493A1E"/>
    <w:rsid w:val="00493C80"/>
    <w:rsid w:val="00494029"/>
    <w:rsid w:val="00494813"/>
    <w:rsid w:val="00495722"/>
    <w:rsid w:val="004959E1"/>
    <w:rsid w:val="00495BAC"/>
    <w:rsid w:val="004960F5"/>
    <w:rsid w:val="0049624D"/>
    <w:rsid w:val="00496BC1"/>
    <w:rsid w:val="00496DDF"/>
    <w:rsid w:val="004970DB"/>
    <w:rsid w:val="004970DC"/>
    <w:rsid w:val="00497EB1"/>
    <w:rsid w:val="004A0066"/>
    <w:rsid w:val="004A1068"/>
    <w:rsid w:val="004A1FAE"/>
    <w:rsid w:val="004A2876"/>
    <w:rsid w:val="004A30D9"/>
    <w:rsid w:val="004A3226"/>
    <w:rsid w:val="004A3DFF"/>
    <w:rsid w:val="004A3E8A"/>
    <w:rsid w:val="004A43F5"/>
    <w:rsid w:val="004A46AC"/>
    <w:rsid w:val="004A4896"/>
    <w:rsid w:val="004A4973"/>
    <w:rsid w:val="004A49A0"/>
    <w:rsid w:val="004A50B6"/>
    <w:rsid w:val="004A5E7D"/>
    <w:rsid w:val="004A6623"/>
    <w:rsid w:val="004A67AB"/>
    <w:rsid w:val="004A6802"/>
    <w:rsid w:val="004A6EE8"/>
    <w:rsid w:val="004A71EC"/>
    <w:rsid w:val="004A7E65"/>
    <w:rsid w:val="004B00CD"/>
    <w:rsid w:val="004B05FC"/>
    <w:rsid w:val="004B0AEE"/>
    <w:rsid w:val="004B0CD5"/>
    <w:rsid w:val="004B0CDF"/>
    <w:rsid w:val="004B10D9"/>
    <w:rsid w:val="004B120C"/>
    <w:rsid w:val="004B195F"/>
    <w:rsid w:val="004B19DD"/>
    <w:rsid w:val="004B19FB"/>
    <w:rsid w:val="004B1B15"/>
    <w:rsid w:val="004B1C4D"/>
    <w:rsid w:val="004B25F6"/>
    <w:rsid w:val="004B287C"/>
    <w:rsid w:val="004B2E84"/>
    <w:rsid w:val="004B34E6"/>
    <w:rsid w:val="004B3A33"/>
    <w:rsid w:val="004B3F63"/>
    <w:rsid w:val="004B41DF"/>
    <w:rsid w:val="004B41F5"/>
    <w:rsid w:val="004B47B4"/>
    <w:rsid w:val="004B4921"/>
    <w:rsid w:val="004B4ED7"/>
    <w:rsid w:val="004B5048"/>
    <w:rsid w:val="004B5834"/>
    <w:rsid w:val="004B596A"/>
    <w:rsid w:val="004B5BD1"/>
    <w:rsid w:val="004B5C0F"/>
    <w:rsid w:val="004B5D27"/>
    <w:rsid w:val="004B5DD7"/>
    <w:rsid w:val="004B6191"/>
    <w:rsid w:val="004B6A01"/>
    <w:rsid w:val="004B717B"/>
    <w:rsid w:val="004B723D"/>
    <w:rsid w:val="004B729C"/>
    <w:rsid w:val="004B75E0"/>
    <w:rsid w:val="004B7968"/>
    <w:rsid w:val="004C06E9"/>
    <w:rsid w:val="004C0766"/>
    <w:rsid w:val="004C098C"/>
    <w:rsid w:val="004C0EF0"/>
    <w:rsid w:val="004C13F7"/>
    <w:rsid w:val="004C1F31"/>
    <w:rsid w:val="004C21CC"/>
    <w:rsid w:val="004C2763"/>
    <w:rsid w:val="004C2E8C"/>
    <w:rsid w:val="004C3C70"/>
    <w:rsid w:val="004C3F58"/>
    <w:rsid w:val="004C428B"/>
    <w:rsid w:val="004C4383"/>
    <w:rsid w:val="004C4782"/>
    <w:rsid w:val="004C47A3"/>
    <w:rsid w:val="004C5078"/>
    <w:rsid w:val="004C5447"/>
    <w:rsid w:val="004C596D"/>
    <w:rsid w:val="004C5AD5"/>
    <w:rsid w:val="004C5FA8"/>
    <w:rsid w:val="004C5FF5"/>
    <w:rsid w:val="004C61C6"/>
    <w:rsid w:val="004C64BB"/>
    <w:rsid w:val="004C683D"/>
    <w:rsid w:val="004C6C95"/>
    <w:rsid w:val="004C6D63"/>
    <w:rsid w:val="004C6EED"/>
    <w:rsid w:val="004C6F1E"/>
    <w:rsid w:val="004C6FDC"/>
    <w:rsid w:val="004C704B"/>
    <w:rsid w:val="004C71B7"/>
    <w:rsid w:val="004C72AE"/>
    <w:rsid w:val="004C73F1"/>
    <w:rsid w:val="004C762D"/>
    <w:rsid w:val="004C7E06"/>
    <w:rsid w:val="004C7F19"/>
    <w:rsid w:val="004D038A"/>
    <w:rsid w:val="004D07CD"/>
    <w:rsid w:val="004D07F7"/>
    <w:rsid w:val="004D0CFF"/>
    <w:rsid w:val="004D101F"/>
    <w:rsid w:val="004D113B"/>
    <w:rsid w:val="004D13EE"/>
    <w:rsid w:val="004D1AD5"/>
    <w:rsid w:val="004D1B24"/>
    <w:rsid w:val="004D1CA1"/>
    <w:rsid w:val="004D1E96"/>
    <w:rsid w:val="004D2045"/>
    <w:rsid w:val="004D2855"/>
    <w:rsid w:val="004D2BAE"/>
    <w:rsid w:val="004D3300"/>
    <w:rsid w:val="004D36D2"/>
    <w:rsid w:val="004D3965"/>
    <w:rsid w:val="004D3A1C"/>
    <w:rsid w:val="004D3D4B"/>
    <w:rsid w:val="004D3E47"/>
    <w:rsid w:val="004D3F1C"/>
    <w:rsid w:val="004D440D"/>
    <w:rsid w:val="004D460E"/>
    <w:rsid w:val="004D4F8B"/>
    <w:rsid w:val="004D5238"/>
    <w:rsid w:val="004D54F8"/>
    <w:rsid w:val="004D5589"/>
    <w:rsid w:val="004D56AA"/>
    <w:rsid w:val="004D6118"/>
    <w:rsid w:val="004D6498"/>
    <w:rsid w:val="004D72AD"/>
    <w:rsid w:val="004D7531"/>
    <w:rsid w:val="004D7779"/>
    <w:rsid w:val="004D7BE9"/>
    <w:rsid w:val="004E0042"/>
    <w:rsid w:val="004E041F"/>
    <w:rsid w:val="004E0476"/>
    <w:rsid w:val="004E0AF9"/>
    <w:rsid w:val="004E0FC2"/>
    <w:rsid w:val="004E136C"/>
    <w:rsid w:val="004E138D"/>
    <w:rsid w:val="004E1694"/>
    <w:rsid w:val="004E1A86"/>
    <w:rsid w:val="004E1FF5"/>
    <w:rsid w:val="004E20E1"/>
    <w:rsid w:val="004E2853"/>
    <w:rsid w:val="004E3C01"/>
    <w:rsid w:val="004E3C71"/>
    <w:rsid w:val="004E3D35"/>
    <w:rsid w:val="004E43BE"/>
    <w:rsid w:val="004E4416"/>
    <w:rsid w:val="004E47BA"/>
    <w:rsid w:val="004E47ED"/>
    <w:rsid w:val="004E4A38"/>
    <w:rsid w:val="004E5006"/>
    <w:rsid w:val="004E53A4"/>
    <w:rsid w:val="004E541A"/>
    <w:rsid w:val="004E55F7"/>
    <w:rsid w:val="004E5838"/>
    <w:rsid w:val="004E5BC2"/>
    <w:rsid w:val="004E5BFC"/>
    <w:rsid w:val="004E5C0A"/>
    <w:rsid w:val="004E5D22"/>
    <w:rsid w:val="004E5D24"/>
    <w:rsid w:val="004E5DB1"/>
    <w:rsid w:val="004E5E3B"/>
    <w:rsid w:val="004E5E98"/>
    <w:rsid w:val="004E64F3"/>
    <w:rsid w:val="004E6704"/>
    <w:rsid w:val="004E6C4A"/>
    <w:rsid w:val="004E6E35"/>
    <w:rsid w:val="004E6FE1"/>
    <w:rsid w:val="004E703B"/>
    <w:rsid w:val="004E73A8"/>
    <w:rsid w:val="004E76A4"/>
    <w:rsid w:val="004E7780"/>
    <w:rsid w:val="004E7B50"/>
    <w:rsid w:val="004E7C85"/>
    <w:rsid w:val="004F041F"/>
    <w:rsid w:val="004F0657"/>
    <w:rsid w:val="004F0988"/>
    <w:rsid w:val="004F0AD4"/>
    <w:rsid w:val="004F1469"/>
    <w:rsid w:val="004F1C25"/>
    <w:rsid w:val="004F1F09"/>
    <w:rsid w:val="004F24C0"/>
    <w:rsid w:val="004F2953"/>
    <w:rsid w:val="004F2CEA"/>
    <w:rsid w:val="004F30EB"/>
    <w:rsid w:val="004F3227"/>
    <w:rsid w:val="004F3296"/>
    <w:rsid w:val="004F381C"/>
    <w:rsid w:val="004F3C9F"/>
    <w:rsid w:val="004F3CAB"/>
    <w:rsid w:val="004F3F46"/>
    <w:rsid w:val="004F404D"/>
    <w:rsid w:val="004F4DE2"/>
    <w:rsid w:val="004F4E99"/>
    <w:rsid w:val="004F4EDB"/>
    <w:rsid w:val="004F585B"/>
    <w:rsid w:val="004F5AB7"/>
    <w:rsid w:val="004F5BF0"/>
    <w:rsid w:val="004F5EA8"/>
    <w:rsid w:val="004F5F0D"/>
    <w:rsid w:val="004F5FC7"/>
    <w:rsid w:val="004F64C2"/>
    <w:rsid w:val="004F64ED"/>
    <w:rsid w:val="004F6644"/>
    <w:rsid w:val="004F664B"/>
    <w:rsid w:val="004F6C52"/>
    <w:rsid w:val="004F6C7A"/>
    <w:rsid w:val="004F6E16"/>
    <w:rsid w:val="004F703F"/>
    <w:rsid w:val="004F7174"/>
    <w:rsid w:val="004F7530"/>
    <w:rsid w:val="004F7BA8"/>
    <w:rsid w:val="004F7CCD"/>
    <w:rsid w:val="00500054"/>
    <w:rsid w:val="005009AF"/>
    <w:rsid w:val="005016BD"/>
    <w:rsid w:val="00501E0D"/>
    <w:rsid w:val="005020E5"/>
    <w:rsid w:val="00502232"/>
    <w:rsid w:val="0050266A"/>
    <w:rsid w:val="005026E3"/>
    <w:rsid w:val="00502800"/>
    <w:rsid w:val="00502C21"/>
    <w:rsid w:val="00502CE5"/>
    <w:rsid w:val="00502D19"/>
    <w:rsid w:val="0050351D"/>
    <w:rsid w:val="005036FB"/>
    <w:rsid w:val="00503B1A"/>
    <w:rsid w:val="00503E4D"/>
    <w:rsid w:val="005043FD"/>
    <w:rsid w:val="0050480C"/>
    <w:rsid w:val="00505206"/>
    <w:rsid w:val="005054AD"/>
    <w:rsid w:val="00505DD5"/>
    <w:rsid w:val="00505E80"/>
    <w:rsid w:val="0050635E"/>
    <w:rsid w:val="005064F7"/>
    <w:rsid w:val="005065F1"/>
    <w:rsid w:val="00506A0A"/>
    <w:rsid w:val="00506AFC"/>
    <w:rsid w:val="00506C39"/>
    <w:rsid w:val="00506DDD"/>
    <w:rsid w:val="005078CF"/>
    <w:rsid w:val="00507C18"/>
    <w:rsid w:val="00507FEC"/>
    <w:rsid w:val="005102CB"/>
    <w:rsid w:val="0051097A"/>
    <w:rsid w:val="00510B76"/>
    <w:rsid w:val="00510C80"/>
    <w:rsid w:val="005110F0"/>
    <w:rsid w:val="0051140D"/>
    <w:rsid w:val="005114BC"/>
    <w:rsid w:val="005116D5"/>
    <w:rsid w:val="00511CA4"/>
    <w:rsid w:val="00511F18"/>
    <w:rsid w:val="005121E3"/>
    <w:rsid w:val="0051229D"/>
    <w:rsid w:val="00512605"/>
    <w:rsid w:val="00512666"/>
    <w:rsid w:val="00512715"/>
    <w:rsid w:val="00512B04"/>
    <w:rsid w:val="00512E41"/>
    <w:rsid w:val="005138BB"/>
    <w:rsid w:val="00513A11"/>
    <w:rsid w:val="0051426B"/>
    <w:rsid w:val="0051448B"/>
    <w:rsid w:val="00514901"/>
    <w:rsid w:val="0051493E"/>
    <w:rsid w:val="00514ABC"/>
    <w:rsid w:val="00514E96"/>
    <w:rsid w:val="00514EF4"/>
    <w:rsid w:val="0051505B"/>
    <w:rsid w:val="00515242"/>
    <w:rsid w:val="00515BB9"/>
    <w:rsid w:val="00515C6F"/>
    <w:rsid w:val="0051656F"/>
    <w:rsid w:val="00516799"/>
    <w:rsid w:val="005171E3"/>
    <w:rsid w:val="005173D2"/>
    <w:rsid w:val="005174D1"/>
    <w:rsid w:val="005179C9"/>
    <w:rsid w:val="00517A33"/>
    <w:rsid w:val="00517FC4"/>
    <w:rsid w:val="00520076"/>
    <w:rsid w:val="00520B31"/>
    <w:rsid w:val="00520CCD"/>
    <w:rsid w:val="00521475"/>
    <w:rsid w:val="005220B2"/>
    <w:rsid w:val="005220F8"/>
    <w:rsid w:val="005221BC"/>
    <w:rsid w:val="0052220F"/>
    <w:rsid w:val="005228E8"/>
    <w:rsid w:val="005229F9"/>
    <w:rsid w:val="00522D29"/>
    <w:rsid w:val="00522E69"/>
    <w:rsid w:val="00522E81"/>
    <w:rsid w:val="00522F45"/>
    <w:rsid w:val="0052386F"/>
    <w:rsid w:val="00523B2D"/>
    <w:rsid w:val="005243F4"/>
    <w:rsid w:val="00524545"/>
    <w:rsid w:val="00524928"/>
    <w:rsid w:val="005249F9"/>
    <w:rsid w:val="00524A73"/>
    <w:rsid w:val="00524BA2"/>
    <w:rsid w:val="00524DAF"/>
    <w:rsid w:val="00524FA6"/>
    <w:rsid w:val="0052500E"/>
    <w:rsid w:val="0052509D"/>
    <w:rsid w:val="0052529B"/>
    <w:rsid w:val="00525395"/>
    <w:rsid w:val="005258BD"/>
    <w:rsid w:val="0052591F"/>
    <w:rsid w:val="00525A5F"/>
    <w:rsid w:val="00526286"/>
    <w:rsid w:val="0052692F"/>
    <w:rsid w:val="005269B3"/>
    <w:rsid w:val="005269B7"/>
    <w:rsid w:val="00526BB8"/>
    <w:rsid w:val="00526E68"/>
    <w:rsid w:val="0052717D"/>
    <w:rsid w:val="00527221"/>
    <w:rsid w:val="0052735B"/>
    <w:rsid w:val="00527382"/>
    <w:rsid w:val="005273C1"/>
    <w:rsid w:val="00527B79"/>
    <w:rsid w:val="00527BF9"/>
    <w:rsid w:val="00527D66"/>
    <w:rsid w:val="00527EC6"/>
    <w:rsid w:val="00527EE6"/>
    <w:rsid w:val="00527F03"/>
    <w:rsid w:val="00527F13"/>
    <w:rsid w:val="00527F5A"/>
    <w:rsid w:val="00530285"/>
    <w:rsid w:val="00530D4B"/>
    <w:rsid w:val="00530E44"/>
    <w:rsid w:val="0053176B"/>
    <w:rsid w:val="00531AC9"/>
    <w:rsid w:val="00531B91"/>
    <w:rsid w:val="00532390"/>
    <w:rsid w:val="0053257C"/>
    <w:rsid w:val="0053285C"/>
    <w:rsid w:val="00532936"/>
    <w:rsid w:val="00532B4A"/>
    <w:rsid w:val="00532C0F"/>
    <w:rsid w:val="005333B8"/>
    <w:rsid w:val="00533A58"/>
    <w:rsid w:val="00533D09"/>
    <w:rsid w:val="00534978"/>
    <w:rsid w:val="005349B2"/>
    <w:rsid w:val="00534A88"/>
    <w:rsid w:val="00534C9D"/>
    <w:rsid w:val="00534D4A"/>
    <w:rsid w:val="0053534C"/>
    <w:rsid w:val="005357BA"/>
    <w:rsid w:val="00536950"/>
    <w:rsid w:val="005369BF"/>
    <w:rsid w:val="00536E00"/>
    <w:rsid w:val="005371F7"/>
    <w:rsid w:val="005377F2"/>
    <w:rsid w:val="005378C7"/>
    <w:rsid w:val="00537E80"/>
    <w:rsid w:val="005405BF"/>
    <w:rsid w:val="00540610"/>
    <w:rsid w:val="0054082A"/>
    <w:rsid w:val="00540B98"/>
    <w:rsid w:val="00540E9D"/>
    <w:rsid w:val="00541B1F"/>
    <w:rsid w:val="0054244D"/>
    <w:rsid w:val="00542950"/>
    <w:rsid w:val="00542A89"/>
    <w:rsid w:val="005431B3"/>
    <w:rsid w:val="0054354F"/>
    <w:rsid w:val="00543619"/>
    <w:rsid w:val="00543624"/>
    <w:rsid w:val="00543CB5"/>
    <w:rsid w:val="00544273"/>
    <w:rsid w:val="0054431B"/>
    <w:rsid w:val="005445E9"/>
    <w:rsid w:val="00544750"/>
    <w:rsid w:val="00544DA9"/>
    <w:rsid w:val="00544F47"/>
    <w:rsid w:val="00545091"/>
    <w:rsid w:val="00545CC1"/>
    <w:rsid w:val="00545E71"/>
    <w:rsid w:val="00546251"/>
    <w:rsid w:val="005463BF"/>
    <w:rsid w:val="0054678C"/>
    <w:rsid w:val="00546B5E"/>
    <w:rsid w:val="005472AF"/>
    <w:rsid w:val="005472FC"/>
    <w:rsid w:val="0054734B"/>
    <w:rsid w:val="0054763D"/>
    <w:rsid w:val="005478C9"/>
    <w:rsid w:val="005478D9"/>
    <w:rsid w:val="0054793A"/>
    <w:rsid w:val="00547A0D"/>
    <w:rsid w:val="0055034E"/>
    <w:rsid w:val="00550CED"/>
    <w:rsid w:val="005514B5"/>
    <w:rsid w:val="00551580"/>
    <w:rsid w:val="00551649"/>
    <w:rsid w:val="00552016"/>
    <w:rsid w:val="005524FF"/>
    <w:rsid w:val="0055267E"/>
    <w:rsid w:val="00552C81"/>
    <w:rsid w:val="00552EDD"/>
    <w:rsid w:val="005533D8"/>
    <w:rsid w:val="005535E3"/>
    <w:rsid w:val="00553F26"/>
    <w:rsid w:val="00554026"/>
    <w:rsid w:val="0055459F"/>
    <w:rsid w:val="00554A38"/>
    <w:rsid w:val="00555051"/>
    <w:rsid w:val="0055519F"/>
    <w:rsid w:val="005551EE"/>
    <w:rsid w:val="0055581F"/>
    <w:rsid w:val="00555A1F"/>
    <w:rsid w:val="00556047"/>
    <w:rsid w:val="005561EB"/>
    <w:rsid w:val="005565C1"/>
    <w:rsid w:val="00556858"/>
    <w:rsid w:val="00556E36"/>
    <w:rsid w:val="00557D18"/>
    <w:rsid w:val="00560485"/>
    <w:rsid w:val="00560568"/>
    <w:rsid w:val="00560595"/>
    <w:rsid w:val="00560606"/>
    <w:rsid w:val="00560701"/>
    <w:rsid w:val="00560E4B"/>
    <w:rsid w:val="0056110A"/>
    <w:rsid w:val="005612F6"/>
    <w:rsid w:val="00561378"/>
    <w:rsid w:val="00561947"/>
    <w:rsid w:val="00561B8A"/>
    <w:rsid w:val="00561E71"/>
    <w:rsid w:val="00561E93"/>
    <w:rsid w:val="00562528"/>
    <w:rsid w:val="005627B0"/>
    <w:rsid w:val="00562E55"/>
    <w:rsid w:val="00563351"/>
    <w:rsid w:val="00563446"/>
    <w:rsid w:val="0056352B"/>
    <w:rsid w:val="00563C12"/>
    <w:rsid w:val="005643D2"/>
    <w:rsid w:val="00564ACF"/>
    <w:rsid w:val="00564DB8"/>
    <w:rsid w:val="00564E67"/>
    <w:rsid w:val="00565175"/>
    <w:rsid w:val="00565312"/>
    <w:rsid w:val="005654F4"/>
    <w:rsid w:val="00566293"/>
    <w:rsid w:val="00566E31"/>
    <w:rsid w:val="00566FCB"/>
    <w:rsid w:val="0056718C"/>
    <w:rsid w:val="00567342"/>
    <w:rsid w:val="00567504"/>
    <w:rsid w:val="0056773E"/>
    <w:rsid w:val="00567871"/>
    <w:rsid w:val="00567C87"/>
    <w:rsid w:val="00567DA6"/>
    <w:rsid w:val="00570A0C"/>
    <w:rsid w:val="00570E27"/>
    <w:rsid w:val="005711BE"/>
    <w:rsid w:val="005714EE"/>
    <w:rsid w:val="005715D5"/>
    <w:rsid w:val="00571D35"/>
    <w:rsid w:val="00571D58"/>
    <w:rsid w:val="00571E3C"/>
    <w:rsid w:val="00572248"/>
    <w:rsid w:val="00572585"/>
    <w:rsid w:val="0057263C"/>
    <w:rsid w:val="00572AE3"/>
    <w:rsid w:val="00572C0C"/>
    <w:rsid w:val="00572CA4"/>
    <w:rsid w:val="0057326B"/>
    <w:rsid w:val="00573972"/>
    <w:rsid w:val="005740EE"/>
    <w:rsid w:val="00574163"/>
    <w:rsid w:val="00574271"/>
    <w:rsid w:val="0057430B"/>
    <w:rsid w:val="0057439C"/>
    <w:rsid w:val="0057449A"/>
    <w:rsid w:val="005746D6"/>
    <w:rsid w:val="00574990"/>
    <w:rsid w:val="00574995"/>
    <w:rsid w:val="00574A99"/>
    <w:rsid w:val="00574B4E"/>
    <w:rsid w:val="00574EA9"/>
    <w:rsid w:val="00575954"/>
    <w:rsid w:val="00575A4C"/>
    <w:rsid w:val="00575AC1"/>
    <w:rsid w:val="0057611F"/>
    <w:rsid w:val="0057634F"/>
    <w:rsid w:val="0057694D"/>
    <w:rsid w:val="00576CB9"/>
    <w:rsid w:val="00576CEE"/>
    <w:rsid w:val="00576E4F"/>
    <w:rsid w:val="00577651"/>
    <w:rsid w:val="00577653"/>
    <w:rsid w:val="005777E9"/>
    <w:rsid w:val="005807EC"/>
    <w:rsid w:val="00580D0D"/>
    <w:rsid w:val="00581454"/>
    <w:rsid w:val="00581F99"/>
    <w:rsid w:val="0058216F"/>
    <w:rsid w:val="005821CB"/>
    <w:rsid w:val="00583180"/>
    <w:rsid w:val="00583231"/>
    <w:rsid w:val="00583697"/>
    <w:rsid w:val="00583744"/>
    <w:rsid w:val="00584341"/>
    <w:rsid w:val="00584FB8"/>
    <w:rsid w:val="00585561"/>
    <w:rsid w:val="005859F0"/>
    <w:rsid w:val="00585B61"/>
    <w:rsid w:val="00586FD6"/>
    <w:rsid w:val="005870BD"/>
    <w:rsid w:val="005870E7"/>
    <w:rsid w:val="0058758F"/>
    <w:rsid w:val="00587CE9"/>
    <w:rsid w:val="00587EAB"/>
    <w:rsid w:val="005902AE"/>
    <w:rsid w:val="005906DD"/>
    <w:rsid w:val="00590AFD"/>
    <w:rsid w:val="00590BB9"/>
    <w:rsid w:val="00590BBB"/>
    <w:rsid w:val="00590C87"/>
    <w:rsid w:val="00590DF3"/>
    <w:rsid w:val="00590E67"/>
    <w:rsid w:val="00590F93"/>
    <w:rsid w:val="00590FB6"/>
    <w:rsid w:val="00591908"/>
    <w:rsid w:val="00591EB2"/>
    <w:rsid w:val="00591F55"/>
    <w:rsid w:val="00592028"/>
    <w:rsid w:val="00592036"/>
    <w:rsid w:val="0059261F"/>
    <w:rsid w:val="00592980"/>
    <w:rsid w:val="00592BAD"/>
    <w:rsid w:val="00593096"/>
    <w:rsid w:val="00593208"/>
    <w:rsid w:val="00593248"/>
    <w:rsid w:val="0059365F"/>
    <w:rsid w:val="00593EA3"/>
    <w:rsid w:val="00593EF0"/>
    <w:rsid w:val="00594872"/>
    <w:rsid w:val="00594A0E"/>
    <w:rsid w:val="00595E09"/>
    <w:rsid w:val="005963F7"/>
    <w:rsid w:val="005969DB"/>
    <w:rsid w:val="00596E02"/>
    <w:rsid w:val="005975A2"/>
    <w:rsid w:val="00597628"/>
    <w:rsid w:val="005977CF"/>
    <w:rsid w:val="005A01F7"/>
    <w:rsid w:val="005A036C"/>
    <w:rsid w:val="005A070A"/>
    <w:rsid w:val="005A074A"/>
    <w:rsid w:val="005A08D2"/>
    <w:rsid w:val="005A0AA4"/>
    <w:rsid w:val="005A0F8E"/>
    <w:rsid w:val="005A11EF"/>
    <w:rsid w:val="005A179D"/>
    <w:rsid w:val="005A1CD6"/>
    <w:rsid w:val="005A29A0"/>
    <w:rsid w:val="005A2BFC"/>
    <w:rsid w:val="005A2D57"/>
    <w:rsid w:val="005A33EC"/>
    <w:rsid w:val="005A3C81"/>
    <w:rsid w:val="005A3E3C"/>
    <w:rsid w:val="005A4225"/>
    <w:rsid w:val="005A4E9A"/>
    <w:rsid w:val="005A5123"/>
    <w:rsid w:val="005A514A"/>
    <w:rsid w:val="005A5197"/>
    <w:rsid w:val="005A573F"/>
    <w:rsid w:val="005A5C5C"/>
    <w:rsid w:val="005A6612"/>
    <w:rsid w:val="005A670B"/>
    <w:rsid w:val="005A6716"/>
    <w:rsid w:val="005A6895"/>
    <w:rsid w:val="005A6C56"/>
    <w:rsid w:val="005A75E6"/>
    <w:rsid w:val="005A7732"/>
    <w:rsid w:val="005A7A7A"/>
    <w:rsid w:val="005B071D"/>
    <w:rsid w:val="005B0C6C"/>
    <w:rsid w:val="005B0D46"/>
    <w:rsid w:val="005B0F94"/>
    <w:rsid w:val="005B1816"/>
    <w:rsid w:val="005B1882"/>
    <w:rsid w:val="005B1962"/>
    <w:rsid w:val="005B1AE1"/>
    <w:rsid w:val="005B1C11"/>
    <w:rsid w:val="005B1F35"/>
    <w:rsid w:val="005B1F6E"/>
    <w:rsid w:val="005B2046"/>
    <w:rsid w:val="005B2077"/>
    <w:rsid w:val="005B217E"/>
    <w:rsid w:val="005B24D5"/>
    <w:rsid w:val="005B2597"/>
    <w:rsid w:val="005B2892"/>
    <w:rsid w:val="005B2B9F"/>
    <w:rsid w:val="005B313E"/>
    <w:rsid w:val="005B328B"/>
    <w:rsid w:val="005B35BA"/>
    <w:rsid w:val="005B3B75"/>
    <w:rsid w:val="005B3C70"/>
    <w:rsid w:val="005B3D81"/>
    <w:rsid w:val="005B441D"/>
    <w:rsid w:val="005B4D2B"/>
    <w:rsid w:val="005B5013"/>
    <w:rsid w:val="005B50D8"/>
    <w:rsid w:val="005B532B"/>
    <w:rsid w:val="005B5750"/>
    <w:rsid w:val="005B5A36"/>
    <w:rsid w:val="005B5A37"/>
    <w:rsid w:val="005B5A71"/>
    <w:rsid w:val="005B5C3F"/>
    <w:rsid w:val="005B5CC8"/>
    <w:rsid w:val="005B5F01"/>
    <w:rsid w:val="005B5FDA"/>
    <w:rsid w:val="005B6291"/>
    <w:rsid w:val="005B6425"/>
    <w:rsid w:val="005B65F0"/>
    <w:rsid w:val="005B6AB5"/>
    <w:rsid w:val="005B76F2"/>
    <w:rsid w:val="005B7A0E"/>
    <w:rsid w:val="005B7B3B"/>
    <w:rsid w:val="005B7B41"/>
    <w:rsid w:val="005C03E7"/>
    <w:rsid w:val="005C0C13"/>
    <w:rsid w:val="005C109F"/>
    <w:rsid w:val="005C11E3"/>
    <w:rsid w:val="005C14D2"/>
    <w:rsid w:val="005C1602"/>
    <w:rsid w:val="005C1722"/>
    <w:rsid w:val="005C1921"/>
    <w:rsid w:val="005C197B"/>
    <w:rsid w:val="005C1AC2"/>
    <w:rsid w:val="005C1C12"/>
    <w:rsid w:val="005C1DED"/>
    <w:rsid w:val="005C2296"/>
    <w:rsid w:val="005C2766"/>
    <w:rsid w:val="005C29DE"/>
    <w:rsid w:val="005C2CDA"/>
    <w:rsid w:val="005C2E03"/>
    <w:rsid w:val="005C2EC1"/>
    <w:rsid w:val="005C306B"/>
    <w:rsid w:val="005C3181"/>
    <w:rsid w:val="005C32C4"/>
    <w:rsid w:val="005C3887"/>
    <w:rsid w:val="005C38AE"/>
    <w:rsid w:val="005C4420"/>
    <w:rsid w:val="005C4608"/>
    <w:rsid w:val="005C4930"/>
    <w:rsid w:val="005C50A0"/>
    <w:rsid w:val="005C55BE"/>
    <w:rsid w:val="005C5750"/>
    <w:rsid w:val="005C5B55"/>
    <w:rsid w:val="005C5C10"/>
    <w:rsid w:val="005C5F45"/>
    <w:rsid w:val="005C5F78"/>
    <w:rsid w:val="005C66E5"/>
    <w:rsid w:val="005C68CB"/>
    <w:rsid w:val="005C69F3"/>
    <w:rsid w:val="005C6A33"/>
    <w:rsid w:val="005C6C9C"/>
    <w:rsid w:val="005C6CB3"/>
    <w:rsid w:val="005C704D"/>
    <w:rsid w:val="005C707E"/>
    <w:rsid w:val="005C70F2"/>
    <w:rsid w:val="005C7722"/>
    <w:rsid w:val="005D011C"/>
    <w:rsid w:val="005D05CB"/>
    <w:rsid w:val="005D072C"/>
    <w:rsid w:val="005D16E2"/>
    <w:rsid w:val="005D179C"/>
    <w:rsid w:val="005D1F62"/>
    <w:rsid w:val="005D2211"/>
    <w:rsid w:val="005D2567"/>
    <w:rsid w:val="005D287C"/>
    <w:rsid w:val="005D4085"/>
    <w:rsid w:val="005D4305"/>
    <w:rsid w:val="005D4B0D"/>
    <w:rsid w:val="005D4F00"/>
    <w:rsid w:val="005D59D0"/>
    <w:rsid w:val="005D5D8C"/>
    <w:rsid w:val="005D60AF"/>
    <w:rsid w:val="005D6C55"/>
    <w:rsid w:val="005D6EBE"/>
    <w:rsid w:val="005D6F26"/>
    <w:rsid w:val="005D791C"/>
    <w:rsid w:val="005D7CD4"/>
    <w:rsid w:val="005E0015"/>
    <w:rsid w:val="005E04D2"/>
    <w:rsid w:val="005E08B0"/>
    <w:rsid w:val="005E09F5"/>
    <w:rsid w:val="005E1282"/>
    <w:rsid w:val="005E1592"/>
    <w:rsid w:val="005E15F5"/>
    <w:rsid w:val="005E1B87"/>
    <w:rsid w:val="005E1FDA"/>
    <w:rsid w:val="005E234A"/>
    <w:rsid w:val="005E249F"/>
    <w:rsid w:val="005E2652"/>
    <w:rsid w:val="005E299B"/>
    <w:rsid w:val="005E33C9"/>
    <w:rsid w:val="005E3769"/>
    <w:rsid w:val="005E376E"/>
    <w:rsid w:val="005E37AB"/>
    <w:rsid w:val="005E39B4"/>
    <w:rsid w:val="005E3BB9"/>
    <w:rsid w:val="005E3C01"/>
    <w:rsid w:val="005E3E37"/>
    <w:rsid w:val="005E3E56"/>
    <w:rsid w:val="005E409B"/>
    <w:rsid w:val="005E41C8"/>
    <w:rsid w:val="005E5103"/>
    <w:rsid w:val="005E5199"/>
    <w:rsid w:val="005E559D"/>
    <w:rsid w:val="005E5647"/>
    <w:rsid w:val="005E595C"/>
    <w:rsid w:val="005E5BDE"/>
    <w:rsid w:val="005E5F3F"/>
    <w:rsid w:val="005E612E"/>
    <w:rsid w:val="005E616B"/>
    <w:rsid w:val="005E634C"/>
    <w:rsid w:val="005E65FE"/>
    <w:rsid w:val="005E69F5"/>
    <w:rsid w:val="005E6C38"/>
    <w:rsid w:val="005E6D56"/>
    <w:rsid w:val="005E6E65"/>
    <w:rsid w:val="005E6EA6"/>
    <w:rsid w:val="005E6FD2"/>
    <w:rsid w:val="005E709B"/>
    <w:rsid w:val="005E71B2"/>
    <w:rsid w:val="005E7744"/>
    <w:rsid w:val="005E7CB8"/>
    <w:rsid w:val="005E7EDF"/>
    <w:rsid w:val="005F0023"/>
    <w:rsid w:val="005F0290"/>
    <w:rsid w:val="005F02F3"/>
    <w:rsid w:val="005F099D"/>
    <w:rsid w:val="005F0E4F"/>
    <w:rsid w:val="005F1698"/>
    <w:rsid w:val="005F1773"/>
    <w:rsid w:val="005F1E5F"/>
    <w:rsid w:val="005F20C7"/>
    <w:rsid w:val="005F24ED"/>
    <w:rsid w:val="005F2B2F"/>
    <w:rsid w:val="005F2C0A"/>
    <w:rsid w:val="005F2C5C"/>
    <w:rsid w:val="005F2DB8"/>
    <w:rsid w:val="005F3065"/>
    <w:rsid w:val="005F30DA"/>
    <w:rsid w:val="005F3562"/>
    <w:rsid w:val="005F36CB"/>
    <w:rsid w:val="005F37E5"/>
    <w:rsid w:val="005F4984"/>
    <w:rsid w:val="005F4BD5"/>
    <w:rsid w:val="005F4C89"/>
    <w:rsid w:val="005F4F50"/>
    <w:rsid w:val="005F508F"/>
    <w:rsid w:val="005F585A"/>
    <w:rsid w:val="005F6058"/>
    <w:rsid w:val="005F64B0"/>
    <w:rsid w:val="005F69EA"/>
    <w:rsid w:val="005F729F"/>
    <w:rsid w:val="005F791C"/>
    <w:rsid w:val="005F7D19"/>
    <w:rsid w:val="005F7F46"/>
    <w:rsid w:val="006001C2"/>
    <w:rsid w:val="006003F3"/>
    <w:rsid w:val="0060086E"/>
    <w:rsid w:val="0060188E"/>
    <w:rsid w:val="00601A76"/>
    <w:rsid w:val="00601BB2"/>
    <w:rsid w:val="00601D05"/>
    <w:rsid w:val="00601D07"/>
    <w:rsid w:val="00601DF5"/>
    <w:rsid w:val="00601F18"/>
    <w:rsid w:val="00602070"/>
    <w:rsid w:val="006021A3"/>
    <w:rsid w:val="006022A8"/>
    <w:rsid w:val="006023A5"/>
    <w:rsid w:val="006023AA"/>
    <w:rsid w:val="00602F73"/>
    <w:rsid w:val="0060326B"/>
    <w:rsid w:val="00603333"/>
    <w:rsid w:val="00603688"/>
    <w:rsid w:val="006039AB"/>
    <w:rsid w:val="00603D67"/>
    <w:rsid w:val="00604301"/>
    <w:rsid w:val="00604478"/>
    <w:rsid w:val="00604518"/>
    <w:rsid w:val="00604539"/>
    <w:rsid w:val="006045D8"/>
    <w:rsid w:val="00604A77"/>
    <w:rsid w:val="00604BC9"/>
    <w:rsid w:val="00604F23"/>
    <w:rsid w:val="006052B9"/>
    <w:rsid w:val="00605319"/>
    <w:rsid w:val="006054CF"/>
    <w:rsid w:val="006054E1"/>
    <w:rsid w:val="00605564"/>
    <w:rsid w:val="0060558C"/>
    <w:rsid w:val="0060597F"/>
    <w:rsid w:val="006068B3"/>
    <w:rsid w:val="006069D8"/>
    <w:rsid w:val="00606B72"/>
    <w:rsid w:val="00606E77"/>
    <w:rsid w:val="006073D0"/>
    <w:rsid w:val="00607E59"/>
    <w:rsid w:val="00607E85"/>
    <w:rsid w:val="00610094"/>
    <w:rsid w:val="006103A9"/>
    <w:rsid w:val="00610487"/>
    <w:rsid w:val="0061051E"/>
    <w:rsid w:val="0061152A"/>
    <w:rsid w:val="006118F7"/>
    <w:rsid w:val="00611AA3"/>
    <w:rsid w:val="00611E8C"/>
    <w:rsid w:val="00611FD7"/>
    <w:rsid w:val="00612BDD"/>
    <w:rsid w:val="00612F69"/>
    <w:rsid w:val="006134F7"/>
    <w:rsid w:val="00613C19"/>
    <w:rsid w:val="00614268"/>
    <w:rsid w:val="006144E0"/>
    <w:rsid w:val="006145CA"/>
    <w:rsid w:val="006149DF"/>
    <w:rsid w:val="00614CED"/>
    <w:rsid w:val="00614E7A"/>
    <w:rsid w:val="00615081"/>
    <w:rsid w:val="00615298"/>
    <w:rsid w:val="00615805"/>
    <w:rsid w:val="00615AB4"/>
    <w:rsid w:val="00616060"/>
    <w:rsid w:val="00616542"/>
    <w:rsid w:val="00616A1C"/>
    <w:rsid w:val="00616F53"/>
    <w:rsid w:val="00617159"/>
    <w:rsid w:val="0062005A"/>
    <w:rsid w:val="00620092"/>
    <w:rsid w:val="00620150"/>
    <w:rsid w:val="00620307"/>
    <w:rsid w:val="00620366"/>
    <w:rsid w:val="0062046F"/>
    <w:rsid w:val="00620933"/>
    <w:rsid w:val="00620A51"/>
    <w:rsid w:val="00620AA4"/>
    <w:rsid w:val="00620CE4"/>
    <w:rsid w:val="00620DC9"/>
    <w:rsid w:val="006213A7"/>
    <w:rsid w:val="0062143C"/>
    <w:rsid w:val="006217F3"/>
    <w:rsid w:val="00621C7A"/>
    <w:rsid w:val="00621E98"/>
    <w:rsid w:val="006221C6"/>
    <w:rsid w:val="00622891"/>
    <w:rsid w:val="00623119"/>
    <w:rsid w:val="0062320A"/>
    <w:rsid w:val="006238BB"/>
    <w:rsid w:val="00624545"/>
    <w:rsid w:val="00624830"/>
    <w:rsid w:val="006248E0"/>
    <w:rsid w:val="00624B00"/>
    <w:rsid w:val="00624D3B"/>
    <w:rsid w:val="00624E1F"/>
    <w:rsid w:val="006252DC"/>
    <w:rsid w:val="0062588A"/>
    <w:rsid w:val="00625BA7"/>
    <w:rsid w:val="00625EBB"/>
    <w:rsid w:val="00625ED9"/>
    <w:rsid w:val="00626059"/>
    <w:rsid w:val="006270DA"/>
    <w:rsid w:val="00627269"/>
    <w:rsid w:val="00627659"/>
    <w:rsid w:val="00627D80"/>
    <w:rsid w:val="00627FA8"/>
    <w:rsid w:val="0063059B"/>
    <w:rsid w:val="006311A7"/>
    <w:rsid w:val="006316A4"/>
    <w:rsid w:val="00631A8A"/>
    <w:rsid w:val="0063210E"/>
    <w:rsid w:val="006323F5"/>
    <w:rsid w:val="006324D8"/>
    <w:rsid w:val="00632580"/>
    <w:rsid w:val="00632CFD"/>
    <w:rsid w:val="00632F00"/>
    <w:rsid w:val="00632F04"/>
    <w:rsid w:val="0063301E"/>
    <w:rsid w:val="00633813"/>
    <w:rsid w:val="006338C3"/>
    <w:rsid w:val="00633AF1"/>
    <w:rsid w:val="006344E5"/>
    <w:rsid w:val="0063497A"/>
    <w:rsid w:val="00634C6E"/>
    <w:rsid w:val="00635AA9"/>
    <w:rsid w:val="00635B65"/>
    <w:rsid w:val="00635F72"/>
    <w:rsid w:val="006364B2"/>
    <w:rsid w:val="006369B3"/>
    <w:rsid w:val="00636ABD"/>
    <w:rsid w:val="0063714C"/>
    <w:rsid w:val="00637A6B"/>
    <w:rsid w:val="00637CEB"/>
    <w:rsid w:val="006404A2"/>
    <w:rsid w:val="00640D79"/>
    <w:rsid w:val="00640EEC"/>
    <w:rsid w:val="006413E7"/>
    <w:rsid w:val="00641421"/>
    <w:rsid w:val="00641545"/>
    <w:rsid w:val="00641A19"/>
    <w:rsid w:val="00642114"/>
    <w:rsid w:val="00642528"/>
    <w:rsid w:val="0064263D"/>
    <w:rsid w:val="0064307B"/>
    <w:rsid w:val="00643457"/>
    <w:rsid w:val="006438D5"/>
    <w:rsid w:val="00643971"/>
    <w:rsid w:val="00643A63"/>
    <w:rsid w:val="00644A66"/>
    <w:rsid w:val="00644D3A"/>
    <w:rsid w:val="00644F10"/>
    <w:rsid w:val="0064591E"/>
    <w:rsid w:val="00645B24"/>
    <w:rsid w:val="00645CD9"/>
    <w:rsid w:val="00645DDE"/>
    <w:rsid w:val="00646187"/>
    <w:rsid w:val="00646556"/>
    <w:rsid w:val="0064673B"/>
    <w:rsid w:val="006467ED"/>
    <w:rsid w:val="0064722C"/>
    <w:rsid w:val="006477F8"/>
    <w:rsid w:val="00647AEA"/>
    <w:rsid w:val="00647B34"/>
    <w:rsid w:val="00647CF0"/>
    <w:rsid w:val="00647D8B"/>
    <w:rsid w:val="00647EB7"/>
    <w:rsid w:val="00647FFE"/>
    <w:rsid w:val="00650A99"/>
    <w:rsid w:val="00650CFF"/>
    <w:rsid w:val="00650DE7"/>
    <w:rsid w:val="006510BB"/>
    <w:rsid w:val="006513B2"/>
    <w:rsid w:val="006515AE"/>
    <w:rsid w:val="00651B45"/>
    <w:rsid w:val="00651D72"/>
    <w:rsid w:val="006520F6"/>
    <w:rsid w:val="006523E9"/>
    <w:rsid w:val="00652676"/>
    <w:rsid w:val="00652E25"/>
    <w:rsid w:val="006531EA"/>
    <w:rsid w:val="00653209"/>
    <w:rsid w:val="00653664"/>
    <w:rsid w:val="006538E5"/>
    <w:rsid w:val="006539D7"/>
    <w:rsid w:val="00653E55"/>
    <w:rsid w:val="00654256"/>
    <w:rsid w:val="0065433E"/>
    <w:rsid w:val="006547DA"/>
    <w:rsid w:val="00654EC5"/>
    <w:rsid w:val="006553F7"/>
    <w:rsid w:val="006557A6"/>
    <w:rsid w:val="0065605F"/>
    <w:rsid w:val="0065649E"/>
    <w:rsid w:val="00656E06"/>
    <w:rsid w:val="00656FFD"/>
    <w:rsid w:val="006572DC"/>
    <w:rsid w:val="00657413"/>
    <w:rsid w:val="00657650"/>
    <w:rsid w:val="00657A30"/>
    <w:rsid w:val="00657FA9"/>
    <w:rsid w:val="00660B62"/>
    <w:rsid w:val="00660BF0"/>
    <w:rsid w:val="00660C52"/>
    <w:rsid w:val="00660F40"/>
    <w:rsid w:val="00661C22"/>
    <w:rsid w:val="0066224C"/>
    <w:rsid w:val="00663011"/>
    <w:rsid w:val="00663695"/>
    <w:rsid w:val="0066395B"/>
    <w:rsid w:val="0066396D"/>
    <w:rsid w:val="00663A5A"/>
    <w:rsid w:val="00663ECF"/>
    <w:rsid w:val="00663F07"/>
    <w:rsid w:val="00664055"/>
    <w:rsid w:val="00664B5A"/>
    <w:rsid w:val="00664DEB"/>
    <w:rsid w:val="00664E85"/>
    <w:rsid w:val="006655CA"/>
    <w:rsid w:val="006658C6"/>
    <w:rsid w:val="00665ADB"/>
    <w:rsid w:val="006665F1"/>
    <w:rsid w:val="006678F3"/>
    <w:rsid w:val="00667994"/>
    <w:rsid w:val="00667B47"/>
    <w:rsid w:val="00670171"/>
    <w:rsid w:val="006706FD"/>
    <w:rsid w:val="006710F9"/>
    <w:rsid w:val="0067260F"/>
    <w:rsid w:val="00672648"/>
    <w:rsid w:val="00673979"/>
    <w:rsid w:val="00673BC7"/>
    <w:rsid w:val="00673DDA"/>
    <w:rsid w:val="00674359"/>
    <w:rsid w:val="00674694"/>
    <w:rsid w:val="006746FD"/>
    <w:rsid w:val="00674826"/>
    <w:rsid w:val="00675151"/>
    <w:rsid w:val="00675B44"/>
    <w:rsid w:val="00675C10"/>
    <w:rsid w:val="00675C90"/>
    <w:rsid w:val="00675D8B"/>
    <w:rsid w:val="00675F15"/>
    <w:rsid w:val="006763BD"/>
    <w:rsid w:val="006767A8"/>
    <w:rsid w:val="00676950"/>
    <w:rsid w:val="00676AC8"/>
    <w:rsid w:val="00676AFC"/>
    <w:rsid w:val="00676BA7"/>
    <w:rsid w:val="006776D6"/>
    <w:rsid w:val="00677F25"/>
    <w:rsid w:val="006802F8"/>
    <w:rsid w:val="00680380"/>
    <w:rsid w:val="00680831"/>
    <w:rsid w:val="00680ABE"/>
    <w:rsid w:val="00680ECB"/>
    <w:rsid w:val="00681758"/>
    <w:rsid w:val="0068178A"/>
    <w:rsid w:val="00681CC8"/>
    <w:rsid w:val="00681CD6"/>
    <w:rsid w:val="00681D34"/>
    <w:rsid w:val="00681F1B"/>
    <w:rsid w:val="00682115"/>
    <w:rsid w:val="006821A8"/>
    <w:rsid w:val="00682333"/>
    <w:rsid w:val="006823D2"/>
    <w:rsid w:val="006823ED"/>
    <w:rsid w:val="006823F8"/>
    <w:rsid w:val="006827AB"/>
    <w:rsid w:val="00682833"/>
    <w:rsid w:val="00682CCB"/>
    <w:rsid w:val="00683108"/>
    <w:rsid w:val="00683214"/>
    <w:rsid w:val="006832DE"/>
    <w:rsid w:val="00683B49"/>
    <w:rsid w:val="00684135"/>
    <w:rsid w:val="00684570"/>
    <w:rsid w:val="00684D74"/>
    <w:rsid w:val="00684FDA"/>
    <w:rsid w:val="006851D6"/>
    <w:rsid w:val="00685CBA"/>
    <w:rsid w:val="006863DF"/>
    <w:rsid w:val="0068765F"/>
    <w:rsid w:val="006879FC"/>
    <w:rsid w:val="00687CC8"/>
    <w:rsid w:val="00687EEB"/>
    <w:rsid w:val="00690057"/>
    <w:rsid w:val="006903F6"/>
    <w:rsid w:val="0069071B"/>
    <w:rsid w:val="00690A75"/>
    <w:rsid w:val="00691374"/>
    <w:rsid w:val="00691568"/>
    <w:rsid w:val="00691682"/>
    <w:rsid w:val="00691816"/>
    <w:rsid w:val="00691CAE"/>
    <w:rsid w:val="00693480"/>
    <w:rsid w:val="006934D4"/>
    <w:rsid w:val="006938D2"/>
    <w:rsid w:val="00693A8D"/>
    <w:rsid w:val="00693A93"/>
    <w:rsid w:val="0069453B"/>
    <w:rsid w:val="0069499B"/>
    <w:rsid w:val="006949D3"/>
    <w:rsid w:val="00694AB8"/>
    <w:rsid w:val="00694CAE"/>
    <w:rsid w:val="00694D55"/>
    <w:rsid w:val="00694F08"/>
    <w:rsid w:val="00694F89"/>
    <w:rsid w:val="00695400"/>
    <w:rsid w:val="00695838"/>
    <w:rsid w:val="0069636C"/>
    <w:rsid w:val="00696370"/>
    <w:rsid w:val="00696703"/>
    <w:rsid w:val="006969CD"/>
    <w:rsid w:val="00696D73"/>
    <w:rsid w:val="00697225"/>
    <w:rsid w:val="006A087D"/>
    <w:rsid w:val="006A0893"/>
    <w:rsid w:val="006A0A1B"/>
    <w:rsid w:val="006A0B8D"/>
    <w:rsid w:val="006A117B"/>
    <w:rsid w:val="006A13AF"/>
    <w:rsid w:val="006A153D"/>
    <w:rsid w:val="006A16C1"/>
    <w:rsid w:val="006A17E4"/>
    <w:rsid w:val="006A189C"/>
    <w:rsid w:val="006A18A3"/>
    <w:rsid w:val="006A18B8"/>
    <w:rsid w:val="006A1A9C"/>
    <w:rsid w:val="006A1D4A"/>
    <w:rsid w:val="006A24A2"/>
    <w:rsid w:val="006A2882"/>
    <w:rsid w:val="006A2B1E"/>
    <w:rsid w:val="006A2E97"/>
    <w:rsid w:val="006A2FAC"/>
    <w:rsid w:val="006A32F8"/>
    <w:rsid w:val="006A3823"/>
    <w:rsid w:val="006A3A0F"/>
    <w:rsid w:val="006A3FA4"/>
    <w:rsid w:val="006A452A"/>
    <w:rsid w:val="006A4887"/>
    <w:rsid w:val="006A49F1"/>
    <w:rsid w:val="006A4B3F"/>
    <w:rsid w:val="006A4D70"/>
    <w:rsid w:val="006A551E"/>
    <w:rsid w:val="006A5712"/>
    <w:rsid w:val="006A5A57"/>
    <w:rsid w:val="006A5AF6"/>
    <w:rsid w:val="006A5B9E"/>
    <w:rsid w:val="006A6101"/>
    <w:rsid w:val="006A6B66"/>
    <w:rsid w:val="006A7F33"/>
    <w:rsid w:val="006B0164"/>
    <w:rsid w:val="006B0A2A"/>
    <w:rsid w:val="006B0B2F"/>
    <w:rsid w:val="006B0BA6"/>
    <w:rsid w:val="006B153B"/>
    <w:rsid w:val="006B1903"/>
    <w:rsid w:val="006B1989"/>
    <w:rsid w:val="006B1AD7"/>
    <w:rsid w:val="006B2004"/>
    <w:rsid w:val="006B2278"/>
    <w:rsid w:val="006B26B6"/>
    <w:rsid w:val="006B26C4"/>
    <w:rsid w:val="006B289F"/>
    <w:rsid w:val="006B2C66"/>
    <w:rsid w:val="006B325D"/>
    <w:rsid w:val="006B347A"/>
    <w:rsid w:val="006B3552"/>
    <w:rsid w:val="006B391C"/>
    <w:rsid w:val="006B3AFC"/>
    <w:rsid w:val="006B40F4"/>
    <w:rsid w:val="006B4167"/>
    <w:rsid w:val="006B44F9"/>
    <w:rsid w:val="006B4607"/>
    <w:rsid w:val="006B4BD9"/>
    <w:rsid w:val="006B4FD9"/>
    <w:rsid w:val="006B54A1"/>
    <w:rsid w:val="006B5B35"/>
    <w:rsid w:val="006B6234"/>
    <w:rsid w:val="006B6D7D"/>
    <w:rsid w:val="006B7495"/>
    <w:rsid w:val="006B7ADE"/>
    <w:rsid w:val="006C04E3"/>
    <w:rsid w:val="006C0521"/>
    <w:rsid w:val="006C0CCC"/>
    <w:rsid w:val="006C1380"/>
    <w:rsid w:val="006C1716"/>
    <w:rsid w:val="006C1AAC"/>
    <w:rsid w:val="006C1F20"/>
    <w:rsid w:val="006C1F59"/>
    <w:rsid w:val="006C2416"/>
    <w:rsid w:val="006C2515"/>
    <w:rsid w:val="006C31B6"/>
    <w:rsid w:val="006C3426"/>
    <w:rsid w:val="006C3ED3"/>
    <w:rsid w:val="006C4372"/>
    <w:rsid w:val="006C4508"/>
    <w:rsid w:val="006C4B76"/>
    <w:rsid w:val="006C4B97"/>
    <w:rsid w:val="006C5039"/>
    <w:rsid w:val="006C5375"/>
    <w:rsid w:val="006C567E"/>
    <w:rsid w:val="006C59A7"/>
    <w:rsid w:val="006C5B24"/>
    <w:rsid w:val="006C5C74"/>
    <w:rsid w:val="006C643A"/>
    <w:rsid w:val="006C655B"/>
    <w:rsid w:val="006C6698"/>
    <w:rsid w:val="006C6C09"/>
    <w:rsid w:val="006C6E74"/>
    <w:rsid w:val="006C71F5"/>
    <w:rsid w:val="006C73BC"/>
    <w:rsid w:val="006C7407"/>
    <w:rsid w:val="006C7447"/>
    <w:rsid w:val="006C74F9"/>
    <w:rsid w:val="006C7652"/>
    <w:rsid w:val="006C780F"/>
    <w:rsid w:val="006C7E46"/>
    <w:rsid w:val="006C7EDE"/>
    <w:rsid w:val="006C7FCE"/>
    <w:rsid w:val="006D040E"/>
    <w:rsid w:val="006D0A06"/>
    <w:rsid w:val="006D16F5"/>
    <w:rsid w:val="006D1826"/>
    <w:rsid w:val="006D1A84"/>
    <w:rsid w:val="006D1F96"/>
    <w:rsid w:val="006D211D"/>
    <w:rsid w:val="006D2492"/>
    <w:rsid w:val="006D2A89"/>
    <w:rsid w:val="006D2C28"/>
    <w:rsid w:val="006D2E8D"/>
    <w:rsid w:val="006D34C9"/>
    <w:rsid w:val="006D38BE"/>
    <w:rsid w:val="006D38E6"/>
    <w:rsid w:val="006D3C1E"/>
    <w:rsid w:val="006D3E55"/>
    <w:rsid w:val="006D3F6C"/>
    <w:rsid w:val="006D42F4"/>
    <w:rsid w:val="006D433C"/>
    <w:rsid w:val="006D4877"/>
    <w:rsid w:val="006D5136"/>
    <w:rsid w:val="006D5660"/>
    <w:rsid w:val="006D5C59"/>
    <w:rsid w:val="006D5CB1"/>
    <w:rsid w:val="006D6665"/>
    <w:rsid w:val="006D68B9"/>
    <w:rsid w:val="006D69DF"/>
    <w:rsid w:val="006D736A"/>
    <w:rsid w:val="006D765F"/>
    <w:rsid w:val="006D7845"/>
    <w:rsid w:val="006E051B"/>
    <w:rsid w:val="006E07DA"/>
    <w:rsid w:val="006E0A86"/>
    <w:rsid w:val="006E0AAE"/>
    <w:rsid w:val="006E0F9A"/>
    <w:rsid w:val="006E1484"/>
    <w:rsid w:val="006E1781"/>
    <w:rsid w:val="006E195D"/>
    <w:rsid w:val="006E1DB3"/>
    <w:rsid w:val="006E1F2D"/>
    <w:rsid w:val="006E2650"/>
    <w:rsid w:val="006E2A92"/>
    <w:rsid w:val="006E2C16"/>
    <w:rsid w:val="006E2E13"/>
    <w:rsid w:val="006E3350"/>
    <w:rsid w:val="006E33B0"/>
    <w:rsid w:val="006E36DB"/>
    <w:rsid w:val="006E3D11"/>
    <w:rsid w:val="006E405D"/>
    <w:rsid w:val="006E4368"/>
    <w:rsid w:val="006E4369"/>
    <w:rsid w:val="006E4440"/>
    <w:rsid w:val="006E4C15"/>
    <w:rsid w:val="006E5912"/>
    <w:rsid w:val="006E607D"/>
    <w:rsid w:val="006E6102"/>
    <w:rsid w:val="006E632C"/>
    <w:rsid w:val="006E6580"/>
    <w:rsid w:val="006E68DA"/>
    <w:rsid w:val="006E6A31"/>
    <w:rsid w:val="006E6FD2"/>
    <w:rsid w:val="006E7440"/>
    <w:rsid w:val="006E7F5D"/>
    <w:rsid w:val="006F0203"/>
    <w:rsid w:val="006F04AE"/>
    <w:rsid w:val="006F0954"/>
    <w:rsid w:val="006F0D09"/>
    <w:rsid w:val="006F14E8"/>
    <w:rsid w:val="006F16CD"/>
    <w:rsid w:val="006F17E1"/>
    <w:rsid w:val="006F1E5F"/>
    <w:rsid w:val="006F27C6"/>
    <w:rsid w:val="006F2810"/>
    <w:rsid w:val="006F37A1"/>
    <w:rsid w:val="006F3B5B"/>
    <w:rsid w:val="006F3EC8"/>
    <w:rsid w:val="006F40A8"/>
    <w:rsid w:val="006F455A"/>
    <w:rsid w:val="006F4820"/>
    <w:rsid w:val="006F4DA6"/>
    <w:rsid w:val="006F522F"/>
    <w:rsid w:val="006F5355"/>
    <w:rsid w:val="006F5381"/>
    <w:rsid w:val="006F58F6"/>
    <w:rsid w:val="006F5977"/>
    <w:rsid w:val="006F5DD1"/>
    <w:rsid w:val="006F62FC"/>
    <w:rsid w:val="006F77AD"/>
    <w:rsid w:val="006F79EE"/>
    <w:rsid w:val="006F7C9B"/>
    <w:rsid w:val="006F7FB9"/>
    <w:rsid w:val="007001D5"/>
    <w:rsid w:val="007006F1"/>
    <w:rsid w:val="00700A70"/>
    <w:rsid w:val="00700DD4"/>
    <w:rsid w:val="0070148B"/>
    <w:rsid w:val="00702A93"/>
    <w:rsid w:val="0070398D"/>
    <w:rsid w:val="00703CAF"/>
    <w:rsid w:val="00703E2D"/>
    <w:rsid w:val="0070454C"/>
    <w:rsid w:val="007045FC"/>
    <w:rsid w:val="0070474A"/>
    <w:rsid w:val="0070527E"/>
    <w:rsid w:val="00705999"/>
    <w:rsid w:val="00705AE5"/>
    <w:rsid w:val="00705C19"/>
    <w:rsid w:val="00706032"/>
    <w:rsid w:val="007062CE"/>
    <w:rsid w:val="00706366"/>
    <w:rsid w:val="00706368"/>
    <w:rsid w:val="00706416"/>
    <w:rsid w:val="0070647A"/>
    <w:rsid w:val="00706ACD"/>
    <w:rsid w:val="00706DCB"/>
    <w:rsid w:val="00707220"/>
    <w:rsid w:val="00710AC5"/>
    <w:rsid w:val="00711019"/>
    <w:rsid w:val="0071114E"/>
    <w:rsid w:val="0071123B"/>
    <w:rsid w:val="0071142F"/>
    <w:rsid w:val="0071145C"/>
    <w:rsid w:val="0071176E"/>
    <w:rsid w:val="0071193A"/>
    <w:rsid w:val="00711CAF"/>
    <w:rsid w:val="00711FFC"/>
    <w:rsid w:val="007126A5"/>
    <w:rsid w:val="007127A5"/>
    <w:rsid w:val="00712A27"/>
    <w:rsid w:val="007134A1"/>
    <w:rsid w:val="00713968"/>
    <w:rsid w:val="0071457A"/>
    <w:rsid w:val="00714706"/>
    <w:rsid w:val="0071472C"/>
    <w:rsid w:val="00714813"/>
    <w:rsid w:val="00714EC6"/>
    <w:rsid w:val="007159AB"/>
    <w:rsid w:val="007159CB"/>
    <w:rsid w:val="00715B46"/>
    <w:rsid w:val="00715DD7"/>
    <w:rsid w:val="00716F1D"/>
    <w:rsid w:val="0071715E"/>
    <w:rsid w:val="00717688"/>
    <w:rsid w:val="00717B6E"/>
    <w:rsid w:val="00717C78"/>
    <w:rsid w:val="00720FDC"/>
    <w:rsid w:val="00721684"/>
    <w:rsid w:val="00721762"/>
    <w:rsid w:val="007219EE"/>
    <w:rsid w:val="00721A74"/>
    <w:rsid w:val="007222BC"/>
    <w:rsid w:val="007229B8"/>
    <w:rsid w:val="00723389"/>
    <w:rsid w:val="00723C2E"/>
    <w:rsid w:val="00723EF9"/>
    <w:rsid w:val="00724307"/>
    <w:rsid w:val="007247C9"/>
    <w:rsid w:val="00724A7D"/>
    <w:rsid w:val="007255DF"/>
    <w:rsid w:val="0072567B"/>
    <w:rsid w:val="0072570E"/>
    <w:rsid w:val="00726172"/>
    <w:rsid w:val="00726753"/>
    <w:rsid w:val="00726F87"/>
    <w:rsid w:val="00727197"/>
    <w:rsid w:val="00727390"/>
    <w:rsid w:val="0072777D"/>
    <w:rsid w:val="00727CD1"/>
    <w:rsid w:val="00727D4D"/>
    <w:rsid w:val="0073012B"/>
    <w:rsid w:val="00730301"/>
    <w:rsid w:val="00730462"/>
    <w:rsid w:val="0073051A"/>
    <w:rsid w:val="00730702"/>
    <w:rsid w:val="00730B7E"/>
    <w:rsid w:val="00730C38"/>
    <w:rsid w:val="00730C5B"/>
    <w:rsid w:val="00730D05"/>
    <w:rsid w:val="007315ED"/>
    <w:rsid w:val="00731653"/>
    <w:rsid w:val="007318E5"/>
    <w:rsid w:val="00731AB5"/>
    <w:rsid w:val="0073288C"/>
    <w:rsid w:val="00732BA4"/>
    <w:rsid w:val="00732FC2"/>
    <w:rsid w:val="007337C5"/>
    <w:rsid w:val="00733A59"/>
    <w:rsid w:val="0073400F"/>
    <w:rsid w:val="00734265"/>
    <w:rsid w:val="007343D8"/>
    <w:rsid w:val="00734612"/>
    <w:rsid w:val="00735103"/>
    <w:rsid w:val="0073556E"/>
    <w:rsid w:val="0073558C"/>
    <w:rsid w:val="0073584C"/>
    <w:rsid w:val="00736498"/>
    <w:rsid w:val="00736587"/>
    <w:rsid w:val="007366F1"/>
    <w:rsid w:val="00736AC2"/>
    <w:rsid w:val="00736DA1"/>
    <w:rsid w:val="00737BFA"/>
    <w:rsid w:val="00737ED0"/>
    <w:rsid w:val="0074095D"/>
    <w:rsid w:val="00740A52"/>
    <w:rsid w:val="00740D0A"/>
    <w:rsid w:val="00740D86"/>
    <w:rsid w:val="00741091"/>
    <w:rsid w:val="007416D9"/>
    <w:rsid w:val="00741D9F"/>
    <w:rsid w:val="00741FFD"/>
    <w:rsid w:val="0074242A"/>
    <w:rsid w:val="0074248D"/>
    <w:rsid w:val="00742E08"/>
    <w:rsid w:val="00742E7C"/>
    <w:rsid w:val="00742FD6"/>
    <w:rsid w:val="0074337C"/>
    <w:rsid w:val="007441D6"/>
    <w:rsid w:val="00744274"/>
    <w:rsid w:val="0074461B"/>
    <w:rsid w:val="007448FB"/>
    <w:rsid w:val="0074490E"/>
    <w:rsid w:val="00744930"/>
    <w:rsid w:val="00744E0E"/>
    <w:rsid w:val="00745108"/>
    <w:rsid w:val="007454FE"/>
    <w:rsid w:val="00745C76"/>
    <w:rsid w:val="00745E7A"/>
    <w:rsid w:val="00745F1A"/>
    <w:rsid w:val="0074692B"/>
    <w:rsid w:val="00746EE0"/>
    <w:rsid w:val="00746FD4"/>
    <w:rsid w:val="00747761"/>
    <w:rsid w:val="00747CB1"/>
    <w:rsid w:val="00750679"/>
    <w:rsid w:val="0075073C"/>
    <w:rsid w:val="00750828"/>
    <w:rsid w:val="00750A14"/>
    <w:rsid w:val="00750AEA"/>
    <w:rsid w:val="00750E67"/>
    <w:rsid w:val="00750EDC"/>
    <w:rsid w:val="00751B7F"/>
    <w:rsid w:val="00751D35"/>
    <w:rsid w:val="0075211A"/>
    <w:rsid w:val="007523D5"/>
    <w:rsid w:val="007528AF"/>
    <w:rsid w:val="00752B49"/>
    <w:rsid w:val="00752D2C"/>
    <w:rsid w:val="00752DAB"/>
    <w:rsid w:val="007544B8"/>
    <w:rsid w:val="007544F4"/>
    <w:rsid w:val="00755022"/>
    <w:rsid w:val="00755183"/>
    <w:rsid w:val="0075571C"/>
    <w:rsid w:val="007559B0"/>
    <w:rsid w:val="00755B2D"/>
    <w:rsid w:val="007562A9"/>
    <w:rsid w:val="007562E9"/>
    <w:rsid w:val="00756317"/>
    <w:rsid w:val="00756491"/>
    <w:rsid w:val="00756698"/>
    <w:rsid w:val="00756ABC"/>
    <w:rsid w:val="007577F5"/>
    <w:rsid w:val="007579AA"/>
    <w:rsid w:val="00757A5E"/>
    <w:rsid w:val="0076011B"/>
    <w:rsid w:val="00760665"/>
    <w:rsid w:val="00760D11"/>
    <w:rsid w:val="00760D2F"/>
    <w:rsid w:val="00761999"/>
    <w:rsid w:val="00761A7B"/>
    <w:rsid w:val="00761C0D"/>
    <w:rsid w:val="00761CCC"/>
    <w:rsid w:val="00761D13"/>
    <w:rsid w:val="00762220"/>
    <w:rsid w:val="0076246A"/>
    <w:rsid w:val="00762490"/>
    <w:rsid w:val="00762768"/>
    <w:rsid w:val="007629A8"/>
    <w:rsid w:val="00762B2D"/>
    <w:rsid w:val="00763010"/>
    <w:rsid w:val="00763814"/>
    <w:rsid w:val="00764309"/>
    <w:rsid w:val="0076476E"/>
    <w:rsid w:val="007648D0"/>
    <w:rsid w:val="007652ED"/>
    <w:rsid w:val="0076533F"/>
    <w:rsid w:val="00765470"/>
    <w:rsid w:val="00765689"/>
    <w:rsid w:val="00765A1A"/>
    <w:rsid w:val="00765CF4"/>
    <w:rsid w:val="00765D51"/>
    <w:rsid w:val="00765F6E"/>
    <w:rsid w:val="007662A6"/>
    <w:rsid w:val="00766B81"/>
    <w:rsid w:val="00766BC4"/>
    <w:rsid w:val="00767231"/>
    <w:rsid w:val="00767925"/>
    <w:rsid w:val="00767BD1"/>
    <w:rsid w:val="007707C5"/>
    <w:rsid w:val="00770A92"/>
    <w:rsid w:val="00770DC0"/>
    <w:rsid w:val="00770F0B"/>
    <w:rsid w:val="00770F3C"/>
    <w:rsid w:val="00771331"/>
    <w:rsid w:val="00771917"/>
    <w:rsid w:val="007722F4"/>
    <w:rsid w:val="0077299C"/>
    <w:rsid w:val="00772AC2"/>
    <w:rsid w:val="00773817"/>
    <w:rsid w:val="00773856"/>
    <w:rsid w:val="00773FFD"/>
    <w:rsid w:val="0077434A"/>
    <w:rsid w:val="00774802"/>
    <w:rsid w:val="00774869"/>
    <w:rsid w:val="00775A4F"/>
    <w:rsid w:val="00775B45"/>
    <w:rsid w:val="00775E12"/>
    <w:rsid w:val="00776037"/>
    <w:rsid w:val="007762A6"/>
    <w:rsid w:val="007762FD"/>
    <w:rsid w:val="00776618"/>
    <w:rsid w:val="007767A1"/>
    <w:rsid w:val="007768D1"/>
    <w:rsid w:val="00776E94"/>
    <w:rsid w:val="00777040"/>
    <w:rsid w:val="007772AA"/>
    <w:rsid w:val="00777C6E"/>
    <w:rsid w:val="00777EA9"/>
    <w:rsid w:val="0078021A"/>
    <w:rsid w:val="0078049E"/>
    <w:rsid w:val="00780BE8"/>
    <w:rsid w:val="00780C72"/>
    <w:rsid w:val="00781015"/>
    <w:rsid w:val="00782409"/>
    <w:rsid w:val="0078251C"/>
    <w:rsid w:val="00782D13"/>
    <w:rsid w:val="00782F6C"/>
    <w:rsid w:val="00783065"/>
    <w:rsid w:val="00783488"/>
    <w:rsid w:val="007834A4"/>
    <w:rsid w:val="007838A3"/>
    <w:rsid w:val="00783A58"/>
    <w:rsid w:val="00783A7C"/>
    <w:rsid w:val="00783CD7"/>
    <w:rsid w:val="00783E4E"/>
    <w:rsid w:val="0078400A"/>
    <w:rsid w:val="007841E6"/>
    <w:rsid w:val="0078427A"/>
    <w:rsid w:val="0078435F"/>
    <w:rsid w:val="00784CEE"/>
    <w:rsid w:val="00784D65"/>
    <w:rsid w:val="00784EB4"/>
    <w:rsid w:val="007850B1"/>
    <w:rsid w:val="007854B9"/>
    <w:rsid w:val="00785567"/>
    <w:rsid w:val="007857A3"/>
    <w:rsid w:val="00785909"/>
    <w:rsid w:val="00785CCB"/>
    <w:rsid w:val="00785F06"/>
    <w:rsid w:val="007861E1"/>
    <w:rsid w:val="007862DD"/>
    <w:rsid w:val="00786814"/>
    <w:rsid w:val="007868E9"/>
    <w:rsid w:val="007870C8"/>
    <w:rsid w:val="007871AB"/>
    <w:rsid w:val="00787431"/>
    <w:rsid w:val="007875D0"/>
    <w:rsid w:val="00787B6C"/>
    <w:rsid w:val="00787F19"/>
    <w:rsid w:val="00790169"/>
    <w:rsid w:val="0079020B"/>
    <w:rsid w:val="007908A3"/>
    <w:rsid w:val="00790B7A"/>
    <w:rsid w:val="00790EA6"/>
    <w:rsid w:val="00790F8F"/>
    <w:rsid w:val="00791076"/>
    <w:rsid w:val="007911BA"/>
    <w:rsid w:val="007914E0"/>
    <w:rsid w:val="00791549"/>
    <w:rsid w:val="00791729"/>
    <w:rsid w:val="007921EA"/>
    <w:rsid w:val="007922C7"/>
    <w:rsid w:val="007922EE"/>
    <w:rsid w:val="0079266A"/>
    <w:rsid w:val="007928B4"/>
    <w:rsid w:val="00792B5B"/>
    <w:rsid w:val="00792CC3"/>
    <w:rsid w:val="00792E5B"/>
    <w:rsid w:val="00793575"/>
    <w:rsid w:val="007939DB"/>
    <w:rsid w:val="00793A09"/>
    <w:rsid w:val="00793C04"/>
    <w:rsid w:val="007940F3"/>
    <w:rsid w:val="007940F7"/>
    <w:rsid w:val="00794AED"/>
    <w:rsid w:val="00794D4E"/>
    <w:rsid w:val="0079526E"/>
    <w:rsid w:val="00795348"/>
    <w:rsid w:val="00795597"/>
    <w:rsid w:val="00795C54"/>
    <w:rsid w:val="00795CC2"/>
    <w:rsid w:val="00795EFD"/>
    <w:rsid w:val="007962B6"/>
    <w:rsid w:val="007968FD"/>
    <w:rsid w:val="00796E33"/>
    <w:rsid w:val="0079706D"/>
    <w:rsid w:val="0079739C"/>
    <w:rsid w:val="007975D2"/>
    <w:rsid w:val="00797C17"/>
    <w:rsid w:val="00797C49"/>
    <w:rsid w:val="00797DE5"/>
    <w:rsid w:val="00797FD7"/>
    <w:rsid w:val="007A0224"/>
    <w:rsid w:val="007A0264"/>
    <w:rsid w:val="007A030C"/>
    <w:rsid w:val="007A05B9"/>
    <w:rsid w:val="007A16C4"/>
    <w:rsid w:val="007A1B12"/>
    <w:rsid w:val="007A1E1B"/>
    <w:rsid w:val="007A1E98"/>
    <w:rsid w:val="007A1EF9"/>
    <w:rsid w:val="007A1F63"/>
    <w:rsid w:val="007A20F9"/>
    <w:rsid w:val="007A2358"/>
    <w:rsid w:val="007A23BF"/>
    <w:rsid w:val="007A2462"/>
    <w:rsid w:val="007A25B2"/>
    <w:rsid w:val="007A274B"/>
    <w:rsid w:val="007A2BD6"/>
    <w:rsid w:val="007A2D1A"/>
    <w:rsid w:val="007A330C"/>
    <w:rsid w:val="007A332C"/>
    <w:rsid w:val="007A33E0"/>
    <w:rsid w:val="007A3A2E"/>
    <w:rsid w:val="007A3A6A"/>
    <w:rsid w:val="007A3CEA"/>
    <w:rsid w:val="007A3D46"/>
    <w:rsid w:val="007A3F48"/>
    <w:rsid w:val="007A45A5"/>
    <w:rsid w:val="007A50E1"/>
    <w:rsid w:val="007A5126"/>
    <w:rsid w:val="007A52C2"/>
    <w:rsid w:val="007A53D8"/>
    <w:rsid w:val="007A5E1A"/>
    <w:rsid w:val="007A62C9"/>
    <w:rsid w:val="007A65B3"/>
    <w:rsid w:val="007A6B4B"/>
    <w:rsid w:val="007A6BA3"/>
    <w:rsid w:val="007A6C8D"/>
    <w:rsid w:val="007A6CB2"/>
    <w:rsid w:val="007A7C17"/>
    <w:rsid w:val="007A7C94"/>
    <w:rsid w:val="007A7EDE"/>
    <w:rsid w:val="007A7FCD"/>
    <w:rsid w:val="007B0A94"/>
    <w:rsid w:val="007B0B28"/>
    <w:rsid w:val="007B0B5B"/>
    <w:rsid w:val="007B0D07"/>
    <w:rsid w:val="007B0FB0"/>
    <w:rsid w:val="007B0FEB"/>
    <w:rsid w:val="007B141B"/>
    <w:rsid w:val="007B196B"/>
    <w:rsid w:val="007B1CB3"/>
    <w:rsid w:val="007B2008"/>
    <w:rsid w:val="007B2316"/>
    <w:rsid w:val="007B25B2"/>
    <w:rsid w:val="007B323D"/>
    <w:rsid w:val="007B3311"/>
    <w:rsid w:val="007B338C"/>
    <w:rsid w:val="007B352B"/>
    <w:rsid w:val="007B39DB"/>
    <w:rsid w:val="007B3B39"/>
    <w:rsid w:val="007B3B61"/>
    <w:rsid w:val="007B3B9E"/>
    <w:rsid w:val="007B3E04"/>
    <w:rsid w:val="007B3EBC"/>
    <w:rsid w:val="007B3F68"/>
    <w:rsid w:val="007B413E"/>
    <w:rsid w:val="007B4785"/>
    <w:rsid w:val="007B4837"/>
    <w:rsid w:val="007B4C4F"/>
    <w:rsid w:val="007B525E"/>
    <w:rsid w:val="007B55BC"/>
    <w:rsid w:val="007B58D0"/>
    <w:rsid w:val="007B5F41"/>
    <w:rsid w:val="007B61B8"/>
    <w:rsid w:val="007B61EE"/>
    <w:rsid w:val="007B6331"/>
    <w:rsid w:val="007B669A"/>
    <w:rsid w:val="007B6A27"/>
    <w:rsid w:val="007B6AC3"/>
    <w:rsid w:val="007B6B69"/>
    <w:rsid w:val="007B712B"/>
    <w:rsid w:val="007B7145"/>
    <w:rsid w:val="007B73F9"/>
    <w:rsid w:val="007B7583"/>
    <w:rsid w:val="007B77F8"/>
    <w:rsid w:val="007B78D4"/>
    <w:rsid w:val="007C00F2"/>
    <w:rsid w:val="007C045B"/>
    <w:rsid w:val="007C0518"/>
    <w:rsid w:val="007C074E"/>
    <w:rsid w:val="007C08EF"/>
    <w:rsid w:val="007C0A00"/>
    <w:rsid w:val="007C0D5A"/>
    <w:rsid w:val="007C100E"/>
    <w:rsid w:val="007C11A3"/>
    <w:rsid w:val="007C1332"/>
    <w:rsid w:val="007C1398"/>
    <w:rsid w:val="007C161F"/>
    <w:rsid w:val="007C166F"/>
    <w:rsid w:val="007C1D05"/>
    <w:rsid w:val="007C2207"/>
    <w:rsid w:val="007C22F1"/>
    <w:rsid w:val="007C2AB4"/>
    <w:rsid w:val="007C3395"/>
    <w:rsid w:val="007C3B64"/>
    <w:rsid w:val="007C40F2"/>
    <w:rsid w:val="007C45A5"/>
    <w:rsid w:val="007C49BB"/>
    <w:rsid w:val="007C4C0C"/>
    <w:rsid w:val="007C4C39"/>
    <w:rsid w:val="007C4CD2"/>
    <w:rsid w:val="007C5623"/>
    <w:rsid w:val="007C65FE"/>
    <w:rsid w:val="007C6828"/>
    <w:rsid w:val="007C6CD4"/>
    <w:rsid w:val="007C72E8"/>
    <w:rsid w:val="007D027B"/>
    <w:rsid w:val="007D039D"/>
    <w:rsid w:val="007D0A47"/>
    <w:rsid w:val="007D0B01"/>
    <w:rsid w:val="007D0B11"/>
    <w:rsid w:val="007D1052"/>
    <w:rsid w:val="007D120D"/>
    <w:rsid w:val="007D1311"/>
    <w:rsid w:val="007D1531"/>
    <w:rsid w:val="007D153F"/>
    <w:rsid w:val="007D1CAC"/>
    <w:rsid w:val="007D1D04"/>
    <w:rsid w:val="007D2083"/>
    <w:rsid w:val="007D2271"/>
    <w:rsid w:val="007D2366"/>
    <w:rsid w:val="007D2AC2"/>
    <w:rsid w:val="007D2BE5"/>
    <w:rsid w:val="007D2C3D"/>
    <w:rsid w:val="007D2F34"/>
    <w:rsid w:val="007D31C2"/>
    <w:rsid w:val="007D3637"/>
    <w:rsid w:val="007D382F"/>
    <w:rsid w:val="007D3847"/>
    <w:rsid w:val="007D39D6"/>
    <w:rsid w:val="007D4EDB"/>
    <w:rsid w:val="007D5364"/>
    <w:rsid w:val="007D54DA"/>
    <w:rsid w:val="007D560E"/>
    <w:rsid w:val="007D56CB"/>
    <w:rsid w:val="007D5C60"/>
    <w:rsid w:val="007D6C82"/>
    <w:rsid w:val="007D6D4D"/>
    <w:rsid w:val="007D7C55"/>
    <w:rsid w:val="007E00AA"/>
    <w:rsid w:val="007E044F"/>
    <w:rsid w:val="007E06D5"/>
    <w:rsid w:val="007E0B27"/>
    <w:rsid w:val="007E0B49"/>
    <w:rsid w:val="007E12D5"/>
    <w:rsid w:val="007E1719"/>
    <w:rsid w:val="007E184C"/>
    <w:rsid w:val="007E1A71"/>
    <w:rsid w:val="007E1E5F"/>
    <w:rsid w:val="007E2258"/>
    <w:rsid w:val="007E2762"/>
    <w:rsid w:val="007E2FA5"/>
    <w:rsid w:val="007E319A"/>
    <w:rsid w:val="007E3252"/>
    <w:rsid w:val="007E3448"/>
    <w:rsid w:val="007E3929"/>
    <w:rsid w:val="007E40B3"/>
    <w:rsid w:val="007E4317"/>
    <w:rsid w:val="007E46A8"/>
    <w:rsid w:val="007E475A"/>
    <w:rsid w:val="007E4A85"/>
    <w:rsid w:val="007E54B9"/>
    <w:rsid w:val="007E5C7E"/>
    <w:rsid w:val="007E604B"/>
    <w:rsid w:val="007E62B0"/>
    <w:rsid w:val="007E6394"/>
    <w:rsid w:val="007E6851"/>
    <w:rsid w:val="007E68B4"/>
    <w:rsid w:val="007E7249"/>
    <w:rsid w:val="007E7366"/>
    <w:rsid w:val="007E73F6"/>
    <w:rsid w:val="007E7418"/>
    <w:rsid w:val="007E7658"/>
    <w:rsid w:val="007E7783"/>
    <w:rsid w:val="007E79BC"/>
    <w:rsid w:val="007F0011"/>
    <w:rsid w:val="007F03CD"/>
    <w:rsid w:val="007F0702"/>
    <w:rsid w:val="007F0D0D"/>
    <w:rsid w:val="007F1365"/>
    <w:rsid w:val="007F168A"/>
    <w:rsid w:val="007F176C"/>
    <w:rsid w:val="007F1F87"/>
    <w:rsid w:val="007F23EA"/>
    <w:rsid w:val="007F25A5"/>
    <w:rsid w:val="007F2A4A"/>
    <w:rsid w:val="007F2A7C"/>
    <w:rsid w:val="007F3124"/>
    <w:rsid w:val="007F365E"/>
    <w:rsid w:val="007F4119"/>
    <w:rsid w:val="007F4473"/>
    <w:rsid w:val="007F46A1"/>
    <w:rsid w:val="007F48D6"/>
    <w:rsid w:val="007F4ADC"/>
    <w:rsid w:val="007F4B78"/>
    <w:rsid w:val="007F585B"/>
    <w:rsid w:val="007F600F"/>
    <w:rsid w:val="007F6217"/>
    <w:rsid w:val="007F62C3"/>
    <w:rsid w:val="007F65FB"/>
    <w:rsid w:val="007F673E"/>
    <w:rsid w:val="007F6848"/>
    <w:rsid w:val="007F6C11"/>
    <w:rsid w:val="007F6D4B"/>
    <w:rsid w:val="007F6FA6"/>
    <w:rsid w:val="007F723B"/>
    <w:rsid w:val="007F7ACF"/>
    <w:rsid w:val="007F7B1F"/>
    <w:rsid w:val="00800305"/>
    <w:rsid w:val="00800369"/>
    <w:rsid w:val="008006F9"/>
    <w:rsid w:val="00800A70"/>
    <w:rsid w:val="00801036"/>
    <w:rsid w:val="00801243"/>
    <w:rsid w:val="0080151B"/>
    <w:rsid w:val="00801B70"/>
    <w:rsid w:val="00801E41"/>
    <w:rsid w:val="00802A7C"/>
    <w:rsid w:val="00802DAC"/>
    <w:rsid w:val="00803680"/>
    <w:rsid w:val="00803683"/>
    <w:rsid w:val="00803FFA"/>
    <w:rsid w:val="0080449C"/>
    <w:rsid w:val="0080485B"/>
    <w:rsid w:val="0080489D"/>
    <w:rsid w:val="00804D16"/>
    <w:rsid w:val="00805203"/>
    <w:rsid w:val="0080540F"/>
    <w:rsid w:val="00805448"/>
    <w:rsid w:val="00805481"/>
    <w:rsid w:val="00805812"/>
    <w:rsid w:val="00805893"/>
    <w:rsid w:val="00805D43"/>
    <w:rsid w:val="0080602D"/>
    <w:rsid w:val="0080697B"/>
    <w:rsid w:val="008069D9"/>
    <w:rsid w:val="00806A6C"/>
    <w:rsid w:val="00806C74"/>
    <w:rsid w:val="00807029"/>
    <w:rsid w:val="008073FF"/>
    <w:rsid w:val="00807646"/>
    <w:rsid w:val="00807806"/>
    <w:rsid w:val="00810424"/>
    <w:rsid w:val="00810624"/>
    <w:rsid w:val="00810769"/>
    <w:rsid w:val="00810E49"/>
    <w:rsid w:val="00811580"/>
    <w:rsid w:val="008115B7"/>
    <w:rsid w:val="00811715"/>
    <w:rsid w:val="008117D3"/>
    <w:rsid w:val="0081188A"/>
    <w:rsid w:val="00811A7E"/>
    <w:rsid w:val="00811ECF"/>
    <w:rsid w:val="0081205A"/>
    <w:rsid w:val="00812B35"/>
    <w:rsid w:val="00812BCB"/>
    <w:rsid w:val="00812D0F"/>
    <w:rsid w:val="00813165"/>
    <w:rsid w:val="0081321A"/>
    <w:rsid w:val="00813380"/>
    <w:rsid w:val="00813484"/>
    <w:rsid w:val="00813592"/>
    <w:rsid w:val="00813619"/>
    <w:rsid w:val="00813756"/>
    <w:rsid w:val="00813BFC"/>
    <w:rsid w:val="00813D0F"/>
    <w:rsid w:val="008145BA"/>
    <w:rsid w:val="00814D65"/>
    <w:rsid w:val="00814E8B"/>
    <w:rsid w:val="008154D6"/>
    <w:rsid w:val="00815E22"/>
    <w:rsid w:val="00815E2E"/>
    <w:rsid w:val="0081633F"/>
    <w:rsid w:val="008168B7"/>
    <w:rsid w:val="008168C7"/>
    <w:rsid w:val="00816EE6"/>
    <w:rsid w:val="008170EC"/>
    <w:rsid w:val="0081729C"/>
    <w:rsid w:val="00817476"/>
    <w:rsid w:val="00817C73"/>
    <w:rsid w:val="00817E6C"/>
    <w:rsid w:val="0082046B"/>
    <w:rsid w:val="0082057F"/>
    <w:rsid w:val="00820D8C"/>
    <w:rsid w:val="00821C07"/>
    <w:rsid w:val="00821F60"/>
    <w:rsid w:val="00822994"/>
    <w:rsid w:val="00822B54"/>
    <w:rsid w:val="008236E5"/>
    <w:rsid w:val="008248B0"/>
    <w:rsid w:val="00824A74"/>
    <w:rsid w:val="00824E15"/>
    <w:rsid w:val="00825475"/>
    <w:rsid w:val="00825A26"/>
    <w:rsid w:val="00825E83"/>
    <w:rsid w:val="00826FBD"/>
    <w:rsid w:val="0082732F"/>
    <w:rsid w:val="00827899"/>
    <w:rsid w:val="008278D4"/>
    <w:rsid w:val="00827A08"/>
    <w:rsid w:val="00827BA1"/>
    <w:rsid w:val="00827D03"/>
    <w:rsid w:val="00827D28"/>
    <w:rsid w:val="00827F3B"/>
    <w:rsid w:val="008301C1"/>
    <w:rsid w:val="008301DB"/>
    <w:rsid w:val="0083024A"/>
    <w:rsid w:val="008308C4"/>
    <w:rsid w:val="008321AA"/>
    <w:rsid w:val="0083229F"/>
    <w:rsid w:val="008325B6"/>
    <w:rsid w:val="00833220"/>
    <w:rsid w:val="00833361"/>
    <w:rsid w:val="00833809"/>
    <w:rsid w:val="00833BE6"/>
    <w:rsid w:val="008341D9"/>
    <w:rsid w:val="00834359"/>
    <w:rsid w:val="008348D0"/>
    <w:rsid w:val="00834BF3"/>
    <w:rsid w:val="00835228"/>
    <w:rsid w:val="00835586"/>
    <w:rsid w:val="008355A8"/>
    <w:rsid w:val="0083566A"/>
    <w:rsid w:val="00835921"/>
    <w:rsid w:val="00835BF2"/>
    <w:rsid w:val="00835C93"/>
    <w:rsid w:val="00835DC2"/>
    <w:rsid w:val="008361FD"/>
    <w:rsid w:val="00836578"/>
    <w:rsid w:val="00836CC1"/>
    <w:rsid w:val="00836CD7"/>
    <w:rsid w:val="00837A87"/>
    <w:rsid w:val="00837F88"/>
    <w:rsid w:val="00840160"/>
    <w:rsid w:val="008405BB"/>
    <w:rsid w:val="0084083E"/>
    <w:rsid w:val="00840A0D"/>
    <w:rsid w:val="00840AAD"/>
    <w:rsid w:val="00840E3E"/>
    <w:rsid w:val="008410B9"/>
    <w:rsid w:val="00841482"/>
    <w:rsid w:val="008417EC"/>
    <w:rsid w:val="00841922"/>
    <w:rsid w:val="008419E4"/>
    <w:rsid w:val="00841C3D"/>
    <w:rsid w:val="00841CBB"/>
    <w:rsid w:val="008420A7"/>
    <w:rsid w:val="00843058"/>
    <w:rsid w:val="0084329E"/>
    <w:rsid w:val="008435B1"/>
    <w:rsid w:val="008435EC"/>
    <w:rsid w:val="008438A7"/>
    <w:rsid w:val="00844258"/>
    <w:rsid w:val="0084426A"/>
    <w:rsid w:val="00844897"/>
    <w:rsid w:val="00844AAA"/>
    <w:rsid w:val="00844FAA"/>
    <w:rsid w:val="0084523B"/>
    <w:rsid w:val="0084555D"/>
    <w:rsid w:val="00845AC8"/>
    <w:rsid w:val="00845CB5"/>
    <w:rsid w:val="00845D37"/>
    <w:rsid w:val="008462BA"/>
    <w:rsid w:val="0084646F"/>
    <w:rsid w:val="00847056"/>
    <w:rsid w:val="0084720E"/>
    <w:rsid w:val="0084733C"/>
    <w:rsid w:val="00847994"/>
    <w:rsid w:val="00847D60"/>
    <w:rsid w:val="00847E5E"/>
    <w:rsid w:val="008501B9"/>
    <w:rsid w:val="00850264"/>
    <w:rsid w:val="00850648"/>
    <w:rsid w:val="008506F9"/>
    <w:rsid w:val="00850C11"/>
    <w:rsid w:val="00850FF1"/>
    <w:rsid w:val="008512EE"/>
    <w:rsid w:val="008514DC"/>
    <w:rsid w:val="008517EF"/>
    <w:rsid w:val="008518B0"/>
    <w:rsid w:val="008519C5"/>
    <w:rsid w:val="00851D0D"/>
    <w:rsid w:val="00851E28"/>
    <w:rsid w:val="00852782"/>
    <w:rsid w:val="00853002"/>
    <w:rsid w:val="00853716"/>
    <w:rsid w:val="00853961"/>
    <w:rsid w:val="008539F4"/>
    <w:rsid w:val="00853C94"/>
    <w:rsid w:val="00853CCA"/>
    <w:rsid w:val="00853D66"/>
    <w:rsid w:val="0085432E"/>
    <w:rsid w:val="008543E8"/>
    <w:rsid w:val="00854B95"/>
    <w:rsid w:val="00854CA7"/>
    <w:rsid w:val="00854CC3"/>
    <w:rsid w:val="00854DBC"/>
    <w:rsid w:val="00855254"/>
    <w:rsid w:val="0085525C"/>
    <w:rsid w:val="008556A8"/>
    <w:rsid w:val="00855C1B"/>
    <w:rsid w:val="00855F32"/>
    <w:rsid w:val="00856441"/>
    <w:rsid w:val="00856492"/>
    <w:rsid w:val="00856570"/>
    <w:rsid w:val="00856CB6"/>
    <w:rsid w:val="00856EB8"/>
    <w:rsid w:val="00856F57"/>
    <w:rsid w:val="00857758"/>
    <w:rsid w:val="00857CB7"/>
    <w:rsid w:val="00860496"/>
    <w:rsid w:val="0086055D"/>
    <w:rsid w:val="008609D2"/>
    <w:rsid w:val="00860D5A"/>
    <w:rsid w:val="00860FF7"/>
    <w:rsid w:val="00861987"/>
    <w:rsid w:val="00861BAC"/>
    <w:rsid w:val="008620D8"/>
    <w:rsid w:val="00863552"/>
    <w:rsid w:val="008635C4"/>
    <w:rsid w:val="008638CF"/>
    <w:rsid w:val="00863C73"/>
    <w:rsid w:val="00863D08"/>
    <w:rsid w:val="00863DF4"/>
    <w:rsid w:val="0086416E"/>
    <w:rsid w:val="008641C7"/>
    <w:rsid w:val="00864467"/>
    <w:rsid w:val="00864789"/>
    <w:rsid w:val="00864AE3"/>
    <w:rsid w:val="0086611F"/>
    <w:rsid w:val="0086649B"/>
    <w:rsid w:val="00866680"/>
    <w:rsid w:val="00867C00"/>
    <w:rsid w:val="00867F1A"/>
    <w:rsid w:val="008702C8"/>
    <w:rsid w:val="0087045C"/>
    <w:rsid w:val="008704AE"/>
    <w:rsid w:val="00870516"/>
    <w:rsid w:val="008705C5"/>
    <w:rsid w:val="00870ED8"/>
    <w:rsid w:val="00871F2E"/>
    <w:rsid w:val="00872095"/>
    <w:rsid w:val="008720D3"/>
    <w:rsid w:val="0087229C"/>
    <w:rsid w:val="00872C1B"/>
    <w:rsid w:val="00873151"/>
    <w:rsid w:val="008733E6"/>
    <w:rsid w:val="008741C3"/>
    <w:rsid w:val="0087471D"/>
    <w:rsid w:val="00874796"/>
    <w:rsid w:val="008747D7"/>
    <w:rsid w:val="008747EC"/>
    <w:rsid w:val="00875F93"/>
    <w:rsid w:val="0087645C"/>
    <w:rsid w:val="008768A4"/>
    <w:rsid w:val="00876917"/>
    <w:rsid w:val="00876C7F"/>
    <w:rsid w:val="00876D61"/>
    <w:rsid w:val="00876F7E"/>
    <w:rsid w:val="0087708A"/>
    <w:rsid w:val="00877443"/>
    <w:rsid w:val="008779FC"/>
    <w:rsid w:val="00877EFB"/>
    <w:rsid w:val="0088008C"/>
    <w:rsid w:val="00880B1C"/>
    <w:rsid w:val="00880EA2"/>
    <w:rsid w:val="00882012"/>
    <w:rsid w:val="00882136"/>
    <w:rsid w:val="008828BD"/>
    <w:rsid w:val="00882D51"/>
    <w:rsid w:val="00882DA6"/>
    <w:rsid w:val="008835B1"/>
    <w:rsid w:val="00883990"/>
    <w:rsid w:val="00883B91"/>
    <w:rsid w:val="00883CE1"/>
    <w:rsid w:val="00883FCA"/>
    <w:rsid w:val="0088424B"/>
    <w:rsid w:val="0088444B"/>
    <w:rsid w:val="008848C7"/>
    <w:rsid w:val="00884A23"/>
    <w:rsid w:val="00884C5B"/>
    <w:rsid w:val="008856FC"/>
    <w:rsid w:val="00885781"/>
    <w:rsid w:val="00885A4A"/>
    <w:rsid w:val="00885AE0"/>
    <w:rsid w:val="00885B39"/>
    <w:rsid w:val="00885D27"/>
    <w:rsid w:val="00885FCF"/>
    <w:rsid w:val="00886064"/>
    <w:rsid w:val="008862A5"/>
    <w:rsid w:val="0088648E"/>
    <w:rsid w:val="00886542"/>
    <w:rsid w:val="008867DF"/>
    <w:rsid w:val="008869FA"/>
    <w:rsid w:val="00886B26"/>
    <w:rsid w:val="0088721D"/>
    <w:rsid w:val="008873E2"/>
    <w:rsid w:val="00887429"/>
    <w:rsid w:val="0088761C"/>
    <w:rsid w:val="00887B80"/>
    <w:rsid w:val="00887FEB"/>
    <w:rsid w:val="008901DA"/>
    <w:rsid w:val="008906ED"/>
    <w:rsid w:val="008909DC"/>
    <w:rsid w:val="008910E0"/>
    <w:rsid w:val="0089123E"/>
    <w:rsid w:val="008917EA"/>
    <w:rsid w:val="00891D37"/>
    <w:rsid w:val="00892406"/>
    <w:rsid w:val="0089281D"/>
    <w:rsid w:val="00892A84"/>
    <w:rsid w:val="00892C9A"/>
    <w:rsid w:val="00892EF4"/>
    <w:rsid w:val="00893914"/>
    <w:rsid w:val="0089424A"/>
    <w:rsid w:val="008943CD"/>
    <w:rsid w:val="00894759"/>
    <w:rsid w:val="00894B32"/>
    <w:rsid w:val="00894BFE"/>
    <w:rsid w:val="00894E5B"/>
    <w:rsid w:val="008951E1"/>
    <w:rsid w:val="008954B2"/>
    <w:rsid w:val="00895977"/>
    <w:rsid w:val="00895B24"/>
    <w:rsid w:val="00895B30"/>
    <w:rsid w:val="00895F3B"/>
    <w:rsid w:val="0089648F"/>
    <w:rsid w:val="0089671B"/>
    <w:rsid w:val="00896C68"/>
    <w:rsid w:val="008A0308"/>
    <w:rsid w:val="008A048D"/>
    <w:rsid w:val="008A0AFD"/>
    <w:rsid w:val="008A0B0A"/>
    <w:rsid w:val="008A0EAA"/>
    <w:rsid w:val="008A0EDF"/>
    <w:rsid w:val="008A0FC6"/>
    <w:rsid w:val="008A1200"/>
    <w:rsid w:val="008A229A"/>
    <w:rsid w:val="008A23F4"/>
    <w:rsid w:val="008A24D8"/>
    <w:rsid w:val="008A2556"/>
    <w:rsid w:val="008A25F0"/>
    <w:rsid w:val="008A2C14"/>
    <w:rsid w:val="008A2DF2"/>
    <w:rsid w:val="008A2F0A"/>
    <w:rsid w:val="008A31B0"/>
    <w:rsid w:val="008A328B"/>
    <w:rsid w:val="008A3C56"/>
    <w:rsid w:val="008A4461"/>
    <w:rsid w:val="008A4AD4"/>
    <w:rsid w:val="008A4D34"/>
    <w:rsid w:val="008A4DFC"/>
    <w:rsid w:val="008A5271"/>
    <w:rsid w:val="008A528A"/>
    <w:rsid w:val="008A5647"/>
    <w:rsid w:val="008A5A9E"/>
    <w:rsid w:val="008A5EA8"/>
    <w:rsid w:val="008A5FA3"/>
    <w:rsid w:val="008A624D"/>
    <w:rsid w:val="008A682B"/>
    <w:rsid w:val="008A68B0"/>
    <w:rsid w:val="008A6964"/>
    <w:rsid w:val="008A6AA0"/>
    <w:rsid w:val="008A6C60"/>
    <w:rsid w:val="008A6EC1"/>
    <w:rsid w:val="008A6FCB"/>
    <w:rsid w:val="008A7852"/>
    <w:rsid w:val="008A7A7F"/>
    <w:rsid w:val="008A7D2A"/>
    <w:rsid w:val="008B0331"/>
    <w:rsid w:val="008B03BA"/>
    <w:rsid w:val="008B04E4"/>
    <w:rsid w:val="008B05A7"/>
    <w:rsid w:val="008B0B7D"/>
    <w:rsid w:val="008B0C8C"/>
    <w:rsid w:val="008B0D97"/>
    <w:rsid w:val="008B0E4F"/>
    <w:rsid w:val="008B1989"/>
    <w:rsid w:val="008B255F"/>
    <w:rsid w:val="008B277D"/>
    <w:rsid w:val="008B2827"/>
    <w:rsid w:val="008B2B9E"/>
    <w:rsid w:val="008B2DC1"/>
    <w:rsid w:val="008B2EC5"/>
    <w:rsid w:val="008B33A5"/>
    <w:rsid w:val="008B34EC"/>
    <w:rsid w:val="008B3511"/>
    <w:rsid w:val="008B35EC"/>
    <w:rsid w:val="008B3602"/>
    <w:rsid w:val="008B3807"/>
    <w:rsid w:val="008B3C30"/>
    <w:rsid w:val="008B3DAD"/>
    <w:rsid w:val="008B3E29"/>
    <w:rsid w:val="008B4033"/>
    <w:rsid w:val="008B4051"/>
    <w:rsid w:val="008B42D3"/>
    <w:rsid w:val="008B4888"/>
    <w:rsid w:val="008B48B5"/>
    <w:rsid w:val="008B48EF"/>
    <w:rsid w:val="008B4C59"/>
    <w:rsid w:val="008B525F"/>
    <w:rsid w:val="008B5CAD"/>
    <w:rsid w:val="008B5FF9"/>
    <w:rsid w:val="008B6206"/>
    <w:rsid w:val="008B6838"/>
    <w:rsid w:val="008B692B"/>
    <w:rsid w:val="008B6A19"/>
    <w:rsid w:val="008B6D1E"/>
    <w:rsid w:val="008B743E"/>
    <w:rsid w:val="008B75B2"/>
    <w:rsid w:val="008B7E4C"/>
    <w:rsid w:val="008B7FC2"/>
    <w:rsid w:val="008C0045"/>
    <w:rsid w:val="008C05B1"/>
    <w:rsid w:val="008C08B2"/>
    <w:rsid w:val="008C0BE7"/>
    <w:rsid w:val="008C0C6B"/>
    <w:rsid w:val="008C10E6"/>
    <w:rsid w:val="008C1966"/>
    <w:rsid w:val="008C1B95"/>
    <w:rsid w:val="008C2107"/>
    <w:rsid w:val="008C254A"/>
    <w:rsid w:val="008C26B1"/>
    <w:rsid w:val="008C2B22"/>
    <w:rsid w:val="008C2B38"/>
    <w:rsid w:val="008C3414"/>
    <w:rsid w:val="008C3726"/>
    <w:rsid w:val="008C4479"/>
    <w:rsid w:val="008C466B"/>
    <w:rsid w:val="008C4A71"/>
    <w:rsid w:val="008C4ABA"/>
    <w:rsid w:val="008C4D1C"/>
    <w:rsid w:val="008C4EE0"/>
    <w:rsid w:val="008C4F9A"/>
    <w:rsid w:val="008C567A"/>
    <w:rsid w:val="008C5A2F"/>
    <w:rsid w:val="008C5F24"/>
    <w:rsid w:val="008C65D4"/>
    <w:rsid w:val="008C6693"/>
    <w:rsid w:val="008C699A"/>
    <w:rsid w:val="008C6B82"/>
    <w:rsid w:val="008C6F2F"/>
    <w:rsid w:val="008C6F5B"/>
    <w:rsid w:val="008C70F4"/>
    <w:rsid w:val="008C7909"/>
    <w:rsid w:val="008C7968"/>
    <w:rsid w:val="008C7AB1"/>
    <w:rsid w:val="008D0397"/>
    <w:rsid w:val="008D0A63"/>
    <w:rsid w:val="008D0EFE"/>
    <w:rsid w:val="008D11B7"/>
    <w:rsid w:val="008D142B"/>
    <w:rsid w:val="008D18E6"/>
    <w:rsid w:val="008D1A5C"/>
    <w:rsid w:val="008D1D9A"/>
    <w:rsid w:val="008D1E1D"/>
    <w:rsid w:val="008D2212"/>
    <w:rsid w:val="008D25A6"/>
    <w:rsid w:val="008D2C95"/>
    <w:rsid w:val="008D32BE"/>
    <w:rsid w:val="008D32F6"/>
    <w:rsid w:val="008D34C2"/>
    <w:rsid w:val="008D3A9E"/>
    <w:rsid w:val="008D3C0E"/>
    <w:rsid w:val="008D3E15"/>
    <w:rsid w:val="008D3E7B"/>
    <w:rsid w:val="008D3E99"/>
    <w:rsid w:val="008D450A"/>
    <w:rsid w:val="008D4656"/>
    <w:rsid w:val="008D487E"/>
    <w:rsid w:val="008D48AC"/>
    <w:rsid w:val="008D4A87"/>
    <w:rsid w:val="008D4AE7"/>
    <w:rsid w:val="008D4C96"/>
    <w:rsid w:val="008D4D3D"/>
    <w:rsid w:val="008D4E20"/>
    <w:rsid w:val="008D4E6C"/>
    <w:rsid w:val="008D4F01"/>
    <w:rsid w:val="008D5203"/>
    <w:rsid w:val="008D54BE"/>
    <w:rsid w:val="008D58C8"/>
    <w:rsid w:val="008D5EE5"/>
    <w:rsid w:val="008D60C7"/>
    <w:rsid w:val="008D6267"/>
    <w:rsid w:val="008D6471"/>
    <w:rsid w:val="008D64DF"/>
    <w:rsid w:val="008D686D"/>
    <w:rsid w:val="008D777A"/>
    <w:rsid w:val="008D79CA"/>
    <w:rsid w:val="008D7B69"/>
    <w:rsid w:val="008D7ED7"/>
    <w:rsid w:val="008E01E7"/>
    <w:rsid w:val="008E063F"/>
    <w:rsid w:val="008E08FB"/>
    <w:rsid w:val="008E098E"/>
    <w:rsid w:val="008E0995"/>
    <w:rsid w:val="008E0BAF"/>
    <w:rsid w:val="008E0CFD"/>
    <w:rsid w:val="008E1105"/>
    <w:rsid w:val="008E1B41"/>
    <w:rsid w:val="008E1BA8"/>
    <w:rsid w:val="008E1BD8"/>
    <w:rsid w:val="008E3204"/>
    <w:rsid w:val="008E326C"/>
    <w:rsid w:val="008E34CE"/>
    <w:rsid w:val="008E3518"/>
    <w:rsid w:val="008E3BC5"/>
    <w:rsid w:val="008E4153"/>
    <w:rsid w:val="008E5331"/>
    <w:rsid w:val="008E55E9"/>
    <w:rsid w:val="008E56F2"/>
    <w:rsid w:val="008E57E9"/>
    <w:rsid w:val="008E595B"/>
    <w:rsid w:val="008E5CAD"/>
    <w:rsid w:val="008E619B"/>
    <w:rsid w:val="008E6253"/>
    <w:rsid w:val="008E64E0"/>
    <w:rsid w:val="008E66E5"/>
    <w:rsid w:val="008E6ED1"/>
    <w:rsid w:val="008E711E"/>
    <w:rsid w:val="008E7652"/>
    <w:rsid w:val="008E778F"/>
    <w:rsid w:val="008E7D7B"/>
    <w:rsid w:val="008F09A8"/>
    <w:rsid w:val="008F0D06"/>
    <w:rsid w:val="008F0E1A"/>
    <w:rsid w:val="008F0FD4"/>
    <w:rsid w:val="008F12D8"/>
    <w:rsid w:val="008F12E3"/>
    <w:rsid w:val="008F164B"/>
    <w:rsid w:val="008F1A6E"/>
    <w:rsid w:val="008F1D9F"/>
    <w:rsid w:val="008F2333"/>
    <w:rsid w:val="008F234F"/>
    <w:rsid w:val="008F2644"/>
    <w:rsid w:val="008F2813"/>
    <w:rsid w:val="008F292E"/>
    <w:rsid w:val="008F2935"/>
    <w:rsid w:val="008F2E5B"/>
    <w:rsid w:val="008F2EA9"/>
    <w:rsid w:val="008F310F"/>
    <w:rsid w:val="008F37AC"/>
    <w:rsid w:val="008F3904"/>
    <w:rsid w:val="008F3AB8"/>
    <w:rsid w:val="008F47A3"/>
    <w:rsid w:val="008F4D08"/>
    <w:rsid w:val="008F504C"/>
    <w:rsid w:val="008F54DE"/>
    <w:rsid w:val="008F5638"/>
    <w:rsid w:val="008F56CB"/>
    <w:rsid w:val="008F5E45"/>
    <w:rsid w:val="008F5E92"/>
    <w:rsid w:val="008F60AA"/>
    <w:rsid w:val="008F60E4"/>
    <w:rsid w:val="008F635E"/>
    <w:rsid w:val="008F6A1B"/>
    <w:rsid w:val="008F6A39"/>
    <w:rsid w:val="008F6EB6"/>
    <w:rsid w:val="008F7D30"/>
    <w:rsid w:val="009002EC"/>
    <w:rsid w:val="009006DC"/>
    <w:rsid w:val="009008AE"/>
    <w:rsid w:val="00900913"/>
    <w:rsid w:val="00900A8E"/>
    <w:rsid w:val="00900C39"/>
    <w:rsid w:val="009011F7"/>
    <w:rsid w:val="0090155D"/>
    <w:rsid w:val="00901580"/>
    <w:rsid w:val="0090169C"/>
    <w:rsid w:val="00901945"/>
    <w:rsid w:val="00901A1D"/>
    <w:rsid w:val="00901A4D"/>
    <w:rsid w:val="00901D16"/>
    <w:rsid w:val="0090258A"/>
    <w:rsid w:val="009025AF"/>
    <w:rsid w:val="00902696"/>
    <w:rsid w:val="00903072"/>
    <w:rsid w:val="009034F0"/>
    <w:rsid w:val="00903537"/>
    <w:rsid w:val="00903784"/>
    <w:rsid w:val="00903827"/>
    <w:rsid w:val="00903974"/>
    <w:rsid w:val="00903A0B"/>
    <w:rsid w:val="00903A91"/>
    <w:rsid w:val="00903EE1"/>
    <w:rsid w:val="00904101"/>
    <w:rsid w:val="00904910"/>
    <w:rsid w:val="00904BBC"/>
    <w:rsid w:val="00904CF0"/>
    <w:rsid w:val="00904DCD"/>
    <w:rsid w:val="00905C28"/>
    <w:rsid w:val="009060C9"/>
    <w:rsid w:val="0090634D"/>
    <w:rsid w:val="0090690A"/>
    <w:rsid w:val="00906B25"/>
    <w:rsid w:val="00906FBE"/>
    <w:rsid w:val="0090701A"/>
    <w:rsid w:val="009070F3"/>
    <w:rsid w:val="00907417"/>
    <w:rsid w:val="0090782C"/>
    <w:rsid w:val="00907985"/>
    <w:rsid w:val="00907B91"/>
    <w:rsid w:val="00910107"/>
    <w:rsid w:val="0091034A"/>
    <w:rsid w:val="0091089B"/>
    <w:rsid w:val="009109C6"/>
    <w:rsid w:val="00911192"/>
    <w:rsid w:val="0091143C"/>
    <w:rsid w:val="009115C4"/>
    <w:rsid w:val="009115DD"/>
    <w:rsid w:val="0091197C"/>
    <w:rsid w:val="009121AF"/>
    <w:rsid w:val="00912B35"/>
    <w:rsid w:val="00912DAE"/>
    <w:rsid w:val="009138AB"/>
    <w:rsid w:val="00914197"/>
    <w:rsid w:val="009142F1"/>
    <w:rsid w:val="009151D3"/>
    <w:rsid w:val="009155CE"/>
    <w:rsid w:val="00915866"/>
    <w:rsid w:val="0091597B"/>
    <w:rsid w:val="00915AC0"/>
    <w:rsid w:val="00916031"/>
    <w:rsid w:val="009163AD"/>
    <w:rsid w:val="009169FB"/>
    <w:rsid w:val="00916B68"/>
    <w:rsid w:val="00916DA1"/>
    <w:rsid w:val="00916E2F"/>
    <w:rsid w:val="00917351"/>
    <w:rsid w:val="00917941"/>
    <w:rsid w:val="00917F35"/>
    <w:rsid w:val="00917FFC"/>
    <w:rsid w:val="0092007C"/>
    <w:rsid w:val="00920284"/>
    <w:rsid w:val="009202DD"/>
    <w:rsid w:val="00920C00"/>
    <w:rsid w:val="00920ED7"/>
    <w:rsid w:val="00921097"/>
    <w:rsid w:val="0092109D"/>
    <w:rsid w:val="00921432"/>
    <w:rsid w:val="00921946"/>
    <w:rsid w:val="00921A9E"/>
    <w:rsid w:val="00921B06"/>
    <w:rsid w:val="00921CB0"/>
    <w:rsid w:val="00921CED"/>
    <w:rsid w:val="00921D4C"/>
    <w:rsid w:val="00922156"/>
    <w:rsid w:val="0092225E"/>
    <w:rsid w:val="00922ADD"/>
    <w:rsid w:val="00922BB7"/>
    <w:rsid w:val="0092314A"/>
    <w:rsid w:val="0092372A"/>
    <w:rsid w:val="00923DFA"/>
    <w:rsid w:val="00923E80"/>
    <w:rsid w:val="00923F62"/>
    <w:rsid w:val="00924384"/>
    <w:rsid w:val="00924A16"/>
    <w:rsid w:val="00924B50"/>
    <w:rsid w:val="00924F9C"/>
    <w:rsid w:val="00925488"/>
    <w:rsid w:val="009255A4"/>
    <w:rsid w:val="00925D8E"/>
    <w:rsid w:val="00925E3C"/>
    <w:rsid w:val="009260F9"/>
    <w:rsid w:val="009262C6"/>
    <w:rsid w:val="009262CC"/>
    <w:rsid w:val="00926354"/>
    <w:rsid w:val="00926557"/>
    <w:rsid w:val="009265BB"/>
    <w:rsid w:val="00926E65"/>
    <w:rsid w:val="00926F25"/>
    <w:rsid w:val="00926F4F"/>
    <w:rsid w:val="0092719F"/>
    <w:rsid w:val="0092799B"/>
    <w:rsid w:val="00927BE0"/>
    <w:rsid w:val="00927FD1"/>
    <w:rsid w:val="00930497"/>
    <w:rsid w:val="00930629"/>
    <w:rsid w:val="009306D9"/>
    <w:rsid w:val="00930B7E"/>
    <w:rsid w:val="00930E3E"/>
    <w:rsid w:val="009312C3"/>
    <w:rsid w:val="009313E3"/>
    <w:rsid w:val="009318D5"/>
    <w:rsid w:val="00931AF9"/>
    <w:rsid w:val="00932800"/>
    <w:rsid w:val="00932BA8"/>
    <w:rsid w:val="009334DE"/>
    <w:rsid w:val="009337C1"/>
    <w:rsid w:val="009339E5"/>
    <w:rsid w:val="00933DFA"/>
    <w:rsid w:val="00933E0B"/>
    <w:rsid w:val="00933F29"/>
    <w:rsid w:val="0093445F"/>
    <w:rsid w:val="0093460D"/>
    <w:rsid w:val="0093471F"/>
    <w:rsid w:val="009347F4"/>
    <w:rsid w:val="00934B6A"/>
    <w:rsid w:val="00934C7B"/>
    <w:rsid w:val="0093535C"/>
    <w:rsid w:val="009356DD"/>
    <w:rsid w:val="00935892"/>
    <w:rsid w:val="00935F70"/>
    <w:rsid w:val="00935F7A"/>
    <w:rsid w:val="00936186"/>
    <w:rsid w:val="009364EB"/>
    <w:rsid w:val="009374F0"/>
    <w:rsid w:val="00937840"/>
    <w:rsid w:val="0093786C"/>
    <w:rsid w:val="00937CC0"/>
    <w:rsid w:val="00940022"/>
    <w:rsid w:val="009406C7"/>
    <w:rsid w:val="009407FD"/>
    <w:rsid w:val="00940953"/>
    <w:rsid w:val="00940C0D"/>
    <w:rsid w:val="009415AF"/>
    <w:rsid w:val="00941962"/>
    <w:rsid w:val="009419B3"/>
    <w:rsid w:val="00941B33"/>
    <w:rsid w:val="00941C3F"/>
    <w:rsid w:val="00941EF0"/>
    <w:rsid w:val="00942482"/>
    <w:rsid w:val="009424FB"/>
    <w:rsid w:val="009426F3"/>
    <w:rsid w:val="00942AD4"/>
    <w:rsid w:val="00942FDF"/>
    <w:rsid w:val="00943181"/>
    <w:rsid w:val="00943601"/>
    <w:rsid w:val="009437FA"/>
    <w:rsid w:val="0094382E"/>
    <w:rsid w:val="009438EE"/>
    <w:rsid w:val="00943E4A"/>
    <w:rsid w:val="00943EDA"/>
    <w:rsid w:val="00944723"/>
    <w:rsid w:val="0094487E"/>
    <w:rsid w:val="00944AB1"/>
    <w:rsid w:val="00944E95"/>
    <w:rsid w:val="009450B2"/>
    <w:rsid w:val="0094555B"/>
    <w:rsid w:val="009465C9"/>
    <w:rsid w:val="00946A3B"/>
    <w:rsid w:val="00946B9D"/>
    <w:rsid w:val="009470DF"/>
    <w:rsid w:val="00947571"/>
    <w:rsid w:val="009477AC"/>
    <w:rsid w:val="009479F7"/>
    <w:rsid w:val="00947A9D"/>
    <w:rsid w:val="00950963"/>
    <w:rsid w:val="00950C9B"/>
    <w:rsid w:val="00950CD5"/>
    <w:rsid w:val="00951388"/>
    <w:rsid w:val="00951472"/>
    <w:rsid w:val="009519F6"/>
    <w:rsid w:val="0095216D"/>
    <w:rsid w:val="00952896"/>
    <w:rsid w:val="009529D7"/>
    <w:rsid w:val="00952A24"/>
    <w:rsid w:val="00952A71"/>
    <w:rsid w:val="00953F45"/>
    <w:rsid w:val="009540A3"/>
    <w:rsid w:val="009542D6"/>
    <w:rsid w:val="009544C3"/>
    <w:rsid w:val="00954957"/>
    <w:rsid w:val="00954A4F"/>
    <w:rsid w:val="009552CC"/>
    <w:rsid w:val="009559C8"/>
    <w:rsid w:val="00955C3B"/>
    <w:rsid w:val="00955CBA"/>
    <w:rsid w:val="0095609D"/>
    <w:rsid w:val="0095656E"/>
    <w:rsid w:val="009565FA"/>
    <w:rsid w:val="00956CBA"/>
    <w:rsid w:val="00956EB2"/>
    <w:rsid w:val="0095733D"/>
    <w:rsid w:val="00957364"/>
    <w:rsid w:val="009574C8"/>
    <w:rsid w:val="009578AD"/>
    <w:rsid w:val="00957AE8"/>
    <w:rsid w:val="00957B60"/>
    <w:rsid w:val="00957F2A"/>
    <w:rsid w:val="00957F3C"/>
    <w:rsid w:val="00960012"/>
    <w:rsid w:val="009600FB"/>
    <w:rsid w:val="0096023D"/>
    <w:rsid w:val="00960A76"/>
    <w:rsid w:val="00960C6A"/>
    <w:rsid w:val="00960EB0"/>
    <w:rsid w:val="00960F3F"/>
    <w:rsid w:val="009611CD"/>
    <w:rsid w:val="009612E9"/>
    <w:rsid w:val="009615E3"/>
    <w:rsid w:val="009618FE"/>
    <w:rsid w:val="00961FDA"/>
    <w:rsid w:val="009622A6"/>
    <w:rsid w:val="00962520"/>
    <w:rsid w:val="0096256D"/>
    <w:rsid w:val="009629A7"/>
    <w:rsid w:val="00962CA5"/>
    <w:rsid w:val="00962E12"/>
    <w:rsid w:val="00963207"/>
    <w:rsid w:val="00963AF0"/>
    <w:rsid w:val="00963C7C"/>
    <w:rsid w:val="009643B0"/>
    <w:rsid w:val="00964D70"/>
    <w:rsid w:val="009657C2"/>
    <w:rsid w:val="009667FE"/>
    <w:rsid w:val="009669C2"/>
    <w:rsid w:val="00966D8C"/>
    <w:rsid w:val="00966FF0"/>
    <w:rsid w:val="009672FB"/>
    <w:rsid w:val="00967BE7"/>
    <w:rsid w:val="00967D59"/>
    <w:rsid w:val="00967D70"/>
    <w:rsid w:val="00967F30"/>
    <w:rsid w:val="00967F73"/>
    <w:rsid w:val="00967FE3"/>
    <w:rsid w:val="0097018E"/>
    <w:rsid w:val="0097047A"/>
    <w:rsid w:val="00970766"/>
    <w:rsid w:val="00970B58"/>
    <w:rsid w:val="0097111B"/>
    <w:rsid w:val="00971435"/>
    <w:rsid w:val="0097179D"/>
    <w:rsid w:val="00971B5A"/>
    <w:rsid w:val="00972368"/>
    <w:rsid w:val="009723C6"/>
    <w:rsid w:val="00972CD9"/>
    <w:rsid w:val="00972F57"/>
    <w:rsid w:val="0097306E"/>
    <w:rsid w:val="0097306F"/>
    <w:rsid w:val="0097308F"/>
    <w:rsid w:val="0097355E"/>
    <w:rsid w:val="0097390C"/>
    <w:rsid w:val="00973AE0"/>
    <w:rsid w:val="00973D06"/>
    <w:rsid w:val="00973DE9"/>
    <w:rsid w:val="0097409A"/>
    <w:rsid w:val="0097492B"/>
    <w:rsid w:val="00974DF7"/>
    <w:rsid w:val="00974E68"/>
    <w:rsid w:val="009755CF"/>
    <w:rsid w:val="00975741"/>
    <w:rsid w:val="009757B8"/>
    <w:rsid w:val="009757E6"/>
    <w:rsid w:val="00975976"/>
    <w:rsid w:val="0097630E"/>
    <w:rsid w:val="00976BF6"/>
    <w:rsid w:val="00976C76"/>
    <w:rsid w:val="00976E50"/>
    <w:rsid w:val="00976F90"/>
    <w:rsid w:val="009773A1"/>
    <w:rsid w:val="0097768E"/>
    <w:rsid w:val="00977710"/>
    <w:rsid w:val="00977BF2"/>
    <w:rsid w:val="00980747"/>
    <w:rsid w:val="00980D7C"/>
    <w:rsid w:val="009812F7"/>
    <w:rsid w:val="009818C5"/>
    <w:rsid w:val="0098196E"/>
    <w:rsid w:val="00981A61"/>
    <w:rsid w:val="00981C4D"/>
    <w:rsid w:val="009823E2"/>
    <w:rsid w:val="00982615"/>
    <w:rsid w:val="00982634"/>
    <w:rsid w:val="00982BCC"/>
    <w:rsid w:val="009831C0"/>
    <w:rsid w:val="0098368A"/>
    <w:rsid w:val="009848AA"/>
    <w:rsid w:val="00984C54"/>
    <w:rsid w:val="00984F29"/>
    <w:rsid w:val="00985270"/>
    <w:rsid w:val="00985377"/>
    <w:rsid w:val="009853D5"/>
    <w:rsid w:val="009853F4"/>
    <w:rsid w:val="009858FF"/>
    <w:rsid w:val="0098592E"/>
    <w:rsid w:val="00985A33"/>
    <w:rsid w:val="00985DA9"/>
    <w:rsid w:val="009861C4"/>
    <w:rsid w:val="0098623F"/>
    <w:rsid w:val="009866CB"/>
    <w:rsid w:val="00986B73"/>
    <w:rsid w:val="00986FF0"/>
    <w:rsid w:val="009874E5"/>
    <w:rsid w:val="0098786B"/>
    <w:rsid w:val="00987881"/>
    <w:rsid w:val="00987AEE"/>
    <w:rsid w:val="00987CAD"/>
    <w:rsid w:val="0099063B"/>
    <w:rsid w:val="00990B32"/>
    <w:rsid w:val="00990C1F"/>
    <w:rsid w:val="00990EB6"/>
    <w:rsid w:val="0099102F"/>
    <w:rsid w:val="0099126E"/>
    <w:rsid w:val="0099188D"/>
    <w:rsid w:val="009918D1"/>
    <w:rsid w:val="00992273"/>
    <w:rsid w:val="00992ACA"/>
    <w:rsid w:val="00992F4A"/>
    <w:rsid w:val="0099301C"/>
    <w:rsid w:val="0099367F"/>
    <w:rsid w:val="009936F4"/>
    <w:rsid w:val="00993C18"/>
    <w:rsid w:val="00994761"/>
    <w:rsid w:val="00994968"/>
    <w:rsid w:val="00994A15"/>
    <w:rsid w:val="00994AD0"/>
    <w:rsid w:val="00994C3B"/>
    <w:rsid w:val="009951F0"/>
    <w:rsid w:val="009952E5"/>
    <w:rsid w:val="009954FD"/>
    <w:rsid w:val="00995B43"/>
    <w:rsid w:val="00995D4B"/>
    <w:rsid w:val="0099612A"/>
    <w:rsid w:val="0099682D"/>
    <w:rsid w:val="00997BF7"/>
    <w:rsid w:val="00997C3B"/>
    <w:rsid w:val="00997C6B"/>
    <w:rsid w:val="00997C92"/>
    <w:rsid w:val="00997FE1"/>
    <w:rsid w:val="009A0012"/>
    <w:rsid w:val="009A02B4"/>
    <w:rsid w:val="009A05E8"/>
    <w:rsid w:val="009A090D"/>
    <w:rsid w:val="009A15C9"/>
    <w:rsid w:val="009A1CF9"/>
    <w:rsid w:val="009A2401"/>
    <w:rsid w:val="009A25E1"/>
    <w:rsid w:val="009A26E2"/>
    <w:rsid w:val="009A274F"/>
    <w:rsid w:val="009A280B"/>
    <w:rsid w:val="009A30FA"/>
    <w:rsid w:val="009A3250"/>
    <w:rsid w:val="009A366D"/>
    <w:rsid w:val="009A367E"/>
    <w:rsid w:val="009A37B9"/>
    <w:rsid w:val="009A399E"/>
    <w:rsid w:val="009A3FFD"/>
    <w:rsid w:val="009A41D3"/>
    <w:rsid w:val="009A479F"/>
    <w:rsid w:val="009A4DB0"/>
    <w:rsid w:val="009A4E28"/>
    <w:rsid w:val="009A4E46"/>
    <w:rsid w:val="009A51EC"/>
    <w:rsid w:val="009A5AD2"/>
    <w:rsid w:val="009A5B50"/>
    <w:rsid w:val="009A60E5"/>
    <w:rsid w:val="009A663B"/>
    <w:rsid w:val="009A6865"/>
    <w:rsid w:val="009A6A46"/>
    <w:rsid w:val="009A6B54"/>
    <w:rsid w:val="009A6B91"/>
    <w:rsid w:val="009A6D72"/>
    <w:rsid w:val="009A70E8"/>
    <w:rsid w:val="009A7138"/>
    <w:rsid w:val="009A7257"/>
    <w:rsid w:val="009A7A0D"/>
    <w:rsid w:val="009B055A"/>
    <w:rsid w:val="009B0743"/>
    <w:rsid w:val="009B0814"/>
    <w:rsid w:val="009B106F"/>
    <w:rsid w:val="009B142D"/>
    <w:rsid w:val="009B1B3F"/>
    <w:rsid w:val="009B2364"/>
    <w:rsid w:val="009B356F"/>
    <w:rsid w:val="009B3676"/>
    <w:rsid w:val="009B49FC"/>
    <w:rsid w:val="009B4B03"/>
    <w:rsid w:val="009B4F08"/>
    <w:rsid w:val="009B5FAF"/>
    <w:rsid w:val="009B618F"/>
    <w:rsid w:val="009B67D1"/>
    <w:rsid w:val="009B681A"/>
    <w:rsid w:val="009B6900"/>
    <w:rsid w:val="009B70C0"/>
    <w:rsid w:val="009B75F0"/>
    <w:rsid w:val="009C0180"/>
    <w:rsid w:val="009C026B"/>
    <w:rsid w:val="009C0387"/>
    <w:rsid w:val="009C0630"/>
    <w:rsid w:val="009C0915"/>
    <w:rsid w:val="009C0AA3"/>
    <w:rsid w:val="009C142F"/>
    <w:rsid w:val="009C16DA"/>
    <w:rsid w:val="009C1707"/>
    <w:rsid w:val="009C18B9"/>
    <w:rsid w:val="009C1C05"/>
    <w:rsid w:val="009C31BA"/>
    <w:rsid w:val="009C34C8"/>
    <w:rsid w:val="009C36D7"/>
    <w:rsid w:val="009C3722"/>
    <w:rsid w:val="009C4EC5"/>
    <w:rsid w:val="009C4FC8"/>
    <w:rsid w:val="009C5061"/>
    <w:rsid w:val="009C5B27"/>
    <w:rsid w:val="009C5EFF"/>
    <w:rsid w:val="009C611F"/>
    <w:rsid w:val="009C640F"/>
    <w:rsid w:val="009C6F6E"/>
    <w:rsid w:val="009C7477"/>
    <w:rsid w:val="009C7E1A"/>
    <w:rsid w:val="009D05EB"/>
    <w:rsid w:val="009D06B4"/>
    <w:rsid w:val="009D0836"/>
    <w:rsid w:val="009D0F27"/>
    <w:rsid w:val="009D0F31"/>
    <w:rsid w:val="009D102B"/>
    <w:rsid w:val="009D14E8"/>
    <w:rsid w:val="009D1633"/>
    <w:rsid w:val="009D1818"/>
    <w:rsid w:val="009D19F8"/>
    <w:rsid w:val="009D1A98"/>
    <w:rsid w:val="009D205B"/>
    <w:rsid w:val="009D24D9"/>
    <w:rsid w:val="009D2947"/>
    <w:rsid w:val="009D2A60"/>
    <w:rsid w:val="009D2CB7"/>
    <w:rsid w:val="009D2EBA"/>
    <w:rsid w:val="009D35D3"/>
    <w:rsid w:val="009D3798"/>
    <w:rsid w:val="009D4524"/>
    <w:rsid w:val="009D46D5"/>
    <w:rsid w:val="009D4AD8"/>
    <w:rsid w:val="009D5817"/>
    <w:rsid w:val="009D5A51"/>
    <w:rsid w:val="009D5A8F"/>
    <w:rsid w:val="009D5BFD"/>
    <w:rsid w:val="009D5CBF"/>
    <w:rsid w:val="009D66A1"/>
    <w:rsid w:val="009D6830"/>
    <w:rsid w:val="009D6B05"/>
    <w:rsid w:val="009D6DCA"/>
    <w:rsid w:val="009D72AC"/>
    <w:rsid w:val="009D7414"/>
    <w:rsid w:val="009D7836"/>
    <w:rsid w:val="009D7E34"/>
    <w:rsid w:val="009E06A0"/>
    <w:rsid w:val="009E1B0A"/>
    <w:rsid w:val="009E1E3C"/>
    <w:rsid w:val="009E24F0"/>
    <w:rsid w:val="009E252F"/>
    <w:rsid w:val="009E2A37"/>
    <w:rsid w:val="009E2CF8"/>
    <w:rsid w:val="009E2FD2"/>
    <w:rsid w:val="009E32C2"/>
    <w:rsid w:val="009E358C"/>
    <w:rsid w:val="009E377F"/>
    <w:rsid w:val="009E3A7D"/>
    <w:rsid w:val="009E3AD1"/>
    <w:rsid w:val="009E3B49"/>
    <w:rsid w:val="009E3E34"/>
    <w:rsid w:val="009E3FC6"/>
    <w:rsid w:val="009E47DA"/>
    <w:rsid w:val="009E4AE3"/>
    <w:rsid w:val="009E4B5C"/>
    <w:rsid w:val="009E4E38"/>
    <w:rsid w:val="009E516A"/>
    <w:rsid w:val="009E57B9"/>
    <w:rsid w:val="009E5B2F"/>
    <w:rsid w:val="009E5C74"/>
    <w:rsid w:val="009E5D0D"/>
    <w:rsid w:val="009E6653"/>
    <w:rsid w:val="009E69FC"/>
    <w:rsid w:val="009E6EEE"/>
    <w:rsid w:val="009E6FB7"/>
    <w:rsid w:val="009E7A62"/>
    <w:rsid w:val="009E7F7F"/>
    <w:rsid w:val="009F03DD"/>
    <w:rsid w:val="009F072F"/>
    <w:rsid w:val="009F0786"/>
    <w:rsid w:val="009F1CBA"/>
    <w:rsid w:val="009F267C"/>
    <w:rsid w:val="009F28D6"/>
    <w:rsid w:val="009F2BFE"/>
    <w:rsid w:val="009F2C0B"/>
    <w:rsid w:val="009F2CDD"/>
    <w:rsid w:val="009F2E3F"/>
    <w:rsid w:val="009F2E8D"/>
    <w:rsid w:val="009F3122"/>
    <w:rsid w:val="009F33E3"/>
    <w:rsid w:val="009F36E9"/>
    <w:rsid w:val="009F3D3D"/>
    <w:rsid w:val="009F4549"/>
    <w:rsid w:val="009F48DE"/>
    <w:rsid w:val="009F4A09"/>
    <w:rsid w:val="009F4A80"/>
    <w:rsid w:val="009F4EB9"/>
    <w:rsid w:val="009F5339"/>
    <w:rsid w:val="009F54C7"/>
    <w:rsid w:val="009F555A"/>
    <w:rsid w:val="009F5A4E"/>
    <w:rsid w:val="009F5AC5"/>
    <w:rsid w:val="009F5F28"/>
    <w:rsid w:val="009F6209"/>
    <w:rsid w:val="009F73AA"/>
    <w:rsid w:val="009F7E65"/>
    <w:rsid w:val="00A0081B"/>
    <w:rsid w:val="00A00A3E"/>
    <w:rsid w:val="00A00B72"/>
    <w:rsid w:val="00A00FDA"/>
    <w:rsid w:val="00A01FF6"/>
    <w:rsid w:val="00A02C85"/>
    <w:rsid w:val="00A02D0F"/>
    <w:rsid w:val="00A02E32"/>
    <w:rsid w:val="00A03090"/>
    <w:rsid w:val="00A03260"/>
    <w:rsid w:val="00A033DF"/>
    <w:rsid w:val="00A039B9"/>
    <w:rsid w:val="00A03E6F"/>
    <w:rsid w:val="00A041D8"/>
    <w:rsid w:val="00A0486E"/>
    <w:rsid w:val="00A0514B"/>
    <w:rsid w:val="00A05239"/>
    <w:rsid w:val="00A055DD"/>
    <w:rsid w:val="00A060E1"/>
    <w:rsid w:val="00A06475"/>
    <w:rsid w:val="00A064AC"/>
    <w:rsid w:val="00A06D06"/>
    <w:rsid w:val="00A077CA"/>
    <w:rsid w:val="00A07D52"/>
    <w:rsid w:val="00A07E5A"/>
    <w:rsid w:val="00A10418"/>
    <w:rsid w:val="00A106E3"/>
    <w:rsid w:val="00A107FF"/>
    <w:rsid w:val="00A10ACC"/>
    <w:rsid w:val="00A10CCB"/>
    <w:rsid w:val="00A10D20"/>
    <w:rsid w:val="00A11170"/>
    <w:rsid w:val="00A1166E"/>
    <w:rsid w:val="00A11693"/>
    <w:rsid w:val="00A11A69"/>
    <w:rsid w:val="00A123F8"/>
    <w:rsid w:val="00A12A47"/>
    <w:rsid w:val="00A12D9B"/>
    <w:rsid w:val="00A12DA4"/>
    <w:rsid w:val="00A12E02"/>
    <w:rsid w:val="00A12E7E"/>
    <w:rsid w:val="00A12EE5"/>
    <w:rsid w:val="00A12FF3"/>
    <w:rsid w:val="00A13124"/>
    <w:rsid w:val="00A13148"/>
    <w:rsid w:val="00A13193"/>
    <w:rsid w:val="00A13381"/>
    <w:rsid w:val="00A1338F"/>
    <w:rsid w:val="00A13566"/>
    <w:rsid w:val="00A136F7"/>
    <w:rsid w:val="00A13E15"/>
    <w:rsid w:val="00A13FC8"/>
    <w:rsid w:val="00A14173"/>
    <w:rsid w:val="00A145C9"/>
    <w:rsid w:val="00A14748"/>
    <w:rsid w:val="00A14892"/>
    <w:rsid w:val="00A15BA4"/>
    <w:rsid w:val="00A15E12"/>
    <w:rsid w:val="00A15F2E"/>
    <w:rsid w:val="00A16119"/>
    <w:rsid w:val="00A16135"/>
    <w:rsid w:val="00A17099"/>
    <w:rsid w:val="00A171BD"/>
    <w:rsid w:val="00A174C2"/>
    <w:rsid w:val="00A17572"/>
    <w:rsid w:val="00A17826"/>
    <w:rsid w:val="00A179CD"/>
    <w:rsid w:val="00A17E98"/>
    <w:rsid w:val="00A17F88"/>
    <w:rsid w:val="00A20048"/>
    <w:rsid w:val="00A204D6"/>
    <w:rsid w:val="00A2053E"/>
    <w:rsid w:val="00A2055C"/>
    <w:rsid w:val="00A20D65"/>
    <w:rsid w:val="00A20D95"/>
    <w:rsid w:val="00A22349"/>
    <w:rsid w:val="00A225D4"/>
    <w:rsid w:val="00A23031"/>
    <w:rsid w:val="00A235E7"/>
    <w:rsid w:val="00A2362C"/>
    <w:rsid w:val="00A23BF7"/>
    <w:rsid w:val="00A23F79"/>
    <w:rsid w:val="00A2423A"/>
    <w:rsid w:val="00A24972"/>
    <w:rsid w:val="00A254E9"/>
    <w:rsid w:val="00A25554"/>
    <w:rsid w:val="00A258C2"/>
    <w:rsid w:val="00A25A45"/>
    <w:rsid w:val="00A25B5A"/>
    <w:rsid w:val="00A25D2C"/>
    <w:rsid w:val="00A25E83"/>
    <w:rsid w:val="00A26CA2"/>
    <w:rsid w:val="00A2701E"/>
    <w:rsid w:val="00A272E8"/>
    <w:rsid w:val="00A27B56"/>
    <w:rsid w:val="00A3018E"/>
    <w:rsid w:val="00A30302"/>
    <w:rsid w:val="00A30444"/>
    <w:rsid w:val="00A306AB"/>
    <w:rsid w:val="00A307E4"/>
    <w:rsid w:val="00A30CE5"/>
    <w:rsid w:val="00A30D83"/>
    <w:rsid w:val="00A30E64"/>
    <w:rsid w:val="00A314F2"/>
    <w:rsid w:val="00A31522"/>
    <w:rsid w:val="00A3159F"/>
    <w:rsid w:val="00A31E85"/>
    <w:rsid w:val="00A31F9E"/>
    <w:rsid w:val="00A32186"/>
    <w:rsid w:val="00A32199"/>
    <w:rsid w:val="00A323E8"/>
    <w:rsid w:val="00A324BD"/>
    <w:rsid w:val="00A32AF1"/>
    <w:rsid w:val="00A32E09"/>
    <w:rsid w:val="00A32F64"/>
    <w:rsid w:val="00A33099"/>
    <w:rsid w:val="00A3352B"/>
    <w:rsid w:val="00A33654"/>
    <w:rsid w:val="00A34416"/>
    <w:rsid w:val="00A34598"/>
    <w:rsid w:val="00A34A3A"/>
    <w:rsid w:val="00A351BB"/>
    <w:rsid w:val="00A3557E"/>
    <w:rsid w:val="00A355EF"/>
    <w:rsid w:val="00A3584F"/>
    <w:rsid w:val="00A35870"/>
    <w:rsid w:val="00A358B3"/>
    <w:rsid w:val="00A35A8B"/>
    <w:rsid w:val="00A35D46"/>
    <w:rsid w:val="00A36078"/>
    <w:rsid w:val="00A3609B"/>
    <w:rsid w:val="00A36486"/>
    <w:rsid w:val="00A364B8"/>
    <w:rsid w:val="00A36875"/>
    <w:rsid w:val="00A36B05"/>
    <w:rsid w:val="00A36C9D"/>
    <w:rsid w:val="00A36D2E"/>
    <w:rsid w:val="00A37132"/>
    <w:rsid w:val="00A375A2"/>
    <w:rsid w:val="00A377EA"/>
    <w:rsid w:val="00A37B80"/>
    <w:rsid w:val="00A37CCE"/>
    <w:rsid w:val="00A37F6F"/>
    <w:rsid w:val="00A40346"/>
    <w:rsid w:val="00A40377"/>
    <w:rsid w:val="00A403E0"/>
    <w:rsid w:val="00A406A3"/>
    <w:rsid w:val="00A40A9B"/>
    <w:rsid w:val="00A40C92"/>
    <w:rsid w:val="00A40D65"/>
    <w:rsid w:val="00A412C0"/>
    <w:rsid w:val="00A41AE7"/>
    <w:rsid w:val="00A41C82"/>
    <w:rsid w:val="00A420D8"/>
    <w:rsid w:val="00A4281A"/>
    <w:rsid w:val="00A42A42"/>
    <w:rsid w:val="00A42BD7"/>
    <w:rsid w:val="00A42E16"/>
    <w:rsid w:val="00A43131"/>
    <w:rsid w:val="00A4346C"/>
    <w:rsid w:val="00A43895"/>
    <w:rsid w:val="00A43898"/>
    <w:rsid w:val="00A43BAA"/>
    <w:rsid w:val="00A44123"/>
    <w:rsid w:val="00A44AAE"/>
    <w:rsid w:val="00A44C89"/>
    <w:rsid w:val="00A44F2D"/>
    <w:rsid w:val="00A453E0"/>
    <w:rsid w:val="00A45AD1"/>
    <w:rsid w:val="00A46604"/>
    <w:rsid w:val="00A46799"/>
    <w:rsid w:val="00A46C4C"/>
    <w:rsid w:val="00A4756A"/>
    <w:rsid w:val="00A47866"/>
    <w:rsid w:val="00A47BD8"/>
    <w:rsid w:val="00A47D03"/>
    <w:rsid w:val="00A505AE"/>
    <w:rsid w:val="00A506E6"/>
    <w:rsid w:val="00A50912"/>
    <w:rsid w:val="00A509DC"/>
    <w:rsid w:val="00A50BE3"/>
    <w:rsid w:val="00A50DE1"/>
    <w:rsid w:val="00A50F0F"/>
    <w:rsid w:val="00A50F41"/>
    <w:rsid w:val="00A51173"/>
    <w:rsid w:val="00A5146E"/>
    <w:rsid w:val="00A5152B"/>
    <w:rsid w:val="00A51FF4"/>
    <w:rsid w:val="00A5298C"/>
    <w:rsid w:val="00A52BEA"/>
    <w:rsid w:val="00A5328C"/>
    <w:rsid w:val="00A538C9"/>
    <w:rsid w:val="00A539C4"/>
    <w:rsid w:val="00A53A4D"/>
    <w:rsid w:val="00A53CBA"/>
    <w:rsid w:val="00A53E3D"/>
    <w:rsid w:val="00A543A1"/>
    <w:rsid w:val="00A54640"/>
    <w:rsid w:val="00A54A81"/>
    <w:rsid w:val="00A54CAE"/>
    <w:rsid w:val="00A54D43"/>
    <w:rsid w:val="00A554A9"/>
    <w:rsid w:val="00A5586C"/>
    <w:rsid w:val="00A55A6A"/>
    <w:rsid w:val="00A55CA5"/>
    <w:rsid w:val="00A560A5"/>
    <w:rsid w:val="00A569FA"/>
    <w:rsid w:val="00A56EDB"/>
    <w:rsid w:val="00A60268"/>
    <w:rsid w:val="00A602C9"/>
    <w:rsid w:val="00A60701"/>
    <w:rsid w:val="00A60BDE"/>
    <w:rsid w:val="00A60D66"/>
    <w:rsid w:val="00A61006"/>
    <w:rsid w:val="00A61337"/>
    <w:rsid w:val="00A6139A"/>
    <w:rsid w:val="00A617A9"/>
    <w:rsid w:val="00A6196E"/>
    <w:rsid w:val="00A61BD7"/>
    <w:rsid w:val="00A61CD5"/>
    <w:rsid w:val="00A61F89"/>
    <w:rsid w:val="00A621F0"/>
    <w:rsid w:val="00A6239D"/>
    <w:rsid w:val="00A6255C"/>
    <w:rsid w:val="00A625EB"/>
    <w:rsid w:val="00A6278E"/>
    <w:rsid w:val="00A62EDB"/>
    <w:rsid w:val="00A62EFC"/>
    <w:rsid w:val="00A62F38"/>
    <w:rsid w:val="00A63096"/>
    <w:rsid w:val="00A630E2"/>
    <w:rsid w:val="00A633B8"/>
    <w:rsid w:val="00A63529"/>
    <w:rsid w:val="00A6365D"/>
    <w:rsid w:val="00A64343"/>
    <w:rsid w:val="00A64416"/>
    <w:rsid w:val="00A6464B"/>
    <w:rsid w:val="00A6470E"/>
    <w:rsid w:val="00A649DB"/>
    <w:rsid w:val="00A64ADC"/>
    <w:rsid w:val="00A651AB"/>
    <w:rsid w:val="00A65794"/>
    <w:rsid w:val="00A65BC9"/>
    <w:rsid w:val="00A6603F"/>
    <w:rsid w:val="00A660E8"/>
    <w:rsid w:val="00A6616D"/>
    <w:rsid w:val="00A66577"/>
    <w:rsid w:val="00A665F2"/>
    <w:rsid w:val="00A667D7"/>
    <w:rsid w:val="00A67C23"/>
    <w:rsid w:val="00A67CC1"/>
    <w:rsid w:val="00A67D52"/>
    <w:rsid w:val="00A7090B"/>
    <w:rsid w:val="00A70D48"/>
    <w:rsid w:val="00A70F38"/>
    <w:rsid w:val="00A71D26"/>
    <w:rsid w:val="00A71E5F"/>
    <w:rsid w:val="00A72430"/>
    <w:rsid w:val="00A72AA6"/>
    <w:rsid w:val="00A72AE0"/>
    <w:rsid w:val="00A7341D"/>
    <w:rsid w:val="00A73EB1"/>
    <w:rsid w:val="00A74653"/>
    <w:rsid w:val="00A748D8"/>
    <w:rsid w:val="00A750BA"/>
    <w:rsid w:val="00A752CE"/>
    <w:rsid w:val="00A757C5"/>
    <w:rsid w:val="00A75A8B"/>
    <w:rsid w:val="00A766C4"/>
    <w:rsid w:val="00A7690B"/>
    <w:rsid w:val="00A76941"/>
    <w:rsid w:val="00A76D29"/>
    <w:rsid w:val="00A76DF1"/>
    <w:rsid w:val="00A778A1"/>
    <w:rsid w:val="00A779D0"/>
    <w:rsid w:val="00A80747"/>
    <w:rsid w:val="00A807F2"/>
    <w:rsid w:val="00A80990"/>
    <w:rsid w:val="00A8135A"/>
    <w:rsid w:val="00A81980"/>
    <w:rsid w:val="00A822BB"/>
    <w:rsid w:val="00A824C5"/>
    <w:rsid w:val="00A827B7"/>
    <w:rsid w:val="00A8299E"/>
    <w:rsid w:val="00A829D5"/>
    <w:rsid w:val="00A82A0C"/>
    <w:rsid w:val="00A82CA2"/>
    <w:rsid w:val="00A82CCC"/>
    <w:rsid w:val="00A82D4A"/>
    <w:rsid w:val="00A8319E"/>
    <w:rsid w:val="00A83524"/>
    <w:rsid w:val="00A838FB"/>
    <w:rsid w:val="00A83A98"/>
    <w:rsid w:val="00A83C1F"/>
    <w:rsid w:val="00A84290"/>
    <w:rsid w:val="00A84AD6"/>
    <w:rsid w:val="00A84B26"/>
    <w:rsid w:val="00A85200"/>
    <w:rsid w:val="00A854D3"/>
    <w:rsid w:val="00A8559A"/>
    <w:rsid w:val="00A85719"/>
    <w:rsid w:val="00A85854"/>
    <w:rsid w:val="00A86BF5"/>
    <w:rsid w:val="00A86EC0"/>
    <w:rsid w:val="00A87E2B"/>
    <w:rsid w:val="00A90448"/>
    <w:rsid w:val="00A905B6"/>
    <w:rsid w:val="00A9096C"/>
    <w:rsid w:val="00A90AF3"/>
    <w:rsid w:val="00A90F95"/>
    <w:rsid w:val="00A912B5"/>
    <w:rsid w:val="00A914F8"/>
    <w:rsid w:val="00A91826"/>
    <w:rsid w:val="00A919D8"/>
    <w:rsid w:val="00A91A0D"/>
    <w:rsid w:val="00A92499"/>
    <w:rsid w:val="00A925E9"/>
    <w:rsid w:val="00A93797"/>
    <w:rsid w:val="00A94114"/>
    <w:rsid w:val="00A9440E"/>
    <w:rsid w:val="00A947C9"/>
    <w:rsid w:val="00A948B2"/>
    <w:rsid w:val="00A94B57"/>
    <w:rsid w:val="00A95647"/>
    <w:rsid w:val="00A95991"/>
    <w:rsid w:val="00A95C65"/>
    <w:rsid w:val="00A96685"/>
    <w:rsid w:val="00A967BA"/>
    <w:rsid w:val="00A969FB"/>
    <w:rsid w:val="00A9707A"/>
    <w:rsid w:val="00A97615"/>
    <w:rsid w:val="00A97A96"/>
    <w:rsid w:val="00A97BEB"/>
    <w:rsid w:val="00A97E70"/>
    <w:rsid w:val="00A97FBD"/>
    <w:rsid w:val="00AA0BE1"/>
    <w:rsid w:val="00AA0C81"/>
    <w:rsid w:val="00AA0DBD"/>
    <w:rsid w:val="00AA0F1C"/>
    <w:rsid w:val="00AA1149"/>
    <w:rsid w:val="00AA13D8"/>
    <w:rsid w:val="00AA14D3"/>
    <w:rsid w:val="00AA1F14"/>
    <w:rsid w:val="00AA2041"/>
    <w:rsid w:val="00AA21E0"/>
    <w:rsid w:val="00AA2407"/>
    <w:rsid w:val="00AA2EC8"/>
    <w:rsid w:val="00AA3457"/>
    <w:rsid w:val="00AA39D8"/>
    <w:rsid w:val="00AA3B8F"/>
    <w:rsid w:val="00AA3D05"/>
    <w:rsid w:val="00AA3EBA"/>
    <w:rsid w:val="00AA3F85"/>
    <w:rsid w:val="00AA45BF"/>
    <w:rsid w:val="00AA4748"/>
    <w:rsid w:val="00AA4ACC"/>
    <w:rsid w:val="00AA5074"/>
    <w:rsid w:val="00AA5342"/>
    <w:rsid w:val="00AA54F5"/>
    <w:rsid w:val="00AA550A"/>
    <w:rsid w:val="00AA5797"/>
    <w:rsid w:val="00AA5972"/>
    <w:rsid w:val="00AA5C99"/>
    <w:rsid w:val="00AA5D97"/>
    <w:rsid w:val="00AA65E3"/>
    <w:rsid w:val="00AA66F1"/>
    <w:rsid w:val="00AA67A0"/>
    <w:rsid w:val="00AA6803"/>
    <w:rsid w:val="00AA6A25"/>
    <w:rsid w:val="00AA6BD2"/>
    <w:rsid w:val="00AA6CC3"/>
    <w:rsid w:val="00AA6E65"/>
    <w:rsid w:val="00AA7201"/>
    <w:rsid w:val="00AA79E6"/>
    <w:rsid w:val="00AA7A75"/>
    <w:rsid w:val="00AA7BB0"/>
    <w:rsid w:val="00AA7ECA"/>
    <w:rsid w:val="00AB00B4"/>
    <w:rsid w:val="00AB0384"/>
    <w:rsid w:val="00AB0E1C"/>
    <w:rsid w:val="00AB0E50"/>
    <w:rsid w:val="00AB1027"/>
    <w:rsid w:val="00AB1262"/>
    <w:rsid w:val="00AB1C78"/>
    <w:rsid w:val="00AB2C4D"/>
    <w:rsid w:val="00AB2E31"/>
    <w:rsid w:val="00AB2F1E"/>
    <w:rsid w:val="00AB3522"/>
    <w:rsid w:val="00AB35D0"/>
    <w:rsid w:val="00AB36AE"/>
    <w:rsid w:val="00AB372B"/>
    <w:rsid w:val="00AB3BF4"/>
    <w:rsid w:val="00AB48A8"/>
    <w:rsid w:val="00AB4F52"/>
    <w:rsid w:val="00AB5445"/>
    <w:rsid w:val="00AB5614"/>
    <w:rsid w:val="00AB56D7"/>
    <w:rsid w:val="00AB5854"/>
    <w:rsid w:val="00AB5A67"/>
    <w:rsid w:val="00AB61C3"/>
    <w:rsid w:val="00AB65AD"/>
    <w:rsid w:val="00AB6C88"/>
    <w:rsid w:val="00AB6D47"/>
    <w:rsid w:val="00AB70EE"/>
    <w:rsid w:val="00AB7942"/>
    <w:rsid w:val="00AB7C8E"/>
    <w:rsid w:val="00AB7E4C"/>
    <w:rsid w:val="00AC00F6"/>
    <w:rsid w:val="00AC0260"/>
    <w:rsid w:val="00AC061A"/>
    <w:rsid w:val="00AC0866"/>
    <w:rsid w:val="00AC0D50"/>
    <w:rsid w:val="00AC0F8A"/>
    <w:rsid w:val="00AC13BB"/>
    <w:rsid w:val="00AC13D3"/>
    <w:rsid w:val="00AC1829"/>
    <w:rsid w:val="00AC1D7F"/>
    <w:rsid w:val="00AC1EC3"/>
    <w:rsid w:val="00AC23B8"/>
    <w:rsid w:val="00AC258E"/>
    <w:rsid w:val="00AC28CC"/>
    <w:rsid w:val="00AC2D68"/>
    <w:rsid w:val="00AC30A1"/>
    <w:rsid w:val="00AC317C"/>
    <w:rsid w:val="00AC3891"/>
    <w:rsid w:val="00AC3900"/>
    <w:rsid w:val="00AC3AAE"/>
    <w:rsid w:val="00AC3C21"/>
    <w:rsid w:val="00AC45B0"/>
    <w:rsid w:val="00AC45CD"/>
    <w:rsid w:val="00AC45F9"/>
    <w:rsid w:val="00AC4903"/>
    <w:rsid w:val="00AC4A22"/>
    <w:rsid w:val="00AC4A9F"/>
    <w:rsid w:val="00AC4AD3"/>
    <w:rsid w:val="00AC4DBF"/>
    <w:rsid w:val="00AC5277"/>
    <w:rsid w:val="00AC52BC"/>
    <w:rsid w:val="00AC54BF"/>
    <w:rsid w:val="00AC5965"/>
    <w:rsid w:val="00AC596F"/>
    <w:rsid w:val="00AC5ADC"/>
    <w:rsid w:val="00AC5F8D"/>
    <w:rsid w:val="00AC6209"/>
    <w:rsid w:val="00AC64D6"/>
    <w:rsid w:val="00AC6513"/>
    <w:rsid w:val="00AC6645"/>
    <w:rsid w:val="00AC6AD1"/>
    <w:rsid w:val="00AC6E15"/>
    <w:rsid w:val="00AC6F9A"/>
    <w:rsid w:val="00AC706E"/>
    <w:rsid w:val="00AC7142"/>
    <w:rsid w:val="00AC7838"/>
    <w:rsid w:val="00AC78E6"/>
    <w:rsid w:val="00AC7BB8"/>
    <w:rsid w:val="00AD05B7"/>
    <w:rsid w:val="00AD102F"/>
    <w:rsid w:val="00AD12E8"/>
    <w:rsid w:val="00AD1389"/>
    <w:rsid w:val="00AD151B"/>
    <w:rsid w:val="00AD193B"/>
    <w:rsid w:val="00AD1B13"/>
    <w:rsid w:val="00AD20DF"/>
    <w:rsid w:val="00AD2159"/>
    <w:rsid w:val="00AD2296"/>
    <w:rsid w:val="00AD2658"/>
    <w:rsid w:val="00AD29F1"/>
    <w:rsid w:val="00AD2B5A"/>
    <w:rsid w:val="00AD3D58"/>
    <w:rsid w:val="00AD3FD1"/>
    <w:rsid w:val="00AD40C5"/>
    <w:rsid w:val="00AD47D8"/>
    <w:rsid w:val="00AD4D82"/>
    <w:rsid w:val="00AD4DBE"/>
    <w:rsid w:val="00AD519B"/>
    <w:rsid w:val="00AD5294"/>
    <w:rsid w:val="00AD56E2"/>
    <w:rsid w:val="00AD5890"/>
    <w:rsid w:val="00AD5A9D"/>
    <w:rsid w:val="00AD5BC5"/>
    <w:rsid w:val="00AD5D74"/>
    <w:rsid w:val="00AD5DB8"/>
    <w:rsid w:val="00AD6196"/>
    <w:rsid w:val="00AD62DE"/>
    <w:rsid w:val="00AD63D0"/>
    <w:rsid w:val="00AD688F"/>
    <w:rsid w:val="00AD693C"/>
    <w:rsid w:val="00AD69F4"/>
    <w:rsid w:val="00AD6DBC"/>
    <w:rsid w:val="00AD6E13"/>
    <w:rsid w:val="00AD76CA"/>
    <w:rsid w:val="00AD7E95"/>
    <w:rsid w:val="00AD7EEC"/>
    <w:rsid w:val="00AE01EC"/>
    <w:rsid w:val="00AE065C"/>
    <w:rsid w:val="00AE0CC9"/>
    <w:rsid w:val="00AE1617"/>
    <w:rsid w:val="00AE1B40"/>
    <w:rsid w:val="00AE1C9F"/>
    <w:rsid w:val="00AE2327"/>
    <w:rsid w:val="00AE2348"/>
    <w:rsid w:val="00AE2715"/>
    <w:rsid w:val="00AE2760"/>
    <w:rsid w:val="00AE2BEE"/>
    <w:rsid w:val="00AE2E18"/>
    <w:rsid w:val="00AE3873"/>
    <w:rsid w:val="00AE3D24"/>
    <w:rsid w:val="00AE3F2A"/>
    <w:rsid w:val="00AE4195"/>
    <w:rsid w:val="00AE4417"/>
    <w:rsid w:val="00AE4421"/>
    <w:rsid w:val="00AE4E4B"/>
    <w:rsid w:val="00AE51B8"/>
    <w:rsid w:val="00AE5355"/>
    <w:rsid w:val="00AE5573"/>
    <w:rsid w:val="00AE5603"/>
    <w:rsid w:val="00AE569D"/>
    <w:rsid w:val="00AE572F"/>
    <w:rsid w:val="00AE577A"/>
    <w:rsid w:val="00AE5C4E"/>
    <w:rsid w:val="00AE641F"/>
    <w:rsid w:val="00AE655D"/>
    <w:rsid w:val="00AE66FA"/>
    <w:rsid w:val="00AE67EC"/>
    <w:rsid w:val="00AE6987"/>
    <w:rsid w:val="00AE6B4A"/>
    <w:rsid w:val="00AE6BD2"/>
    <w:rsid w:val="00AE7504"/>
    <w:rsid w:val="00AE7675"/>
    <w:rsid w:val="00AE7DDA"/>
    <w:rsid w:val="00AE7F4A"/>
    <w:rsid w:val="00AE7F8F"/>
    <w:rsid w:val="00AF02AA"/>
    <w:rsid w:val="00AF034F"/>
    <w:rsid w:val="00AF0CE7"/>
    <w:rsid w:val="00AF0F34"/>
    <w:rsid w:val="00AF13F9"/>
    <w:rsid w:val="00AF146F"/>
    <w:rsid w:val="00AF155D"/>
    <w:rsid w:val="00AF1889"/>
    <w:rsid w:val="00AF1CD2"/>
    <w:rsid w:val="00AF1E7A"/>
    <w:rsid w:val="00AF1F91"/>
    <w:rsid w:val="00AF2437"/>
    <w:rsid w:val="00AF2A92"/>
    <w:rsid w:val="00AF2AC4"/>
    <w:rsid w:val="00AF2F71"/>
    <w:rsid w:val="00AF3116"/>
    <w:rsid w:val="00AF3479"/>
    <w:rsid w:val="00AF3CA2"/>
    <w:rsid w:val="00AF3EFE"/>
    <w:rsid w:val="00AF4007"/>
    <w:rsid w:val="00AF406E"/>
    <w:rsid w:val="00AF4274"/>
    <w:rsid w:val="00AF5550"/>
    <w:rsid w:val="00AF5755"/>
    <w:rsid w:val="00AF5B68"/>
    <w:rsid w:val="00AF5E48"/>
    <w:rsid w:val="00AF714C"/>
    <w:rsid w:val="00AF7590"/>
    <w:rsid w:val="00AF788F"/>
    <w:rsid w:val="00AF795C"/>
    <w:rsid w:val="00AF7F51"/>
    <w:rsid w:val="00B00134"/>
    <w:rsid w:val="00B002F3"/>
    <w:rsid w:val="00B013B3"/>
    <w:rsid w:val="00B01C90"/>
    <w:rsid w:val="00B01D31"/>
    <w:rsid w:val="00B01D58"/>
    <w:rsid w:val="00B02021"/>
    <w:rsid w:val="00B02311"/>
    <w:rsid w:val="00B0281D"/>
    <w:rsid w:val="00B02BC3"/>
    <w:rsid w:val="00B02D75"/>
    <w:rsid w:val="00B02E35"/>
    <w:rsid w:val="00B02F5B"/>
    <w:rsid w:val="00B0344E"/>
    <w:rsid w:val="00B03B8C"/>
    <w:rsid w:val="00B03C88"/>
    <w:rsid w:val="00B04115"/>
    <w:rsid w:val="00B041FD"/>
    <w:rsid w:val="00B04421"/>
    <w:rsid w:val="00B045B4"/>
    <w:rsid w:val="00B046B4"/>
    <w:rsid w:val="00B04A7A"/>
    <w:rsid w:val="00B04EFB"/>
    <w:rsid w:val="00B04FF9"/>
    <w:rsid w:val="00B0539B"/>
    <w:rsid w:val="00B05577"/>
    <w:rsid w:val="00B059DA"/>
    <w:rsid w:val="00B059F7"/>
    <w:rsid w:val="00B05C9D"/>
    <w:rsid w:val="00B05DB5"/>
    <w:rsid w:val="00B06D49"/>
    <w:rsid w:val="00B06F4A"/>
    <w:rsid w:val="00B07261"/>
    <w:rsid w:val="00B07467"/>
    <w:rsid w:val="00B07EBA"/>
    <w:rsid w:val="00B1026A"/>
    <w:rsid w:val="00B10427"/>
    <w:rsid w:val="00B114E1"/>
    <w:rsid w:val="00B11D3F"/>
    <w:rsid w:val="00B126F7"/>
    <w:rsid w:val="00B14018"/>
    <w:rsid w:val="00B140CE"/>
    <w:rsid w:val="00B143A4"/>
    <w:rsid w:val="00B14550"/>
    <w:rsid w:val="00B147C3"/>
    <w:rsid w:val="00B15876"/>
    <w:rsid w:val="00B15A06"/>
    <w:rsid w:val="00B1616D"/>
    <w:rsid w:val="00B16211"/>
    <w:rsid w:val="00B1659A"/>
    <w:rsid w:val="00B16996"/>
    <w:rsid w:val="00B16A9B"/>
    <w:rsid w:val="00B16B17"/>
    <w:rsid w:val="00B172A3"/>
    <w:rsid w:val="00B1733A"/>
    <w:rsid w:val="00B1759E"/>
    <w:rsid w:val="00B176B8"/>
    <w:rsid w:val="00B1784C"/>
    <w:rsid w:val="00B179AF"/>
    <w:rsid w:val="00B17A8A"/>
    <w:rsid w:val="00B17BA2"/>
    <w:rsid w:val="00B17CF4"/>
    <w:rsid w:val="00B17DF6"/>
    <w:rsid w:val="00B17E7F"/>
    <w:rsid w:val="00B205AB"/>
    <w:rsid w:val="00B20BE0"/>
    <w:rsid w:val="00B21067"/>
    <w:rsid w:val="00B21262"/>
    <w:rsid w:val="00B21DA9"/>
    <w:rsid w:val="00B21F22"/>
    <w:rsid w:val="00B22157"/>
    <w:rsid w:val="00B226C2"/>
    <w:rsid w:val="00B2270A"/>
    <w:rsid w:val="00B233BE"/>
    <w:rsid w:val="00B233E6"/>
    <w:rsid w:val="00B235E3"/>
    <w:rsid w:val="00B23617"/>
    <w:rsid w:val="00B23D4F"/>
    <w:rsid w:val="00B24C12"/>
    <w:rsid w:val="00B24C4A"/>
    <w:rsid w:val="00B25162"/>
    <w:rsid w:val="00B25426"/>
    <w:rsid w:val="00B257B3"/>
    <w:rsid w:val="00B258DC"/>
    <w:rsid w:val="00B25AA2"/>
    <w:rsid w:val="00B25B82"/>
    <w:rsid w:val="00B25C9D"/>
    <w:rsid w:val="00B25CEE"/>
    <w:rsid w:val="00B2612E"/>
    <w:rsid w:val="00B26356"/>
    <w:rsid w:val="00B26427"/>
    <w:rsid w:val="00B26937"/>
    <w:rsid w:val="00B27308"/>
    <w:rsid w:val="00B27352"/>
    <w:rsid w:val="00B27512"/>
    <w:rsid w:val="00B2768F"/>
    <w:rsid w:val="00B27A43"/>
    <w:rsid w:val="00B27AFF"/>
    <w:rsid w:val="00B27C9A"/>
    <w:rsid w:val="00B27DD6"/>
    <w:rsid w:val="00B304E2"/>
    <w:rsid w:val="00B30861"/>
    <w:rsid w:val="00B3090F"/>
    <w:rsid w:val="00B311AF"/>
    <w:rsid w:val="00B31754"/>
    <w:rsid w:val="00B319C9"/>
    <w:rsid w:val="00B31FC9"/>
    <w:rsid w:val="00B32235"/>
    <w:rsid w:val="00B3260B"/>
    <w:rsid w:val="00B328A1"/>
    <w:rsid w:val="00B32AEA"/>
    <w:rsid w:val="00B3328F"/>
    <w:rsid w:val="00B3387E"/>
    <w:rsid w:val="00B3415C"/>
    <w:rsid w:val="00B347B3"/>
    <w:rsid w:val="00B34845"/>
    <w:rsid w:val="00B34EF4"/>
    <w:rsid w:val="00B351C7"/>
    <w:rsid w:val="00B35501"/>
    <w:rsid w:val="00B359AD"/>
    <w:rsid w:val="00B363B0"/>
    <w:rsid w:val="00B36710"/>
    <w:rsid w:val="00B37639"/>
    <w:rsid w:val="00B3790F"/>
    <w:rsid w:val="00B37950"/>
    <w:rsid w:val="00B37B58"/>
    <w:rsid w:val="00B37E14"/>
    <w:rsid w:val="00B37F29"/>
    <w:rsid w:val="00B400DF"/>
    <w:rsid w:val="00B4013E"/>
    <w:rsid w:val="00B4026E"/>
    <w:rsid w:val="00B4080F"/>
    <w:rsid w:val="00B40F37"/>
    <w:rsid w:val="00B4124B"/>
    <w:rsid w:val="00B41511"/>
    <w:rsid w:val="00B41B04"/>
    <w:rsid w:val="00B41BD2"/>
    <w:rsid w:val="00B41C3B"/>
    <w:rsid w:val="00B41DD4"/>
    <w:rsid w:val="00B41DFB"/>
    <w:rsid w:val="00B4203C"/>
    <w:rsid w:val="00B420BB"/>
    <w:rsid w:val="00B423C0"/>
    <w:rsid w:val="00B42BD9"/>
    <w:rsid w:val="00B4362D"/>
    <w:rsid w:val="00B43686"/>
    <w:rsid w:val="00B43B84"/>
    <w:rsid w:val="00B448E8"/>
    <w:rsid w:val="00B44C49"/>
    <w:rsid w:val="00B44C79"/>
    <w:rsid w:val="00B44CC4"/>
    <w:rsid w:val="00B44DCD"/>
    <w:rsid w:val="00B44F4A"/>
    <w:rsid w:val="00B45A78"/>
    <w:rsid w:val="00B45A7C"/>
    <w:rsid w:val="00B45B16"/>
    <w:rsid w:val="00B45D9E"/>
    <w:rsid w:val="00B45E14"/>
    <w:rsid w:val="00B461BA"/>
    <w:rsid w:val="00B46415"/>
    <w:rsid w:val="00B464AF"/>
    <w:rsid w:val="00B46A48"/>
    <w:rsid w:val="00B46BCE"/>
    <w:rsid w:val="00B46D5B"/>
    <w:rsid w:val="00B46F88"/>
    <w:rsid w:val="00B4705D"/>
    <w:rsid w:val="00B4732A"/>
    <w:rsid w:val="00B47364"/>
    <w:rsid w:val="00B478D7"/>
    <w:rsid w:val="00B47BD8"/>
    <w:rsid w:val="00B5003C"/>
    <w:rsid w:val="00B500CE"/>
    <w:rsid w:val="00B5026B"/>
    <w:rsid w:val="00B50380"/>
    <w:rsid w:val="00B51305"/>
    <w:rsid w:val="00B51BE5"/>
    <w:rsid w:val="00B51DE9"/>
    <w:rsid w:val="00B51E5E"/>
    <w:rsid w:val="00B51F48"/>
    <w:rsid w:val="00B520BD"/>
    <w:rsid w:val="00B524B6"/>
    <w:rsid w:val="00B5287C"/>
    <w:rsid w:val="00B52A45"/>
    <w:rsid w:val="00B52C93"/>
    <w:rsid w:val="00B53BF7"/>
    <w:rsid w:val="00B53EBD"/>
    <w:rsid w:val="00B5401D"/>
    <w:rsid w:val="00B54024"/>
    <w:rsid w:val="00B54151"/>
    <w:rsid w:val="00B547B3"/>
    <w:rsid w:val="00B54C28"/>
    <w:rsid w:val="00B54E46"/>
    <w:rsid w:val="00B54E6E"/>
    <w:rsid w:val="00B55D75"/>
    <w:rsid w:val="00B55DBF"/>
    <w:rsid w:val="00B55F1D"/>
    <w:rsid w:val="00B560A5"/>
    <w:rsid w:val="00B56259"/>
    <w:rsid w:val="00B5719A"/>
    <w:rsid w:val="00B5728B"/>
    <w:rsid w:val="00B57479"/>
    <w:rsid w:val="00B57813"/>
    <w:rsid w:val="00B57CE2"/>
    <w:rsid w:val="00B57CF0"/>
    <w:rsid w:val="00B57E79"/>
    <w:rsid w:val="00B57F84"/>
    <w:rsid w:val="00B57FEA"/>
    <w:rsid w:val="00B6061D"/>
    <w:rsid w:val="00B615B5"/>
    <w:rsid w:val="00B616D6"/>
    <w:rsid w:val="00B61842"/>
    <w:rsid w:val="00B62153"/>
    <w:rsid w:val="00B62654"/>
    <w:rsid w:val="00B63089"/>
    <w:rsid w:val="00B63212"/>
    <w:rsid w:val="00B63545"/>
    <w:rsid w:val="00B6390D"/>
    <w:rsid w:val="00B63ED8"/>
    <w:rsid w:val="00B641EB"/>
    <w:rsid w:val="00B647B9"/>
    <w:rsid w:val="00B6487A"/>
    <w:rsid w:val="00B64A51"/>
    <w:rsid w:val="00B64B92"/>
    <w:rsid w:val="00B64CDC"/>
    <w:rsid w:val="00B653D9"/>
    <w:rsid w:val="00B654C1"/>
    <w:rsid w:val="00B655B4"/>
    <w:rsid w:val="00B66073"/>
    <w:rsid w:val="00B660B2"/>
    <w:rsid w:val="00B662C0"/>
    <w:rsid w:val="00B6640B"/>
    <w:rsid w:val="00B66643"/>
    <w:rsid w:val="00B66964"/>
    <w:rsid w:val="00B66BCD"/>
    <w:rsid w:val="00B66C39"/>
    <w:rsid w:val="00B6765D"/>
    <w:rsid w:val="00B6797E"/>
    <w:rsid w:val="00B679EC"/>
    <w:rsid w:val="00B67BA1"/>
    <w:rsid w:val="00B67DA1"/>
    <w:rsid w:val="00B67E7D"/>
    <w:rsid w:val="00B70411"/>
    <w:rsid w:val="00B7045F"/>
    <w:rsid w:val="00B705A4"/>
    <w:rsid w:val="00B70B8F"/>
    <w:rsid w:val="00B70D13"/>
    <w:rsid w:val="00B70EF5"/>
    <w:rsid w:val="00B7171D"/>
    <w:rsid w:val="00B71782"/>
    <w:rsid w:val="00B71DE5"/>
    <w:rsid w:val="00B71FD7"/>
    <w:rsid w:val="00B721AF"/>
    <w:rsid w:val="00B72305"/>
    <w:rsid w:val="00B726B9"/>
    <w:rsid w:val="00B72994"/>
    <w:rsid w:val="00B72E37"/>
    <w:rsid w:val="00B72EAA"/>
    <w:rsid w:val="00B72F3B"/>
    <w:rsid w:val="00B7326B"/>
    <w:rsid w:val="00B73A31"/>
    <w:rsid w:val="00B73A7F"/>
    <w:rsid w:val="00B73E86"/>
    <w:rsid w:val="00B740C1"/>
    <w:rsid w:val="00B742B6"/>
    <w:rsid w:val="00B743E6"/>
    <w:rsid w:val="00B74CF5"/>
    <w:rsid w:val="00B750D9"/>
    <w:rsid w:val="00B7516E"/>
    <w:rsid w:val="00B7529B"/>
    <w:rsid w:val="00B75542"/>
    <w:rsid w:val="00B7591D"/>
    <w:rsid w:val="00B75959"/>
    <w:rsid w:val="00B75ACC"/>
    <w:rsid w:val="00B7607C"/>
    <w:rsid w:val="00B765D2"/>
    <w:rsid w:val="00B77076"/>
    <w:rsid w:val="00B77319"/>
    <w:rsid w:val="00B774A4"/>
    <w:rsid w:val="00B77867"/>
    <w:rsid w:val="00B77ABA"/>
    <w:rsid w:val="00B77B8C"/>
    <w:rsid w:val="00B77BEC"/>
    <w:rsid w:val="00B80079"/>
    <w:rsid w:val="00B80502"/>
    <w:rsid w:val="00B80C34"/>
    <w:rsid w:val="00B80C36"/>
    <w:rsid w:val="00B80C45"/>
    <w:rsid w:val="00B80EBF"/>
    <w:rsid w:val="00B811A4"/>
    <w:rsid w:val="00B81580"/>
    <w:rsid w:val="00B817BF"/>
    <w:rsid w:val="00B81C84"/>
    <w:rsid w:val="00B81D4B"/>
    <w:rsid w:val="00B81D5D"/>
    <w:rsid w:val="00B820EB"/>
    <w:rsid w:val="00B82202"/>
    <w:rsid w:val="00B825EC"/>
    <w:rsid w:val="00B82A0F"/>
    <w:rsid w:val="00B82FEE"/>
    <w:rsid w:val="00B831C4"/>
    <w:rsid w:val="00B833A2"/>
    <w:rsid w:val="00B83402"/>
    <w:rsid w:val="00B8384A"/>
    <w:rsid w:val="00B839C8"/>
    <w:rsid w:val="00B83D14"/>
    <w:rsid w:val="00B83DC2"/>
    <w:rsid w:val="00B84360"/>
    <w:rsid w:val="00B84583"/>
    <w:rsid w:val="00B845B8"/>
    <w:rsid w:val="00B84659"/>
    <w:rsid w:val="00B8484F"/>
    <w:rsid w:val="00B84B45"/>
    <w:rsid w:val="00B850E1"/>
    <w:rsid w:val="00B85AA4"/>
    <w:rsid w:val="00B85E43"/>
    <w:rsid w:val="00B85E58"/>
    <w:rsid w:val="00B863EE"/>
    <w:rsid w:val="00B868B1"/>
    <w:rsid w:val="00B86B46"/>
    <w:rsid w:val="00B86E4C"/>
    <w:rsid w:val="00B87333"/>
    <w:rsid w:val="00B8777B"/>
    <w:rsid w:val="00B87F7D"/>
    <w:rsid w:val="00B90C87"/>
    <w:rsid w:val="00B9114E"/>
    <w:rsid w:val="00B9131E"/>
    <w:rsid w:val="00B9133C"/>
    <w:rsid w:val="00B91D63"/>
    <w:rsid w:val="00B920A3"/>
    <w:rsid w:val="00B922D1"/>
    <w:rsid w:val="00B92E5E"/>
    <w:rsid w:val="00B92F3A"/>
    <w:rsid w:val="00B930ED"/>
    <w:rsid w:val="00B9319E"/>
    <w:rsid w:val="00B931E1"/>
    <w:rsid w:val="00B93952"/>
    <w:rsid w:val="00B93A00"/>
    <w:rsid w:val="00B93E2B"/>
    <w:rsid w:val="00B94232"/>
    <w:rsid w:val="00B94739"/>
    <w:rsid w:val="00B947B7"/>
    <w:rsid w:val="00B94D63"/>
    <w:rsid w:val="00B9511A"/>
    <w:rsid w:val="00B9521D"/>
    <w:rsid w:val="00B96484"/>
    <w:rsid w:val="00B96F3A"/>
    <w:rsid w:val="00B97448"/>
    <w:rsid w:val="00B978F5"/>
    <w:rsid w:val="00B97AB8"/>
    <w:rsid w:val="00B97F98"/>
    <w:rsid w:val="00BA0048"/>
    <w:rsid w:val="00BA0296"/>
    <w:rsid w:val="00BA0AB0"/>
    <w:rsid w:val="00BA0E2A"/>
    <w:rsid w:val="00BA1990"/>
    <w:rsid w:val="00BA1DB2"/>
    <w:rsid w:val="00BA1FFF"/>
    <w:rsid w:val="00BA218C"/>
    <w:rsid w:val="00BA289C"/>
    <w:rsid w:val="00BA2A50"/>
    <w:rsid w:val="00BA307F"/>
    <w:rsid w:val="00BA3B30"/>
    <w:rsid w:val="00BA3B3F"/>
    <w:rsid w:val="00BA3B49"/>
    <w:rsid w:val="00BA3C1A"/>
    <w:rsid w:val="00BA3F93"/>
    <w:rsid w:val="00BA49ED"/>
    <w:rsid w:val="00BA4BFF"/>
    <w:rsid w:val="00BA4C89"/>
    <w:rsid w:val="00BA5444"/>
    <w:rsid w:val="00BA54B5"/>
    <w:rsid w:val="00BA5890"/>
    <w:rsid w:val="00BA5CF6"/>
    <w:rsid w:val="00BA6144"/>
    <w:rsid w:val="00BA6887"/>
    <w:rsid w:val="00BA6C9E"/>
    <w:rsid w:val="00BA6D32"/>
    <w:rsid w:val="00BA6EF7"/>
    <w:rsid w:val="00BA6F01"/>
    <w:rsid w:val="00BA77BD"/>
    <w:rsid w:val="00BA7A72"/>
    <w:rsid w:val="00BA7B94"/>
    <w:rsid w:val="00BB0521"/>
    <w:rsid w:val="00BB077B"/>
    <w:rsid w:val="00BB087B"/>
    <w:rsid w:val="00BB089A"/>
    <w:rsid w:val="00BB092C"/>
    <w:rsid w:val="00BB0995"/>
    <w:rsid w:val="00BB0DF2"/>
    <w:rsid w:val="00BB0FF0"/>
    <w:rsid w:val="00BB13AB"/>
    <w:rsid w:val="00BB1E99"/>
    <w:rsid w:val="00BB3075"/>
    <w:rsid w:val="00BB3146"/>
    <w:rsid w:val="00BB34E9"/>
    <w:rsid w:val="00BB37A1"/>
    <w:rsid w:val="00BB3C60"/>
    <w:rsid w:val="00BB3E9F"/>
    <w:rsid w:val="00BB4205"/>
    <w:rsid w:val="00BB42FE"/>
    <w:rsid w:val="00BB45F0"/>
    <w:rsid w:val="00BB4639"/>
    <w:rsid w:val="00BB4DB9"/>
    <w:rsid w:val="00BB505A"/>
    <w:rsid w:val="00BB5AC0"/>
    <w:rsid w:val="00BB5DE0"/>
    <w:rsid w:val="00BB600E"/>
    <w:rsid w:val="00BB64AD"/>
    <w:rsid w:val="00BB659C"/>
    <w:rsid w:val="00BB6697"/>
    <w:rsid w:val="00BB67AC"/>
    <w:rsid w:val="00BB6985"/>
    <w:rsid w:val="00BB6A49"/>
    <w:rsid w:val="00BB7A0B"/>
    <w:rsid w:val="00BC0091"/>
    <w:rsid w:val="00BC0312"/>
    <w:rsid w:val="00BC0B50"/>
    <w:rsid w:val="00BC0CF7"/>
    <w:rsid w:val="00BC0EC4"/>
    <w:rsid w:val="00BC1110"/>
    <w:rsid w:val="00BC1A46"/>
    <w:rsid w:val="00BC212A"/>
    <w:rsid w:val="00BC2930"/>
    <w:rsid w:val="00BC2B8B"/>
    <w:rsid w:val="00BC2BC7"/>
    <w:rsid w:val="00BC300F"/>
    <w:rsid w:val="00BC37C0"/>
    <w:rsid w:val="00BC4144"/>
    <w:rsid w:val="00BC4149"/>
    <w:rsid w:val="00BC429F"/>
    <w:rsid w:val="00BC44A5"/>
    <w:rsid w:val="00BC4576"/>
    <w:rsid w:val="00BC46B5"/>
    <w:rsid w:val="00BC4EF6"/>
    <w:rsid w:val="00BC5092"/>
    <w:rsid w:val="00BC5493"/>
    <w:rsid w:val="00BC597A"/>
    <w:rsid w:val="00BC5C82"/>
    <w:rsid w:val="00BC6D07"/>
    <w:rsid w:val="00BC72BA"/>
    <w:rsid w:val="00BC759A"/>
    <w:rsid w:val="00BC78EC"/>
    <w:rsid w:val="00BC7A07"/>
    <w:rsid w:val="00BC7D56"/>
    <w:rsid w:val="00BC7E35"/>
    <w:rsid w:val="00BD017B"/>
    <w:rsid w:val="00BD024A"/>
    <w:rsid w:val="00BD09B8"/>
    <w:rsid w:val="00BD0FE7"/>
    <w:rsid w:val="00BD1216"/>
    <w:rsid w:val="00BD1412"/>
    <w:rsid w:val="00BD1570"/>
    <w:rsid w:val="00BD1737"/>
    <w:rsid w:val="00BD1E53"/>
    <w:rsid w:val="00BD20D6"/>
    <w:rsid w:val="00BD2142"/>
    <w:rsid w:val="00BD2270"/>
    <w:rsid w:val="00BD23F5"/>
    <w:rsid w:val="00BD2873"/>
    <w:rsid w:val="00BD2892"/>
    <w:rsid w:val="00BD2B77"/>
    <w:rsid w:val="00BD2C79"/>
    <w:rsid w:val="00BD33E5"/>
    <w:rsid w:val="00BD3675"/>
    <w:rsid w:val="00BD3729"/>
    <w:rsid w:val="00BD3A1C"/>
    <w:rsid w:val="00BD3C7E"/>
    <w:rsid w:val="00BD4730"/>
    <w:rsid w:val="00BD485E"/>
    <w:rsid w:val="00BD4C06"/>
    <w:rsid w:val="00BD534F"/>
    <w:rsid w:val="00BD5491"/>
    <w:rsid w:val="00BD562C"/>
    <w:rsid w:val="00BD56C8"/>
    <w:rsid w:val="00BD56D1"/>
    <w:rsid w:val="00BD57D3"/>
    <w:rsid w:val="00BD6F70"/>
    <w:rsid w:val="00BD712D"/>
    <w:rsid w:val="00BD73D2"/>
    <w:rsid w:val="00BD748C"/>
    <w:rsid w:val="00BD75A8"/>
    <w:rsid w:val="00BD782D"/>
    <w:rsid w:val="00BD7876"/>
    <w:rsid w:val="00BD7995"/>
    <w:rsid w:val="00BD7C53"/>
    <w:rsid w:val="00BE0084"/>
    <w:rsid w:val="00BE00FD"/>
    <w:rsid w:val="00BE039D"/>
    <w:rsid w:val="00BE04D3"/>
    <w:rsid w:val="00BE0B5E"/>
    <w:rsid w:val="00BE0E48"/>
    <w:rsid w:val="00BE103E"/>
    <w:rsid w:val="00BE171D"/>
    <w:rsid w:val="00BE1CD9"/>
    <w:rsid w:val="00BE1D6E"/>
    <w:rsid w:val="00BE1F22"/>
    <w:rsid w:val="00BE2759"/>
    <w:rsid w:val="00BE2A54"/>
    <w:rsid w:val="00BE2E13"/>
    <w:rsid w:val="00BE2EDE"/>
    <w:rsid w:val="00BE3091"/>
    <w:rsid w:val="00BE33C6"/>
    <w:rsid w:val="00BE362C"/>
    <w:rsid w:val="00BE364C"/>
    <w:rsid w:val="00BE38AA"/>
    <w:rsid w:val="00BE3F1E"/>
    <w:rsid w:val="00BE4740"/>
    <w:rsid w:val="00BE4E64"/>
    <w:rsid w:val="00BE4F59"/>
    <w:rsid w:val="00BE5AA2"/>
    <w:rsid w:val="00BE5AF0"/>
    <w:rsid w:val="00BE67C2"/>
    <w:rsid w:val="00BE68EB"/>
    <w:rsid w:val="00BE6FE8"/>
    <w:rsid w:val="00BE73D1"/>
    <w:rsid w:val="00BE78E3"/>
    <w:rsid w:val="00BE793C"/>
    <w:rsid w:val="00BE7AA6"/>
    <w:rsid w:val="00BE7FA3"/>
    <w:rsid w:val="00BF00C8"/>
    <w:rsid w:val="00BF0435"/>
    <w:rsid w:val="00BF0B5E"/>
    <w:rsid w:val="00BF0B91"/>
    <w:rsid w:val="00BF0F57"/>
    <w:rsid w:val="00BF1182"/>
    <w:rsid w:val="00BF1502"/>
    <w:rsid w:val="00BF1917"/>
    <w:rsid w:val="00BF1F0C"/>
    <w:rsid w:val="00BF2197"/>
    <w:rsid w:val="00BF2334"/>
    <w:rsid w:val="00BF2842"/>
    <w:rsid w:val="00BF2925"/>
    <w:rsid w:val="00BF349C"/>
    <w:rsid w:val="00BF3E21"/>
    <w:rsid w:val="00BF3EEF"/>
    <w:rsid w:val="00BF3EF6"/>
    <w:rsid w:val="00BF44E8"/>
    <w:rsid w:val="00BF45D7"/>
    <w:rsid w:val="00BF464C"/>
    <w:rsid w:val="00BF4667"/>
    <w:rsid w:val="00BF4852"/>
    <w:rsid w:val="00BF4903"/>
    <w:rsid w:val="00BF4A00"/>
    <w:rsid w:val="00BF4AA1"/>
    <w:rsid w:val="00BF5C59"/>
    <w:rsid w:val="00BF5F44"/>
    <w:rsid w:val="00BF603B"/>
    <w:rsid w:val="00BF6A77"/>
    <w:rsid w:val="00BF6E64"/>
    <w:rsid w:val="00BF70C1"/>
    <w:rsid w:val="00BF7197"/>
    <w:rsid w:val="00BF72A8"/>
    <w:rsid w:val="00BF72CB"/>
    <w:rsid w:val="00BF7A62"/>
    <w:rsid w:val="00C00FEE"/>
    <w:rsid w:val="00C016CC"/>
    <w:rsid w:val="00C017AE"/>
    <w:rsid w:val="00C01A50"/>
    <w:rsid w:val="00C021DE"/>
    <w:rsid w:val="00C02379"/>
    <w:rsid w:val="00C023DA"/>
    <w:rsid w:val="00C0262D"/>
    <w:rsid w:val="00C02841"/>
    <w:rsid w:val="00C0290E"/>
    <w:rsid w:val="00C02C88"/>
    <w:rsid w:val="00C02FC8"/>
    <w:rsid w:val="00C0389F"/>
    <w:rsid w:val="00C0407D"/>
    <w:rsid w:val="00C045C1"/>
    <w:rsid w:val="00C045C9"/>
    <w:rsid w:val="00C049F3"/>
    <w:rsid w:val="00C04A89"/>
    <w:rsid w:val="00C04C22"/>
    <w:rsid w:val="00C04C98"/>
    <w:rsid w:val="00C05477"/>
    <w:rsid w:val="00C05573"/>
    <w:rsid w:val="00C05661"/>
    <w:rsid w:val="00C05758"/>
    <w:rsid w:val="00C05C0E"/>
    <w:rsid w:val="00C05D40"/>
    <w:rsid w:val="00C05FF3"/>
    <w:rsid w:val="00C060E8"/>
    <w:rsid w:val="00C06160"/>
    <w:rsid w:val="00C06543"/>
    <w:rsid w:val="00C06B28"/>
    <w:rsid w:val="00C06B6B"/>
    <w:rsid w:val="00C06D84"/>
    <w:rsid w:val="00C06E43"/>
    <w:rsid w:val="00C07030"/>
    <w:rsid w:val="00C07133"/>
    <w:rsid w:val="00C07A2F"/>
    <w:rsid w:val="00C07D73"/>
    <w:rsid w:val="00C1059A"/>
    <w:rsid w:val="00C105B8"/>
    <w:rsid w:val="00C105CE"/>
    <w:rsid w:val="00C109CA"/>
    <w:rsid w:val="00C10C2D"/>
    <w:rsid w:val="00C11444"/>
    <w:rsid w:val="00C11BFE"/>
    <w:rsid w:val="00C11C72"/>
    <w:rsid w:val="00C12134"/>
    <w:rsid w:val="00C123DD"/>
    <w:rsid w:val="00C1240F"/>
    <w:rsid w:val="00C12A41"/>
    <w:rsid w:val="00C12F78"/>
    <w:rsid w:val="00C13016"/>
    <w:rsid w:val="00C13236"/>
    <w:rsid w:val="00C13555"/>
    <w:rsid w:val="00C139F1"/>
    <w:rsid w:val="00C13E29"/>
    <w:rsid w:val="00C13F37"/>
    <w:rsid w:val="00C1429E"/>
    <w:rsid w:val="00C1443F"/>
    <w:rsid w:val="00C1495C"/>
    <w:rsid w:val="00C14B71"/>
    <w:rsid w:val="00C14CAC"/>
    <w:rsid w:val="00C14D22"/>
    <w:rsid w:val="00C15267"/>
    <w:rsid w:val="00C15596"/>
    <w:rsid w:val="00C156FE"/>
    <w:rsid w:val="00C1583F"/>
    <w:rsid w:val="00C15929"/>
    <w:rsid w:val="00C16260"/>
    <w:rsid w:val="00C165F1"/>
    <w:rsid w:val="00C1672E"/>
    <w:rsid w:val="00C170B1"/>
    <w:rsid w:val="00C171E0"/>
    <w:rsid w:val="00C171FE"/>
    <w:rsid w:val="00C172D3"/>
    <w:rsid w:val="00C172E5"/>
    <w:rsid w:val="00C174F0"/>
    <w:rsid w:val="00C176ED"/>
    <w:rsid w:val="00C17DB5"/>
    <w:rsid w:val="00C17E0A"/>
    <w:rsid w:val="00C17E41"/>
    <w:rsid w:val="00C200BD"/>
    <w:rsid w:val="00C20128"/>
    <w:rsid w:val="00C2192D"/>
    <w:rsid w:val="00C22027"/>
    <w:rsid w:val="00C23021"/>
    <w:rsid w:val="00C233A9"/>
    <w:rsid w:val="00C238AC"/>
    <w:rsid w:val="00C2412E"/>
    <w:rsid w:val="00C24356"/>
    <w:rsid w:val="00C24B43"/>
    <w:rsid w:val="00C24B97"/>
    <w:rsid w:val="00C255E7"/>
    <w:rsid w:val="00C255F6"/>
    <w:rsid w:val="00C258A1"/>
    <w:rsid w:val="00C25AAF"/>
    <w:rsid w:val="00C25CA1"/>
    <w:rsid w:val="00C25DA7"/>
    <w:rsid w:val="00C265A7"/>
    <w:rsid w:val="00C26B8F"/>
    <w:rsid w:val="00C26EE6"/>
    <w:rsid w:val="00C26F45"/>
    <w:rsid w:val="00C27311"/>
    <w:rsid w:val="00C27317"/>
    <w:rsid w:val="00C27542"/>
    <w:rsid w:val="00C27BBA"/>
    <w:rsid w:val="00C27FE7"/>
    <w:rsid w:val="00C30211"/>
    <w:rsid w:val="00C30B0F"/>
    <w:rsid w:val="00C30D32"/>
    <w:rsid w:val="00C30DF3"/>
    <w:rsid w:val="00C30F98"/>
    <w:rsid w:val="00C3135C"/>
    <w:rsid w:val="00C31B32"/>
    <w:rsid w:val="00C327FD"/>
    <w:rsid w:val="00C32B00"/>
    <w:rsid w:val="00C32FD1"/>
    <w:rsid w:val="00C32FF8"/>
    <w:rsid w:val="00C332A3"/>
    <w:rsid w:val="00C33526"/>
    <w:rsid w:val="00C335DF"/>
    <w:rsid w:val="00C33699"/>
    <w:rsid w:val="00C33E0C"/>
    <w:rsid w:val="00C33EA3"/>
    <w:rsid w:val="00C34C23"/>
    <w:rsid w:val="00C34D91"/>
    <w:rsid w:val="00C355F6"/>
    <w:rsid w:val="00C35BFE"/>
    <w:rsid w:val="00C36356"/>
    <w:rsid w:val="00C369B5"/>
    <w:rsid w:val="00C36DC0"/>
    <w:rsid w:val="00C376BD"/>
    <w:rsid w:val="00C3773E"/>
    <w:rsid w:val="00C37AFE"/>
    <w:rsid w:val="00C37D8D"/>
    <w:rsid w:val="00C37EB2"/>
    <w:rsid w:val="00C37F5A"/>
    <w:rsid w:val="00C401B2"/>
    <w:rsid w:val="00C406F3"/>
    <w:rsid w:val="00C407D1"/>
    <w:rsid w:val="00C410B6"/>
    <w:rsid w:val="00C4119D"/>
    <w:rsid w:val="00C4122A"/>
    <w:rsid w:val="00C41712"/>
    <w:rsid w:val="00C41F98"/>
    <w:rsid w:val="00C4201E"/>
    <w:rsid w:val="00C42A9F"/>
    <w:rsid w:val="00C42B8C"/>
    <w:rsid w:val="00C42C21"/>
    <w:rsid w:val="00C43112"/>
    <w:rsid w:val="00C432A4"/>
    <w:rsid w:val="00C43CE6"/>
    <w:rsid w:val="00C44863"/>
    <w:rsid w:val="00C449CB"/>
    <w:rsid w:val="00C44CEC"/>
    <w:rsid w:val="00C45201"/>
    <w:rsid w:val="00C4545D"/>
    <w:rsid w:val="00C45896"/>
    <w:rsid w:val="00C459A8"/>
    <w:rsid w:val="00C45B1A"/>
    <w:rsid w:val="00C46280"/>
    <w:rsid w:val="00C46289"/>
    <w:rsid w:val="00C46532"/>
    <w:rsid w:val="00C467A0"/>
    <w:rsid w:val="00C46879"/>
    <w:rsid w:val="00C469D5"/>
    <w:rsid w:val="00C46F8D"/>
    <w:rsid w:val="00C471B1"/>
    <w:rsid w:val="00C47D02"/>
    <w:rsid w:val="00C50162"/>
    <w:rsid w:val="00C50236"/>
    <w:rsid w:val="00C508FC"/>
    <w:rsid w:val="00C513E5"/>
    <w:rsid w:val="00C519DF"/>
    <w:rsid w:val="00C51AF1"/>
    <w:rsid w:val="00C51D12"/>
    <w:rsid w:val="00C51DEE"/>
    <w:rsid w:val="00C521E3"/>
    <w:rsid w:val="00C52422"/>
    <w:rsid w:val="00C52776"/>
    <w:rsid w:val="00C53230"/>
    <w:rsid w:val="00C53418"/>
    <w:rsid w:val="00C53C60"/>
    <w:rsid w:val="00C53EFE"/>
    <w:rsid w:val="00C54127"/>
    <w:rsid w:val="00C543BD"/>
    <w:rsid w:val="00C54422"/>
    <w:rsid w:val="00C548D8"/>
    <w:rsid w:val="00C54A56"/>
    <w:rsid w:val="00C550FC"/>
    <w:rsid w:val="00C552FF"/>
    <w:rsid w:val="00C558D2"/>
    <w:rsid w:val="00C567F2"/>
    <w:rsid w:val="00C56CEC"/>
    <w:rsid w:val="00C56CF1"/>
    <w:rsid w:val="00C56D81"/>
    <w:rsid w:val="00C56E5E"/>
    <w:rsid w:val="00C56FC0"/>
    <w:rsid w:val="00C575C0"/>
    <w:rsid w:val="00C57E51"/>
    <w:rsid w:val="00C6050B"/>
    <w:rsid w:val="00C60896"/>
    <w:rsid w:val="00C61066"/>
    <w:rsid w:val="00C6113E"/>
    <w:rsid w:val="00C61251"/>
    <w:rsid w:val="00C61390"/>
    <w:rsid w:val="00C6186F"/>
    <w:rsid w:val="00C61876"/>
    <w:rsid w:val="00C61936"/>
    <w:rsid w:val="00C61956"/>
    <w:rsid w:val="00C61A15"/>
    <w:rsid w:val="00C61A9C"/>
    <w:rsid w:val="00C61E82"/>
    <w:rsid w:val="00C6209C"/>
    <w:rsid w:val="00C622D5"/>
    <w:rsid w:val="00C6249C"/>
    <w:rsid w:val="00C62536"/>
    <w:rsid w:val="00C625D4"/>
    <w:rsid w:val="00C62A62"/>
    <w:rsid w:val="00C62D6E"/>
    <w:rsid w:val="00C62E57"/>
    <w:rsid w:val="00C62EE4"/>
    <w:rsid w:val="00C6334C"/>
    <w:rsid w:val="00C63463"/>
    <w:rsid w:val="00C63945"/>
    <w:rsid w:val="00C640C1"/>
    <w:rsid w:val="00C6499D"/>
    <w:rsid w:val="00C64B59"/>
    <w:rsid w:val="00C651E2"/>
    <w:rsid w:val="00C651FF"/>
    <w:rsid w:val="00C6529F"/>
    <w:rsid w:val="00C65D72"/>
    <w:rsid w:val="00C65F0E"/>
    <w:rsid w:val="00C65F4B"/>
    <w:rsid w:val="00C66202"/>
    <w:rsid w:val="00C664F9"/>
    <w:rsid w:val="00C6667B"/>
    <w:rsid w:val="00C6668E"/>
    <w:rsid w:val="00C667BC"/>
    <w:rsid w:val="00C66849"/>
    <w:rsid w:val="00C66FE0"/>
    <w:rsid w:val="00C675FB"/>
    <w:rsid w:val="00C67648"/>
    <w:rsid w:val="00C67C03"/>
    <w:rsid w:val="00C70392"/>
    <w:rsid w:val="00C709A4"/>
    <w:rsid w:val="00C70C9D"/>
    <w:rsid w:val="00C70EA8"/>
    <w:rsid w:val="00C7107A"/>
    <w:rsid w:val="00C715F0"/>
    <w:rsid w:val="00C71714"/>
    <w:rsid w:val="00C717A1"/>
    <w:rsid w:val="00C72423"/>
    <w:rsid w:val="00C7256E"/>
    <w:rsid w:val="00C72910"/>
    <w:rsid w:val="00C72A55"/>
    <w:rsid w:val="00C72C1A"/>
    <w:rsid w:val="00C73353"/>
    <w:rsid w:val="00C7355D"/>
    <w:rsid w:val="00C739B9"/>
    <w:rsid w:val="00C7429A"/>
    <w:rsid w:val="00C7441B"/>
    <w:rsid w:val="00C74B22"/>
    <w:rsid w:val="00C75319"/>
    <w:rsid w:val="00C7569E"/>
    <w:rsid w:val="00C7611A"/>
    <w:rsid w:val="00C7651D"/>
    <w:rsid w:val="00C7654A"/>
    <w:rsid w:val="00C76C8C"/>
    <w:rsid w:val="00C776B6"/>
    <w:rsid w:val="00C77886"/>
    <w:rsid w:val="00C77C5F"/>
    <w:rsid w:val="00C8016B"/>
    <w:rsid w:val="00C807DD"/>
    <w:rsid w:val="00C80C3F"/>
    <w:rsid w:val="00C80C44"/>
    <w:rsid w:val="00C80D13"/>
    <w:rsid w:val="00C80F96"/>
    <w:rsid w:val="00C80FF8"/>
    <w:rsid w:val="00C810AB"/>
    <w:rsid w:val="00C818DA"/>
    <w:rsid w:val="00C81C86"/>
    <w:rsid w:val="00C81C98"/>
    <w:rsid w:val="00C81F08"/>
    <w:rsid w:val="00C8342C"/>
    <w:rsid w:val="00C84061"/>
    <w:rsid w:val="00C84177"/>
    <w:rsid w:val="00C8432B"/>
    <w:rsid w:val="00C845ED"/>
    <w:rsid w:val="00C84D90"/>
    <w:rsid w:val="00C84EF5"/>
    <w:rsid w:val="00C850E1"/>
    <w:rsid w:val="00C8524F"/>
    <w:rsid w:val="00C85395"/>
    <w:rsid w:val="00C854AB"/>
    <w:rsid w:val="00C8608C"/>
    <w:rsid w:val="00C86543"/>
    <w:rsid w:val="00C86844"/>
    <w:rsid w:val="00C86BAC"/>
    <w:rsid w:val="00C874B4"/>
    <w:rsid w:val="00C8781B"/>
    <w:rsid w:val="00C87887"/>
    <w:rsid w:val="00C87E5D"/>
    <w:rsid w:val="00C902A2"/>
    <w:rsid w:val="00C90332"/>
    <w:rsid w:val="00C90583"/>
    <w:rsid w:val="00C906B5"/>
    <w:rsid w:val="00C90C3E"/>
    <w:rsid w:val="00C91C0F"/>
    <w:rsid w:val="00C920A2"/>
    <w:rsid w:val="00C924F0"/>
    <w:rsid w:val="00C924F2"/>
    <w:rsid w:val="00C92B8D"/>
    <w:rsid w:val="00C9336F"/>
    <w:rsid w:val="00C93DFD"/>
    <w:rsid w:val="00C940F8"/>
    <w:rsid w:val="00C94172"/>
    <w:rsid w:val="00C945C7"/>
    <w:rsid w:val="00C94C1D"/>
    <w:rsid w:val="00C94CE6"/>
    <w:rsid w:val="00C94CF4"/>
    <w:rsid w:val="00C9568F"/>
    <w:rsid w:val="00C95AAA"/>
    <w:rsid w:val="00C95BB6"/>
    <w:rsid w:val="00C95DB1"/>
    <w:rsid w:val="00C95F1E"/>
    <w:rsid w:val="00C95F45"/>
    <w:rsid w:val="00C96836"/>
    <w:rsid w:val="00C969E0"/>
    <w:rsid w:val="00C969F9"/>
    <w:rsid w:val="00C96B5E"/>
    <w:rsid w:val="00C96C6A"/>
    <w:rsid w:val="00C971B9"/>
    <w:rsid w:val="00C9721A"/>
    <w:rsid w:val="00C97AE8"/>
    <w:rsid w:val="00CA00D2"/>
    <w:rsid w:val="00CA09CD"/>
    <w:rsid w:val="00CA0AFD"/>
    <w:rsid w:val="00CA0BB8"/>
    <w:rsid w:val="00CA0CF7"/>
    <w:rsid w:val="00CA11C1"/>
    <w:rsid w:val="00CA1C2A"/>
    <w:rsid w:val="00CA1CF3"/>
    <w:rsid w:val="00CA1EB0"/>
    <w:rsid w:val="00CA2196"/>
    <w:rsid w:val="00CA2227"/>
    <w:rsid w:val="00CA2580"/>
    <w:rsid w:val="00CA2F00"/>
    <w:rsid w:val="00CA3381"/>
    <w:rsid w:val="00CA3469"/>
    <w:rsid w:val="00CA380B"/>
    <w:rsid w:val="00CA3E4C"/>
    <w:rsid w:val="00CA4181"/>
    <w:rsid w:val="00CA4483"/>
    <w:rsid w:val="00CA462B"/>
    <w:rsid w:val="00CA4DFF"/>
    <w:rsid w:val="00CA505D"/>
    <w:rsid w:val="00CA5188"/>
    <w:rsid w:val="00CA5487"/>
    <w:rsid w:val="00CA5822"/>
    <w:rsid w:val="00CA6044"/>
    <w:rsid w:val="00CA6467"/>
    <w:rsid w:val="00CA73D5"/>
    <w:rsid w:val="00CA7654"/>
    <w:rsid w:val="00CA7A16"/>
    <w:rsid w:val="00CA7A52"/>
    <w:rsid w:val="00CB02BC"/>
    <w:rsid w:val="00CB0A90"/>
    <w:rsid w:val="00CB0DA8"/>
    <w:rsid w:val="00CB1066"/>
    <w:rsid w:val="00CB15FD"/>
    <w:rsid w:val="00CB2251"/>
    <w:rsid w:val="00CB2794"/>
    <w:rsid w:val="00CB2C7B"/>
    <w:rsid w:val="00CB313B"/>
    <w:rsid w:val="00CB3478"/>
    <w:rsid w:val="00CB370D"/>
    <w:rsid w:val="00CB3C74"/>
    <w:rsid w:val="00CB43BD"/>
    <w:rsid w:val="00CB4F0E"/>
    <w:rsid w:val="00CB4F9F"/>
    <w:rsid w:val="00CB5348"/>
    <w:rsid w:val="00CB5E7A"/>
    <w:rsid w:val="00CB6523"/>
    <w:rsid w:val="00CB6638"/>
    <w:rsid w:val="00CB6E1D"/>
    <w:rsid w:val="00CB6F60"/>
    <w:rsid w:val="00CB7005"/>
    <w:rsid w:val="00CB7169"/>
    <w:rsid w:val="00CC013C"/>
    <w:rsid w:val="00CC0855"/>
    <w:rsid w:val="00CC0F02"/>
    <w:rsid w:val="00CC19FA"/>
    <w:rsid w:val="00CC1EFA"/>
    <w:rsid w:val="00CC2127"/>
    <w:rsid w:val="00CC2563"/>
    <w:rsid w:val="00CC2D1C"/>
    <w:rsid w:val="00CC3933"/>
    <w:rsid w:val="00CC3AE2"/>
    <w:rsid w:val="00CC3C4B"/>
    <w:rsid w:val="00CC3D6E"/>
    <w:rsid w:val="00CC3F6F"/>
    <w:rsid w:val="00CC4910"/>
    <w:rsid w:val="00CC4B8A"/>
    <w:rsid w:val="00CC510B"/>
    <w:rsid w:val="00CC53EF"/>
    <w:rsid w:val="00CC5486"/>
    <w:rsid w:val="00CC5F0E"/>
    <w:rsid w:val="00CC607D"/>
    <w:rsid w:val="00CC64E7"/>
    <w:rsid w:val="00CC676D"/>
    <w:rsid w:val="00CC6901"/>
    <w:rsid w:val="00CC6C05"/>
    <w:rsid w:val="00CC72CE"/>
    <w:rsid w:val="00CC76E3"/>
    <w:rsid w:val="00CC7A01"/>
    <w:rsid w:val="00CC7A5F"/>
    <w:rsid w:val="00CC7DEB"/>
    <w:rsid w:val="00CD07B8"/>
    <w:rsid w:val="00CD0932"/>
    <w:rsid w:val="00CD1094"/>
    <w:rsid w:val="00CD1359"/>
    <w:rsid w:val="00CD1708"/>
    <w:rsid w:val="00CD1892"/>
    <w:rsid w:val="00CD1F03"/>
    <w:rsid w:val="00CD200A"/>
    <w:rsid w:val="00CD256B"/>
    <w:rsid w:val="00CD2724"/>
    <w:rsid w:val="00CD27CC"/>
    <w:rsid w:val="00CD292E"/>
    <w:rsid w:val="00CD2FE9"/>
    <w:rsid w:val="00CD336C"/>
    <w:rsid w:val="00CD4030"/>
    <w:rsid w:val="00CD419C"/>
    <w:rsid w:val="00CD461C"/>
    <w:rsid w:val="00CD4680"/>
    <w:rsid w:val="00CD4798"/>
    <w:rsid w:val="00CD49AC"/>
    <w:rsid w:val="00CD4ABF"/>
    <w:rsid w:val="00CD4B41"/>
    <w:rsid w:val="00CD4F4C"/>
    <w:rsid w:val="00CD5057"/>
    <w:rsid w:val="00CD5381"/>
    <w:rsid w:val="00CD5693"/>
    <w:rsid w:val="00CD5B28"/>
    <w:rsid w:val="00CD5F12"/>
    <w:rsid w:val="00CD6154"/>
    <w:rsid w:val="00CD620F"/>
    <w:rsid w:val="00CD6721"/>
    <w:rsid w:val="00CD69C8"/>
    <w:rsid w:val="00CD6AEC"/>
    <w:rsid w:val="00CD6CFD"/>
    <w:rsid w:val="00CD6D0A"/>
    <w:rsid w:val="00CD7864"/>
    <w:rsid w:val="00CD7D57"/>
    <w:rsid w:val="00CD7F20"/>
    <w:rsid w:val="00CE1084"/>
    <w:rsid w:val="00CE1600"/>
    <w:rsid w:val="00CE1711"/>
    <w:rsid w:val="00CE1F6C"/>
    <w:rsid w:val="00CE1F7B"/>
    <w:rsid w:val="00CE279E"/>
    <w:rsid w:val="00CE28D6"/>
    <w:rsid w:val="00CE2A05"/>
    <w:rsid w:val="00CE2A56"/>
    <w:rsid w:val="00CE315D"/>
    <w:rsid w:val="00CE393F"/>
    <w:rsid w:val="00CE3974"/>
    <w:rsid w:val="00CE3A70"/>
    <w:rsid w:val="00CE3D31"/>
    <w:rsid w:val="00CE403B"/>
    <w:rsid w:val="00CE43B0"/>
    <w:rsid w:val="00CE45BA"/>
    <w:rsid w:val="00CE53C4"/>
    <w:rsid w:val="00CE54E0"/>
    <w:rsid w:val="00CE54E1"/>
    <w:rsid w:val="00CE5782"/>
    <w:rsid w:val="00CE58FA"/>
    <w:rsid w:val="00CE59CD"/>
    <w:rsid w:val="00CE5E0B"/>
    <w:rsid w:val="00CE5F51"/>
    <w:rsid w:val="00CE5FDA"/>
    <w:rsid w:val="00CE66C8"/>
    <w:rsid w:val="00CE76FA"/>
    <w:rsid w:val="00CE7847"/>
    <w:rsid w:val="00CE7889"/>
    <w:rsid w:val="00CE7EAC"/>
    <w:rsid w:val="00CF0047"/>
    <w:rsid w:val="00CF0303"/>
    <w:rsid w:val="00CF046D"/>
    <w:rsid w:val="00CF0675"/>
    <w:rsid w:val="00CF0694"/>
    <w:rsid w:val="00CF06B3"/>
    <w:rsid w:val="00CF101F"/>
    <w:rsid w:val="00CF11BE"/>
    <w:rsid w:val="00CF1310"/>
    <w:rsid w:val="00CF16F5"/>
    <w:rsid w:val="00CF1943"/>
    <w:rsid w:val="00CF24AE"/>
    <w:rsid w:val="00CF273C"/>
    <w:rsid w:val="00CF2B2B"/>
    <w:rsid w:val="00CF3030"/>
    <w:rsid w:val="00CF31DA"/>
    <w:rsid w:val="00CF3B2E"/>
    <w:rsid w:val="00CF42B4"/>
    <w:rsid w:val="00CF4384"/>
    <w:rsid w:val="00CF4478"/>
    <w:rsid w:val="00CF44F9"/>
    <w:rsid w:val="00CF4B33"/>
    <w:rsid w:val="00CF4BD5"/>
    <w:rsid w:val="00CF4EF4"/>
    <w:rsid w:val="00CF56BC"/>
    <w:rsid w:val="00CF5DE2"/>
    <w:rsid w:val="00CF65F3"/>
    <w:rsid w:val="00CF6B59"/>
    <w:rsid w:val="00CF76FD"/>
    <w:rsid w:val="00CF7E2C"/>
    <w:rsid w:val="00CF7F3D"/>
    <w:rsid w:val="00D001C4"/>
    <w:rsid w:val="00D0045E"/>
    <w:rsid w:val="00D00478"/>
    <w:rsid w:val="00D005C3"/>
    <w:rsid w:val="00D00911"/>
    <w:rsid w:val="00D00A78"/>
    <w:rsid w:val="00D01151"/>
    <w:rsid w:val="00D012B4"/>
    <w:rsid w:val="00D01476"/>
    <w:rsid w:val="00D01627"/>
    <w:rsid w:val="00D01665"/>
    <w:rsid w:val="00D01C27"/>
    <w:rsid w:val="00D01C40"/>
    <w:rsid w:val="00D02898"/>
    <w:rsid w:val="00D02C74"/>
    <w:rsid w:val="00D03C09"/>
    <w:rsid w:val="00D03D3D"/>
    <w:rsid w:val="00D046C3"/>
    <w:rsid w:val="00D05AEF"/>
    <w:rsid w:val="00D05B72"/>
    <w:rsid w:val="00D06201"/>
    <w:rsid w:val="00D063AC"/>
    <w:rsid w:val="00D0645D"/>
    <w:rsid w:val="00D06746"/>
    <w:rsid w:val="00D06A78"/>
    <w:rsid w:val="00D06A91"/>
    <w:rsid w:val="00D06D8D"/>
    <w:rsid w:val="00D06FC3"/>
    <w:rsid w:val="00D071B2"/>
    <w:rsid w:val="00D07561"/>
    <w:rsid w:val="00D078F9"/>
    <w:rsid w:val="00D07DB4"/>
    <w:rsid w:val="00D07E7D"/>
    <w:rsid w:val="00D07ED3"/>
    <w:rsid w:val="00D10258"/>
    <w:rsid w:val="00D10329"/>
    <w:rsid w:val="00D104E0"/>
    <w:rsid w:val="00D10530"/>
    <w:rsid w:val="00D1064E"/>
    <w:rsid w:val="00D10A24"/>
    <w:rsid w:val="00D10D1B"/>
    <w:rsid w:val="00D119CF"/>
    <w:rsid w:val="00D11B39"/>
    <w:rsid w:val="00D11C4E"/>
    <w:rsid w:val="00D11C84"/>
    <w:rsid w:val="00D12059"/>
    <w:rsid w:val="00D1209D"/>
    <w:rsid w:val="00D125E5"/>
    <w:rsid w:val="00D12A53"/>
    <w:rsid w:val="00D12C2C"/>
    <w:rsid w:val="00D1308D"/>
    <w:rsid w:val="00D137FD"/>
    <w:rsid w:val="00D1408D"/>
    <w:rsid w:val="00D14239"/>
    <w:rsid w:val="00D148D4"/>
    <w:rsid w:val="00D14E0D"/>
    <w:rsid w:val="00D152B5"/>
    <w:rsid w:val="00D15D58"/>
    <w:rsid w:val="00D15F59"/>
    <w:rsid w:val="00D15FCB"/>
    <w:rsid w:val="00D1617F"/>
    <w:rsid w:val="00D165F4"/>
    <w:rsid w:val="00D16940"/>
    <w:rsid w:val="00D178D3"/>
    <w:rsid w:val="00D17B48"/>
    <w:rsid w:val="00D17F73"/>
    <w:rsid w:val="00D2018D"/>
    <w:rsid w:val="00D202A8"/>
    <w:rsid w:val="00D206FC"/>
    <w:rsid w:val="00D2092D"/>
    <w:rsid w:val="00D20DE3"/>
    <w:rsid w:val="00D210C6"/>
    <w:rsid w:val="00D2125C"/>
    <w:rsid w:val="00D21845"/>
    <w:rsid w:val="00D21D1F"/>
    <w:rsid w:val="00D222A9"/>
    <w:rsid w:val="00D2248D"/>
    <w:rsid w:val="00D22F0C"/>
    <w:rsid w:val="00D23163"/>
    <w:rsid w:val="00D233FD"/>
    <w:rsid w:val="00D235D3"/>
    <w:rsid w:val="00D23DFC"/>
    <w:rsid w:val="00D240BC"/>
    <w:rsid w:val="00D24103"/>
    <w:rsid w:val="00D247B7"/>
    <w:rsid w:val="00D24ADA"/>
    <w:rsid w:val="00D2506C"/>
    <w:rsid w:val="00D25462"/>
    <w:rsid w:val="00D25B08"/>
    <w:rsid w:val="00D2611B"/>
    <w:rsid w:val="00D2646F"/>
    <w:rsid w:val="00D26AFB"/>
    <w:rsid w:val="00D26C56"/>
    <w:rsid w:val="00D26EB7"/>
    <w:rsid w:val="00D276E8"/>
    <w:rsid w:val="00D2787E"/>
    <w:rsid w:val="00D27BB0"/>
    <w:rsid w:val="00D27D5D"/>
    <w:rsid w:val="00D302C2"/>
    <w:rsid w:val="00D3031D"/>
    <w:rsid w:val="00D30407"/>
    <w:rsid w:val="00D30C3C"/>
    <w:rsid w:val="00D30E08"/>
    <w:rsid w:val="00D31283"/>
    <w:rsid w:val="00D31DA6"/>
    <w:rsid w:val="00D322AB"/>
    <w:rsid w:val="00D327E7"/>
    <w:rsid w:val="00D3288A"/>
    <w:rsid w:val="00D32921"/>
    <w:rsid w:val="00D3294A"/>
    <w:rsid w:val="00D3299A"/>
    <w:rsid w:val="00D32AA6"/>
    <w:rsid w:val="00D32C1C"/>
    <w:rsid w:val="00D32D41"/>
    <w:rsid w:val="00D33115"/>
    <w:rsid w:val="00D33234"/>
    <w:rsid w:val="00D336DB"/>
    <w:rsid w:val="00D339F2"/>
    <w:rsid w:val="00D33E6C"/>
    <w:rsid w:val="00D34301"/>
    <w:rsid w:val="00D34338"/>
    <w:rsid w:val="00D3477B"/>
    <w:rsid w:val="00D35476"/>
    <w:rsid w:val="00D354BE"/>
    <w:rsid w:val="00D355E3"/>
    <w:rsid w:val="00D35BB7"/>
    <w:rsid w:val="00D360A8"/>
    <w:rsid w:val="00D3620E"/>
    <w:rsid w:val="00D363DE"/>
    <w:rsid w:val="00D3653D"/>
    <w:rsid w:val="00D36E6C"/>
    <w:rsid w:val="00D371DF"/>
    <w:rsid w:val="00D37741"/>
    <w:rsid w:val="00D37D9F"/>
    <w:rsid w:val="00D4011A"/>
    <w:rsid w:val="00D404CD"/>
    <w:rsid w:val="00D4101C"/>
    <w:rsid w:val="00D41218"/>
    <w:rsid w:val="00D414E8"/>
    <w:rsid w:val="00D41B85"/>
    <w:rsid w:val="00D41EBD"/>
    <w:rsid w:val="00D42F40"/>
    <w:rsid w:val="00D430B3"/>
    <w:rsid w:val="00D43162"/>
    <w:rsid w:val="00D4343B"/>
    <w:rsid w:val="00D43617"/>
    <w:rsid w:val="00D43652"/>
    <w:rsid w:val="00D436A4"/>
    <w:rsid w:val="00D43935"/>
    <w:rsid w:val="00D43AE4"/>
    <w:rsid w:val="00D43D2E"/>
    <w:rsid w:val="00D44056"/>
    <w:rsid w:val="00D440B4"/>
    <w:rsid w:val="00D44207"/>
    <w:rsid w:val="00D44948"/>
    <w:rsid w:val="00D44B87"/>
    <w:rsid w:val="00D45019"/>
    <w:rsid w:val="00D4522C"/>
    <w:rsid w:val="00D45595"/>
    <w:rsid w:val="00D4562D"/>
    <w:rsid w:val="00D45945"/>
    <w:rsid w:val="00D45ABC"/>
    <w:rsid w:val="00D45B0F"/>
    <w:rsid w:val="00D45B65"/>
    <w:rsid w:val="00D461BC"/>
    <w:rsid w:val="00D46289"/>
    <w:rsid w:val="00D46743"/>
    <w:rsid w:val="00D46AA4"/>
    <w:rsid w:val="00D4761B"/>
    <w:rsid w:val="00D47DAD"/>
    <w:rsid w:val="00D50682"/>
    <w:rsid w:val="00D50970"/>
    <w:rsid w:val="00D509DE"/>
    <w:rsid w:val="00D50A49"/>
    <w:rsid w:val="00D51386"/>
    <w:rsid w:val="00D51749"/>
    <w:rsid w:val="00D5184E"/>
    <w:rsid w:val="00D51ABC"/>
    <w:rsid w:val="00D51C37"/>
    <w:rsid w:val="00D51E0B"/>
    <w:rsid w:val="00D522A8"/>
    <w:rsid w:val="00D52632"/>
    <w:rsid w:val="00D52987"/>
    <w:rsid w:val="00D52FE5"/>
    <w:rsid w:val="00D53410"/>
    <w:rsid w:val="00D53CDB"/>
    <w:rsid w:val="00D53DA3"/>
    <w:rsid w:val="00D53F1B"/>
    <w:rsid w:val="00D53F42"/>
    <w:rsid w:val="00D54136"/>
    <w:rsid w:val="00D54835"/>
    <w:rsid w:val="00D54BD4"/>
    <w:rsid w:val="00D550F9"/>
    <w:rsid w:val="00D5547F"/>
    <w:rsid w:val="00D55D06"/>
    <w:rsid w:val="00D56298"/>
    <w:rsid w:val="00D563A2"/>
    <w:rsid w:val="00D56892"/>
    <w:rsid w:val="00D577DF"/>
    <w:rsid w:val="00D57D66"/>
    <w:rsid w:val="00D6020A"/>
    <w:rsid w:val="00D603FB"/>
    <w:rsid w:val="00D607B7"/>
    <w:rsid w:val="00D60AA7"/>
    <w:rsid w:val="00D60B38"/>
    <w:rsid w:val="00D60BAA"/>
    <w:rsid w:val="00D61385"/>
    <w:rsid w:val="00D61640"/>
    <w:rsid w:val="00D61715"/>
    <w:rsid w:val="00D61788"/>
    <w:rsid w:val="00D61865"/>
    <w:rsid w:val="00D61896"/>
    <w:rsid w:val="00D61CBC"/>
    <w:rsid w:val="00D623A4"/>
    <w:rsid w:val="00D62C09"/>
    <w:rsid w:val="00D632BF"/>
    <w:rsid w:val="00D634CB"/>
    <w:rsid w:val="00D63FD6"/>
    <w:rsid w:val="00D6417B"/>
    <w:rsid w:val="00D641E6"/>
    <w:rsid w:val="00D6465C"/>
    <w:rsid w:val="00D647BA"/>
    <w:rsid w:val="00D64D84"/>
    <w:rsid w:val="00D64EFE"/>
    <w:rsid w:val="00D651A9"/>
    <w:rsid w:val="00D653A9"/>
    <w:rsid w:val="00D65406"/>
    <w:rsid w:val="00D65A6E"/>
    <w:rsid w:val="00D65BDF"/>
    <w:rsid w:val="00D6606D"/>
    <w:rsid w:val="00D667AD"/>
    <w:rsid w:val="00D66BE9"/>
    <w:rsid w:val="00D67045"/>
    <w:rsid w:val="00D6723F"/>
    <w:rsid w:val="00D672F0"/>
    <w:rsid w:val="00D67590"/>
    <w:rsid w:val="00D6786E"/>
    <w:rsid w:val="00D67ADD"/>
    <w:rsid w:val="00D67DE1"/>
    <w:rsid w:val="00D704CB"/>
    <w:rsid w:val="00D70853"/>
    <w:rsid w:val="00D708D0"/>
    <w:rsid w:val="00D70E15"/>
    <w:rsid w:val="00D71401"/>
    <w:rsid w:val="00D716C7"/>
    <w:rsid w:val="00D71990"/>
    <w:rsid w:val="00D71AE5"/>
    <w:rsid w:val="00D71CBC"/>
    <w:rsid w:val="00D71DCE"/>
    <w:rsid w:val="00D72008"/>
    <w:rsid w:val="00D72256"/>
    <w:rsid w:val="00D72315"/>
    <w:rsid w:val="00D72533"/>
    <w:rsid w:val="00D72A5F"/>
    <w:rsid w:val="00D72ABD"/>
    <w:rsid w:val="00D72BED"/>
    <w:rsid w:val="00D72C2C"/>
    <w:rsid w:val="00D732FE"/>
    <w:rsid w:val="00D73570"/>
    <w:rsid w:val="00D7418D"/>
    <w:rsid w:val="00D7442C"/>
    <w:rsid w:val="00D745F9"/>
    <w:rsid w:val="00D74834"/>
    <w:rsid w:val="00D74863"/>
    <w:rsid w:val="00D7502B"/>
    <w:rsid w:val="00D75292"/>
    <w:rsid w:val="00D7552B"/>
    <w:rsid w:val="00D75582"/>
    <w:rsid w:val="00D756ED"/>
    <w:rsid w:val="00D7589B"/>
    <w:rsid w:val="00D75AC2"/>
    <w:rsid w:val="00D76116"/>
    <w:rsid w:val="00D76432"/>
    <w:rsid w:val="00D766A4"/>
    <w:rsid w:val="00D7671E"/>
    <w:rsid w:val="00D76A3E"/>
    <w:rsid w:val="00D804A5"/>
    <w:rsid w:val="00D80FB9"/>
    <w:rsid w:val="00D8115A"/>
    <w:rsid w:val="00D811FB"/>
    <w:rsid w:val="00D81276"/>
    <w:rsid w:val="00D8136A"/>
    <w:rsid w:val="00D81807"/>
    <w:rsid w:val="00D81D81"/>
    <w:rsid w:val="00D81DA1"/>
    <w:rsid w:val="00D81EFA"/>
    <w:rsid w:val="00D82335"/>
    <w:rsid w:val="00D82486"/>
    <w:rsid w:val="00D82818"/>
    <w:rsid w:val="00D83148"/>
    <w:rsid w:val="00D833DE"/>
    <w:rsid w:val="00D83725"/>
    <w:rsid w:val="00D8398F"/>
    <w:rsid w:val="00D83DAE"/>
    <w:rsid w:val="00D83FF9"/>
    <w:rsid w:val="00D84432"/>
    <w:rsid w:val="00D84D60"/>
    <w:rsid w:val="00D85337"/>
    <w:rsid w:val="00D853ED"/>
    <w:rsid w:val="00D85E16"/>
    <w:rsid w:val="00D86386"/>
    <w:rsid w:val="00D864A6"/>
    <w:rsid w:val="00D86AC9"/>
    <w:rsid w:val="00D86C93"/>
    <w:rsid w:val="00D8702A"/>
    <w:rsid w:val="00D87078"/>
    <w:rsid w:val="00D87088"/>
    <w:rsid w:val="00D87459"/>
    <w:rsid w:val="00D87566"/>
    <w:rsid w:val="00D8769A"/>
    <w:rsid w:val="00D876CD"/>
    <w:rsid w:val="00D87934"/>
    <w:rsid w:val="00D87B9E"/>
    <w:rsid w:val="00D87BD8"/>
    <w:rsid w:val="00D90494"/>
    <w:rsid w:val="00D90567"/>
    <w:rsid w:val="00D907EF"/>
    <w:rsid w:val="00D90834"/>
    <w:rsid w:val="00D90BB3"/>
    <w:rsid w:val="00D90C09"/>
    <w:rsid w:val="00D90C29"/>
    <w:rsid w:val="00D90CE7"/>
    <w:rsid w:val="00D90EAA"/>
    <w:rsid w:val="00D91189"/>
    <w:rsid w:val="00D925AA"/>
    <w:rsid w:val="00D92AA2"/>
    <w:rsid w:val="00D92DB9"/>
    <w:rsid w:val="00D92F1A"/>
    <w:rsid w:val="00D92F40"/>
    <w:rsid w:val="00D9381A"/>
    <w:rsid w:val="00D93D7D"/>
    <w:rsid w:val="00D941F0"/>
    <w:rsid w:val="00D943A4"/>
    <w:rsid w:val="00D94C0B"/>
    <w:rsid w:val="00D95034"/>
    <w:rsid w:val="00D952A6"/>
    <w:rsid w:val="00D953F3"/>
    <w:rsid w:val="00D955D9"/>
    <w:rsid w:val="00D9568F"/>
    <w:rsid w:val="00D95ADE"/>
    <w:rsid w:val="00D95B78"/>
    <w:rsid w:val="00D97394"/>
    <w:rsid w:val="00D973ED"/>
    <w:rsid w:val="00D97578"/>
    <w:rsid w:val="00D977DE"/>
    <w:rsid w:val="00D97B9D"/>
    <w:rsid w:val="00DA0016"/>
    <w:rsid w:val="00DA08B5"/>
    <w:rsid w:val="00DA092D"/>
    <w:rsid w:val="00DA0C0E"/>
    <w:rsid w:val="00DA0CC8"/>
    <w:rsid w:val="00DA1C9A"/>
    <w:rsid w:val="00DA1F03"/>
    <w:rsid w:val="00DA1F7D"/>
    <w:rsid w:val="00DA21A1"/>
    <w:rsid w:val="00DA25D3"/>
    <w:rsid w:val="00DA2637"/>
    <w:rsid w:val="00DA2AB1"/>
    <w:rsid w:val="00DA2E52"/>
    <w:rsid w:val="00DA3495"/>
    <w:rsid w:val="00DA3D5F"/>
    <w:rsid w:val="00DA4013"/>
    <w:rsid w:val="00DA437F"/>
    <w:rsid w:val="00DA4F55"/>
    <w:rsid w:val="00DA5276"/>
    <w:rsid w:val="00DA53A8"/>
    <w:rsid w:val="00DA543E"/>
    <w:rsid w:val="00DA568E"/>
    <w:rsid w:val="00DA5699"/>
    <w:rsid w:val="00DA5AB6"/>
    <w:rsid w:val="00DA5B39"/>
    <w:rsid w:val="00DA5CDE"/>
    <w:rsid w:val="00DA5EEC"/>
    <w:rsid w:val="00DA5F8B"/>
    <w:rsid w:val="00DA653E"/>
    <w:rsid w:val="00DA6564"/>
    <w:rsid w:val="00DA6659"/>
    <w:rsid w:val="00DA6E96"/>
    <w:rsid w:val="00DA7222"/>
    <w:rsid w:val="00DA7530"/>
    <w:rsid w:val="00DA758D"/>
    <w:rsid w:val="00DA7754"/>
    <w:rsid w:val="00DA7979"/>
    <w:rsid w:val="00DA7ED2"/>
    <w:rsid w:val="00DB015D"/>
    <w:rsid w:val="00DB030A"/>
    <w:rsid w:val="00DB088B"/>
    <w:rsid w:val="00DB0A6B"/>
    <w:rsid w:val="00DB0B04"/>
    <w:rsid w:val="00DB0F5E"/>
    <w:rsid w:val="00DB141E"/>
    <w:rsid w:val="00DB1A74"/>
    <w:rsid w:val="00DB1AE7"/>
    <w:rsid w:val="00DB1E3C"/>
    <w:rsid w:val="00DB1E93"/>
    <w:rsid w:val="00DB2098"/>
    <w:rsid w:val="00DB2154"/>
    <w:rsid w:val="00DB242B"/>
    <w:rsid w:val="00DB27AE"/>
    <w:rsid w:val="00DB2A33"/>
    <w:rsid w:val="00DB2C9A"/>
    <w:rsid w:val="00DB2E06"/>
    <w:rsid w:val="00DB2FB5"/>
    <w:rsid w:val="00DB2FCD"/>
    <w:rsid w:val="00DB35BB"/>
    <w:rsid w:val="00DB371F"/>
    <w:rsid w:val="00DB37C6"/>
    <w:rsid w:val="00DB3C15"/>
    <w:rsid w:val="00DB3D89"/>
    <w:rsid w:val="00DB40D0"/>
    <w:rsid w:val="00DB4D94"/>
    <w:rsid w:val="00DB50AC"/>
    <w:rsid w:val="00DB54DF"/>
    <w:rsid w:val="00DB560F"/>
    <w:rsid w:val="00DB6019"/>
    <w:rsid w:val="00DB617F"/>
    <w:rsid w:val="00DB78BD"/>
    <w:rsid w:val="00DC049D"/>
    <w:rsid w:val="00DC0933"/>
    <w:rsid w:val="00DC0A97"/>
    <w:rsid w:val="00DC0B94"/>
    <w:rsid w:val="00DC14DC"/>
    <w:rsid w:val="00DC1726"/>
    <w:rsid w:val="00DC19FB"/>
    <w:rsid w:val="00DC2515"/>
    <w:rsid w:val="00DC2528"/>
    <w:rsid w:val="00DC26B4"/>
    <w:rsid w:val="00DC2BC6"/>
    <w:rsid w:val="00DC2EB9"/>
    <w:rsid w:val="00DC2FA5"/>
    <w:rsid w:val="00DC3205"/>
    <w:rsid w:val="00DC3235"/>
    <w:rsid w:val="00DC3346"/>
    <w:rsid w:val="00DC3377"/>
    <w:rsid w:val="00DC34AF"/>
    <w:rsid w:val="00DC3519"/>
    <w:rsid w:val="00DC37AD"/>
    <w:rsid w:val="00DC385D"/>
    <w:rsid w:val="00DC39DE"/>
    <w:rsid w:val="00DC3A6B"/>
    <w:rsid w:val="00DC3DA6"/>
    <w:rsid w:val="00DC403D"/>
    <w:rsid w:val="00DC4882"/>
    <w:rsid w:val="00DC4910"/>
    <w:rsid w:val="00DC5324"/>
    <w:rsid w:val="00DC5743"/>
    <w:rsid w:val="00DC575B"/>
    <w:rsid w:val="00DC5892"/>
    <w:rsid w:val="00DC6072"/>
    <w:rsid w:val="00DC61A4"/>
    <w:rsid w:val="00DC641E"/>
    <w:rsid w:val="00DC64DC"/>
    <w:rsid w:val="00DC6C2C"/>
    <w:rsid w:val="00DC6D48"/>
    <w:rsid w:val="00DD00A3"/>
    <w:rsid w:val="00DD070A"/>
    <w:rsid w:val="00DD086F"/>
    <w:rsid w:val="00DD13F7"/>
    <w:rsid w:val="00DD1F00"/>
    <w:rsid w:val="00DD214C"/>
    <w:rsid w:val="00DD2969"/>
    <w:rsid w:val="00DD2A87"/>
    <w:rsid w:val="00DD2B15"/>
    <w:rsid w:val="00DD2B4D"/>
    <w:rsid w:val="00DD2D30"/>
    <w:rsid w:val="00DD2EBC"/>
    <w:rsid w:val="00DD2F37"/>
    <w:rsid w:val="00DD3D85"/>
    <w:rsid w:val="00DD3E54"/>
    <w:rsid w:val="00DD42B7"/>
    <w:rsid w:val="00DD4EB7"/>
    <w:rsid w:val="00DD4F20"/>
    <w:rsid w:val="00DD550A"/>
    <w:rsid w:val="00DD560C"/>
    <w:rsid w:val="00DD5BE2"/>
    <w:rsid w:val="00DD5F9B"/>
    <w:rsid w:val="00DD5FF5"/>
    <w:rsid w:val="00DD60ED"/>
    <w:rsid w:val="00DD693C"/>
    <w:rsid w:val="00DD6B36"/>
    <w:rsid w:val="00DD723B"/>
    <w:rsid w:val="00DD72AC"/>
    <w:rsid w:val="00DD7335"/>
    <w:rsid w:val="00DD7E7E"/>
    <w:rsid w:val="00DE0B15"/>
    <w:rsid w:val="00DE0BE8"/>
    <w:rsid w:val="00DE0CAD"/>
    <w:rsid w:val="00DE119E"/>
    <w:rsid w:val="00DE181C"/>
    <w:rsid w:val="00DE1BF2"/>
    <w:rsid w:val="00DE27C1"/>
    <w:rsid w:val="00DE287B"/>
    <w:rsid w:val="00DE2CAE"/>
    <w:rsid w:val="00DE2D15"/>
    <w:rsid w:val="00DE318B"/>
    <w:rsid w:val="00DE31B4"/>
    <w:rsid w:val="00DE3502"/>
    <w:rsid w:val="00DE37AD"/>
    <w:rsid w:val="00DE3878"/>
    <w:rsid w:val="00DE3E88"/>
    <w:rsid w:val="00DE3F88"/>
    <w:rsid w:val="00DE3FE7"/>
    <w:rsid w:val="00DE42B2"/>
    <w:rsid w:val="00DE4792"/>
    <w:rsid w:val="00DE4951"/>
    <w:rsid w:val="00DE4B7C"/>
    <w:rsid w:val="00DE544D"/>
    <w:rsid w:val="00DE54F5"/>
    <w:rsid w:val="00DE59B3"/>
    <w:rsid w:val="00DE5B48"/>
    <w:rsid w:val="00DE70B7"/>
    <w:rsid w:val="00DE737B"/>
    <w:rsid w:val="00DE7687"/>
    <w:rsid w:val="00DF0788"/>
    <w:rsid w:val="00DF0823"/>
    <w:rsid w:val="00DF08E4"/>
    <w:rsid w:val="00DF09F9"/>
    <w:rsid w:val="00DF0D46"/>
    <w:rsid w:val="00DF1365"/>
    <w:rsid w:val="00DF16E7"/>
    <w:rsid w:val="00DF2104"/>
    <w:rsid w:val="00DF2193"/>
    <w:rsid w:val="00DF2492"/>
    <w:rsid w:val="00DF2B16"/>
    <w:rsid w:val="00DF2B9E"/>
    <w:rsid w:val="00DF2D10"/>
    <w:rsid w:val="00DF2E47"/>
    <w:rsid w:val="00DF3006"/>
    <w:rsid w:val="00DF4031"/>
    <w:rsid w:val="00DF40B5"/>
    <w:rsid w:val="00DF4CEF"/>
    <w:rsid w:val="00DF4F51"/>
    <w:rsid w:val="00DF6A3E"/>
    <w:rsid w:val="00DF6AE8"/>
    <w:rsid w:val="00DF6BD5"/>
    <w:rsid w:val="00DF6CE0"/>
    <w:rsid w:val="00DF6E80"/>
    <w:rsid w:val="00DF7CDA"/>
    <w:rsid w:val="00E00AAD"/>
    <w:rsid w:val="00E00E90"/>
    <w:rsid w:val="00E01743"/>
    <w:rsid w:val="00E01B74"/>
    <w:rsid w:val="00E020C0"/>
    <w:rsid w:val="00E021CF"/>
    <w:rsid w:val="00E024F1"/>
    <w:rsid w:val="00E02BC7"/>
    <w:rsid w:val="00E02D0E"/>
    <w:rsid w:val="00E0345B"/>
    <w:rsid w:val="00E040C1"/>
    <w:rsid w:val="00E04144"/>
    <w:rsid w:val="00E04B6C"/>
    <w:rsid w:val="00E04BE8"/>
    <w:rsid w:val="00E04D00"/>
    <w:rsid w:val="00E05181"/>
    <w:rsid w:val="00E051C2"/>
    <w:rsid w:val="00E056CD"/>
    <w:rsid w:val="00E057C8"/>
    <w:rsid w:val="00E06381"/>
    <w:rsid w:val="00E068AD"/>
    <w:rsid w:val="00E06C03"/>
    <w:rsid w:val="00E06C1E"/>
    <w:rsid w:val="00E06E5B"/>
    <w:rsid w:val="00E06EAC"/>
    <w:rsid w:val="00E07835"/>
    <w:rsid w:val="00E07A4A"/>
    <w:rsid w:val="00E07AF6"/>
    <w:rsid w:val="00E07D1C"/>
    <w:rsid w:val="00E100E3"/>
    <w:rsid w:val="00E10167"/>
    <w:rsid w:val="00E101F3"/>
    <w:rsid w:val="00E10394"/>
    <w:rsid w:val="00E10B40"/>
    <w:rsid w:val="00E10F44"/>
    <w:rsid w:val="00E10FBA"/>
    <w:rsid w:val="00E11007"/>
    <w:rsid w:val="00E11055"/>
    <w:rsid w:val="00E112F7"/>
    <w:rsid w:val="00E11493"/>
    <w:rsid w:val="00E117EB"/>
    <w:rsid w:val="00E119E1"/>
    <w:rsid w:val="00E11A33"/>
    <w:rsid w:val="00E123F0"/>
    <w:rsid w:val="00E12544"/>
    <w:rsid w:val="00E1285A"/>
    <w:rsid w:val="00E12FAB"/>
    <w:rsid w:val="00E1393F"/>
    <w:rsid w:val="00E1395F"/>
    <w:rsid w:val="00E13B2F"/>
    <w:rsid w:val="00E13E5F"/>
    <w:rsid w:val="00E14050"/>
    <w:rsid w:val="00E14129"/>
    <w:rsid w:val="00E14476"/>
    <w:rsid w:val="00E14586"/>
    <w:rsid w:val="00E14794"/>
    <w:rsid w:val="00E153E9"/>
    <w:rsid w:val="00E15D1E"/>
    <w:rsid w:val="00E16142"/>
    <w:rsid w:val="00E16378"/>
    <w:rsid w:val="00E16538"/>
    <w:rsid w:val="00E165DE"/>
    <w:rsid w:val="00E16CB1"/>
    <w:rsid w:val="00E16FE2"/>
    <w:rsid w:val="00E177C8"/>
    <w:rsid w:val="00E177E0"/>
    <w:rsid w:val="00E17BAF"/>
    <w:rsid w:val="00E17D49"/>
    <w:rsid w:val="00E2028F"/>
    <w:rsid w:val="00E20C99"/>
    <w:rsid w:val="00E20D8A"/>
    <w:rsid w:val="00E20E19"/>
    <w:rsid w:val="00E211A4"/>
    <w:rsid w:val="00E215D8"/>
    <w:rsid w:val="00E218CA"/>
    <w:rsid w:val="00E21C1C"/>
    <w:rsid w:val="00E220FF"/>
    <w:rsid w:val="00E2211A"/>
    <w:rsid w:val="00E22527"/>
    <w:rsid w:val="00E22747"/>
    <w:rsid w:val="00E22900"/>
    <w:rsid w:val="00E23508"/>
    <w:rsid w:val="00E236C4"/>
    <w:rsid w:val="00E23B48"/>
    <w:rsid w:val="00E23CA9"/>
    <w:rsid w:val="00E24157"/>
    <w:rsid w:val="00E24226"/>
    <w:rsid w:val="00E24F0F"/>
    <w:rsid w:val="00E25689"/>
    <w:rsid w:val="00E259C5"/>
    <w:rsid w:val="00E25B48"/>
    <w:rsid w:val="00E25FAA"/>
    <w:rsid w:val="00E26ACE"/>
    <w:rsid w:val="00E27368"/>
    <w:rsid w:val="00E27608"/>
    <w:rsid w:val="00E27753"/>
    <w:rsid w:val="00E27898"/>
    <w:rsid w:val="00E27A87"/>
    <w:rsid w:val="00E3006A"/>
    <w:rsid w:val="00E302BB"/>
    <w:rsid w:val="00E30587"/>
    <w:rsid w:val="00E30D6E"/>
    <w:rsid w:val="00E30E09"/>
    <w:rsid w:val="00E31A21"/>
    <w:rsid w:val="00E31EBB"/>
    <w:rsid w:val="00E323E2"/>
    <w:rsid w:val="00E3272F"/>
    <w:rsid w:val="00E3287D"/>
    <w:rsid w:val="00E32C35"/>
    <w:rsid w:val="00E33045"/>
    <w:rsid w:val="00E33373"/>
    <w:rsid w:val="00E336F7"/>
    <w:rsid w:val="00E33973"/>
    <w:rsid w:val="00E33A83"/>
    <w:rsid w:val="00E33E42"/>
    <w:rsid w:val="00E33F63"/>
    <w:rsid w:val="00E3413B"/>
    <w:rsid w:val="00E3471B"/>
    <w:rsid w:val="00E3491A"/>
    <w:rsid w:val="00E34AED"/>
    <w:rsid w:val="00E34C5B"/>
    <w:rsid w:val="00E35615"/>
    <w:rsid w:val="00E36512"/>
    <w:rsid w:val="00E36658"/>
    <w:rsid w:val="00E36BBC"/>
    <w:rsid w:val="00E3705B"/>
    <w:rsid w:val="00E371BB"/>
    <w:rsid w:val="00E37594"/>
    <w:rsid w:val="00E375A5"/>
    <w:rsid w:val="00E37792"/>
    <w:rsid w:val="00E37867"/>
    <w:rsid w:val="00E37F26"/>
    <w:rsid w:val="00E37F9A"/>
    <w:rsid w:val="00E37FAE"/>
    <w:rsid w:val="00E4087C"/>
    <w:rsid w:val="00E4093D"/>
    <w:rsid w:val="00E40E31"/>
    <w:rsid w:val="00E4166F"/>
    <w:rsid w:val="00E418CC"/>
    <w:rsid w:val="00E41AA3"/>
    <w:rsid w:val="00E41DE5"/>
    <w:rsid w:val="00E4299E"/>
    <w:rsid w:val="00E42C70"/>
    <w:rsid w:val="00E430D1"/>
    <w:rsid w:val="00E4322A"/>
    <w:rsid w:val="00E4385F"/>
    <w:rsid w:val="00E440D7"/>
    <w:rsid w:val="00E44544"/>
    <w:rsid w:val="00E44BDB"/>
    <w:rsid w:val="00E44F0C"/>
    <w:rsid w:val="00E44FDC"/>
    <w:rsid w:val="00E45325"/>
    <w:rsid w:val="00E453C3"/>
    <w:rsid w:val="00E4592D"/>
    <w:rsid w:val="00E45C87"/>
    <w:rsid w:val="00E45F41"/>
    <w:rsid w:val="00E46700"/>
    <w:rsid w:val="00E46712"/>
    <w:rsid w:val="00E4688F"/>
    <w:rsid w:val="00E46DD5"/>
    <w:rsid w:val="00E477FD"/>
    <w:rsid w:val="00E47DD3"/>
    <w:rsid w:val="00E5007E"/>
    <w:rsid w:val="00E5008F"/>
    <w:rsid w:val="00E50557"/>
    <w:rsid w:val="00E509A6"/>
    <w:rsid w:val="00E513C9"/>
    <w:rsid w:val="00E51E1B"/>
    <w:rsid w:val="00E52198"/>
    <w:rsid w:val="00E522AC"/>
    <w:rsid w:val="00E5296F"/>
    <w:rsid w:val="00E53545"/>
    <w:rsid w:val="00E5414A"/>
    <w:rsid w:val="00E54450"/>
    <w:rsid w:val="00E54648"/>
    <w:rsid w:val="00E54FE9"/>
    <w:rsid w:val="00E550ED"/>
    <w:rsid w:val="00E5513B"/>
    <w:rsid w:val="00E5521E"/>
    <w:rsid w:val="00E55444"/>
    <w:rsid w:val="00E55D2D"/>
    <w:rsid w:val="00E562B6"/>
    <w:rsid w:val="00E566F4"/>
    <w:rsid w:val="00E566FD"/>
    <w:rsid w:val="00E569C8"/>
    <w:rsid w:val="00E56FFE"/>
    <w:rsid w:val="00E5706F"/>
    <w:rsid w:val="00E57296"/>
    <w:rsid w:val="00E57389"/>
    <w:rsid w:val="00E576C6"/>
    <w:rsid w:val="00E60461"/>
    <w:rsid w:val="00E60487"/>
    <w:rsid w:val="00E60858"/>
    <w:rsid w:val="00E6086A"/>
    <w:rsid w:val="00E608E5"/>
    <w:rsid w:val="00E6144D"/>
    <w:rsid w:val="00E61BB2"/>
    <w:rsid w:val="00E61BC7"/>
    <w:rsid w:val="00E61E58"/>
    <w:rsid w:val="00E62142"/>
    <w:rsid w:val="00E6222F"/>
    <w:rsid w:val="00E625DE"/>
    <w:rsid w:val="00E62BE6"/>
    <w:rsid w:val="00E63105"/>
    <w:rsid w:val="00E632C0"/>
    <w:rsid w:val="00E635C6"/>
    <w:rsid w:val="00E63E80"/>
    <w:rsid w:val="00E640F3"/>
    <w:rsid w:val="00E64255"/>
    <w:rsid w:val="00E643ED"/>
    <w:rsid w:val="00E64588"/>
    <w:rsid w:val="00E64CAE"/>
    <w:rsid w:val="00E64FC2"/>
    <w:rsid w:val="00E651A8"/>
    <w:rsid w:val="00E653AB"/>
    <w:rsid w:val="00E655C5"/>
    <w:rsid w:val="00E65D30"/>
    <w:rsid w:val="00E65DB0"/>
    <w:rsid w:val="00E65EB4"/>
    <w:rsid w:val="00E66299"/>
    <w:rsid w:val="00E66673"/>
    <w:rsid w:val="00E66A70"/>
    <w:rsid w:val="00E67280"/>
    <w:rsid w:val="00E673B2"/>
    <w:rsid w:val="00E67570"/>
    <w:rsid w:val="00E678C9"/>
    <w:rsid w:val="00E67B35"/>
    <w:rsid w:val="00E70030"/>
    <w:rsid w:val="00E70484"/>
    <w:rsid w:val="00E7091E"/>
    <w:rsid w:val="00E710F5"/>
    <w:rsid w:val="00E71131"/>
    <w:rsid w:val="00E714FD"/>
    <w:rsid w:val="00E717F8"/>
    <w:rsid w:val="00E718E0"/>
    <w:rsid w:val="00E71F35"/>
    <w:rsid w:val="00E7236A"/>
    <w:rsid w:val="00E72584"/>
    <w:rsid w:val="00E728C4"/>
    <w:rsid w:val="00E72F0C"/>
    <w:rsid w:val="00E730A9"/>
    <w:rsid w:val="00E73832"/>
    <w:rsid w:val="00E73885"/>
    <w:rsid w:val="00E7398E"/>
    <w:rsid w:val="00E73DEA"/>
    <w:rsid w:val="00E73F52"/>
    <w:rsid w:val="00E74526"/>
    <w:rsid w:val="00E75283"/>
    <w:rsid w:val="00E752C9"/>
    <w:rsid w:val="00E7531A"/>
    <w:rsid w:val="00E753E7"/>
    <w:rsid w:val="00E7557C"/>
    <w:rsid w:val="00E75909"/>
    <w:rsid w:val="00E759BE"/>
    <w:rsid w:val="00E75E82"/>
    <w:rsid w:val="00E75E92"/>
    <w:rsid w:val="00E75FEB"/>
    <w:rsid w:val="00E76553"/>
    <w:rsid w:val="00E76615"/>
    <w:rsid w:val="00E77A8B"/>
    <w:rsid w:val="00E8039D"/>
    <w:rsid w:val="00E804C6"/>
    <w:rsid w:val="00E8061F"/>
    <w:rsid w:val="00E81116"/>
    <w:rsid w:val="00E8149C"/>
    <w:rsid w:val="00E8161D"/>
    <w:rsid w:val="00E81B7E"/>
    <w:rsid w:val="00E8227B"/>
    <w:rsid w:val="00E827B5"/>
    <w:rsid w:val="00E827DF"/>
    <w:rsid w:val="00E8348B"/>
    <w:rsid w:val="00E83B39"/>
    <w:rsid w:val="00E83EB7"/>
    <w:rsid w:val="00E8408B"/>
    <w:rsid w:val="00E84152"/>
    <w:rsid w:val="00E84FE1"/>
    <w:rsid w:val="00E8504A"/>
    <w:rsid w:val="00E850F6"/>
    <w:rsid w:val="00E857BF"/>
    <w:rsid w:val="00E85BF2"/>
    <w:rsid w:val="00E85EC3"/>
    <w:rsid w:val="00E862D7"/>
    <w:rsid w:val="00E863A9"/>
    <w:rsid w:val="00E86854"/>
    <w:rsid w:val="00E86E9C"/>
    <w:rsid w:val="00E86F81"/>
    <w:rsid w:val="00E87356"/>
    <w:rsid w:val="00E8751A"/>
    <w:rsid w:val="00E875E6"/>
    <w:rsid w:val="00E87794"/>
    <w:rsid w:val="00E8782F"/>
    <w:rsid w:val="00E87FAE"/>
    <w:rsid w:val="00E90115"/>
    <w:rsid w:val="00E90184"/>
    <w:rsid w:val="00E90234"/>
    <w:rsid w:val="00E90537"/>
    <w:rsid w:val="00E90730"/>
    <w:rsid w:val="00E916EC"/>
    <w:rsid w:val="00E91945"/>
    <w:rsid w:val="00E91D83"/>
    <w:rsid w:val="00E921E7"/>
    <w:rsid w:val="00E923F7"/>
    <w:rsid w:val="00E924CD"/>
    <w:rsid w:val="00E92526"/>
    <w:rsid w:val="00E9260B"/>
    <w:rsid w:val="00E928A7"/>
    <w:rsid w:val="00E92C61"/>
    <w:rsid w:val="00E92D40"/>
    <w:rsid w:val="00E92FB4"/>
    <w:rsid w:val="00E9353C"/>
    <w:rsid w:val="00E936F5"/>
    <w:rsid w:val="00E939A0"/>
    <w:rsid w:val="00E93D8F"/>
    <w:rsid w:val="00E93FA0"/>
    <w:rsid w:val="00E9418D"/>
    <w:rsid w:val="00E94469"/>
    <w:rsid w:val="00E946C3"/>
    <w:rsid w:val="00E94B00"/>
    <w:rsid w:val="00E94D63"/>
    <w:rsid w:val="00E94F4E"/>
    <w:rsid w:val="00E956A1"/>
    <w:rsid w:val="00E95A5F"/>
    <w:rsid w:val="00E95DD2"/>
    <w:rsid w:val="00E964B2"/>
    <w:rsid w:val="00E96569"/>
    <w:rsid w:val="00E966F5"/>
    <w:rsid w:val="00E96ACF"/>
    <w:rsid w:val="00E96B5B"/>
    <w:rsid w:val="00E9722C"/>
    <w:rsid w:val="00E97D54"/>
    <w:rsid w:val="00EA038B"/>
    <w:rsid w:val="00EA06B5"/>
    <w:rsid w:val="00EA098D"/>
    <w:rsid w:val="00EA0A6D"/>
    <w:rsid w:val="00EA0EB1"/>
    <w:rsid w:val="00EA148C"/>
    <w:rsid w:val="00EA19C4"/>
    <w:rsid w:val="00EA1F23"/>
    <w:rsid w:val="00EA24BE"/>
    <w:rsid w:val="00EA2611"/>
    <w:rsid w:val="00EA285A"/>
    <w:rsid w:val="00EA29FD"/>
    <w:rsid w:val="00EA2A08"/>
    <w:rsid w:val="00EA2F02"/>
    <w:rsid w:val="00EA3113"/>
    <w:rsid w:val="00EA33E0"/>
    <w:rsid w:val="00EA363B"/>
    <w:rsid w:val="00EA3960"/>
    <w:rsid w:val="00EA39F6"/>
    <w:rsid w:val="00EA3A5A"/>
    <w:rsid w:val="00EA4226"/>
    <w:rsid w:val="00EA4236"/>
    <w:rsid w:val="00EA43DF"/>
    <w:rsid w:val="00EA4ADC"/>
    <w:rsid w:val="00EA4B61"/>
    <w:rsid w:val="00EA4B84"/>
    <w:rsid w:val="00EA4FA9"/>
    <w:rsid w:val="00EA501B"/>
    <w:rsid w:val="00EA52C7"/>
    <w:rsid w:val="00EA5882"/>
    <w:rsid w:val="00EA5953"/>
    <w:rsid w:val="00EA68D8"/>
    <w:rsid w:val="00EA6A98"/>
    <w:rsid w:val="00EB0334"/>
    <w:rsid w:val="00EB0FC8"/>
    <w:rsid w:val="00EB11A6"/>
    <w:rsid w:val="00EB1443"/>
    <w:rsid w:val="00EB1ACE"/>
    <w:rsid w:val="00EB1B3E"/>
    <w:rsid w:val="00EB20F5"/>
    <w:rsid w:val="00EB24C5"/>
    <w:rsid w:val="00EB2710"/>
    <w:rsid w:val="00EB2C46"/>
    <w:rsid w:val="00EB3234"/>
    <w:rsid w:val="00EB3AE3"/>
    <w:rsid w:val="00EB3DC9"/>
    <w:rsid w:val="00EB4029"/>
    <w:rsid w:val="00EB448B"/>
    <w:rsid w:val="00EB4510"/>
    <w:rsid w:val="00EB5972"/>
    <w:rsid w:val="00EB5D4C"/>
    <w:rsid w:val="00EB736A"/>
    <w:rsid w:val="00EC01EA"/>
    <w:rsid w:val="00EC0C4A"/>
    <w:rsid w:val="00EC0E87"/>
    <w:rsid w:val="00EC187C"/>
    <w:rsid w:val="00EC1F2F"/>
    <w:rsid w:val="00EC226E"/>
    <w:rsid w:val="00EC26FC"/>
    <w:rsid w:val="00EC294E"/>
    <w:rsid w:val="00EC3479"/>
    <w:rsid w:val="00EC36AC"/>
    <w:rsid w:val="00EC37E2"/>
    <w:rsid w:val="00EC382A"/>
    <w:rsid w:val="00EC39A6"/>
    <w:rsid w:val="00EC3A0F"/>
    <w:rsid w:val="00EC3D7B"/>
    <w:rsid w:val="00EC4168"/>
    <w:rsid w:val="00EC4212"/>
    <w:rsid w:val="00EC43C5"/>
    <w:rsid w:val="00EC45F7"/>
    <w:rsid w:val="00EC4986"/>
    <w:rsid w:val="00EC4DEB"/>
    <w:rsid w:val="00EC4F17"/>
    <w:rsid w:val="00EC504A"/>
    <w:rsid w:val="00EC5083"/>
    <w:rsid w:val="00EC60DD"/>
    <w:rsid w:val="00EC61FC"/>
    <w:rsid w:val="00EC697A"/>
    <w:rsid w:val="00EC6AEA"/>
    <w:rsid w:val="00EC70C7"/>
    <w:rsid w:val="00EC729E"/>
    <w:rsid w:val="00EC72E4"/>
    <w:rsid w:val="00EC75B4"/>
    <w:rsid w:val="00EC799A"/>
    <w:rsid w:val="00ED0160"/>
    <w:rsid w:val="00ED03AF"/>
    <w:rsid w:val="00ED03BB"/>
    <w:rsid w:val="00ED05B8"/>
    <w:rsid w:val="00ED06D7"/>
    <w:rsid w:val="00ED08EF"/>
    <w:rsid w:val="00ED0E1D"/>
    <w:rsid w:val="00ED0F89"/>
    <w:rsid w:val="00ED13A5"/>
    <w:rsid w:val="00ED13AC"/>
    <w:rsid w:val="00ED13CB"/>
    <w:rsid w:val="00ED13FC"/>
    <w:rsid w:val="00ED1571"/>
    <w:rsid w:val="00ED164D"/>
    <w:rsid w:val="00ED1A31"/>
    <w:rsid w:val="00ED1C06"/>
    <w:rsid w:val="00ED1D82"/>
    <w:rsid w:val="00ED1D86"/>
    <w:rsid w:val="00ED1DF3"/>
    <w:rsid w:val="00ED2BFA"/>
    <w:rsid w:val="00ED2FDA"/>
    <w:rsid w:val="00ED3AD9"/>
    <w:rsid w:val="00ED3C21"/>
    <w:rsid w:val="00ED3D80"/>
    <w:rsid w:val="00ED3EDA"/>
    <w:rsid w:val="00ED4051"/>
    <w:rsid w:val="00ED433B"/>
    <w:rsid w:val="00ED4F33"/>
    <w:rsid w:val="00ED5008"/>
    <w:rsid w:val="00ED552B"/>
    <w:rsid w:val="00ED5723"/>
    <w:rsid w:val="00ED5C2C"/>
    <w:rsid w:val="00ED5FB4"/>
    <w:rsid w:val="00ED60BA"/>
    <w:rsid w:val="00ED68FD"/>
    <w:rsid w:val="00ED6957"/>
    <w:rsid w:val="00ED69E3"/>
    <w:rsid w:val="00ED6BEF"/>
    <w:rsid w:val="00ED6D3F"/>
    <w:rsid w:val="00ED7518"/>
    <w:rsid w:val="00ED776E"/>
    <w:rsid w:val="00ED77A2"/>
    <w:rsid w:val="00EE02C7"/>
    <w:rsid w:val="00EE051F"/>
    <w:rsid w:val="00EE0C88"/>
    <w:rsid w:val="00EE0CAA"/>
    <w:rsid w:val="00EE0ED9"/>
    <w:rsid w:val="00EE1096"/>
    <w:rsid w:val="00EE14D8"/>
    <w:rsid w:val="00EE16D3"/>
    <w:rsid w:val="00EE1972"/>
    <w:rsid w:val="00EE1E3E"/>
    <w:rsid w:val="00EE20F3"/>
    <w:rsid w:val="00EE2B7E"/>
    <w:rsid w:val="00EE2C4F"/>
    <w:rsid w:val="00EE30E0"/>
    <w:rsid w:val="00EE368E"/>
    <w:rsid w:val="00EE38A0"/>
    <w:rsid w:val="00EE3AB2"/>
    <w:rsid w:val="00EE4344"/>
    <w:rsid w:val="00EE457B"/>
    <w:rsid w:val="00EE491E"/>
    <w:rsid w:val="00EE4EFD"/>
    <w:rsid w:val="00EE4F79"/>
    <w:rsid w:val="00EE509E"/>
    <w:rsid w:val="00EE5194"/>
    <w:rsid w:val="00EE5424"/>
    <w:rsid w:val="00EE5652"/>
    <w:rsid w:val="00EE570F"/>
    <w:rsid w:val="00EE5A01"/>
    <w:rsid w:val="00EE5D21"/>
    <w:rsid w:val="00EE5FBB"/>
    <w:rsid w:val="00EE6122"/>
    <w:rsid w:val="00EE63FD"/>
    <w:rsid w:val="00EE6461"/>
    <w:rsid w:val="00EE651A"/>
    <w:rsid w:val="00EE66BA"/>
    <w:rsid w:val="00EE6CCA"/>
    <w:rsid w:val="00EE6DC1"/>
    <w:rsid w:val="00EE703A"/>
    <w:rsid w:val="00EE7F14"/>
    <w:rsid w:val="00EF0009"/>
    <w:rsid w:val="00EF0138"/>
    <w:rsid w:val="00EF0198"/>
    <w:rsid w:val="00EF0E69"/>
    <w:rsid w:val="00EF149D"/>
    <w:rsid w:val="00EF15AD"/>
    <w:rsid w:val="00EF17A5"/>
    <w:rsid w:val="00EF1B22"/>
    <w:rsid w:val="00EF1F43"/>
    <w:rsid w:val="00EF33A4"/>
    <w:rsid w:val="00EF34A8"/>
    <w:rsid w:val="00EF35AA"/>
    <w:rsid w:val="00EF3759"/>
    <w:rsid w:val="00EF39AB"/>
    <w:rsid w:val="00EF3D8B"/>
    <w:rsid w:val="00EF3DBE"/>
    <w:rsid w:val="00EF425B"/>
    <w:rsid w:val="00EF43C5"/>
    <w:rsid w:val="00EF4751"/>
    <w:rsid w:val="00EF47F3"/>
    <w:rsid w:val="00EF4BC0"/>
    <w:rsid w:val="00EF4C02"/>
    <w:rsid w:val="00EF50EF"/>
    <w:rsid w:val="00EF5281"/>
    <w:rsid w:val="00EF5435"/>
    <w:rsid w:val="00EF5640"/>
    <w:rsid w:val="00EF5BD3"/>
    <w:rsid w:val="00EF6B09"/>
    <w:rsid w:val="00EF6B94"/>
    <w:rsid w:val="00EF7318"/>
    <w:rsid w:val="00EF7344"/>
    <w:rsid w:val="00EF73C9"/>
    <w:rsid w:val="00EF7472"/>
    <w:rsid w:val="00EF7D3F"/>
    <w:rsid w:val="00EF7F59"/>
    <w:rsid w:val="00F0011A"/>
    <w:rsid w:val="00F0028F"/>
    <w:rsid w:val="00F006C6"/>
    <w:rsid w:val="00F00732"/>
    <w:rsid w:val="00F00A7F"/>
    <w:rsid w:val="00F00B55"/>
    <w:rsid w:val="00F00C19"/>
    <w:rsid w:val="00F00C50"/>
    <w:rsid w:val="00F00D63"/>
    <w:rsid w:val="00F0138F"/>
    <w:rsid w:val="00F017AA"/>
    <w:rsid w:val="00F0181F"/>
    <w:rsid w:val="00F0183B"/>
    <w:rsid w:val="00F019AD"/>
    <w:rsid w:val="00F019E6"/>
    <w:rsid w:val="00F01C6C"/>
    <w:rsid w:val="00F01D8C"/>
    <w:rsid w:val="00F01E81"/>
    <w:rsid w:val="00F020AB"/>
    <w:rsid w:val="00F027C1"/>
    <w:rsid w:val="00F02864"/>
    <w:rsid w:val="00F02D08"/>
    <w:rsid w:val="00F03153"/>
    <w:rsid w:val="00F0358D"/>
    <w:rsid w:val="00F035C4"/>
    <w:rsid w:val="00F03793"/>
    <w:rsid w:val="00F03CC3"/>
    <w:rsid w:val="00F03DC2"/>
    <w:rsid w:val="00F042D3"/>
    <w:rsid w:val="00F0440E"/>
    <w:rsid w:val="00F04777"/>
    <w:rsid w:val="00F04AC0"/>
    <w:rsid w:val="00F04BDF"/>
    <w:rsid w:val="00F050CE"/>
    <w:rsid w:val="00F0537B"/>
    <w:rsid w:val="00F0537E"/>
    <w:rsid w:val="00F061CB"/>
    <w:rsid w:val="00F063E8"/>
    <w:rsid w:val="00F064D2"/>
    <w:rsid w:val="00F06557"/>
    <w:rsid w:val="00F06733"/>
    <w:rsid w:val="00F06BDE"/>
    <w:rsid w:val="00F06E54"/>
    <w:rsid w:val="00F0748C"/>
    <w:rsid w:val="00F075C0"/>
    <w:rsid w:val="00F07B71"/>
    <w:rsid w:val="00F07D2B"/>
    <w:rsid w:val="00F07E24"/>
    <w:rsid w:val="00F07E68"/>
    <w:rsid w:val="00F100BC"/>
    <w:rsid w:val="00F10421"/>
    <w:rsid w:val="00F105AD"/>
    <w:rsid w:val="00F1061A"/>
    <w:rsid w:val="00F106A9"/>
    <w:rsid w:val="00F10920"/>
    <w:rsid w:val="00F10E82"/>
    <w:rsid w:val="00F10F16"/>
    <w:rsid w:val="00F112C3"/>
    <w:rsid w:val="00F11F08"/>
    <w:rsid w:val="00F12140"/>
    <w:rsid w:val="00F12230"/>
    <w:rsid w:val="00F125A4"/>
    <w:rsid w:val="00F12724"/>
    <w:rsid w:val="00F1276E"/>
    <w:rsid w:val="00F127C6"/>
    <w:rsid w:val="00F130A4"/>
    <w:rsid w:val="00F133CD"/>
    <w:rsid w:val="00F13892"/>
    <w:rsid w:val="00F1391E"/>
    <w:rsid w:val="00F13974"/>
    <w:rsid w:val="00F13A73"/>
    <w:rsid w:val="00F13C84"/>
    <w:rsid w:val="00F1409C"/>
    <w:rsid w:val="00F14D29"/>
    <w:rsid w:val="00F1524D"/>
    <w:rsid w:val="00F1588C"/>
    <w:rsid w:val="00F15898"/>
    <w:rsid w:val="00F15D91"/>
    <w:rsid w:val="00F15DBF"/>
    <w:rsid w:val="00F15FE0"/>
    <w:rsid w:val="00F160F3"/>
    <w:rsid w:val="00F16231"/>
    <w:rsid w:val="00F16282"/>
    <w:rsid w:val="00F163C4"/>
    <w:rsid w:val="00F16740"/>
    <w:rsid w:val="00F16CBC"/>
    <w:rsid w:val="00F17792"/>
    <w:rsid w:val="00F17A93"/>
    <w:rsid w:val="00F17CD8"/>
    <w:rsid w:val="00F17D5C"/>
    <w:rsid w:val="00F17D87"/>
    <w:rsid w:val="00F17F85"/>
    <w:rsid w:val="00F202D1"/>
    <w:rsid w:val="00F20760"/>
    <w:rsid w:val="00F2082B"/>
    <w:rsid w:val="00F20860"/>
    <w:rsid w:val="00F20C1B"/>
    <w:rsid w:val="00F21177"/>
    <w:rsid w:val="00F212BB"/>
    <w:rsid w:val="00F21484"/>
    <w:rsid w:val="00F21667"/>
    <w:rsid w:val="00F216BA"/>
    <w:rsid w:val="00F21CFE"/>
    <w:rsid w:val="00F21D7B"/>
    <w:rsid w:val="00F2220C"/>
    <w:rsid w:val="00F227B1"/>
    <w:rsid w:val="00F235BA"/>
    <w:rsid w:val="00F2376B"/>
    <w:rsid w:val="00F23D20"/>
    <w:rsid w:val="00F24105"/>
    <w:rsid w:val="00F247A1"/>
    <w:rsid w:val="00F24A0B"/>
    <w:rsid w:val="00F24C92"/>
    <w:rsid w:val="00F24E6A"/>
    <w:rsid w:val="00F25AAA"/>
    <w:rsid w:val="00F25C04"/>
    <w:rsid w:val="00F25EFD"/>
    <w:rsid w:val="00F26482"/>
    <w:rsid w:val="00F26DB4"/>
    <w:rsid w:val="00F26DE6"/>
    <w:rsid w:val="00F27068"/>
    <w:rsid w:val="00F271CC"/>
    <w:rsid w:val="00F27562"/>
    <w:rsid w:val="00F276CB"/>
    <w:rsid w:val="00F27936"/>
    <w:rsid w:val="00F27F36"/>
    <w:rsid w:val="00F301B9"/>
    <w:rsid w:val="00F30437"/>
    <w:rsid w:val="00F3095A"/>
    <w:rsid w:val="00F31596"/>
    <w:rsid w:val="00F316E4"/>
    <w:rsid w:val="00F31D39"/>
    <w:rsid w:val="00F31F35"/>
    <w:rsid w:val="00F320B2"/>
    <w:rsid w:val="00F3214C"/>
    <w:rsid w:val="00F3295C"/>
    <w:rsid w:val="00F32A10"/>
    <w:rsid w:val="00F32C88"/>
    <w:rsid w:val="00F32ED0"/>
    <w:rsid w:val="00F333F4"/>
    <w:rsid w:val="00F3349F"/>
    <w:rsid w:val="00F336CC"/>
    <w:rsid w:val="00F3388E"/>
    <w:rsid w:val="00F339D8"/>
    <w:rsid w:val="00F33B88"/>
    <w:rsid w:val="00F3448A"/>
    <w:rsid w:val="00F34504"/>
    <w:rsid w:val="00F346AC"/>
    <w:rsid w:val="00F3489D"/>
    <w:rsid w:val="00F34DCB"/>
    <w:rsid w:val="00F350B2"/>
    <w:rsid w:val="00F3517E"/>
    <w:rsid w:val="00F356E9"/>
    <w:rsid w:val="00F35810"/>
    <w:rsid w:val="00F3656B"/>
    <w:rsid w:val="00F365AE"/>
    <w:rsid w:val="00F367C4"/>
    <w:rsid w:val="00F36A64"/>
    <w:rsid w:val="00F36AC1"/>
    <w:rsid w:val="00F36CF8"/>
    <w:rsid w:val="00F370AF"/>
    <w:rsid w:val="00F372CE"/>
    <w:rsid w:val="00F37490"/>
    <w:rsid w:val="00F3764A"/>
    <w:rsid w:val="00F377CB"/>
    <w:rsid w:val="00F404F0"/>
    <w:rsid w:val="00F4086D"/>
    <w:rsid w:val="00F40A82"/>
    <w:rsid w:val="00F40EEA"/>
    <w:rsid w:val="00F40F57"/>
    <w:rsid w:val="00F410D0"/>
    <w:rsid w:val="00F41F98"/>
    <w:rsid w:val="00F41FDA"/>
    <w:rsid w:val="00F42111"/>
    <w:rsid w:val="00F4278D"/>
    <w:rsid w:val="00F4293C"/>
    <w:rsid w:val="00F437B5"/>
    <w:rsid w:val="00F43902"/>
    <w:rsid w:val="00F43908"/>
    <w:rsid w:val="00F43A2F"/>
    <w:rsid w:val="00F43A74"/>
    <w:rsid w:val="00F44032"/>
    <w:rsid w:val="00F44CCB"/>
    <w:rsid w:val="00F452CC"/>
    <w:rsid w:val="00F45526"/>
    <w:rsid w:val="00F455B6"/>
    <w:rsid w:val="00F45B67"/>
    <w:rsid w:val="00F45E63"/>
    <w:rsid w:val="00F461C3"/>
    <w:rsid w:val="00F4727F"/>
    <w:rsid w:val="00F47C1E"/>
    <w:rsid w:val="00F47CB8"/>
    <w:rsid w:val="00F47EA4"/>
    <w:rsid w:val="00F50042"/>
    <w:rsid w:val="00F50461"/>
    <w:rsid w:val="00F50477"/>
    <w:rsid w:val="00F5087A"/>
    <w:rsid w:val="00F50D0C"/>
    <w:rsid w:val="00F50F0B"/>
    <w:rsid w:val="00F51372"/>
    <w:rsid w:val="00F51ABB"/>
    <w:rsid w:val="00F51B41"/>
    <w:rsid w:val="00F51D8E"/>
    <w:rsid w:val="00F5263D"/>
    <w:rsid w:val="00F52A53"/>
    <w:rsid w:val="00F5300D"/>
    <w:rsid w:val="00F53188"/>
    <w:rsid w:val="00F533BE"/>
    <w:rsid w:val="00F53424"/>
    <w:rsid w:val="00F53523"/>
    <w:rsid w:val="00F5352D"/>
    <w:rsid w:val="00F539BF"/>
    <w:rsid w:val="00F53CD4"/>
    <w:rsid w:val="00F53D8C"/>
    <w:rsid w:val="00F53E65"/>
    <w:rsid w:val="00F53FED"/>
    <w:rsid w:val="00F545D5"/>
    <w:rsid w:val="00F5477F"/>
    <w:rsid w:val="00F556DB"/>
    <w:rsid w:val="00F55E0B"/>
    <w:rsid w:val="00F560FD"/>
    <w:rsid w:val="00F5645B"/>
    <w:rsid w:val="00F5672A"/>
    <w:rsid w:val="00F568A1"/>
    <w:rsid w:val="00F56BF1"/>
    <w:rsid w:val="00F57323"/>
    <w:rsid w:val="00F57787"/>
    <w:rsid w:val="00F57CAA"/>
    <w:rsid w:val="00F608C6"/>
    <w:rsid w:val="00F609E8"/>
    <w:rsid w:val="00F60EA8"/>
    <w:rsid w:val="00F610EF"/>
    <w:rsid w:val="00F6146E"/>
    <w:rsid w:val="00F616C1"/>
    <w:rsid w:val="00F618AC"/>
    <w:rsid w:val="00F622A1"/>
    <w:rsid w:val="00F622DA"/>
    <w:rsid w:val="00F622DF"/>
    <w:rsid w:val="00F62432"/>
    <w:rsid w:val="00F6275A"/>
    <w:rsid w:val="00F6299C"/>
    <w:rsid w:val="00F62A9B"/>
    <w:rsid w:val="00F62CED"/>
    <w:rsid w:val="00F63097"/>
    <w:rsid w:val="00F6324B"/>
    <w:rsid w:val="00F63BC6"/>
    <w:rsid w:val="00F64138"/>
    <w:rsid w:val="00F64948"/>
    <w:rsid w:val="00F64BCF"/>
    <w:rsid w:val="00F64DDC"/>
    <w:rsid w:val="00F65244"/>
    <w:rsid w:val="00F65597"/>
    <w:rsid w:val="00F657AC"/>
    <w:rsid w:val="00F65A6F"/>
    <w:rsid w:val="00F65BAF"/>
    <w:rsid w:val="00F66497"/>
    <w:rsid w:val="00F664EC"/>
    <w:rsid w:val="00F665CB"/>
    <w:rsid w:val="00F66979"/>
    <w:rsid w:val="00F66A85"/>
    <w:rsid w:val="00F66B64"/>
    <w:rsid w:val="00F66F21"/>
    <w:rsid w:val="00F67419"/>
    <w:rsid w:val="00F67997"/>
    <w:rsid w:val="00F702E5"/>
    <w:rsid w:val="00F70AB5"/>
    <w:rsid w:val="00F7117C"/>
    <w:rsid w:val="00F71487"/>
    <w:rsid w:val="00F71E86"/>
    <w:rsid w:val="00F72007"/>
    <w:rsid w:val="00F72021"/>
    <w:rsid w:val="00F72534"/>
    <w:rsid w:val="00F72CF3"/>
    <w:rsid w:val="00F72E18"/>
    <w:rsid w:val="00F73538"/>
    <w:rsid w:val="00F73BAA"/>
    <w:rsid w:val="00F73E3D"/>
    <w:rsid w:val="00F73EFB"/>
    <w:rsid w:val="00F7404D"/>
    <w:rsid w:val="00F740D2"/>
    <w:rsid w:val="00F7425C"/>
    <w:rsid w:val="00F74577"/>
    <w:rsid w:val="00F74F73"/>
    <w:rsid w:val="00F74FD7"/>
    <w:rsid w:val="00F75052"/>
    <w:rsid w:val="00F754BD"/>
    <w:rsid w:val="00F76319"/>
    <w:rsid w:val="00F7684E"/>
    <w:rsid w:val="00F76F69"/>
    <w:rsid w:val="00F7715F"/>
    <w:rsid w:val="00F773C8"/>
    <w:rsid w:val="00F774B1"/>
    <w:rsid w:val="00F779C8"/>
    <w:rsid w:val="00F77A8A"/>
    <w:rsid w:val="00F77DCC"/>
    <w:rsid w:val="00F80CF2"/>
    <w:rsid w:val="00F80D7F"/>
    <w:rsid w:val="00F810DD"/>
    <w:rsid w:val="00F813EB"/>
    <w:rsid w:val="00F8153A"/>
    <w:rsid w:val="00F81556"/>
    <w:rsid w:val="00F81EB2"/>
    <w:rsid w:val="00F82E49"/>
    <w:rsid w:val="00F82F8C"/>
    <w:rsid w:val="00F832F1"/>
    <w:rsid w:val="00F83C8D"/>
    <w:rsid w:val="00F84576"/>
    <w:rsid w:val="00F84FA4"/>
    <w:rsid w:val="00F8520D"/>
    <w:rsid w:val="00F8547E"/>
    <w:rsid w:val="00F855A8"/>
    <w:rsid w:val="00F85977"/>
    <w:rsid w:val="00F85D97"/>
    <w:rsid w:val="00F86316"/>
    <w:rsid w:val="00F8684A"/>
    <w:rsid w:val="00F868AF"/>
    <w:rsid w:val="00F86C23"/>
    <w:rsid w:val="00F87022"/>
    <w:rsid w:val="00F87343"/>
    <w:rsid w:val="00F87383"/>
    <w:rsid w:val="00F873DC"/>
    <w:rsid w:val="00F901AB"/>
    <w:rsid w:val="00F90713"/>
    <w:rsid w:val="00F90790"/>
    <w:rsid w:val="00F90BF5"/>
    <w:rsid w:val="00F90F19"/>
    <w:rsid w:val="00F91B00"/>
    <w:rsid w:val="00F91E45"/>
    <w:rsid w:val="00F92084"/>
    <w:rsid w:val="00F923FC"/>
    <w:rsid w:val="00F9256F"/>
    <w:rsid w:val="00F927BF"/>
    <w:rsid w:val="00F92E6B"/>
    <w:rsid w:val="00F93B15"/>
    <w:rsid w:val="00F9477C"/>
    <w:rsid w:val="00F9493E"/>
    <w:rsid w:val="00F949E7"/>
    <w:rsid w:val="00F94F23"/>
    <w:rsid w:val="00F95131"/>
    <w:rsid w:val="00F951FC"/>
    <w:rsid w:val="00F9527D"/>
    <w:rsid w:val="00F95428"/>
    <w:rsid w:val="00F954B0"/>
    <w:rsid w:val="00F95753"/>
    <w:rsid w:val="00F95905"/>
    <w:rsid w:val="00F95CC7"/>
    <w:rsid w:val="00F961D3"/>
    <w:rsid w:val="00F962E8"/>
    <w:rsid w:val="00F96559"/>
    <w:rsid w:val="00F968C8"/>
    <w:rsid w:val="00F96959"/>
    <w:rsid w:val="00F970D8"/>
    <w:rsid w:val="00F971DB"/>
    <w:rsid w:val="00F971E0"/>
    <w:rsid w:val="00F9723E"/>
    <w:rsid w:val="00F9788F"/>
    <w:rsid w:val="00F97DD3"/>
    <w:rsid w:val="00F97DEF"/>
    <w:rsid w:val="00F97E23"/>
    <w:rsid w:val="00F97F79"/>
    <w:rsid w:val="00F97FB5"/>
    <w:rsid w:val="00FA0870"/>
    <w:rsid w:val="00FA0879"/>
    <w:rsid w:val="00FA0B13"/>
    <w:rsid w:val="00FA1C42"/>
    <w:rsid w:val="00FA1C68"/>
    <w:rsid w:val="00FA1CE9"/>
    <w:rsid w:val="00FA1E79"/>
    <w:rsid w:val="00FA223B"/>
    <w:rsid w:val="00FA24CE"/>
    <w:rsid w:val="00FA2556"/>
    <w:rsid w:val="00FA2625"/>
    <w:rsid w:val="00FA288C"/>
    <w:rsid w:val="00FA2A08"/>
    <w:rsid w:val="00FA2EC7"/>
    <w:rsid w:val="00FA303C"/>
    <w:rsid w:val="00FA333B"/>
    <w:rsid w:val="00FA3445"/>
    <w:rsid w:val="00FA36BA"/>
    <w:rsid w:val="00FA3FB6"/>
    <w:rsid w:val="00FA4048"/>
    <w:rsid w:val="00FA5011"/>
    <w:rsid w:val="00FA545F"/>
    <w:rsid w:val="00FA56A2"/>
    <w:rsid w:val="00FA57B9"/>
    <w:rsid w:val="00FA587B"/>
    <w:rsid w:val="00FA5A5D"/>
    <w:rsid w:val="00FA5B5A"/>
    <w:rsid w:val="00FA5F69"/>
    <w:rsid w:val="00FA66BD"/>
    <w:rsid w:val="00FA66F1"/>
    <w:rsid w:val="00FA6EC9"/>
    <w:rsid w:val="00FA6EE8"/>
    <w:rsid w:val="00FA6FA5"/>
    <w:rsid w:val="00FA727B"/>
    <w:rsid w:val="00FA7800"/>
    <w:rsid w:val="00FA7C43"/>
    <w:rsid w:val="00FA7F0A"/>
    <w:rsid w:val="00FB040D"/>
    <w:rsid w:val="00FB0549"/>
    <w:rsid w:val="00FB05AE"/>
    <w:rsid w:val="00FB08F3"/>
    <w:rsid w:val="00FB095D"/>
    <w:rsid w:val="00FB0D60"/>
    <w:rsid w:val="00FB1191"/>
    <w:rsid w:val="00FB127E"/>
    <w:rsid w:val="00FB18CA"/>
    <w:rsid w:val="00FB1A9B"/>
    <w:rsid w:val="00FB1D17"/>
    <w:rsid w:val="00FB20DC"/>
    <w:rsid w:val="00FB20F4"/>
    <w:rsid w:val="00FB23C7"/>
    <w:rsid w:val="00FB2E10"/>
    <w:rsid w:val="00FB31B3"/>
    <w:rsid w:val="00FB336A"/>
    <w:rsid w:val="00FB3520"/>
    <w:rsid w:val="00FB3DAE"/>
    <w:rsid w:val="00FB3DB2"/>
    <w:rsid w:val="00FB4187"/>
    <w:rsid w:val="00FB4240"/>
    <w:rsid w:val="00FB48F3"/>
    <w:rsid w:val="00FB4B10"/>
    <w:rsid w:val="00FB4C64"/>
    <w:rsid w:val="00FB4D57"/>
    <w:rsid w:val="00FB4DC5"/>
    <w:rsid w:val="00FB4E50"/>
    <w:rsid w:val="00FB5003"/>
    <w:rsid w:val="00FB53C9"/>
    <w:rsid w:val="00FB5841"/>
    <w:rsid w:val="00FB6237"/>
    <w:rsid w:val="00FB6952"/>
    <w:rsid w:val="00FB699F"/>
    <w:rsid w:val="00FB6AD8"/>
    <w:rsid w:val="00FB70DB"/>
    <w:rsid w:val="00FB73E5"/>
    <w:rsid w:val="00FB7445"/>
    <w:rsid w:val="00FB7447"/>
    <w:rsid w:val="00FB75BC"/>
    <w:rsid w:val="00FB7AAF"/>
    <w:rsid w:val="00FB7EDC"/>
    <w:rsid w:val="00FC1205"/>
    <w:rsid w:val="00FC1928"/>
    <w:rsid w:val="00FC192D"/>
    <w:rsid w:val="00FC1C91"/>
    <w:rsid w:val="00FC2817"/>
    <w:rsid w:val="00FC2910"/>
    <w:rsid w:val="00FC2EE7"/>
    <w:rsid w:val="00FC3574"/>
    <w:rsid w:val="00FC3ADF"/>
    <w:rsid w:val="00FC3D85"/>
    <w:rsid w:val="00FC3E97"/>
    <w:rsid w:val="00FC3F76"/>
    <w:rsid w:val="00FC3FBF"/>
    <w:rsid w:val="00FC4D3E"/>
    <w:rsid w:val="00FC4DDA"/>
    <w:rsid w:val="00FC52FC"/>
    <w:rsid w:val="00FC534C"/>
    <w:rsid w:val="00FC5C11"/>
    <w:rsid w:val="00FC5F49"/>
    <w:rsid w:val="00FC603D"/>
    <w:rsid w:val="00FC6E28"/>
    <w:rsid w:val="00FC7178"/>
    <w:rsid w:val="00FC7867"/>
    <w:rsid w:val="00FC78B6"/>
    <w:rsid w:val="00FC7E2A"/>
    <w:rsid w:val="00FC7F88"/>
    <w:rsid w:val="00FD0148"/>
    <w:rsid w:val="00FD0168"/>
    <w:rsid w:val="00FD0598"/>
    <w:rsid w:val="00FD062D"/>
    <w:rsid w:val="00FD0A3A"/>
    <w:rsid w:val="00FD0B27"/>
    <w:rsid w:val="00FD11E5"/>
    <w:rsid w:val="00FD14B4"/>
    <w:rsid w:val="00FD15F4"/>
    <w:rsid w:val="00FD1858"/>
    <w:rsid w:val="00FD1E8D"/>
    <w:rsid w:val="00FD249A"/>
    <w:rsid w:val="00FD2CC7"/>
    <w:rsid w:val="00FD2F77"/>
    <w:rsid w:val="00FD324B"/>
    <w:rsid w:val="00FD3455"/>
    <w:rsid w:val="00FD3858"/>
    <w:rsid w:val="00FD3A95"/>
    <w:rsid w:val="00FD3DDB"/>
    <w:rsid w:val="00FD4223"/>
    <w:rsid w:val="00FD44FB"/>
    <w:rsid w:val="00FD4687"/>
    <w:rsid w:val="00FD478D"/>
    <w:rsid w:val="00FD47A4"/>
    <w:rsid w:val="00FD47F7"/>
    <w:rsid w:val="00FD5088"/>
    <w:rsid w:val="00FD50B8"/>
    <w:rsid w:val="00FD568E"/>
    <w:rsid w:val="00FD575B"/>
    <w:rsid w:val="00FD5B49"/>
    <w:rsid w:val="00FD6AD6"/>
    <w:rsid w:val="00FD6D41"/>
    <w:rsid w:val="00FD6E92"/>
    <w:rsid w:val="00FD7189"/>
    <w:rsid w:val="00FD72EE"/>
    <w:rsid w:val="00FD76C4"/>
    <w:rsid w:val="00FD7C79"/>
    <w:rsid w:val="00FE0C8A"/>
    <w:rsid w:val="00FE0EAC"/>
    <w:rsid w:val="00FE17F0"/>
    <w:rsid w:val="00FE217E"/>
    <w:rsid w:val="00FE22D4"/>
    <w:rsid w:val="00FE22E6"/>
    <w:rsid w:val="00FE2BAB"/>
    <w:rsid w:val="00FE2DFE"/>
    <w:rsid w:val="00FE3128"/>
    <w:rsid w:val="00FE3C33"/>
    <w:rsid w:val="00FE3E93"/>
    <w:rsid w:val="00FE42DF"/>
    <w:rsid w:val="00FE44F1"/>
    <w:rsid w:val="00FE490F"/>
    <w:rsid w:val="00FE494F"/>
    <w:rsid w:val="00FE5761"/>
    <w:rsid w:val="00FE5EA8"/>
    <w:rsid w:val="00FE6103"/>
    <w:rsid w:val="00FE618D"/>
    <w:rsid w:val="00FE648A"/>
    <w:rsid w:val="00FE64F0"/>
    <w:rsid w:val="00FE6757"/>
    <w:rsid w:val="00FE698D"/>
    <w:rsid w:val="00FE737F"/>
    <w:rsid w:val="00FE7CAA"/>
    <w:rsid w:val="00FF068E"/>
    <w:rsid w:val="00FF0BE2"/>
    <w:rsid w:val="00FF0C0B"/>
    <w:rsid w:val="00FF0F68"/>
    <w:rsid w:val="00FF112C"/>
    <w:rsid w:val="00FF131E"/>
    <w:rsid w:val="00FF14B2"/>
    <w:rsid w:val="00FF15EF"/>
    <w:rsid w:val="00FF1634"/>
    <w:rsid w:val="00FF1985"/>
    <w:rsid w:val="00FF1E67"/>
    <w:rsid w:val="00FF1F63"/>
    <w:rsid w:val="00FF276D"/>
    <w:rsid w:val="00FF27DC"/>
    <w:rsid w:val="00FF27E5"/>
    <w:rsid w:val="00FF2EFB"/>
    <w:rsid w:val="00FF3250"/>
    <w:rsid w:val="00FF3328"/>
    <w:rsid w:val="00FF3426"/>
    <w:rsid w:val="00FF34C4"/>
    <w:rsid w:val="00FF3AA9"/>
    <w:rsid w:val="00FF3F99"/>
    <w:rsid w:val="00FF474C"/>
    <w:rsid w:val="00FF49F4"/>
    <w:rsid w:val="00FF4C3A"/>
    <w:rsid w:val="00FF4E9A"/>
    <w:rsid w:val="00FF5232"/>
    <w:rsid w:val="00FF550D"/>
    <w:rsid w:val="00FF573E"/>
    <w:rsid w:val="00FF5771"/>
    <w:rsid w:val="00FF5A26"/>
    <w:rsid w:val="00FF5AD7"/>
    <w:rsid w:val="00FF652A"/>
    <w:rsid w:val="00FF659D"/>
    <w:rsid w:val="00FF66F1"/>
    <w:rsid w:val="00FF6ABB"/>
    <w:rsid w:val="00FF6B04"/>
    <w:rsid w:val="00FF6E1E"/>
    <w:rsid w:val="00FF7440"/>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E99F32"/>
  <w15:docId w15:val="{9CA7D045-9B1E-480D-98B3-6ED46BCB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195"/>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character" w:customStyle="1" w:styleId="apple-style-span">
    <w:name w:val="apple-style-span"/>
    <w:uiPriority w:val="99"/>
    <w:rsid w:val="0032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70170419">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28933626">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2050035">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345285175">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1294622">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3907254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890258481">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2BE7E-BBE0-4610-BE9B-96E648277D2A}">
  <ds:schemaRefs>
    <ds:schemaRef ds:uri="http://schemas.microsoft.com/sharepoint/v3/contenttype/forms"/>
  </ds:schemaRefs>
</ds:datastoreItem>
</file>

<file path=customXml/itemProps2.xml><?xml version="1.0" encoding="utf-8"?>
<ds:datastoreItem xmlns:ds="http://schemas.openxmlformats.org/officeDocument/2006/customXml" ds:itemID="{E773A466-DFD9-478C-A39A-E608DC190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4D53F-1559-4748-B714-98DE1E79C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5934F5-177E-4931-A17E-A126A501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12082</Words>
  <Characters>66453</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78379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Alejandro Raul Sarmiento Cantillo</cp:lastModifiedBy>
  <cp:revision>5</cp:revision>
  <cp:lastPrinted>2017-10-03T17:21:00Z</cp:lastPrinted>
  <dcterms:created xsi:type="dcterms:W3CDTF">2020-06-12T15:32:00Z</dcterms:created>
  <dcterms:modified xsi:type="dcterms:W3CDTF">2020-06-26T13:30:00Z</dcterms:modified>
</cp:coreProperties>
</file>