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C6" w:rsidRPr="00031C7D" w:rsidRDefault="00CA436A" w:rsidP="00494FC6">
      <w:pPr>
        <w:jc w:val="both"/>
        <w:rPr>
          <w:rFonts w:ascii="Arial" w:hAnsi="Arial" w:cs="Arial"/>
          <w:b/>
          <w:sz w:val="22"/>
          <w:szCs w:val="22"/>
          <w:lang w:val="es-ES_tradnl"/>
        </w:rPr>
      </w:pPr>
      <w:r>
        <w:rPr>
          <w:rFonts w:ascii="Arial" w:hAnsi="Arial" w:cs="Arial"/>
          <w:b/>
          <w:sz w:val="22"/>
          <w:szCs w:val="22"/>
          <w:lang w:val="es-ES_tradnl"/>
        </w:rPr>
        <w:t xml:space="preserve">CONSEJO DE ESTADO </w:t>
      </w:r>
      <w:r w:rsidRPr="00AF22DF">
        <w:rPr>
          <w:rFonts w:ascii="Arial" w:hAnsi="Arial" w:cs="Arial"/>
          <w:b/>
        </w:rPr>
        <w:t>–</w:t>
      </w:r>
      <w:r w:rsidR="00494FC6" w:rsidRPr="005F4C9A">
        <w:rPr>
          <w:rFonts w:ascii="Arial" w:hAnsi="Arial" w:cs="Arial"/>
          <w:b/>
          <w:sz w:val="22"/>
          <w:szCs w:val="22"/>
          <w:lang w:val="es-ES_tradnl"/>
        </w:rPr>
        <w:t xml:space="preserve"> </w:t>
      </w:r>
      <w:r w:rsidR="00494FC6" w:rsidRPr="00031C7D">
        <w:rPr>
          <w:rFonts w:ascii="Arial" w:hAnsi="Arial" w:cs="Arial"/>
          <w:b/>
          <w:sz w:val="22"/>
          <w:szCs w:val="22"/>
          <w:lang w:val="es-ES_tradnl"/>
        </w:rPr>
        <w:t xml:space="preserve">Competencia </w:t>
      </w:r>
    </w:p>
    <w:p w:rsidR="00494FC6" w:rsidRPr="005F4C9A" w:rsidRDefault="00494FC6" w:rsidP="00494FC6">
      <w:pPr>
        <w:tabs>
          <w:tab w:val="left" w:pos="930"/>
          <w:tab w:val="left" w:pos="3356"/>
        </w:tabs>
        <w:jc w:val="both"/>
        <w:rPr>
          <w:rFonts w:ascii="Arial" w:hAnsi="Arial" w:cs="Arial"/>
          <w:b/>
          <w:sz w:val="22"/>
          <w:szCs w:val="22"/>
          <w:lang w:val="es-ES_tradnl"/>
        </w:rPr>
      </w:pPr>
    </w:p>
    <w:p w:rsidR="00494FC6" w:rsidRPr="005F4C9A" w:rsidRDefault="00494FC6" w:rsidP="00494FC6">
      <w:pPr>
        <w:tabs>
          <w:tab w:val="left" w:pos="930"/>
          <w:tab w:val="left" w:pos="3356"/>
        </w:tabs>
        <w:jc w:val="both"/>
        <w:rPr>
          <w:rFonts w:ascii="Arial" w:hAnsi="Arial" w:cs="Arial"/>
          <w:sz w:val="22"/>
          <w:szCs w:val="22"/>
        </w:rPr>
      </w:pPr>
      <w:r w:rsidRPr="005F4C9A">
        <w:rPr>
          <w:rFonts w:ascii="Arial" w:hAnsi="Arial" w:cs="Arial"/>
          <w:sz w:val="22"/>
          <w:szCs w:val="22"/>
        </w:rPr>
        <w:t>De conformidad con el artículo 180.6 del CPACA, los recursos de apelación son procedentes, porque a través de estos se cuestionan las decisiones que resolvieron sobre las excepciones de caducidad y de inepta demanda. Al Despacho, en virtud de lo dispuesto en el artículo 125 ibídem, le asiste competencia funcional para resolver las alzadas, por tratarse de providencias dictadas por el Tribunal y, además, porque la decisión que aquí se adoptará, a diferencia de lo resuelto por el a quo, no implica la terminación del proceso.</w:t>
      </w:r>
    </w:p>
    <w:p w:rsidR="00494FC6" w:rsidRPr="005F4C9A" w:rsidRDefault="00494FC6" w:rsidP="00494FC6">
      <w:pPr>
        <w:tabs>
          <w:tab w:val="left" w:pos="930"/>
          <w:tab w:val="left" w:pos="3356"/>
        </w:tabs>
        <w:jc w:val="both"/>
        <w:rPr>
          <w:rFonts w:ascii="Arial" w:hAnsi="Arial" w:cs="Arial"/>
          <w:b/>
          <w:sz w:val="22"/>
          <w:szCs w:val="22"/>
        </w:rPr>
      </w:pPr>
    </w:p>
    <w:p w:rsidR="00494FC6" w:rsidRPr="00031C7D" w:rsidRDefault="00CA436A" w:rsidP="00494FC6">
      <w:pPr>
        <w:tabs>
          <w:tab w:val="left" w:pos="930"/>
          <w:tab w:val="left" w:pos="3356"/>
        </w:tabs>
        <w:jc w:val="both"/>
        <w:rPr>
          <w:rFonts w:ascii="Arial" w:hAnsi="Arial" w:cs="Arial"/>
          <w:b/>
          <w:sz w:val="22"/>
          <w:szCs w:val="22"/>
          <w:lang w:val="es-MX"/>
        </w:rPr>
      </w:pPr>
      <w:r>
        <w:rPr>
          <w:rFonts w:ascii="Arial" w:hAnsi="Arial" w:cs="Arial"/>
          <w:b/>
          <w:sz w:val="22"/>
          <w:szCs w:val="22"/>
          <w:lang w:val="es-MX"/>
        </w:rPr>
        <w:t xml:space="preserve">CONTRATO DE DONACIÓN </w:t>
      </w:r>
      <w:r w:rsidRPr="00AF22DF">
        <w:rPr>
          <w:rFonts w:ascii="Arial" w:hAnsi="Arial" w:cs="Arial"/>
          <w:b/>
        </w:rPr>
        <w:t>–</w:t>
      </w:r>
      <w:r>
        <w:rPr>
          <w:rFonts w:ascii="Arial" w:hAnsi="Arial" w:cs="Arial"/>
          <w:b/>
        </w:rPr>
        <w:t xml:space="preserve"> </w:t>
      </w:r>
      <w:r w:rsidR="00494FC6" w:rsidRPr="00031C7D">
        <w:rPr>
          <w:rFonts w:ascii="Arial" w:hAnsi="Arial" w:cs="Arial"/>
          <w:b/>
          <w:sz w:val="22"/>
          <w:szCs w:val="22"/>
          <w:lang w:val="es-MX"/>
        </w:rPr>
        <w:t xml:space="preserve">Régimen contractual </w:t>
      </w:r>
    </w:p>
    <w:p w:rsidR="00494FC6" w:rsidRPr="005F4C9A" w:rsidRDefault="00494FC6" w:rsidP="00494FC6">
      <w:pPr>
        <w:tabs>
          <w:tab w:val="left" w:pos="930"/>
          <w:tab w:val="left" w:pos="3356"/>
        </w:tabs>
        <w:jc w:val="both"/>
        <w:rPr>
          <w:rFonts w:ascii="Arial" w:hAnsi="Arial" w:cs="Arial"/>
          <w:sz w:val="22"/>
          <w:szCs w:val="22"/>
          <w:lang w:val="es-MX"/>
        </w:rPr>
      </w:pPr>
    </w:p>
    <w:p w:rsidR="00494FC6" w:rsidRPr="005F4C9A" w:rsidRDefault="00494FC6" w:rsidP="00494FC6">
      <w:pPr>
        <w:tabs>
          <w:tab w:val="left" w:pos="930"/>
          <w:tab w:val="left" w:pos="3356"/>
        </w:tabs>
        <w:jc w:val="both"/>
        <w:rPr>
          <w:rFonts w:ascii="Arial" w:hAnsi="Arial" w:cs="Arial"/>
          <w:sz w:val="22"/>
          <w:szCs w:val="22"/>
          <w:lang w:val="es-MX"/>
        </w:rPr>
      </w:pPr>
      <w:r w:rsidRPr="005F4C9A">
        <w:rPr>
          <w:rFonts w:ascii="Arial" w:hAnsi="Arial" w:cs="Arial"/>
          <w:sz w:val="22"/>
          <w:szCs w:val="22"/>
          <w:lang w:val="es-MX"/>
        </w:rPr>
        <w:t>El contrato de donación en cuestión se celebró el 30 de diciembre de 1988, época para la cual se encontraba vigente el Decreto-ley 222 de 1983, por manera que a ese acuerdo de voluntades le era aplicable el referido estatuto y no la Ley 80 de 1993 como lo señaló erróneamente el Tribunal a quo.</w:t>
      </w:r>
    </w:p>
    <w:p w:rsidR="00494FC6" w:rsidRPr="005F4C9A" w:rsidRDefault="00494FC6" w:rsidP="00494FC6">
      <w:pPr>
        <w:tabs>
          <w:tab w:val="left" w:pos="930"/>
          <w:tab w:val="left" w:pos="3356"/>
        </w:tabs>
        <w:jc w:val="both"/>
        <w:rPr>
          <w:rFonts w:ascii="Arial" w:hAnsi="Arial" w:cs="Arial"/>
          <w:sz w:val="22"/>
          <w:szCs w:val="22"/>
          <w:lang w:val="es-MX"/>
        </w:rPr>
      </w:pPr>
    </w:p>
    <w:p w:rsidR="00494FC6" w:rsidRDefault="00CA436A" w:rsidP="00494FC6">
      <w:pPr>
        <w:tabs>
          <w:tab w:val="left" w:pos="930"/>
          <w:tab w:val="left" w:pos="3356"/>
        </w:tabs>
        <w:jc w:val="both"/>
        <w:rPr>
          <w:rFonts w:ascii="Arial" w:hAnsi="Arial" w:cs="Arial"/>
          <w:b/>
          <w:sz w:val="22"/>
          <w:szCs w:val="22"/>
        </w:rPr>
      </w:pPr>
      <w:r>
        <w:rPr>
          <w:rFonts w:ascii="Arial" w:hAnsi="Arial" w:cs="Arial"/>
          <w:b/>
          <w:sz w:val="22"/>
          <w:szCs w:val="22"/>
        </w:rPr>
        <w:t xml:space="preserve">CONTROVERSIAS CONTRACTUALES </w:t>
      </w:r>
      <w:r w:rsidRPr="00AF22DF">
        <w:rPr>
          <w:rFonts w:ascii="Arial" w:hAnsi="Arial" w:cs="Arial"/>
          <w:b/>
        </w:rPr>
        <w:t>–</w:t>
      </w:r>
      <w:r w:rsidR="00494FC6" w:rsidRPr="005F4C9A">
        <w:rPr>
          <w:rFonts w:ascii="Arial" w:hAnsi="Arial" w:cs="Arial"/>
          <w:b/>
          <w:sz w:val="22"/>
          <w:szCs w:val="22"/>
        </w:rPr>
        <w:t xml:space="preserve"> </w:t>
      </w:r>
      <w:r w:rsidR="00FF3146">
        <w:rPr>
          <w:rFonts w:ascii="Arial" w:hAnsi="Arial" w:cs="Arial"/>
          <w:b/>
          <w:sz w:val="22"/>
          <w:szCs w:val="22"/>
        </w:rPr>
        <w:t xml:space="preserve">Caducidad de la acción – </w:t>
      </w:r>
      <w:bookmarkStart w:id="0" w:name="_GoBack"/>
      <w:bookmarkEnd w:id="0"/>
      <w:r w:rsidR="00494FC6" w:rsidRPr="00031C7D">
        <w:rPr>
          <w:rFonts w:ascii="Arial" w:hAnsi="Arial" w:cs="Arial"/>
          <w:b/>
          <w:sz w:val="22"/>
          <w:szCs w:val="22"/>
        </w:rPr>
        <w:t xml:space="preserve">Término de caducidad </w:t>
      </w:r>
      <w:r w:rsidRPr="00AF22DF">
        <w:rPr>
          <w:rFonts w:ascii="Arial" w:hAnsi="Arial" w:cs="Arial"/>
          <w:b/>
        </w:rPr>
        <w:t>–</w:t>
      </w:r>
      <w:r>
        <w:rPr>
          <w:rFonts w:ascii="Arial" w:hAnsi="Arial" w:cs="Arial"/>
          <w:b/>
        </w:rPr>
        <w:t xml:space="preserve"> Ley 1437 de 2011</w:t>
      </w:r>
    </w:p>
    <w:p w:rsidR="00CA436A" w:rsidRPr="005F4C9A" w:rsidRDefault="00CA436A" w:rsidP="00494FC6">
      <w:pPr>
        <w:tabs>
          <w:tab w:val="left" w:pos="930"/>
          <w:tab w:val="left" w:pos="3356"/>
        </w:tabs>
        <w:jc w:val="both"/>
        <w:rPr>
          <w:rFonts w:ascii="Arial" w:hAnsi="Arial" w:cs="Arial"/>
          <w:sz w:val="22"/>
          <w:szCs w:val="22"/>
        </w:rPr>
      </w:pPr>
    </w:p>
    <w:p w:rsidR="00494FC6" w:rsidRPr="005F4C9A" w:rsidRDefault="00494FC6" w:rsidP="00494FC6">
      <w:pPr>
        <w:tabs>
          <w:tab w:val="left" w:pos="930"/>
          <w:tab w:val="left" w:pos="3356"/>
        </w:tabs>
        <w:jc w:val="both"/>
        <w:rPr>
          <w:rFonts w:ascii="Arial" w:hAnsi="Arial" w:cs="Arial"/>
          <w:sz w:val="22"/>
          <w:szCs w:val="22"/>
          <w:lang w:val="es-MX"/>
        </w:rPr>
      </w:pPr>
      <w:r w:rsidRPr="005F4C9A">
        <w:rPr>
          <w:rFonts w:ascii="Arial" w:hAnsi="Arial" w:cs="Arial"/>
          <w:sz w:val="22"/>
          <w:szCs w:val="22"/>
          <w:lang w:val="es-MX"/>
        </w:rPr>
        <w:t>La demanda se presentó el 12 de septiembre de 2014, esto es, en vigencia de la Ley 1437 de 2011, por lo que las normas procesales aplicables al sub examine son las contenidas en ese cuerpo normativo. No obstante, para efectos del conteo de la caducidad y en vista de que dicho término empezó a correr en vigencia del Decreto 01 de 1984 -tal y como se verá más adelante-, se tendrán en cuenta las disposiciones del CCA y no las del CPACA.</w:t>
      </w:r>
    </w:p>
    <w:p w:rsidR="00494FC6" w:rsidRPr="005F4C9A" w:rsidRDefault="00494FC6" w:rsidP="00494FC6">
      <w:pPr>
        <w:tabs>
          <w:tab w:val="left" w:pos="930"/>
          <w:tab w:val="left" w:pos="3356"/>
        </w:tabs>
        <w:jc w:val="both"/>
        <w:rPr>
          <w:rFonts w:ascii="Arial" w:hAnsi="Arial" w:cs="Arial"/>
          <w:sz w:val="22"/>
          <w:szCs w:val="22"/>
        </w:rPr>
      </w:pPr>
    </w:p>
    <w:p w:rsidR="00494FC6" w:rsidRPr="00031C7D" w:rsidRDefault="00494FC6" w:rsidP="00494FC6">
      <w:pPr>
        <w:tabs>
          <w:tab w:val="left" w:pos="930"/>
          <w:tab w:val="left" w:pos="3356"/>
        </w:tabs>
        <w:jc w:val="both"/>
        <w:rPr>
          <w:rFonts w:ascii="Arial" w:hAnsi="Arial" w:cs="Arial"/>
          <w:b/>
          <w:sz w:val="22"/>
          <w:szCs w:val="22"/>
        </w:rPr>
      </w:pPr>
      <w:r w:rsidRPr="005F4C9A">
        <w:rPr>
          <w:rFonts w:ascii="Arial" w:hAnsi="Arial" w:cs="Arial"/>
          <w:b/>
          <w:sz w:val="22"/>
          <w:szCs w:val="22"/>
        </w:rPr>
        <w:t>NULIDAD ABSOLUTA DEL CONTRATO</w:t>
      </w:r>
      <w:r w:rsidRPr="005F4C9A">
        <w:rPr>
          <w:rFonts w:ascii="Arial" w:hAnsi="Arial" w:cs="Arial"/>
          <w:sz w:val="22"/>
          <w:szCs w:val="22"/>
        </w:rPr>
        <w:t xml:space="preserve"> </w:t>
      </w:r>
      <w:r w:rsidR="00CA436A" w:rsidRPr="00AF22DF">
        <w:rPr>
          <w:rFonts w:ascii="Arial" w:hAnsi="Arial" w:cs="Arial"/>
          <w:b/>
        </w:rPr>
        <w:t>–</w:t>
      </w:r>
      <w:r w:rsidRPr="005F4C9A">
        <w:rPr>
          <w:rFonts w:ascii="Arial" w:hAnsi="Arial" w:cs="Arial"/>
          <w:b/>
          <w:sz w:val="22"/>
          <w:szCs w:val="22"/>
        </w:rPr>
        <w:t xml:space="preserve"> </w:t>
      </w:r>
      <w:r w:rsidRPr="00031C7D">
        <w:rPr>
          <w:rFonts w:ascii="Arial" w:hAnsi="Arial" w:cs="Arial"/>
          <w:b/>
          <w:sz w:val="22"/>
          <w:szCs w:val="22"/>
        </w:rPr>
        <w:t xml:space="preserve">Cómputo del término caducidad </w:t>
      </w:r>
      <w:r w:rsidR="00CA436A" w:rsidRPr="00AF22DF">
        <w:rPr>
          <w:rFonts w:ascii="Arial" w:hAnsi="Arial" w:cs="Arial"/>
          <w:b/>
        </w:rPr>
        <w:t>–</w:t>
      </w:r>
      <w:r w:rsidR="00CA436A">
        <w:rPr>
          <w:rFonts w:ascii="Arial" w:hAnsi="Arial" w:cs="Arial"/>
          <w:b/>
        </w:rPr>
        <w:t xml:space="preserve"> </w:t>
      </w:r>
      <w:r w:rsidR="00CA436A">
        <w:rPr>
          <w:rFonts w:ascii="Arial" w:hAnsi="Arial" w:cs="Arial"/>
          <w:b/>
          <w:sz w:val="22"/>
          <w:szCs w:val="22"/>
        </w:rPr>
        <w:t xml:space="preserve">Perfeccionamiento </w:t>
      </w:r>
      <w:r w:rsidRPr="00031C7D">
        <w:rPr>
          <w:rFonts w:ascii="Arial" w:hAnsi="Arial" w:cs="Arial"/>
          <w:b/>
          <w:sz w:val="22"/>
          <w:szCs w:val="22"/>
        </w:rPr>
        <w:t>del contrato</w:t>
      </w:r>
    </w:p>
    <w:p w:rsidR="00494FC6" w:rsidRPr="005F4C9A" w:rsidRDefault="00494FC6" w:rsidP="00494FC6">
      <w:pPr>
        <w:tabs>
          <w:tab w:val="left" w:pos="930"/>
          <w:tab w:val="left" w:pos="3356"/>
        </w:tabs>
        <w:jc w:val="both"/>
        <w:rPr>
          <w:rFonts w:ascii="Arial" w:hAnsi="Arial" w:cs="Arial"/>
          <w:sz w:val="22"/>
          <w:szCs w:val="22"/>
        </w:rPr>
      </w:pPr>
    </w:p>
    <w:p w:rsidR="00494FC6" w:rsidRPr="005F4C9A" w:rsidRDefault="00494FC6" w:rsidP="00494FC6">
      <w:pPr>
        <w:tabs>
          <w:tab w:val="left" w:pos="930"/>
          <w:tab w:val="left" w:pos="3356"/>
        </w:tabs>
        <w:jc w:val="both"/>
        <w:rPr>
          <w:rFonts w:ascii="Arial" w:hAnsi="Arial" w:cs="Arial"/>
          <w:sz w:val="22"/>
          <w:szCs w:val="22"/>
          <w:lang w:val="es-MX"/>
        </w:rPr>
      </w:pPr>
      <w:r w:rsidRPr="005F4C9A">
        <w:rPr>
          <w:rFonts w:ascii="Arial" w:hAnsi="Arial" w:cs="Arial"/>
          <w:sz w:val="22"/>
          <w:szCs w:val="22"/>
          <w:lang w:val="es-MX"/>
        </w:rPr>
        <w:t>el contrato de donación, a la luz de los artículos 51 y 175 del Decreto-ley 222 de 1983, se perfeccionó el 30 de diciembre de 1988, fecha en la cual se elevó a escritura pública. Lo anterior resulta importante, porque cuando se pide la nulidad absoluta del contrato -como ocurre en este caso-, tradicionalmente se ha dicho que el conteo de la caducidad inicia a partir de su perfeccionamiento. En ese sentido, se destaca que el término de la caducidad empezó a correr el 30 de diciembre de 1988, esto es, en vigencia del texto original del Decreto 01 de 1984 (es decir, antes las modificaciones introducidas por el artículo 23 del Decreto 2304 de 1989 y por el artículo 44 de la Ley 446 de 1998), de ahí que, de conformidad con el artículo 136 del CCA, el plazo para demandar la nulidad absoluta del contrato de donación venció el 30 de diciembre de 1990.</w:t>
      </w:r>
    </w:p>
    <w:p w:rsidR="00494FC6" w:rsidRPr="005F4C9A" w:rsidRDefault="00494FC6" w:rsidP="00494FC6">
      <w:pPr>
        <w:tabs>
          <w:tab w:val="left" w:pos="930"/>
          <w:tab w:val="left" w:pos="3356"/>
        </w:tabs>
        <w:jc w:val="both"/>
        <w:rPr>
          <w:rFonts w:ascii="Arial" w:hAnsi="Arial" w:cs="Arial"/>
          <w:b/>
          <w:sz w:val="22"/>
          <w:szCs w:val="22"/>
          <w:lang w:val="es-MX"/>
        </w:rPr>
      </w:pPr>
    </w:p>
    <w:p w:rsidR="00494FC6" w:rsidRPr="005F4C9A" w:rsidRDefault="00CA436A" w:rsidP="00494FC6">
      <w:pPr>
        <w:pStyle w:val="Prrafodelista"/>
        <w:ind w:left="0"/>
        <w:jc w:val="both"/>
        <w:rPr>
          <w:rFonts w:ascii="Arial" w:hAnsi="Arial" w:cs="Arial"/>
          <w:b/>
          <w:sz w:val="22"/>
          <w:szCs w:val="22"/>
          <w:lang w:val="es-MX"/>
        </w:rPr>
      </w:pPr>
      <w:r>
        <w:rPr>
          <w:rFonts w:ascii="Arial" w:hAnsi="Arial" w:cs="Arial"/>
          <w:b/>
          <w:sz w:val="22"/>
          <w:szCs w:val="22"/>
          <w:lang w:val="es-MX"/>
        </w:rPr>
        <w:t xml:space="preserve">PERFECCIONAMIENTO DEL CONTRATO </w:t>
      </w:r>
      <w:r w:rsidRPr="00AF22DF">
        <w:rPr>
          <w:rFonts w:ascii="Arial" w:hAnsi="Arial" w:cs="Arial"/>
          <w:b/>
        </w:rPr>
        <w:t>–</w:t>
      </w:r>
      <w:r w:rsidR="00494FC6" w:rsidRPr="005F4C9A">
        <w:rPr>
          <w:rFonts w:ascii="Arial" w:hAnsi="Arial" w:cs="Arial"/>
          <w:b/>
          <w:sz w:val="22"/>
          <w:szCs w:val="22"/>
          <w:lang w:val="es-MX"/>
        </w:rPr>
        <w:t xml:space="preserve"> </w:t>
      </w:r>
      <w:r w:rsidR="00494FC6" w:rsidRPr="00031C7D">
        <w:rPr>
          <w:rFonts w:ascii="Arial" w:hAnsi="Arial" w:cs="Arial"/>
          <w:b/>
          <w:sz w:val="22"/>
          <w:szCs w:val="22"/>
          <w:lang w:val="es-MX"/>
        </w:rPr>
        <w:t>No depende del cumplimiento de la condición</w:t>
      </w:r>
    </w:p>
    <w:p w:rsidR="00494FC6" w:rsidRPr="005F4C9A" w:rsidRDefault="00494FC6" w:rsidP="00494FC6">
      <w:pPr>
        <w:pStyle w:val="Prrafodelista"/>
        <w:ind w:left="0"/>
        <w:jc w:val="both"/>
        <w:rPr>
          <w:rFonts w:ascii="Arial" w:hAnsi="Arial" w:cs="Arial"/>
          <w:b/>
          <w:sz w:val="22"/>
          <w:szCs w:val="22"/>
          <w:lang w:val="es-MX"/>
        </w:rPr>
      </w:pPr>
    </w:p>
    <w:p w:rsidR="005D3C66" w:rsidRDefault="00494FC6" w:rsidP="00494FC6">
      <w:pPr>
        <w:pStyle w:val="Prrafodelista"/>
        <w:ind w:left="0"/>
        <w:jc w:val="both"/>
        <w:rPr>
          <w:rFonts w:ascii="Arial" w:hAnsi="Arial" w:cs="Arial"/>
          <w:sz w:val="22"/>
          <w:szCs w:val="22"/>
          <w:lang w:val="es-MX"/>
        </w:rPr>
      </w:pPr>
      <w:r w:rsidRPr="005F4C9A">
        <w:rPr>
          <w:rFonts w:ascii="Arial" w:hAnsi="Arial" w:cs="Arial"/>
          <w:sz w:val="22"/>
          <w:szCs w:val="22"/>
          <w:lang w:val="es-MX"/>
        </w:rPr>
        <w:t>En cuanto al otro argumento de la demandante, según el cual todavía era posible pedir la nulidad absoluta del contrato de donación, porque la condición pactada en el mismo no ha sido cumplida, el Despacho advierte que el perfeccionamiento del contrato -el cual surge a partir de la confluencia de la voluntad de donante y donatario- no depende del cumplimiento de la condición que se haya acordado, de ahí que el “no cumplimiento” de la misma no tiene la virtualidad de viciar de validez el contrato , situación que, por obvias razones, tampoco tiene incidencia en el conteo de la caducidad en cuanto a la pretensión de nulidad absoluta del contrato, con la cual, valga señalar, se cuestiona la validez del acuerdo de voluntades, en este caso, por no cumplirse con el requisito previo de la insinuación, asunto totalmente ajeno al cumplimiento o no de la condición pactada en el contrato en cuestión, consistente en la construcción y funcionamiento de la Facultad de Odontología de la Universidad Libre - Seccional Atlántico.</w:t>
      </w:r>
    </w:p>
    <w:p w:rsidR="005D3C66" w:rsidRPr="005F4C9A" w:rsidRDefault="005D3C66" w:rsidP="00494FC6">
      <w:pPr>
        <w:pStyle w:val="Prrafodelista"/>
        <w:ind w:left="0"/>
        <w:jc w:val="both"/>
        <w:rPr>
          <w:rFonts w:ascii="Arial" w:hAnsi="Arial" w:cs="Arial"/>
          <w:sz w:val="22"/>
          <w:szCs w:val="22"/>
          <w:lang w:val="es-MX"/>
        </w:rPr>
      </w:pPr>
    </w:p>
    <w:p w:rsidR="00494FC6" w:rsidRPr="00031C7D" w:rsidRDefault="00CA436A" w:rsidP="00494FC6">
      <w:pPr>
        <w:tabs>
          <w:tab w:val="left" w:pos="930"/>
          <w:tab w:val="left" w:pos="3356"/>
        </w:tabs>
        <w:jc w:val="both"/>
        <w:rPr>
          <w:rFonts w:ascii="Arial" w:hAnsi="Arial" w:cs="Arial"/>
          <w:b/>
          <w:sz w:val="22"/>
          <w:szCs w:val="22"/>
          <w:lang w:val="es-MX"/>
        </w:rPr>
      </w:pPr>
      <w:r>
        <w:rPr>
          <w:rFonts w:ascii="Arial" w:hAnsi="Arial" w:cs="Arial"/>
          <w:b/>
          <w:sz w:val="22"/>
          <w:szCs w:val="22"/>
          <w:lang w:val="es-MX"/>
        </w:rPr>
        <w:t xml:space="preserve">CONTRATO DE DONACIÓN </w:t>
      </w:r>
      <w:r w:rsidRPr="00AF22DF">
        <w:rPr>
          <w:rFonts w:ascii="Arial" w:hAnsi="Arial" w:cs="Arial"/>
          <w:b/>
        </w:rPr>
        <w:t>–</w:t>
      </w:r>
      <w:r w:rsidR="00494FC6" w:rsidRPr="005F4C9A">
        <w:rPr>
          <w:rFonts w:ascii="Arial" w:hAnsi="Arial" w:cs="Arial"/>
          <w:b/>
          <w:sz w:val="22"/>
          <w:szCs w:val="22"/>
          <w:lang w:val="es-MX"/>
        </w:rPr>
        <w:t xml:space="preserve"> </w:t>
      </w:r>
      <w:r w:rsidR="00494FC6" w:rsidRPr="00031C7D">
        <w:rPr>
          <w:rFonts w:ascii="Arial" w:hAnsi="Arial" w:cs="Arial"/>
          <w:b/>
          <w:sz w:val="22"/>
          <w:szCs w:val="22"/>
          <w:lang w:val="es-MX"/>
        </w:rPr>
        <w:t xml:space="preserve">Tienen por objeto un inmueble </w:t>
      </w:r>
      <w:r w:rsidRPr="00AF22DF">
        <w:rPr>
          <w:rFonts w:ascii="Arial" w:hAnsi="Arial" w:cs="Arial"/>
          <w:b/>
        </w:rPr>
        <w:t>–</w:t>
      </w:r>
      <w:r>
        <w:rPr>
          <w:rFonts w:ascii="Arial" w:hAnsi="Arial" w:cs="Arial"/>
          <w:b/>
          <w:sz w:val="22"/>
          <w:szCs w:val="22"/>
          <w:lang w:val="es-MX"/>
        </w:rPr>
        <w:t xml:space="preserve"> N</w:t>
      </w:r>
      <w:r w:rsidR="00494FC6" w:rsidRPr="00031C7D">
        <w:rPr>
          <w:rFonts w:ascii="Arial" w:hAnsi="Arial" w:cs="Arial"/>
          <w:b/>
          <w:sz w:val="22"/>
          <w:szCs w:val="22"/>
          <w:lang w:val="es-MX"/>
        </w:rPr>
        <w:t xml:space="preserve">aturaleza fiscal y no de uso público </w:t>
      </w:r>
    </w:p>
    <w:p w:rsidR="00494FC6" w:rsidRPr="005F4C9A" w:rsidRDefault="00494FC6" w:rsidP="00494FC6">
      <w:pPr>
        <w:tabs>
          <w:tab w:val="left" w:pos="930"/>
          <w:tab w:val="left" w:pos="3356"/>
        </w:tabs>
        <w:jc w:val="both"/>
        <w:rPr>
          <w:rFonts w:ascii="Arial" w:hAnsi="Arial" w:cs="Arial"/>
          <w:sz w:val="22"/>
          <w:szCs w:val="22"/>
          <w:lang w:val="es-MX"/>
        </w:rPr>
      </w:pPr>
    </w:p>
    <w:p w:rsidR="00494FC6" w:rsidRPr="005F4C9A" w:rsidRDefault="00494FC6" w:rsidP="00494FC6">
      <w:pPr>
        <w:tabs>
          <w:tab w:val="left" w:pos="930"/>
          <w:tab w:val="left" w:pos="3356"/>
        </w:tabs>
        <w:jc w:val="both"/>
        <w:rPr>
          <w:rFonts w:ascii="Arial" w:hAnsi="Arial" w:cs="Arial"/>
          <w:sz w:val="22"/>
          <w:szCs w:val="22"/>
          <w:lang w:val="es-ES_tradnl"/>
        </w:rPr>
      </w:pPr>
      <w:r w:rsidRPr="005F4C9A">
        <w:rPr>
          <w:rFonts w:ascii="Arial" w:hAnsi="Arial" w:cs="Arial"/>
          <w:sz w:val="22"/>
          <w:szCs w:val="22"/>
          <w:lang w:val="es-ES_tradnl"/>
        </w:rPr>
        <w:lastRenderedPageBreak/>
        <w:t>En el caso sub examine, cabe señalar que el inmueble objeto del contrato de donación no es un bien de uso público, pues, atendiendo a la definición del artículo 674 del Código Civil, no es uno de aquellos cuyo uso pertenece generalmente a todos los habitantes -como las calles, plazas, puentes y caminos-, por manera que, teniendo en cuenta el criterio residual, dicho inmueble es de naturaleza fiscal.</w:t>
      </w:r>
    </w:p>
    <w:p w:rsidR="00494FC6" w:rsidRPr="005F4C9A" w:rsidRDefault="00494FC6" w:rsidP="00494FC6">
      <w:pPr>
        <w:pStyle w:val="Prrafodelista"/>
        <w:ind w:left="0"/>
        <w:jc w:val="both"/>
        <w:rPr>
          <w:rFonts w:ascii="Arial" w:hAnsi="Arial" w:cs="Arial"/>
          <w:sz w:val="22"/>
          <w:szCs w:val="22"/>
          <w:lang w:val="es-MX"/>
        </w:rPr>
      </w:pPr>
    </w:p>
    <w:p w:rsidR="00494FC6" w:rsidRPr="00031C7D" w:rsidRDefault="00CA436A" w:rsidP="00494FC6">
      <w:pPr>
        <w:pStyle w:val="Prrafodelista"/>
        <w:ind w:left="0"/>
        <w:jc w:val="both"/>
        <w:rPr>
          <w:rFonts w:ascii="Arial" w:hAnsi="Arial" w:cs="Arial"/>
          <w:b/>
          <w:sz w:val="22"/>
          <w:szCs w:val="22"/>
          <w:lang w:val="es-MX"/>
        </w:rPr>
      </w:pPr>
      <w:r>
        <w:rPr>
          <w:rFonts w:ascii="Arial" w:hAnsi="Arial" w:cs="Arial"/>
          <w:b/>
          <w:sz w:val="22"/>
          <w:szCs w:val="22"/>
          <w:lang w:val="es-MX"/>
        </w:rPr>
        <w:t xml:space="preserve">CONTRATO DE DONACIÓN </w:t>
      </w:r>
      <w:r w:rsidRPr="00AF22DF">
        <w:rPr>
          <w:rFonts w:ascii="Arial" w:hAnsi="Arial" w:cs="Arial"/>
          <w:b/>
        </w:rPr>
        <w:t>–</w:t>
      </w:r>
      <w:r w:rsidR="00494FC6" w:rsidRPr="005F4C9A">
        <w:rPr>
          <w:rFonts w:ascii="Arial" w:hAnsi="Arial" w:cs="Arial"/>
          <w:b/>
          <w:sz w:val="22"/>
          <w:szCs w:val="22"/>
          <w:lang w:val="es-MX"/>
        </w:rPr>
        <w:t xml:space="preserve"> </w:t>
      </w:r>
      <w:r w:rsidR="00494FC6" w:rsidRPr="00031C7D">
        <w:rPr>
          <w:rFonts w:ascii="Arial" w:hAnsi="Arial" w:cs="Arial"/>
          <w:b/>
          <w:sz w:val="22"/>
          <w:szCs w:val="22"/>
          <w:lang w:val="es-MX"/>
        </w:rPr>
        <w:t xml:space="preserve">Diferencias </w:t>
      </w:r>
      <w:r w:rsidRPr="00AF22DF">
        <w:rPr>
          <w:rFonts w:ascii="Arial" w:hAnsi="Arial" w:cs="Arial"/>
          <w:b/>
        </w:rPr>
        <w:t>–</w:t>
      </w:r>
      <w:r>
        <w:rPr>
          <w:rFonts w:ascii="Arial" w:hAnsi="Arial" w:cs="Arial"/>
          <w:b/>
        </w:rPr>
        <w:t xml:space="preserve"> Entre</w:t>
      </w:r>
      <w:r w:rsidR="00494FC6" w:rsidRPr="00031C7D">
        <w:rPr>
          <w:rFonts w:ascii="Arial" w:hAnsi="Arial" w:cs="Arial"/>
          <w:b/>
          <w:sz w:val="22"/>
          <w:szCs w:val="22"/>
          <w:lang w:val="es-MX"/>
        </w:rPr>
        <w:t xml:space="preserve"> los bienes de naturaleza fiscal y los de uso público </w:t>
      </w:r>
    </w:p>
    <w:p w:rsidR="00494FC6" w:rsidRPr="005F4C9A" w:rsidRDefault="00494FC6" w:rsidP="00494FC6">
      <w:pPr>
        <w:pStyle w:val="Prrafodelista"/>
        <w:ind w:left="0"/>
        <w:jc w:val="both"/>
        <w:rPr>
          <w:rFonts w:ascii="Arial" w:hAnsi="Arial" w:cs="Arial"/>
          <w:b/>
          <w:sz w:val="22"/>
          <w:szCs w:val="22"/>
          <w:lang w:val="es-MX"/>
        </w:rPr>
      </w:pPr>
    </w:p>
    <w:p w:rsidR="00494FC6" w:rsidRPr="005F4C9A" w:rsidRDefault="00494FC6" w:rsidP="00494FC6">
      <w:pPr>
        <w:jc w:val="both"/>
        <w:rPr>
          <w:rFonts w:ascii="Arial" w:hAnsi="Arial" w:cs="Arial"/>
          <w:sz w:val="22"/>
          <w:szCs w:val="22"/>
          <w:lang w:val="es-ES_tradnl"/>
        </w:rPr>
      </w:pPr>
      <w:r w:rsidRPr="005F4C9A">
        <w:rPr>
          <w:rFonts w:ascii="Arial" w:hAnsi="Arial" w:cs="Arial"/>
          <w:sz w:val="22"/>
          <w:szCs w:val="22"/>
          <w:lang w:val="es-ES_tradnl"/>
        </w:rPr>
        <w:t xml:space="preserve">Los bienes fiscales, a diferencia de los de uso público, son comerciables, de ahí que sean susceptibles de ser apropiados por sujetos de derecho público o por particulares, con empleo de los modos de adquisición autorizados en la ley, situación que permite entender que este tipo bienes son enajenables. Bajo esa óptica, como el inmueble objeto de la controversia es un bien fiscal y, por ende, enajenable, fuerza concluir, contrario a lo señalado por la parte recurrente, que en el presente caso no era posible demandar en cualquier tiempo, en tanto no resulta aplicable la regla que de antaño se adoptó vía jurisprudencial y que luego se recogió en textos legales -consistente en que las acciones que recaigan sobre bienes estatales imprescriptibles e inenajenables no caducan-, lo que conduce a señalar que el sub examine sí estaba supeditado al término de caducidad, en este caso, el de dos años a partir del perfeccionamiento del contrato, porque se pidió la nulidad absoluta del mismo, tal y como se señaló atrás. </w:t>
      </w:r>
    </w:p>
    <w:p w:rsidR="00494FC6" w:rsidRPr="005F4C9A" w:rsidRDefault="00494FC6" w:rsidP="00494FC6">
      <w:pPr>
        <w:pStyle w:val="Prrafodelista"/>
        <w:ind w:left="0"/>
        <w:jc w:val="both"/>
        <w:rPr>
          <w:rFonts w:ascii="Arial" w:hAnsi="Arial" w:cs="Arial"/>
          <w:sz w:val="22"/>
          <w:szCs w:val="22"/>
          <w:lang w:val="es-ES_tradnl"/>
        </w:rPr>
      </w:pPr>
    </w:p>
    <w:p w:rsidR="00494FC6" w:rsidRPr="005F4C9A" w:rsidRDefault="00494FC6" w:rsidP="00494FC6">
      <w:pPr>
        <w:pStyle w:val="Prrafodelista"/>
        <w:ind w:left="0"/>
        <w:jc w:val="both"/>
        <w:rPr>
          <w:rFonts w:ascii="Arial" w:hAnsi="Arial" w:cs="Arial"/>
          <w:sz w:val="22"/>
          <w:szCs w:val="22"/>
          <w:lang w:val="es-ES_tradnl"/>
        </w:rPr>
      </w:pPr>
      <w:r w:rsidRPr="005F4C9A">
        <w:rPr>
          <w:rFonts w:ascii="Arial" w:hAnsi="Arial" w:cs="Arial"/>
          <w:b/>
          <w:sz w:val="22"/>
          <w:szCs w:val="22"/>
          <w:lang w:val="es-ES_tradnl"/>
        </w:rPr>
        <w:t>CONCILIACIÓN EXTRAJUDIC</w:t>
      </w:r>
      <w:r w:rsidR="00CA436A">
        <w:rPr>
          <w:rFonts w:ascii="Arial" w:hAnsi="Arial" w:cs="Arial"/>
          <w:b/>
          <w:sz w:val="22"/>
          <w:szCs w:val="22"/>
          <w:lang w:val="es-ES_tradnl"/>
        </w:rPr>
        <w:t xml:space="preserve">IAL </w:t>
      </w:r>
      <w:r w:rsidR="00CA436A" w:rsidRPr="00AF22DF">
        <w:rPr>
          <w:rFonts w:ascii="Arial" w:hAnsi="Arial" w:cs="Arial"/>
          <w:b/>
        </w:rPr>
        <w:t>–</w:t>
      </w:r>
      <w:r w:rsidRPr="005F4C9A">
        <w:rPr>
          <w:rFonts w:ascii="Arial" w:hAnsi="Arial" w:cs="Arial"/>
          <w:b/>
          <w:sz w:val="22"/>
          <w:szCs w:val="22"/>
          <w:lang w:val="es-ES_tradnl"/>
        </w:rPr>
        <w:t xml:space="preserve"> </w:t>
      </w:r>
      <w:r w:rsidRPr="00031C7D">
        <w:rPr>
          <w:rFonts w:ascii="Arial" w:hAnsi="Arial" w:cs="Arial"/>
          <w:b/>
          <w:sz w:val="22"/>
          <w:szCs w:val="22"/>
          <w:lang w:val="es-ES_tradnl"/>
        </w:rPr>
        <w:t>Requisito de procedibilidad</w:t>
      </w:r>
      <w:r w:rsidRPr="005F4C9A">
        <w:rPr>
          <w:rFonts w:ascii="Arial" w:hAnsi="Arial" w:cs="Arial"/>
          <w:sz w:val="22"/>
          <w:szCs w:val="22"/>
          <w:lang w:val="es-ES_tradnl"/>
        </w:rPr>
        <w:t xml:space="preserve"> </w:t>
      </w:r>
    </w:p>
    <w:p w:rsidR="00494FC6" w:rsidRPr="005F4C9A" w:rsidRDefault="00494FC6" w:rsidP="00494FC6">
      <w:pPr>
        <w:pStyle w:val="Prrafodelista"/>
        <w:ind w:left="0"/>
        <w:jc w:val="both"/>
        <w:rPr>
          <w:rFonts w:ascii="Arial" w:hAnsi="Arial" w:cs="Arial"/>
          <w:sz w:val="22"/>
          <w:szCs w:val="22"/>
          <w:lang w:val="es-ES_tradnl"/>
        </w:rPr>
      </w:pPr>
    </w:p>
    <w:p w:rsidR="00494FC6" w:rsidRPr="005F4C9A" w:rsidRDefault="00494FC6" w:rsidP="00494FC6">
      <w:pPr>
        <w:pStyle w:val="Prrafodelista"/>
        <w:ind w:left="0"/>
        <w:jc w:val="both"/>
        <w:rPr>
          <w:rFonts w:ascii="Arial" w:hAnsi="Arial" w:cs="Arial"/>
          <w:sz w:val="22"/>
          <w:szCs w:val="22"/>
          <w:lang w:val="es-MX"/>
        </w:rPr>
      </w:pPr>
      <w:r w:rsidRPr="005F4C9A">
        <w:rPr>
          <w:rFonts w:ascii="Arial" w:hAnsi="Arial" w:cs="Arial"/>
          <w:sz w:val="22"/>
          <w:szCs w:val="22"/>
          <w:lang w:val="es-MX"/>
        </w:rPr>
        <w:t>El Despacho pasa a pronunciarse sobre el agotamiento del requisito de procedibilidad aludido, no sin antes señalar que el artículo 613 del CGP dispone que no se requiere adelantar el trámite de la conciliación antes de acudir a la jurisdicción contenciosa administrativa: i) cuando quien demande sea una entidad pública; ii) cuando el demandante pida medidas cautelares de carácter patrimonial o iii) cuando se trate de un proceso ejecutivo.</w:t>
      </w:r>
    </w:p>
    <w:p w:rsidR="00494FC6" w:rsidRPr="005F4C9A" w:rsidRDefault="00494FC6" w:rsidP="00494FC6">
      <w:pPr>
        <w:jc w:val="both"/>
        <w:rPr>
          <w:rFonts w:ascii="Arial" w:hAnsi="Arial" w:cs="Arial"/>
          <w:sz w:val="22"/>
          <w:szCs w:val="22"/>
          <w:highlight w:val="green"/>
        </w:rPr>
      </w:pPr>
    </w:p>
    <w:p w:rsidR="00494FC6" w:rsidRPr="00031C7D" w:rsidRDefault="00CA436A" w:rsidP="00494FC6">
      <w:pPr>
        <w:tabs>
          <w:tab w:val="left" w:pos="930"/>
          <w:tab w:val="left" w:pos="3356"/>
        </w:tabs>
        <w:jc w:val="both"/>
        <w:rPr>
          <w:rFonts w:ascii="Arial" w:hAnsi="Arial" w:cs="Arial"/>
          <w:b/>
          <w:sz w:val="22"/>
          <w:szCs w:val="22"/>
          <w:lang w:val="es-CO"/>
        </w:rPr>
      </w:pPr>
      <w:r>
        <w:rPr>
          <w:rFonts w:ascii="Arial" w:hAnsi="Arial" w:cs="Arial"/>
          <w:b/>
          <w:sz w:val="22"/>
          <w:szCs w:val="22"/>
        </w:rPr>
        <w:t xml:space="preserve">INEPTITUD DE LA DEMANDA </w:t>
      </w:r>
      <w:r w:rsidRPr="00AF22DF">
        <w:rPr>
          <w:rFonts w:ascii="Arial" w:hAnsi="Arial" w:cs="Arial"/>
          <w:b/>
        </w:rPr>
        <w:t>–</w:t>
      </w:r>
      <w:r w:rsidR="00494FC6" w:rsidRPr="005F4C9A">
        <w:rPr>
          <w:rFonts w:ascii="Arial" w:hAnsi="Arial" w:cs="Arial"/>
          <w:b/>
          <w:sz w:val="22"/>
          <w:szCs w:val="22"/>
        </w:rPr>
        <w:t xml:space="preserve"> No agotar la conciliación extrajudicial no </w:t>
      </w:r>
      <w:r w:rsidR="00494FC6" w:rsidRPr="00031C7D">
        <w:rPr>
          <w:rFonts w:ascii="Arial" w:hAnsi="Arial" w:cs="Arial"/>
          <w:b/>
          <w:sz w:val="22"/>
          <w:szCs w:val="22"/>
          <w:lang w:val="es-CO"/>
        </w:rPr>
        <w:t>configura la excepción de inepta demanda</w:t>
      </w:r>
    </w:p>
    <w:p w:rsidR="00494FC6" w:rsidRPr="005F4C9A" w:rsidRDefault="00494FC6" w:rsidP="00494FC6">
      <w:pPr>
        <w:tabs>
          <w:tab w:val="left" w:pos="930"/>
          <w:tab w:val="left" w:pos="3356"/>
        </w:tabs>
        <w:jc w:val="both"/>
        <w:rPr>
          <w:rFonts w:ascii="Arial" w:hAnsi="Arial" w:cs="Arial"/>
          <w:sz w:val="22"/>
          <w:szCs w:val="22"/>
          <w:lang w:val="es-ES_tradnl"/>
        </w:rPr>
      </w:pPr>
    </w:p>
    <w:p w:rsidR="00494FC6" w:rsidRPr="005F4C9A" w:rsidRDefault="00494FC6" w:rsidP="00494FC6">
      <w:pPr>
        <w:jc w:val="both"/>
        <w:rPr>
          <w:rFonts w:ascii="Arial" w:hAnsi="Arial" w:cs="Arial"/>
          <w:b/>
          <w:sz w:val="22"/>
          <w:szCs w:val="22"/>
          <w:lang w:val="es-CO"/>
        </w:rPr>
      </w:pPr>
      <w:r w:rsidRPr="005F4C9A">
        <w:rPr>
          <w:rFonts w:ascii="Arial" w:hAnsi="Arial" w:cs="Arial"/>
          <w:sz w:val="22"/>
          <w:szCs w:val="22"/>
          <w:lang w:val="es-ES_tradnl"/>
        </w:rPr>
        <w:t>El Tribunal consideró que la parte demandante podía acudir directamente a esta jurisdicción, esto es, sin agotar el requisito previo de la conciliación extrajudicial, porque la parte actora pidió medidas cautelares de carácter patrimonial; decisión que apeló la demandada, con fundamento en que aquellas medidas no eran de naturaleza patrimonial.  Así pues, habría que verificar si las medidas cautelares solicitadas por la parte demandante tienen o no un contenido patrimonial; sin embargo, al margen de esa discusión, el Despacho advierte que Lotanco, entidad demandante en este asunto, es de naturaleza pública, razón suficiente para señalar, al tenor del artículo 613 del CGP, que a la parte actora no podía exigírsele el agotamiento del requisito de procedibilidad de conciliación extrajudicial. (…) Por las razones expuestas: i) se modificará la decisión del Tribunal adoptada en el auto del 28 de julio 2016, en el sentido de que la consecuencia de la caducidad de la pretensión principal de nulidad absoluta del contrato de donación no es la terminación del proceso, sino la exclusión de esa pretensión de la litis y así se ordenará y ii) se confirmará el auto del 26 de julio de 2016, en tanto al demandante no le era exigible agotar el requisito previo de la conciliación extrajudicial, con la precisión de que su incumplimiento no tiene la virtualidad de estructurar la excepción de inepta demanda.</w:t>
      </w:r>
    </w:p>
    <w:p w:rsidR="00494FC6" w:rsidRPr="005F4C9A" w:rsidRDefault="00494FC6" w:rsidP="00494FC6">
      <w:pPr>
        <w:jc w:val="both"/>
        <w:rPr>
          <w:sz w:val="22"/>
          <w:szCs w:val="22"/>
          <w:lang w:val="es-MX"/>
        </w:rPr>
      </w:pPr>
    </w:p>
    <w:p w:rsidR="00C837A0" w:rsidRPr="00004762" w:rsidRDefault="00C837A0" w:rsidP="00004762">
      <w:pPr>
        <w:tabs>
          <w:tab w:val="left" w:pos="810"/>
          <w:tab w:val="left" w:pos="2085"/>
          <w:tab w:val="center" w:pos="4420"/>
          <w:tab w:val="left" w:pos="6570"/>
        </w:tabs>
        <w:jc w:val="center"/>
        <w:rPr>
          <w:rFonts w:ascii="Arial" w:hAnsi="Arial" w:cs="Arial"/>
          <w:b/>
        </w:rPr>
      </w:pPr>
    </w:p>
    <w:p w:rsidR="003C1A94" w:rsidRPr="00004762" w:rsidRDefault="0062090C" w:rsidP="00004762">
      <w:pPr>
        <w:tabs>
          <w:tab w:val="left" w:pos="810"/>
          <w:tab w:val="left" w:pos="2085"/>
          <w:tab w:val="center" w:pos="4420"/>
          <w:tab w:val="left" w:pos="6570"/>
        </w:tabs>
        <w:jc w:val="center"/>
        <w:rPr>
          <w:rFonts w:ascii="Arial" w:hAnsi="Arial" w:cs="Arial"/>
          <w:b/>
        </w:rPr>
      </w:pPr>
      <w:r w:rsidRPr="00004762">
        <w:rPr>
          <w:rFonts w:ascii="Arial" w:hAnsi="Arial" w:cs="Arial"/>
          <w:b/>
        </w:rPr>
        <w:t>C</w:t>
      </w:r>
      <w:r w:rsidR="003C1A94" w:rsidRPr="00004762">
        <w:rPr>
          <w:rFonts w:ascii="Arial" w:hAnsi="Arial" w:cs="Arial"/>
          <w:b/>
        </w:rPr>
        <w:t>ONSEJO DE ESTADO</w:t>
      </w:r>
    </w:p>
    <w:p w:rsidR="00CB7F3C" w:rsidRPr="00004762" w:rsidRDefault="00CB7F3C" w:rsidP="00004762">
      <w:pPr>
        <w:jc w:val="center"/>
        <w:rPr>
          <w:rFonts w:ascii="Arial" w:hAnsi="Arial" w:cs="Arial"/>
          <w:b/>
        </w:rPr>
      </w:pPr>
    </w:p>
    <w:p w:rsidR="003C1A94" w:rsidRPr="00004762" w:rsidRDefault="003C1A94" w:rsidP="00004762">
      <w:pPr>
        <w:jc w:val="center"/>
        <w:rPr>
          <w:rFonts w:ascii="Arial" w:hAnsi="Arial" w:cs="Arial"/>
          <w:b/>
        </w:rPr>
      </w:pPr>
      <w:r w:rsidRPr="00004762">
        <w:rPr>
          <w:rFonts w:ascii="Arial" w:hAnsi="Arial" w:cs="Arial"/>
          <w:b/>
        </w:rPr>
        <w:t>SALA DE LO CONTENCIOSO ADMINISTRATIVO</w:t>
      </w:r>
    </w:p>
    <w:p w:rsidR="00CB7F3C" w:rsidRPr="00004762" w:rsidRDefault="00CB7F3C" w:rsidP="00004762">
      <w:pPr>
        <w:jc w:val="center"/>
        <w:rPr>
          <w:rFonts w:ascii="Arial" w:hAnsi="Arial" w:cs="Arial"/>
          <w:b/>
        </w:rPr>
      </w:pPr>
    </w:p>
    <w:p w:rsidR="00CB7F3C" w:rsidRPr="00004762" w:rsidRDefault="000655F0" w:rsidP="00004762">
      <w:pPr>
        <w:jc w:val="center"/>
        <w:rPr>
          <w:rFonts w:ascii="Arial" w:hAnsi="Arial" w:cs="Arial"/>
          <w:b/>
        </w:rPr>
      </w:pPr>
      <w:r w:rsidRPr="00004762">
        <w:rPr>
          <w:rFonts w:ascii="Arial" w:hAnsi="Arial" w:cs="Arial"/>
          <w:b/>
        </w:rPr>
        <w:t>SECCIÓ</w:t>
      </w:r>
      <w:r w:rsidR="003C1A94" w:rsidRPr="00004762">
        <w:rPr>
          <w:rFonts w:ascii="Arial" w:hAnsi="Arial" w:cs="Arial"/>
          <w:b/>
        </w:rPr>
        <w:t>N TERCERA</w:t>
      </w:r>
    </w:p>
    <w:p w:rsidR="00CB7F3C" w:rsidRPr="00004762" w:rsidRDefault="00CB7F3C" w:rsidP="00004762">
      <w:pPr>
        <w:jc w:val="center"/>
        <w:rPr>
          <w:rFonts w:ascii="Arial" w:hAnsi="Arial" w:cs="Arial"/>
          <w:b/>
        </w:rPr>
      </w:pPr>
    </w:p>
    <w:p w:rsidR="00F526A5" w:rsidRPr="00004762" w:rsidRDefault="000655F0" w:rsidP="00004762">
      <w:pPr>
        <w:tabs>
          <w:tab w:val="center" w:pos="4420"/>
          <w:tab w:val="left" w:pos="6060"/>
        </w:tabs>
        <w:jc w:val="center"/>
        <w:rPr>
          <w:rFonts w:ascii="Arial" w:hAnsi="Arial" w:cs="Arial"/>
          <w:b/>
        </w:rPr>
      </w:pPr>
      <w:r w:rsidRPr="00004762">
        <w:rPr>
          <w:rFonts w:ascii="Arial" w:hAnsi="Arial" w:cs="Arial"/>
          <w:b/>
        </w:rPr>
        <w:t>SUBSECCIÓ</w:t>
      </w:r>
      <w:r w:rsidR="003C1A94" w:rsidRPr="00004762">
        <w:rPr>
          <w:rFonts w:ascii="Arial" w:hAnsi="Arial" w:cs="Arial"/>
          <w:b/>
        </w:rPr>
        <w:t>N A</w:t>
      </w:r>
    </w:p>
    <w:p w:rsidR="004B2766" w:rsidRPr="00004762" w:rsidRDefault="004B2766" w:rsidP="00004762">
      <w:pPr>
        <w:jc w:val="center"/>
        <w:rPr>
          <w:rFonts w:ascii="Arial" w:hAnsi="Arial" w:cs="Arial"/>
          <w:b/>
        </w:rPr>
      </w:pPr>
    </w:p>
    <w:p w:rsidR="00F526A5" w:rsidRPr="00004762" w:rsidRDefault="00842AC5" w:rsidP="00004762">
      <w:pPr>
        <w:jc w:val="center"/>
        <w:rPr>
          <w:rFonts w:ascii="Arial" w:hAnsi="Arial" w:cs="Arial"/>
          <w:b/>
        </w:rPr>
      </w:pPr>
      <w:r w:rsidRPr="00004762">
        <w:rPr>
          <w:rFonts w:ascii="Arial" w:hAnsi="Arial" w:cs="Arial"/>
          <w:b/>
        </w:rPr>
        <w:t>Consejera</w:t>
      </w:r>
      <w:r w:rsidR="000655F0" w:rsidRPr="00004762">
        <w:rPr>
          <w:rFonts w:ascii="Arial" w:hAnsi="Arial" w:cs="Arial"/>
          <w:b/>
        </w:rPr>
        <w:t xml:space="preserve"> ponente: MARTA NUBIA VELÁ</w:t>
      </w:r>
      <w:r w:rsidR="00CB7F3C" w:rsidRPr="00004762">
        <w:rPr>
          <w:rFonts w:ascii="Arial" w:hAnsi="Arial" w:cs="Arial"/>
          <w:b/>
        </w:rPr>
        <w:t>SQUEZ RICO</w:t>
      </w:r>
    </w:p>
    <w:p w:rsidR="00C0300D" w:rsidRPr="00004762" w:rsidRDefault="00C0300D" w:rsidP="00004762">
      <w:pPr>
        <w:rPr>
          <w:rFonts w:ascii="Arial" w:hAnsi="Arial" w:cs="Arial"/>
          <w:b/>
        </w:rPr>
      </w:pPr>
    </w:p>
    <w:p w:rsidR="00C0300D" w:rsidRPr="00004762" w:rsidRDefault="006220A5" w:rsidP="00004762">
      <w:pPr>
        <w:jc w:val="both"/>
        <w:rPr>
          <w:rFonts w:ascii="Arial" w:hAnsi="Arial" w:cs="Arial"/>
          <w:lang w:val="es-CO"/>
        </w:rPr>
      </w:pPr>
      <w:r w:rsidRPr="00004762">
        <w:rPr>
          <w:rFonts w:ascii="Arial" w:hAnsi="Arial" w:cs="Arial"/>
          <w:lang w:val="es-CO"/>
        </w:rPr>
        <w:t>Bogotá</w:t>
      </w:r>
      <w:r w:rsidR="00E64036" w:rsidRPr="00004762">
        <w:rPr>
          <w:rFonts w:ascii="Arial" w:hAnsi="Arial" w:cs="Arial"/>
          <w:lang w:val="es-CO"/>
        </w:rPr>
        <w:t>,</w:t>
      </w:r>
      <w:r w:rsidRPr="00004762">
        <w:rPr>
          <w:rFonts w:ascii="Arial" w:hAnsi="Arial" w:cs="Arial"/>
          <w:lang w:val="es-CO"/>
        </w:rPr>
        <w:t xml:space="preserve"> D.C., </w:t>
      </w:r>
      <w:r w:rsidR="003328BB" w:rsidRPr="00004762">
        <w:rPr>
          <w:rFonts w:ascii="Arial" w:hAnsi="Arial" w:cs="Arial"/>
          <w:lang w:val="es-CO"/>
        </w:rPr>
        <w:t>veinte (20</w:t>
      </w:r>
      <w:r w:rsidR="001C238C" w:rsidRPr="00004762">
        <w:rPr>
          <w:rFonts w:ascii="Arial" w:hAnsi="Arial" w:cs="Arial"/>
          <w:lang w:val="es-CO"/>
        </w:rPr>
        <w:t>) de septiembre de dos mil diecisiete (2017)</w:t>
      </w:r>
    </w:p>
    <w:p w:rsidR="00CB7F3C" w:rsidRPr="00004762" w:rsidRDefault="00CB7F3C" w:rsidP="00004762">
      <w:pPr>
        <w:jc w:val="both"/>
        <w:rPr>
          <w:rFonts w:ascii="Arial" w:hAnsi="Arial" w:cs="Arial"/>
          <w:lang w:val="es-CO"/>
        </w:rPr>
      </w:pPr>
    </w:p>
    <w:p w:rsidR="00B60B29" w:rsidRPr="00004762" w:rsidRDefault="00B60B29" w:rsidP="00004762">
      <w:pPr>
        <w:jc w:val="both"/>
        <w:rPr>
          <w:rFonts w:ascii="Arial" w:hAnsi="Arial" w:cs="Arial"/>
          <w:b/>
        </w:rPr>
      </w:pPr>
      <w:r w:rsidRPr="00004762">
        <w:rPr>
          <w:rFonts w:ascii="Arial" w:hAnsi="Arial" w:cs="Arial"/>
          <w:b/>
        </w:rPr>
        <w:t>Radicación</w:t>
      </w:r>
      <w:r w:rsidR="00CB7F3C" w:rsidRPr="00004762">
        <w:rPr>
          <w:rFonts w:ascii="Arial" w:hAnsi="Arial" w:cs="Arial"/>
          <w:b/>
        </w:rPr>
        <w:t xml:space="preserve"> número</w:t>
      </w:r>
      <w:r w:rsidR="00CE3B84" w:rsidRPr="00004762">
        <w:rPr>
          <w:rFonts w:ascii="Arial" w:hAnsi="Arial" w:cs="Arial"/>
          <w:b/>
        </w:rPr>
        <w:t xml:space="preserve">: </w:t>
      </w:r>
      <w:r w:rsidR="003E4F5C" w:rsidRPr="00004762">
        <w:rPr>
          <w:rFonts w:ascii="Arial" w:hAnsi="Arial" w:cs="Arial"/>
          <w:b/>
        </w:rPr>
        <w:t>08001</w:t>
      </w:r>
      <w:r w:rsidR="00CB7F3C" w:rsidRPr="00004762">
        <w:rPr>
          <w:rFonts w:ascii="Arial" w:hAnsi="Arial" w:cs="Arial"/>
          <w:b/>
        </w:rPr>
        <w:t>-</w:t>
      </w:r>
      <w:r w:rsidR="00B0418F" w:rsidRPr="00004762">
        <w:rPr>
          <w:rFonts w:ascii="Arial" w:hAnsi="Arial" w:cs="Arial"/>
          <w:b/>
        </w:rPr>
        <w:t>23</w:t>
      </w:r>
      <w:r w:rsidR="00CB7F3C" w:rsidRPr="00004762">
        <w:rPr>
          <w:rFonts w:ascii="Arial" w:hAnsi="Arial" w:cs="Arial"/>
          <w:b/>
        </w:rPr>
        <w:t>-</w:t>
      </w:r>
      <w:r w:rsidR="003E4F5C" w:rsidRPr="00004762">
        <w:rPr>
          <w:rFonts w:ascii="Arial" w:hAnsi="Arial" w:cs="Arial"/>
          <w:b/>
        </w:rPr>
        <w:t>33</w:t>
      </w:r>
      <w:r w:rsidR="00CB7F3C" w:rsidRPr="00004762">
        <w:rPr>
          <w:rFonts w:ascii="Arial" w:hAnsi="Arial" w:cs="Arial"/>
          <w:b/>
        </w:rPr>
        <w:t>-</w:t>
      </w:r>
      <w:r w:rsidR="00B0418F" w:rsidRPr="00004762">
        <w:rPr>
          <w:rFonts w:ascii="Arial" w:hAnsi="Arial" w:cs="Arial"/>
          <w:b/>
        </w:rPr>
        <w:t>000</w:t>
      </w:r>
      <w:r w:rsidR="00CB7F3C" w:rsidRPr="00004762">
        <w:rPr>
          <w:rFonts w:ascii="Arial" w:hAnsi="Arial" w:cs="Arial"/>
          <w:b/>
        </w:rPr>
        <w:t>-</w:t>
      </w:r>
      <w:r w:rsidR="003E4F5C" w:rsidRPr="00004762">
        <w:rPr>
          <w:rFonts w:ascii="Arial" w:hAnsi="Arial" w:cs="Arial"/>
          <w:b/>
        </w:rPr>
        <w:t>2014</w:t>
      </w:r>
      <w:r w:rsidR="00CB7F3C" w:rsidRPr="00004762">
        <w:rPr>
          <w:rFonts w:ascii="Arial" w:hAnsi="Arial" w:cs="Arial"/>
          <w:b/>
        </w:rPr>
        <w:t>-</w:t>
      </w:r>
      <w:r w:rsidR="00AE685D" w:rsidRPr="00004762">
        <w:rPr>
          <w:rFonts w:ascii="Arial" w:hAnsi="Arial" w:cs="Arial"/>
          <w:b/>
        </w:rPr>
        <w:t>0</w:t>
      </w:r>
      <w:r w:rsidR="003E4F5C" w:rsidRPr="00004762">
        <w:rPr>
          <w:rFonts w:ascii="Arial" w:hAnsi="Arial" w:cs="Arial"/>
          <w:b/>
        </w:rPr>
        <w:t>1083</w:t>
      </w:r>
      <w:r w:rsidR="00CB7F3C" w:rsidRPr="00004762">
        <w:rPr>
          <w:rFonts w:ascii="Arial" w:hAnsi="Arial" w:cs="Arial"/>
          <w:b/>
        </w:rPr>
        <w:t>-0</w:t>
      </w:r>
      <w:r w:rsidR="00BC221F" w:rsidRPr="00004762">
        <w:rPr>
          <w:rFonts w:ascii="Arial" w:hAnsi="Arial" w:cs="Arial"/>
          <w:b/>
        </w:rPr>
        <w:t>1(5</w:t>
      </w:r>
      <w:r w:rsidR="00C022AF" w:rsidRPr="00004762">
        <w:rPr>
          <w:rFonts w:ascii="Arial" w:hAnsi="Arial" w:cs="Arial"/>
          <w:b/>
        </w:rPr>
        <w:t>8</w:t>
      </w:r>
      <w:r w:rsidR="003E4F5C" w:rsidRPr="00004762">
        <w:rPr>
          <w:rFonts w:ascii="Arial" w:hAnsi="Arial" w:cs="Arial"/>
          <w:b/>
        </w:rPr>
        <w:t>570</w:t>
      </w:r>
      <w:r w:rsidR="00CB7F3C" w:rsidRPr="00004762">
        <w:rPr>
          <w:rFonts w:ascii="Arial" w:hAnsi="Arial" w:cs="Arial"/>
          <w:b/>
        </w:rPr>
        <w:t>)</w:t>
      </w:r>
    </w:p>
    <w:p w:rsidR="00CB7F3C" w:rsidRPr="00004762" w:rsidRDefault="00CB7F3C" w:rsidP="00004762">
      <w:pPr>
        <w:jc w:val="both"/>
        <w:rPr>
          <w:rFonts w:ascii="Arial" w:hAnsi="Arial" w:cs="Arial"/>
          <w:b/>
        </w:rPr>
      </w:pPr>
    </w:p>
    <w:p w:rsidR="00B60B29" w:rsidRPr="00004762" w:rsidRDefault="00B60B29" w:rsidP="00004762">
      <w:pPr>
        <w:jc w:val="both"/>
        <w:rPr>
          <w:rFonts w:ascii="Arial" w:hAnsi="Arial" w:cs="Arial"/>
          <w:b/>
        </w:rPr>
      </w:pPr>
      <w:r w:rsidRPr="00004762">
        <w:rPr>
          <w:rFonts w:ascii="Arial" w:hAnsi="Arial" w:cs="Arial"/>
          <w:b/>
        </w:rPr>
        <w:t>Actor</w:t>
      </w:r>
      <w:r w:rsidR="00CE3B84" w:rsidRPr="00004762">
        <w:rPr>
          <w:rFonts w:ascii="Arial" w:hAnsi="Arial" w:cs="Arial"/>
          <w:b/>
        </w:rPr>
        <w:t xml:space="preserve">: </w:t>
      </w:r>
      <w:r w:rsidR="003E4F5C" w:rsidRPr="00004762">
        <w:rPr>
          <w:rFonts w:ascii="Arial" w:hAnsi="Arial" w:cs="Arial"/>
          <w:b/>
        </w:rPr>
        <w:t>LOTANCO EN LIQUIDACIÓN</w:t>
      </w:r>
    </w:p>
    <w:p w:rsidR="00CB7F3C" w:rsidRPr="00004762" w:rsidRDefault="00CB7F3C" w:rsidP="00004762">
      <w:pPr>
        <w:jc w:val="both"/>
        <w:rPr>
          <w:rFonts w:ascii="Arial" w:hAnsi="Arial" w:cs="Arial"/>
          <w:b/>
        </w:rPr>
      </w:pPr>
    </w:p>
    <w:p w:rsidR="00CB7F3C" w:rsidRPr="00004762" w:rsidRDefault="00B60B29" w:rsidP="00004762">
      <w:pPr>
        <w:jc w:val="both"/>
        <w:rPr>
          <w:rFonts w:ascii="Arial" w:hAnsi="Arial" w:cs="Arial"/>
          <w:b/>
        </w:rPr>
      </w:pPr>
      <w:r w:rsidRPr="00004762">
        <w:rPr>
          <w:rFonts w:ascii="Arial" w:hAnsi="Arial" w:cs="Arial"/>
          <w:b/>
        </w:rPr>
        <w:t>Demandado</w:t>
      </w:r>
      <w:r w:rsidR="00CE3B84" w:rsidRPr="00004762">
        <w:rPr>
          <w:rFonts w:ascii="Arial" w:hAnsi="Arial" w:cs="Arial"/>
          <w:b/>
        </w:rPr>
        <w:t xml:space="preserve">: </w:t>
      </w:r>
      <w:r w:rsidR="003E4F5C" w:rsidRPr="00004762">
        <w:rPr>
          <w:rFonts w:ascii="Arial" w:hAnsi="Arial" w:cs="Arial"/>
          <w:b/>
        </w:rPr>
        <w:t>UNIVERSIDAD LIBRE</w:t>
      </w:r>
      <w:r w:rsidR="00E60AC4" w:rsidRPr="00004762">
        <w:rPr>
          <w:rFonts w:ascii="Arial" w:hAnsi="Arial" w:cs="Arial"/>
          <w:b/>
        </w:rPr>
        <w:t xml:space="preserve"> DE COLOMBIA</w:t>
      </w:r>
    </w:p>
    <w:p w:rsidR="00CE3B84" w:rsidRPr="00004762" w:rsidRDefault="00CE3B84" w:rsidP="00004762">
      <w:pPr>
        <w:jc w:val="both"/>
        <w:rPr>
          <w:rFonts w:ascii="Arial" w:hAnsi="Arial" w:cs="Arial"/>
          <w:b/>
        </w:rPr>
      </w:pPr>
    </w:p>
    <w:p w:rsidR="00C022AF" w:rsidRPr="00004762" w:rsidRDefault="00C022AF" w:rsidP="00004762">
      <w:pPr>
        <w:jc w:val="both"/>
        <w:rPr>
          <w:rFonts w:ascii="Arial" w:hAnsi="Arial" w:cs="Arial"/>
          <w:b/>
        </w:rPr>
      </w:pPr>
    </w:p>
    <w:p w:rsidR="00C022AF" w:rsidRPr="00004762" w:rsidRDefault="00C022AF" w:rsidP="00004762">
      <w:pPr>
        <w:jc w:val="both"/>
        <w:rPr>
          <w:rFonts w:ascii="Arial" w:hAnsi="Arial" w:cs="Arial"/>
          <w:b/>
        </w:rPr>
      </w:pPr>
    </w:p>
    <w:p w:rsidR="00E76A56" w:rsidRPr="00004762" w:rsidRDefault="00CE3B84" w:rsidP="00004762">
      <w:pPr>
        <w:jc w:val="both"/>
        <w:rPr>
          <w:rFonts w:ascii="Arial" w:hAnsi="Arial" w:cs="Arial"/>
          <w:b/>
          <w:bCs/>
        </w:rPr>
      </w:pPr>
      <w:r w:rsidRPr="00004762">
        <w:rPr>
          <w:rFonts w:ascii="Arial" w:hAnsi="Arial" w:cs="Arial"/>
          <w:b/>
        </w:rPr>
        <w:t xml:space="preserve">Referencia: </w:t>
      </w:r>
      <w:r w:rsidR="00004762">
        <w:rPr>
          <w:rFonts w:ascii="Arial" w:hAnsi="Arial" w:cs="Arial"/>
          <w:b/>
        </w:rPr>
        <w:t xml:space="preserve">MEDIO DE CONTROL DE </w:t>
      </w:r>
      <w:r w:rsidR="003E4F5C" w:rsidRPr="00004762">
        <w:rPr>
          <w:rFonts w:ascii="Arial" w:hAnsi="Arial" w:cs="Arial"/>
          <w:b/>
          <w:bCs/>
        </w:rPr>
        <w:t>CONTROVERSIAS CONTRACTUALES</w:t>
      </w:r>
      <w:r w:rsidR="002D4A34" w:rsidRPr="00004762">
        <w:rPr>
          <w:rFonts w:ascii="Arial" w:hAnsi="Arial" w:cs="Arial"/>
          <w:b/>
          <w:bCs/>
        </w:rPr>
        <w:t xml:space="preserve"> - </w:t>
      </w:r>
      <w:r w:rsidR="00004762">
        <w:rPr>
          <w:rFonts w:ascii="Arial" w:hAnsi="Arial" w:cs="Arial"/>
          <w:b/>
          <w:bCs/>
        </w:rPr>
        <w:t>LEY 1437 DE 2011</w:t>
      </w:r>
    </w:p>
    <w:p w:rsidR="00C022AF" w:rsidRPr="00004762" w:rsidRDefault="00C022AF" w:rsidP="00004762">
      <w:pPr>
        <w:jc w:val="both"/>
        <w:rPr>
          <w:rFonts w:ascii="Arial" w:hAnsi="Arial" w:cs="Arial"/>
          <w:b/>
          <w:bCs/>
        </w:rPr>
      </w:pPr>
    </w:p>
    <w:p w:rsidR="00E91484" w:rsidRPr="00004762" w:rsidRDefault="00124515" w:rsidP="00004762">
      <w:pPr>
        <w:jc w:val="both"/>
        <w:rPr>
          <w:rFonts w:ascii="Arial" w:hAnsi="Arial" w:cs="Arial"/>
        </w:rPr>
      </w:pPr>
      <w:r w:rsidRPr="00004762">
        <w:rPr>
          <w:rFonts w:ascii="Arial" w:hAnsi="Arial" w:cs="Arial"/>
        </w:rPr>
        <w:t>Tema</w:t>
      </w:r>
      <w:r w:rsidR="00CB24F6" w:rsidRPr="00004762">
        <w:rPr>
          <w:rFonts w:ascii="Arial" w:hAnsi="Arial" w:cs="Arial"/>
        </w:rPr>
        <w:t xml:space="preserve">s: </w:t>
      </w:r>
      <w:r w:rsidR="00E309C0" w:rsidRPr="00004762">
        <w:rPr>
          <w:rFonts w:ascii="Arial" w:hAnsi="Arial" w:cs="Arial"/>
        </w:rPr>
        <w:t xml:space="preserve">CADUCIDAD </w:t>
      </w:r>
      <w:r w:rsidR="00E91484" w:rsidRPr="00004762">
        <w:rPr>
          <w:rFonts w:ascii="Arial" w:hAnsi="Arial" w:cs="Arial"/>
        </w:rPr>
        <w:t xml:space="preserve">- </w:t>
      </w:r>
      <w:r w:rsidR="0003725D" w:rsidRPr="00004762">
        <w:rPr>
          <w:rFonts w:ascii="Arial" w:hAnsi="Arial" w:cs="Arial"/>
        </w:rPr>
        <w:t>si la demanda se presenta</w:t>
      </w:r>
      <w:r w:rsidR="00E91484" w:rsidRPr="00004762">
        <w:rPr>
          <w:rFonts w:ascii="Arial" w:hAnsi="Arial" w:cs="Arial"/>
        </w:rPr>
        <w:t xml:space="preserve"> en vigencia del CPACA, pero</w:t>
      </w:r>
      <w:r w:rsidR="00133D24" w:rsidRPr="00004762">
        <w:rPr>
          <w:rFonts w:ascii="Arial" w:hAnsi="Arial" w:cs="Arial"/>
        </w:rPr>
        <w:t xml:space="preserve"> el </w:t>
      </w:r>
      <w:bookmarkStart w:id="1" w:name="_Hlk24621134"/>
      <w:r w:rsidR="00133D24" w:rsidRPr="00004762">
        <w:rPr>
          <w:rFonts w:ascii="Arial" w:hAnsi="Arial" w:cs="Arial"/>
        </w:rPr>
        <w:t>término de caducidad empezó</w:t>
      </w:r>
      <w:r w:rsidR="00E91484" w:rsidRPr="00004762">
        <w:rPr>
          <w:rFonts w:ascii="Arial" w:hAnsi="Arial" w:cs="Arial"/>
        </w:rPr>
        <w:t xml:space="preserve"> a correr con el CCA</w:t>
      </w:r>
      <w:bookmarkEnd w:id="1"/>
      <w:r w:rsidR="00E91484" w:rsidRPr="00004762">
        <w:rPr>
          <w:rFonts w:ascii="Arial" w:hAnsi="Arial" w:cs="Arial"/>
        </w:rPr>
        <w:t xml:space="preserve">, para tales efectos deben aplicarse las disposiciones del CCA </w:t>
      </w:r>
      <w:r w:rsidR="00581721" w:rsidRPr="00004762">
        <w:rPr>
          <w:rFonts w:ascii="Arial" w:hAnsi="Arial" w:cs="Arial"/>
        </w:rPr>
        <w:t xml:space="preserve">- </w:t>
      </w:r>
      <w:r w:rsidR="00E91484" w:rsidRPr="00004762">
        <w:rPr>
          <w:rFonts w:ascii="Arial" w:hAnsi="Arial" w:cs="Arial"/>
        </w:rPr>
        <w:t xml:space="preserve">cuando se pide la nulidad absoluta, el conteo de la caducidad debe hacerse a </w:t>
      </w:r>
      <w:bookmarkStart w:id="2" w:name="_Hlk24621299"/>
      <w:r w:rsidR="00E91484" w:rsidRPr="00004762">
        <w:rPr>
          <w:rFonts w:ascii="Arial" w:hAnsi="Arial" w:cs="Arial"/>
        </w:rPr>
        <w:t xml:space="preserve">partir del perfeccionamiento del contrato </w:t>
      </w:r>
      <w:bookmarkEnd w:id="2"/>
      <w:r w:rsidR="00581721" w:rsidRPr="00004762">
        <w:rPr>
          <w:rFonts w:ascii="Arial" w:hAnsi="Arial" w:cs="Arial"/>
        </w:rPr>
        <w:t>-</w:t>
      </w:r>
      <w:r w:rsidR="00E91484" w:rsidRPr="00004762">
        <w:rPr>
          <w:rFonts w:ascii="Arial" w:hAnsi="Arial" w:cs="Arial"/>
        </w:rPr>
        <w:t xml:space="preserve"> antecedentes jurisprudenciales y legales en cuanto a la regla consistente en que no opera la caducida</w:t>
      </w:r>
      <w:r w:rsidR="00581721" w:rsidRPr="00004762">
        <w:rPr>
          <w:rFonts w:ascii="Arial" w:hAnsi="Arial" w:cs="Arial"/>
        </w:rPr>
        <w:t>d cuando la controversia recae</w:t>
      </w:r>
      <w:r w:rsidR="00E91484" w:rsidRPr="00004762">
        <w:rPr>
          <w:rFonts w:ascii="Arial" w:hAnsi="Arial" w:cs="Arial"/>
        </w:rPr>
        <w:t xml:space="preserve"> sobre bienes estatales imprescriptibles e inenajenables</w:t>
      </w:r>
      <w:r w:rsidR="00581721" w:rsidRPr="00004762">
        <w:rPr>
          <w:rFonts w:ascii="Arial" w:hAnsi="Arial" w:cs="Arial"/>
        </w:rPr>
        <w:t xml:space="preserve"> - diferencias entre bienes de uso público y bienes fiscales - la caduc</w:t>
      </w:r>
      <w:r w:rsidR="00CB2BAD" w:rsidRPr="00004762">
        <w:rPr>
          <w:rFonts w:ascii="Arial" w:hAnsi="Arial" w:cs="Arial"/>
        </w:rPr>
        <w:t>idad de una de las pretensiones principales</w:t>
      </w:r>
      <w:r w:rsidR="00581721" w:rsidRPr="00004762">
        <w:rPr>
          <w:rFonts w:ascii="Arial" w:hAnsi="Arial" w:cs="Arial"/>
        </w:rPr>
        <w:t xml:space="preserve"> no conduce a la terminación del proceso </w:t>
      </w:r>
      <w:r w:rsidR="00121693" w:rsidRPr="00004762">
        <w:rPr>
          <w:rFonts w:ascii="Arial" w:hAnsi="Arial" w:cs="Arial"/>
        </w:rPr>
        <w:t xml:space="preserve">/ INEPTA DEMANDA </w:t>
      </w:r>
      <w:r w:rsidR="00112B62" w:rsidRPr="00004762">
        <w:rPr>
          <w:rFonts w:ascii="Arial" w:hAnsi="Arial" w:cs="Arial"/>
        </w:rPr>
        <w:t>-</w:t>
      </w:r>
      <w:r w:rsidR="00121693" w:rsidRPr="00004762">
        <w:rPr>
          <w:rFonts w:ascii="Arial" w:hAnsi="Arial" w:cs="Arial"/>
        </w:rPr>
        <w:t xml:space="preserve"> excepción previa </w:t>
      </w:r>
      <w:r w:rsidR="00257ABE" w:rsidRPr="00004762">
        <w:rPr>
          <w:rFonts w:ascii="Arial" w:hAnsi="Arial" w:cs="Arial"/>
        </w:rPr>
        <w:t xml:space="preserve">- el incumplimiento del requisito previo de conciliación extrajudicial no tiene la virtualidad de estructurar la excepción de inepta demanda. </w:t>
      </w:r>
    </w:p>
    <w:p w:rsidR="00B550BD" w:rsidRPr="00004762" w:rsidRDefault="00B550BD" w:rsidP="00004762">
      <w:pPr>
        <w:jc w:val="both"/>
        <w:rPr>
          <w:rFonts w:ascii="Arial" w:hAnsi="Arial" w:cs="Arial"/>
        </w:rPr>
      </w:pPr>
    </w:p>
    <w:p w:rsidR="00074C05" w:rsidRPr="00004762" w:rsidRDefault="00074C05" w:rsidP="00004762">
      <w:pPr>
        <w:jc w:val="both"/>
        <w:rPr>
          <w:rFonts w:ascii="Arial" w:hAnsi="Arial" w:cs="Arial"/>
          <w:lang w:val="es-CO"/>
        </w:rPr>
      </w:pPr>
    </w:p>
    <w:p w:rsidR="00C23A8C" w:rsidRPr="00004762" w:rsidRDefault="00253306" w:rsidP="00004762">
      <w:pPr>
        <w:spacing w:line="360" w:lineRule="auto"/>
        <w:jc w:val="both"/>
        <w:rPr>
          <w:rFonts w:ascii="Arial" w:hAnsi="Arial" w:cs="Arial"/>
        </w:rPr>
      </w:pPr>
      <w:r w:rsidRPr="00004762">
        <w:rPr>
          <w:rFonts w:ascii="Arial" w:hAnsi="Arial" w:cs="Arial"/>
        </w:rPr>
        <w:t xml:space="preserve">Decide la Sala </w:t>
      </w:r>
      <w:r w:rsidR="006D2837" w:rsidRPr="00004762">
        <w:rPr>
          <w:rFonts w:ascii="Arial" w:hAnsi="Arial" w:cs="Arial"/>
        </w:rPr>
        <w:t xml:space="preserve">el recurso de apelación interpuesto </w:t>
      </w:r>
      <w:r w:rsidR="00765A8D" w:rsidRPr="00004762">
        <w:rPr>
          <w:rFonts w:ascii="Arial" w:hAnsi="Arial" w:cs="Arial"/>
        </w:rPr>
        <w:t xml:space="preserve">por la parte </w:t>
      </w:r>
      <w:r w:rsidRPr="00004762">
        <w:rPr>
          <w:rFonts w:ascii="Arial" w:hAnsi="Arial" w:cs="Arial"/>
        </w:rPr>
        <w:t xml:space="preserve">demandada contra la decisión adoptada por el Tribunal Administrativo del Atlántico, en audiencia inicial celebrada el 26 de julio de 2016, mediante la cual negó la excepción de </w:t>
      </w:r>
      <w:r w:rsidR="00C23A8C" w:rsidRPr="00004762">
        <w:rPr>
          <w:rFonts w:ascii="Arial" w:hAnsi="Arial" w:cs="Arial"/>
        </w:rPr>
        <w:t xml:space="preserve">inepta demanda. Igualmente, se resuelve </w:t>
      </w:r>
      <w:r w:rsidR="00E60AC4" w:rsidRPr="00004762">
        <w:rPr>
          <w:rFonts w:ascii="Arial" w:hAnsi="Arial" w:cs="Arial"/>
        </w:rPr>
        <w:t>la alzada</w:t>
      </w:r>
      <w:r w:rsidR="00C23A8C" w:rsidRPr="00004762">
        <w:rPr>
          <w:rFonts w:ascii="Arial" w:hAnsi="Arial" w:cs="Arial"/>
        </w:rPr>
        <w:t xml:space="preserve"> </w:t>
      </w:r>
      <w:r w:rsidR="00E60AC4" w:rsidRPr="00004762">
        <w:rPr>
          <w:rFonts w:ascii="Arial" w:hAnsi="Arial" w:cs="Arial"/>
        </w:rPr>
        <w:t>presentada</w:t>
      </w:r>
      <w:r w:rsidR="00C23A8C" w:rsidRPr="00004762">
        <w:rPr>
          <w:rFonts w:ascii="Arial" w:hAnsi="Arial" w:cs="Arial"/>
        </w:rPr>
        <w:t xml:space="preserve"> por la parte demandante contra el auto del 28 de julio de </w:t>
      </w:r>
      <w:r w:rsidR="00E60AC4" w:rsidRPr="00004762">
        <w:rPr>
          <w:rFonts w:ascii="Arial" w:hAnsi="Arial" w:cs="Arial"/>
        </w:rPr>
        <w:t xml:space="preserve">la misma anualidad, </w:t>
      </w:r>
      <w:r w:rsidR="00C23A8C" w:rsidRPr="00004762">
        <w:rPr>
          <w:rFonts w:ascii="Arial" w:hAnsi="Arial" w:cs="Arial"/>
        </w:rPr>
        <w:t>a través del cual</w:t>
      </w:r>
      <w:r w:rsidR="00E60AC4" w:rsidRPr="00004762">
        <w:rPr>
          <w:rFonts w:ascii="Arial" w:hAnsi="Arial" w:cs="Arial"/>
        </w:rPr>
        <w:t xml:space="preserve"> el Tribunal</w:t>
      </w:r>
      <w:r w:rsidR="00C23A8C" w:rsidRPr="00004762">
        <w:rPr>
          <w:rFonts w:ascii="Arial" w:hAnsi="Arial" w:cs="Arial"/>
        </w:rPr>
        <w:t xml:space="preserve"> declaró probada la excepción de caducidad. </w:t>
      </w:r>
    </w:p>
    <w:p w:rsidR="00604187" w:rsidRPr="00004762" w:rsidRDefault="00604187" w:rsidP="00004762">
      <w:pPr>
        <w:spacing w:line="360" w:lineRule="auto"/>
        <w:jc w:val="both"/>
        <w:rPr>
          <w:rFonts w:ascii="Arial" w:hAnsi="Arial" w:cs="Arial"/>
        </w:rPr>
      </w:pPr>
    </w:p>
    <w:p w:rsidR="003E22EA" w:rsidRPr="00004762" w:rsidRDefault="00144E85" w:rsidP="00004762">
      <w:pPr>
        <w:spacing w:line="360" w:lineRule="auto"/>
        <w:jc w:val="center"/>
        <w:rPr>
          <w:rFonts w:ascii="Arial" w:hAnsi="Arial" w:cs="Arial"/>
          <w:b/>
        </w:rPr>
      </w:pPr>
      <w:r w:rsidRPr="00004762">
        <w:rPr>
          <w:rFonts w:ascii="Arial" w:hAnsi="Arial" w:cs="Arial"/>
          <w:b/>
        </w:rPr>
        <w:t>I. ANTECEDENTES</w:t>
      </w:r>
    </w:p>
    <w:p w:rsidR="0024360D" w:rsidRPr="00004762" w:rsidRDefault="0024360D" w:rsidP="00004762">
      <w:pPr>
        <w:spacing w:line="360" w:lineRule="auto"/>
        <w:jc w:val="center"/>
        <w:rPr>
          <w:rFonts w:ascii="Arial" w:hAnsi="Arial" w:cs="Arial"/>
          <w:b/>
        </w:rPr>
      </w:pPr>
    </w:p>
    <w:p w:rsidR="00144E85" w:rsidRPr="00004762" w:rsidRDefault="00144E85" w:rsidP="00004762">
      <w:pPr>
        <w:spacing w:line="360" w:lineRule="auto"/>
        <w:jc w:val="both"/>
        <w:rPr>
          <w:rFonts w:ascii="Arial" w:hAnsi="Arial" w:cs="Arial"/>
          <w:b/>
        </w:rPr>
      </w:pPr>
      <w:r w:rsidRPr="00004762">
        <w:rPr>
          <w:rFonts w:ascii="Arial" w:hAnsi="Arial" w:cs="Arial"/>
          <w:b/>
        </w:rPr>
        <w:t>1. La demanda</w:t>
      </w:r>
      <w:r w:rsidR="003A3CBB" w:rsidRPr="00004762">
        <w:rPr>
          <w:rFonts w:ascii="Arial" w:hAnsi="Arial" w:cs="Arial"/>
          <w:b/>
        </w:rPr>
        <w:t xml:space="preserve"> </w:t>
      </w:r>
    </w:p>
    <w:p w:rsidR="001F3EF5" w:rsidRPr="00004762" w:rsidRDefault="001F3EF5" w:rsidP="00004762">
      <w:pPr>
        <w:spacing w:line="360" w:lineRule="auto"/>
        <w:jc w:val="both"/>
        <w:rPr>
          <w:rFonts w:ascii="Arial" w:hAnsi="Arial" w:cs="Arial"/>
          <w:b/>
        </w:rPr>
      </w:pPr>
    </w:p>
    <w:p w:rsidR="00707A18" w:rsidRPr="00004762" w:rsidRDefault="0054214C" w:rsidP="00004762">
      <w:pPr>
        <w:spacing w:line="360" w:lineRule="auto"/>
        <w:jc w:val="both"/>
        <w:rPr>
          <w:rFonts w:ascii="Arial" w:hAnsi="Arial" w:cs="Arial"/>
        </w:rPr>
      </w:pPr>
      <w:r w:rsidRPr="00004762">
        <w:rPr>
          <w:rFonts w:ascii="Arial" w:hAnsi="Arial" w:cs="Arial"/>
        </w:rPr>
        <w:t xml:space="preserve">1.1. </w:t>
      </w:r>
      <w:r w:rsidR="00773BC9" w:rsidRPr="00004762">
        <w:rPr>
          <w:rFonts w:ascii="Arial" w:hAnsi="Arial" w:cs="Arial"/>
        </w:rPr>
        <w:t>E</w:t>
      </w:r>
      <w:r w:rsidR="00144E85" w:rsidRPr="00004762">
        <w:rPr>
          <w:rFonts w:ascii="Arial" w:hAnsi="Arial" w:cs="Arial"/>
        </w:rPr>
        <w:t xml:space="preserve">l </w:t>
      </w:r>
      <w:r w:rsidR="00E60AC4" w:rsidRPr="00004762">
        <w:rPr>
          <w:rFonts w:ascii="Arial" w:hAnsi="Arial" w:cs="Arial"/>
        </w:rPr>
        <w:t>12</w:t>
      </w:r>
      <w:r w:rsidR="0024360D" w:rsidRPr="00004762">
        <w:rPr>
          <w:rFonts w:ascii="Arial" w:hAnsi="Arial" w:cs="Arial"/>
        </w:rPr>
        <w:t xml:space="preserve"> de </w:t>
      </w:r>
      <w:r w:rsidR="00E60AC4" w:rsidRPr="00004762">
        <w:rPr>
          <w:rFonts w:ascii="Arial" w:hAnsi="Arial" w:cs="Arial"/>
        </w:rPr>
        <w:t>septiembre de 2014</w:t>
      </w:r>
      <w:r w:rsidR="0024360D" w:rsidRPr="00004762">
        <w:rPr>
          <w:rFonts w:ascii="Arial" w:hAnsi="Arial" w:cs="Arial"/>
        </w:rPr>
        <w:t>,</w:t>
      </w:r>
      <w:r w:rsidR="00E60AC4" w:rsidRPr="00004762">
        <w:rPr>
          <w:rFonts w:ascii="Arial" w:hAnsi="Arial" w:cs="Arial"/>
        </w:rPr>
        <w:t xml:space="preserve"> la Empresa de Loterías y Apuestas Permanentes del Atlántico en Li</w:t>
      </w:r>
      <w:r w:rsidR="0073377C" w:rsidRPr="00004762">
        <w:rPr>
          <w:rFonts w:ascii="Arial" w:hAnsi="Arial" w:cs="Arial"/>
        </w:rPr>
        <w:t xml:space="preserve">quidación (en adelante Lotanco) </w:t>
      </w:r>
      <w:r w:rsidR="00E60AC4" w:rsidRPr="00004762">
        <w:rPr>
          <w:rFonts w:ascii="Arial" w:hAnsi="Arial" w:cs="Arial"/>
        </w:rPr>
        <w:t>presentó demanda de naturaleza contractual contra la Universidad Libre de Colomb</w:t>
      </w:r>
      <w:r w:rsidR="002E431D" w:rsidRPr="00004762">
        <w:rPr>
          <w:rFonts w:ascii="Arial" w:hAnsi="Arial" w:cs="Arial"/>
        </w:rPr>
        <w:t xml:space="preserve">ia y como </w:t>
      </w:r>
      <w:r w:rsidR="00D5198E" w:rsidRPr="00004762">
        <w:rPr>
          <w:rFonts w:ascii="Arial" w:hAnsi="Arial" w:cs="Arial"/>
          <w:b/>
        </w:rPr>
        <w:t>pretensiones principales</w:t>
      </w:r>
      <w:r w:rsidR="00D5198E" w:rsidRPr="00004762">
        <w:rPr>
          <w:rFonts w:ascii="Arial" w:hAnsi="Arial" w:cs="Arial"/>
        </w:rPr>
        <w:t xml:space="preserve"> solicitó</w:t>
      </w:r>
      <w:r w:rsidR="00707A18" w:rsidRPr="00004762">
        <w:rPr>
          <w:rFonts w:ascii="Arial" w:hAnsi="Arial" w:cs="Arial"/>
        </w:rPr>
        <w:t>: i)</w:t>
      </w:r>
      <w:r w:rsidR="00D5198E" w:rsidRPr="00004762">
        <w:rPr>
          <w:rFonts w:ascii="Arial" w:hAnsi="Arial" w:cs="Arial"/>
        </w:rPr>
        <w:t xml:space="preserve"> </w:t>
      </w:r>
      <w:r w:rsidR="00707A18" w:rsidRPr="00004762">
        <w:rPr>
          <w:rFonts w:ascii="Arial" w:hAnsi="Arial" w:cs="Arial"/>
        </w:rPr>
        <w:t xml:space="preserve">la nulidad absoluta del contrato de donación -contenido en la escritura pública No. </w:t>
      </w:r>
      <w:r w:rsidR="007D4BFF" w:rsidRPr="00004762">
        <w:rPr>
          <w:rFonts w:ascii="Arial" w:hAnsi="Arial" w:cs="Arial"/>
        </w:rPr>
        <w:t>3.768 del 30 de diciembre de 198</w:t>
      </w:r>
      <w:r w:rsidR="00707A18" w:rsidRPr="00004762">
        <w:rPr>
          <w:rFonts w:ascii="Arial" w:hAnsi="Arial" w:cs="Arial"/>
        </w:rPr>
        <w:t xml:space="preserve">8 en la Notaría 1ª del Círculo de Barranquilla- que suscribió con el ente universitario y ii) </w:t>
      </w:r>
      <w:r w:rsidR="002E431D" w:rsidRPr="00004762">
        <w:rPr>
          <w:rFonts w:ascii="Arial" w:hAnsi="Arial" w:cs="Arial"/>
        </w:rPr>
        <w:t>la rescisión de la mencionada relación contractual.</w:t>
      </w:r>
    </w:p>
    <w:p w:rsidR="00A719A2" w:rsidRPr="00004762" w:rsidRDefault="00A719A2" w:rsidP="00004762">
      <w:pPr>
        <w:spacing w:line="360" w:lineRule="auto"/>
        <w:jc w:val="both"/>
        <w:rPr>
          <w:rFonts w:ascii="Arial" w:hAnsi="Arial" w:cs="Arial"/>
        </w:rPr>
      </w:pPr>
    </w:p>
    <w:p w:rsidR="00D76D9E" w:rsidRPr="00004762" w:rsidRDefault="008C6E08" w:rsidP="00004762">
      <w:pPr>
        <w:spacing w:line="360" w:lineRule="auto"/>
        <w:jc w:val="both"/>
        <w:rPr>
          <w:rFonts w:ascii="Arial" w:hAnsi="Arial" w:cs="Arial"/>
        </w:rPr>
      </w:pPr>
      <w:r w:rsidRPr="00004762">
        <w:rPr>
          <w:rFonts w:ascii="Arial" w:hAnsi="Arial" w:cs="Arial"/>
        </w:rPr>
        <w:t>Como</w:t>
      </w:r>
      <w:r w:rsidRPr="00004762">
        <w:rPr>
          <w:rFonts w:ascii="Arial" w:hAnsi="Arial" w:cs="Arial"/>
          <w:b/>
        </w:rPr>
        <w:t xml:space="preserve"> subsidiarias</w:t>
      </w:r>
      <w:r w:rsidR="00371619" w:rsidRPr="00004762">
        <w:rPr>
          <w:rFonts w:ascii="Arial" w:hAnsi="Arial" w:cs="Arial"/>
        </w:rPr>
        <w:t xml:space="preserve"> de la pretensión </w:t>
      </w:r>
      <w:r w:rsidR="00EA518C" w:rsidRPr="00004762">
        <w:rPr>
          <w:rFonts w:ascii="Arial" w:hAnsi="Arial" w:cs="Arial"/>
        </w:rPr>
        <w:t xml:space="preserve">de </w:t>
      </w:r>
      <w:r w:rsidRPr="00004762">
        <w:rPr>
          <w:rFonts w:ascii="Arial" w:hAnsi="Arial" w:cs="Arial"/>
        </w:rPr>
        <w:t xml:space="preserve">nulidad absoluta del contrato, pidió que </w:t>
      </w:r>
      <w:r w:rsidR="00D76D9E" w:rsidRPr="00004762">
        <w:rPr>
          <w:rFonts w:ascii="Arial" w:hAnsi="Arial" w:cs="Arial"/>
        </w:rPr>
        <w:t xml:space="preserve">se declare: i) </w:t>
      </w:r>
      <w:r w:rsidRPr="00004762">
        <w:rPr>
          <w:rFonts w:ascii="Arial" w:hAnsi="Arial" w:cs="Arial"/>
        </w:rPr>
        <w:t>que la demandada incurrió en mora en el cumplimiento de sus obligaciones como donataria</w:t>
      </w:r>
      <w:r w:rsidR="00D76D9E" w:rsidRPr="00004762">
        <w:rPr>
          <w:rFonts w:ascii="Arial" w:hAnsi="Arial" w:cs="Arial"/>
        </w:rPr>
        <w:t xml:space="preserve">; ii) que la universidad incurrió en un acto ofensivo que lo erige en indigno e ingrato de la donación y iii) que hubo un enriquecimiento sin causa de la demandada por no restituir el inmueble. </w:t>
      </w:r>
    </w:p>
    <w:p w:rsidR="008C6E08" w:rsidRPr="00004762" w:rsidRDefault="008C6E08" w:rsidP="00004762">
      <w:pPr>
        <w:spacing w:line="360" w:lineRule="auto"/>
        <w:jc w:val="both"/>
        <w:rPr>
          <w:rFonts w:ascii="Arial" w:hAnsi="Arial" w:cs="Arial"/>
        </w:rPr>
      </w:pPr>
    </w:p>
    <w:p w:rsidR="008C6E08" w:rsidRPr="00004762" w:rsidRDefault="00D76D9E" w:rsidP="00004762">
      <w:pPr>
        <w:spacing w:line="360" w:lineRule="auto"/>
        <w:jc w:val="both"/>
        <w:rPr>
          <w:rFonts w:ascii="Arial" w:hAnsi="Arial" w:cs="Arial"/>
        </w:rPr>
      </w:pPr>
      <w:r w:rsidRPr="00004762">
        <w:rPr>
          <w:rFonts w:ascii="Arial" w:hAnsi="Arial" w:cs="Arial"/>
        </w:rPr>
        <w:t>Como</w:t>
      </w:r>
      <w:r w:rsidR="00CF72CE" w:rsidRPr="00004762">
        <w:rPr>
          <w:rFonts w:ascii="Arial" w:hAnsi="Arial" w:cs="Arial"/>
        </w:rPr>
        <w:t xml:space="preserve"> </w:t>
      </w:r>
      <w:r w:rsidRPr="00004762">
        <w:rPr>
          <w:rFonts w:ascii="Arial" w:hAnsi="Arial" w:cs="Arial"/>
          <w:b/>
        </w:rPr>
        <w:t>subsidiarias</w:t>
      </w:r>
      <w:r w:rsidR="00371619" w:rsidRPr="00004762">
        <w:rPr>
          <w:rFonts w:ascii="Arial" w:hAnsi="Arial" w:cs="Arial"/>
        </w:rPr>
        <w:t xml:space="preserve"> de la pretensión </w:t>
      </w:r>
      <w:r w:rsidRPr="00004762">
        <w:rPr>
          <w:rFonts w:ascii="Arial" w:hAnsi="Arial" w:cs="Arial"/>
        </w:rPr>
        <w:t xml:space="preserve">de rescisión del contrato, solicitó las siguientes: i) que se ordene la resolución judicial del contrato de donación y ii) que se ordene la revocatoria judicial del mismo. </w:t>
      </w:r>
    </w:p>
    <w:p w:rsidR="00B93CB2" w:rsidRPr="00004762" w:rsidRDefault="00B93CB2" w:rsidP="00004762">
      <w:pPr>
        <w:spacing w:line="360" w:lineRule="auto"/>
        <w:jc w:val="both"/>
        <w:rPr>
          <w:rFonts w:ascii="Arial" w:hAnsi="Arial" w:cs="Arial"/>
        </w:rPr>
      </w:pPr>
    </w:p>
    <w:p w:rsidR="00BD3499" w:rsidRPr="00004762" w:rsidRDefault="0054214C" w:rsidP="00004762">
      <w:pPr>
        <w:spacing w:line="360" w:lineRule="auto"/>
        <w:jc w:val="both"/>
        <w:rPr>
          <w:rFonts w:ascii="Arial" w:hAnsi="Arial" w:cs="Arial"/>
        </w:rPr>
      </w:pPr>
      <w:r w:rsidRPr="00004762">
        <w:rPr>
          <w:rFonts w:ascii="Arial" w:hAnsi="Arial" w:cs="Arial"/>
        </w:rPr>
        <w:t xml:space="preserve">1.2. Los fundamentos fácticos, en síntesis, </w:t>
      </w:r>
      <w:r w:rsidR="005B009E" w:rsidRPr="00004762">
        <w:rPr>
          <w:rFonts w:ascii="Arial" w:hAnsi="Arial" w:cs="Arial"/>
        </w:rPr>
        <w:t xml:space="preserve">se </w:t>
      </w:r>
      <w:r w:rsidR="00E14C12" w:rsidRPr="00004762">
        <w:rPr>
          <w:rFonts w:ascii="Arial" w:hAnsi="Arial" w:cs="Arial"/>
        </w:rPr>
        <w:t>circunscriben a</w:t>
      </w:r>
      <w:r w:rsidR="005B009E" w:rsidRPr="00004762">
        <w:rPr>
          <w:rFonts w:ascii="Arial" w:hAnsi="Arial" w:cs="Arial"/>
        </w:rPr>
        <w:t xml:space="preserve"> los siguientes: </w:t>
      </w:r>
    </w:p>
    <w:p w:rsidR="000F1D5A" w:rsidRPr="00004762" w:rsidRDefault="000F1D5A" w:rsidP="00004762">
      <w:pPr>
        <w:spacing w:line="360" w:lineRule="auto"/>
        <w:jc w:val="both"/>
        <w:rPr>
          <w:rFonts w:ascii="Arial" w:hAnsi="Arial" w:cs="Arial"/>
        </w:rPr>
      </w:pPr>
    </w:p>
    <w:p w:rsidR="000F426A" w:rsidRPr="00004762" w:rsidRDefault="0043527A" w:rsidP="00004762">
      <w:pPr>
        <w:spacing w:line="360" w:lineRule="auto"/>
        <w:jc w:val="both"/>
        <w:rPr>
          <w:rFonts w:ascii="Arial" w:hAnsi="Arial" w:cs="Arial"/>
        </w:rPr>
      </w:pPr>
      <w:r w:rsidRPr="00004762">
        <w:rPr>
          <w:rFonts w:ascii="Arial" w:hAnsi="Arial" w:cs="Arial"/>
        </w:rPr>
        <w:t>El 30 de diciembre de 198</w:t>
      </w:r>
      <w:r w:rsidR="000F1D5A" w:rsidRPr="00004762">
        <w:rPr>
          <w:rFonts w:ascii="Arial" w:hAnsi="Arial" w:cs="Arial"/>
        </w:rPr>
        <w:t xml:space="preserve">8, </w:t>
      </w:r>
      <w:r w:rsidR="00EA518C" w:rsidRPr="00004762">
        <w:rPr>
          <w:rFonts w:ascii="Arial" w:hAnsi="Arial" w:cs="Arial"/>
        </w:rPr>
        <w:t xml:space="preserve">la Beneficencia del Atlántico (hoy Lotanco) </w:t>
      </w:r>
      <w:r w:rsidR="000F1D5A" w:rsidRPr="00004762">
        <w:rPr>
          <w:rFonts w:ascii="Arial" w:hAnsi="Arial" w:cs="Arial"/>
        </w:rPr>
        <w:t>y la Universidad Libre celebraron un contrato de donación, a tra</w:t>
      </w:r>
      <w:r w:rsidR="00EA518C" w:rsidRPr="00004762">
        <w:rPr>
          <w:rFonts w:ascii="Arial" w:hAnsi="Arial" w:cs="Arial"/>
        </w:rPr>
        <w:t xml:space="preserve">vés del cual la primera donó a la segunda </w:t>
      </w:r>
      <w:r w:rsidR="000F426A" w:rsidRPr="00004762">
        <w:rPr>
          <w:rFonts w:ascii="Arial" w:hAnsi="Arial" w:cs="Arial"/>
        </w:rPr>
        <w:t xml:space="preserve">un lote de terreno con un área </w:t>
      </w:r>
      <w:r w:rsidR="00EA518C" w:rsidRPr="00004762">
        <w:rPr>
          <w:rFonts w:ascii="Arial" w:hAnsi="Arial" w:cs="Arial"/>
        </w:rPr>
        <w:t>de</w:t>
      </w:r>
      <w:r w:rsidR="000F426A" w:rsidRPr="00004762">
        <w:rPr>
          <w:rFonts w:ascii="Arial" w:hAnsi="Arial" w:cs="Arial"/>
        </w:rPr>
        <w:t xml:space="preserve"> 5.000 metros cuadrados, identificado con la matrícula inmobiliaria No. 040-203683, ubicado en Barranquilla, específicamente</w:t>
      </w:r>
      <w:r w:rsidR="00FA73BB" w:rsidRPr="00004762">
        <w:rPr>
          <w:rFonts w:ascii="Arial" w:hAnsi="Arial" w:cs="Arial"/>
        </w:rPr>
        <w:t>,</w:t>
      </w:r>
      <w:r w:rsidR="000F426A" w:rsidRPr="00004762">
        <w:rPr>
          <w:rFonts w:ascii="Arial" w:hAnsi="Arial" w:cs="Arial"/>
        </w:rPr>
        <w:t xml:space="preserve"> en la calle 57 No. 21B - 50. Tal contrato fue protocolizado mediante escritura públic</w:t>
      </w:r>
      <w:r w:rsidR="00647CF5" w:rsidRPr="00004762">
        <w:rPr>
          <w:rFonts w:ascii="Arial" w:hAnsi="Arial" w:cs="Arial"/>
        </w:rPr>
        <w:t>a No. 3.768 en</w:t>
      </w:r>
      <w:r w:rsidR="000F426A" w:rsidRPr="00004762">
        <w:rPr>
          <w:rFonts w:ascii="Arial" w:hAnsi="Arial" w:cs="Arial"/>
        </w:rPr>
        <w:t xml:space="preserve"> la Notaría 1ª del Circuito de Barranquilla.</w:t>
      </w:r>
    </w:p>
    <w:p w:rsidR="000F426A" w:rsidRPr="00004762" w:rsidRDefault="000F426A" w:rsidP="00004762">
      <w:pPr>
        <w:spacing w:line="360" w:lineRule="auto"/>
        <w:jc w:val="both"/>
        <w:rPr>
          <w:rFonts w:ascii="Arial" w:hAnsi="Arial" w:cs="Arial"/>
        </w:rPr>
      </w:pPr>
    </w:p>
    <w:p w:rsidR="007C661C" w:rsidRPr="00004762" w:rsidRDefault="000F426A" w:rsidP="00004762">
      <w:pPr>
        <w:spacing w:line="360" w:lineRule="auto"/>
        <w:jc w:val="both"/>
        <w:rPr>
          <w:rFonts w:ascii="Arial" w:hAnsi="Arial" w:cs="Arial"/>
        </w:rPr>
      </w:pPr>
      <w:r w:rsidRPr="00004762">
        <w:rPr>
          <w:rFonts w:ascii="Arial" w:hAnsi="Arial" w:cs="Arial"/>
        </w:rPr>
        <w:t xml:space="preserve">Mediante acta No. 006 del 24 de junio de 1988, </w:t>
      </w:r>
      <w:r w:rsidR="0054214C" w:rsidRPr="00004762">
        <w:rPr>
          <w:rFonts w:ascii="Arial" w:hAnsi="Arial" w:cs="Arial"/>
        </w:rPr>
        <w:t>que</w:t>
      </w:r>
      <w:r w:rsidRPr="00004762">
        <w:rPr>
          <w:rFonts w:ascii="Arial" w:hAnsi="Arial" w:cs="Arial"/>
        </w:rPr>
        <w:t xml:space="preserve"> hace parte integral de la escritura de </w:t>
      </w:r>
      <w:r w:rsidR="00EA518C" w:rsidRPr="00004762">
        <w:rPr>
          <w:rFonts w:ascii="Arial" w:hAnsi="Arial" w:cs="Arial"/>
        </w:rPr>
        <w:t xml:space="preserve">donación, la junta directiva de la Beneficencia </w:t>
      </w:r>
      <w:r w:rsidRPr="00004762">
        <w:rPr>
          <w:rFonts w:ascii="Arial" w:hAnsi="Arial" w:cs="Arial"/>
        </w:rPr>
        <w:t>autorizó</w:t>
      </w:r>
      <w:r w:rsidR="00EA518C" w:rsidRPr="00004762">
        <w:rPr>
          <w:rFonts w:ascii="Arial" w:hAnsi="Arial" w:cs="Arial"/>
        </w:rPr>
        <w:t xml:space="preserve"> la donación del mencionado lote, pero</w:t>
      </w:r>
      <w:r w:rsidRPr="00004762">
        <w:rPr>
          <w:rFonts w:ascii="Arial" w:hAnsi="Arial" w:cs="Arial"/>
        </w:rPr>
        <w:t xml:space="preserve"> con la </w:t>
      </w:r>
      <w:r w:rsidRPr="00004762">
        <w:rPr>
          <w:rFonts w:ascii="Arial" w:hAnsi="Arial" w:cs="Arial"/>
          <w:i/>
        </w:rPr>
        <w:t>condición</w:t>
      </w:r>
      <w:r w:rsidRPr="00004762">
        <w:rPr>
          <w:rFonts w:ascii="Arial" w:hAnsi="Arial" w:cs="Arial"/>
        </w:rPr>
        <w:t xml:space="preserve"> de qu</w:t>
      </w:r>
      <w:r w:rsidR="00EC3420" w:rsidRPr="00004762">
        <w:rPr>
          <w:rFonts w:ascii="Arial" w:hAnsi="Arial" w:cs="Arial"/>
        </w:rPr>
        <w:t xml:space="preserve">e el mismo debía ser destinado </w:t>
      </w:r>
      <w:r w:rsidRPr="00004762">
        <w:rPr>
          <w:rFonts w:ascii="Arial" w:hAnsi="Arial" w:cs="Arial"/>
        </w:rPr>
        <w:t>para la construcción y funcionamiento de la Facultad de Odontología de la Universi</w:t>
      </w:r>
      <w:r w:rsidR="0073377C" w:rsidRPr="00004762">
        <w:rPr>
          <w:rFonts w:ascii="Arial" w:hAnsi="Arial" w:cs="Arial"/>
        </w:rPr>
        <w:t>dad Libre -</w:t>
      </w:r>
      <w:r w:rsidR="007C661C" w:rsidRPr="00004762">
        <w:rPr>
          <w:rFonts w:ascii="Arial" w:hAnsi="Arial" w:cs="Arial"/>
        </w:rPr>
        <w:t xml:space="preserve"> Seccional Atlántico; </w:t>
      </w:r>
      <w:r w:rsidR="007C661C" w:rsidRPr="00004762">
        <w:rPr>
          <w:rFonts w:ascii="Arial" w:hAnsi="Arial" w:cs="Arial"/>
          <w:i/>
        </w:rPr>
        <w:t>condición</w:t>
      </w:r>
      <w:r w:rsidR="007C661C" w:rsidRPr="00004762">
        <w:rPr>
          <w:rFonts w:ascii="Arial" w:hAnsi="Arial" w:cs="Arial"/>
        </w:rPr>
        <w:t xml:space="preserve"> que, según se dijo, no se ha cumplido -ni se cumplirá-, dado que el ente universitario pretende vender </w:t>
      </w:r>
      <w:r w:rsidR="00EC3420" w:rsidRPr="00004762">
        <w:rPr>
          <w:rFonts w:ascii="Arial" w:hAnsi="Arial" w:cs="Arial"/>
        </w:rPr>
        <w:t xml:space="preserve">el </w:t>
      </w:r>
      <w:r w:rsidR="007C661C" w:rsidRPr="00004762">
        <w:rPr>
          <w:rFonts w:ascii="Arial" w:hAnsi="Arial" w:cs="Arial"/>
        </w:rPr>
        <w:t xml:space="preserve">lote. </w:t>
      </w:r>
    </w:p>
    <w:p w:rsidR="00DF583D" w:rsidRPr="00004762" w:rsidRDefault="00DF583D" w:rsidP="00004762">
      <w:pPr>
        <w:spacing w:line="360" w:lineRule="auto"/>
        <w:jc w:val="both"/>
        <w:rPr>
          <w:rFonts w:ascii="Arial" w:hAnsi="Arial" w:cs="Arial"/>
        </w:rPr>
      </w:pPr>
    </w:p>
    <w:p w:rsidR="00C0300D" w:rsidRPr="00004762" w:rsidRDefault="00DF583D" w:rsidP="00004762">
      <w:pPr>
        <w:spacing w:line="360" w:lineRule="auto"/>
        <w:jc w:val="both"/>
        <w:rPr>
          <w:rFonts w:ascii="Arial" w:hAnsi="Arial" w:cs="Arial"/>
        </w:rPr>
      </w:pPr>
      <w:r w:rsidRPr="00004762">
        <w:rPr>
          <w:rFonts w:ascii="Arial" w:hAnsi="Arial" w:cs="Arial"/>
        </w:rPr>
        <w:t>A través del Oficio No. 01114 del 25 de septiembre de 2012, el agente liquidador de Lotanco</w:t>
      </w:r>
      <w:r w:rsidR="007924F4" w:rsidRPr="00004762">
        <w:rPr>
          <w:rFonts w:ascii="Arial" w:hAnsi="Arial" w:cs="Arial"/>
        </w:rPr>
        <w:t>, de un lado, “</w:t>
      </w:r>
      <w:r w:rsidR="007924F4" w:rsidRPr="00004762">
        <w:rPr>
          <w:rFonts w:ascii="Arial" w:hAnsi="Arial" w:cs="Arial"/>
          <w:i/>
        </w:rPr>
        <w:t xml:space="preserve">constituyó en mora de cumplir la obligación impuesta a la Corporación Universidad Libre” </w:t>
      </w:r>
      <w:r w:rsidR="007924F4" w:rsidRPr="00004762">
        <w:rPr>
          <w:rFonts w:ascii="Arial" w:hAnsi="Arial" w:cs="Arial"/>
        </w:rPr>
        <w:t>y, de otra parte, puso en conocimiento de la universidad el proceso liquidatorio por</w:t>
      </w:r>
      <w:r w:rsidR="007C661C" w:rsidRPr="00004762">
        <w:rPr>
          <w:rFonts w:ascii="Arial" w:hAnsi="Arial" w:cs="Arial"/>
        </w:rPr>
        <w:t xml:space="preserve"> el</w:t>
      </w:r>
      <w:r w:rsidR="007924F4" w:rsidRPr="00004762">
        <w:rPr>
          <w:rFonts w:ascii="Arial" w:hAnsi="Arial" w:cs="Arial"/>
        </w:rPr>
        <w:t xml:space="preserve"> que </w:t>
      </w:r>
      <w:r w:rsidR="007C661C" w:rsidRPr="00004762">
        <w:rPr>
          <w:rFonts w:ascii="Arial" w:hAnsi="Arial" w:cs="Arial"/>
        </w:rPr>
        <w:t>atravesaba</w:t>
      </w:r>
      <w:r w:rsidR="007924F4" w:rsidRPr="00004762">
        <w:rPr>
          <w:rFonts w:ascii="Arial" w:hAnsi="Arial" w:cs="Arial"/>
        </w:rPr>
        <w:t xml:space="preserve"> Lotanco. </w:t>
      </w:r>
    </w:p>
    <w:p w:rsidR="00CA3E81" w:rsidRPr="00004762" w:rsidRDefault="00CA3E81" w:rsidP="00004762">
      <w:pPr>
        <w:spacing w:line="360" w:lineRule="auto"/>
        <w:jc w:val="both"/>
        <w:rPr>
          <w:rFonts w:ascii="Arial" w:hAnsi="Arial" w:cs="Arial"/>
        </w:rPr>
      </w:pPr>
    </w:p>
    <w:p w:rsidR="007924F4" w:rsidRPr="00004762" w:rsidRDefault="00A231EB" w:rsidP="00004762">
      <w:pPr>
        <w:spacing w:line="360" w:lineRule="auto"/>
        <w:jc w:val="both"/>
        <w:rPr>
          <w:rFonts w:ascii="Arial" w:hAnsi="Arial" w:cs="Arial"/>
        </w:rPr>
      </w:pPr>
      <w:r w:rsidRPr="00004762">
        <w:rPr>
          <w:rFonts w:ascii="Arial" w:hAnsi="Arial" w:cs="Arial"/>
        </w:rPr>
        <w:t xml:space="preserve">El 20 de diciembre de 2012, la Universidad </w:t>
      </w:r>
      <w:r w:rsidR="0073377C" w:rsidRPr="00004762">
        <w:rPr>
          <w:rFonts w:ascii="Arial" w:hAnsi="Arial" w:cs="Arial"/>
        </w:rPr>
        <w:t>L</w:t>
      </w:r>
      <w:r w:rsidRPr="00004762">
        <w:rPr>
          <w:rFonts w:ascii="Arial" w:hAnsi="Arial" w:cs="Arial"/>
        </w:rPr>
        <w:t xml:space="preserve">ibre dio respuesta al oficio referido, en el sentido de que en el contrato de donación </w:t>
      </w:r>
      <w:r w:rsidR="0000766D" w:rsidRPr="00004762">
        <w:rPr>
          <w:rFonts w:ascii="Arial" w:hAnsi="Arial" w:cs="Arial"/>
        </w:rPr>
        <w:t xml:space="preserve">no se plasmó ninguna </w:t>
      </w:r>
      <w:r w:rsidR="0000766D" w:rsidRPr="00004762">
        <w:rPr>
          <w:rFonts w:ascii="Arial" w:hAnsi="Arial" w:cs="Arial"/>
          <w:i/>
        </w:rPr>
        <w:t>condición</w:t>
      </w:r>
      <w:r w:rsidR="0000766D" w:rsidRPr="00004762">
        <w:rPr>
          <w:rFonts w:ascii="Arial" w:hAnsi="Arial" w:cs="Arial"/>
        </w:rPr>
        <w:t xml:space="preserve"> y, por tanto, no se encuentra en mora de cumplir dicha </w:t>
      </w:r>
      <w:r w:rsidR="0000766D" w:rsidRPr="00004762">
        <w:rPr>
          <w:rFonts w:ascii="Arial" w:hAnsi="Arial" w:cs="Arial"/>
          <w:i/>
        </w:rPr>
        <w:t>condición</w:t>
      </w:r>
      <w:r w:rsidR="0000766D" w:rsidRPr="00004762">
        <w:rPr>
          <w:rFonts w:ascii="Arial" w:hAnsi="Arial" w:cs="Arial"/>
        </w:rPr>
        <w:t xml:space="preserve">. </w:t>
      </w:r>
    </w:p>
    <w:p w:rsidR="007924F4" w:rsidRPr="00004762" w:rsidRDefault="007924F4" w:rsidP="00004762">
      <w:pPr>
        <w:spacing w:line="360" w:lineRule="auto"/>
        <w:jc w:val="both"/>
        <w:rPr>
          <w:rFonts w:ascii="Arial" w:hAnsi="Arial" w:cs="Arial"/>
        </w:rPr>
      </w:pPr>
    </w:p>
    <w:p w:rsidR="000D4FC0" w:rsidRPr="00004762" w:rsidRDefault="000D4FC0" w:rsidP="00004762">
      <w:pPr>
        <w:spacing w:line="360" w:lineRule="auto"/>
        <w:jc w:val="both"/>
        <w:rPr>
          <w:rFonts w:ascii="Arial" w:hAnsi="Arial" w:cs="Arial"/>
        </w:rPr>
      </w:pPr>
      <w:r w:rsidRPr="00004762">
        <w:rPr>
          <w:rFonts w:ascii="Arial" w:hAnsi="Arial" w:cs="Arial"/>
        </w:rPr>
        <w:lastRenderedPageBreak/>
        <w:t>Con fundamento en lo anterior, s</w:t>
      </w:r>
      <w:r w:rsidR="0042018C" w:rsidRPr="00004762">
        <w:rPr>
          <w:rFonts w:ascii="Arial" w:hAnsi="Arial" w:cs="Arial"/>
        </w:rPr>
        <w:t>e dijo que Lotanco</w:t>
      </w:r>
      <w:r w:rsidRPr="00004762">
        <w:rPr>
          <w:rFonts w:ascii="Arial" w:hAnsi="Arial" w:cs="Arial"/>
        </w:rPr>
        <w:t xml:space="preserve"> (donante) tenía derecho a que se rescindiera el contrato </w:t>
      </w:r>
      <w:r w:rsidR="00AA2E44" w:rsidRPr="00004762">
        <w:rPr>
          <w:rFonts w:ascii="Arial" w:hAnsi="Arial" w:cs="Arial"/>
        </w:rPr>
        <w:t>por mora de la universidad en el cumplimiento de sus obligaciones (donataria)</w:t>
      </w:r>
      <w:r w:rsidRPr="00004762">
        <w:rPr>
          <w:rFonts w:ascii="Arial" w:hAnsi="Arial" w:cs="Arial"/>
        </w:rPr>
        <w:t xml:space="preserve">, en virtud de lo dispuesto en el artículo 1483 del Código Civil. De otra parte, se señaló </w:t>
      </w:r>
      <w:r w:rsidR="00165062" w:rsidRPr="00004762">
        <w:rPr>
          <w:rFonts w:ascii="Arial" w:hAnsi="Arial" w:cs="Arial"/>
        </w:rPr>
        <w:t xml:space="preserve">que </w:t>
      </w:r>
      <w:r w:rsidRPr="00004762">
        <w:rPr>
          <w:rFonts w:ascii="Arial" w:hAnsi="Arial" w:cs="Arial"/>
        </w:rPr>
        <w:t>el referido contrato no cumplió con el requisito previo de la insinuación, tal y como lo exigía el artículo 1458 del C</w:t>
      </w:r>
      <w:r w:rsidR="00DC64BA" w:rsidRPr="00004762">
        <w:rPr>
          <w:rFonts w:ascii="Arial" w:hAnsi="Arial" w:cs="Arial"/>
        </w:rPr>
        <w:t xml:space="preserve">ódigo Civil, por lo que ese negocio jurídico </w:t>
      </w:r>
      <w:r w:rsidR="001D1D4F" w:rsidRPr="00004762">
        <w:rPr>
          <w:rFonts w:ascii="Arial" w:hAnsi="Arial" w:cs="Arial"/>
        </w:rPr>
        <w:t xml:space="preserve">se encuentra viciado de nulidad. </w:t>
      </w:r>
    </w:p>
    <w:p w:rsidR="008B5056" w:rsidRPr="00004762" w:rsidRDefault="008B5056" w:rsidP="00004762">
      <w:pPr>
        <w:spacing w:line="360" w:lineRule="auto"/>
        <w:jc w:val="both"/>
        <w:rPr>
          <w:rFonts w:ascii="Arial" w:hAnsi="Arial" w:cs="Arial"/>
        </w:rPr>
      </w:pPr>
    </w:p>
    <w:p w:rsidR="008B5056" w:rsidRPr="00004762" w:rsidRDefault="008B5056" w:rsidP="00004762">
      <w:pPr>
        <w:spacing w:line="360" w:lineRule="auto"/>
        <w:jc w:val="both"/>
        <w:rPr>
          <w:rFonts w:ascii="Arial" w:hAnsi="Arial" w:cs="Arial"/>
        </w:rPr>
      </w:pPr>
      <w:r w:rsidRPr="00004762">
        <w:rPr>
          <w:rFonts w:ascii="Arial" w:hAnsi="Arial" w:cs="Arial"/>
        </w:rPr>
        <w:t>Se indicó, además, que debía restituirse el inmueble donado, porque la universidad incumplió el contrato de donación. Agregó que la no restitución de ese lote obstaculiza el proceso de liquidación en que se encuentra Lotanco.</w:t>
      </w:r>
    </w:p>
    <w:p w:rsidR="00413B24" w:rsidRPr="00004762" w:rsidRDefault="00413B24" w:rsidP="00004762">
      <w:pPr>
        <w:spacing w:line="360" w:lineRule="auto"/>
        <w:jc w:val="both"/>
        <w:rPr>
          <w:rFonts w:ascii="Arial" w:hAnsi="Arial" w:cs="Arial"/>
        </w:rPr>
      </w:pPr>
    </w:p>
    <w:p w:rsidR="000F1D5A" w:rsidRPr="00004762" w:rsidRDefault="000F1D5A" w:rsidP="00004762">
      <w:pPr>
        <w:spacing w:line="360" w:lineRule="auto"/>
        <w:jc w:val="both"/>
        <w:rPr>
          <w:rFonts w:ascii="Arial" w:hAnsi="Arial" w:cs="Arial"/>
          <w:b/>
        </w:rPr>
      </w:pPr>
      <w:r w:rsidRPr="00004762">
        <w:rPr>
          <w:rFonts w:ascii="Arial" w:hAnsi="Arial" w:cs="Arial"/>
          <w:b/>
        </w:rPr>
        <w:t>2. Contestación de demanda</w:t>
      </w:r>
    </w:p>
    <w:p w:rsidR="00F82387" w:rsidRPr="00004762" w:rsidRDefault="00F82387" w:rsidP="00004762">
      <w:pPr>
        <w:spacing w:line="360" w:lineRule="auto"/>
        <w:jc w:val="both"/>
        <w:rPr>
          <w:rFonts w:ascii="Arial" w:hAnsi="Arial" w:cs="Arial"/>
          <w:b/>
        </w:rPr>
      </w:pPr>
    </w:p>
    <w:p w:rsidR="00B90C14" w:rsidRPr="00004762" w:rsidRDefault="00B90C14" w:rsidP="00004762">
      <w:pPr>
        <w:spacing w:line="360" w:lineRule="auto"/>
        <w:jc w:val="both"/>
        <w:rPr>
          <w:rFonts w:ascii="Arial" w:hAnsi="Arial" w:cs="Arial"/>
        </w:rPr>
      </w:pPr>
      <w:r w:rsidRPr="00004762">
        <w:rPr>
          <w:rFonts w:ascii="Arial" w:hAnsi="Arial" w:cs="Arial"/>
        </w:rPr>
        <w:t xml:space="preserve">2.1. </w:t>
      </w:r>
      <w:r w:rsidR="00F57AA2" w:rsidRPr="00004762">
        <w:rPr>
          <w:rFonts w:ascii="Arial" w:hAnsi="Arial" w:cs="Arial"/>
        </w:rPr>
        <w:t>La Universidad Libre contest</w:t>
      </w:r>
      <w:r w:rsidRPr="00004762">
        <w:rPr>
          <w:rFonts w:ascii="Arial" w:hAnsi="Arial" w:cs="Arial"/>
        </w:rPr>
        <w:t>ó la demanda oponiéndose a sus pretensiones.</w:t>
      </w:r>
      <w:r w:rsidR="00F57AA2" w:rsidRPr="00004762">
        <w:rPr>
          <w:rFonts w:ascii="Arial" w:hAnsi="Arial" w:cs="Arial"/>
        </w:rPr>
        <w:t xml:space="preserve"> </w:t>
      </w:r>
    </w:p>
    <w:p w:rsidR="00B90C14" w:rsidRPr="00004762" w:rsidRDefault="00B90C14" w:rsidP="00004762">
      <w:pPr>
        <w:spacing w:line="360" w:lineRule="auto"/>
        <w:jc w:val="both"/>
        <w:rPr>
          <w:rFonts w:ascii="Arial" w:hAnsi="Arial" w:cs="Arial"/>
        </w:rPr>
      </w:pPr>
    </w:p>
    <w:p w:rsidR="0000653C" w:rsidRPr="00004762" w:rsidRDefault="00B90C14" w:rsidP="00004762">
      <w:pPr>
        <w:spacing w:line="360" w:lineRule="auto"/>
        <w:jc w:val="both"/>
        <w:rPr>
          <w:rFonts w:ascii="Arial" w:hAnsi="Arial" w:cs="Arial"/>
        </w:rPr>
      </w:pPr>
      <w:r w:rsidRPr="00004762">
        <w:rPr>
          <w:rFonts w:ascii="Arial" w:hAnsi="Arial" w:cs="Arial"/>
        </w:rPr>
        <w:t xml:space="preserve">2.2. </w:t>
      </w:r>
      <w:r w:rsidR="000C16D2" w:rsidRPr="00004762">
        <w:rPr>
          <w:rFonts w:ascii="Arial" w:hAnsi="Arial" w:cs="Arial"/>
        </w:rPr>
        <w:t xml:space="preserve">Propuso </w:t>
      </w:r>
      <w:r w:rsidR="00ED1EFD" w:rsidRPr="00004762">
        <w:rPr>
          <w:rFonts w:ascii="Arial" w:hAnsi="Arial" w:cs="Arial"/>
        </w:rPr>
        <w:t>la excepción de ca</w:t>
      </w:r>
      <w:r w:rsidR="005B4E98" w:rsidRPr="00004762">
        <w:rPr>
          <w:rFonts w:ascii="Arial" w:hAnsi="Arial" w:cs="Arial"/>
        </w:rPr>
        <w:t>ducidad.</w:t>
      </w:r>
      <w:r w:rsidR="0000653C" w:rsidRPr="00004762">
        <w:rPr>
          <w:rFonts w:ascii="Arial" w:hAnsi="Arial" w:cs="Arial"/>
        </w:rPr>
        <w:t xml:space="preserve"> Luego de referirse al</w:t>
      </w:r>
      <w:r w:rsidR="005B4E98" w:rsidRPr="00004762">
        <w:rPr>
          <w:rFonts w:ascii="Arial" w:hAnsi="Arial" w:cs="Arial"/>
        </w:rPr>
        <w:t xml:space="preserve"> </w:t>
      </w:r>
      <w:r w:rsidR="0000653C" w:rsidRPr="00004762">
        <w:rPr>
          <w:rFonts w:ascii="Arial" w:hAnsi="Arial" w:cs="Arial"/>
        </w:rPr>
        <w:t xml:space="preserve">artículo 164, numeral 2, literal j), apartado i), del CPACA, señaló -simplemente- que </w:t>
      </w:r>
      <w:r w:rsidR="00ED1EFD" w:rsidRPr="00004762">
        <w:rPr>
          <w:rFonts w:ascii="Arial" w:hAnsi="Arial" w:cs="Arial"/>
        </w:rPr>
        <w:t xml:space="preserve">la demanda se presentó en el 2014, esto es, 25 años después </w:t>
      </w:r>
      <w:r w:rsidR="00AA6757" w:rsidRPr="00004762">
        <w:rPr>
          <w:rFonts w:ascii="Arial" w:hAnsi="Arial" w:cs="Arial"/>
        </w:rPr>
        <w:t xml:space="preserve">del cumplimiento del </w:t>
      </w:r>
      <w:r w:rsidR="005B4E98" w:rsidRPr="00004762">
        <w:rPr>
          <w:rFonts w:ascii="Arial" w:hAnsi="Arial" w:cs="Arial"/>
        </w:rPr>
        <w:t>contrato de donación</w:t>
      </w:r>
      <w:r w:rsidR="0000653C" w:rsidRPr="00004762">
        <w:rPr>
          <w:rFonts w:ascii="Arial" w:hAnsi="Arial" w:cs="Arial"/>
        </w:rPr>
        <w:t xml:space="preserve"> del inmueble en cuestión</w:t>
      </w:r>
      <w:r w:rsidR="005B4E98" w:rsidRPr="00004762">
        <w:rPr>
          <w:rFonts w:ascii="Arial" w:hAnsi="Arial" w:cs="Arial"/>
        </w:rPr>
        <w:t xml:space="preserve">, el cual, por ser de ejecución instantánea, se cumplió el </w:t>
      </w:r>
      <w:r w:rsidR="0000653C" w:rsidRPr="00004762">
        <w:rPr>
          <w:rFonts w:ascii="Arial" w:hAnsi="Arial" w:cs="Arial"/>
        </w:rPr>
        <w:t xml:space="preserve">mismo día en que se elevó a escritura pública, es decir, el </w:t>
      </w:r>
      <w:r w:rsidR="0043527A" w:rsidRPr="00004762">
        <w:rPr>
          <w:rFonts w:ascii="Arial" w:hAnsi="Arial" w:cs="Arial"/>
        </w:rPr>
        <w:t>30 de diciembre de 198</w:t>
      </w:r>
      <w:r w:rsidR="005B4E98" w:rsidRPr="00004762">
        <w:rPr>
          <w:rFonts w:ascii="Arial" w:hAnsi="Arial" w:cs="Arial"/>
        </w:rPr>
        <w:t>8</w:t>
      </w:r>
      <w:r w:rsidR="0000653C" w:rsidRPr="00004762">
        <w:rPr>
          <w:rFonts w:ascii="Arial" w:hAnsi="Arial" w:cs="Arial"/>
        </w:rPr>
        <w:t>.</w:t>
      </w:r>
      <w:r w:rsidR="003804B0" w:rsidRPr="00004762">
        <w:rPr>
          <w:rFonts w:ascii="Arial" w:hAnsi="Arial" w:cs="Arial"/>
        </w:rPr>
        <w:t xml:space="preserve"> Como consecuencia, señaló que la demand</w:t>
      </w:r>
      <w:r w:rsidR="00A47948" w:rsidRPr="00004762">
        <w:rPr>
          <w:rFonts w:ascii="Arial" w:hAnsi="Arial" w:cs="Arial"/>
        </w:rPr>
        <w:t xml:space="preserve">a de controversias contractuales </w:t>
      </w:r>
      <w:r w:rsidR="003804B0" w:rsidRPr="00004762">
        <w:rPr>
          <w:rFonts w:ascii="Arial" w:hAnsi="Arial" w:cs="Arial"/>
        </w:rPr>
        <w:t>se presentó por fuera del término legal.</w:t>
      </w:r>
    </w:p>
    <w:p w:rsidR="007155F5" w:rsidRPr="00004762" w:rsidRDefault="0000653C" w:rsidP="00004762">
      <w:pPr>
        <w:spacing w:line="360" w:lineRule="auto"/>
        <w:jc w:val="both"/>
        <w:rPr>
          <w:rFonts w:ascii="Arial" w:hAnsi="Arial" w:cs="Arial"/>
        </w:rPr>
      </w:pPr>
      <w:r w:rsidRPr="00004762">
        <w:rPr>
          <w:rFonts w:ascii="Arial" w:hAnsi="Arial" w:cs="Arial"/>
        </w:rPr>
        <w:t xml:space="preserve"> </w:t>
      </w:r>
    </w:p>
    <w:p w:rsidR="0000653C" w:rsidRPr="00004762" w:rsidRDefault="00B90C14" w:rsidP="00004762">
      <w:pPr>
        <w:spacing w:line="360" w:lineRule="auto"/>
        <w:jc w:val="both"/>
        <w:rPr>
          <w:rFonts w:ascii="Arial" w:hAnsi="Arial" w:cs="Arial"/>
        </w:rPr>
      </w:pPr>
      <w:r w:rsidRPr="00004762">
        <w:rPr>
          <w:rFonts w:ascii="Arial" w:hAnsi="Arial" w:cs="Arial"/>
        </w:rPr>
        <w:t>2.3. A su vez, formuló la excepción de “</w:t>
      </w:r>
      <w:r w:rsidRPr="00004762">
        <w:rPr>
          <w:rFonts w:ascii="Arial" w:hAnsi="Arial" w:cs="Arial"/>
          <w:i/>
        </w:rPr>
        <w:t>ineptitud de la demanda por falta de los requisitos formales o por indebida acumulación de pretensiones</w:t>
      </w:r>
      <w:r w:rsidRPr="00004762">
        <w:rPr>
          <w:rFonts w:ascii="Arial" w:hAnsi="Arial" w:cs="Arial"/>
        </w:rPr>
        <w:t>”</w:t>
      </w:r>
      <w:r w:rsidR="0000653C" w:rsidRPr="00004762">
        <w:rPr>
          <w:rFonts w:ascii="Arial" w:hAnsi="Arial" w:cs="Arial"/>
        </w:rPr>
        <w:t>, con fundamento en que la parte actora presentó demanda sin agotar el requisito previo de la conciliación extrajudicial consagrado en el artículo 161 del CPACA</w:t>
      </w:r>
      <w:r w:rsidR="0000653C" w:rsidRPr="00004762">
        <w:rPr>
          <w:rStyle w:val="Refdenotaalpie"/>
          <w:rFonts w:ascii="Arial" w:hAnsi="Arial" w:cs="Arial"/>
        </w:rPr>
        <w:footnoteReference w:id="1"/>
      </w:r>
      <w:r w:rsidR="0000653C" w:rsidRPr="00004762">
        <w:rPr>
          <w:rFonts w:ascii="Arial" w:hAnsi="Arial" w:cs="Arial"/>
        </w:rPr>
        <w:t>.</w:t>
      </w:r>
    </w:p>
    <w:p w:rsidR="00B347A1" w:rsidRPr="00004762" w:rsidRDefault="00B347A1" w:rsidP="00004762">
      <w:pPr>
        <w:spacing w:line="360" w:lineRule="auto"/>
        <w:jc w:val="both"/>
        <w:rPr>
          <w:rFonts w:ascii="Arial" w:hAnsi="Arial" w:cs="Arial"/>
          <w:b/>
        </w:rPr>
      </w:pPr>
    </w:p>
    <w:p w:rsidR="00146F4E" w:rsidRPr="00004762" w:rsidRDefault="000F1D5A" w:rsidP="00004762">
      <w:pPr>
        <w:spacing w:line="360" w:lineRule="auto"/>
        <w:jc w:val="both"/>
        <w:rPr>
          <w:rFonts w:ascii="Arial" w:hAnsi="Arial" w:cs="Arial"/>
          <w:b/>
        </w:rPr>
      </w:pPr>
      <w:r w:rsidRPr="00004762">
        <w:rPr>
          <w:rFonts w:ascii="Arial" w:hAnsi="Arial" w:cs="Arial"/>
          <w:b/>
        </w:rPr>
        <w:t xml:space="preserve">3. </w:t>
      </w:r>
      <w:r w:rsidR="00146F4E" w:rsidRPr="00004762">
        <w:rPr>
          <w:rFonts w:ascii="Arial" w:hAnsi="Arial" w:cs="Arial"/>
          <w:b/>
        </w:rPr>
        <w:t>Traslado de excepciones</w:t>
      </w:r>
    </w:p>
    <w:p w:rsidR="00146F4E" w:rsidRPr="00004762" w:rsidRDefault="00146F4E" w:rsidP="00004762">
      <w:pPr>
        <w:spacing w:line="360" w:lineRule="auto"/>
        <w:jc w:val="both"/>
        <w:rPr>
          <w:rFonts w:ascii="Arial" w:hAnsi="Arial" w:cs="Arial"/>
        </w:rPr>
      </w:pPr>
    </w:p>
    <w:p w:rsidR="001B4F90" w:rsidRPr="00004762" w:rsidRDefault="0010533D" w:rsidP="00004762">
      <w:pPr>
        <w:spacing w:line="360" w:lineRule="auto"/>
        <w:jc w:val="both"/>
        <w:rPr>
          <w:rFonts w:ascii="Arial" w:hAnsi="Arial" w:cs="Arial"/>
        </w:rPr>
      </w:pPr>
      <w:r w:rsidRPr="00004762">
        <w:rPr>
          <w:rFonts w:ascii="Arial" w:hAnsi="Arial" w:cs="Arial"/>
        </w:rPr>
        <w:t>3.1</w:t>
      </w:r>
      <w:r w:rsidR="00146F4E" w:rsidRPr="00004762">
        <w:rPr>
          <w:rFonts w:ascii="Arial" w:hAnsi="Arial" w:cs="Arial"/>
        </w:rPr>
        <w:t xml:space="preserve">. En relación con la excepción de caducidad, </w:t>
      </w:r>
      <w:r w:rsidR="007C54B6" w:rsidRPr="00004762">
        <w:rPr>
          <w:rFonts w:ascii="Arial" w:hAnsi="Arial" w:cs="Arial"/>
        </w:rPr>
        <w:t xml:space="preserve">Lotanco </w:t>
      </w:r>
      <w:r w:rsidR="00146F4E" w:rsidRPr="00004762">
        <w:rPr>
          <w:rFonts w:ascii="Arial" w:hAnsi="Arial" w:cs="Arial"/>
        </w:rPr>
        <w:t xml:space="preserve">señaló </w:t>
      </w:r>
      <w:r w:rsidR="001B4F90" w:rsidRPr="00004762">
        <w:rPr>
          <w:rFonts w:ascii="Arial" w:hAnsi="Arial" w:cs="Arial"/>
        </w:rPr>
        <w:t>que en el presente caso podía demandarse en cualquier tiempo, porque la controversia recae sobre un</w:t>
      </w:r>
      <w:r w:rsidR="000F7C52" w:rsidRPr="00004762">
        <w:rPr>
          <w:rFonts w:ascii="Arial" w:hAnsi="Arial" w:cs="Arial"/>
        </w:rPr>
        <w:t xml:space="preserve"> bien imprescriptible, como lo es el bien inmueble objeto de donación</w:t>
      </w:r>
      <w:r w:rsidR="007B6D2B" w:rsidRPr="00004762">
        <w:rPr>
          <w:rFonts w:ascii="Arial" w:hAnsi="Arial" w:cs="Arial"/>
        </w:rPr>
        <w:t xml:space="preserve"> -artículo 164, numeral 1, literal b), del CPACA-</w:t>
      </w:r>
      <w:r w:rsidR="000F7C52" w:rsidRPr="00004762">
        <w:rPr>
          <w:rFonts w:ascii="Arial" w:hAnsi="Arial" w:cs="Arial"/>
        </w:rPr>
        <w:t>.</w:t>
      </w:r>
      <w:r w:rsidR="001B4F90" w:rsidRPr="00004762">
        <w:rPr>
          <w:rFonts w:ascii="Arial" w:hAnsi="Arial" w:cs="Arial"/>
        </w:rPr>
        <w:t xml:space="preserve"> </w:t>
      </w:r>
    </w:p>
    <w:p w:rsidR="000F7C52" w:rsidRPr="00004762" w:rsidRDefault="000F7C52" w:rsidP="00004762">
      <w:pPr>
        <w:spacing w:line="360" w:lineRule="auto"/>
        <w:jc w:val="both"/>
        <w:rPr>
          <w:rFonts w:ascii="Arial" w:hAnsi="Arial" w:cs="Arial"/>
        </w:rPr>
      </w:pPr>
    </w:p>
    <w:p w:rsidR="00667405" w:rsidRPr="00004762" w:rsidRDefault="000F7C52" w:rsidP="00004762">
      <w:pPr>
        <w:spacing w:line="360" w:lineRule="auto"/>
        <w:jc w:val="both"/>
        <w:rPr>
          <w:rFonts w:ascii="Arial" w:hAnsi="Arial" w:cs="Arial"/>
        </w:rPr>
      </w:pPr>
      <w:r w:rsidRPr="00004762">
        <w:rPr>
          <w:rFonts w:ascii="Arial" w:hAnsi="Arial" w:cs="Arial"/>
        </w:rPr>
        <w:lastRenderedPageBreak/>
        <w:t xml:space="preserve">De otra parte, atendiendo a lo dispuesto en el </w:t>
      </w:r>
      <w:r w:rsidR="00AA6757" w:rsidRPr="00004762">
        <w:rPr>
          <w:rFonts w:ascii="Arial" w:hAnsi="Arial" w:cs="Arial"/>
        </w:rPr>
        <w:t>CPACA</w:t>
      </w:r>
      <w:r w:rsidR="00667405" w:rsidRPr="00004762">
        <w:rPr>
          <w:rStyle w:val="Refdenotaalpie"/>
          <w:rFonts w:ascii="Arial" w:hAnsi="Arial" w:cs="Arial"/>
        </w:rPr>
        <w:footnoteReference w:id="2"/>
      </w:r>
      <w:r w:rsidR="00667405" w:rsidRPr="00004762">
        <w:rPr>
          <w:rFonts w:ascii="Arial" w:hAnsi="Arial" w:cs="Arial"/>
        </w:rPr>
        <w:t xml:space="preserve">, </w:t>
      </w:r>
      <w:r w:rsidRPr="00004762">
        <w:rPr>
          <w:rFonts w:ascii="Arial" w:hAnsi="Arial" w:cs="Arial"/>
        </w:rPr>
        <w:t xml:space="preserve">sostuvo que </w:t>
      </w:r>
      <w:r w:rsidR="00667405" w:rsidRPr="00004762">
        <w:rPr>
          <w:rFonts w:ascii="Arial" w:hAnsi="Arial" w:cs="Arial"/>
        </w:rPr>
        <w:t>la nul</w:t>
      </w:r>
      <w:r w:rsidR="00AA6757" w:rsidRPr="00004762">
        <w:rPr>
          <w:rFonts w:ascii="Arial" w:hAnsi="Arial" w:cs="Arial"/>
        </w:rPr>
        <w:t>idad absoluta</w:t>
      </w:r>
      <w:r w:rsidR="007C661C" w:rsidRPr="00004762">
        <w:rPr>
          <w:rFonts w:ascii="Arial" w:hAnsi="Arial" w:cs="Arial"/>
        </w:rPr>
        <w:t xml:space="preserve"> del contrato puede</w:t>
      </w:r>
      <w:r w:rsidR="00667405" w:rsidRPr="00004762">
        <w:rPr>
          <w:rFonts w:ascii="Arial" w:hAnsi="Arial" w:cs="Arial"/>
        </w:rPr>
        <w:t xml:space="preserve"> demandarse </w:t>
      </w:r>
      <w:r w:rsidR="007C661C" w:rsidRPr="00004762">
        <w:rPr>
          <w:rFonts w:ascii="Arial" w:hAnsi="Arial" w:cs="Arial"/>
        </w:rPr>
        <w:t>mientras</w:t>
      </w:r>
      <w:r w:rsidR="00667405" w:rsidRPr="00004762">
        <w:rPr>
          <w:rFonts w:ascii="Arial" w:hAnsi="Arial" w:cs="Arial"/>
        </w:rPr>
        <w:t xml:space="preserve"> el mismo se encuentre vigente. Acto seguido, manifestó que la </w:t>
      </w:r>
      <w:r w:rsidR="00667405" w:rsidRPr="00004762">
        <w:rPr>
          <w:rFonts w:ascii="Arial" w:hAnsi="Arial" w:cs="Arial"/>
          <w:i/>
        </w:rPr>
        <w:t>condición</w:t>
      </w:r>
      <w:r w:rsidR="00667405" w:rsidRPr="00004762">
        <w:rPr>
          <w:rFonts w:ascii="Arial" w:hAnsi="Arial" w:cs="Arial"/>
        </w:rPr>
        <w:t xml:space="preserve"> pactada en el contrato de donación aún no se ha cumplido, por lo que dicho negocio se encuentra vigente. </w:t>
      </w:r>
    </w:p>
    <w:p w:rsidR="00667405" w:rsidRPr="00004762" w:rsidRDefault="00667405" w:rsidP="00004762">
      <w:pPr>
        <w:spacing w:line="360" w:lineRule="auto"/>
        <w:jc w:val="both"/>
        <w:rPr>
          <w:rFonts w:ascii="Arial" w:hAnsi="Arial" w:cs="Arial"/>
        </w:rPr>
      </w:pPr>
    </w:p>
    <w:p w:rsidR="00707A18" w:rsidRPr="00004762" w:rsidRDefault="0010533D" w:rsidP="00004762">
      <w:pPr>
        <w:spacing w:line="360" w:lineRule="auto"/>
        <w:jc w:val="both"/>
        <w:rPr>
          <w:rFonts w:ascii="Arial" w:hAnsi="Arial" w:cs="Arial"/>
        </w:rPr>
      </w:pPr>
      <w:r w:rsidRPr="00004762">
        <w:rPr>
          <w:rFonts w:ascii="Arial" w:hAnsi="Arial" w:cs="Arial"/>
        </w:rPr>
        <w:t>3.2</w:t>
      </w:r>
      <w:r w:rsidR="00667405" w:rsidRPr="00004762">
        <w:rPr>
          <w:rFonts w:ascii="Arial" w:hAnsi="Arial" w:cs="Arial"/>
        </w:rPr>
        <w:t>.</w:t>
      </w:r>
      <w:r w:rsidR="00F3547E" w:rsidRPr="00004762">
        <w:rPr>
          <w:rFonts w:ascii="Arial" w:hAnsi="Arial" w:cs="Arial"/>
        </w:rPr>
        <w:t xml:space="preserve"> En cuanto a la excepción de inepta demanda,</w:t>
      </w:r>
      <w:r w:rsidR="007C54B6" w:rsidRPr="00004762">
        <w:rPr>
          <w:rFonts w:ascii="Arial" w:hAnsi="Arial" w:cs="Arial"/>
        </w:rPr>
        <w:t xml:space="preserve"> Lotanco</w:t>
      </w:r>
      <w:r w:rsidR="00F3547E" w:rsidRPr="00004762">
        <w:rPr>
          <w:rFonts w:ascii="Arial" w:hAnsi="Arial" w:cs="Arial"/>
        </w:rPr>
        <w:t xml:space="preserve"> indicó </w:t>
      </w:r>
      <w:r w:rsidR="00CE037F" w:rsidRPr="00004762">
        <w:rPr>
          <w:rFonts w:ascii="Arial" w:hAnsi="Arial" w:cs="Arial"/>
        </w:rPr>
        <w:t xml:space="preserve">que no podía exigírsele el agotamiento del requisito previo de la conciliación extrajudicial, toda vez que en el caso </w:t>
      </w:r>
      <w:r w:rsidR="00CE037F" w:rsidRPr="00004762">
        <w:rPr>
          <w:rFonts w:ascii="Arial" w:hAnsi="Arial" w:cs="Arial"/>
          <w:i/>
        </w:rPr>
        <w:t>sub examine</w:t>
      </w:r>
      <w:r w:rsidR="00CE037F" w:rsidRPr="00004762">
        <w:rPr>
          <w:rFonts w:ascii="Arial" w:hAnsi="Arial" w:cs="Arial"/>
        </w:rPr>
        <w:t xml:space="preserve"> se solicitaron medidas cautelares</w:t>
      </w:r>
      <w:r w:rsidR="007B6D2B" w:rsidRPr="00004762">
        <w:rPr>
          <w:rFonts w:ascii="Arial" w:hAnsi="Arial" w:cs="Arial"/>
        </w:rPr>
        <w:t xml:space="preserve"> patrimoniales</w:t>
      </w:r>
      <w:r w:rsidR="00463D83" w:rsidRPr="00004762">
        <w:rPr>
          <w:rStyle w:val="Refdenotaalpie"/>
          <w:rFonts w:ascii="Arial" w:hAnsi="Arial" w:cs="Arial"/>
        </w:rPr>
        <w:footnoteReference w:id="3"/>
      </w:r>
      <w:r w:rsidR="00CE037F" w:rsidRPr="00004762">
        <w:rPr>
          <w:rFonts w:ascii="Arial" w:hAnsi="Arial" w:cs="Arial"/>
        </w:rPr>
        <w:t>.</w:t>
      </w:r>
    </w:p>
    <w:p w:rsidR="00C0300D" w:rsidRPr="00004762" w:rsidRDefault="00C0300D" w:rsidP="00004762">
      <w:pPr>
        <w:spacing w:line="360" w:lineRule="auto"/>
        <w:jc w:val="both"/>
        <w:rPr>
          <w:rFonts w:ascii="Arial" w:hAnsi="Arial" w:cs="Arial"/>
        </w:rPr>
      </w:pPr>
    </w:p>
    <w:p w:rsidR="000F1D5A" w:rsidRPr="00004762" w:rsidRDefault="00146F4E" w:rsidP="00004762">
      <w:pPr>
        <w:spacing w:line="360" w:lineRule="auto"/>
        <w:jc w:val="both"/>
        <w:rPr>
          <w:rFonts w:ascii="Arial" w:hAnsi="Arial" w:cs="Arial"/>
        </w:rPr>
      </w:pPr>
      <w:r w:rsidRPr="00004762">
        <w:rPr>
          <w:rFonts w:ascii="Arial" w:hAnsi="Arial" w:cs="Arial"/>
          <w:b/>
        </w:rPr>
        <w:t xml:space="preserve">4. </w:t>
      </w:r>
      <w:r w:rsidR="000F1D5A" w:rsidRPr="00004762">
        <w:rPr>
          <w:rFonts w:ascii="Arial" w:hAnsi="Arial" w:cs="Arial"/>
          <w:b/>
        </w:rPr>
        <w:t>Decisiones apeladas</w:t>
      </w:r>
      <w:r w:rsidR="007C54B6" w:rsidRPr="00004762">
        <w:rPr>
          <w:rStyle w:val="Refdenotaalpie"/>
          <w:rFonts w:ascii="Arial" w:hAnsi="Arial" w:cs="Arial"/>
        </w:rPr>
        <w:footnoteReference w:id="4"/>
      </w:r>
    </w:p>
    <w:p w:rsidR="007155F5" w:rsidRPr="00004762" w:rsidRDefault="007155F5" w:rsidP="00004762">
      <w:pPr>
        <w:spacing w:line="360" w:lineRule="auto"/>
        <w:jc w:val="both"/>
        <w:rPr>
          <w:rFonts w:ascii="Arial" w:hAnsi="Arial" w:cs="Arial"/>
        </w:rPr>
      </w:pPr>
    </w:p>
    <w:p w:rsidR="000E58A5" w:rsidRPr="00004762" w:rsidRDefault="009A333F" w:rsidP="00004762">
      <w:pPr>
        <w:spacing w:line="360" w:lineRule="auto"/>
        <w:jc w:val="both"/>
        <w:rPr>
          <w:rFonts w:ascii="Arial" w:hAnsi="Arial" w:cs="Arial"/>
        </w:rPr>
      </w:pPr>
      <w:r w:rsidRPr="00004762">
        <w:rPr>
          <w:rFonts w:ascii="Arial" w:hAnsi="Arial" w:cs="Arial"/>
        </w:rPr>
        <w:t xml:space="preserve">4.1. En audiencia inicial del </w:t>
      </w:r>
      <w:r w:rsidR="003D1342" w:rsidRPr="00004762">
        <w:rPr>
          <w:rFonts w:ascii="Arial" w:hAnsi="Arial" w:cs="Arial"/>
        </w:rPr>
        <w:t xml:space="preserve">26 de julio de 2016, </w:t>
      </w:r>
      <w:r w:rsidR="00AA6757" w:rsidRPr="00004762">
        <w:rPr>
          <w:rFonts w:ascii="Arial" w:hAnsi="Arial" w:cs="Arial"/>
        </w:rPr>
        <w:t>e</w:t>
      </w:r>
      <w:r w:rsidRPr="00004762">
        <w:rPr>
          <w:rFonts w:ascii="Arial" w:hAnsi="Arial" w:cs="Arial"/>
        </w:rPr>
        <w:t xml:space="preserve">l Tribunal negó la excepción de inepta demanda, </w:t>
      </w:r>
      <w:r w:rsidR="003D1342" w:rsidRPr="00004762">
        <w:rPr>
          <w:rFonts w:ascii="Arial" w:hAnsi="Arial" w:cs="Arial"/>
        </w:rPr>
        <w:t>con fundamento en que la parte demandante solicitó el decreto y la práctica de una medida cautelar de carácter patrimonial, razón por la cual podía acudir directamente a esta jurisdicción, esto es, sin agotar el requisito previo de la conciliación extrajudicial, tal y como lo señala el artículo 613 del CGP</w:t>
      </w:r>
      <w:r w:rsidR="00F470E1" w:rsidRPr="00004762">
        <w:rPr>
          <w:rStyle w:val="Refdenotaalpie"/>
          <w:rFonts w:ascii="Arial" w:hAnsi="Arial" w:cs="Arial"/>
        </w:rPr>
        <w:footnoteReference w:id="5"/>
      </w:r>
      <w:r w:rsidR="003D1342" w:rsidRPr="00004762">
        <w:rPr>
          <w:rFonts w:ascii="Arial" w:hAnsi="Arial" w:cs="Arial"/>
        </w:rPr>
        <w:t xml:space="preserve">. </w:t>
      </w:r>
    </w:p>
    <w:p w:rsidR="00B550BD" w:rsidRPr="00004762" w:rsidRDefault="00B550BD" w:rsidP="00004762">
      <w:pPr>
        <w:spacing w:line="360" w:lineRule="auto"/>
        <w:jc w:val="both"/>
        <w:rPr>
          <w:rFonts w:ascii="Arial" w:hAnsi="Arial" w:cs="Arial"/>
        </w:rPr>
      </w:pPr>
    </w:p>
    <w:p w:rsidR="00B82A79" w:rsidRPr="00004762" w:rsidRDefault="002C3760" w:rsidP="00004762">
      <w:pPr>
        <w:spacing w:line="360" w:lineRule="auto"/>
        <w:jc w:val="both"/>
        <w:rPr>
          <w:rFonts w:ascii="Arial" w:hAnsi="Arial" w:cs="Arial"/>
        </w:rPr>
      </w:pPr>
      <w:r w:rsidRPr="00004762">
        <w:rPr>
          <w:rFonts w:ascii="Arial" w:hAnsi="Arial" w:cs="Arial"/>
        </w:rPr>
        <w:t xml:space="preserve">4.2. </w:t>
      </w:r>
      <w:r w:rsidR="00B82A79" w:rsidRPr="00004762">
        <w:rPr>
          <w:rFonts w:ascii="Arial" w:hAnsi="Arial" w:cs="Arial"/>
        </w:rPr>
        <w:t>Mediante auto del 28 de julio de 2016, el Tribunal declaró probada la excepción de caducidad y, como consecuencia, dio por terminado el proceso.</w:t>
      </w:r>
      <w:r w:rsidR="00F96B49" w:rsidRPr="00004762">
        <w:rPr>
          <w:rFonts w:ascii="Arial" w:hAnsi="Arial" w:cs="Arial"/>
        </w:rPr>
        <w:t xml:space="preserve"> </w:t>
      </w:r>
      <w:r w:rsidR="00CD22ED" w:rsidRPr="00004762">
        <w:rPr>
          <w:rFonts w:ascii="Arial" w:hAnsi="Arial" w:cs="Arial"/>
        </w:rPr>
        <w:t xml:space="preserve">Esto </w:t>
      </w:r>
      <w:r w:rsidR="00F96B49" w:rsidRPr="00004762">
        <w:rPr>
          <w:rFonts w:ascii="Arial" w:hAnsi="Arial" w:cs="Arial"/>
        </w:rPr>
        <w:t>sostuvo</w:t>
      </w:r>
      <w:r w:rsidR="00C85B28" w:rsidRPr="00004762">
        <w:rPr>
          <w:rFonts w:ascii="Arial" w:hAnsi="Arial" w:cs="Arial"/>
        </w:rPr>
        <w:t xml:space="preserve"> (transcripción literal con posibles errores)</w:t>
      </w:r>
      <w:r w:rsidR="00F96B49" w:rsidRPr="00004762">
        <w:rPr>
          <w:rFonts w:ascii="Arial" w:hAnsi="Arial" w:cs="Arial"/>
        </w:rPr>
        <w:t>:</w:t>
      </w:r>
    </w:p>
    <w:p w:rsidR="00F96B49" w:rsidRPr="00004762" w:rsidRDefault="00F96B49" w:rsidP="00004762">
      <w:pPr>
        <w:spacing w:line="360" w:lineRule="auto"/>
        <w:jc w:val="both"/>
        <w:rPr>
          <w:rFonts w:ascii="Arial" w:hAnsi="Arial" w:cs="Arial"/>
        </w:rPr>
      </w:pPr>
    </w:p>
    <w:p w:rsidR="008E4021" w:rsidRPr="00004762" w:rsidRDefault="00C85B28" w:rsidP="00004762">
      <w:pPr>
        <w:spacing w:line="276" w:lineRule="auto"/>
        <w:jc w:val="both"/>
        <w:rPr>
          <w:rFonts w:ascii="Arial" w:hAnsi="Arial" w:cs="Arial"/>
          <w:i/>
        </w:rPr>
      </w:pPr>
      <w:r w:rsidRPr="00004762">
        <w:rPr>
          <w:rFonts w:ascii="Arial" w:hAnsi="Arial" w:cs="Arial"/>
          <w:i/>
        </w:rPr>
        <w:t>“</w:t>
      </w:r>
      <w:r w:rsidR="009E6E03" w:rsidRPr="00004762">
        <w:rPr>
          <w:rFonts w:ascii="Arial" w:hAnsi="Arial" w:cs="Arial"/>
          <w:i/>
        </w:rPr>
        <w:t>Como el contrato se perfe</w:t>
      </w:r>
      <w:r w:rsidR="007C661C" w:rsidRPr="00004762">
        <w:rPr>
          <w:rFonts w:ascii="Arial" w:hAnsi="Arial" w:cs="Arial"/>
          <w:i/>
        </w:rPr>
        <w:t>ccionó el 30 de diciembre de 198</w:t>
      </w:r>
      <w:r w:rsidR="009E6E03" w:rsidRPr="00004762">
        <w:rPr>
          <w:rFonts w:ascii="Arial" w:hAnsi="Arial" w:cs="Arial"/>
          <w:i/>
        </w:rPr>
        <w:t>8, fecha en que fue elevado a escritura pública, implicando ello la mutación del dominio del bien inmueble objeto del contra</w:t>
      </w:r>
      <w:r w:rsidR="001402E7" w:rsidRPr="00004762">
        <w:rPr>
          <w:rFonts w:ascii="Arial" w:hAnsi="Arial" w:cs="Arial"/>
          <w:i/>
        </w:rPr>
        <w:t>to, es partir del día siguiente a esa fecha en que debe contabilizarse el término de caducidad del medio de control, siendo pertinente puntualizar que en la escritura pública no existe estipulación expresa que sujete el contrato de donación a plazo o condición. Entonces, como el contrato se perfe</w:t>
      </w:r>
      <w:r w:rsidR="0043527A" w:rsidRPr="00004762">
        <w:rPr>
          <w:rFonts w:ascii="Arial" w:hAnsi="Arial" w:cs="Arial"/>
          <w:i/>
        </w:rPr>
        <w:t>ccionó el 30 de diciembre de 198</w:t>
      </w:r>
      <w:r w:rsidR="001402E7" w:rsidRPr="00004762">
        <w:rPr>
          <w:rFonts w:ascii="Arial" w:hAnsi="Arial" w:cs="Arial"/>
          <w:i/>
        </w:rPr>
        <w:t>8 y la demanda solo se presentó el 12 de septiembre de 2014, surge con suficiente claridad la ocurrencia del fe</w:t>
      </w:r>
      <w:r w:rsidRPr="00004762">
        <w:rPr>
          <w:rFonts w:ascii="Arial" w:hAnsi="Arial" w:cs="Arial"/>
          <w:i/>
        </w:rPr>
        <w:t xml:space="preserve">nómeno jurídico de la </w:t>
      </w:r>
      <w:r w:rsidRPr="00004762">
        <w:rPr>
          <w:rFonts w:ascii="Arial" w:hAnsi="Arial" w:cs="Arial"/>
          <w:i/>
        </w:rPr>
        <w:lastRenderedPageBreak/>
        <w:t xml:space="preserve">caducidad respecto del medio de control incoado por el demandante, tendiente </w:t>
      </w:r>
      <w:r w:rsidR="00133D24" w:rsidRPr="00004762">
        <w:rPr>
          <w:rFonts w:ascii="Arial" w:hAnsi="Arial" w:cs="Arial"/>
          <w:i/>
        </w:rPr>
        <w:t xml:space="preserve">a </w:t>
      </w:r>
      <w:r w:rsidRPr="00004762">
        <w:rPr>
          <w:rFonts w:ascii="Arial" w:hAnsi="Arial" w:cs="Arial"/>
          <w:i/>
        </w:rPr>
        <w:t>su nulidad”</w:t>
      </w:r>
      <w:r w:rsidR="005D1C57" w:rsidRPr="00004762">
        <w:rPr>
          <w:rFonts w:ascii="Arial" w:hAnsi="Arial" w:cs="Arial"/>
          <w:i/>
        </w:rPr>
        <w:t>.</w:t>
      </w:r>
    </w:p>
    <w:p w:rsidR="00707A18" w:rsidRPr="00004762" w:rsidRDefault="00707A18" w:rsidP="00004762">
      <w:pPr>
        <w:spacing w:line="276" w:lineRule="auto"/>
        <w:jc w:val="both"/>
        <w:rPr>
          <w:rFonts w:ascii="Arial" w:hAnsi="Arial" w:cs="Arial"/>
          <w:i/>
        </w:rPr>
      </w:pPr>
    </w:p>
    <w:p w:rsidR="00371619" w:rsidRPr="00004762" w:rsidRDefault="007C54B6" w:rsidP="00004762">
      <w:pPr>
        <w:spacing w:line="360" w:lineRule="auto"/>
        <w:jc w:val="both"/>
        <w:rPr>
          <w:rFonts w:ascii="Arial" w:hAnsi="Arial" w:cs="Arial"/>
        </w:rPr>
      </w:pPr>
      <w:r w:rsidRPr="00004762">
        <w:rPr>
          <w:rFonts w:ascii="Arial" w:hAnsi="Arial" w:cs="Arial"/>
        </w:rPr>
        <w:t xml:space="preserve">Adicionalmente, </w:t>
      </w:r>
      <w:r w:rsidR="008E4021" w:rsidRPr="00004762">
        <w:rPr>
          <w:rFonts w:ascii="Arial" w:hAnsi="Arial" w:cs="Arial"/>
        </w:rPr>
        <w:t>señaló que el bien inmueble objeto de donación “</w:t>
      </w:r>
      <w:r w:rsidR="008E4021" w:rsidRPr="00004762">
        <w:rPr>
          <w:rFonts w:ascii="Arial" w:hAnsi="Arial" w:cs="Arial"/>
          <w:i/>
        </w:rPr>
        <w:t>no es un bien público imprescriptible e inenajenable</w:t>
      </w:r>
      <w:r w:rsidR="008E4021" w:rsidRPr="00004762">
        <w:rPr>
          <w:rFonts w:ascii="Arial" w:hAnsi="Arial" w:cs="Arial"/>
        </w:rPr>
        <w:t>”</w:t>
      </w:r>
      <w:r w:rsidR="00293153" w:rsidRPr="00004762">
        <w:rPr>
          <w:rFonts w:ascii="Arial" w:hAnsi="Arial" w:cs="Arial"/>
        </w:rPr>
        <w:t xml:space="preserve"> -</w:t>
      </w:r>
      <w:r w:rsidR="005E3A3C" w:rsidRPr="00004762">
        <w:rPr>
          <w:rFonts w:ascii="Arial" w:hAnsi="Arial" w:cs="Arial"/>
        </w:rPr>
        <w:t>pues “</w:t>
      </w:r>
      <w:r w:rsidR="005E3A3C" w:rsidRPr="00004762">
        <w:rPr>
          <w:rFonts w:ascii="Arial" w:hAnsi="Arial" w:cs="Arial"/>
          <w:i/>
        </w:rPr>
        <w:t>está catalogado como bien fiscal</w:t>
      </w:r>
      <w:r w:rsidR="005E3A3C" w:rsidRPr="00004762">
        <w:rPr>
          <w:rFonts w:ascii="Arial" w:hAnsi="Arial" w:cs="Arial"/>
        </w:rPr>
        <w:t>”</w:t>
      </w:r>
      <w:r w:rsidR="00293153" w:rsidRPr="00004762">
        <w:rPr>
          <w:rFonts w:ascii="Arial" w:hAnsi="Arial" w:cs="Arial"/>
        </w:rPr>
        <w:t>-</w:t>
      </w:r>
      <w:r w:rsidR="005E3A3C" w:rsidRPr="00004762">
        <w:rPr>
          <w:rFonts w:ascii="Arial" w:hAnsi="Arial" w:cs="Arial"/>
        </w:rPr>
        <w:t xml:space="preserve">, </w:t>
      </w:r>
      <w:r w:rsidR="00AE715A" w:rsidRPr="00004762">
        <w:rPr>
          <w:rFonts w:ascii="Arial" w:hAnsi="Arial" w:cs="Arial"/>
        </w:rPr>
        <w:t xml:space="preserve">por lo que </w:t>
      </w:r>
      <w:r w:rsidR="006E4056" w:rsidRPr="00004762">
        <w:rPr>
          <w:rFonts w:ascii="Arial" w:hAnsi="Arial" w:cs="Arial"/>
        </w:rPr>
        <w:t xml:space="preserve">en este caso </w:t>
      </w:r>
      <w:r w:rsidR="00AE715A" w:rsidRPr="00004762">
        <w:rPr>
          <w:rFonts w:ascii="Arial" w:hAnsi="Arial" w:cs="Arial"/>
        </w:rPr>
        <w:t>no resulta</w:t>
      </w:r>
      <w:r w:rsidR="00F470E1" w:rsidRPr="00004762">
        <w:rPr>
          <w:rFonts w:ascii="Arial" w:hAnsi="Arial" w:cs="Arial"/>
        </w:rPr>
        <w:t>ba</w:t>
      </w:r>
      <w:r w:rsidR="00AE715A" w:rsidRPr="00004762">
        <w:rPr>
          <w:rFonts w:ascii="Arial" w:hAnsi="Arial" w:cs="Arial"/>
        </w:rPr>
        <w:t xml:space="preserve"> aplicable la regla contenida en el artículo 164, numeral 1, literal b), del CPACA</w:t>
      </w:r>
      <w:r w:rsidR="00F470E1" w:rsidRPr="00004762">
        <w:rPr>
          <w:rFonts w:ascii="Arial" w:hAnsi="Arial" w:cs="Arial"/>
        </w:rPr>
        <w:t>, consistente en que puede demandarse en cualquier tiempo cuando el objeto del litigio lo constituyan bienes estatales</w:t>
      </w:r>
      <w:r w:rsidR="006E4056" w:rsidRPr="00004762">
        <w:rPr>
          <w:rFonts w:ascii="Arial" w:hAnsi="Arial" w:cs="Arial"/>
        </w:rPr>
        <w:t xml:space="preserve"> imprescriptibles e inenajenables</w:t>
      </w:r>
      <w:r w:rsidR="00F470E1" w:rsidRPr="00004762">
        <w:rPr>
          <w:rStyle w:val="Refdenotaalpie"/>
          <w:rFonts w:ascii="Arial" w:hAnsi="Arial" w:cs="Arial"/>
        </w:rPr>
        <w:footnoteReference w:id="6"/>
      </w:r>
      <w:r w:rsidR="00F470E1" w:rsidRPr="00004762">
        <w:rPr>
          <w:rFonts w:ascii="Arial" w:hAnsi="Arial" w:cs="Arial"/>
        </w:rPr>
        <w:t xml:space="preserve">. </w:t>
      </w:r>
    </w:p>
    <w:p w:rsidR="00473319" w:rsidRPr="00004762" w:rsidRDefault="00473319" w:rsidP="00004762">
      <w:pPr>
        <w:spacing w:line="360" w:lineRule="auto"/>
        <w:jc w:val="both"/>
        <w:rPr>
          <w:rFonts w:ascii="Arial" w:hAnsi="Arial" w:cs="Arial"/>
          <w:b/>
        </w:rPr>
      </w:pPr>
    </w:p>
    <w:p w:rsidR="000F1D5A" w:rsidRPr="00004762" w:rsidRDefault="00146F4E" w:rsidP="00004762">
      <w:pPr>
        <w:spacing w:line="360" w:lineRule="auto"/>
        <w:jc w:val="both"/>
        <w:rPr>
          <w:rFonts w:ascii="Arial" w:hAnsi="Arial" w:cs="Arial"/>
          <w:b/>
        </w:rPr>
      </w:pPr>
      <w:r w:rsidRPr="00004762">
        <w:rPr>
          <w:rFonts w:ascii="Arial" w:hAnsi="Arial" w:cs="Arial"/>
          <w:b/>
        </w:rPr>
        <w:t>5</w:t>
      </w:r>
      <w:r w:rsidR="000F1D5A" w:rsidRPr="00004762">
        <w:rPr>
          <w:rFonts w:ascii="Arial" w:hAnsi="Arial" w:cs="Arial"/>
          <w:b/>
        </w:rPr>
        <w:t>. Recurso</w:t>
      </w:r>
      <w:r w:rsidR="005B4E98" w:rsidRPr="00004762">
        <w:rPr>
          <w:rFonts w:ascii="Arial" w:hAnsi="Arial" w:cs="Arial"/>
          <w:b/>
        </w:rPr>
        <w:t>s</w:t>
      </w:r>
      <w:r w:rsidR="000F1D5A" w:rsidRPr="00004762">
        <w:rPr>
          <w:rFonts w:ascii="Arial" w:hAnsi="Arial" w:cs="Arial"/>
          <w:b/>
        </w:rPr>
        <w:t xml:space="preserve"> de apelación</w:t>
      </w:r>
    </w:p>
    <w:p w:rsidR="008F273B" w:rsidRPr="00004762" w:rsidRDefault="008F273B" w:rsidP="00004762">
      <w:pPr>
        <w:spacing w:line="360" w:lineRule="auto"/>
        <w:jc w:val="both"/>
        <w:rPr>
          <w:rFonts w:ascii="Arial" w:hAnsi="Arial" w:cs="Arial"/>
          <w:b/>
        </w:rPr>
      </w:pPr>
    </w:p>
    <w:p w:rsidR="008860BF" w:rsidRPr="00004762" w:rsidRDefault="0010533D" w:rsidP="00004762">
      <w:pPr>
        <w:spacing w:line="360" w:lineRule="auto"/>
        <w:jc w:val="both"/>
        <w:rPr>
          <w:rFonts w:ascii="Arial" w:hAnsi="Arial" w:cs="Arial"/>
        </w:rPr>
      </w:pPr>
      <w:r w:rsidRPr="00004762">
        <w:rPr>
          <w:rFonts w:ascii="Arial" w:hAnsi="Arial" w:cs="Arial"/>
        </w:rPr>
        <w:t xml:space="preserve">5.1. La universidad demandada interpuso recurso de apelación contra la decisión que negó la excepción de inepta demanda. </w:t>
      </w:r>
      <w:r w:rsidR="001A414F" w:rsidRPr="00004762">
        <w:rPr>
          <w:rFonts w:ascii="Arial" w:hAnsi="Arial" w:cs="Arial"/>
        </w:rPr>
        <w:t xml:space="preserve">En resumen, </w:t>
      </w:r>
      <w:r w:rsidR="001A4529" w:rsidRPr="00004762">
        <w:rPr>
          <w:rFonts w:ascii="Arial" w:hAnsi="Arial" w:cs="Arial"/>
        </w:rPr>
        <w:t xml:space="preserve">señaló que las medidas cautelares solicitadas por el demandante -como la inscripción de la demanda, entre otras- no </w:t>
      </w:r>
      <w:r w:rsidR="003E2D00" w:rsidRPr="00004762">
        <w:rPr>
          <w:rFonts w:ascii="Arial" w:hAnsi="Arial" w:cs="Arial"/>
        </w:rPr>
        <w:t>tenían</w:t>
      </w:r>
      <w:r w:rsidR="001A4529" w:rsidRPr="00004762">
        <w:rPr>
          <w:rFonts w:ascii="Arial" w:hAnsi="Arial" w:cs="Arial"/>
        </w:rPr>
        <w:t xml:space="preserve"> contenido patrimonial, de ahí que </w:t>
      </w:r>
      <w:r w:rsidR="004F5DF6" w:rsidRPr="00004762">
        <w:rPr>
          <w:rFonts w:ascii="Arial" w:hAnsi="Arial" w:cs="Arial"/>
        </w:rPr>
        <w:t xml:space="preserve">sí debía </w:t>
      </w:r>
      <w:r w:rsidR="00B95635" w:rsidRPr="00004762">
        <w:rPr>
          <w:rFonts w:ascii="Arial" w:hAnsi="Arial" w:cs="Arial"/>
        </w:rPr>
        <w:t>exigírsele</w:t>
      </w:r>
      <w:r w:rsidR="001A4529" w:rsidRPr="00004762">
        <w:rPr>
          <w:rFonts w:ascii="Arial" w:hAnsi="Arial" w:cs="Arial"/>
        </w:rPr>
        <w:t xml:space="preserve"> el agotamiento del requisito previo de la conciliaci</w:t>
      </w:r>
      <w:r w:rsidR="001A414F" w:rsidRPr="00004762">
        <w:rPr>
          <w:rFonts w:ascii="Arial" w:hAnsi="Arial" w:cs="Arial"/>
        </w:rPr>
        <w:t>ón extrajudicial.</w:t>
      </w:r>
    </w:p>
    <w:p w:rsidR="00661149" w:rsidRPr="00004762" w:rsidRDefault="00661149" w:rsidP="00004762">
      <w:pPr>
        <w:spacing w:line="360" w:lineRule="auto"/>
        <w:jc w:val="both"/>
        <w:rPr>
          <w:rFonts w:ascii="Arial" w:hAnsi="Arial" w:cs="Arial"/>
        </w:rPr>
      </w:pPr>
    </w:p>
    <w:p w:rsidR="005D1C57" w:rsidRPr="00004762" w:rsidRDefault="00661149" w:rsidP="00004762">
      <w:pPr>
        <w:spacing w:line="360" w:lineRule="auto"/>
        <w:jc w:val="both"/>
        <w:rPr>
          <w:rFonts w:ascii="Arial" w:hAnsi="Arial" w:cs="Arial"/>
        </w:rPr>
      </w:pPr>
      <w:r w:rsidRPr="00004762">
        <w:rPr>
          <w:rFonts w:ascii="Arial" w:hAnsi="Arial" w:cs="Arial"/>
        </w:rPr>
        <w:t>De otra parte, indicó que las pretensiones principales de la demanda (n</w:t>
      </w:r>
      <w:r w:rsidR="008F1DF4" w:rsidRPr="00004762">
        <w:rPr>
          <w:rFonts w:ascii="Arial" w:hAnsi="Arial" w:cs="Arial"/>
        </w:rPr>
        <w:t>ulidad absoluta del contrato y</w:t>
      </w:r>
      <w:r w:rsidRPr="00004762">
        <w:rPr>
          <w:rFonts w:ascii="Arial" w:hAnsi="Arial" w:cs="Arial"/>
        </w:rPr>
        <w:t xml:space="preserve"> rescisión del contrato) están indebidamente acumuladas, en la medida en que son contradictorias, porque “</w:t>
      </w:r>
      <w:r w:rsidRPr="00004762">
        <w:rPr>
          <w:rFonts w:ascii="Arial" w:hAnsi="Arial" w:cs="Arial"/>
          <w:i/>
        </w:rPr>
        <w:t>la rescisión implica determinar la mora en el cumplimiento de una obligación y si estamos hablando de mora no puede hablarse -al mismo tiempo- de invalidez del contrato</w:t>
      </w:r>
      <w:r w:rsidRPr="00004762">
        <w:rPr>
          <w:rFonts w:ascii="Arial" w:hAnsi="Arial" w:cs="Arial"/>
        </w:rPr>
        <w:t xml:space="preserve">”. </w:t>
      </w:r>
    </w:p>
    <w:p w:rsidR="00B550BD" w:rsidRPr="00004762" w:rsidRDefault="00B550BD" w:rsidP="00004762">
      <w:pPr>
        <w:spacing w:line="360" w:lineRule="auto"/>
        <w:jc w:val="both"/>
        <w:rPr>
          <w:rFonts w:ascii="Arial" w:hAnsi="Arial" w:cs="Arial"/>
        </w:rPr>
      </w:pPr>
    </w:p>
    <w:p w:rsidR="00371619" w:rsidRPr="00004762" w:rsidRDefault="001A414F" w:rsidP="00004762">
      <w:pPr>
        <w:spacing w:line="360" w:lineRule="auto"/>
        <w:jc w:val="both"/>
        <w:rPr>
          <w:rFonts w:ascii="Arial" w:hAnsi="Arial" w:cs="Arial"/>
        </w:rPr>
      </w:pPr>
      <w:r w:rsidRPr="00004762">
        <w:rPr>
          <w:rFonts w:ascii="Arial" w:hAnsi="Arial" w:cs="Arial"/>
        </w:rPr>
        <w:t xml:space="preserve">5.2. Lotanco presentó </w:t>
      </w:r>
      <w:r w:rsidR="0010533D" w:rsidRPr="00004762">
        <w:rPr>
          <w:rFonts w:ascii="Arial" w:hAnsi="Arial" w:cs="Arial"/>
        </w:rPr>
        <w:t>recurso de apelación contra el auto que declaró pro</w:t>
      </w:r>
      <w:r w:rsidR="003E2D00" w:rsidRPr="00004762">
        <w:rPr>
          <w:rFonts w:ascii="Arial" w:hAnsi="Arial" w:cs="Arial"/>
        </w:rPr>
        <w:t>bada la excepción de caducidad y dio por terminado el proceso.</w:t>
      </w:r>
      <w:r w:rsidR="00371619" w:rsidRPr="00004762">
        <w:rPr>
          <w:rFonts w:ascii="Arial" w:hAnsi="Arial" w:cs="Arial"/>
        </w:rPr>
        <w:t xml:space="preserve"> </w:t>
      </w:r>
    </w:p>
    <w:p w:rsidR="00661149" w:rsidRPr="00004762" w:rsidRDefault="00661149" w:rsidP="00004762">
      <w:pPr>
        <w:spacing w:line="360" w:lineRule="auto"/>
        <w:jc w:val="both"/>
        <w:rPr>
          <w:rFonts w:ascii="Arial" w:hAnsi="Arial" w:cs="Arial"/>
        </w:rPr>
      </w:pPr>
    </w:p>
    <w:p w:rsidR="007C54B6" w:rsidRPr="00004762" w:rsidRDefault="00174EE3" w:rsidP="00004762">
      <w:pPr>
        <w:spacing w:line="360" w:lineRule="auto"/>
        <w:jc w:val="both"/>
        <w:rPr>
          <w:rFonts w:ascii="Arial" w:hAnsi="Arial" w:cs="Arial"/>
        </w:rPr>
      </w:pPr>
      <w:r w:rsidRPr="00004762">
        <w:rPr>
          <w:rFonts w:ascii="Arial" w:hAnsi="Arial" w:cs="Arial"/>
        </w:rPr>
        <w:t xml:space="preserve">En </w:t>
      </w:r>
      <w:r w:rsidRPr="00004762">
        <w:rPr>
          <w:rFonts w:ascii="Arial" w:hAnsi="Arial" w:cs="Arial"/>
          <w:i/>
        </w:rPr>
        <w:t>primer lugar</w:t>
      </w:r>
      <w:r w:rsidRPr="00004762">
        <w:rPr>
          <w:rFonts w:ascii="Arial" w:hAnsi="Arial" w:cs="Arial"/>
        </w:rPr>
        <w:t xml:space="preserve">, sostuvo que el </w:t>
      </w:r>
      <w:r w:rsidRPr="00004762">
        <w:rPr>
          <w:rFonts w:ascii="Arial" w:hAnsi="Arial" w:cs="Arial"/>
          <w:i/>
        </w:rPr>
        <w:t>a quo</w:t>
      </w:r>
      <w:r w:rsidRPr="00004762">
        <w:rPr>
          <w:rFonts w:ascii="Arial" w:hAnsi="Arial" w:cs="Arial"/>
        </w:rPr>
        <w:t xml:space="preserve"> únicamente valoró la pretensión de nulidad absoluta del contrato, teniendo en cuenta la Ley 80 de 1993, norma que no le resultaba aplicable al contrato de donación en cuestión, toda vez que el mismo se c</w:t>
      </w:r>
      <w:r w:rsidR="00293153" w:rsidRPr="00004762">
        <w:rPr>
          <w:rFonts w:ascii="Arial" w:hAnsi="Arial" w:cs="Arial"/>
        </w:rPr>
        <w:t>elebró el 30 de diciembre de 198</w:t>
      </w:r>
      <w:r w:rsidRPr="00004762">
        <w:rPr>
          <w:rFonts w:ascii="Arial" w:hAnsi="Arial" w:cs="Arial"/>
        </w:rPr>
        <w:t>8, por tanto, el perfeccionamiento y la validez de ese negocio debía estudiarse de conformidad con el Decreto-ley 222 de 1983.</w:t>
      </w:r>
    </w:p>
    <w:p w:rsidR="00174EE3" w:rsidRPr="00004762" w:rsidRDefault="00174EE3" w:rsidP="00004762">
      <w:pPr>
        <w:spacing w:line="360" w:lineRule="auto"/>
        <w:jc w:val="both"/>
        <w:rPr>
          <w:rFonts w:ascii="Arial" w:hAnsi="Arial" w:cs="Arial"/>
        </w:rPr>
      </w:pPr>
    </w:p>
    <w:p w:rsidR="007C756D" w:rsidRPr="00004762" w:rsidRDefault="00174EE3" w:rsidP="00004762">
      <w:pPr>
        <w:spacing w:line="360" w:lineRule="auto"/>
        <w:jc w:val="both"/>
        <w:rPr>
          <w:rFonts w:ascii="Arial" w:hAnsi="Arial" w:cs="Arial"/>
        </w:rPr>
      </w:pPr>
      <w:r w:rsidRPr="00004762">
        <w:rPr>
          <w:rFonts w:ascii="Arial" w:hAnsi="Arial" w:cs="Arial"/>
        </w:rPr>
        <w:t xml:space="preserve">En </w:t>
      </w:r>
      <w:r w:rsidRPr="00004762">
        <w:rPr>
          <w:rFonts w:ascii="Arial" w:hAnsi="Arial" w:cs="Arial"/>
          <w:i/>
        </w:rPr>
        <w:t>segundo lugar</w:t>
      </w:r>
      <w:r w:rsidRPr="00004762">
        <w:rPr>
          <w:rFonts w:ascii="Arial" w:hAnsi="Arial" w:cs="Arial"/>
        </w:rPr>
        <w:t xml:space="preserve">, señaló que el Tribunal desconoció que el contrato de donación aún se encuentra vigente, por cuanto la </w:t>
      </w:r>
      <w:r w:rsidRPr="00004762">
        <w:rPr>
          <w:rFonts w:ascii="Arial" w:hAnsi="Arial" w:cs="Arial"/>
          <w:i/>
        </w:rPr>
        <w:t>condición</w:t>
      </w:r>
      <w:r w:rsidRPr="00004762">
        <w:rPr>
          <w:rFonts w:ascii="Arial" w:hAnsi="Arial" w:cs="Arial"/>
        </w:rPr>
        <w:t xml:space="preserve"> pactada en aquel negocio, </w:t>
      </w:r>
      <w:r w:rsidRPr="00004762">
        <w:rPr>
          <w:rFonts w:ascii="Arial" w:hAnsi="Arial" w:cs="Arial"/>
        </w:rPr>
        <w:lastRenderedPageBreak/>
        <w:t xml:space="preserve">consistente en la construcción y funcionamiento de la Facultad de Odontología de la Universidad Libre - Seccional Atlántico, no ha sido cumplida por la demandada. </w:t>
      </w:r>
    </w:p>
    <w:p w:rsidR="00564306" w:rsidRPr="00004762" w:rsidRDefault="00564306" w:rsidP="00004762">
      <w:pPr>
        <w:spacing w:line="360" w:lineRule="auto"/>
        <w:jc w:val="both"/>
        <w:rPr>
          <w:rFonts w:ascii="Arial" w:hAnsi="Arial" w:cs="Arial"/>
        </w:rPr>
      </w:pPr>
    </w:p>
    <w:p w:rsidR="00A94E68" w:rsidRPr="00004762" w:rsidRDefault="00174EE3" w:rsidP="00004762">
      <w:pPr>
        <w:spacing w:line="360" w:lineRule="auto"/>
        <w:jc w:val="both"/>
        <w:rPr>
          <w:rFonts w:ascii="Arial" w:hAnsi="Arial" w:cs="Arial"/>
        </w:rPr>
      </w:pPr>
      <w:r w:rsidRPr="00004762">
        <w:rPr>
          <w:rFonts w:ascii="Arial" w:hAnsi="Arial" w:cs="Arial"/>
        </w:rPr>
        <w:t xml:space="preserve">Bajo ese entendimiento, agregó que </w:t>
      </w:r>
      <w:r w:rsidR="00A94E68" w:rsidRPr="00004762">
        <w:rPr>
          <w:rFonts w:ascii="Arial" w:hAnsi="Arial" w:cs="Arial"/>
        </w:rPr>
        <w:t>como el contrato se encontraba vigente, podía demandar la n</w:t>
      </w:r>
      <w:r w:rsidR="007C756D" w:rsidRPr="00004762">
        <w:rPr>
          <w:rFonts w:ascii="Arial" w:hAnsi="Arial" w:cs="Arial"/>
        </w:rPr>
        <w:t>ulidad absoluta de ese negocio.</w:t>
      </w:r>
    </w:p>
    <w:p w:rsidR="007C756D" w:rsidRPr="00004762" w:rsidRDefault="007C756D" w:rsidP="00004762">
      <w:pPr>
        <w:spacing w:line="360" w:lineRule="auto"/>
        <w:jc w:val="both"/>
        <w:rPr>
          <w:rFonts w:ascii="Arial" w:hAnsi="Arial" w:cs="Arial"/>
        </w:rPr>
      </w:pPr>
    </w:p>
    <w:p w:rsidR="00564306" w:rsidRPr="00004762" w:rsidRDefault="00174EE3" w:rsidP="00004762">
      <w:pPr>
        <w:spacing w:line="360" w:lineRule="auto"/>
        <w:jc w:val="both"/>
        <w:rPr>
          <w:rFonts w:ascii="Arial" w:hAnsi="Arial" w:cs="Arial"/>
        </w:rPr>
      </w:pPr>
      <w:r w:rsidRPr="00004762">
        <w:rPr>
          <w:rFonts w:ascii="Arial" w:hAnsi="Arial" w:cs="Arial"/>
        </w:rPr>
        <w:t xml:space="preserve">En </w:t>
      </w:r>
      <w:r w:rsidRPr="00004762">
        <w:rPr>
          <w:rFonts w:ascii="Arial" w:hAnsi="Arial" w:cs="Arial"/>
          <w:i/>
        </w:rPr>
        <w:t>tercer lugar</w:t>
      </w:r>
      <w:r w:rsidRPr="00004762">
        <w:rPr>
          <w:rFonts w:ascii="Arial" w:hAnsi="Arial" w:cs="Arial"/>
        </w:rPr>
        <w:t xml:space="preserve">, </w:t>
      </w:r>
      <w:r w:rsidR="0094448D" w:rsidRPr="00004762">
        <w:rPr>
          <w:rFonts w:ascii="Arial" w:hAnsi="Arial" w:cs="Arial"/>
        </w:rPr>
        <w:t>insistió en que la demanda podía presentarse en cualquier tiempo, por cuanto el objeto del litigio lo constituye un “</w:t>
      </w:r>
      <w:r w:rsidR="0094448D" w:rsidRPr="00004762">
        <w:rPr>
          <w:rFonts w:ascii="Arial" w:hAnsi="Arial" w:cs="Arial"/>
          <w:i/>
        </w:rPr>
        <w:t>bien estatal</w:t>
      </w:r>
      <w:r w:rsidR="0094448D" w:rsidRPr="00004762">
        <w:rPr>
          <w:rFonts w:ascii="Arial" w:hAnsi="Arial" w:cs="Arial"/>
        </w:rPr>
        <w:t>”, concepto que abarca tanto los bienes de uso públ</w:t>
      </w:r>
      <w:r w:rsidR="00F84912" w:rsidRPr="00004762">
        <w:rPr>
          <w:rFonts w:ascii="Arial" w:hAnsi="Arial" w:cs="Arial"/>
        </w:rPr>
        <w:t xml:space="preserve">ico como los bienes fiscales, por lo que, a juicio del recurrente, el Tribunal </w:t>
      </w:r>
      <w:r w:rsidR="00E322E2" w:rsidRPr="00004762">
        <w:rPr>
          <w:rFonts w:ascii="Arial" w:hAnsi="Arial" w:cs="Arial"/>
          <w:i/>
        </w:rPr>
        <w:t xml:space="preserve">a quo </w:t>
      </w:r>
      <w:r w:rsidR="00F84912" w:rsidRPr="00004762">
        <w:rPr>
          <w:rFonts w:ascii="Arial" w:hAnsi="Arial" w:cs="Arial"/>
        </w:rPr>
        <w:t xml:space="preserve">erró al </w:t>
      </w:r>
      <w:r w:rsidR="00E322E2" w:rsidRPr="00004762">
        <w:rPr>
          <w:rFonts w:ascii="Arial" w:hAnsi="Arial" w:cs="Arial"/>
        </w:rPr>
        <w:t>no aplicar la disposición contenida en el artículo 164, numeral 1, lit</w:t>
      </w:r>
      <w:r w:rsidR="00564306" w:rsidRPr="00004762">
        <w:rPr>
          <w:rFonts w:ascii="Arial" w:hAnsi="Arial" w:cs="Arial"/>
        </w:rPr>
        <w:t>eral b), del CPACA.</w:t>
      </w:r>
    </w:p>
    <w:p w:rsidR="00564306" w:rsidRPr="00004762" w:rsidRDefault="00564306" w:rsidP="00004762">
      <w:pPr>
        <w:spacing w:line="360" w:lineRule="auto"/>
        <w:jc w:val="both"/>
        <w:rPr>
          <w:rFonts w:ascii="Arial" w:hAnsi="Arial" w:cs="Arial"/>
        </w:rPr>
      </w:pPr>
    </w:p>
    <w:p w:rsidR="00C0300D" w:rsidRPr="00004762" w:rsidRDefault="002F2019" w:rsidP="00004762">
      <w:pPr>
        <w:spacing w:line="360" w:lineRule="auto"/>
        <w:jc w:val="both"/>
        <w:rPr>
          <w:rFonts w:ascii="Arial" w:hAnsi="Arial" w:cs="Arial"/>
        </w:rPr>
      </w:pPr>
      <w:r w:rsidRPr="00004762">
        <w:rPr>
          <w:rFonts w:ascii="Arial" w:hAnsi="Arial" w:cs="Arial"/>
        </w:rPr>
        <w:t xml:space="preserve">Por último, </w:t>
      </w:r>
      <w:r w:rsidR="00A94E68" w:rsidRPr="00004762">
        <w:rPr>
          <w:rFonts w:ascii="Arial" w:hAnsi="Arial" w:cs="Arial"/>
        </w:rPr>
        <w:t xml:space="preserve">indicó que en la demanda se acumularon </w:t>
      </w:r>
      <w:r w:rsidR="00C27420" w:rsidRPr="00004762">
        <w:rPr>
          <w:rFonts w:ascii="Arial" w:hAnsi="Arial" w:cs="Arial"/>
        </w:rPr>
        <w:t xml:space="preserve">varias </w:t>
      </w:r>
      <w:r w:rsidR="00A94E68" w:rsidRPr="00004762">
        <w:rPr>
          <w:rFonts w:ascii="Arial" w:hAnsi="Arial" w:cs="Arial"/>
        </w:rPr>
        <w:t xml:space="preserve">pretensiones </w:t>
      </w:r>
      <w:r w:rsidR="00984EF5" w:rsidRPr="00004762">
        <w:rPr>
          <w:rFonts w:ascii="Arial" w:hAnsi="Arial" w:cs="Arial"/>
        </w:rPr>
        <w:t>-</w:t>
      </w:r>
      <w:r w:rsidR="00A94E68" w:rsidRPr="00004762">
        <w:rPr>
          <w:rFonts w:ascii="Arial" w:hAnsi="Arial" w:cs="Arial"/>
        </w:rPr>
        <w:t xml:space="preserve">artículo </w:t>
      </w:r>
      <w:r w:rsidR="00113602" w:rsidRPr="00004762">
        <w:rPr>
          <w:rFonts w:ascii="Arial" w:hAnsi="Arial" w:cs="Arial"/>
        </w:rPr>
        <w:t xml:space="preserve">165 CPACA-, de ahí que, a pesar de que el Tribunal hubiese concluido que la pretensión de nulidad absoluta </w:t>
      </w:r>
      <w:r w:rsidR="008B7F9C" w:rsidRPr="00004762">
        <w:rPr>
          <w:rFonts w:ascii="Arial" w:hAnsi="Arial" w:cs="Arial"/>
        </w:rPr>
        <w:t>caducó</w:t>
      </w:r>
      <w:r w:rsidR="00113602" w:rsidRPr="00004762">
        <w:rPr>
          <w:rFonts w:ascii="Arial" w:hAnsi="Arial" w:cs="Arial"/>
        </w:rPr>
        <w:t xml:space="preserve">, a este le correspondía estudiar las demás pretensiones, tales como el incumplimiento por mora, la pretensión de revocatoria del contrato, </w:t>
      </w:r>
      <w:r w:rsidR="00522741" w:rsidRPr="00004762">
        <w:rPr>
          <w:rFonts w:ascii="Arial" w:hAnsi="Arial" w:cs="Arial"/>
        </w:rPr>
        <w:t>entre otras.</w:t>
      </w:r>
    </w:p>
    <w:p w:rsidR="00C0300D" w:rsidRPr="00004762" w:rsidRDefault="00C0300D" w:rsidP="00004762">
      <w:pPr>
        <w:spacing w:line="360" w:lineRule="auto"/>
        <w:jc w:val="both"/>
        <w:rPr>
          <w:rFonts w:ascii="Arial" w:hAnsi="Arial" w:cs="Arial"/>
        </w:rPr>
      </w:pPr>
    </w:p>
    <w:p w:rsidR="00E646BB" w:rsidRPr="00004762" w:rsidRDefault="00144E85" w:rsidP="00004762">
      <w:pPr>
        <w:spacing w:line="360" w:lineRule="auto"/>
        <w:jc w:val="center"/>
        <w:rPr>
          <w:rFonts w:ascii="Arial" w:hAnsi="Arial" w:cs="Arial"/>
          <w:b/>
        </w:rPr>
      </w:pPr>
      <w:r w:rsidRPr="00004762">
        <w:rPr>
          <w:rFonts w:ascii="Arial" w:hAnsi="Arial" w:cs="Arial"/>
          <w:b/>
        </w:rPr>
        <w:t xml:space="preserve">II. CONSIDERACIONES </w:t>
      </w:r>
    </w:p>
    <w:p w:rsidR="00FC7D93" w:rsidRPr="00004762" w:rsidRDefault="00FC7D93" w:rsidP="00004762">
      <w:pPr>
        <w:spacing w:line="360" w:lineRule="auto"/>
        <w:jc w:val="center"/>
        <w:rPr>
          <w:rFonts w:ascii="Arial" w:hAnsi="Arial" w:cs="Arial"/>
        </w:rPr>
      </w:pPr>
    </w:p>
    <w:p w:rsidR="00B550BD" w:rsidRPr="00004762" w:rsidRDefault="00477FC7" w:rsidP="00004762">
      <w:pPr>
        <w:spacing w:line="360" w:lineRule="auto"/>
        <w:jc w:val="both"/>
        <w:rPr>
          <w:rFonts w:ascii="Arial" w:hAnsi="Arial" w:cs="Arial"/>
          <w:b/>
          <w:bCs/>
        </w:rPr>
      </w:pPr>
      <w:r w:rsidRPr="00004762">
        <w:rPr>
          <w:rFonts w:ascii="Arial" w:hAnsi="Arial" w:cs="Arial"/>
          <w:b/>
        </w:rPr>
        <w:t xml:space="preserve">1. </w:t>
      </w:r>
      <w:r w:rsidR="009A53E1" w:rsidRPr="00004762">
        <w:rPr>
          <w:rFonts w:ascii="Arial" w:hAnsi="Arial" w:cs="Arial"/>
          <w:b/>
          <w:bCs/>
        </w:rPr>
        <w:t>Procedencia de</w:t>
      </w:r>
      <w:r w:rsidR="00EC2839" w:rsidRPr="00004762">
        <w:rPr>
          <w:rFonts w:ascii="Arial" w:hAnsi="Arial" w:cs="Arial"/>
          <w:b/>
          <w:bCs/>
        </w:rPr>
        <w:t xml:space="preserve">l recurso </w:t>
      </w:r>
      <w:r w:rsidR="008B5ED7" w:rsidRPr="00004762">
        <w:rPr>
          <w:rFonts w:ascii="Arial" w:hAnsi="Arial" w:cs="Arial"/>
          <w:b/>
          <w:bCs/>
        </w:rPr>
        <w:t>d</w:t>
      </w:r>
      <w:r w:rsidR="00EB07C2" w:rsidRPr="00004762">
        <w:rPr>
          <w:rFonts w:ascii="Arial" w:hAnsi="Arial" w:cs="Arial"/>
          <w:b/>
          <w:bCs/>
        </w:rPr>
        <w:t xml:space="preserve">e apelación y </w:t>
      </w:r>
      <w:r w:rsidR="008B5ED7" w:rsidRPr="00004762">
        <w:rPr>
          <w:rFonts w:ascii="Arial" w:hAnsi="Arial" w:cs="Arial"/>
          <w:b/>
          <w:bCs/>
        </w:rPr>
        <w:t xml:space="preserve">competencia </w:t>
      </w:r>
      <w:r w:rsidR="00564306" w:rsidRPr="00004762">
        <w:rPr>
          <w:rFonts w:ascii="Arial" w:hAnsi="Arial" w:cs="Arial"/>
          <w:b/>
          <w:bCs/>
        </w:rPr>
        <w:t>del Despacho</w:t>
      </w:r>
    </w:p>
    <w:p w:rsidR="00B550BD" w:rsidRPr="00004762" w:rsidRDefault="00B550BD" w:rsidP="00004762">
      <w:pPr>
        <w:spacing w:line="360" w:lineRule="auto"/>
        <w:jc w:val="both"/>
        <w:rPr>
          <w:rFonts w:ascii="Arial" w:hAnsi="Arial" w:cs="Arial"/>
          <w:b/>
          <w:bCs/>
        </w:rPr>
      </w:pPr>
    </w:p>
    <w:p w:rsidR="0093209D" w:rsidRPr="00004762" w:rsidRDefault="00EC2839" w:rsidP="00004762">
      <w:pPr>
        <w:pStyle w:val="Continuarlista2"/>
        <w:spacing w:after="0" w:line="360" w:lineRule="auto"/>
        <w:ind w:left="0"/>
        <w:jc w:val="both"/>
        <w:rPr>
          <w:rFonts w:ascii="Arial" w:eastAsia="Calibri" w:hAnsi="Arial" w:cs="Arial"/>
          <w:spacing w:val="2"/>
          <w:lang w:eastAsia="en-US"/>
        </w:rPr>
      </w:pPr>
      <w:bookmarkStart w:id="3" w:name="_Hlk24620246"/>
      <w:r w:rsidRPr="00004762">
        <w:rPr>
          <w:rFonts w:ascii="Arial" w:eastAsia="Calibri" w:hAnsi="Arial" w:cs="Arial"/>
          <w:spacing w:val="2"/>
          <w:lang w:eastAsia="en-US"/>
        </w:rPr>
        <w:t xml:space="preserve">De conformidad con el artículo 180.6 del CPACA, </w:t>
      </w:r>
      <w:r w:rsidR="0093209D" w:rsidRPr="00004762">
        <w:rPr>
          <w:rFonts w:ascii="Arial" w:eastAsia="Calibri" w:hAnsi="Arial" w:cs="Arial"/>
          <w:spacing w:val="2"/>
          <w:lang w:eastAsia="en-US"/>
        </w:rPr>
        <w:t>los recursos de apelación son procedentes, porque a través de estos se cuestionan las decisiones que resolvieron sobre las excepciones de caducidad y de inepta demanda.</w:t>
      </w:r>
    </w:p>
    <w:p w:rsidR="003804B0" w:rsidRPr="00004762" w:rsidRDefault="003804B0" w:rsidP="00004762">
      <w:pPr>
        <w:pStyle w:val="Continuarlista2"/>
        <w:spacing w:after="0" w:line="360" w:lineRule="auto"/>
        <w:ind w:left="0"/>
        <w:jc w:val="both"/>
        <w:rPr>
          <w:rFonts w:ascii="Arial" w:eastAsia="Calibri" w:hAnsi="Arial" w:cs="Arial"/>
          <w:spacing w:val="2"/>
          <w:lang w:eastAsia="en-US"/>
        </w:rPr>
      </w:pPr>
    </w:p>
    <w:p w:rsidR="00B8224D" w:rsidRPr="00004762" w:rsidRDefault="0093209D" w:rsidP="00004762">
      <w:pPr>
        <w:spacing w:line="360" w:lineRule="auto"/>
        <w:jc w:val="both"/>
        <w:rPr>
          <w:rFonts w:ascii="Arial" w:eastAsia="Calibri" w:hAnsi="Arial" w:cs="Arial"/>
          <w:spacing w:val="2"/>
          <w:lang w:eastAsia="en-US"/>
        </w:rPr>
      </w:pPr>
      <w:r w:rsidRPr="00004762">
        <w:rPr>
          <w:rFonts w:ascii="Arial" w:hAnsi="Arial" w:cs="Arial"/>
          <w:lang w:val="es-CO"/>
        </w:rPr>
        <w:t xml:space="preserve">Al Despacho, en virtud de lo dispuesto en el artículo 125 </w:t>
      </w:r>
      <w:r w:rsidR="0003161D" w:rsidRPr="00004762">
        <w:rPr>
          <w:rFonts w:ascii="Arial" w:hAnsi="Arial" w:cs="Arial"/>
          <w:i/>
          <w:lang w:val="es-CO"/>
        </w:rPr>
        <w:t>ibídem</w:t>
      </w:r>
      <w:r w:rsidRPr="00004762">
        <w:rPr>
          <w:rFonts w:ascii="Arial" w:hAnsi="Arial" w:cs="Arial"/>
          <w:lang w:val="es-CO"/>
        </w:rPr>
        <w:t xml:space="preserve">, le asiste competencia funcional para resolver las alzadas, por tratarse de providencias dictadas por el Tribunal y, además, porque </w:t>
      </w:r>
      <w:r w:rsidRPr="00004762">
        <w:rPr>
          <w:rFonts w:ascii="Arial" w:eastAsia="Calibri" w:hAnsi="Arial" w:cs="Arial"/>
          <w:spacing w:val="2"/>
          <w:lang w:eastAsia="en-US"/>
        </w:rPr>
        <w:t xml:space="preserve">la decisión que aquí se adoptará, a diferencia de lo resuelto por el </w:t>
      </w:r>
      <w:r w:rsidRPr="00004762">
        <w:rPr>
          <w:rFonts w:ascii="Arial" w:eastAsia="Calibri" w:hAnsi="Arial" w:cs="Arial"/>
          <w:i/>
          <w:spacing w:val="2"/>
          <w:lang w:eastAsia="en-US"/>
        </w:rPr>
        <w:t>a quo</w:t>
      </w:r>
      <w:r w:rsidRPr="00004762">
        <w:rPr>
          <w:rFonts w:ascii="Arial" w:eastAsia="Calibri" w:hAnsi="Arial" w:cs="Arial"/>
          <w:spacing w:val="2"/>
          <w:lang w:eastAsia="en-US"/>
        </w:rPr>
        <w:t>, no implica la terminación del proceso.</w:t>
      </w:r>
    </w:p>
    <w:bookmarkEnd w:id="3"/>
    <w:p w:rsidR="0031003D" w:rsidRPr="00004762" w:rsidRDefault="0031003D" w:rsidP="00004762">
      <w:pPr>
        <w:spacing w:line="360" w:lineRule="auto"/>
        <w:jc w:val="both"/>
        <w:rPr>
          <w:rFonts w:ascii="Arial" w:hAnsi="Arial" w:cs="Arial"/>
          <w:lang w:val="es-CO"/>
        </w:rPr>
      </w:pPr>
    </w:p>
    <w:p w:rsidR="00E65CB7" w:rsidRPr="00004762" w:rsidRDefault="00E646B5" w:rsidP="00004762">
      <w:pPr>
        <w:spacing w:line="360" w:lineRule="auto"/>
        <w:jc w:val="both"/>
        <w:rPr>
          <w:rFonts w:ascii="Arial" w:hAnsi="Arial" w:cs="Arial"/>
          <w:b/>
          <w:lang w:val="es-MX"/>
        </w:rPr>
      </w:pPr>
      <w:r w:rsidRPr="00004762">
        <w:rPr>
          <w:rFonts w:ascii="Arial" w:hAnsi="Arial" w:cs="Arial"/>
          <w:b/>
          <w:lang w:val="es-MX"/>
        </w:rPr>
        <w:t xml:space="preserve"> 2. Caso concreto</w:t>
      </w:r>
    </w:p>
    <w:p w:rsidR="00B8224D" w:rsidRPr="00004762" w:rsidRDefault="00B8224D" w:rsidP="00004762">
      <w:pPr>
        <w:spacing w:line="360" w:lineRule="auto"/>
        <w:jc w:val="both"/>
        <w:rPr>
          <w:rFonts w:ascii="Arial" w:hAnsi="Arial" w:cs="Arial"/>
          <w:lang w:val="es-MX"/>
        </w:rPr>
      </w:pPr>
    </w:p>
    <w:p w:rsidR="00B8224D" w:rsidRPr="00004762" w:rsidRDefault="003E252C" w:rsidP="00004762">
      <w:pPr>
        <w:spacing w:line="360" w:lineRule="auto"/>
        <w:jc w:val="both"/>
        <w:rPr>
          <w:rFonts w:ascii="Arial" w:hAnsi="Arial" w:cs="Arial"/>
          <w:lang w:val="es-MX"/>
        </w:rPr>
      </w:pPr>
      <w:r w:rsidRPr="00004762">
        <w:rPr>
          <w:rFonts w:ascii="Arial" w:hAnsi="Arial" w:cs="Arial"/>
          <w:lang w:val="es-MX"/>
        </w:rPr>
        <w:t>E</w:t>
      </w:r>
      <w:r w:rsidR="00B8224D" w:rsidRPr="00004762">
        <w:rPr>
          <w:rFonts w:ascii="Arial" w:hAnsi="Arial" w:cs="Arial"/>
          <w:lang w:val="es-MX"/>
        </w:rPr>
        <w:t xml:space="preserve">n </w:t>
      </w:r>
      <w:r w:rsidR="00B8224D" w:rsidRPr="00004762">
        <w:rPr>
          <w:rFonts w:ascii="Arial" w:hAnsi="Arial" w:cs="Arial"/>
          <w:i/>
          <w:lang w:val="es-MX"/>
        </w:rPr>
        <w:t>primer lugar</w:t>
      </w:r>
      <w:r w:rsidR="00B8224D" w:rsidRPr="00004762">
        <w:rPr>
          <w:rFonts w:ascii="Arial" w:hAnsi="Arial" w:cs="Arial"/>
          <w:lang w:val="es-MX"/>
        </w:rPr>
        <w:t xml:space="preserve">, </w:t>
      </w:r>
      <w:r w:rsidRPr="00004762">
        <w:rPr>
          <w:rFonts w:ascii="Arial" w:hAnsi="Arial" w:cs="Arial"/>
          <w:lang w:val="es-MX"/>
        </w:rPr>
        <w:t xml:space="preserve">se </w:t>
      </w:r>
      <w:r w:rsidR="00B8224D" w:rsidRPr="00004762">
        <w:rPr>
          <w:rFonts w:ascii="Arial" w:hAnsi="Arial" w:cs="Arial"/>
          <w:lang w:val="es-MX"/>
        </w:rPr>
        <w:t xml:space="preserve">estudiará </w:t>
      </w:r>
      <w:r w:rsidRPr="00004762">
        <w:rPr>
          <w:rFonts w:ascii="Arial" w:hAnsi="Arial" w:cs="Arial"/>
          <w:lang w:val="es-MX"/>
        </w:rPr>
        <w:t xml:space="preserve">la </w:t>
      </w:r>
      <w:r w:rsidR="000B44F9" w:rsidRPr="00004762">
        <w:rPr>
          <w:rFonts w:ascii="Arial" w:hAnsi="Arial" w:cs="Arial"/>
          <w:lang w:val="es-MX"/>
        </w:rPr>
        <w:t xml:space="preserve">excepción de </w:t>
      </w:r>
      <w:r w:rsidRPr="00004762">
        <w:rPr>
          <w:rFonts w:ascii="Arial" w:hAnsi="Arial" w:cs="Arial"/>
          <w:lang w:val="es-MX"/>
        </w:rPr>
        <w:t>caducidad y se anticipa</w:t>
      </w:r>
      <w:r w:rsidR="005F2CEF" w:rsidRPr="00004762">
        <w:rPr>
          <w:rFonts w:ascii="Arial" w:hAnsi="Arial" w:cs="Arial"/>
          <w:lang w:val="es-MX"/>
        </w:rPr>
        <w:t xml:space="preserve"> que ese fenómeno procesal operó</w:t>
      </w:r>
      <w:r w:rsidRPr="00004762">
        <w:rPr>
          <w:rFonts w:ascii="Arial" w:hAnsi="Arial" w:cs="Arial"/>
          <w:lang w:val="es-MX"/>
        </w:rPr>
        <w:t xml:space="preserve"> respecto de la pretensión principal de nulidad absoluta del contrato de donación, sin que su consecuencia sea la terminación del proceso, por las precisiones que se harán más adelante.</w:t>
      </w:r>
    </w:p>
    <w:p w:rsidR="003E252C" w:rsidRPr="00004762" w:rsidRDefault="003E252C" w:rsidP="00004762">
      <w:pPr>
        <w:spacing w:line="360" w:lineRule="auto"/>
        <w:jc w:val="both"/>
        <w:rPr>
          <w:rFonts w:ascii="Arial" w:hAnsi="Arial" w:cs="Arial"/>
          <w:lang w:val="es-MX"/>
        </w:rPr>
      </w:pPr>
    </w:p>
    <w:p w:rsidR="00B8224D" w:rsidRPr="00004762" w:rsidRDefault="003E252C" w:rsidP="00004762">
      <w:pPr>
        <w:spacing w:line="360" w:lineRule="auto"/>
        <w:jc w:val="both"/>
        <w:rPr>
          <w:rFonts w:ascii="Arial" w:hAnsi="Arial" w:cs="Arial"/>
          <w:lang w:val="es-MX"/>
        </w:rPr>
      </w:pPr>
      <w:r w:rsidRPr="00004762">
        <w:rPr>
          <w:rFonts w:ascii="Arial" w:hAnsi="Arial" w:cs="Arial"/>
          <w:lang w:val="es-MX"/>
        </w:rPr>
        <w:t xml:space="preserve">En </w:t>
      </w:r>
      <w:r w:rsidRPr="00004762">
        <w:rPr>
          <w:rFonts w:ascii="Arial" w:hAnsi="Arial" w:cs="Arial"/>
          <w:i/>
          <w:lang w:val="es-MX"/>
        </w:rPr>
        <w:t>segundo lugar</w:t>
      </w:r>
      <w:r w:rsidRPr="00004762">
        <w:rPr>
          <w:rFonts w:ascii="Arial" w:hAnsi="Arial" w:cs="Arial"/>
          <w:lang w:val="es-MX"/>
        </w:rPr>
        <w:t>, se analizará la excepción de inepta demanda, por el supuesto indebido agotamiento d</w:t>
      </w:r>
      <w:r w:rsidR="0003161D" w:rsidRPr="00004762">
        <w:rPr>
          <w:rFonts w:ascii="Arial" w:hAnsi="Arial" w:cs="Arial"/>
          <w:lang w:val="es-MX"/>
        </w:rPr>
        <w:t xml:space="preserve">el requisito </w:t>
      </w:r>
      <w:r w:rsidR="005F2CEF" w:rsidRPr="00004762">
        <w:rPr>
          <w:rFonts w:ascii="Arial" w:hAnsi="Arial" w:cs="Arial"/>
          <w:lang w:val="es-MX"/>
        </w:rPr>
        <w:t>previo</w:t>
      </w:r>
      <w:r w:rsidR="0003161D" w:rsidRPr="00004762">
        <w:rPr>
          <w:rFonts w:ascii="Arial" w:hAnsi="Arial" w:cs="Arial"/>
          <w:lang w:val="es-MX"/>
        </w:rPr>
        <w:t xml:space="preserve"> </w:t>
      </w:r>
      <w:r w:rsidR="005F2CEF" w:rsidRPr="00004762">
        <w:rPr>
          <w:rFonts w:ascii="Arial" w:hAnsi="Arial" w:cs="Arial"/>
          <w:lang w:val="es-MX"/>
        </w:rPr>
        <w:t>de la conciliación extrajudicial.</w:t>
      </w:r>
    </w:p>
    <w:p w:rsidR="003D5B93" w:rsidRPr="00004762" w:rsidRDefault="003D5B93" w:rsidP="00004762">
      <w:pPr>
        <w:spacing w:line="360" w:lineRule="auto"/>
        <w:jc w:val="both"/>
        <w:rPr>
          <w:rFonts w:ascii="Arial" w:hAnsi="Arial" w:cs="Arial"/>
          <w:lang w:val="es-MX"/>
        </w:rPr>
      </w:pPr>
    </w:p>
    <w:p w:rsidR="003D5B93" w:rsidRPr="00004762" w:rsidRDefault="003D5B93" w:rsidP="00004762">
      <w:pPr>
        <w:spacing w:line="360" w:lineRule="auto"/>
        <w:jc w:val="both"/>
        <w:rPr>
          <w:rFonts w:ascii="Arial" w:hAnsi="Arial" w:cs="Arial"/>
          <w:lang w:val="es-MX"/>
        </w:rPr>
      </w:pPr>
      <w:r w:rsidRPr="00004762">
        <w:rPr>
          <w:rFonts w:ascii="Arial" w:hAnsi="Arial" w:cs="Arial"/>
          <w:lang w:val="es-MX"/>
        </w:rPr>
        <w:t>Los anteriores temas se abordar</w:t>
      </w:r>
      <w:r w:rsidR="001C0CC3" w:rsidRPr="00004762">
        <w:rPr>
          <w:rFonts w:ascii="Arial" w:hAnsi="Arial" w:cs="Arial"/>
          <w:lang w:val="es-MX"/>
        </w:rPr>
        <w:t xml:space="preserve">án, no sin antes hacer referencia -como cuestión previa- a la indebida acumulación de pretensiones alegada por la parte demandada en el recurso apelación. </w:t>
      </w:r>
    </w:p>
    <w:p w:rsidR="00404C71" w:rsidRPr="00004762" w:rsidRDefault="00404C71" w:rsidP="00004762">
      <w:pPr>
        <w:spacing w:line="360" w:lineRule="auto"/>
        <w:jc w:val="both"/>
        <w:rPr>
          <w:rFonts w:ascii="Arial" w:hAnsi="Arial" w:cs="Arial"/>
          <w:highlight w:val="green"/>
          <w:lang w:val="es-MX"/>
        </w:rPr>
      </w:pPr>
    </w:p>
    <w:p w:rsidR="001C0CC3" w:rsidRPr="00004762" w:rsidRDefault="001C0CC3" w:rsidP="00004762">
      <w:pPr>
        <w:spacing w:line="360" w:lineRule="auto"/>
        <w:jc w:val="both"/>
        <w:rPr>
          <w:rFonts w:ascii="Arial" w:hAnsi="Arial" w:cs="Arial"/>
          <w:b/>
          <w:lang w:val="es-MX"/>
        </w:rPr>
      </w:pPr>
      <w:r w:rsidRPr="00004762">
        <w:rPr>
          <w:rFonts w:ascii="Arial" w:hAnsi="Arial" w:cs="Arial"/>
          <w:b/>
          <w:lang w:val="es-MX"/>
        </w:rPr>
        <w:t>Cuestión previa</w:t>
      </w:r>
    </w:p>
    <w:p w:rsidR="001C0CC3" w:rsidRPr="00004762" w:rsidRDefault="001C0CC3" w:rsidP="00004762">
      <w:pPr>
        <w:spacing w:line="360" w:lineRule="auto"/>
        <w:jc w:val="both"/>
        <w:rPr>
          <w:rFonts w:ascii="Arial" w:hAnsi="Arial" w:cs="Arial"/>
          <w:b/>
          <w:lang w:val="es-MX"/>
        </w:rPr>
      </w:pPr>
    </w:p>
    <w:p w:rsidR="00404C71" w:rsidRPr="00004762" w:rsidRDefault="00404C71" w:rsidP="00004762">
      <w:pPr>
        <w:spacing w:line="360" w:lineRule="auto"/>
        <w:jc w:val="both"/>
        <w:rPr>
          <w:rFonts w:ascii="Arial" w:hAnsi="Arial" w:cs="Arial"/>
        </w:rPr>
      </w:pPr>
      <w:r w:rsidRPr="00004762">
        <w:rPr>
          <w:rFonts w:ascii="Arial" w:hAnsi="Arial" w:cs="Arial"/>
        </w:rPr>
        <w:t>La parte demandada, en su recurso de apelación, señaló que las pretensiones principales del libelo introductorio (nulidad absoluta del contrato de donación y rescisión del mismo) están indebidamente acumuladas, en la medida en que son contradictorias, por cuanto “</w:t>
      </w:r>
      <w:r w:rsidRPr="00004762">
        <w:rPr>
          <w:rFonts w:ascii="Arial" w:hAnsi="Arial" w:cs="Arial"/>
          <w:i/>
        </w:rPr>
        <w:t>la rescisión implica determinar la mora en el cumplimiento de una obligación y si estamos hablando de mora no puede hablarse -al mismo tiempo- de invalidez del contrato</w:t>
      </w:r>
      <w:r w:rsidRPr="00004762">
        <w:rPr>
          <w:rFonts w:ascii="Arial" w:hAnsi="Arial" w:cs="Arial"/>
        </w:rPr>
        <w:t xml:space="preserve">”. </w:t>
      </w:r>
    </w:p>
    <w:p w:rsidR="00404C71" w:rsidRPr="00004762" w:rsidRDefault="00404C71" w:rsidP="00004762">
      <w:pPr>
        <w:spacing w:line="360" w:lineRule="auto"/>
        <w:jc w:val="both"/>
        <w:rPr>
          <w:rFonts w:ascii="Arial" w:hAnsi="Arial" w:cs="Arial"/>
        </w:rPr>
      </w:pPr>
    </w:p>
    <w:p w:rsidR="00404C71" w:rsidRPr="00004762" w:rsidRDefault="00404C71" w:rsidP="00004762">
      <w:pPr>
        <w:spacing w:line="360" w:lineRule="auto"/>
        <w:jc w:val="both"/>
        <w:rPr>
          <w:rFonts w:ascii="Arial" w:hAnsi="Arial" w:cs="Arial"/>
        </w:rPr>
      </w:pPr>
      <w:r w:rsidRPr="00004762">
        <w:rPr>
          <w:rFonts w:ascii="Arial" w:hAnsi="Arial" w:cs="Arial"/>
        </w:rPr>
        <w:t>De entrada, se advierte que el Tribunal, en la audiencia inicial, no se pronunció sobre la indebida acumulación de pretensiones, porque aquello no sirvió como fundamento de la excepción de inepta demanda. En ese sentido, pese a que la universidad alegó ese aspecto en la apelación, este Despacho no se encuentra habilitado para pronunciarse al respecto, en tanto carece de competencia, porque la indebida acumulación de pretensiones no se trata de un punto de inconformidad contra la decisión recurrida, sino de un argumento nuevo traído con la alzada.</w:t>
      </w:r>
    </w:p>
    <w:p w:rsidR="00404C71" w:rsidRPr="00004762" w:rsidRDefault="00404C71" w:rsidP="00004762">
      <w:pPr>
        <w:spacing w:line="360" w:lineRule="auto"/>
        <w:jc w:val="both"/>
        <w:rPr>
          <w:rFonts w:ascii="Arial" w:hAnsi="Arial" w:cs="Arial"/>
        </w:rPr>
      </w:pPr>
    </w:p>
    <w:p w:rsidR="00404C71" w:rsidRPr="00004762" w:rsidRDefault="00404C71" w:rsidP="00004762">
      <w:pPr>
        <w:spacing w:line="360" w:lineRule="auto"/>
        <w:jc w:val="both"/>
        <w:rPr>
          <w:rFonts w:ascii="Arial" w:hAnsi="Arial" w:cs="Arial"/>
        </w:rPr>
      </w:pPr>
      <w:r w:rsidRPr="00004762">
        <w:rPr>
          <w:rFonts w:ascii="Arial" w:hAnsi="Arial" w:cs="Arial"/>
        </w:rPr>
        <w:t xml:space="preserve">En todo caso, aun cuando de manera oficiosa se abordara lo planteado por la demandada, por sustracción de materia, habría que señalar que ante la caducidad de la pretensión de nulidad absoluta del contrato y su respectiva exclusión de la </w:t>
      </w:r>
      <w:r w:rsidRPr="00004762">
        <w:rPr>
          <w:rFonts w:ascii="Arial" w:hAnsi="Arial" w:cs="Arial"/>
          <w:i/>
        </w:rPr>
        <w:t>litis</w:t>
      </w:r>
      <w:r w:rsidRPr="00004762">
        <w:rPr>
          <w:rFonts w:ascii="Arial" w:hAnsi="Arial" w:cs="Arial"/>
        </w:rPr>
        <w:t xml:space="preserve"> -como se ver</w:t>
      </w:r>
      <w:r w:rsidR="00CE279E" w:rsidRPr="00004762">
        <w:rPr>
          <w:rFonts w:ascii="Arial" w:hAnsi="Arial" w:cs="Arial"/>
        </w:rPr>
        <w:t>á</w:t>
      </w:r>
      <w:r w:rsidRPr="00004762">
        <w:rPr>
          <w:rFonts w:ascii="Arial" w:hAnsi="Arial" w:cs="Arial"/>
        </w:rPr>
        <w:t>-, mal podría entenderse configurada una inepta demanda por indebida acumulación de aquella pretensión con la de rescisión del contrato.</w:t>
      </w:r>
    </w:p>
    <w:p w:rsidR="001C0CC3" w:rsidRPr="00004762" w:rsidRDefault="001C0CC3" w:rsidP="00004762">
      <w:pPr>
        <w:spacing w:line="360" w:lineRule="auto"/>
        <w:jc w:val="both"/>
        <w:rPr>
          <w:rFonts w:ascii="Arial" w:hAnsi="Arial" w:cs="Arial"/>
          <w:lang w:val="es-MX"/>
        </w:rPr>
      </w:pPr>
    </w:p>
    <w:p w:rsidR="00E646B5" w:rsidRPr="00004762" w:rsidRDefault="00E646B5" w:rsidP="00004762">
      <w:pPr>
        <w:jc w:val="both"/>
        <w:rPr>
          <w:rFonts w:ascii="Arial" w:hAnsi="Arial" w:cs="Arial"/>
          <w:b/>
          <w:lang w:val="es-MX"/>
        </w:rPr>
      </w:pPr>
      <w:r w:rsidRPr="00004762">
        <w:rPr>
          <w:rFonts w:ascii="Arial" w:hAnsi="Arial" w:cs="Arial"/>
          <w:b/>
          <w:lang w:val="es-MX"/>
        </w:rPr>
        <w:t xml:space="preserve">2.1. Caducidad de la pretensión de nulidad absoluta del contrato </w:t>
      </w:r>
    </w:p>
    <w:p w:rsidR="00B8224D" w:rsidRPr="00004762" w:rsidRDefault="00B8224D" w:rsidP="00004762">
      <w:pPr>
        <w:spacing w:line="360" w:lineRule="auto"/>
        <w:jc w:val="both"/>
        <w:rPr>
          <w:rFonts w:ascii="Arial" w:hAnsi="Arial" w:cs="Arial"/>
          <w:b/>
          <w:lang w:val="es-MX"/>
        </w:rPr>
      </w:pPr>
    </w:p>
    <w:p w:rsidR="00B550BD" w:rsidRPr="00004762" w:rsidRDefault="00154D11" w:rsidP="00004762">
      <w:pPr>
        <w:spacing w:line="360" w:lineRule="auto"/>
        <w:jc w:val="both"/>
        <w:rPr>
          <w:rFonts w:ascii="Arial" w:hAnsi="Arial" w:cs="Arial"/>
          <w:lang w:val="es-MX"/>
        </w:rPr>
      </w:pPr>
      <w:r w:rsidRPr="00004762">
        <w:rPr>
          <w:rFonts w:ascii="Arial" w:hAnsi="Arial" w:cs="Arial"/>
          <w:lang w:val="es-MX"/>
        </w:rPr>
        <w:t xml:space="preserve">El Tribunal concluyó que </w:t>
      </w:r>
      <w:r w:rsidR="0003161D" w:rsidRPr="00004762">
        <w:rPr>
          <w:rFonts w:ascii="Arial" w:hAnsi="Arial" w:cs="Arial"/>
          <w:lang w:val="es-MX"/>
        </w:rPr>
        <w:t>operó la caducidad</w:t>
      </w:r>
      <w:r w:rsidR="009024A0" w:rsidRPr="00004762">
        <w:rPr>
          <w:rFonts w:ascii="Arial" w:hAnsi="Arial" w:cs="Arial"/>
          <w:lang w:val="es-MX"/>
        </w:rPr>
        <w:t xml:space="preserve"> del medio de control de controversias contractuales</w:t>
      </w:r>
      <w:r w:rsidR="003804B0" w:rsidRPr="00004762">
        <w:rPr>
          <w:rFonts w:ascii="Arial" w:hAnsi="Arial" w:cs="Arial"/>
          <w:lang w:val="es-MX"/>
        </w:rPr>
        <w:t xml:space="preserve"> </w:t>
      </w:r>
      <w:r w:rsidR="00650EDE" w:rsidRPr="00004762">
        <w:rPr>
          <w:rFonts w:ascii="Arial" w:hAnsi="Arial" w:cs="Arial"/>
          <w:lang w:val="es-MX"/>
        </w:rPr>
        <w:t xml:space="preserve">y, como consecuencia, </w:t>
      </w:r>
      <w:r w:rsidR="007A475B" w:rsidRPr="00004762">
        <w:rPr>
          <w:rFonts w:ascii="Arial" w:hAnsi="Arial" w:cs="Arial"/>
          <w:lang w:val="es-MX"/>
        </w:rPr>
        <w:t xml:space="preserve">dio por terminado el proceso, pero el Despacho advierte que </w:t>
      </w:r>
      <w:r w:rsidR="0051580B" w:rsidRPr="00004762">
        <w:rPr>
          <w:rFonts w:ascii="Arial" w:hAnsi="Arial" w:cs="Arial"/>
          <w:lang w:val="es-MX"/>
        </w:rPr>
        <w:t>sus</w:t>
      </w:r>
      <w:r w:rsidR="007A475B" w:rsidRPr="00004762">
        <w:rPr>
          <w:rFonts w:ascii="Arial" w:hAnsi="Arial" w:cs="Arial"/>
          <w:lang w:val="es-MX"/>
        </w:rPr>
        <w:t xml:space="preserve"> argumentos </w:t>
      </w:r>
      <w:r w:rsidR="0003161D" w:rsidRPr="00004762">
        <w:rPr>
          <w:rFonts w:ascii="Arial" w:hAnsi="Arial" w:cs="Arial"/>
          <w:lang w:val="es-MX"/>
        </w:rPr>
        <w:t>tuvieron relación -únicamente- frente a la pretensión</w:t>
      </w:r>
      <w:r w:rsidR="009024A0" w:rsidRPr="00004762">
        <w:rPr>
          <w:rFonts w:ascii="Arial" w:hAnsi="Arial" w:cs="Arial"/>
          <w:lang w:val="es-MX"/>
        </w:rPr>
        <w:t xml:space="preserve"> principal</w:t>
      </w:r>
      <w:r w:rsidR="0003161D" w:rsidRPr="00004762">
        <w:rPr>
          <w:rFonts w:ascii="Arial" w:hAnsi="Arial" w:cs="Arial"/>
          <w:lang w:val="es-MX"/>
        </w:rPr>
        <w:t xml:space="preserve"> de nulidad absoluta del contrato,</w:t>
      </w:r>
      <w:r w:rsidR="007A475B" w:rsidRPr="00004762">
        <w:rPr>
          <w:rFonts w:ascii="Arial" w:hAnsi="Arial" w:cs="Arial"/>
          <w:lang w:val="es-MX"/>
        </w:rPr>
        <w:t xml:space="preserve"> sin haber tenido en cuenta las </w:t>
      </w:r>
      <w:r w:rsidR="007A475B" w:rsidRPr="00004762">
        <w:rPr>
          <w:rFonts w:ascii="Arial" w:hAnsi="Arial" w:cs="Arial"/>
          <w:lang w:val="es-MX"/>
        </w:rPr>
        <w:lastRenderedPageBreak/>
        <w:t xml:space="preserve">otras pretensiones </w:t>
      </w:r>
      <w:r w:rsidR="0051580B" w:rsidRPr="00004762">
        <w:rPr>
          <w:rFonts w:ascii="Arial" w:hAnsi="Arial" w:cs="Arial"/>
          <w:lang w:val="es-MX"/>
        </w:rPr>
        <w:t>formuladas</w:t>
      </w:r>
      <w:r w:rsidR="009024A0" w:rsidRPr="00004762">
        <w:rPr>
          <w:rFonts w:ascii="Arial" w:hAnsi="Arial" w:cs="Arial"/>
          <w:lang w:val="es-MX"/>
        </w:rPr>
        <w:t xml:space="preserve"> -subsidiarias de la nulidad absoluta y la otra principal de rescisión con sus respectivas subsidiarias-</w:t>
      </w:r>
      <w:r w:rsidR="00085470" w:rsidRPr="00004762">
        <w:rPr>
          <w:rFonts w:ascii="Arial" w:hAnsi="Arial" w:cs="Arial"/>
          <w:lang w:val="es-MX"/>
        </w:rPr>
        <w:t xml:space="preserve">, a las cuales no les </w:t>
      </w:r>
      <w:r w:rsidR="007D7709" w:rsidRPr="00004762">
        <w:rPr>
          <w:rFonts w:ascii="Arial" w:hAnsi="Arial" w:cs="Arial"/>
          <w:lang w:val="es-MX"/>
        </w:rPr>
        <w:t xml:space="preserve">cobija </w:t>
      </w:r>
      <w:r w:rsidR="00085470" w:rsidRPr="00004762">
        <w:rPr>
          <w:rFonts w:ascii="Arial" w:hAnsi="Arial" w:cs="Arial"/>
          <w:lang w:val="es-MX"/>
        </w:rPr>
        <w:t xml:space="preserve">el análisis de caducidad que </w:t>
      </w:r>
      <w:r w:rsidR="009024A0" w:rsidRPr="00004762">
        <w:rPr>
          <w:rFonts w:ascii="Arial" w:hAnsi="Arial" w:cs="Arial"/>
          <w:lang w:val="es-MX"/>
        </w:rPr>
        <w:t xml:space="preserve">el </w:t>
      </w:r>
      <w:r w:rsidR="009024A0" w:rsidRPr="00004762">
        <w:rPr>
          <w:rFonts w:ascii="Arial" w:hAnsi="Arial" w:cs="Arial"/>
          <w:i/>
          <w:lang w:val="es-MX"/>
        </w:rPr>
        <w:t>a quo</w:t>
      </w:r>
      <w:r w:rsidR="00085470" w:rsidRPr="00004762">
        <w:rPr>
          <w:rFonts w:ascii="Arial" w:hAnsi="Arial" w:cs="Arial"/>
          <w:lang w:val="es-MX"/>
        </w:rPr>
        <w:t xml:space="preserve"> hizo, por las razones que se explicarán a continuación. </w:t>
      </w:r>
    </w:p>
    <w:p w:rsidR="00C0300D" w:rsidRPr="00004762" w:rsidRDefault="00C0300D" w:rsidP="00004762">
      <w:pPr>
        <w:spacing w:line="360" w:lineRule="auto"/>
        <w:jc w:val="both"/>
        <w:rPr>
          <w:rFonts w:ascii="Arial" w:hAnsi="Arial" w:cs="Arial"/>
          <w:lang w:val="es-MX"/>
        </w:rPr>
      </w:pPr>
    </w:p>
    <w:p w:rsidR="00761818" w:rsidRPr="00004762" w:rsidRDefault="007A475B" w:rsidP="00004762">
      <w:pPr>
        <w:spacing w:line="360" w:lineRule="auto"/>
        <w:jc w:val="both"/>
        <w:rPr>
          <w:rFonts w:ascii="Arial" w:hAnsi="Arial" w:cs="Arial"/>
          <w:lang w:val="es-MX"/>
        </w:rPr>
      </w:pPr>
      <w:r w:rsidRPr="00004762">
        <w:rPr>
          <w:rFonts w:ascii="Arial" w:hAnsi="Arial" w:cs="Arial"/>
          <w:lang w:val="es-MX"/>
        </w:rPr>
        <w:t xml:space="preserve">Pues bien, antes de abordar </w:t>
      </w:r>
      <w:r w:rsidR="00E646B5" w:rsidRPr="00004762">
        <w:rPr>
          <w:rFonts w:ascii="Arial" w:hAnsi="Arial" w:cs="Arial"/>
          <w:lang w:val="es-MX"/>
        </w:rPr>
        <w:t xml:space="preserve">lo </w:t>
      </w:r>
      <w:r w:rsidR="004F68EB" w:rsidRPr="00004762">
        <w:rPr>
          <w:rFonts w:ascii="Arial" w:hAnsi="Arial" w:cs="Arial"/>
          <w:lang w:val="es-MX"/>
        </w:rPr>
        <w:t>pertinente</w:t>
      </w:r>
      <w:r w:rsidR="00E646B5" w:rsidRPr="00004762">
        <w:rPr>
          <w:rFonts w:ascii="Arial" w:hAnsi="Arial" w:cs="Arial"/>
          <w:lang w:val="es-MX"/>
        </w:rPr>
        <w:t xml:space="preserve">, </w:t>
      </w:r>
      <w:r w:rsidR="00761818" w:rsidRPr="00004762">
        <w:rPr>
          <w:rFonts w:ascii="Arial" w:hAnsi="Arial" w:cs="Arial"/>
          <w:lang w:val="es-MX"/>
        </w:rPr>
        <w:t xml:space="preserve">conviene precisar, de un lado, </w:t>
      </w:r>
      <w:r w:rsidR="009867C9" w:rsidRPr="00004762">
        <w:rPr>
          <w:rFonts w:ascii="Arial" w:hAnsi="Arial" w:cs="Arial"/>
          <w:lang w:val="es-MX"/>
        </w:rPr>
        <w:t xml:space="preserve">cuál es </w:t>
      </w:r>
      <w:r w:rsidR="00761818" w:rsidRPr="00004762">
        <w:rPr>
          <w:rFonts w:ascii="Arial" w:hAnsi="Arial" w:cs="Arial"/>
          <w:lang w:val="es-MX"/>
        </w:rPr>
        <w:t xml:space="preserve">el </w:t>
      </w:r>
      <w:r w:rsidR="00881392" w:rsidRPr="00004762">
        <w:rPr>
          <w:rFonts w:ascii="Arial" w:hAnsi="Arial" w:cs="Arial"/>
          <w:lang w:val="es-MX"/>
        </w:rPr>
        <w:t>estatuto contractual</w:t>
      </w:r>
      <w:r w:rsidR="00761818" w:rsidRPr="00004762">
        <w:rPr>
          <w:rFonts w:ascii="Arial" w:hAnsi="Arial" w:cs="Arial"/>
          <w:lang w:val="es-MX"/>
        </w:rPr>
        <w:t xml:space="preserve"> </w:t>
      </w:r>
      <w:r w:rsidR="009867C9" w:rsidRPr="00004762">
        <w:rPr>
          <w:rFonts w:ascii="Arial" w:hAnsi="Arial" w:cs="Arial"/>
          <w:lang w:val="es-MX"/>
        </w:rPr>
        <w:t>que rige el</w:t>
      </w:r>
      <w:r w:rsidR="00881392" w:rsidRPr="00004762">
        <w:rPr>
          <w:rFonts w:ascii="Arial" w:hAnsi="Arial" w:cs="Arial"/>
          <w:lang w:val="es-MX"/>
        </w:rPr>
        <w:t xml:space="preserve"> negocio objeto de estudio </w:t>
      </w:r>
      <w:r w:rsidR="00761818" w:rsidRPr="00004762">
        <w:rPr>
          <w:rFonts w:ascii="Arial" w:hAnsi="Arial" w:cs="Arial"/>
          <w:lang w:val="es-MX"/>
        </w:rPr>
        <w:t xml:space="preserve">y, de otra parte, </w:t>
      </w:r>
      <w:r w:rsidR="009867C9" w:rsidRPr="00004762">
        <w:rPr>
          <w:rFonts w:ascii="Arial" w:hAnsi="Arial" w:cs="Arial"/>
          <w:lang w:val="es-MX"/>
        </w:rPr>
        <w:t xml:space="preserve">cuál es </w:t>
      </w:r>
      <w:r w:rsidR="00761818" w:rsidRPr="00004762">
        <w:rPr>
          <w:rFonts w:ascii="Arial" w:hAnsi="Arial" w:cs="Arial"/>
          <w:lang w:val="es-MX"/>
        </w:rPr>
        <w:t>la norma procesal aplicable para efectos del conteo de la caducidad. Veamos.</w:t>
      </w:r>
    </w:p>
    <w:p w:rsidR="00761818" w:rsidRPr="00004762" w:rsidRDefault="00761818" w:rsidP="00004762">
      <w:pPr>
        <w:spacing w:line="360" w:lineRule="auto"/>
        <w:jc w:val="both"/>
        <w:rPr>
          <w:rFonts w:ascii="Arial" w:hAnsi="Arial" w:cs="Arial"/>
          <w:lang w:val="es-MX"/>
        </w:rPr>
      </w:pPr>
    </w:p>
    <w:p w:rsidR="00761818" w:rsidRPr="00004762" w:rsidRDefault="00761818" w:rsidP="00004762">
      <w:pPr>
        <w:numPr>
          <w:ilvl w:val="0"/>
          <w:numId w:val="6"/>
        </w:numPr>
        <w:spacing w:line="360" w:lineRule="auto"/>
        <w:ind w:left="0" w:firstLine="720"/>
        <w:jc w:val="both"/>
        <w:rPr>
          <w:rFonts w:ascii="Arial" w:hAnsi="Arial" w:cs="Arial"/>
          <w:lang w:val="es-MX"/>
        </w:rPr>
      </w:pPr>
      <w:bookmarkStart w:id="4" w:name="_Hlk24620563"/>
      <w:r w:rsidRPr="00004762">
        <w:rPr>
          <w:rFonts w:ascii="Arial" w:hAnsi="Arial" w:cs="Arial"/>
          <w:lang w:val="es-MX"/>
        </w:rPr>
        <w:t xml:space="preserve">El </w:t>
      </w:r>
      <w:bookmarkStart w:id="5" w:name="_Hlk24620459"/>
      <w:r w:rsidRPr="00004762">
        <w:rPr>
          <w:rFonts w:ascii="Arial" w:hAnsi="Arial" w:cs="Arial"/>
          <w:lang w:val="es-MX"/>
        </w:rPr>
        <w:t xml:space="preserve">contrato de donación </w:t>
      </w:r>
      <w:bookmarkEnd w:id="5"/>
      <w:r w:rsidRPr="00004762">
        <w:rPr>
          <w:rFonts w:ascii="Arial" w:hAnsi="Arial" w:cs="Arial"/>
          <w:lang w:val="es-MX"/>
        </w:rPr>
        <w:t xml:space="preserve">en cuestión se celebró el 30 de diciembre de 1988, época para la cual se encontraba vigente el Decreto-ley 222 de 1983, por </w:t>
      </w:r>
      <w:r w:rsidR="00EB51AB" w:rsidRPr="00004762">
        <w:rPr>
          <w:rFonts w:ascii="Arial" w:hAnsi="Arial" w:cs="Arial"/>
          <w:lang w:val="es-MX"/>
        </w:rPr>
        <w:t>manera que a ese acuerdo de voluntades</w:t>
      </w:r>
      <w:r w:rsidRPr="00004762">
        <w:rPr>
          <w:rFonts w:ascii="Arial" w:hAnsi="Arial" w:cs="Arial"/>
          <w:lang w:val="es-MX"/>
        </w:rPr>
        <w:t xml:space="preserve"> le era aplicable el referido estatuto</w:t>
      </w:r>
      <w:r w:rsidR="004F68EB" w:rsidRPr="00004762">
        <w:rPr>
          <w:rStyle w:val="Refdenotaalpie"/>
          <w:rFonts w:ascii="Arial" w:hAnsi="Arial" w:cs="Arial"/>
          <w:lang w:val="es-MX"/>
        </w:rPr>
        <w:footnoteReference w:id="7"/>
      </w:r>
      <w:r w:rsidR="00796DAB" w:rsidRPr="00004762">
        <w:rPr>
          <w:rFonts w:ascii="Arial" w:hAnsi="Arial" w:cs="Arial"/>
          <w:lang w:val="es-MX"/>
        </w:rPr>
        <w:t xml:space="preserve"> </w:t>
      </w:r>
      <w:r w:rsidRPr="00004762">
        <w:rPr>
          <w:rFonts w:ascii="Arial" w:hAnsi="Arial" w:cs="Arial"/>
          <w:lang w:val="es-MX"/>
        </w:rPr>
        <w:t xml:space="preserve">y no la Ley 80 de 1993 como lo señaló erróneamente el Tribunal </w:t>
      </w:r>
      <w:r w:rsidRPr="00004762">
        <w:rPr>
          <w:rFonts w:ascii="Arial" w:hAnsi="Arial" w:cs="Arial"/>
          <w:i/>
          <w:lang w:val="es-MX"/>
        </w:rPr>
        <w:t>a quo</w:t>
      </w:r>
      <w:r w:rsidRPr="00004762">
        <w:rPr>
          <w:rFonts w:ascii="Arial" w:hAnsi="Arial" w:cs="Arial"/>
          <w:lang w:val="es-MX"/>
        </w:rPr>
        <w:t>.</w:t>
      </w:r>
    </w:p>
    <w:bookmarkEnd w:id="4"/>
    <w:p w:rsidR="00761818" w:rsidRPr="00004762" w:rsidRDefault="00761818" w:rsidP="00004762">
      <w:pPr>
        <w:spacing w:line="360" w:lineRule="auto"/>
        <w:jc w:val="both"/>
        <w:rPr>
          <w:rFonts w:ascii="Arial" w:hAnsi="Arial" w:cs="Arial"/>
          <w:lang w:val="es-MX"/>
        </w:rPr>
      </w:pPr>
    </w:p>
    <w:p w:rsidR="00B8224D" w:rsidRPr="00004762" w:rsidRDefault="00ED4531" w:rsidP="00004762">
      <w:pPr>
        <w:numPr>
          <w:ilvl w:val="0"/>
          <w:numId w:val="6"/>
        </w:numPr>
        <w:spacing w:line="360" w:lineRule="auto"/>
        <w:ind w:left="0" w:firstLine="720"/>
        <w:jc w:val="both"/>
        <w:rPr>
          <w:rFonts w:ascii="Arial" w:hAnsi="Arial" w:cs="Arial"/>
          <w:lang w:val="es-MX"/>
        </w:rPr>
      </w:pPr>
      <w:bookmarkStart w:id="6" w:name="_Hlk24621413"/>
      <w:r w:rsidRPr="00004762">
        <w:rPr>
          <w:rFonts w:ascii="Arial" w:hAnsi="Arial" w:cs="Arial"/>
          <w:lang w:val="es-MX"/>
        </w:rPr>
        <w:t xml:space="preserve">La demanda se presentó el 12 de septiembre de 2014, esto es, en vigencia de la Ley 1437 de 2011, por lo que las normas procesales aplicables al </w:t>
      </w:r>
      <w:r w:rsidRPr="00004762">
        <w:rPr>
          <w:rFonts w:ascii="Arial" w:hAnsi="Arial" w:cs="Arial"/>
          <w:i/>
          <w:lang w:val="es-MX"/>
        </w:rPr>
        <w:t>sub examine</w:t>
      </w:r>
      <w:r w:rsidRPr="00004762">
        <w:rPr>
          <w:rFonts w:ascii="Arial" w:hAnsi="Arial" w:cs="Arial"/>
          <w:lang w:val="es-MX"/>
        </w:rPr>
        <w:t xml:space="preserve"> son las contenidas en ese cuerpo normativo. No obstante, </w:t>
      </w:r>
      <w:r w:rsidR="00DD427D" w:rsidRPr="00004762">
        <w:rPr>
          <w:rFonts w:ascii="Arial" w:hAnsi="Arial" w:cs="Arial"/>
          <w:lang w:val="es-MX"/>
        </w:rPr>
        <w:t>para efe</w:t>
      </w:r>
      <w:r w:rsidR="006650BC" w:rsidRPr="00004762">
        <w:rPr>
          <w:rFonts w:ascii="Arial" w:hAnsi="Arial" w:cs="Arial"/>
          <w:lang w:val="es-MX"/>
        </w:rPr>
        <w:t xml:space="preserve">ctos del conteo de la caducidad y </w:t>
      </w:r>
      <w:r w:rsidR="00426D66" w:rsidRPr="00004762">
        <w:rPr>
          <w:rFonts w:ascii="Arial" w:hAnsi="Arial" w:cs="Arial"/>
          <w:lang w:val="es-MX"/>
        </w:rPr>
        <w:t>en vista de</w:t>
      </w:r>
      <w:r w:rsidR="006650BC" w:rsidRPr="00004762">
        <w:rPr>
          <w:rFonts w:ascii="Arial" w:hAnsi="Arial" w:cs="Arial"/>
          <w:lang w:val="es-MX"/>
        </w:rPr>
        <w:t xml:space="preserve"> </w:t>
      </w:r>
      <w:r w:rsidR="0083397D" w:rsidRPr="00004762">
        <w:rPr>
          <w:rFonts w:ascii="Arial" w:hAnsi="Arial" w:cs="Arial"/>
          <w:lang w:val="es-MX"/>
        </w:rPr>
        <w:t xml:space="preserve">que </w:t>
      </w:r>
      <w:r w:rsidR="006650BC" w:rsidRPr="00004762">
        <w:rPr>
          <w:rFonts w:ascii="Arial" w:hAnsi="Arial" w:cs="Arial"/>
          <w:lang w:val="es-MX"/>
        </w:rPr>
        <w:t xml:space="preserve">dicho término empezó a correr en </w:t>
      </w:r>
      <w:r w:rsidR="00CB18AA" w:rsidRPr="00004762">
        <w:rPr>
          <w:rFonts w:ascii="Arial" w:hAnsi="Arial" w:cs="Arial"/>
          <w:lang w:val="es-MX"/>
        </w:rPr>
        <w:t xml:space="preserve">vigencia del Decreto 01 de 1984 </w:t>
      </w:r>
      <w:r w:rsidR="0083397D" w:rsidRPr="00004762">
        <w:rPr>
          <w:rFonts w:ascii="Arial" w:hAnsi="Arial" w:cs="Arial"/>
          <w:lang w:val="es-MX"/>
        </w:rPr>
        <w:t>-</w:t>
      </w:r>
      <w:r w:rsidR="00881392" w:rsidRPr="00004762">
        <w:rPr>
          <w:rFonts w:ascii="Arial" w:hAnsi="Arial" w:cs="Arial"/>
          <w:lang w:val="es-MX"/>
        </w:rPr>
        <w:t xml:space="preserve">tal y </w:t>
      </w:r>
      <w:r w:rsidR="0083397D" w:rsidRPr="00004762">
        <w:rPr>
          <w:rFonts w:ascii="Arial" w:hAnsi="Arial" w:cs="Arial"/>
          <w:lang w:val="es-MX"/>
        </w:rPr>
        <w:t>como se verá más adelante-</w:t>
      </w:r>
      <w:r w:rsidR="006650BC" w:rsidRPr="00004762">
        <w:rPr>
          <w:rFonts w:ascii="Arial" w:hAnsi="Arial" w:cs="Arial"/>
          <w:lang w:val="es-MX"/>
        </w:rPr>
        <w:t>,</w:t>
      </w:r>
      <w:r w:rsidR="0083397D" w:rsidRPr="00004762">
        <w:rPr>
          <w:rFonts w:ascii="Arial" w:hAnsi="Arial" w:cs="Arial"/>
          <w:lang w:val="es-MX"/>
        </w:rPr>
        <w:t xml:space="preserve"> se tendrán en cuenta las disp</w:t>
      </w:r>
      <w:r w:rsidR="00881392" w:rsidRPr="00004762">
        <w:rPr>
          <w:rFonts w:ascii="Arial" w:hAnsi="Arial" w:cs="Arial"/>
          <w:lang w:val="es-MX"/>
        </w:rPr>
        <w:t>osiciones del CCA y no las del CPACA</w:t>
      </w:r>
      <w:r w:rsidR="00881392" w:rsidRPr="00004762">
        <w:rPr>
          <w:rStyle w:val="Refdenotaalpie"/>
          <w:rFonts w:ascii="Arial" w:hAnsi="Arial" w:cs="Arial"/>
          <w:lang w:val="es-MX"/>
        </w:rPr>
        <w:footnoteReference w:id="8"/>
      </w:r>
      <w:r w:rsidR="00881392" w:rsidRPr="00004762">
        <w:rPr>
          <w:rFonts w:ascii="Arial" w:hAnsi="Arial" w:cs="Arial"/>
          <w:lang w:val="es-MX"/>
        </w:rPr>
        <w:t>.</w:t>
      </w:r>
    </w:p>
    <w:bookmarkEnd w:id="6"/>
    <w:p w:rsidR="007A475B" w:rsidRPr="00004762" w:rsidRDefault="007A475B" w:rsidP="00004762">
      <w:pPr>
        <w:spacing w:line="360" w:lineRule="auto"/>
        <w:jc w:val="both"/>
        <w:rPr>
          <w:rFonts w:ascii="Arial" w:hAnsi="Arial" w:cs="Arial"/>
          <w:lang w:val="es-MX"/>
        </w:rPr>
      </w:pPr>
    </w:p>
    <w:p w:rsidR="00881392" w:rsidRPr="00004762" w:rsidRDefault="00881392" w:rsidP="00004762">
      <w:pPr>
        <w:pStyle w:val="Prrafodelista"/>
        <w:spacing w:line="360" w:lineRule="auto"/>
        <w:ind w:left="0"/>
        <w:jc w:val="both"/>
        <w:rPr>
          <w:rFonts w:ascii="Arial" w:hAnsi="Arial" w:cs="Arial"/>
          <w:lang w:val="es-MX"/>
        </w:rPr>
      </w:pPr>
      <w:r w:rsidRPr="00004762">
        <w:rPr>
          <w:rFonts w:ascii="Arial" w:hAnsi="Arial" w:cs="Arial"/>
          <w:lang w:val="es-MX"/>
        </w:rPr>
        <w:t xml:space="preserve">Precisado lo anterior, </w:t>
      </w:r>
      <w:r w:rsidR="007A182C" w:rsidRPr="00004762">
        <w:rPr>
          <w:rFonts w:ascii="Arial" w:hAnsi="Arial" w:cs="Arial"/>
          <w:lang w:val="es-MX"/>
        </w:rPr>
        <w:t xml:space="preserve">advierte el Despacho que </w:t>
      </w:r>
      <w:bookmarkStart w:id="7" w:name="_Hlk24621452"/>
      <w:r w:rsidR="007A182C" w:rsidRPr="00004762">
        <w:rPr>
          <w:rFonts w:ascii="Arial" w:hAnsi="Arial" w:cs="Arial"/>
          <w:lang w:val="es-MX"/>
        </w:rPr>
        <w:t xml:space="preserve">el contrato de donación, </w:t>
      </w:r>
      <w:r w:rsidR="00F61345" w:rsidRPr="00004762">
        <w:rPr>
          <w:rFonts w:ascii="Arial" w:hAnsi="Arial" w:cs="Arial"/>
          <w:lang w:val="es-MX"/>
        </w:rPr>
        <w:t>a la luz de los artículo</w:t>
      </w:r>
      <w:r w:rsidR="00467C14" w:rsidRPr="00004762">
        <w:rPr>
          <w:rFonts w:ascii="Arial" w:hAnsi="Arial" w:cs="Arial"/>
          <w:lang w:val="es-MX"/>
        </w:rPr>
        <w:t>s</w:t>
      </w:r>
      <w:r w:rsidR="00F61345" w:rsidRPr="00004762">
        <w:rPr>
          <w:rFonts w:ascii="Arial" w:hAnsi="Arial" w:cs="Arial"/>
          <w:lang w:val="es-MX"/>
        </w:rPr>
        <w:t xml:space="preserve"> 51</w:t>
      </w:r>
      <w:r w:rsidR="002959D7" w:rsidRPr="00004762">
        <w:rPr>
          <w:rStyle w:val="Refdenotaalpie"/>
          <w:rFonts w:ascii="Arial" w:hAnsi="Arial" w:cs="Arial"/>
          <w:lang w:val="es-MX"/>
        </w:rPr>
        <w:footnoteReference w:id="9"/>
      </w:r>
      <w:r w:rsidR="00F61345" w:rsidRPr="00004762">
        <w:rPr>
          <w:rFonts w:ascii="Arial" w:hAnsi="Arial" w:cs="Arial"/>
          <w:lang w:val="es-MX"/>
        </w:rPr>
        <w:t xml:space="preserve"> y 175</w:t>
      </w:r>
      <w:r w:rsidR="002959D7" w:rsidRPr="00004762">
        <w:rPr>
          <w:rStyle w:val="Refdenotaalpie"/>
          <w:rFonts w:ascii="Arial" w:hAnsi="Arial" w:cs="Arial"/>
          <w:lang w:val="es-MX"/>
        </w:rPr>
        <w:footnoteReference w:id="10"/>
      </w:r>
      <w:r w:rsidR="00F61345" w:rsidRPr="00004762">
        <w:rPr>
          <w:rFonts w:ascii="Arial" w:hAnsi="Arial" w:cs="Arial"/>
          <w:lang w:val="es-MX"/>
        </w:rPr>
        <w:t xml:space="preserve"> del Decreto-ley 222 de 1983, </w:t>
      </w:r>
      <w:r w:rsidR="00467C14" w:rsidRPr="00004762">
        <w:rPr>
          <w:rFonts w:ascii="Arial" w:hAnsi="Arial" w:cs="Arial"/>
          <w:lang w:val="es-MX"/>
        </w:rPr>
        <w:t xml:space="preserve">se perfeccionó el 30 de diciembre de 1988, fecha en la cual se elevó a escritura pública. </w:t>
      </w:r>
      <w:r w:rsidR="008162F4" w:rsidRPr="00004762">
        <w:rPr>
          <w:rFonts w:ascii="Arial" w:hAnsi="Arial" w:cs="Arial"/>
          <w:lang w:val="es-MX"/>
        </w:rPr>
        <w:t>Lo anterior</w:t>
      </w:r>
      <w:r w:rsidR="00467C14" w:rsidRPr="00004762">
        <w:rPr>
          <w:rFonts w:ascii="Arial" w:hAnsi="Arial" w:cs="Arial"/>
          <w:lang w:val="es-MX"/>
        </w:rPr>
        <w:t xml:space="preserve"> resulta importante, porque cuando se pide la nulidad absoluta</w:t>
      </w:r>
      <w:r w:rsidR="007A475B" w:rsidRPr="00004762">
        <w:rPr>
          <w:rFonts w:ascii="Arial" w:hAnsi="Arial" w:cs="Arial"/>
          <w:lang w:val="es-MX"/>
        </w:rPr>
        <w:t xml:space="preserve"> del contrato -como ocurre en </w:t>
      </w:r>
      <w:r w:rsidR="007A475B" w:rsidRPr="00004762">
        <w:rPr>
          <w:rFonts w:ascii="Arial" w:hAnsi="Arial" w:cs="Arial"/>
          <w:lang w:val="es-MX"/>
        </w:rPr>
        <w:lastRenderedPageBreak/>
        <w:t>este caso-</w:t>
      </w:r>
      <w:r w:rsidR="00467C14" w:rsidRPr="00004762">
        <w:rPr>
          <w:rFonts w:ascii="Arial" w:hAnsi="Arial" w:cs="Arial"/>
          <w:lang w:val="es-MX"/>
        </w:rPr>
        <w:t xml:space="preserve">, </w:t>
      </w:r>
      <w:r w:rsidR="007A475B" w:rsidRPr="00004762">
        <w:rPr>
          <w:rFonts w:ascii="Arial" w:hAnsi="Arial" w:cs="Arial"/>
          <w:lang w:val="es-MX"/>
        </w:rPr>
        <w:t xml:space="preserve">tradicionalmente se ha dicho que </w:t>
      </w:r>
      <w:r w:rsidR="00467C14" w:rsidRPr="00004762">
        <w:rPr>
          <w:rFonts w:ascii="Arial" w:hAnsi="Arial" w:cs="Arial"/>
          <w:lang w:val="es-MX"/>
        </w:rPr>
        <w:t xml:space="preserve">el conteo de la caducidad inicia a partir </w:t>
      </w:r>
      <w:r w:rsidR="007A475B" w:rsidRPr="00004762">
        <w:rPr>
          <w:rFonts w:ascii="Arial" w:hAnsi="Arial" w:cs="Arial"/>
          <w:lang w:val="es-MX"/>
        </w:rPr>
        <w:t>de su perfeccionamiento.</w:t>
      </w:r>
    </w:p>
    <w:p w:rsidR="00467C14" w:rsidRPr="00004762" w:rsidRDefault="00467C14" w:rsidP="00004762">
      <w:pPr>
        <w:pStyle w:val="Prrafodelista"/>
        <w:spacing w:line="360" w:lineRule="auto"/>
        <w:ind w:left="0"/>
        <w:jc w:val="both"/>
        <w:rPr>
          <w:rFonts w:ascii="Arial" w:hAnsi="Arial" w:cs="Arial"/>
          <w:lang w:val="es-MX"/>
        </w:rPr>
      </w:pPr>
    </w:p>
    <w:p w:rsidR="00C02E42" w:rsidRPr="00004762" w:rsidRDefault="00C5058F" w:rsidP="00004762">
      <w:pPr>
        <w:pStyle w:val="Prrafodelista"/>
        <w:spacing w:line="360" w:lineRule="auto"/>
        <w:ind w:left="0"/>
        <w:jc w:val="both"/>
        <w:rPr>
          <w:rFonts w:ascii="Arial" w:hAnsi="Arial" w:cs="Arial"/>
          <w:lang w:val="es-MX"/>
        </w:rPr>
      </w:pPr>
      <w:r w:rsidRPr="00004762">
        <w:rPr>
          <w:rFonts w:ascii="Arial" w:hAnsi="Arial" w:cs="Arial"/>
          <w:lang w:val="es-MX"/>
        </w:rPr>
        <w:t xml:space="preserve">En ese sentido, se destaca que el término de la caducidad empezó a correr el </w:t>
      </w:r>
      <w:r w:rsidRPr="00004762">
        <w:rPr>
          <w:rFonts w:ascii="Arial" w:hAnsi="Arial" w:cs="Arial"/>
          <w:b/>
          <w:lang w:val="es-MX"/>
        </w:rPr>
        <w:t>30 de diciembre de 1988</w:t>
      </w:r>
      <w:r w:rsidRPr="00004762">
        <w:rPr>
          <w:rFonts w:ascii="Arial" w:hAnsi="Arial" w:cs="Arial"/>
          <w:lang w:val="es-MX"/>
        </w:rPr>
        <w:t>, esto es, en vigencia del texto original del Decreto 01 de 1984</w:t>
      </w:r>
      <w:r w:rsidR="00C02E42" w:rsidRPr="00004762">
        <w:rPr>
          <w:rFonts w:ascii="Arial" w:hAnsi="Arial" w:cs="Arial"/>
          <w:lang w:val="es-MX"/>
        </w:rPr>
        <w:t xml:space="preserve"> (es decir, antes las modificaciones introducidas por el artículo 23 del Decreto 2304 de 1989 y por el artículo 44 de la Ley 446 de 1998), de ahí que</w:t>
      </w:r>
      <w:r w:rsidR="00524392" w:rsidRPr="00004762">
        <w:rPr>
          <w:rFonts w:ascii="Arial" w:hAnsi="Arial" w:cs="Arial"/>
          <w:lang w:val="es-MX"/>
        </w:rPr>
        <w:t>, de conformidad con</w:t>
      </w:r>
      <w:r w:rsidR="00C02E42" w:rsidRPr="00004762">
        <w:rPr>
          <w:rFonts w:ascii="Arial" w:hAnsi="Arial" w:cs="Arial"/>
          <w:lang w:val="es-MX"/>
        </w:rPr>
        <w:t xml:space="preserve"> el artículo 136</w:t>
      </w:r>
      <w:r w:rsidR="00650EDE" w:rsidRPr="00004762">
        <w:rPr>
          <w:rFonts w:ascii="Arial" w:hAnsi="Arial" w:cs="Arial"/>
          <w:lang w:val="es-MX"/>
        </w:rPr>
        <w:t xml:space="preserve"> del CCA</w:t>
      </w:r>
      <w:r w:rsidR="00524392" w:rsidRPr="00004762">
        <w:rPr>
          <w:rStyle w:val="Refdenotaalpie"/>
          <w:rFonts w:ascii="Arial" w:hAnsi="Arial" w:cs="Arial"/>
          <w:lang w:val="es-MX"/>
        </w:rPr>
        <w:footnoteReference w:id="11"/>
      </w:r>
      <w:r w:rsidR="00C02E42" w:rsidRPr="00004762">
        <w:rPr>
          <w:rFonts w:ascii="Arial" w:hAnsi="Arial" w:cs="Arial"/>
          <w:lang w:val="es-MX"/>
        </w:rPr>
        <w:t xml:space="preserve">, el plazo para demandar la nulidad absoluta del contrato </w:t>
      </w:r>
      <w:r w:rsidR="00524392" w:rsidRPr="00004762">
        <w:rPr>
          <w:rFonts w:ascii="Arial" w:hAnsi="Arial" w:cs="Arial"/>
          <w:lang w:val="es-MX"/>
        </w:rPr>
        <w:t xml:space="preserve">de donación </w:t>
      </w:r>
      <w:r w:rsidR="00C02E42" w:rsidRPr="00004762">
        <w:rPr>
          <w:rFonts w:ascii="Arial" w:hAnsi="Arial" w:cs="Arial"/>
          <w:lang w:val="es-MX"/>
        </w:rPr>
        <w:t xml:space="preserve">venció </w:t>
      </w:r>
      <w:r w:rsidR="00524392" w:rsidRPr="00004762">
        <w:rPr>
          <w:rFonts w:ascii="Arial" w:hAnsi="Arial" w:cs="Arial"/>
          <w:lang w:val="es-MX"/>
        </w:rPr>
        <w:t xml:space="preserve">el </w:t>
      </w:r>
      <w:r w:rsidR="004D72B8" w:rsidRPr="00004762">
        <w:rPr>
          <w:rFonts w:ascii="Arial" w:hAnsi="Arial" w:cs="Arial"/>
          <w:b/>
          <w:lang w:val="es-MX"/>
        </w:rPr>
        <w:t>30</w:t>
      </w:r>
      <w:r w:rsidR="00524392" w:rsidRPr="00004762">
        <w:rPr>
          <w:rFonts w:ascii="Arial" w:hAnsi="Arial" w:cs="Arial"/>
          <w:b/>
          <w:lang w:val="es-MX"/>
        </w:rPr>
        <w:t xml:space="preserve"> de diciembre de 1990</w:t>
      </w:r>
      <w:r w:rsidR="00524392" w:rsidRPr="00004762">
        <w:rPr>
          <w:rFonts w:ascii="Arial" w:hAnsi="Arial" w:cs="Arial"/>
          <w:lang w:val="es-MX"/>
        </w:rPr>
        <w:t>.</w:t>
      </w:r>
    </w:p>
    <w:bookmarkEnd w:id="7"/>
    <w:p w:rsidR="002A3EFE" w:rsidRPr="00004762" w:rsidRDefault="002A3EFE" w:rsidP="00004762">
      <w:pPr>
        <w:pStyle w:val="Prrafodelista"/>
        <w:spacing w:line="360" w:lineRule="auto"/>
        <w:ind w:left="0"/>
        <w:jc w:val="both"/>
        <w:rPr>
          <w:rFonts w:ascii="Arial" w:hAnsi="Arial" w:cs="Arial"/>
          <w:lang w:val="es-MX"/>
        </w:rPr>
      </w:pPr>
    </w:p>
    <w:p w:rsidR="00524392" w:rsidRPr="00004762" w:rsidRDefault="00524392" w:rsidP="00004762">
      <w:pPr>
        <w:pStyle w:val="Prrafodelista"/>
        <w:spacing w:line="360" w:lineRule="auto"/>
        <w:ind w:left="0"/>
        <w:jc w:val="both"/>
        <w:rPr>
          <w:rFonts w:ascii="Arial" w:hAnsi="Arial" w:cs="Arial"/>
          <w:lang w:val="es-MX"/>
        </w:rPr>
      </w:pPr>
      <w:r w:rsidRPr="00004762">
        <w:rPr>
          <w:rFonts w:ascii="Arial" w:hAnsi="Arial" w:cs="Arial"/>
          <w:lang w:val="es-MX"/>
        </w:rPr>
        <w:t>Siendo así, como la demanda se interpuso el 12 de septiembre de 2014, evidente viene a ser que operó el fenómeno procesal de la caducidad</w:t>
      </w:r>
      <w:r w:rsidR="00B8224D" w:rsidRPr="00004762">
        <w:rPr>
          <w:rFonts w:ascii="Arial" w:hAnsi="Arial" w:cs="Arial"/>
          <w:lang w:val="es-MX"/>
        </w:rPr>
        <w:t>, el cual recae únicamente</w:t>
      </w:r>
      <w:r w:rsidRPr="00004762">
        <w:rPr>
          <w:rFonts w:ascii="Arial" w:hAnsi="Arial" w:cs="Arial"/>
          <w:lang w:val="es-MX"/>
        </w:rPr>
        <w:t xml:space="preserve"> respecto de la pretensión de nulidad absoluta del contrato en cuestión. </w:t>
      </w:r>
    </w:p>
    <w:p w:rsidR="00524392" w:rsidRPr="00004762" w:rsidRDefault="00524392" w:rsidP="00004762">
      <w:pPr>
        <w:pStyle w:val="Prrafodelista"/>
        <w:spacing w:line="360" w:lineRule="auto"/>
        <w:ind w:left="0"/>
        <w:jc w:val="both"/>
        <w:rPr>
          <w:rFonts w:ascii="Arial" w:hAnsi="Arial" w:cs="Arial"/>
          <w:lang w:val="es-MX"/>
        </w:rPr>
      </w:pPr>
    </w:p>
    <w:p w:rsidR="00EB428C" w:rsidRPr="00004762" w:rsidRDefault="00B41C1C" w:rsidP="00004762">
      <w:pPr>
        <w:pStyle w:val="Prrafodelista"/>
        <w:spacing w:line="360" w:lineRule="auto"/>
        <w:ind w:left="0"/>
        <w:jc w:val="both"/>
        <w:rPr>
          <w:rFonts w:ascii="Arial" w:hAnsi="Arial" w:cs="Arial"/>
          <w:lang w:val="es-MX"/>
        </w:rPr>
      </w:pPr>
      <w:r w:rsidRPr="00004762">
        <w:rPr>
          <w:rFonts w:ascii="Arial" w:hAnsi="Arial" w:cs="Arial"/>
          <w:lang w:val="es-MX"/>
        </w:rPr>
        <w:t>Ahora bien</w:t>
      </w:r>
      <w:r w:rsidR="00465770" w:rsidRPr="00004762">
        <w:rPr>
          <w:rFonts w:ascii="Arial" w:hAnsi="Arial" w:cs="Arial"/>
          <w:lang w:val="es-MX"/>
        </w:rPr>
        <w:t xml:space="preserve">, </w:t>
      </w:r>
      <w:r w:rsidR="002959D7" w:rsidRPr="00004762">
        <w:rPr>
          <w:rFonts w:ascii="Arial" w:hAnsi="Arial" w:cs="Arial"/>
          <w:lang w:val="es-MX"/>
        </w:rPr>
        <w:t xml:space="preserve">no se comparte el argumento de la parte </w:t>
      </w:r>
      <w:r w:rsidR="00392C5F" w:rsidRPr="00004762">
        <w:rPr>
          <w:rFonts w:ascii="Arial" w:hAnsi="Arial" w:cs="Arial"/>
          <w:lang w:val="es-MX"/>
        </w:rPr>
        <w:t xml:space="preserve">actora -fundado en el </w:t>
      </w:r>
      <w:r w:rsidR="00392C5F" w:rsidRPr="00004762">
        <w:rPr>
          <w:rFonts w:ascii="Arial" w:hAnsi="Arial" w:cs="Arial"/>
        </w:rPr>
        <w:t xml:space="preserve">artículo 164, numeral 2, literal j), inciso 2, </w:t>
      </w:r>
      <w:r w:rsidR="00392C5F" w:rsidRPr="00004762">
        <w:rPr>
          <w:rFonts w:ascii="Arial" w:hAnsi="Arial" w:cs="Arial"/>
          <w:lang w:val="es-MX"/>
        </w:rPr>
        <w:t>del CPACA-, consistente en que la nulidad absoluta aún podía demandarse, en tanto el con</w:t>
      </w:r>
      <w:r w:rsidR="009867C9" w:rsidRPr="00004762">
        <w:rPr>
          <w:rFonts w:ascii="Arial" w:hAnsi="Arial" w:cs="Arial"/>
          <w:lang w:val="es-MX"/>
        </w:rPr>
        <w:t xml:space="preserve">trato de donación se encuentra </w:t>
      </w:r>
      <w:r w:rsidR="00392C5F" w:rsidRPr="00004762">
        <w:rPr>
          <w:rFonts w:ascii="Arial" w:hAnsi="Arial" w:cs="Arial"/>
          <w:lang w:val="es-MX"/>
        </w:rPr>
        <w:t>vigente</w:t>
      </w:r>
      <w:r w:rsidR="001F2EF8" w:rsidRPr="00004762">
        <w:rPr>
          <w:rFonts w:ascii="Arial" w:hAnsi="Arial" w:cs="Arial"/>
          <w:lang w:val="es-MX"/>
        </w:rPr>
        <w:t>. En efecto, en lo que concierne al conteo de la caducidad, esas disposiciones del CPACA no resultan aplicables a este caso, porque dicho término inició a correr en vigor del CCA -artículo 136 original sin modificaciones-, estatuto que no contenía una regla siquiera parecida.</w:t>
      </w:r>
    </w:p>
    <w:p w:rsidR="001F2EF8" w:rsidRPr="00004762" w:rsidRDefault="001F2EF8" w:rsidP="00004762">
      <w:pPr>
        <w:pStyle w:val="Prrafodelista"/>
        <w:spacing w:line="360" w:lineRule="auto"/>
        <w:ind w:left="0"/>
        <w:jc w:val="both"/>
        <w:rPr>
          <w:rFonts w:ascii="Arial" w:hAnsi="Arial" w:cs="Arial"/>
          <w:lang w:val="es-MX"/>
        </w:rPr>
      </w:pPr>
    </w:p>
    <w:p w:rsidR="005154EB" w:rsidRPr="00004762" w:rsidRDefault="005154EB" w:rsidP="00004762">
      <w:pPr>
        <w:pStyle w:val="Prrafodelista"/>
        <w:spacing w:line="360" w:lineRule="auto"/>
        <w:ind w:left="0"/>
        <w:jc w:val="both"/>
        <w:rPr>
          <w:rFonts w:ascii="Arial" w:hAnsi="Arial" w:cs="Arial"/>
          <w:lang w:val="es-MX"/>
        </w:rPr>
      </w:pPr>
      <w:bookmarkStart w:id="8" w:name="_Hlk24622078"/>
      <w:r w:rsidRPr="00004762">
        <w:rPr>
          <w:rFonts w:ascii="Arial" w:hAnsi="Arial" w:cs="Arial"/>
          <w:lang w:val="es-MX"/>
        </w:rPr>
        <w:t xml:space="preserve">En cuanto al </w:t>
      </w:r>
      <w:r w:rsidR="007D7709" w:rsidRPr="00004762">
        <w:rPr>
          <w:rFonts w:ascii="Arial" w:hAnsi="Arial" w:cs="Arial"/>
          <w:lang w:val="es-MX"/>
        </w:rPr>
        <w:t xml:space="preserve">otro </w:t>
      </w:r>
      <w:r w:rsidRPr="00004762">
        <w:rPr>
          <w:rFonts w:ascii="Arial" w:hAnsi="Arial" w:cs="Arial"/>
          <w:lang w:val="es-MX"/>
        </w:rPr>
        <w:t xml:space="preserve">argumento de la demandante, </w:t>
      </w:r>
      <w:r w:rsidR="001F2EF8" w:rsidRPr="00004762">
        <w:rPr>
          <w:rFonts w:ascii="Arial" w:hAnsi="Arial" w:cs="Arial"/>
          <w:lang w:val="es-MX"/>
        </w:rPr>
        <w:t>según el cual</w:t>
      </w:r>
      <w:r w:rsidRPr="00004762">
        <w:rPr>
          <w:rFonts w:ascii="Arial" w:hAnsi="Arial" w:cs="Arial"/>
          <w:lang w:val="es-MX"/>
        </w:rPr>
        <w:t xml:space="preserve"> todavía era posible pedir la nulidad absoluta del contrato de donación, porque la </w:t>
      </w:r>
      <w:r w:rsidRPr="00004762">
        <w:rPr>
          <w:rFonts w:ascii="Arial" w:hAnsi="Arial" w:cs="Arial"/>
          <w:i/>
          <w:lang w:val="es-MX"/>
        </w:rPr>
        <w:t>condición</w:t>
      </w:r>
      <w:r w:rsidRPr="00004762">
        <w:rPr>
          <w:rFonts w:ascii="Arial" w:hAnsi="Arial" w:cs="Arial"/>
          <w:lang w:val="es-MX"/>
        </w:rPr>
        <w:t xml:space="preserve"> pactada en el mismo no ha sido cumplida, el Despacho advierte que el perfeccionamiento del contrato </w:t>
      </w:r>
      <w:r w:rsidR="0063016C" w:rsidRPr="00004762">
        <w:rPr>
          <w:rFonts w:ascii="Arial" w:hAnsi="Arial" w:cs="Arial"/>
          <w:lang w:val="es-MX"/>
        </w:rPr>
        <w:t xml:space="preserve">-el cual surge a partir de la confluencia de la voluntad de donante y donatario- </w:t>
      </w:r>
      <w:bookmarkStart w:id="9" w:name="_Hlk24622034"/>
      <w:r w:rsidRPr="00004762">
        <w:rPr>
          <w:rFonts w:ascii="Arial" w:hAnsi="Arial" w:cs="Arial"/>
          <w:lang w:val="es-MX"/>
        </w:rPr>
        <w:t xml:space="preserve">no depende del cumplimiento de la </w:t>
      </w:r>
      <w:r w:rsidRPr="00004762">
        <w:rPr>
          <w:rFonts w:ascii="Arial" w:hAnsi="Arial" w:cs="Arial"/>
          <w:i/>
          <w:lang w:val="es-MX"/>
        </w:rPr>
        <w:t>condición</w:t>
      </w:r>
      <w:r w:rsidRPr="00004762">
        <w:rPr>
          <w:rFonts w:ascii="Arial" w:hAnsi="Arial" w:cs="Arial"/>
          <w:lang w:val="es-MX"/>
        </w:rPr>
        <w:t xml:space="preserve"> </w:t>
      </w:r>
      <w:bookmarkEnd w:id="9"/>
      <w:r w:rsidRPr="00004762">
        <w:rPr>
          <w:rFonts w:ascii="Arial" w:hAnsi="Arial" w:cs="Arial"/>
          <w:lang w:val="es-MX"/>
        </w:rPr>
        <w:t>que se haya acordado, de ahí que el “</w:t>
      </w:r>
      <w:r w:rsidRPr="00004762">
        <w:rPr>
          <w:rFonts w:ascii="Arial" w:hAnsi="Arial" w:cs="Arial"/>
          <w:i/>
          <w:lang w:val="es-MX"/>
        </w:rPr>
        <w:t>no cumplimiento</w:t>
      </w:r>
      <w:r w:rsidRPr="00004762">
        <w:rPr>
          <w:rFonts w:ascii="Arial" w:hAnsi="Arial" w:cs="Arial"/>
          <w:lang w:val="es-MX"/>
        </w:rPr>
        <w:t>” de la misma no tiene la virtualidad de viciar de validez el contrato</w:t>
      </w:r>
      <w:r w:rsidR="005C4A11" w:rsidRPr="00004762">
        <w:rPr>
          <w:rStyle w:val="Refdenotaalpie"/>
          <w:rFonts w:ascii="Arial" w:hAnsi="Arial" w:cs="Arial"/>
          <w:lang w:val="es-MX"/>
        </w:rPr>
        <w:footnoteReference w:id="12"/>
      </w:r>
      <w:r w:rsidRPr="00004762">
        <w:rPr>
          <w:rFonts w:ascii="Arial" w:hAnsi="Arial" w:cs="Arial"/>
          <w:lang w:val="es-MX"/>
        </w:rPr>
        <w:t xml:space="preserve">, situación que, por obvias razones, tampoco tiene incidencia en el conteo de la caducidad en cuanto a </w:t>
      </w:r>
      <w:r w:rsidR="006C4BEE" w:rsidRPr="00004762">
        <w:rPr>
          <w:rFonts w:ascii="Arial" w:hAnsi="Arial" w:cs="Arial"/>
          <w:lang w:val="es-MX"/>
        </w:rPr>
        <w:t xml:space="preserve">la </w:t>
      </w:r>
      <w:r w:rsidR="005C4A11" w:rsidRPr="00004762">
        <w:rPr>
          <w:rFonts w:ascii="Arial" w:hAnsi="Arial" w:cs="Arial"/>
          <w:lang w:val="es-MX"/>
        </w:rPr>
        <w:t>pretensión de</w:t>
      </w:r>
      <w:r w:rsidRPr="00004762">
        <w:rPr>
          <w:rFonts w:ascii="Arial" w:hAnsi="Arial" w:cs="Arial"/>
          <w:lang w:val="es-MX"/>
        </w:rPr>
        <w:t xml:space="preserve"> nulidad absoluta del contrato, </w:t>
      </w:r>
      <w:r w:rsidRPr="00004762">
        <w:rPr>
          <w:rFonts w:ascii="Arial" w:hAnsi="Arial" w:cs="Arial"/>
          <w:lang w:val="es-MX"/>
        </w:rPr>
        <w:lastRenderedPageBreak/>
        <w:t xml:space="preserve">con la cual, valga </w:t>
      </w:r>
      <w:r w:rsidR="005C4A11" w:rsidRPr="00004762">
        <w:rPr>
          <w:rFonts w:ascii="Arial" w:hAnsi="Arial" w:cs="Arial"/>
          <w:lang w:val="es-MX"/>
        </w:rPr>
        <w:t>señalar</w:t>
      </w:r>
      <w:r w:rsidRPr="00004762">
        <w:rPr>
          <w:rFonts w:ascii="Arial" w:hAnsi="Arial" w:cs="Arial"/>
          <w:lang w:val="es-MX"/>
        </w:rPr>
        <w:t xml:space="preserve">, se cuestiona la validez del acuerdo de voluntades, en este caso, por no cumplirse con el requisito previo de la insinuación, asunto totalmente ajeno al cumplimiento </w:t>
      </w:r>
      <w:r w:rsidR="001F2EF8" w:rsidRPr="00004762">
        <w:rPr>
          <w:rFonts w:ascii="Arial" w:hAnsi="Arial" w:cs="Arial"/>
          <w:lang w:val="es-MX"/>
        </w:rPr>
        <w:t xml:space="preserve">o no </w:t>
      </w:r>
      <w:r w:rsidRPr="00004762">
        <w:rPr>
          <w:rFonts w:ascii="Arial" w:hAnsi="Arial" w:cs="Arial"/>
          <w:lang w:val="es-MX"/>
        </w:rPr>
        <w:t xml:space="preserve">de la </w:t>
      </w:r>
      <w:r w:rsidRPr="00004762">
        <w:rPr>
          <w:rFonts w:ascii="Arial" w:hAnsi="Arial" w:cs="Arial"/>
          <w:i/>
          <w:lang w:val="es-MX"/>
        </w:rPr>
        <w:t>condición</w:t>
      </w:r>
      <w:r w:rsidRPr="00004762">
        <w:rPr>
          <w:rFonts w:ascii="Arial" w:hAnsi="Arial" w:cs="Arial"/>
          <w:lang w:val="es-MX"/>
        </w:rPr>
        <w:t xml:space="preserve"> pactada en el contrato</w:t>
      </w:r>
      <w:r w:rsidR="001F2EF8" w:rsidRPr="00004762">
        <w:rPr>
          <w:rFonts w:ascii="Arial" w:hAnsi="Arial" w:cs="Arial"/>
          <w:lang w:val="es-MX"/>
        </w:rPr>
        <w:t xml:space="preserve"> en cuestión, consistente en la </w:t>
      </w:r>
      <w:r w:rsidRPr="00004762">
        <w:rPr>
          <w:rFonts w:ascii="Arial" w:hAnsi="Arial" w:cs="Arial"/>
        </w:rPr>
        <w:t xml:space="preserve">construcción </w:t>
      </w:r>
      <w:r w:rsidR="005C4A11" w:rsidRPr="00004762">
        <w:rPr>
          <w:rFonts w:ascii="Arial" w:hAnsi="Arial" w:cs="Arial"/>
        </w:rPr>
        <w:t xml:space="preserve">y funcionamiento </w:t>
      </w:r>
      <w:r w:rsidRPr="00004762">
        <w:rPr>
          <w:rFonts w:ascii="Arial" w:hAnsi="Arial" w:cs="Arial"/>
        </w:rPr>
        <w:t>de la Facultad de Odontología de la Universidad Libre - Seccional Atlántico.</w:t>
      </w:r>
    </w:p>
    <w:bookmarkEnd w:id="8"/>
    <w:p w:rsidR="002959D7" w:rsidRPr="00004762" w:rsidRDefault="002959D7" w:rsidP="00004762">
      <w:pPr>
        <w:pStyle w:val="Prrafodelista"/>
        <w:spacing w:line="360" w:lineRule="auto"/>
        <w:ind w:left="0"/>
        <w:jc w:val="both"/>
        <w:rPr>
          <w:rFonts w:ascii="Arial" w:hAnsi="Arial" w:cs="Arial"/>
          <w:lang w:val="es-MX"/>
        </w:rPr>
      </w:pPr>
    </w:p>
    <w:p w:rsidR="0089225E" w:rsidRPr="00004762" w:rsidRDefault="0089225E" w:rsidP="00004762">
      <w:pPr>
        <w:pStyle w:val="Prrafodelista"/>
        <w:spacing w:line="360" w:lineRule="auto"/>
        <w:ind w:left="0"/>
        <w:jc w:val="both"/>
        <w:rPr>
          <w:rFonts w:ascii="Arial" w:hAnsi="Arial" w:cs="Arial"/>
        </w:rPr>
      </w:pPr>
      <w:r w:rsidRPr="00004762">
        <w:rPr>
          <w:rFonts w:ascii="Arial" w:hAnsi="Arial" w:cs="Arial"/>
          <w:lang w:val="es-MX"/>
        </w:rPr>
        <w:t>Igualmente,</w:t>
      </w:r>
      <w:r w:rsidR="00313D13" w:rsidRPr="00004762">
        <w:rPr>
          <w:rFonts w:ascii="Arial" w:hAnsi="Arial" w:cs="Arial"/>
          <w:lang w:val="es-MX"/>
        </w:rPr>
        <w:t xml:space="preserve"> se descarta lo alegado por la demandante en cuanto a que, en el caso </w:t>
      </w:r>
      <w:r w:rsidR="00313D13" w:rsidRPr="00004762">
        <w:rPr>
          <w:rFonts w:ascii="Arial" w:hAnsi="Arial" w:cs="Arial"/>
          <w:i/>
          <w:lang w:val="es-MX"/>
        </w:rPr>
        <w:t>sub examine</w:t>
      </w:r>
      <w:r w:rsidR="00313D13" w:rsidRPr="00004762">
        <w:rPr>
          <w:rFonts w:ascii="Arial" w:hAnsi="Arial" w:cs="Arial"/>
          <w:lang w:val="es-MX"/>
        </w:rPr>
        <w:t>, era posible demandar en cualquier tiempo, dado que la presente controversia recae sobre un “</w:t>
      </w:r>
      <w:r w:rsidR="00313D13" w:rsidRPr="00004762">
        <w:rPr>
          <w:rFonts w:ascii="Arial" w:hAnsi="Arial" w:cs="Arial"/>
          <w:i/>
          <w:lang w:val="es-MX"/>
        </w:rPr>
        <w:t>bien estatal</w:t>
      </w:r>
      <w:r w:rsidR="00313D13" w:rsidRPr="00004762">
        <w:rPr>
          <w:rFonts w:ascii="Arial" w:hAnsi="Arial" w:cs="Arial"/>
          <w:lang w:val="es-MX"/>
        </w:rPr>
        <w:t>”</w:t>
      </w:r>
      <w:r w:rsidRPr="00004762">
        <w:rPr>
          <w:rFonts w:ascii="Arial" w:hAnsi="Arial" w:cs="Arial"/>
        </w:rPr>
        <w:t xml:space="preserve">; argumento que fincó en una norma del CPACA, concretamente, en el artículo 164, numeral 1, literal b), que </w:t>
      </w:r>
      <w:r w:rsidR="00EE4C70" w:rsidRPr="00004762">
        <w:rPr>
          <w:rFonts w:ascii="Arial" w:hAnsi="Arial" w:cs="Arial"/>
        </w:rPr>
        <w:t>dispone:</w:t>
      </w:r>
    </w:p>
    <w:p w:rsidR="00EE4C70" w:rsidRPr="00004762" w:rsidRDefault="00EE4C70" w:rsidP="00004762">
      <w:pPr>
        <w:pStyle w:val="Prrafodelista"/>
        <w:spacing w:line="360" w:lineRule="auto"/>
        <w:ind w:left="0"/>
        <w:jc w:val="both"/>
        <w:rPr>
          <w:rFonts w:ascii="Arial" w:hAnsi="Arial" w:cs="Arial"/>
        </w:rPr>
      </w:pPr>
    </w:p>
    <w:p w:rsidR="00EE4C70" w:rsidRPr="00004762" w:rsidRDefault="00EE4C70" w:rsidP="00004762">
      <w:pPr>
        <w:pStyle w:val="Prrafodelista"/>
        <w:spacing w:line="276" w:lineRule="auto"/>
        <w:ind w:left="0"/>
        <w:jc w:val="both"/>
        <w:rPr>
          <w:rFonts w:ascii="Arial" w:hAnsi="Arial" w:cs="Arial"/>
          <w:i/>
        </w:rPr>
      </w:pPr>
      <w:r w:rsidRPr="00004762">
        <w:rPr>
          <w:rFonts w:ascii="Arial" w:hAnsi="Arial" w:cs="Arial"/>
          <w:i/>
        </w:rPr>
        <w:t>“Artículo 164. Oportunidad para presentar la demanda. La demanda deberá ser presentada: 1. En cualquier tiempo, cuando (…) b) El objeto del litigio lo constituyan bienes estatales imprescriptibles e inenajenables”.</w:t>
      </w:r>
    </w:p>
    <w:p w:rsidR="0089225E" w:rsidRPr="00004762" w:rsidRDefault="0089225E" w:rsidP="00004762">
      <w:pPr>
        <w:pStyle w:val="Prrafodelista"/>
        <w:spacing w:line="360" w:lineRule="auto"/>
        <w:ind w:left="0"/>
        <w:jc w:val="both"/>
        <w:rPr>
          <w:rFonts w:ascii="Arial" w:hAnsi="Arial" w:cs="Arial"/>
        </w:rPr>
      </w:pPr>
    </w:p>
    <w:p w:rsidR="00F82F6C" w:rsidRPr="00004762" w:rsidRDefault="0089225E" w:rsidP="00004762">
      <w:pPr>
        <w:pStyle w:val="Prrafodelista"/>
        <w:spacing w:line="360" w:lineRule="auto"/>
        <w:ind w:left="0"/>
        <w:jc w:val="both"/>
        <w:rPr>
          <w:rFonts w:ascii="Arial" w:hAnsi="Arial" w:cs="Arial"/>
        </w:rPr>
      </w:pPr>
      <w:r w:rsidRPr="00004762">
        <w:rPr>
          <w:rFonts w:ascii="Arial" w:hAnsi="Arial" w:cs="Arial"/>
        </w:rPr>
        <w:t xml:space="preserve">Al respecto, si bien el CPACA no resulta aplicable </w:t>
      </w:r>
      <w:r w:rsidR="00051C30" w:rsidRPr="00004762">
        <w:rPr>
          <w:rFonts w:ascii="Arial" w:hAnsi="Arial" w:cs="Arial"/>
        </w:rPr>
        <w:t xml:space="preserve">al </w:t>
      </w:r>
      <w:r w:rsidR="00051C30" w:rsidRPr="00004762">
        <w:rPr>
          <w:rFonts w:ascii="Arial" w:hAnsi="Arial" w:cs="Arial"/>
          <w:i/>
        </w:rPr>
        <w:t>sub lite</w:t>
      </w:r>
      <w:r w:rsidR="00051C30" w:rsidRPr="00004762">
        <w:rPr>
          <w:rFonts w:ascii="Arial" w:hAnsi="Arial" w:cs="Arial"/>
        </w:rPr>
        <w:t xml:space="preserve"> </w:t>
      </w:r>
      <w:r w:rsidRPr="00004762">
        <w:rPr>
          <w:rFonts w:ascii="Arial" w:hAnsi="Arial" w:cs="Arial"/>
        </w:rPr>
        <w:t xml:space="preserve">para efectos del conteo de la caducidad, </w:t>
      </w:r>
      <w:r w:rsidR="00EE4C70" w:rsidRPr="00004762">
        <w:rPr>
          <w:rFonts w:ascii="Arial" w:hAnsi="Arial" w:cs="Arial"/>
        </w:rPr>
        <w:t>lo cierto es</w:t>
      </w:r>
      <w:r w:rsidRPr="00004762">
        <w:rPr>
          <w:rFonts w:ascii="Arial" w:hAnsi="Arial" w:cs="Arial"/>
        </w:rPr>
        <w:t xml:space="preserve"> que esa regla </w:t>
      </w:r>
      <w:r w:rsidR="00EE4C70" w:rsidRPr="00004762">
        <w:rPr>
          <w:rFonts w:ascii="Arial" w:hAnsi="Arial" w:cs="Arial"/>
        </w:rPr>
        <w:t xml:space="preserve">existía </w:t>
      </w:r>
      <w:r w:rsidR="002D2569" w:rsidRPr="00004762">
        <w:rPr>
          <w:rFonts w:ascii="Arial" w:hAnsi="Arial" w:cs="Arial"/>
        </w:rPr>
        <w:t>desde la Ley 446 de 1998 -artículo 44-</w:t>
      </w:r>
      <w:r w:rsidR="00231256" w:rsidRPr="00004762">
        <w:rPr>
          <w:rStyle w:val="Refdenotaalpie"/>
          <w:rFonts w:ascii="Arial" w:hAnsi="Arial" w:cs="Arial"/>
        </w:rPr>
        <w:footnoteReference w:id="13"/>
      </w:r>
      <w:r w:rsidR="00484379" w:rsidRPr="00004762">
        <w:rPr>
          <w:rFonts w:ascii="Arial" w:hAnsi="Arial" w:cs="Arial"/>
        </w:rPr>
        <w:t xml:space="preserve"> (norma que modificó el artículo 136 del CCA)</w:t>
      </w:r>
      <w:r w:rsidR="00213F65" w:rsidRPr="00004762">
        <w:rPr>
          <w:rFonts w:ascii="Arial" w:hAnsi="Arial" w:cs="Arial"/>
        </w:rPr>
        <w:t>; incluso, desde mucho antes, pues,</w:t>
      </w:r>
      <w:r w:rsidR="002D2569" w:rsidRPr="00004762">
        <w:rPr>
          <w:rFonts w:ascii="Arial" w:hAnsi="Arial" w:cs="Arial"/>
        </w:rPr>
        <w:t xml:space="preserve"> </w:t>
      </w:r>
      <w:r w:rsidR="00213F65" w:rsidRPr="00004762">
        <w:rPr>
          <w:rFonts w:ascii="Arial" w:hAnsi="Arial" w:cs="Arial"/>
        </w:rPr>
        <w:t xml:space="preserve">en casos en los que aún </w:t>
      </w:r>
      <w:r w:rsidR="00F82F6C" w:rsidRPr="00004762">
        <w:rPr>
          <w:rFonts w:ascii="Arial" w:hAnsi="Arial" w:cs="Arial"/>
        </w:rPr>
        <w:t xml:space="preserve">no </w:t>
      </w:r>
      <w:r w:rsidR="00213F65" w:rsidRPr="00004762">
        <w:rPr>
          <w:rFonts w:ascii="Arial" w:hAnsi="Arial" w:cs="Arial"/>
        </w:rPr>
        <w:t xml:space="preserve">resultaba aplicable la Ley 446, vía jurisprudencial </w:t>
      </w:r>
      <w:r w:rsidR="00F82F6C" w:rsidRPr="00004762">
        <w:rPr>
          <w:rFonts w:ascii="Arial" w:hAnsi="Arial" w:cs="Arial"/>
        </w:rPr>
        <w:t xml:space="preserve">se había fijado </w:t>
      </w:r>
      <w:r w:rsidR="00231256" w:rsidRPr="00004762">
        <w:rPr>
          <w:rFonts w:ascii="Arial" w:hAnsi="Arial" w:cs="Arial"/>
        </w:rPr>
        <w:t xml:space="preserve">lo atinente a </w:t>
      </w:r>
      <w:r w:rsidR="00F82F6C" w:rsidRPr="00004762">
        <w:rPr>
          <w:rFonts w:ascii="Arial" w:hAnsi="Arial" w:cs="Arial"/>
        </w:rPr>
        <w:t>que no caducaban las acciones que recaían sobre bienes de uso público</w:t>
      </w:r>
      <w:r w:rsidR="009867C9" w:rsidRPr="00004762">
        <w:rPr>
          <w:rFonts w:ascii="Arial" w:hAnsi="Arial" w:cs="Arial"/>
        </w:rPr>
        <w:t>, por ser imprescriptibles</w:t>
      </w:r>
      <w:r w:rsidR="00F82F6C" w:rsidRPr="00004762">
        <w:rPr>
          <w:rFonts w:ascii="Arial" w:hAnsi="Arial" w:cs="Arial"/>
        </w:rPr>
        <w:t xml:space="preserve"> </w:t>
      </w:r>
      <w:r w:rsidR="005632A7" w:rsidRPr="00004762">
        <w:rPr>
          <w:rFonts w:ascii="Arial" w:hAnsi="Arial" w:cs="Arial"/>
        </w:rPr>
        <w:t>e inenajenables</w:t>
      </w:r>
      <w:r w:rsidR="009867C9" w:rsidRPr="00004762">
        <w:rPr>
          <w:rStyle w:val="Refdenotaalpie"/>
          <w:rFonts w:ascii="Arial" w:hAnsi="Arial" w:cs="Arial"/>
        </w:rPr>
        <w:footnoteReference w:id="14"/>
      </w:r>
      <w:r w:rsidR="005632A7" w:rsidRPr="00004762">
        <w:rPr>
          <w:rFonts w:ascii="Arial" w:hAnsi="Arial" w:cs="Arial"/>
        </w:rPr>
        <w:t xml:space="preserve">. </w:t>
      </w:r>
    </w:p>
    <w:p w:rsidR="004845BA" w:rsidRPr="00004762" w:rsidRDefault="004845BA" w:rsidP="00004762">
      <w:pPr>
        <w:pStyle w:val="Prrafodelista"/>
        <w:spacing w:line="360" w:lineRule="auto"/>
        <w:ind w:left="0"/>
        <w:jc w:val="both"/>
        <w:rPr>
          <w:rFonts w:ascii="Arial" w:hAnsi="Arial" w:cs="Arial"/>
        </w:rPr>
      </w:pPr>
    </w:p>
    <w:p w:rsidR="00EF2842" w:rsidRPr="00004762" w:rsidRDefault="00292525" w:rsidP="00004762">
      <w:pPr>
        <w:pStyle w:val="Prrafodelista"/>
        <w:spacing w:line="360" w:lineRule="auto"/>
        <w:ind w:left="0"/>
        <w:jc w:val="both"/>
        <w:rPr>
          <w:rFonts w:ascii="Arial" w:hAnsi="Arial" w:cs="Arial"/>
          <w:lang w:val="es-ES_tradnl"/>
        </w:rPr>
      </w:pPr>
      <w:r w:rsidRPr="00004762">
        <w:rPr>
          <w:rFonts w:ascii="Arial" w:hAnsi="Arial" w:cs="Arial"/>
          <w:lang w:val="es-ES_tradnl"/>
        </w:rPr>
        <w:t xml:space="preserve">Pues bien, </w:t>
      </w:r>
      <w:bookmarkStart w:id="10" w:name="_Hlk24622235"/>
      <w:r w:rsidRPr="00004762">
        <w:rPr>
          <w:rFonts w:ascii="Arial" w:hAnsi="Arial" w:cs="Arial"/>
          <w:lang w:val="es-ES_tradnl"/>
        </w:rPr>
        <w:t xml:space="preserve">en el caso </w:t>
      </w:r>
      <w:r w:rsidR="004845BA" w:rsidRPr="00004762">
        <w:rPr>
          <w:rFonts w:ascii="Arial" w:hAnsi="Arial" w:cs="Arial"/>
          <w:i/>
          <w:lang w:val="es-ES_tradnl"/>
        </w:rPr>
        <w:t>sub examine</w:t>
      </w:r>
      <w:r w:rsidRPr="00004762">
        <w:rPr>
          <w:rFonts w:ascii="Arial" w:hAnsi="Arial" w:cs="Arial"/>
          <w:lang w:val="es-ES_tradnl"/>
        </w:rPr>
        <w:t xml:space="preserve">, cabe señalar </w:t>
      </w:r>
      <w:r w:rsidR="004845BA" w:rsidRPr="00004762">
        <w:rPr>
          <w:rFonts w:ascii="Arial" w:hAnsi="Arial" w:cs="Arial"/>
          <w:lang w:val="es-ES_tradnl"/>
        </w:rPr>
        <w:t xml:space="preserve">que el </w:t>
      </w:r>
      <w:r w:rsidR="008D4AEE" w:rsidRPr="00004762">
        <w:rPr>
          <w:rFonts w:ascii="Arial" w:hAnsi="Arial" w:cs="Arial"/>
          <w:lang w:val="es-ES_tradnl"/>
        </w:rPr>
        <w:t>inmueble</w:t>
      </w:r>
      <w:r w:rsidR="004845BA" w:rsidRPr="00004762">
        <w:rPr>
          <w:rFonts w:ascii="Arial" w:hAnsi="Arial" w:cs="Arial"/>
          <w:lang w:val="es-ES_tradnl"/>
        </w:rPr>
        <w:t xml:space="preserve"> objeto del contrato de donación</w:t>
      </w:r>
      <w:r w:rsidR="00F56679" w:rsidRPr="00004762">
        <w:rPr>
          <w:rStyle w:val="Refdenotaalpie"/>
          <w:rFonts w:ascii="Arial" w:hAnsi="Arial" w:cs="Arial"/>
          <w:lang w:val="es-ES_tradnl"/>
        </w:rPr>
        <w:footnoteReference w:id="15"/>
      </w:r>
      <w:r w:rsidR="004845BA" w:rsidRPr="00004762">
        <w:rPr>
          <w:rFonts w:ascii="Arial" w:hAnsi="Arial" w:cs="Arial"/>
          <w:lang w:val="es-ES_tradnl"/>
        </w:rPr>
        <w:t xml:space="preserve"> no es un bien de uso público</w:t>
      </w:r>
      <w:r w:rsidR="008D4AEE" w:rsidRPr="00004762">
        <w:rPr>
          <w:rFonts w:ascii="Arial" w:hAnsi="Arial" w:cs="Arial"/>
          <w:lang w:val="es-ES_tradnl"/>
        </w:rPr>
        <w:t xml:space="preserve">, </w:t>
      </w:r>
      <w:r w:rsidR="00B307FD" w:rsidRPr="00004762">
        <w:rPr>
          <w:rFonts w:ascii="Arial" w:hAnsi="Arial" w:cs="Arial"/>
          <w:lang w:val="es-ES_tradnl"/>
        </w:rPr>
        <w:t xml:space="preserve">pues, atendiendo a la definición del artículo 674 del Código Civil, </w:t>
      </w:r>
      <w:r w:rsidR="000D24EF" w:rsidRPr="00004762">
        <w:rPr>
          <w:rFonts w:ascii="Arial" w:hAnsi="Arial" w:cs="Arial"/>
          <w:lang w:val="es-ES_tradnl"/>
        </w:rPr>
        <w:t>no es uno d</w:t>
      </w:r>
      <w:r w:rsidR="00B307FD" w:rsidRPr="00004762">
        <w:rPr>
          <w:rFonts w:ascii="Arial" w:hAnsi="Arial" w:cs="Arial"/>
          <w:lang w:val="es-ES_tradnl"/>
        </w:rPr>
        <w:t xml:space="preserve">e aquellos cuyo uso pertenece </w:t>
      </w:r>
      <w:r w:rsidR="00517DA3" w:rsidRPr="00004762">
        <w:rPr>
          <w:rFonts w:ascii="Arial" w:hAnsi="Arial" w:cs="Arial"/>
          <w:lang w:val="es-ES_tradnl"/>
        </w:rPr>
        <w:t xml:space="preserve">generalmente </w:t>
      </w:r>
      <w:r w:rsidR="00B307FD" w:rsidRPr="00004762">
        <w:rPr>
          <w:rFonts w:ascii="Arial" w:hAnsi="Arial" w:cs="Arial"/>
          <w:lang w:val="es-ES_tradnl"/>
        </w:rPr>
        <w:t>a todos los habitantes -como las call</w:t>
      </w:r>
      <w:r w:rsidR="007A274B" w:rsidRPr="00004762">
        <w:rPr>
          <w:rFonts w:ascii="Arial" w:hAnsi="Arial" w:cs="Arial"/>
          <w:lang w:val="es-ES_tradnl"/>
        </w:rPr>
        <w:t xml:space="preserve">es, plazas, puentes y caminos-, </w:t>
      </w:r>
      <w:r w:rsidR="00B307FD" w:rsidRPr="00004762">
        <w:rPr>
          <w:rFonts w:ascii="Arial" w:hAnsi="Arial" w:cs="Arial"/>
          <w:lang w:val="es-ES_tradnl"/>
        </w:rPr>
        <w:lastRenderedPageBreak/>
        <w:t>por manera que, teniendo en cuenta el criterio residual</w:t>
      </w:r>
      <w:r w:rsidR="00B307FD" w:rsidRPr="00004762">
        <w:rPr>
          <w:rStyle w:val="Refdenotaalpie"/>
          <w:rFonts w:ascii="Arial" w:hAnsi="Arial" w:cs="Arial"/>
          <w:lang w:val="es-ES_tradnl"/>
        </w:rPr>
        <w:footnoteReference w:id="16"/>
      </w:r>
      <w:r w:rsidR="00B307FD" w:rsidRPr="00004762">
        <w:rPr>
          <w:rFonts w:ascii="Arial" w:hAnsi="Arial" w:cs="Arial"/>
          <w:lang w:val="es-ES_tradnl"/>
        </w:rPr>
        <w:t xml:space="preserve">, dicho inmueble es de naturaleza fiscal. </w:t>
      </w:r>
    </w:p>
    <w:bookmarkEnd w:id="10"/>
    <w:p w:rsidR="00EF2842" w:rsidRPr="00004762" w:rsidRDefault="00EF2842" w:rsidP="00004762">
      <w:pPr>
        <w:pStyle w:val="Prrafodelista"/>
        <w:spacing w:line="360" w:lineRule="auto"/>
        <w:ind w:left="0"/>
        <w:jc w:val="both"/>
        <w:rPr>
          <w:rFonts w:ascii="Arial" w:hAnsi="Arial" w:cs="Arial"/>
          <w:lang w:val="es-ES_tradnl"/>
        </w:rPr>
      </w:pPr>
    </w:p>
    <w:p w:rsidR="00EE36C9" w:rsidRPr="00004762" w:rsidRDefault="00B307FD" w:rsidP="00004762">
      <w:pPr>
        <w:pStyle w:val="Prrafodelista"/>
        <w:spacing w:line="360" w:lineRule="auto"/>
        <w:ind w:left="0"/>
        <w:jc w:val="both"/>
        <w:rPr>
          <w:rFonts w:ascii="Arial" w:hAnsi="Arial" w:cs="Arial"/>
          <w:lang w:val="es-ES_tradnl"/>
        </w:rPr>
      </w:pPr>
      <w:bookmarkStart w:id="11" w:name="_Hlk24622740"/>
      <w:r w:rsidRPr="00004762">
        <w:rPr>
          <w:rFonts w:ascii="Arial" w:hAnsi="Arial" w:cs="Arial"/>
          <w:lang w:val="es-ES_tradnl"/>
        </w:rPr>
        <w:t xml:space="preserve">Los bienes fiscales, </w:t>
      </w:r>
      <w:r w:rsidR="00EE36C9" w:rsidRPr="00004762">
        <w:rPr>
          <w:rFonts w:ascii="Arial" w:hAnsi="Arial" w:cs="Arial"/>
          <w:lang w:val="es-ES_tradnl"/>
        </w:rPr>
        <w:t xml:space="preserve">a diferencia de los de uso público, son comerciables, de ahí que sean susceptibles de ser apropiados por sujetos de derecho público o por particulares, con empleo de los modos de adquisición autorizados en la ley, situación que permite entender </w:t>
      </w:r>
      <w:r w:rsidR="00FF4653" w:rsidRPr="00004762">
        <w:rPr>
          <w:rFonts w:ascii="Arial" w:hAnsi="Arial" w:cs="Arial"/>
          <w:lang w:val="es-ES_tradnl"/>
        </w:rPr>
        <w:t xml:space="preserve">que </w:t>
      </w:r>
      <w:r w:rsidR="000D24EF" w:rsidRPr="00004762">
        <w:rPr>
          <w:rFonts w:ascii="Arial" w:hAnsi="Arial" w:cs="Arial"/>
          <w:lang w:val="es-ES_tradnl"/>
        </w:rPr>
        <w:t>este tipo</w:t>
      </w:r>
      <w:r w:rsidR="00EE36C9" w:rsidRPr="00004762">
        <w:rPr>
          <w:rFonts w:ascii="Arial" w:hAnsi="Arial" w:cs="Arial"/>
          <w:lang w:val="es-ES_tradnl"/>
        </w:rPr>
        <w:t xml:space="preserve"> bienes son enajenables</w:t>
      </w:r>
      <w:r w:rsidR="000D24EF" w:rsidRPr="00004762">
        <w:rPr>
          <w:rStyle w:val="Refdenotaalpie"/>
          <w:rFonts w:ascii="Arial" w:hAnsi="Arial" w:cs="Arial"/>
          <w:lang w:val="es-ES_tradnl"/>
        </w:rPr>
        <w:footnoteReference w:id="17"/>
      </w:r>
      <w:r w:rsidR="00EE36C9" w:rsidRPr="00004762">
        <w:rPr>
          <w:rFonts w:ascii="Arial" w:hAnsi="Arial" w:cs="Arial"/>
          <w:lang w:val="es-ES_tradnl"/>
        </w:rPr>
        <w:t>.</w:t>
      </w:r>
    </w:p>
    <w:p w:rsidR="000D24EF" w:rsidRPr="00004762" w:rsidRDefault="000D24EF" w:rsidP="00004762">
      <w:pPr>
        <w:pStyle w:val="Prrafodelista"/>
        <w:spacing w:line="360" w:lineRule="auto"/>
        <w:ind w:left="0"/>
        <w:jc w:val="both"/>
        <w:rPr>
          <w:rFonts w:ascii="Arial" w:hAnsi="Arial" w:cs="Arial"/>
          <w:lang w:val="es-ES_tradnl"/>
        </w:rPr>
      </w:pPr>
    </w:p>
    <w:p w:rsidR="00830861" w:rsidRPr="00004762" w:rsidRDefault="000D24EF" w:rsidP="00004762">
      <w:pPr>
        <w:pStyle w:val="Prrafodelista"/>
        <w:spacing w:line="360" w:lineRule="auto"/>
        <w:ind w:left="0"/>
        <w:jc w:val="both"/>
        <w:rPr>
          <w:rFonts w:ascii="Arial" w:hAnsi="Arial" w:cs="Arial"/>
          <w:lang w:val="es-ES_tradnl"/>
        </w:rPr>
      </w:pPr>
      <w:r w:rsidRPr="00004762">
        <w:rPr>
          <w:rFonts w:ascii="Arial" w:hAnsi="Arial" w:cs="Arial"/>
          <w:lang w:val="es-ES_tradnl"/>
        </w:rPr>
        <w:t xml:space="preserve">Bajo esa óptica, como el inmueble objeto de la controversia es un bien fiscal y, por ende, </w:t>
      </w:r>
      <w:r w:rsidRPr="00004762">
        <w:rPr>
          <w:rFonts w:ascii="Arial" w:hAnsi="Arial" w:cs="Arial"/>
          <w:b/>
          <w:lang w:val="es-ES_tradnl"/>
        </w:rPr>
        <w:t>enajenable</w:t>
      </w:r>
      <w:r w:rsidRPr="00004762">
        <w:rPr>
          <w:rFonts w:ascii="Arial" w:hAnsi="Arial" w:cs="Arial"/>
          <w:lang w:val="es-ES_tradnl"/>
        </w:rPr>
        <w:t xml:space="preserve">, </w:t>
      </w:r>
      <w:r w:rsidR="00AF65FC" w:rsidRPr="00004762">
        <w:rPr>
          <w:rFonts w:ascii="Arial" w:hAnsi="Arial" w:cs="Arial"/>
          <w:lang w:val="es-ES_tradnl"/>
        </w:rPr>
        <w:t>fuerza concluir, contrario a lo señalado por la parte recurrente,</w:t>
      </w:r>
      <w:r w:rsidR="00830861" w:rsidRPr="00004762">
        <w:rPr>
          <w:rFonts w:ascii="Arial" w:hAnsi="Arial" w:cs="Arial"/>
          <w:lang w:val="es-ES_tradnl"/>
        </w:rPr>
        <w:t xml:space="preserve"> que en el presente caso no era posible demandar en cualquier tiempo, en tanto no resulta aplicable </w:t>
      </w:r>
      <w:r w:rsidR="00AF65FC" w:rsidRPr="00004762">
        <w:rPr>
          <w:rFonts w:ascii="Arial" w:hAnsi="Arial" w:cs="Arial"/>
          <w:lang w:val="es-ES_tradnl"/>
        </w:rPr>
        <w:t xml:space="preserve">la regla </w:t>
      </w:r>
      <w:r w:rsidR="00830861" w:rsidRPr="00004762">
        <w:rPr>
          <w:rFonts w:ascii="Arial" w:hAnsi="Arial" w:cs="Arial"/>
          <w:lang w:val="es-ES_tradnl"/>
        </w:rPr>
        <w:t xml:space="preserve">que de antaño se adoptó </w:t>
      </w:r>
      <w:r w:rsidR="00AF65FC" w:rsidRPr="00004762">
        <w:rPr>
          <w:rFonts w:ascii="Arial" w:hAnsi="Arial" w:cs="Arial"/>
          <w:lang w:val="es-ES_tradnl"/>
        </w:rPr>
        <w:t xml:space="preserve">vía jurisprudencial y </w:t>
      </w:r>
      <w:r w:rsidR="00830861" w:rsidRPr="00004762">
        <w:rPr>
          <w:rFonts w:ascii="Arial" w:hAnsi="Arial" w:cs="Arial"/>
          <w:lang w:val="es-ES_tradnl"/>
        </w:rPr>
        <w:t xml:space="preserve">que </w:t>
      </w:r>
      <w:r w:rsidR="00AF65FC" w:rsidRPr="00004762">
        <w:rPr>
          <w:rFonts w:ascii="Arial" w:hAnsi="Arial" w:cs="Arial"/>
          <w:lang w:val="es-ES_tradnl"/>
        </w:rPr>
        <w:t xml:space="preserve">luego </w:t>
      </w:r>
      <w:r w:rsidR="00830861" w:rsidRPr="00004762">
        <w:rPr>
          <w:rFonts w:ascii="Arial" w:hAnsi="Arial" w:cs="Arial"/>
          <w:lang w:val="es-ES_tradnl"/>
        </w:rPr>
        <w:t>se recogió</w:t>
      </w:r>
      <w:r w:rsidR="00AF65FC" w:rsidRPr="00004762">
        <w:rPr>
          <w:rFonts w:ascii="Arial" w:hAnsi="Arial" w:cs="Arial"/>
          <w:lang w:val="es-ES_tradnl"/>
        </w:rPr>
        <w:t xml:space="preserve"> en textos legales</w:t>
      </w:r>
      <w:r w:rsidR="00830861" w:rsidRPr="00004762">
        <w:rPr>
          <w:rFonts w:ascii="Arial" w:hAnsi="Arial" w:cs="Arial"/>
          <w:lang w:val="es-ES_tradnl"/>
        </w:rPr>
        <w:t xml:space="preserve"> -</w:t>
      </w:r>
      <w:r w:rsidR="00AF65FC" w:rsidRPr="00004762">
        <w:rPr>
          <w:rFonts w:ascii="Arial" w:hAnsi="Arial" w:cs="Arial"/>
          <w:lang w:val="es-ES_tradnl"/>
        </w:rPr>
        <w:t xml:space="preserve">consistente en que </w:t>
      </w:r>
      <w:r w:rsidR="00830861" w:rsidRPr="00004762">
        <w:rPr>
          <w:rFonts w:ascii="Arial" w:hAnsi="Arial" w:cs="Arial"/>
          <w:lang w:val="es-ES_tradnl"/>
        </w:rPr>
        <w:t>las acciones que recaigan sobre bienes estatales imprescriptibles e</w:t>
      </w:r>
      <w:r w:rsidR="00830861" w:rsidRPr="00004762">
        <w:rPr>
          <w:rFonts w:ascii="Arial" w:hAnsi="Arial" w:cs="Arial"/>
          <w:b/>
          <w:lang w:val="es-ES_tradnl"/>
        </w:rPr>
        <w:t xml:space="preserve"> inenajenables</w:t>
      </w:r>
      <w:r w:rsidR="00830861" w:rsidRPr="00004762">
        <w:rPr>
          <w:rFonts w:ascii="Arial" w:hAnsi="Arial" w:cs="Arial"/>
          <w:lang w:val="es-ES_tradnl"/>
        </w:rPr>
        <w:t xml:space="preserve"> </w:t>
      </w:r>
      <w:r w:rsidR="00AF65FC" w:rsidRPr="00004762">
        <w:rPr>
          <w:rFonts w:ascii="Arial" w:hAnsi="Arial" w:cs="Arial"/>
          <w:lang w:val="es-ES_tradnl"/>
        </w:rPr>
        <w:t>no caducan</w:t>
      </w:r>
      <w:r w:rsidR="00830861" w:rsidRPr="00004762">
        <w:rPr>
          <w:rFonts w:ascii="Arial" w:hAnsi="Arial" w:cs="Arial"/>
          <w:lang w:val="es-ES_tradnl"/>
        </w:rPr>
        <w:t xml:space="preserve">-, lo que conduce a señalar que el </w:t>
      </w:r>
      <w:r w:rsidR="00830861" w:rsidRPr="00004762">
        <w:rPr>
          <w:rFonts w:ascii="Arial" w:hAnsi="Arial" w:cs="Arial"/>
          <w:i/>
          <w:lang w:val="es-ES_tradnl"/>
        </w:rPr>
        <w:t>sub examine</w:t>
      </w:r>
      <w:r w:rsidR="00830861" w:rsidRPr="00004762">
        <w:rPr>
          <w:rFonts w:ascii="Arial" w:hAnsi="Arial" w:cs="Arial"/>
          <w:lang w:val="es-ES_tradnl"/>
        </w:rPr>
        <w:t xml:space="preserve"> sí estaba supeditado al término de caducidad, en este caso, el</w:t>
      </w:r>
      <w:r w:rsidR="00721044" w:rsidRPr="00004762">
        <w:rPr>
          <w:rFonts w:ascii="Arial" w:hAnsi="Arial" w:cs="Arial"/>
          <w:lang w:val="es-ES_tradnl"/>
        </w:rPr>
        <w:t xml:space="preserve"> de</w:t>
      </w:r>
      <w:r w:rsidR="00830861" w:rsidRPr="00004762">
        <w:rPr>
          <w:rFonts w:ascii="Arial" w:hAnsi="Arial" w:cs="Arial"/>
          <w:lang w:val="es-ES_tradnl"/>
        </w:rPr>
        <w:t xml:space="preserve"> dos años a partir del perfeccionamiento del contrato, porque </w:t>
      </w:r>
      <w:r w:rsidR="00721044" w:rsidRPr="00004762">
        <w:rPr>
          <w:rFonts w:ascii="Arial" w:hAnsi="Arial" w:cs="Arial"/>
          <w:lang w:val="es-ES_tradnl"/>
        </w:rPr>
        <w:t>se pidió la nulidad absoluta del mis</w:t>
      </w:r>
      <w:r w:rsidR="001F2EF8" w:rsidRPr="00004762">
        <w:rPr>
          <w:rFonts w:ascii="Arial" w:hAnsi="Arial" w:cs="Arial"/>
          <w:lang w:val="es-ES_tradnl"/>
        </w:rPr>
        <w:t>mo, tal y como se señaló atrás.</w:t>
      </w:r>
      <w:r w:rsidR="00721044" w:rsidRPr="00004762">
        <w:rPr>
          <w:rFonts w:ascii="Arial" w:hAnsi="Arial" w:cs="Arial"/>
          <w:lang w:val="es-ES_tradnl"/>
        </w:rPr>
        <w:t xml:space="preserve"> </w:t>
      </w:r>
    </w:p>
    <w:p w:rsidR="00404C71" w:rsidRPr="00004762" w:rsidRDefault="00404C71" w:rsidP="00004762">
      <w:pPr>
        <w:pStyle w:val="Prrafodelista"/>
        <w:spacing w:line="360" w:lineRule="auto"/>
        <w:ind w:left="0"/>
        <w:jc w:val="both"/>
        <w:rPr>
          <w:rFonts w:ascii="Arial" w:hAnsi="Arial" w:cs="Arial"/>
          <w:lang w:val="es-ES_tradnl"/>
        </w:rPr>
      </w:pPr>
    </w:p>
    <w:bookmarkEnd w:id="11"/>
    <w:p w:rsidR="00EE36C9" w:rsidRPr="00004762" w:rsidRDefault="00CC6668" w:rsidP="00004762">
      <w:pPr>
        <w:pStyle w:val="Prrafodelista"/>
        <w:spacing w:line="360" w:lineRule="auto"/>
        <w:ind w:left="0"/>
        <w:jc w:val="both"/>
        <w:rPr>
          <w:rFonts w:ascii="Arial" w:hAnsi="Arial" w:cs="Arial"/>
          <w:lang w:val="es-ES_tradnl"/>
        </w:rPr>
      </w:pPr>
      <w:r w:rsidRPr="00004762">
        <w:rPr>
          <w:rFonts w:ascii="Arial" w:hAnsi="Arial" w:cs="Arial"/>
          <w:lang w:val="es-ES_tradnl"/>
        </w:rPr>
        <w:t xml:space="preserve">Descartados los argumentos de inconformidad de la parte demandante, el Despacho reitera que el plazo para demandar la nulidad absoluta del contrato en cuestión corrió entre el 30 </w:t>
      </w:r>
      <w:r w:rsidR="004D72B8" w:rsidRPr="00004762">
        <w:rPr>
          <w:rFonts w:ascii="Arial" w:hAnsi="Arial" w:cs="Arial"/>
          <w:lang w:val="es-ES_tradnl"/>
        </w:rPr>
        <w:t>de diciembre de 1988 hasta el 30</w:t>
      </w:r>
      <w:r w:rsidRPr="00004762">
        <w:rPr>
          <w:rFonts w:ascii="Arial" w:hAnsi="Arial" w:cs="Arial"/>
          <w:lang w:val="es-ES_tradnl"/>
        </w:rPr>
        <w:t xml:space="preserve"> de diciembre de 1990, pero como el libelo se interpuso el 12 de septiembre de 2014, se entiende que operó la caducidad de la pretensión </w:t>
      </w:r>
      <w:r w:rsidR="00093D1F" w:rsidRPr="00004762">
        <w:rPr>
          <w:rFonts w:ascii="Arial" w:hAnsi="Arial" w:cs="Arial"/>
          <w:lang w:val="es-ES_tradnl"/>
        </w:rPr>
        <w:t xml:space="preserve">principal </w:t>
      </w:r>
      <w:r w:rsidRPr="00004762">
        <w:rPr>
          <w:rFonts w:ascii="Arial" w:hAnsi="Arial" w:cs="Arial"/>
          <w:lang w:val="es-ES_tradnl"/>
        </w:rPr>
        <w:t>de nulidad absoluta del contrato</w:t>
      </w:r>
      <w:r w:rsidR="00C911A4" w:rsidRPr="00004762">
        <w:rPr>
          <w:rFonts w:ascii="Arial" w:hAnsi="Arial" w:cs="Arial"/>
          <w:lang w:val="es-ES_tradnl"/>
        </w:rPr>
        <w:t xml:space="preserve">. </w:t>
      </w:r>
    </w:p>
    <w:p w:rsidR="00517DA3" w:rsidRPr="00004762" w:rsidRDefault="00517DA3" w:rsidP="00004762">
      <w:pPr>
        <w:pStyle w:val="Prrafodelista"/>
        <w:spacing w:line="360" w:lineRule="auto"/>
        <w:ind w:left="0"/>
        <w:jc w:val="both"/>
        <w:rPr>
          <w:rFonts w:ascii="Arial" w:hAnsi="Arial" w:cs="Arial"/>
          <w:lang w:val="es-ES_tradnl"/>
        </w:rPr>
      </w:pPr>
    </w:p>
    <w:p w:rsidR="001A359F" w:rsidRPr="00004762" w:rsidRDefault="00C63876" w:rsidP="00004762">
      <w:pPr>
        <w:spacing w:line="360" w:lineRule="auto"/>
        <w:jc w:val="both"/>
        <w:rPr>
          <w:rFonts w:ascii="Arial" w:hAnsi="Arial" w:cs="Arial"/>
          <w:lang w:val="es-ES_tradnl"/>
        </w:rPr>
      </w:pPr>
      <w:r w:rsidRPr="00004762">
        <w:rPr>
          <w:rFonts w:ascii="Arial" w:hAnsi="Arial" w:cs="Arial"/>
          <w:lang w:val="es-ES_tradnl"/>
        </w:rPr>
        <w:t>No obstante, se precisa que l</w:t>
      </w:r>
      <w:r w:rsidR="00517DA3" w:rsidRPr="00004762">
        <w:rPr>
          <w:rFonts w:ascii="Arial" w:hAnsi="Arial" w:cs="Arial"/>
          <w:lang w:val="es-ES_tradnl"/>
        </w:rPr>
        <w:t>o anterior no daba lugar a la terminación del proceso</w:t>
      </w:r>
      <w:r w:rsidR="003328BB" w:rsidRPr="00004762">
        <w:rPr>
          <w:rFonts w:ascii="Arial" w:hAnsi="Arial" w:cs="Arial"/>
          <w:lang w:val="es-ES_tradnl"/>
        </w:rPr>
        <w:t>,</w:t>
      </w:r>
      <w:r w:rsidR="00517DA3" w:rsidRPr="00004762">
        <w:rPr>
          <w:rFonts w:ascii="Arial" w:hAnsi="Arial" w:cs="Arial"/>
          <w:lang w:val="es-ES_tradnl"/>
        </w:rPr>
        <w:t xml:space="preserve"> como erróneamente lo decidió el Tribunal, </w:t>
      </w:r>
      <w:r w:rsidR="001D1D92" w:rsidRPr="00004762">
        <w:rPr>
          <w:rFonts w:ascii="Arial" w:hAnsi="Arial" w:cs="Arial"/>
          <w:lang w:val="es-ES_tradnl"/>
        </w:rPr>
        <w:t xml:space="preserve">porque los argumentos del </w:t>
      </w:r>
      <w:r w:rsidR="001D1D92" w:rsidRPr="00004762">
        <w:rPr>
          <w:rFonts w:ascii="Arial" w:hAnsi="Arial" w:cs="Arial"/>
          <w:i/>
          <w:lang w:val="es-ES_tradnl"/>
        </w:rPr>
        <w:t>a quo</w:t>
      </w:r>
      <w:r w:rsidR="001D1D92" w:rsidRPr="00004762">
        <w:rPr>
          <w:rFonts w:ascii="Arial" w:hAnsi="Arial" w:cs="Arial"/>
          <w:lang w:val="es-ES_tradnl"/>
        </w:rPr>
        <w:t xml:space="preserve"> para declarar probada la excepción de caducidad giraron en torno </w:t>
      </w:r>
      <w:r w:rsidR="00CE3E6B" w:rsidRPr="00004762">
        <w:rPr>
          <w:rFonts w:ascii="Arial" w:hAnsi="Arial" w:cs="Arial"/>
          <w:lang w:val="es-ES_tradnl"/>
        </w:rPr>
        <w:t xml:space="preserve">-únicamente- </w:t>
      </w:r>
      <w:r w:rsidR="001D1D92" w:rsidRPr="00004762">
        <w:rPr>
          <w:rFonts w:ascii="Arial" w:hAnsi="Arial" w:cs="Arial"/>
          <w:lang w:val="es-ES_tradnl"/>
        </w:rPr>
        <w:t xml:space="preserve">a </w:t>
      </w:r>
      <w:r w:rsidR="00E66CAE" w:rsidRPr="00004762">
        <w:rPr>
          <w:rFonts w:ascii="Arial" w:hAnsi="Arial" w:cs="Arial"/>
          <w:lang w:val="es-ES_tradnl"/>
        </w:rPr>
        <w:t xml:space="preserve">la pretensión </w:t>
      </w:r>
      <w:r w:rsidR="001D6329" w:rsidRPr="00004762">
        <w:rPr>
          <w:rFonts w:ascii="Arial" w:hAnsi="Arial" w:cs="Arial"/>
          <w:lang w:val="es-ES_tradnl"/>
        </w:rPr>
        <w:t xml:space="preserve">principal </w:t>
      </w:r>
      <w:r w:rsidR="001D1D92" w:rsidRPr="00004762">
        <w:rPr>
          <w:rFonts w:ascii="Arial" w:hAnsi="Arial" w:cs="Arial"/>
          <w:lang w:val="es-ES_tradnl"/>
        </w:rPr>
        <w:t>d</w:t>
      </w:r>
      <w:r w:rsidR="00E66CAE" w:rsidRPr="00004762">
        <w:rPr>
          <w:rFonts w:ascii="Arial" w:hAnsi="Arial" w:cs="Arial"/>
          <w:lang w:val="es-ES_tradnl"/>
        </w:rPr>
        <w:t>e nulidad absoluta del contrato, sin tener en cuenta las demás pretensiones</w:t>
      </w:r>
      <w:r w:rsidR="001A359F" w:rsidRPr="00004762">
        <w:rPr>
          <w:rFonts w:ascii="Arial" w:hAnsi="Arial" w:cs="Arial"/>
          <w:lang w:val="es-ES_tradnl"/>
        </w:rPr>
        <w:t xml:space="preserve">, </w:t>
      </w:r>
      <w:r w:rsidR="00D95D14" w:rsidRPr="00004762">
        <w:rPr>
          <w:rFonts w:ascii="Arial" w:hAnsi="Arial" w:cs="Arial"/>
          <w:lang w:val="es-ES_tradnl"/>
        </w:rPr>
        <w:t xml:space="preserve">a través de las cuales no se cuestiona la validez del contrato, de modo que, mal </w:t>
      </w:r>
      <w:r w:rsidR="00131851" w:rsidRPr="00004762">
        <w:rPr>
          <w:rFonts w:ascii="Arial" w:hAnsi="Arial" w:cs="Arial"/>
          <w:lang w:val="es-ES_tradnl"/>
        </w:rPr>
        <w:t xml:space="preserve">podría </w:t>
      </w:r>
      <w:r w:rsidR="0015754E" w:rsidRPr="00004762">
        <w:rPr>
          <w:rFonts w:ascii="Arial" w:hAnsi="Arial" w:cs="Arial"/>
          <w:lang w:val="es-ES_tradnl"/>
        </w:rPr>
        <w:t>entenderse</w:t>
      </w:r>
      <w:r w:rsidR="00131851" w:rsidRPr="00004762">
        <w:rPr>
          <w:rFonts w:ascii="Arial" w:hAnsi="Arial" w:cs="Arial"/>
          <w:lang w:val="es-ES_tradnl"/>
        </w:rPr>
        <w:t xml:space="preserve"> que la caducidad </w:t>
      </w:r>
      <w:r w:rsidR="00B91436" w:rsidRPr="00004762">
        <w:rPr>
          <w:rFonts w:ascii="Arial" w:hAnsi="Arial" w:cs="Arial"/>
          <w:lang w:val="es-ES_tradnl"/>
        </w:rPr>
        <w:t>de</w:t>
      </w:r>
      <w:r w:rsidR="00131851" w:rsidRPr="00004762">
        <w:rPr>
          <w:rFonts w:ascii="Arial" w:hAnsi="Arial" w:cs="Arial"/>
          <w:lang w:val="es-ES_tradnl"/>
        </w:rPr>
        <w:t xml:space="preserve"> </w:t>
      </w:r>
      <w:r w:rsidR="001A359F" w:rsidRPr="00004762">
        <w:rPr>
          <w:rFonts w:ascii="Arial" w:hAnsi="Arial" w:cs="Arial"/>
          <w:lang w:val="es-ES_tradnl"/>
        </w:rPr>
        <w:t>la</w:t>
      </w:r>
      <w:r w:rsidR="001C0BB6" w:rsidRPr="00004762">
        <w:rPr>
          <w:rFonts w:ascii="Arial" w:hAnsi="Arial" w:cs="Arial"/>
          <w:lang w:val="es-ES_tradnl"/>
        </w:rPr>
        <w:t xml:space="preserve"> pretensión</w:t>
      </w:r>
      <w:r w:rsidR="001A359F" w:rsidRPr="00004762">
        <w:rPr>
          <w:rFonts w:ascii="Arial" w:hAnsi="Arial" w:cs="Arial"/>
          <w:lang w:val="es-ES_tradnl"/>
        </w:rPr>
        <w:t xml:space="preserve"> </w:t>
      </w:r>
      <w:r w:rsidR="001C0BB6" w:rsidRPr="00004762">
        <w:rPr>
          <w:rFonts w:ascii="Arial" w:hAnsi="Arial" w:cs="Arial"/>
          <w:lang w:val="es-ES_tradnl"/>
        </w:rPr>
        <w:t>de</w:t>
      </w:r>
      <w:r w:rsidR="001A359F" w:rsidRPr="00004762">
        <w:rPr>
          <w:rFonts w:ascii="Arial" w:hAnsi="Arial" w:cs="Arial"/>
          <w:lang w:val="es-ES_tradnl"/>
        </w:rPr>
        <w:t xml:space="preserve"> </w:t>
      </w:r>
      <w:r w:rsidR="00131851" w:rsidRPr="00004762">
        <w:rPr>
          <w:rFonts w:ascii="Arial" w:hAnsi="Arial" w:cs="Arial"/>
          <w:lang w:val="es-ES_tradnl"/>
        </w:rPr>
        <w:t xml:space="preserve">nulidad absoluta </w:t>
      </w:r>
      <w:r w:rsidR="0015754E" w:rsidRPr="00004762">
        <w:rPr>
          <w:rFonts w:ascii="Arial" w:hAnsi="Arial" w:cs="Arial"/>
          <w:lang w:val="es-ES_tradnl"/>
        </w:rPr>
        <w:lastRenderedPageBreak/>
        <w:t xml:space="preserve">supone </w:t>
      </w:r>
      <w:r w:rsidR="001A359F" w:rsidRPr="00004762">
        <w:rPr>
          <w:rFonts w:ascii="Arial" w:hAnsi="Arial" w:cs="Arial"/>
          <w:lang w:val="es-ES_tradnl"/>
        </w:rPr>
        <w:t>que las demás pretensiones también est</w:t>
      </w:r>
      <w:r w:rsidR="0015754E" w:rsidRPr="00004762">
        <w:rPr>
          <w:rFonts w:ascii="Arial" w:hAnsi="Arial" w:cs="Arial"/>
          <w:lang w:val="es-ES_tradnl"/>
        </w:rPr>
        <w:t>é</w:t>
      </w:r>
      <w:r w:rsidR="001A359F" w:rsidRPr="00004762">
        <w:rPr>
          <w:rFonts w:ascii="Arial" w:hAnsi="Arial" w:cs="Arial"/>
          <w:lang w:val="es-ES_tradnl"/>
        </w:rPr>
        <w:t>n caducadas, m</w:t>
      </w:r>
      <w:r w:rsidR="00892CB3" w:rsidRPr="00004762">
        <w:rPr>
          <w:rFonts w:ascii="Arial" w:hAnsi="Arial" w:cs="Arial"/>
          <w:lang w:val="es-ES_tradnl"/>
        </w:rPr>
        <w:t xml:space="preserve">áxime porque </w:t>
      </w:r>
      <w:r w:rsidR="0015754E" w:rsidRPr="00004762">
        <w:rPr>
          <w:rFonts w:ascii="Arial" w:hAnsi="Arial" w:cs="Arial"/>
          <w:lang w:val="es-ES_tradnl"/>
        </w:rPr>
        <w:t>la otra principal, relativa a la rescisión</w:t>
      </w:r>
      <w:r w:rsidR="00892CB3" w:rsidRPr="00004762">
        <w:rPr>
          <w:rFonts w:ascii="Arial" w:hAnsi="Arial" w:cs="Arial"/>
          <w:lang w:val="es-ES_tradnl"/>
        </w:rPr>
        <w:t xml:space="preserve">, y </w:t>
      </w:r>
      <w:r w:rsidR="0015754E" w:rsidRPr="00004762">
        <w:rPr>
          <w:rFonts w:ascii="Arial" w:hAnsi="Arial" w:cs="Arial"/>
          <w:lang w:val="es-ES_tradnl"/>
        </w:rPr>
        <w:t>las otras formuladas como subsidiarias, no penden de los vicios en la formación del contrato, sino del cumplimiento o no de las ob</w:t>
      </w:r>
      <w:r w:rsidR="00B347A1" w:rsidRPr="00004762">
        <w:rPr>
          <w:rFonts w:ascii="Arial" w:hAnsi="Arial" w:cs="Arial"/>
          <w:lang w:val="es-ES_tradnl"/>
        </w:rPr>
        <w:t xml:space="preserve">ligaciones pactadas en el mismo, lo que conduciría a un análisis de caducidad distinto frente a ellas. </w:t>
      </w:r>
    </w:p>
    <w:p w:rsidR="001D1D92" w:rsidRPr="00004762" w:rsidRDefault="001D1D92" w:rsidP="00004762">
      <w:pPr>
        <w:spacing w:line="360" w:lineRule="auto"/>
        <w:jc w:val="both"/>
        <w:rPr>
          <w:rFonts w:ascii="Arial" w:hAnsi="Arial" w:cs="Arial"/>
          <w:lang w:val="es-ES_tradnl"/>
        </w:rPr>
      </w:pPr>
    </w:p>
    <w:p w:rsidR="00C302C0" w:rsidRPr="00004762" w:rsidRDefault="00D95D14" w:rsidP="00004762">
      <w:pPr>
        <w:spacing w:line="360" w:lineRule="auto"/>
        <w:jc w:val="both"/>
        <w:rPr>
          <w:rFonts w:ascii="Arial" w:hAnsi="Arial" w:cs="Arial"/>
          <w:lang w:val="es-ES_tradnl"/>
        </w:rPr>
      </w:pPr>
      <w:r w:rsidRPr="00004762">
        <w:rPr>
          <w:rFonts w:ascii="Arial" w:hAnsi="Arial" w:cs="Arial"/>
          <w:lang w:val="es-ES_tradnl"/>
        </w:rPr>
        <w:t xml:space="preserve">En </w:t>
      </w:r>
      <w:r w:rsidR="0063787C" w:rsidRPr="00004762">
        <w:rPr>
          <w:rFonts w:ascii="Arial" w:hAnsi="Arial" w:cs="Arial"/>
          <w:lang w:val="es-ES_tradnl"/>
        </w:rPr>
        <w:t>conclusión</w:t>
      </w:r>
      <w:r w:rsidR="00892CB3" w:rsidRPr="00004762">
        <w:rPr>
          <w:rFonts w:ascii="Arial" w:hAnsi="Arial" w:cs="Arial"/>
          <w:lang w:val="es-ES_tradnl"/>
        </w:rPr>
        <w:t xml:space="preserve">, </w:t>
      </w:r>
      <w:r w:rsidR="00C302C0" w:rsidRPr="00004762">
        <w:rPr>
          <w:rFonts w:ascii="Arial" w:hAnsi="Arial" w:cs="Arial"/>
        </w:rPr>
        <w:t xml:space="preserve">el Despacho encuentra que en el presente caso operó la caducidad respecto de la pretensión principal de nulidad absoluta del contrato, pero, a diferencia de lo resuelto por el </w:t>
      </w:r>
      <w:r w:rsidR="00C302C0" w:rsidRPr="00004762">
        <w:rPr>
          <w:rFonts w:ascii="Arial" w:hAnsi="Arial" w:cs="Arial"/>
          <w:i/>
        </w:rPr>
        <w:t>a quo</w:t>
      </w:r>
      <w:r w:rsidR="00C302C0" w:rsidRPr="00004762">
        <w:rPr>
          <w:rFonts w:ascii="Arial" w:hAnsi="Arial" w:cs="Arial"/>
        </w:rPr>
        <w:t xml:space="preserve">, la consecuencia de aquello no podía ser la terminación del proceso, sino la exclusión de esa pretensión de la </w:t>
      </w:r>
      <w:r w:rsidR="00C302C0" w:rsidRPr="00004762">
        <w:rPr>
          <w:rFonts w:ascii="Arial" w:hAnsi="Arial" w:cs="Arial"/>
          <w:i/>
        </w:rPr>
        <w:t>litis</w:t>
      </w:r>
      <w:r w:rsidR="00C302C0" w:rsidRPr="00004762">
        <w:rPr>
          <w:rFonts w:ascii="Arial" w:hAnsi="Arial" w:cs="Arial"/>
        </w:rPr>
        <w:t>, por lo que se modificará la decisión en ese sentido.</w:t>
      </w:r>
    </w:p>
    <w:p w:rsidR="00C302C0" w:rsidRPr="00004762" w:rsidRDefault="00C302C0" w:rsidP="00004762">
      <w:pPr>
        <w:spacing w:line="360" w:lineRule="auto"/>
        <w:jc w:val="both"/>
        <w:rPr>
          <w:rFonts w:ascii="Arial" w:hAnsi="Arial" w:cs="Arial"/>
          <w:lang w:val="es-ES_tradnl"/>
        </w:rPr>
      </w:pPr>
    </w:p>
    <w:p w:rsidR="00C302C0" w:rsidRPr="00004762" w:rsidRDefault="00C302C0" w:rsidP="00004762">
      <w:pPr>
        <w:spacing w:line="360" w:lineRule="auto"/>
        <w:jc w:val="both"/>
        <w:rPr>
          <w:rFonts w:ascii="Arial" w:hAnsi="Arial" w:cs="Arial"/>
          <w:b/>
          <w:lang w:val="es-ES_tradnl"/>
        </w:rPr>
      </w:pPr>
      <w:r w:rsidRPr="00004762">
        <w:rPr>
          <w:rFonts w:ascii="Arial" w:hAnsi="Arial" w:cs="Arial"/>
          <w:b/>
          <w:lang w:val="es-ES_tradnl"/>
        </w:rPr>
        <w:t>Caducidad frente a las dem</w:t>
      </w:r>
      <w:r w:rsidR="00C4567B" w:rsidRPr="00004762">
        <w:rPr>
          <w:rFonts w:ascii="Arial" w:hAnsi="Arial" w:cs="Arial"/>
          <w:b/>
          <w:lang w:val="es-ES_tradnl"/>
        </w:rPr>
        <w:t>ás pretensiones</w:t>
      </w:r>
    </w:p>
    <w:p w:rsidR="005749A0" w:rsidRPr="00004762" w:rsidRDefault="005749A0" w:rsidP="00004762">
      <w:pPr>
        <w:spacing w:line="360" w:lineRule="auto"/>
        <w:jc w:val="both"/>
        <w:rPr>
          <w:rFonts w:ascii="Arial" w:hAnsi="Arial" w:cs="Arial"/>
          <w:lang w:val="es-ES_tradnl"/>
        </w:rPr>
      </w:pPr>
    </w:p>
    <w:p w:rsidR="009862D2" w:rsidRPr="00004762" w:rsidRDefault="00C4567B" w:rsidP="00004762">
      <w:pPr>
        <w:spacing w:line="360" w:lineRule="auto"/>
        <w:jc w:val="both"/>
        <w:rPr>
          <w:rFonts w:ascii="Arial" w:hAnsi="Arial" w:cs="Arial"/>
          <w:lang w:val="es-ES_tradnl"/>
        </w:rPr>
      </w:pPr>
      <w:r w:rsidRPr="00004762">
        <w:rPr>
          <w:rFonts w:ascii="Arial" w:hAnsi="Arial" w:cs="Arial"/>
          <w:lang w:val="es-ES_tradnl"/>
        </w:rPr>
        <w:t xml:space="preserve">Descrita la </w:t>
      </w:r>
      <w:r w:rsidR="004D5228" w:rsidRPr="00004762">
        <w:rPr>
          <w:rFonts w:ascii="Arial" w:hAnsi="Arial" w:cs="Arial"/>
          <w:lang w:val="es-ES_tradnl"/>
        </w:rPr>
        <w:t>situación</w:t>
      </w:r>
      <w:r w:rsidRPr="00004762">
        <w:rPr>
          <w:rFonts w:ascii="Arial" w:hAnsi="Arial" w:cs="Arial"/>
          <w:lang w:val="es-ES_tradnl"/>
        </w:rPr>
        <w:t xml:space="preserve"> anterior,</w:t>
      </w:r>
      <w:r w:rsidR="004D5228" w:rsidRPr="00004762">
        <w:rPr>
          <w:rFonts w:ascii="Arial" w:hAnsi="Arial" w:cs="Arial"/>
          <w:lang w:val="es-ES_tradnl"/>
        </w:rPr>
        <w:t xml:space="preserve"> </w:t>
      </w:r>
      <w:r w:rsidR="00922D43" w:rsidRPr="00004762">
        <w:rPr>
          <w:rFonts w:ascii="Arial" w:hAnsi="Arial" w:cs="Arial"/>
          <w:lang w:val="es-ES_tradnl"/>
        </w:rPr>
        <w:t xml:space="preserve">surge el siguiente interrogante: ¿qué sucede con el estudio del fenómeno procesal de </w:t>
      </w:r>
      <w:r w:rsidR="004D5228" w:rsidRPr="00004762">
        <w:rPr>
          <w:rFonts w:ascii="Arial" w:hAnsi="Arial" w:cs="Arial"/>
          <w:lang w:val="es-ES_tradnl"/>
        </w:rPr>
        <w:t xml:space="preserve">la </w:t>
      </w:r>
      <w:r w:rsidR="00922D43" w:rsidRPr="00004762">
        <w:rPr>
          <w:rFonts w:ascii="Arial" w:hAnsi="Arial" w:cs="Arial"/>
          <w:lang w:val="es-ES_tradnl"/>
        </w:rPr>
        <w:t>caducidad frente a las demás pretensiones?</w:t>
      </w:r>
      <w:r w:rsidR="008541D1" w:rsidRPr="00004762">
        <w:rPr>
          <w:rFonts w:ascii="Arial" w:hAnsi="Arial" w:cs="Arial"/>
          <w:lang w:val="es-ES_tradnl"/>
        </w:rPr>
        <w:t xml:space="preserve"> </w:t>
      </w:r>
    </w:p>
    <w:p w:rsidR="009862D2" w:rsidRPr="00004762" w:rsidRDefault="009862D2" w:rsidP="00004762">
      <w:pPr>
        <w:spacing w:line="360" w:lineRule="auto"/>
        <w:jc w:val="both"/>
        <w:rPr>
          <w:rFonts w:ascii="Arial" w:hAnsi="Arial" w:cs="Arial"/>
          <w:lang w:val="es-ES_tradnl"/>
        </w:rPr>
      </w:pPr>
    </w:p>
    <w:p w:rsidR="00B74C0C" w:rsidRPr="00004762" w:rsidRDefault="008541D1" w:rsidP="00004762">
      <w:pPr>
        <w:spacing w:line="360" w:lineRule="auto"/>
        <w:jc w:val="both"/>
        <w:rPr>
          <w:rFonts w:ascii="Arial" w:hAnsi="Arial" w:cs="Arial"/>
          <w:lang w:val="es-ES_tradnl"/>
        </w:rPr>
      </w:pPr>
      <w:r w:rsidRPr="00004762">
        <w:rPr>
          <w:rFonts w:ascii="Arial" w:hAnsi="Arial" w:cs="Arial"/>
          <w:lang w:val="es-ES_tradnl"/>
        </w:rPr>
        <w:t xml:space="preserve">La respuesta </w:t>
      </w:r>
      <w:r w:rsidR="00004C09" w:rsidRPr="00004762">
        <w:rPr>
          <w:rFonts w:ascii="Arial" w:hAnsi="Arial" w:cs="Arial"/>
          <w:lang w:val="es-ES_tradnl"/>
        </w:rPr>
        <w:t xml:space="preserve">sería que ese punto no podría quedar sin el respectivo análisis y al Tribunal le correspondería estudiarlo una vez regrese el expediente a su cargo; no obstante, </w:t>
      </w:r>
      <w:r w:rsidR="0091455D" w:rsidRPr="00004762">
        <w:rPr>
          <w:rFonts w:ascii="Arial" w:hAnsi="Arial" w:cs="Arial"/>
          <w:lang w:val="es-ES_tradnl"/>
        </w:rPr>
        <w:t xml:space="preserve">teniendo en cuenta que el conteo de la caducidad </w:t>
      </w:r>
      <w:r w:rsidR="001034A8" w:rsidRPr="00004762">
        <w:rPr>
          <w:rFonts w:ascii="Arial" w:hAnsi="Arial" w:cs="Arial"/>
          <w:lang w:val="es-ES_tradnl"/>
        </w:rPr>
        <w:t>respecto de</w:t>
      </w:r>
      <w:r w:rsidR="0091455D" w:rsidRPr="00004762">
        <w:rPr>
          <w:rFonts w:ascii="Arial" w:hAnsi="Arial" w:cs="Arial"/>
          <w:lang w:val="es-ES_tradnl"/>
        </w:rPr>
        <w:t xml:space="preserve"> las demás pretensiones implica el examen de un</w:t>
      </w:r>
      <w:r w:rsidR="00800B9B" w:rsidRPr="00004762">
        <w:rPr>
          <w:rFonts w:ascii="Arial" w:hAnsi="Arial" w:cs="Arial"/>
          <w:lang w:val="es-ES_tradnl"/>
        </w:rPr>
        <w:t>os temas concernientes al fondo del litigio</w:t>
      </w:r>
      <w:r w:rsidR="002205D9" w:rsidRPr="00004762">
        <w:rPr>
          <w:rFonts w:ascii="Arial" w:hAnsi="Arial" w:cs="Arial"/>
          <w:lang w:val="es-ES_tradnl"/>
        </w:rPr>
        <w:t xml:space="preserve">, </w:t>
      </w:r>
      <w:r w:rsidR="00C4567B" w:rsidRPr="00004762">
        <w:rPr>
          <w:rFonts w:ascii="Arial" w:hAnsi="Arial" w:cs="Arial"/>
          <w:lang w:val="es-ES_tradnl"/>
        </w:rPr>
        <w:t>el estudio p</w:t>
      </w:r>
      <w:r w:rsidR="00987882" w:rsidRPr="00004762">
        <w:rPr>
          <w:rFonts w:ascii="Arial" w:hAnsi="Arial" w:cs="Arial"/>
          <w:lang w:val="es-ES_tradnl"/>
        </w:rPr>
        <w:t>reciso de la caducidad frente aquellas</w:t>
      </w:r>
      <w:r w:rsidR="00C4567B" w:rsidRPr="00004762">
        <w:rPr>
          <w:rFonts w:ascii="Arial" w:hAnsi="Arial" w:cs="Arial"/>
          <w:lang w:val="es-ES_tradnl"/>
        </w:rPr>
        <w:t xml:space="preserve"> -las subsidiarias de la nulidad absoluta</w:t>
      </w:r>
      <w:r w:rsidR="00C52F09" w:rsidRPr="00004762">
        <w:rPr>
          <w:rFonts w:ascii="Arial" w:hAnsi="Arial" w:cs="Arial"/>
          <w:lang w:val="es-ES_tradnl"/>
        </w:rPr>
        <w:t>,</w:t>
      </w:r>
      <w:r w:rsidR="00C4567B" w:rsidRPr="00004762">
        <w:rPr>
          <w:rFonts w:ascii="Arial" w:hAnsi="Arial" w:cs="Arial"/>
          <w:lang w:val="es-ES_tradnl"/>
        </w:rPr>
        <w:t xml:space="preserve"> </w:t>
      </w:r>
      <w:r w:rsidR="00C52F09" w:rsidRPr="00004762">
        <w:rPr>
          <w:rFonts w:ascii="Arial" w:hAnsi="Arial" w:cs="Arial"/>
          <w:lang w:val="es-ES_tradnl"/>
        </w:rPr>
        <w:t xml:space="preserve">atinentes a que se declare que la donataria incurrió en mora en el cumplimiento de sus obligaciones, </w:t>
      </w:r>
      <w:r w:rsidR="00C4567B" w:rsidRPr="00004762">
        <w:rPr>
          <w:rFonts w:ascii="Arial" w:hAnsi="Arial" w:cs="Arial"/>
          <w:lang w:val="es-ES_tradnl"/>
        </w:rPr>
        <w:t>y la otra principal de</w:t>
      </w:r>
      <w:r w:rsidR="00C52F09" w:rsidRPr="00004762">
        <w:rPr>
          <w:rFonts w:ascii="Arial" w:hAnsi="Arial" w:cs="Arial"/>
          <w:lang w:val="es-ES_tradnl"/>
        </w:rPr>
        <w:t xml:space="preserve"> rescisión del contrato con sus</w:t>
      </w:r>
      <w:r w:rsidR="00C4567B" w:rsidRPr="00004762">
        <w:rPr>
          <w:rFonts w:ascii="Arial" w:hAnsi="Arial" w:cs="Arial"/>
          <w:lang w:val="es-ES_tradnl"/>
        </w:rPr>
        <w:t xml:space="preserve"> subsidiarias-</w:t>
      </w:r>
      <w:r w:rsidR="0063787C" w:rsidRPr="00004762">
        <w:rPr>
          <w:rFonts w:ascii="Arial" w:hAnsi="Arial" w:cs="Arial"/>
          <w:lang w:val="es-ES_tradnl"/>
        </w:rPr>
        <w:t xml:space="preserve"> </w:t>
      </w:r>
      <w:r w:rsidR="00C4567B" w:rsidRPr="00004762">
        <w:rPr>
          <w:rFonts w:ascii="Arial" w:hAnsi="Arial" w:cs="Arial"/>
          <w:lang w:val="es-ES_tradnl"/>
        </w:rPr>
        <w:t>deberá realizarse al momento de proferirse sentencia</w:t>
      </w:r>
      <w:r w:rsidR="0063787C" w:rsidRPr="00004762">
        <w:rPr>
          <w:rFonts w:ascii="Arial" w:hAnsi="Arial" w:cs="Arial"/>
          <w:lang w:val="es-ES_tradnl"/>
        </w:rPr>
        <w:t>.</w:t>
      </w:r>
    </w:p>
    <w:p w:rsidR="0063787C" w:rsidRPr="00004762" w:rsidRDefault="0063787C" w:rsidP="00004762">
      <w:pPr>
        <w:spacing w:line="360" w:lineRule="auto"/>
        <w:jc w:val="both"/>
        <w:rPr>
          <w:rFonts w:ascii="Arial" w:hAnsi="Arial" w:cs="Arial"/>
          <w:lang w:val="es-ES_tradnl"/>
        </w:rPr>
      </w:pPr>
    </w:p>
    <w:p w:rsidR="000B077C" w:rsidRPr="00004762" w:rsidRDefault="00B74C0C" w:rsidP="00004762">
      <w:pPr>
        <w:spacing w:line="360" w:lineRule="auto"/>
        <w:jc w:val="both"/>
        <w:rPr>
          <w:rFonts w:ascii="Arial" w:hAnsi="Arial" w:cs="Arial"/>
          <w:lang w:val="es-ES_tradnl"/>
        </w:rPr>
      </w:pPr>
      <w:r w:rsidRPr="00004762">
        <w:rPr>
          <w:rFonts w:ascii="Arial" w:hAnsi="Arial" w:cs="Arial"/>
          <w:lang w:val="es-ES_tradnl"/>
        </w:rPr>
        <w:t>Lo anterior, por cuanto</w:t>
      </w:r>
      <w:r w:rsidR="00F025E2" w:rsidRPr="00004762">
        <w:rPr>
          <w:rFonts w:ascii="Arial" w:hAnsi="Arial" w:cs="Arial"/>
          <w:lang w:val="es-ES_tradnl"/>
        </w:rPr>
        <w:t xml:space="preserve"> para resolver </w:t>
      </w:r>
      <w:r w:rsidR="00C52F09" w:rsidRPr="00004762">
        <w:rPr>
          <w:rFonts w:ascii="Arial" w:hAnsi="Arial" w:cs="Arial"/>
          <w:lang w:val="es-ES_tradnl"/>
        </w:rPr>
        <w:t>el punto de</w:t>
      </w:r>
      <w:r w:rsidR="00F025E2" w:rsidRPr="00004762">
        <w:rPr>
          <w:rFonts w:ascii="Arial" w:hAnsi="Arial" w:cs="Arial"/>
          <w:lang w:val="es-ES_tradnl"/>
        </w:rPr>
        <w:t xml:space="preserve"> la caducidad </w:t>
      </w:r>
      <w:r w:rsidR="00C52F09" w:rsidRPr="00004762">
        <w:rPr>
          <w:rFonts w:ascii="Arial" w:hAnsi="Arial" w:cs="Arial"/>
          <w:lang w:val="es-ES_tradnl"/>
        </w:rPr>
        <w:t xml:space="preserve">sobre </w:t>
      </w:r>
      <w:r w:rsidR="00987882" w:rsidRPr="00004762">
        <w:rPr>
          <w:rFonts w:ascii="Arial" w:hAnsi="Arial" w:cs="Arial"/>
          <w:lang w:val="es-ES_tradnl"/>
        </w:rPr>
        <w:t>tales</w:t>
      </w:r>
      <w:r w:rsidR="00F025E2" w:rsidRPr="00004762">
        <w:rPr>
          <w:rFonts w:ascii="Arial" w:hAnsi="Arial" w:cs="Arial"/>
          <w:lang w:val="es-ES_tradnl"/>
        </w:rPr>
        <w:t xml:space="preserve"> pretensiones</w:t>
      </w:r>
      <w:r w:rsidR="0063787C" w:rsidRPr="00004762">
        <w:rPr>
          <w:rFonts w:ascii="Arial" w:hAnsi="Arial" w:cs="Arial"/>
          <w:lang w:val="es-ES_tradnl"/>
        </w:rPr>
        <w:t xml:space="preserve"> </w:t>
      </w:r>
      <w:r w:rsidR="00AE16B4" w:rsidRPr="00004762">
        <w:rPr>
          <w:rFonts w:ascii="Arial" w:hAnsi="Arial" w:cs="Arial"/>
          <w:lang w:val="es-ES_tradnl"/>
        </w:rPr>
        <w:t>habría que examinar:</w:t>
      </w:r>
    </w:p>
    <w:p w:rsidR="00B92FEB" w:rsidRPr="00004762" w:rsidRDefault="00B92FEB" w:rsidP="00004762">
      <w:pPr>
        <w:spacing w:line="360" w:lineRule="auto"/>
        <w:jc w:val="both"/>
        <w:rPr>
          <w:rFonts w:ascii="Arial" w:hAnsi="Arial" w:cs="Arial"/>
          <w:lang w:val="es-ES_tradnl"/>
        </w:rPr>
      </w:pPr>
    </w:p>
    <w:p w:rsidR="00E5360F" w:rsidRPr="00004762" w:rsidRDefault="00AE16B4" w:rsidP="00004762">
      <w:pPr>
        <w:spacing w:line="360" w:lineRule="auto"/>
        <w:ind w:firstLine="709"/>
        <w:jc w:val="both"/>
        <w:rPr>
          <w:rFonts w:ascii="Arial" w:hAnsi="Arial" w:cs="Arial"/>
        </w:rPr>
      </w:pPr>
      <w:r w:rsidRPr="00004762">
        <w:rPr>
          <w:rFonts w:ascii="Arial" w:hAnsi="Arial" w:cs="Arial"/>
          <w:lang w:val="es-ES_tradnl"/>
        </w:rPr>
        <w:t xml:space="preserve">i) </w:t>
      </w:r>
      <w:r w:rsidR="00B92FEB" w:rsidRPr="00004762">
        <w:rPr>
          <w:rFonts w:ascii="Arial" w:hAnsi="Arial" w:cs="Arial"/>
          <w:lang w:val="es-ES_tradnl"/>
        </w:rPr>
        <w:t xml:space="preserve">Si </w:t>
      </w:r>
      <w:r w:rsidR="00635680" w:rsidRPr="00004762">
        <w:rPr>
          <w:rFonts w:ascii="Arial" w:hAnsi="Arial" w:cs="Arial"/>
          <w:lang w:val="es-ES_tradnl"/>
        </w:rPr>
        <w:t xml:space="preserve">la donación estaba sujeta o no a una </w:t>
      </w:r>
      <w:r w:rsidR="00635680" w:rsidRPr="00004762">
        <w:rPr>
          <w:rFonts w:ascii="Arial" w:hAnsi="Arial" w:cs="Arial"/>
          <w:i/>
          <w:lang w:val="es-ES_tradnl"/>
        </w:rPr>
        <w:t>condición</w:t>
      </w:r>
      <w:r w:rsidR="00635680" w:rsidRPr="00004762">
        <w:rPr>
          <w:rFonts w:ascii="Arial" w:hAnsi="Arial" w:cs="Arial"/>
          <w:lang w:val="es-ES_tradnl"/>
        </w:rPr>
        <w:t>, porque el demandante di</w:t>
      </w:r>
      <w:r w:rsidR="00AA62C4" w:rsidRPr="00004762">
        <w:rPr>
          <w:rFonts w:ascii="Arial" w:hAnsi="Arial" w:cs="Arial"/>
          <w:lang w:val="es-ES_tradnl"/>
        </w:rPr>
        <w:t>jo</w:t>
      </w:r>
      <w:r w:rsidR="00635680" w:rsidRPr="00004762">
        <w:rPr>
          <w:rFonts w:ascii="Arial" w:hAnsi="Arial" w:cs="Arial"/>
          <w:lang w:val="es-ES_tradnl"/>
        </w:rPr>
        <w:t xml:space="preserve"> que sí, con fundamento en el acta No. 006</w:t>
      </w:r>
      <w:r w:rsidR="00635680" w:rsidRPr="00004762">
        <w:rPr>
          <w:rFonts w:ascii="Arial" w:hAnsi="Arial" w:cs="Arial"/>
        </w:rPr>
        <w:t xml:space="preserve"> de junio de 1988, que, a su juicio, hace parte integral de la escritura pública contentiva del contrato de donación; sin embargo, la universi</w:t>
      </w:r>
      <w:r w:rsidR="008A30A8" w:rsidRPr="00004762">
        <w:rPr>
          <w:rFonts w:ascii="Arial" w:hAnsi="Arial" w:cs="Arial"/>
        </w:rPr>
        <w:t>dad señaló</w:t>
      </w:r>
      <w:r w:rsidR="00635680" w:rsidRPr="00004762">
        <w:rPr>
          <w:rFonts w:ascii="Arial" w:hAnsi="Arial" w:cs="Arial"/>
        </w:rPr>
        <w:t xml:space="preserve">, en su contestación de </w:t>
      </w:r>
      <w:r w:rsidR="000B077C" w:rsidRPr="00004762">
        <w:rPr>
          <w:rFonts w:ascii="Arial" w:hAnsi="Arial" w:cs="Arial"/>
        </w:rPr>
        <w:t xml:space="preserve">demanda, que en la mencionada escritura pública no se pactó ninguna </w:t>
      </w:r>
      <w:r w:rsidR="000B077C" w:rsidRPr="00004762">
        <w:rPr>
          <w:rFonts w:ascii="Arial" w:hAnsi="Arial" w:cs="Arial"/>
          <w:i/>
        </w:rPr>
        <w:t>condición</w:t>
      </w:r>
      <w:r w:rsidR="00E5360F" w:rsidRPr="00004762">
        <w:rPr>
          <w:rFonts w:ascii="Arial" w:hAnsi="Arial" w:cs="Arial"/>
        </w:rPr>
        <w:t>.</w:t>
      </w:r>
    </w:p>
    <w:p w:rsidR="00AE16B4" w:rsidRPr="00004762" w:rsidRDefault="00AE16B4" w:rsidP="00004762">
      <w:pPr>
        <w:spacing w:line="360" w:lineRule="auto"/>
        <w:ind w:firstLine="709"/>
        <w:jc w:val="both"/>
        <w:rPr>
          <w:rFonts w:ascii="Arial" w:hAnsi="Arial" w:cs="Arial"/>
        </w:rPr>
      </w:pPr>
    </w:p>
    <w:p w:rsidR="00775AD6" w:rsidRPr="00004762" w:rsidRDefault="00AE16B4" w:rsidP="00004762">
      <w:pPr>
        <w:spacing w:line="360" w:lineRule="auto"/>
        <w:ind w:firstLine="709"/>
        <w:jc w:val="both"/>
        <w:rPr>
          <w:rFonts w:ascii="Arial" w:hAnsi="Arial" w:cs="Arial"/>
        </w:rPr>
      </w:pPr>
      <w:r w:rsidRPr="00004762">
        <w:rPr>
          <w:rFonts w:ascii="Arial" w:hAnsi="Arial" w:cs="Arial"/>
        </w:rPr>
        <w:lastRenderedPageBreak/>
        <w:t>ii) Si, en efecto, el acta</w:t>
      </w:r>
      <w:r w:rsidR="00775AD6" w:rsidRPr="00004762">
        <w:rPr>
          <w:rFonts w:ascii="Arial" w:hAnsi="Arial" w:cs="Arial"/>
        </w:rPr>
        <w:t xml:space="preserve"> No. 006</w:t>
      </w:r>
      <w:r w:rsidR="00775AD6" w:rsidRPr="00004762">
        <w:rPr>
          <w:rStyle w:val="Refdenotaalpie"/>
          <w:rFonts w:ascii="Arial" w:hAnsi="Arial" w:cs="Arial"/>
          <w:lang w:val="es-ES_tradnl"/>
        </w:rPr>
        <w:footnoteReference w:id="18"/>
      </w:r>
      <w:r w:rsidR="00775AD6" w:rsidRPr="00004762">
        <w:rPr>
          <w:rFonts w:ascii="Arial" w:hAnsi="Arial" w:cs="Arial"/>
        </w:rPr>
        <w:t xml:space="preserve"> </w:t>
      </w:r>
      <w:r w:rsidRPr="00004762">
        <w:rPr>
          <w:rFonts w:ascii="Arial" w:hAnsi="Arial" w:cs="Arial"/>
        </w:rPr>
        <w:t>hace parte integral o no de la escritura pública contentiva del contrato de donaci</w:t>
      </w:r>
      <w:r w:rsidR="00775AD6" w:rsidRPr="00004762">
        <w:rPr>
          <w:rFonts w:ascii="Arial" w:hAnsi="Arial" w:cs="Arial"/>
        </w:rPr>
        <w:t>ón, con el propósito de determinar si</w:t>
      </w:r>
      <w:r w:rsidR="0050560C" w:rsidRPr="00004762">
        <w:rPr>
          <w:rFonts w:ascii="Arial" w:hAnsi="Arial" w:cs="Arial"/>
        </w:rPr>
        <w:t xml:space="preserve"> lo consignado en el acta -consistente en que</w:t>
      </w:r>
      <w:r w:rsidR="00775AD6" w:rsidRPr="00004762">
        <w:rPr>
          <w:rFonts w:ascii="Arial" w:hAnsi="Arial" w:cs="Arial"/>
        </w:rPr>
        <w:t xml:space="preserve"> la destinación del lote era para la construcción de la Facultad de Odontología de la Universidad Libre </w:t>
      </w:r>
      <w:r w:rsidR="0050560C" w:rsidRPr="00004762">
        <w:rPr>
          <w:rFonts w:ascii="Arial" w:hAnsi="Arial" w:cs="Arial"/>
        </w:rPr>
        <w:t>-</w:t>
      </w:r>
      <w:r w:rsidR="00775AD6" w:rsidRPr="00004762">
        <w:rPr>
          <w:rFonts w:ascii="Arial" w:hAnsi="Arial" w:cs="Arial"/>
        </w:rPr>
        <w:t xml:space="preserve"> Seccional Atlánt</w:t>
      </w:r>
      <w:r w:rsidR="0050560C" w:rsidRPr="00004762">
        <w:rPr>
          <w:rFonts w:ascii="Arial" w:hAnsi="Arial" w:cs="Arial"/>
        </w:rPr>
        <w:t xml:space="preserve">ico- podría entenderse como una </w:t>
      </w:r>
      <w:r w:rsidR="0050560C" w:rsidRPr="00004762">
        <w:rPr>
          <w:rFonts w:ascii="Arial" w:hAnsi="Arial" w:cs="Arial"/>
          <w:i/>
        </w:rPr>
        <w:t>condición</w:t>
      </w:r>
      <w:r w:rsidR="0050560C" w:rsidRPr="00004762">
        <w:rPr>
          <w:rFonts w:ascii="Arial" w:hAnsi="Arial" w:cs="Arial"/>
        </w:rPr>
        <w:t xml:space="preserve"> que obligaba a la demandada.</w:t>
      </w:r>
    </w:p>
    <w:p w:rsidR="0050560C" w:rsidRPr="00004762" w:rsidRDefault="0050560C" w:rsidP="00004762">
      <w:pPr>
        <w:spacing w:line="360" w:lineRule="auto"/>
        <w:ind w:firstLine="709"/>
        <w:jc w:val="both"/>
        <w:rPr>
          <w:rFonts w:ascii="Arial" w:hAnsi="Arial" w:cs="Arial"/>
        </w:rPr>
      </w:pPr>
    </w:p>
    <w:p w:rsidR="007969BA" w:rsidRPr="00004762" w:rsidRDefault="0050560C" w:rsidP="00004762">
      <w:pPr>
        <w:spacing w:line="360" w:lineRule="auto"/>
        <w:ind w:firstLine="709"/>
        <w:jc w:val="both"/>
        <w:rPr>
          <w:rFonts w:ascii="Arial" w:hAnsi="Arial" w:cs="Arial"/>
        </w:rPr>
      </w:pPr>
      <w:r w:rsidRPr="00004762">
        <w:rPr>
          <w:rFonts w:ascii="Arial" w:hAnsi="Arial" w:cs="Arial"/>
        </w:rPr>
        <w:t xml:space="preserve">iii) En caso de considerarse que la donación sí estaba sujeta a una </w:t>
      </w:r>
      <w:r w:rsidRPr="00004762">
        <w:rPr>
          <w:rFonts w:ascii="Arial" w:hAnsi="Arial" w:cs="Arial"/>
          <w:i/>
        </w:rPr>
        <w:t>condición</w:t>
      </w:r>
      <w:r w:rsidRPr="00004762">
        <w:rPr>
          <w:rFonts w:ascii="Arial" w:hAnsi="Arial" w:cs="Arial"/>
        </w:rPr>
        <w:t xml:space="preserve">, habría que analizar </w:t>
      </w:r>
      <w:r w:rsidR="00AA4871" w:rsidRPr="00004762">
        <w:rPr>
          <w:rFonts w:ascii="Arial" w:hAnsi="Arial" w:cs="Arial"/>
        </w:rPr>
        <w:t xml:space="preserve">a partir de cuándo la demandada no cumplió con lo pactado o, más bien, incumplió con la </w:t>
      </w:r>
      <w:r w:rsidR="00AA4871" w:rsidRPr="00004762">
        <w:rPr>
          <w:rFonts w:ascii="Arial" w:hAnsi="Arial" w:cs="Arial"/>
          <w:i/>
        </w:rPr>
        <w:t>condición</w:t>
      </w:r>
      <w:r w:rsidR="009949E8" w:rsidRPr="00004762">
        <w:rPr>
          <w:rStyle w:val="Refdenotaalpie"/>
          <w:rFonts w:ascii="Arial" w:hAnsi="Arial" w:cs="Arial"/>
        </w:rPr>
        <w:footnoteReference w:id="19"/>
      </w:r>
      <w:r w:rsidR="009949E8" w:rsidRPr="00004762">
        <w:rPr>
          <w:rFonts w:ascii="Arial" w:hAnsi="Arial" w:cs="Arial"/>
        </w:rPr>
        <w:t>.</w:t>
      </w:r>
    </w:p>
    <w:p w:rsidR="001A1706" w:rsidRPr="00004762" w:rsidRDefault="001A1706" w:rsidP="00004762">
      <w:pPr>
        <w:spacing w:line="360" w:lineRule="auto"/>
        <w:jc w:val="both"/>
        <w:rPr>
          <w:rFonts w:ascii="Arial" w:hAnsi="Arial" w:cs="Arial"/>
        </w:rPr>
      </w:pPr>
      <w:r w:rsidRPr="00004762">
        <w:rPr>
          <w:rFonts w:ascii="Arial" w:hAnsi="Arial" w:cs="Arial"/>
        </w:rPr>
        <w:t xml:space="preserve">Estos puntos son controversiales y se constituyen en la materia del litigio, de los cuales depende determinar si en el presente asunto operó o no la caducidad frente a las referidas pretensiones, de ahí que este fenómeno procesal deba ser estudiado al momento de proferirse sentencia. </w:t>
      </w:r>
    </w:p>
    <w:p w:rsidR="001A1706" w:rsidRPr="00004762" w:rsidRDefault="001A1706" w:rsidP="00004762">
      <w:pPr>
        <w:spacing w:line="360" w:lineRule="auto"/>
        <w:jc w:val="both"/>
        <w:rPr>
          <w:rFonts w:ascii="Arial" w:hAnsi="Arial" w:cs="Arial"/>
          <w:highlight w:val="green"/>
        </w:rPr>
      </w:pPr>
    </w:p>
    <w:p w:rsidR="00BD0C31" w:rsidRPr="00004762" w:rsidRDefault="00CE279E" w:rsidP="00004762">
      <w:pPr>
        <w:spacing w:line="360" w:lineRule="auto"/>
        <w:jc w:val="both"/>
        <w:rPr>
          <w:rFonts w:ascii="Arial" w:hAnsi="Arial" w:cs="Arial"/>
          <w:b/>
        </w:rPr>
      </w:pPr>
      <w:r w:rsidRPr="00004762">
        <w:rPr>
          <w:rFonts w:ascii="Arial" w:hAnsi="Arial" w:cs="Arial"/>
          <w:b/>
        </w:rPr>
        <w:t>2.2</w:t>
      </w:r>
      <w:r w:rsidR="00DC2A3F" w:rsidRPr="00004762">
        <w:rPr>
          <w:rFonts w:ascii="Arial" w:hAnsi="Arial" w:cs="Arial"/>
          <w:b/>
        </w:rPr>
        <w:t>. Inepta demanda</w:t>
      </w:r>
    </w:p>
    <w:p w:rsidR="00BD0C31" w:rsidRPr="00004762" w:rsidRDefault="00BD0C31" w:rsidP="00004762">
      <w:pPr>
        <w:spacing w:line="360" w:lineRule="auto"/>
        <w:jc w:val="both"/>
        <w:rPr>
          <w:rFonts w:ascii="Arial" w:hAnsi="Arial" w:cs="Arial"/>
          <w:b/>
        </w:rPr>
      </w:pPr>
    </w:p>
    <w:p w:rsidR="002871EB" w:rsidRPr="00004762" w:rsidRDefault="002871EB" w:rsidP="00004762">
      <w:pPr>
        <w:spacing w:line="360" w:lineRule="auto"/>
        <w:jc w:val="both"/>
        <w:rPr>
          <w:rFonts w:ascii="Arial" w:hAnsi="Arial" w:cs="Arial"/>
          <w:lang w:val="es-MX"/>
        </w:rPr>
      </w:pPr>
      <w:r w:rsidRPr="00004762">
        <w:rPr>
          <w:rFonts w:ascii="Arial" w:hAnsi="Arial" w:cs="Arial"/>
          <w:lang w:val="es-MX"/>
        </w:rPr>
        <w:t xml:space="preserve">El artículo 100.5 del CGP consagra la </w:t>
      </w:r>
      <w:r w:rsidRPr="00004762">
        <w:rPr>
          <w:rFonts w:ascii="Arial" w:hAnsi="Arial" w:cs="Arial"/>
          <w:i/>
          <w:lang w:val="es-MX"/>
        </w:rPr>
        <w:t xml:space="preserve">“ineptitud de la demanda por falta de los requisitos formales o por indebida acumulación de pretensiones” </w:t>
      </w:r>
      <w:r w:rsidRPr="00004762">
        <w:rPr>
          <w:rFonts w:ascii="Arial" w:hAnsi="Arial" w:cs="Arial"/>
          <w:lang w:val="es-MX"/>
        </w:rPr>
        <w:t xml:space="preserve">como una </w:t>
      </w:r>
      <w:r w:rsidRPr="00004762">
        <w:rPr>
          <w:rFonts w:ascii="Arial" w:hAnsi="Arial" w:cs="Arial"/>
          <w:b/>
          <w:lang w:val="es-MX"/>
        </w:rPr>
        <w:lastRenderedPageBreak/>
        <w:t>excepción previa</w:t>
      </w:r>
      <w:r w:rsidRPr="00004762">
        <w:rPr>
          <w:rFonts w:ascii="Arial" w:hAnsi="Arial" w:cs="Arial"/>
          <w:lang w:val="es-MX"/>
        </w:rPr>
        <w:t>, susceptible de ser propuesta por el demandado, de ahí que deba entenderse que este medio exceptivo está llamado a prosperar cuando la demanda carece de los requisitos de forma previstos en la ley o cuando no se cumplen las reglas para la figura procesal de la acumulación de pretensiones.</w:t>
      </w:r>
    </w:p>
    <w:p w:rsidR="00801B42" w:rsidRPr="00004762" w:rsidRDefault="00801B42" w:rsidP="00004762">
      <w:pPr>
        <w:pStyle w:val="BodyText21"/>
        <w:spacing w:line="360" w:lineRule="auto"/>
        <w:rPr>
          <w:rFonts w:cs="Arial"/>
          <w:szCs w:val="24"/>
          <w:lang w:val="es-ES"/>
        </w:rPr>
      </w:pPr>
    </w:p>
    <w:p w:rsidR="00D1531A" w:rsidRPr="00004762" w:rsidRDefault="00CE279E" w:rsidP="00004762">
      <w:pPr>
        <w:jc w:val="both"/>
        <w:rPr>
          <w:rFonts w:ascii="Arial" w:hAnsi="Arial" w:cs="Arial"/>
          <w:b/>
        </w:rPr>
      </w:pPr>
      <w:r w:rsidRPr="00004762">
        <w:rPr>
          <w:rFonts w:ascii="Arial" w:hAnsi="Arial" w:cs="Arial"/>
          <w:b/>
        </w:rPr>
        <w:t>2.2</w:t>
      </w:r>
      <w:r w:rsidR="00121344" w:rsidRPr="00004762">
        <w:rPr>
          <w:rFonts w:ascii="Arial" w:hAnsi="Arial" w:cs="Arial"/>
          <w:b/>
        </w:rPr>
        <w:t>.1</w:t>
      </w:r>
      <w:r w:rsidR="00D1531A" w:rsidRPr="00004762">
        <w:rPr>
          <w:rFonts w:ascii="Arial" w:hAnsi="Arial" w:cs="Arial"/>
          <w:b/>
        </w:rPr>
        <w:t xml:space="preserve">. Por no agotarse el requisito de </w:t>
      </w:r>
      <w:r w:rsidR="007D1300" w:rsidRPr="00004762">
        <w:rPr>
          <w:rFonts w:ascii="Arial" w:hAnsi="Arial" w:cs="Arial"/>
          <w:b/>
        </w:rPr>
        <w:t xml:space="preserve">procedibilidad </w:t>
      </w:r>
      <w:r w:rsidR="00C838BC" w:rsidRPr="00004762">
        <w:rPr>
          <w:rFonts w:ascii="Arial" w:hAnsi="Arial" w:cs="Arial"/>
          <w:b/>
        </w:rPr>
        <w:t xml:space="preserve">consistente en la </w:t>
      </w:r>
      <w:r w:rsidR="00D1531A" w:rsidRPr="00004762">
        <w:rPr>
          <w:rFonts w:ascii="Arial" w:hAnsi="Arial" w:cs="Arial"/>
          <w:b/>
        </w:rPr>
        <w:t>conciliación extrajudicial</w:t>
      </w:r>
    </w:p>
    <w:p w:rsidR="008C4178" w:rsidRPr="00004762" w:rsidRDefault="008C4178" w:rsidP="00004762">
      <w:pPr>
        <w:spacing w:line="360" w:lineRule="auto"/>
        <w:jc w:val="both"/>
        <w:rPr>
          <w:rFonts w:ascii="Arial" w:hAnsi="Arial" w:cs="Arial"/>
          <w:lang w:val="es-ES_tradnl"/>
        </w:rPr>
      </w:pPr>
    </w:p>
    <w:p w:rsidR="00F10363" w:rsidRPr="00004762" w:rsidRDefault="00F10363" w:rsidP="00004762">
      <w:pPr>
        <w:pStyle w:val="BodyText21"/>
        <w:spacing w:line="360" w:lineRule="auto"/>
        <w:rPr>
          <w:rFonts w:cs="Arial"/>
          <w:szCs w:val="24"/>
        </w:rPr>
      </w:pPr>
      <w:r w:rsidRPr="00004762">
        <w:rPr>
          <w:rFonts w:cs="Arial"/>
          <w:szCs w:val="24"/>
        </w:rPr>
        <w:t>El ente universitario propuso la excepción de inepta demanda “</w:t>
      </w:r>
      <w:r w:rsidRPr="00004762">
        <w:rPr>
          <w:rFonts w:cs="Arial"/>
          <w:i/>
          <w:szCs w:val="24"/>
        </w:rPr>
        <w:t>por falta de requisitos formales</w:t>
      </w:r>
      <w:r w:rsidRPr="00004762">
        <w:rPr>
          <w:rFonts w:cs="Arial"/>
          <w:szCs w:val="24"/>
        </w:rPr>
        <w:t>”, con fundamento en que la parte actora no agotó el requisito de procedibilidad de la conciliación extrajudicial.</w:t>
      </w:r>
    </w:p>
    <w:p w:rsidR="00F10363" w:rsidRPr="00004762" w:rsidRDefault="00F10363" w:rsidP="00004762">
      <w:pPr>
        <w:spacing w:line="360" w:lineRule="auto"/>
        <w:jc w:val="both"/>
        <w:rPr>
          <w:rFonts w:ascii="Arial" w:hAnsi="Arial" w:cs="Arial"/>
          <w:lang w:val="es-ES_tradnl"/>
        </w:rPr>
      </w:pPr>
    </w:p>
    <w:p w:rsidR="007D1300" w:rsidRPr="00004762" w:rsidRDefault="00F10363" w:rsidP="00004762">
      <w:pPr>
        <w:spacing w:line="360" w:lineRule="auto"/>
        <w:jc w:val="both"/>
        <w:rPr>
          <w:rFonts w:ascii="Arial" w:hAnsi="Arial" w:cs="Arial"/>
          <w:lang w:val="es-MX"/>
        </w:rPr>
      </w:pPr>
      <w:r w:rsidRPr="00004762">
        <w:rPr>
          <w:rFonts w:ascii="Arial" w:hAnsi="Arial" w:cs="Arial"/>
          <w:lang w:val="es-ES_tradnl"/>
        </w:rPr>
        <w:t>Al respecto</w:t>
      </w:r>
      <w:r w:rsidR="008C4178" w:rsidRPr="00004762">
        <w:rPr>
          <w:rFonts w:ascii="Arial" w:hAnsi="Arial" w:cs="Arial"/>
          <w:lang w:val="es-ES_tradnl"/>
        </w:rPr>
        <w:t xml:space="preserve">, </w:t>
      </w:r>
      <w:r w:rsidRPr="00004762">
        <w:rPr>
          <w:rFonts w:ascii="Arial" w:hAnsi="Arial" w:cs="Arial"/>
          <w:lang w:val="es-ES_tradnl"/>
        </w:rPr>
        <w:t>ha de señalarse</w:t>
      </w:r>
      <w:r w:rsidR="008C4178" w:rsidRPr="00004762">
        <w:rPr>
          <w:rFonts w:ascii="Arial" w:hAnsi="Arial" w:cs="Arial"/>
          <w:lang w:val="es-ES_tradnl"/>
        </w:rPr>
        <w:t xml:space="preserve"> que, a la lu</w:t>
      </w:r>
      <w:r w:rsidR="007D1300" w:rsidRPr="00004762">
        <w:rPr>
          <w:rFonts w:ascii="Arial" w:hAnsi="Arial" w:cs="Arial"/>
          <w:lang w:val="es-ES_tradnl"/>
        </w:rPr>
        <w:t xml:space="preserve">z </w:t>
      </w:r>
      <w:r w:rsidR="008C4178" w:rsidRPr="00004762">
        <w:rPr>
          <w:rFonts w:ascii="Arial" w:hAnsi="Arial" w:cs="Arial"/>
          <w:lang w:val="es-MX"/>
        </w:rPr>
        <w:t xml:space="preserve">del artículo </w:t>
      </w:r>
      <w:r w:rsidRPr="00004762">
        <w:rPr>
          <w:rFonts w:ascii="Arial" w:hAnsi="Arial" w:cs="Arial"/>
          <w:lang w:val="es-MX"/>
        </w:rPr>
        <w:t xml:space="preserve">161 del CPACA, la conciliación extrajudicial </w:t>
      </w:r>
      <w:r w:rsidR="008C4178" w:rsidRPr="00004762">
        <w:rPr>
          <w:rFonts w:ascii="Arial" w:hAnsi="Arial" w:cs="Arial"/>
          <w:lang w:val="es-MX"/>
        </w:rPr>
        <w:t>constituye una exigencia previa para demandar; sin embargo, este no es un requisito formal de la demanda y ello supone que su incumplimiento, si bien genera unas consecuencias de tipo procesal, no tiene la virtualidad de estructurar la excepción de inepta demanda</w:t>
      </w:r>
      <w:r w:rsidRPr="00004762">
        <w:rPr>
          <w:rStyle w:val="Refdenotaalpie"/>
          <w:rFonts w:ascii="Arial" w:hAnsi="Arial" w:cs="Arial"/>
          <w:lang w:val="es-MX"/>
        </w:rPr>
        <w:footnoteReference w:id="20"/>
      </w:r>
      <w:r w:rsidR="007D1300" w:rsidRPr="00004762">
        <w:rPr>
          <w:rFonts w:ascii="Arial" w:hAnsi="Arial" w:cs="Arial"/>
          <w:lang w:val="es-MX"/>
        </w:rPr>
        <w:t xml:space="preserve">. </w:t>
      </w:r>
    </w:p>
    <w:p w:rsidR="007D1300" w:rsidRPr="00004762" w:rsidRDefault="007D1300" w:rsidP="00004762">
      <w:pPr>
        <w:spacing w:line="360" w:lineRule="auto"/>
        <w:jc w:val="both"/>
        <w:rPr>
          <w:rFonts w:ascii="Arial" w:hAnsi="Arial" w:cs="Arial"/>
          <w:lang w:val="es-MX"/>
        </w:rPr>
      </w:pPr>
    </w:p>
    <w:p w:rsidR="00B347A1" w:rsidRPr="00004762" w:rsidRDefault="00F10363" w:rsidP="00004762">
      <w:pPr>
        <w:spacing w:line="360" w:lineRule="auto"/>
        <w:jc w:val="both"/>
        <w:rPr>
          <w:rFonts w:ascii="Arial" w:hAnsi="Arial" w:cs="Arial"/>
          <w:lang w:val="es-MX"/>
        </w:rPr>
      </w:pPr>
      <w:r w:rsidRPr="00004762">
        <w:rPr>
          <w:rFonts w:ascii="Arial" w:hAnsi="Arial" w:cs="Arial"/>
          <w:lang w:val="es-MX"/>
        </w:rPr>
        <w:t>Así pues</w:t>
      </w:r>
      <w:r w:rsidR="007D1300" w:rsidRPr="00004762">
        <w:rPr>
          <w:rFonts w:ascii="Arial" w:hAnsi="Arial" w:cs="Arial"/>
          <w:lang w:val="es-MX"/>
        </w:rPr>
        <w:t xml:space="preserve">, se evidencia que la decisión adoptada por el </w:t>
      </w:r>
      <w:r w:rsidR="007D1300" w:rsidRPr="00004762">
        <w:rPr>
          <w:rFonts w:ascii="Arial" w:hAnsi="Arial" w:cs="Arial"/>
          <w:i/>
          <w:lang w:val="es-MX"/>
        </w:rPr>
        <w:t>a quo</w:t>
      </w:r>
      <w:r w:rsidR="007D1300" w:rsidRPr="00004762">
        <w:rPr>
          <w:rFonts w:ascii="Arial" w:hAnsi="Arial" w:cs="Arial"/>
          <w:lang w:val="es-MX"/>
        </w:rPr>
        <w:t xml:space="preserve">, en lo que concierne a este punto, </w:t>
      </w:r>
      <w:r w:rsidR="00055F77" w:rsidRPr="00004762">
        <w:rPr>
          <w:rFonts w:ascii="Arial" w:hAnsi="Arial" w:cs="Arial"/>
          <w:lang w:val="es-MX"/>
        </w:rPr>
        <w:t>t</w:t>
      </w:r>
      <w:r w:rsidR="00FF4653" w:rsidRPr="00004762">
        <w:rPr>
          <w:rFonts w:ascii="Arial" w:hAnsi="Arial" w:cs="Arial"/>
          <w:lang w:val="es-MX"/>
        </w:rPr>
        <w:t>endría que ver, en principio</w:t>
      </w:r>
      <w:r w:rsidR="00055F77" w:rsidRPr="00004762">
        <w:rPr>
          <w:rFonts w:ascii="Arial" w:hAnsi="Arial" w:cs="Arial"/>
          <w:lang w:val="es-MX"/>
        </w:rPr>
        <w:t>,</w:t>
      </w:r>
      <w:r w:rsidR="007D1300" w:rsidRPr="00004762">
        <w:rPr>
          <w:rFonts w:ascii="Arial" w:hAnsi="Arial" w:cs="Arial"/>
          <w:lang w:val="es-MX"/>
        </w:rPr>
        <w:t xml:space="preserve"> con el incumplimiento del requisito de procedibilidad de la conciliación prejudicial</w:t>
      </w:r>
      <w:r w:rsidRPr="00004762">
        <w:rPr>
          <w:rFonts w:ascii="Arial" w:hAnsi="Arial" w:cs="Arial"/>
          <w:lang w:val="es-MX"/>
        </w:rPr>
        <w:t xml:space="preserve"> y</w:t>
      </w:r>
      <w:r w:rsidR="007D1300" w:rsidRPr="00004762">
        <w:rPr>
          <w:rFonts w:ascii="Arial" w:hAnsi="Arial" w:cs="Arial"/>
          <w:lang w:val="es-MX"/>
        </w:rPr>
        <w:t xml:space="preserve"> no con la excepción de inepta demanda como la </w:t>
      </w:r>
      <w:r w:rsidRPr="00004762">
        <w:rPr>
          <w:rFonts w:ascii="Arial" w:hAnsi="Arial" w:cs="Arial"/>
          <w:lang w:val="es-MX"/>
        </w:rPr>
        <w:t>alegó el ente universitario</w:t>
      </w:r>
      <w:r w:rsidR="007D1300" w:rsidRPr="00004762">
        <w:rPr>
          <w:rFonts w:ascii="Arial" w:hAnsi="Arial" w:cs="Arial"/>
          <w:lang w:val="es-MX"/>
        </w:rPr>
        <w:t xml:space="preserve"> y </w:t>
      </w:r>
      <w:r w:rsidRPr="00004762">
        <w:rPr>
          <w:rFonts w:ascii="Arial" w:hAnsi="Arial" w:cs="Arial"/>
          <w:lang w:val="es-MX"/>
        </w:rPr>
        <w:t xml:space="preserve">como, en efecto, </w:t>
      </w:r>
      <w:r w:rsidR="007D1300" w:rsidRPr="00004762">
        <w:rPr>
          <w:rFonts w:ascii="Arial" w:hAnsi="Arial" w:cs="Arial"/>
          <w:lang w:val="es-MX"/>
        </w:rPr>
        <w:t>la decidió el Tribunal</w:t>
      </w:r>
      <w:r w:rsidRPr="00004762">
        <w:rPr>
          <w:rFonts w:ascii="Arial" w:hAnsi="Arial" w:cs="Arial"/>
          <w:lang w:val="es-MX"/>
        </w:rPr>
        <w:t xml:space="preserve"> de primera instancia</w:t>
      </w:r>
      <w:r w:rsidR="007D1300" w:rsidRPr="00004762">
        <w:rPr>
          <w:rFonts w:ascii="Arial" w:hAnsi="Arial" w:cs="Arial"/>
          <w:lang w:val="es-MX"/>
        </w:rPr>
        <w:t>.</w:t>
      </w:r>
    </w:p>
    <w:p w:rsidR="00121344" w:rsidRPr="00004762" w:rsidRDefault="00121344" w:rsidP="00004762">
      <w:pPr>
        <w:spacing w:line="360" w:lineRule="auto"/>
        <w:jc w:val="both"/>
        <w:rPr>
          <w:rFonts w:ascii="Arial" w:hAnsi="Arial" w:cs="Arial"/>
          <w:lang w:val="es-MX"/>
        </w:rPr>
      </w:pPr>
    </w:p>
    <w:p w:rsidR="004001FA" w:rsidRPr="00004762" w:rsidRDefault="007D1300" w:rsidP="00004762">
      <w:pPr>
        <w:spacing w:line="360" w:lineRule="auto"/>
        <w:jc w:val="both"/>
        <w:rPr>
          <w:rFonts w:ascii="Arial" w:hAnsi="Arial" w:cs="Arial"/>
          <w:lang w:val="es-MX"/>
        </w:rPr>
      </w:pPr>
      <w:r w:rsidRPr="00004762">
        <w:rPr>
          <w:rFonts w:ascii="Arial" w:hAnsi="Arial" w:cs="Arial"/>
          <w:lang w:val="es-MX"/>
        </w:rPr>
        <w:t xml:space="preserve">Hecha la anterior precisión, </w:t>
      </w:r>
      <w:bookmarkStart w:id="12" w:name="_Hlk24622893"/>
      <w:r w:rsidR="00F10363" w:rsidRPr="00004762">
        <w:rPr>
          <w:rFonts w:ascii="Arial" w:hAnsi="Arial" w:cs="Arial"/>
          <w:lang w:val="es-MX"/>
        </w:rPr>
        <w:t xml:space="preserve">el Despacho pasa a pronunciarse </w:t>
      </w:r>
      <w:r w:rsidR="001E15E3" w:rsidRPr="00004762">
        <w:rPr>
          <w:rFonts w:ascii="Arial" w:hAnsi="Arial" w:cs="Arial"/>
          <w:lang w:val="es-MX"/>
        </w:rPr>
        <w:t xml:space="preserve">sobre </w:t>
      </w:r>
      <w:r w:rsidR="00F10363" w:rsidRPr="00004762">
        <w:rPr>
          <w:rFonts w:ascii="Arial" w:hAnsi="Arial" w:cs="Arial"/>
          <w:lang w:val="es-MX"/>
        </w:rPr>
        <w:t xml:space="preserve">el </w:t>
      </w:r>
      <w:r w:rsidR="001E15E3" w:rsidRPr="00004762">
        <w:rPr>
          <w:rFonts w:ascii="Arial" w:hAnsi="Arial" w:cs="Arial"/>
          <w:lang w:val="es-MX"/>
        </w:rPr>
        <w:t xml:space="preserve">agotamiento del </w:t>
      </w:r>
      <w:r w:rsidR="00F10363" w:rsidRPr="00004762">
        <w:rPr>
          <w:rFonts w:ascii="Arial" w:hAnsi="Arial" w:cs="Arial"/>
          <w:lang w:val="es-MX"/>
        </w:rPr>
        <w:t xml:space="preserve">requisito de procedibilidad </w:t>
      </w:r>
      <w:r w:rsidR="004001FA" w:rsidRPr="00004762">
        <w:rPr>
          <w:rFonts w:ascii="Arial" w:hAnsi="Arial" w:cs="Arial"/>
          <w:lang w:val="es-MX"/>
        </w:rPr>
        <w:t>aludido</w:t>
      </w:r>
      <w:r w:rsidR="00F10363" w:rsidRPr="00004762">
        <w:rPr>
          <w:rFonts w:ascii="Arial" w:hAnsi="Arial" w:cs="Arial"/>
          <w:lang w:val="es-MX"/>
        </w:rPr>
        <w:t xml:space="preserve">, no sin antes </w:t>
      </w:r>
      <w:r w:rsidR="004001FA" w:rsidRPr="00004762">
        <w:rPr>
          <w:rFonts w:ascii="Arial" w:hAnsi="Arial" w:cs="Arial"/>
          <w:lang w:val="es-MX"/>
        </w:rPr>
        <w:t xml:space="preserve">señalar que el artículo 613 del CGP dispone que no se requiere adelantar el trámite de la conciliación antes de acudir a la jurisdicción contenciosa administrativa: i) cuando quien demande sea una entidad pública; ii) cuando el demandante pida medidas cautelares de carácter patrimonial o iii) </w:t>
      </w:r>
      <w:r w:rsidR="00E40002" w:rsidRPr="00004762">
        <w:rPr>
          <w:rFonts w:ascii="Arial" w:hAnsi="Arial" w:cs="Arial"/>
          <w:lang w:val="es-MX"/>
        </w:rPr>
        <w:t xml:space="preserve">cuando se trate de un proceso ejecutivo. </w:t>
      </w:r>
    </w:p>
    <w:bookmarkEnd w:id="12"/>
    <w:p w:rsidR="004001FA" w:rsidRPr="00004762" w:rsidRDefault="004001FA" w:rsidP="00004762">
      <w:pPr>
        <w:spacing w:line="360" w:lineRule="auto"/>
        <w:jc w:val="both"/>
        <w:rPr>
          <w:rFonts w:ascii="Arial" w:hAnsi="Arial" w:cs="Arial"/>
          <w:lang w:val="es-MX"/>
        </w:rPr>
      </w:pPr>
    </w:p>
    <w:p w:rsidR="00E40002" w:rsidRPr="00004762" w:rsidRDefault="00E40002" w:rsidP="00004762">
      <w:pPr>
        <w:pStyle w:val="BodyText21"/>
        <w:spacing w:line="360" w:lineRule="auto"/>
        <w:rPr>
          <w:rFonts w:cs="Arial"/>
          <w:szCs w:val="24"/>
        </w:rPr>
      </w:pPr>
      <w:r w:rsidRPr="00004762">
        <w:rPr>
          <w:rFonts w:cs="Arial"/>
          <w:szCs w:val="24"/>
          <w:lang w:val="es-MX"/>
        </w:rPr>
        <w:t xml:space="preserve">En este asunto, </w:t>
      </w:r>
      <w:bookmarkStart w:id="13" w:name="_Hlk24623363"/>
      <w:r w:rsidRPr="00004762">
        <w:rPr>
          <w:rFonts w:cs="Arial"/>
          <w:szCs w:val="24"/>
        </w:rPr>
        <w:t xml:space="preserve">el Tribunal consideró que la parte demandante podía acudir directamente a esta jurisdicción, esto es, sin agotar el requisito previo de la conciliación extrajudicial, porque </w:t>
      </w:r>
      <w:r w:rsidR="003428AD" w:rsidRPr="00004762">
        <w:rPr>
          <w:rFonts w:cs="Arial"/>
          <w:szCs w:val="24"/>
        </w:rPr>
        <w:t xml:space="preserve">la parte actora </w:t>
      </w:r>
      <w:r w:rsidRPr="00004762">
        <w:rPr>
          <w:rFonts w:cs="Arial"/>
          <w:szCs w:val="24"/>
        </w:rPr>
        <w:t>pidió medida</w:t>
      </w:r>
      <w:r w:rsidR="001E15E3" w:rsidRPr="00004762">
        <w:rPr>
          <w:rFonts w:cs="Arial"/>
          <w:szCs w:val="24"/>
        </w:rPr>
        <w:t xml:space="preserve">s </w:t>
      </w:r>
      <w:r w:rsidRPr="00004762">
        <w:rPr>
          <w:rFonts w:cs="Arial"/>
          <w:szCs w:val="24"/>
        </w:rPr>
        <w:t>cautelar</w:t>
      </w:r>
      <w:r w:rsidR="001E15E3" w:rsidRPr="00004762">
        <w:rPr>
          <w:rFonts w:cs="Arial"/>
          <w:szCs w:val="24"/>
        </w:rPr>
        <w:t>es</w:t>
      </w:r>
      <w:r w:rsidRPr="00004762">
        <w:rPr>
          <w:rFonts w:cs="Arial"/>
          <w:szCs w:val="24"/>
        </w:rPr>
        <w:t xml:space="preserve"> de </w:t>
      </w:r>
      <w:r w:rsidRPr="00004762">
        <w:rPr>
          <w:rFonts w:cs="Arial"/>
          <w:szCs w:val="24"/>
        </w:rPr>
        <w:lastRenderedPageBreak/>
        <w:t>carácter patrimonial</w:t>
      </w:r>
      <w:r w:rsidR="0031003D" w:rsidRPr="00004762">
        <w:rPr>
          <w:rFonts w:cs="Arial"/>
          <w:szCs w:val="24"/>
        </w:rPr>
        <w:t xml:space="preserve">; </w:t>
      </w:r>
      <w:r w:rsidR="001E15E3" w:rsidRPr="00004762">
        <w:rPr>
          <w:rFonts w:cs="Arial"/>
          <w:szCs w:val="24"/>
        </w:rPr>
        <w:t>decisión que apeló la demandada</w:t>
      </w:r>
      <w:r w:rsidR="00926AF9" w:rsidRPr="00004762">
        <w:rPr>
          <w:rFonts w:cs="Arial"/>
          <w:szCs w:val="24"/>
        </w:rPr>
        <w:t>, con fundamento en</w:t>
      </w:r>
      <w:r w:rsidR="001E15E3" w:rsidRPr="00004762">
        <w:rPr>
          <w:rFonts w:cs="Arial"/>
          <w:szCs w:val="24"/>
        </w:rPr>
        <w:t xml:space="preserve"> que aquellas</w:t>
      </w:r>
      <w:r w:rsidR="0031003D" w:rsidRPr="00004762">
        <w:rPr>
          <w:rFonts w:cs="Arial"/>
          <w:szCs w:val="24"/>
        </w:rPr>
        <w:t xml:space="preserve"> medidas no eran de naturaleza patrimonial.  </w:t>
      </w:r>
    </w:p>
    <w:p w:rsidR="00E40002" w:rsidRPr="00004762" w:rsidRDefault="00E40002" w:rsidP="00004762">
      <w:pPr>
        <w:pStyle w:val="BodyText21"/>
        <w:spacing w:line="360" w:lineRule="auto"/>
        <w:rPr>
          <w:rFonts w:cs="Arial"/>
          <w:szCs w:val="24"/>
        </w:rPr>
      </w:pPr>
    </w:p>
    <w:p w:rsidR="00F865B0" w:rsidRPr="00004762" w:rsidRDefault="00180010" w:rsidP="00004762">
      <w:pPr>
        <w:pStyle w:val="BodyText21"/>
        <w:spacing w:line="360" w:lineRule="auto"/>
        <w:rPr>
          <w:rFonts w:cs="Arial"/>
          <w:szCs w:val="24"/>
        </w:rPr>
      </w:pPr>
      <w:r w:rsidRPr="00004762">
        <w:rPr>
          <w:rFonts w:cs="Arial"/>
          <w:szCs w:val="24"/>
        </w:rPr>
        <w:t>Así pues, habría que verificar si las medidas cautelares solicitada</w:t>
      </w:r>
      <w:r w:rsidR="00713EC3" w:rsidRPr="00004762">
        <w:rPr>
          <w:rFonts w:cs="Arial"/>
          <w:szCs w:val="24"/>
        </w:rPr>
        <w:t>s</w:t>
      </w:r>
      <w:r w:rsidRPr="00004762">
        <w:rPr>
          <w:rFonts w:cs="Arial"/>
          <w:szCs w:val="24"/>
        </w:rPr>
        <w:t xml:space="preserve"> por la parte demandante</w:t>
      </w:r>
      <w:r w:rsidR="00CA3E29" w:rsidRPr="00004762">
        <w:rPr>
          <w:rStyle w:val="Refdenotaalpie"/>
          <w:rFonts w:cs="Arial"/>
          <w:szCs w:val="24"/>
        </w:rPr>
        <w:footnoteReference w:id="21"/>
      </w:r>
      <w:r w:rsidRPr="00004762">
        <w:rPr>
          <w:rFonts w:cs="Arial"/>
          <w:szCs w:val="24"/>
        </w:rPr>
        <w:t xml:space="preserve"> tienen o no un contenido patrimonial; sin embargo, al margen de esa discusión, el Despacho advierte </w:t>
      </w:r>
      <w:r w:rsidR="00C96663" w:rsidRPr="00004762">
        <w:rPr>
          <w:rFonts w:cs="Arial"/>
          <w:szCs w:val="24"/>
        </w:rPr>
        <w:t>que Lotanco, entidad demandante en este asunto, es de naturaleza pública</w:t>
      </w:r>
      <w:r w:rsidR="0003725D" w:rsidRPr="00004762">
        <w:rPr>
          <w:rStyle w:val="Refdenotaalpie"/>
          <w:rFonts w:cs="Arial"/>
          <w:szCs w:val="24"/>
        </w:rPr>
        <w:footnoteReference w:id="22"/>
      </w:r>
      <w:r w:rsidR="00C96663" w:rsidRPr="00004762">
        <w:rPr>
          <w:rFonts w:cs="Arial"/>
          <w:szCs w:val="24"/>
        </w:rPr>
        <w:t>, razón suficiente para señalar</w:t>
      </w:r>
      <w:r w:rsidR="00713EC3" w:rsidRPr="00004762">
        <w:rPr>
          <w:rFonts w:cs="Arial"/>
          <w:szCs w:val="24"/>
        </w:rPr>
        <w:t>, al tenor del artículo 613 del CGP,</w:t>
      </w:r>
      <w:r w:rsidR="00C96663" w:rsidRPr="00004762">
        <w:rPr>
          <w:rFonts w:cs="Arial"/>
          <w:szCs w:val="24"/>
        </w:rPr>
        <w:t xml:space="preserve"> </w:t>
      </w:r>
      <w:r w:rsidR="00F00311" w:rsidRPr="00004762">
        <w:rPr>
          <w:rFonts w:cs="Arial"/>
          <w:szCs w:val="24"/>
        </w:rPr>
        <w:t xml:space="preserve">que </w:t>
      </w:r>
      <w:r w:rsidR="00C96663" w:rsidRPr="00004762">
        <w:rPr>
          <w:rFonts w:cs="Arial"/>
          <w:szCs w:val="24"/>
        </w:rPr>
        <w:t xml:space="preserve">a la parte actora no podía exigírsele </w:t>
      </w:r>
      <w:r w:rsidR="00713EC3" w:rsidRPr="00004762">
        <w:rPr>
          <w:rFonts w:cs="Arial"/>
          <w:szCs w:val="24"/>
        </w:rPr>
        <w:t>el agotamiento del requisito de procedibilidad de conciliación extrajudicial.</w:t>
      </w:r>
    </w:p>
    <w:bookmarkEnd w:id="13"/>
    <w:p w:rsidR="001A1706" w:rsidRPr="00004762" w:rsidRDefault="001A1706" w:rsidP="00004762">
      <w:pPr>
        <w:pStyle w:val="BodyText21"/>
        <w:spacing w:line="360" w:lineRule="auto"/>
        <w:rPr>
          <w:rFonts w:cs="Arial"/>
          <w:szCs w:val="24"/>
        </w:rPr>
      </w:pPr>
    </w:p>
    <w:p w:rsidR="00A56691" w:rsidRPr="00004762" w:rsidRDefault="00AB6353" w:rsidP="00004762">
      <w:pPr>
        <w:pStyle w:val="Prrafodelista"/>
        <w:ind w:left="0"/>
        <w:jc w:val="both"/>
        <w:rPr>
          <w:rFonts w:ascii="Arial" w:hAnsi="Arial" w:cs="Arial"/>
          <w:b/>
          <w:lang w:val="es-CO"/>
        </w:rPr>
      </w:pPr>
      <w:r w:rsidRPr="00004762">
        <w:rPr>
          <w:rFonts w:ascii="Arial" w:hAnsi="Arial" w:cs="Arial"/>
          <w:b/>
          <w:lang w:val="es-CO"/>
        </w:rPr>
        <w:t>3. Conclusiones</w:t>
      </w:r>
    </w:p>
    <w:p w:rsidR="00AB6353" w:rsidRPr="00004762" w:rsidRDefault="00AB6353" w:rsidP="00004762">
      <w:pPr>
        <w:pStyle w:val="Prrafodelista"/>
        <w:spacing w:line="360" w:lineRule="auto"/>
        <w:ind w:left="0"/>
        <w:jc w:val="both"/>
        <w:rPr>
          <w:rFonts w:ascii="Arial" w:hAnsi="Arial" w:cs="Arial"/>
          <w:b/>
          <w:lang w:val="es-CO"/>
        </w:rPr>
      </w:pPr>
    </w:p>
    <w:p w:rsidR="00B347A1" w:rsidRPr="00004762" w:rsidRDefault="002D7A03" w:rsidP="00004762">
      <w:pPr>
        <w:pStyle w:val="Prrafodelista"/>
        <w:spacing w:line="360" w:lineRule="auto"/>
        <w:ind w:left="0"/>
        <w:jc w:val="both"/>
        <w:rPr>
          <w:rFonts w:ascii="Arial" w:hAnsi="Arial" w:cs="Arial"/>
          <w:lang w:val="es-CO"/>
        </w:rPr>
      </w:pPr>
      <w:r w:rsidRPr="00004762">
        <w:rPr>
          <w:rFonts w:ascii="Arial" w:hAnsi="Arial" w:cs="Arial"/>
          <w:b/>
          <w:lang w:val="es-CO"/>
        </w:rPr>
        <w:t>3.1.</w:t>
      </w:r>
      <w:r w:rsidRPr="00004762">
        <w:rPr>
          <w:rFonts w:ascii="Arial" w:hAnsi="Arial" w:cs="Arial"/>
          <w:lang w:val="es-CO"/>
        </w:rPr>
        <w:t xml:space="preserve"> </w:t>
      </w:r>
      <w:bookmarkStart w:id="14" w:name="_Hlk24623401"/>
      <w:r w:rsidR="000819E0" w:rsidRPr="00004762">
        <w:rPr>
          <w:rFonts w:ascii="Arial" w:hAnsi="Arial" w:cs="Arial"/>
          <w:lang w:val="es-CO"/>
        </w:rPr>
        <w:t>Por las ra</w:t>
      </w:r>
      <w:r w:rsidR="00A81067" w:rsidRPr="00004762">
        <w:rPr>
          <w:rFonts w:ascii="Arial" w:hAnsi="Arial" w:cs="Arial"/>
          <w:lang w:val="es-CO"/>
        </w:rPr>
        <w:t xml:space="preserve">zones expuestas: i) </w:t>
      </w:r>
      <w:r w:rsidR="00F00311" w:rsidRPr="00004762">
        <w:rPr>
          <w:rFonts w:ascii="Arial" w:hAnsi="Arial" w:cs="Arial"/>
          <w:lang w:val="es-CO"/>
        </w:rPr>
        <w:t xml:space="preserve">se modificará la decisión del Tribunal </w:t>
      </w:r>
      <w:r w:rsidR="008B7196" w:rsidRPr="00004762">
        <w:rPr>
          <w:rFonts w:ascii="Arial" w:hAnsi="Arial" w:cs="Arial"/>
          <w:lang w:val="es-CO"/>
        </w:rPr>
        <w:t xml:space="preserve">adoptada en el auto del 28 de julio 2016, en el sentido de </w:t>
      </w:r>
      <w:r w:rsidR="003A48AE" w:rsidRPr="00004762">
        <w:rPr>
          <w:rFonts w:ascii="Arial" w:hAnsi="Arial" w:cs="Arial"/>
          <w:lang w:val="es-CO"/>
        </w:rPr>
        <w:t xml:space="preserve">que la consecuencia de la caducidad de la pretensión principal de nulidad absoluta del contrato de donación no es la terminación del proceso, sino la exclusión de esa pretensión de la </w:t>
      </w:r>
      <w:r w:rsidR="003A48AE" w:rsidRPr="00004762">
        <w:rPr>
          <w:rFonts w:ascii="Arial" w:hAnsi="Arial" w:cs="Arial"/>
          <w:i/>
          <w:lang w:val="es-CO"/>
        </w:rPr>
        <w:t>litis</w:t>
      </w:r>
      <w:r w:rsidR="003A48AE" w:rsidRPr="00004762">
        <w:rPr>
          <w:rFonts w:ascii="Arial" w:hAnsi="Arial" w:cs="Arial"/>
          <w:lang w:val="es-CO"/>
        </w:rPr>
        <w:t xml:space="preserve"> y así se ordenará </w:t>
      </w:r>
      <w:r w:rsidR="00A11240" w:rsidRPr="00004762">
        <w:rPr>
          <w:rFonts w:ascii="Arial" w:hAnsi="Arial" w:cs="Arial"/>
          <w:lang w:val="es-CO"/>
        </w:rPr>
        <w:t>y</w:t>
      </w:r>
      <w:r w:rsidR="00A81067" w:rsidRPr="00004762">
        <w:rPr>
          <w:rFonts w:ascii="Arial" w:hAnsi="Arial" w:cs="Arial"/>
          <w:lang w:val="es-CO"/>
        </w:rPr>
        <w:t xml:space="preserve"> ii) </w:t>
      </w:r>
      <w:r w:rsidR="00DF6081" w:rsidRPr="00004762">
        <w:rPr>
          <w:rFonts w:ascii="Arial" w:hAnsi="Arial" w:cs="Arial"/>
          <w:lang w:val="es-CO"/>
        </w:rPr>
        <w:t xml:space="preserve">se confirmará el auto del 26 de julio de 2016, en tanto al demandante no le era exigible agotar el requisito previo de la conciliación extrajudicial, con la precisión de que </w:t>
      </w:r>
      <w:r w:rsidR="003328BB" w:rsidRPr="00004762">
        <w:rPr>
          <w:rFonts w:ascii="Arial" w:hAnsi="Arial" w:cs="Arial"/>
          <w:lang w:val="es-CO"/>
        </w:rPr>
        <w:t>su</w:t>
      </w:r>
      <w:r w:rsidR="00DF6081" w:rsidRPr="00004762">
        <w:rPr>
          <w:rFonts w:ascii="Arial" w:hAnsi="Arial" w:cs="Arial"/>
          <w:lang w:val="es-CO"/>
        </w:rPr>
        <w:t xml:space="preserve"> incumplimiento no tiene la virtualidad de </w:t>
      </w:r>
      <w:bookmarkStart w:id="15" w:name="_Hlk24623267"/>
      <w:r w:rsidR="00DF6081" w:rsidRPr="00004762">
        <w:rPr>
          <w:rFonts w:ascii="Arial" w:hAnsi="Arial" w:cs="Arial"/>
          <w:lang w:val="es-CO"/>
        </w:rPr>
        <w:t>estructurar la excepción de inepta demanda</w:t>
      </w:r>
      <w:bookmarkEnd w:id="15"/>
      <w:r w:rsidR="002B0281" w:rsidRPr="00004762">
        <w:rPr>
          <w:rFonts w:ascii="Arial" w:hAnsi="Arial" w:cs="Arial"/>
          <w:lang w:val="es-CO"/>
        </w:rPr>
        <w:t>.</w:t>
      </w:r>
    </w:p>
    <w:bookmarkEnd w:id="14"/>
    <w:p w:rsidR="00121344" w:rsidRPr="00004762" w:rsidRDefault="00121344" w:rsidP="00004762">
      <w:pPr>
        <w:pStyle w:val="Prrafodelista"/>
        <w:spacing w:line="360" w:lineRule="auto"/>
        <w:ind w:left="0"/>
        <w:jc w:val="both"/>
        <w:rPr>
          <w:rFonts w:ascii="Arial" w:hAnsi="Arial" w:cs="Arial"/>
          <w:lang w:val="es-CO"/>
        </w:rPr>
      </w:pPr>
    </w:p>
    <w:p w:rsidR="00121344" w:rsidRPr="00004762" w:rsidRDefault="002D7A03" w:rsidP="00004762">
      <w:pPr>
        <w:pStyle w:val="Prrafodelista"/>
        <w:spacing w:line="360" w:lineRule="auto"/>
        <w:ind w:left="0"/>
        <w:jc w:val="both"/>
        <w:rPr>
          <w:rFonts w:ascii="Arial" w:hAnsi="Arial" w:cs="Arial"/>
          <w:lang w:val="es-ES_tradnl"/>
        </w:rPr>
      </w:pPr>
      <w:r w:rsidRPr="00004762">
        <w:rPr>
          <w:rFonts w:ascii="Arial" w:hAnsi="Arial" w:cs="Arial"/>
          <w:b/>
          <w:lang w:val="es-CO"/>
        </w:rPr>
        <w:t>3.2.</w:t>
      </w:r>
      <w:r w:rsidRPr="00004762">
        <w:rPr>
          <w:rFonts w:ascii="Arial" w:hAnsi="Arial" w:cs="Arial"/>
          <w:lang w:val="es-CO"/>
        </w:rPr>
        <w:t xml:space="preserve"> </w:t>
      </w:r>
      <w:r w:rsidR="003517BE" w:rsidRPr="00004762">
        <w:rPr>
          <w:rFonts w:ascii="Arial" w:hAnsi="Arial" w:cs="Arial"/>
          <w:lang w:val="es-CO"/>
        </w:rPr>
        <w:t>U</w:t>
      </w:r>
      <w:r w:rsidR="000F48B3" w:rsidRPr="00004762">
        <w:rPr>
          <w:rFonts w:ascii="Arial" w:hAnsi="Arial" w:cs="Arial"/>
          <w:lang w:val="es-CO"/>
        </w:rPr>
        <w:t xml:space="preserve">na vez regrese el expediente al </w:t>
      </w:r>
      <w:r w:rsidR="006E05D3" w:rsidRPr="00004762">
        <w:rPr>
          <w:rFonts w:ascii="Arial" w:hAnsi="Arial" w:cs="Arial"/>
          <w:i/>
          <w:lang w:val="es-CO"/>
        </w:rPr>
        <w:t>a quo</w:t>
      </w:r>
      <w:r w:rsidR="000F48B3" w:rsidRPr="00004762">
        <w:rPr>
          <w:rFonts w:ascii="Arial" w:hAnsi="Arial" w:cs="Arial"/>
          <w:lang w:val="es-CO"/>
        </w:rPr>
        <w:t xml:space="preserve">, </w:t>
      </w:r>
      <w:r w:rsidR="003517BE" w:rsidRPr="00004762">
        <w:rPr>
          <w:rFonts w:ascii="Arial" w:hAnsi="Arial" w:cs="Arial"/>
          <w:lang w:val="es-CO"/>
        </w:rPr>
        <w:t xml:space="preserve">este deberá reanudar la audiencia inicial y seguir con el trámite correspondiente, con la precisión de que el </w:t>
      </w:r>
      <w:r w:rsidR="006E05D3" w:rsidRPr="00004762">
        <w:rPr>
          <w:rFonts w:ascii="Arial" w:hAnsi="Arial" w:cs="Arial"/>
          <w:lang w:val="es-CO"/>
        </w:rPr>
        <w:t xml:space="preserve">estudio </w:t>
      </w:r>
      <w:r w:rsidR="00CE04F9" w:rsidRPr="00004762">
        <w:rPr>
          <w:rFonts w:ascii="Arial" w:hAnsi="Arial" w:cs="Arial"/>
          <w:lang w:val="es-CO"/>
        </w:rPr>
        <w:t xml:space="preserve">de la caducidad frente a la pretensión de rescisión del contrato de donación con sus respectivas subsidiarias y las subsidiarias de la pretensión de nulidad absoluta </w:t>
      </w:r>
      <w:r w:rsidR="006E05D3" w:rsidRPr="00004762">
        <w:rPr>
          <w:rFonts w:ascii="Arial" w:hAnsi="Arial" w:cs="Arial"/>
          <w:lang w:val="es-CO"/>
        </w:rPr>
        <w:t xml:space="preserve">deberá realizarse al momento de proferirse sentencia, porque su análisis </w:t>
      </w:r>
      <w:r w:rsidR="006E05D3" w:rsidRPr="00004762">
        <w:rPr>
          <w:rFonts w:ascii="Arial" w:hAnsi="Arial" w:cs="Arial"/>
          <w:lang w:val="es-ES_tradnl"/>
        </w:rPr>
        <w:t>implica el examen de unos temas concernientes al fondo del litigio</w:t>
      </w:r>
      <w:r w:rsidR="00955CE8" w:rsidRPr="00004762">
        <w:rPr>
          <w:rFonts w:ascii="Arial" w:hAnsi="Arial" w:cs="Arial"/>
          <w:lang w:val="es-ES_tradnl"/>
        </w:rPr>
        <w:t>, tal como se explicó atrás.</w:t>
      </w:r>
    </w:p>
    <w:p w:rsidR="00CE279E" w:rsidRPr="00004762" w:rsidRDefault="00CE279E" w:rsidP="00004762">
      <w:pPr>
        <w:pStyle w:val="Prrafodelista"/>
        <w:spacing w:line="360" w:lineRule="auto"/>
        <w:ind w:left="0"/>
        <w:jc w:val="both"/>
        <w:rPr>
          <w:rFonts w:ascii="Arial" w:hAnsi="Arial" w:cs="Arial"/>
          <w:lang w:val="es-ES_tradnl"/>
        </w:rPr>
      </w:pPr>
    </w:p>
    <w:p w:rsidR="00C52F09" w:rsidRPr="00004762" w:rsidRDefault="002E2F01" w:rsidP="00004762">
      <w:pPr>
        <w:spacing w:line="360" w:lineRule="auto"/>
        <w:jc w:val="both"/>
        <w:rPr>
          <w:rFonts w:ascii="Arial" w:hAnsi="Arial" w:cs="Arial"/>
          <w:iCs/>
        </w:rPr>
      </w:pPr>
      <w:r w:rsidRPr="00004762">
        <w:rPr>
          <w:rFonts w:ascii="Arial" w:hAnsi="Arial" w:cs="Arial"/>
          <w:iCs/>
        </w:rPr>
        <w:t xml:space="preserve">En mérito de lo expuesto, </w:t>
      </w:r>
      <w:r w:rsidR="00F865B0" w:rsidRPr="00004762">
        <w:rPr>
          <w:rFonts w:ascii="Arial" w:hAnsi="Arial" w:cs="Arial"/>
          <w:iCs/>
        </w:rPr>
        <w:t>este Despacho d</w:t>
      </w:r>
      <w:r w:rsidR="00530550" w:rsidRPr="00004762">
        <w:rPr>
          <w:rFonts w:ascii="Arial" w:hAnsi="Arial" w:cs="Arial"/>
          <w:iCs/>
        </w:rPr>
        <w:t>el</w:t>
      </w:r>
      <w:r w:rsidR="00CE04F9" w:rsidRPr="00004762">
        <w:rPr>
          <w:rFonts w:ascii="Arial" w:hAnsi="Arial" w:cs="Arial"/>
          <w:iCs/>
        </w:rPr>
        <w:t xml:space="preserve"> Consejo de Estado,</w:t>
      </w:r>
    </w:p>
    <w:p w:rsidR="00121344" w:rsidRPr="00004762" w:rsidRDefault="00121344" w:rsidP="00004762">
      <w:pPr>
        <w:spacing w:line="360" w:lineRule="auto"/>
        <w:jc w:val="both"/>
        <w:rPr>
          <w:rFonts w:ascii="Arial" w:hAnsi="Arial" w:cs="Arial"/>
          <w:iCs/>
        </w:rPr>
      </w:pPr>
    </w:p>
    <w:p w:rsidR="00D13205" w:rsidRPr="00004762" w:rsidRDefault="00D13205" w:rsidP="00004762">
      <w:pPr>
        <w:spacing w:line="360" w:lineRule="auto"/>
        <w:jc w:val="center"/>
        <w:rPr>
          <w:rFonts w:ascii="Arial" w:hAnsi="Arial" w:cs="Arial"/>
          <w:b/>
        </w:rPr>
      </w:pPr>
      <w:r w:rsidRPr="00004762">
        <w:rPr>
          <w:rFonts w:ascii="Arial" w:hAnsi="Arial" w:cs="Arial"/>
          <w:b/>
        </w:rPr>
        <w:t>RESUELVE:</w:t>
      </w:r>
    </w:p>
    <w:p w:rsidR="00C0300D" w:rsidRPr="00004762" w:rsidRDefault="00C0300D" w:rsidP="00004762">
      <w:pPr>
        <w:spacing w:line="360" w:lineRule="auto"/>
        <w:jc w:val="both"/>
        <w:rPr>
          <w:rFonts w:ascii="Arial" w:hAnsi="Arial" w:cs="Arial"/>
        </w:rPr>
      </w:pPr>
    </w:p>
    <w:p w:rsidR="00DB0834" w:rsidRPr="00004762" w:rsidRDefault="00D13205" w:rsidP="00004762">
      <w:pPr>
        <w:overflowPunct w:val="0"/>
        <w:autoSpaceDE w:val="0"/>
        <w:autoSpaceDN w:val="0"/>
        <w:adjustRightInd w:val="0"/>
        <w:spacing w:line="360" w:lineRule="auto"/>
        <w:jc w:val="both"/>
        <w:textAlignment w:val="baseline"/>
        <w:rPr>
          <w:rFonts w:ascii="Arial" w:hAnsi="Arial" w:cs="Arial"/>
        </w:rPr>
      </w:pPr>
      <w:r w:rsidRPr="00004762">
        <w:rPr>
          <w:rFonts w:ascii="Arial" w:hAnsi="Arial" w:cs="Arial"/>
          <w:b/>
        </w:rPr>
        <w:lastRenderedPageBreak/>
        <w:t xml:space="preserve">PRIMERO: </w:t>
      </w:r>
      <w:r w:rsidR="00DB0834" w:rsidRPr="00004762">
        <w:rPr>
          <w:rFonts w:ascii="Arial" w:hAnsi="Arial" w:cs="Arial"/>
          <w:b/>
        </w:rPr>
        <w:t>MODIFICAR</w:t>
      </w:r>
      <w:r w:rsidR="00947D31" w:rsidRPr="00004762">
        <w:rPr>
          <w:rFonts w:ascii="Arial" w:hAnsi="Arial" w:cs="Arial"/>
          <w:b/>
        </w:rPr>
        <w:t xml:space="preserve"> </w:t>
      </w:r>
      <w:r w:rsidR="00947D31" w:rsidRPr="00004762">
        <w:rPr>
          <w:rFonts w:ascii="Arial" w:hAnsi="Arial" w:cs="Arial"/>
        </w:rPr>
        <w:t xml:space="preserve">el auto </w:t>
      </w:r>
      <w:r w:rsidR="007457E1" w:rsidRPr="00004762">
        <w:rPr>
          <w:rFonts w:ascii="Arial" w:hAnsi="Arial" w:cs="Arial"/>
        </w:rPr>
        <w:t xml:space="preserve">del </w:t>
      </w:r>
      <w:r w:rsidR="002D7A03" w:rsidRPr="00004762">
        <w:rPr>
          <w:rFonts w:ascii="Arial" w:hAnsi="Arial" w:cs="Arial"/>
        </w:rPr>
        <w:t xml:space="preserve">28 de julio de 2016, proferido por el Tribunal Administrativo del Atlántico, </w:t>
      </w:r>
      <w:r w:rsidR="00DB0834" w:rsidRPr="00004762">
        <w:rPr>
          <w:rFonts w:ascii="Arial" w:hAnsi="Arial" w:cs="Arial"/>
        </w:rPr>
        <w:t xml:space="preserve">que declaró probada la excepción de caducidad y, como consecuencia, dio por terminado el proceso. En su lugar y por las razones expuestas en precedencia, se dispone: </w:t>
      </w:r>
    </w:p>
    <w:p w:rsidR="00F865B0" w:rsidRPr="00004762" w:rsidRDefault="00F865B0" w:rsidP="00004762">
      <w:pPr>
        <w:overflowPunct w:val="0"/>
        <w:autoSpaceDE w:val="0"/>
        <w:autoSpaceDN w:val="0"/>
        <w:adjustRightInd w:val="0"/>
        <w:spacing w:line="276" w:lineRule="auto"/>
        <w:jc w:val="both"/>
        <w:textAlignment w:val="baseline"/>
        <w:rPr>
          <w:rFonts w:ascii="Arial" w:hAnsi="Arial" w:cs="Arial"/>
          <w:i/>
        </w:rPr>
      </w:pPr>
    </w:p>
    <w:p w:rsidR="00DB0834" w:rsidRPr="00004762" w:rsidRDefault="00DB0834" w:rsidP="00004762">
      <w:pPr>
        <w:overflowPunct w:val="0"/>
        <w:autoSpaceDE w:val="0"/>
        <w:autoSpaceDN w:val="0"/>
        <w:adjustRightInd w:val="0"/>
        <w:spacing w:line="276" w:lineRule="auto"/>
        <w:jc w:val="both"/>
        <w:textAlignment w:val="baseline"/>
        <w:rPr>
          <w:rFonts w:ascii="Arial" w:hAnsi="Arial" w:cs="Arial"/>
          <w:i/>
        </w:rPr>
      </w:pPr>
      <w:r w:rsidRPr="00004762">
        <w:rPr>
          <w:rFonts w:ascii="Arial" w:hAnsi="Arial" w:cs="Arial"/>
          <w:i/>
        </w:rPr>
        <w:t>“</w:t>
      </w:r>
      <w:r w:rsidRPr="00004762">
        <w:rPr>
          <w:rFonts w:ascii="Arial" w:hAnsi="Arial" w:cs="Arial"/>
          <w:b/>
          <w:i/>
        </w:rPr>
        <w:t xml:space="preserve">DECLARAR </w:t>
      </w:r>
      <w:r w:rsidRPr="00004762">
        <w:rPr>
          <w:rFonts w:ascii="Arial" w:hAnsi="Arial" w:cs="Arial"/>
          <w:i/>
        </w:rPr>
        <w:t xml:space="preserve">probada la excepción de caducidad respecto de la pretensión principal de nulidad absoluta del contrato de donación y, por consiguiente, </w:t>
      </w:r>
      <w:r w:rsidRPr="00004762">
        <w:rPr>
          <w:rFonts w:ascii="Arial" w:hAnsi="Arial" w:cs="Arial"/>
          <w:b/>
          <w:i/>
        </w:rPr>
        <w:t>EXCLUIR</w:t>
      </w:r>
      <w:r w:rsidRPr="00004762">
        <w:rPr>
          <w:rFonts w:ascii="Arial" w:hAnsi="Arial" w:cs="Arial"/>
          <w:i/>
        </w:rPr>
        <w:t xml:space="preserve"> dicha pretensión de la presente controversia”. </w:t>
      </w:r>
    </w:p>
    <w:p w:rsidR="00D13205" w:rsidRPr="00004762" w:rsidRDefault="00D13205" w:rsidP="00004762">
      <w:pPr>
        <w:overflowPunct w:val="0"/>
        <w:autoSpaceDE w:val="0"/>
        <w:autoSpaceDN w:val="0"/>
        <w:adjustRightInd w:val="0"/>
        <w:spacing w:line="360" w:lineRule="auto"/>
        <w:jc w:val="both"/>
        <w:textAlignment w:val="baseline"/>
        <w:rPr>
          <w:rFonts w:ascii="Arial" w:hAnsi="Arial" w:cs="Arial"/>
        </w:rPr>
      </w:pPr>
    </w:p>
    <w:p w:rsidR="00EC1ABA" w:rsidRPr="00004762" w:rsidRDefault="00D13205" w:rsidP="00004762">
      <w:pPr>
        <w:pStyle w:val="Prrafodelista"/>
        <w:spacing w:line="360" w:lineRule="auto"/>
        <w:ind w:left="0"/>
        <w:jc w:val="both"/>
        <w:rPr>
          <w:rFonts w:ascii="Arial" w:hAnsi="Arial" w:cs="Arial"/>
          <w:lang w:val="es-CO"/>
        </w:rPr>
      </w:pPr>
      <w:r w:rsidRPr="00004762">
        <w:rPr>
          <w:rFonts w:ascii="Arial" w:hAnsi="Arial" w:cs="Arial"/>
          <w:b/>
        </w:rPr>
        <w:t>SEGUNDO:</w:t>
      </w:r>
      <w:r w:rsidR="00D0513A" w:rsidRPr="00004762">
        <w:rPr>
          <w:rFonts w:ascii="Arial" w:hAnsi="Arial" w:cs="Arial"/>
        </w:rPr>
        <w:t xml:space="preserve"> </w:t>
      </w:r>
      <w:r w:rsidR="00196606" w:rsidRPr="00004762">
        <w:rPr>
          <w:rFonts w:ascii="Arial" w:hAnsi="Arial" w:cs="Arial"/>
          <w:b/>
        </w:rPr>
        <w:t>CONFIRMAR</w:t>
      </w:r>
      <w:r w:rsidR="002561B9" w:rsidRPr="00004762">
        <w:rPr>
          <w:rFonts w:ascii="Arial" w:hAnsi="Arial" w:cs="Arial"/>
          <w:b/>
        </w:rPr>
        <w:t xml:space="preserve"> </w:t>
      </w:r>
      <w:r w:rsidR="002561B9" w:rsidRPr="00004762">
        <w:rPr>
          <w:rFonts w:ascii="Arial" w:hAnsi="Arial" w:cs="Arial"/>
        </w:rPr>
        <w:t>el auto del 26 de julio de 2016</w:t>
      </w:r>
      <w:r w:rsidR="003328BB" w:rsidRPr="00004762">
        <w:rPr>
          <w:rFonts w:ascii="Arial" w:hAnsi="Arial" w:cs="Arial"/>
        </w:rPr>
        <w:t>,</w:t>
      </w:r>
      <w:r w:rsidR="002561B9" w:rsidRPr="00004762">
        <w:rPr>
          <w:rFonts w:ascii="Arial" w:hAnsi="Arial" w:cs="Arial"/>
        </w:rPr>
        <w:t xml:space="preserve"> dictado en audiencia inicial por el Tribunal Administrativo del Atlántico, </w:t>
      </w:r>
      <w:r w:rsidR="0044198F" w:rsidRPr="00004762">
        <w:rPr>
          <w:rFonts w:ascii="Arial" w:hAnsi="Arial" w:cs="Arial"/>
        </w:rPr>
        <w:t>por cuanto</w:t>
      </w:r>
      <w:r w:rsidR="0099367D" w:rsidRPr="00004762">
        <w:rPr>
          <w:rFonts w:ascii="Arial" w:hAnsi="Arial" w:cs="Arial"/>
        </w:rPr>
        <w:t xml:space="preserve"> a</w:t>
      </w:r>
      <w:r w:rsidR="002B0281" w:rsidRPr="00004762">
        <w:rPr>
          <w:rFonts w:ascii="Arial" w:hAnsi="Arial" w:cs="Arial"/>
        </w:rPr>
        <w:t xml:space="preserve"> </w:t>
      </w:r>
      <w:r w:rsidR="00C0300D" w:rsidRPr="00004762">
        <w:rPr>
          <w:rFonts w:ascii="Arial" w:hAnsi="Arial" w:cs="Arial"/>
          <w:lang w:val="es-CO"/>
        </w:rPr>
        <w:t xml:space="preserve">la </w:t>
      </w:r>
      <w:r w:rsidR="002B0281" w:rsidRPr="00004762">
        <w:rPr>
          <w:rFonts w:ascii="Arial" w:hAnsi="Arial" w:cs="Arial"/>
          <w:lang w:val="es-CO"/>
        </w:rPr>
        <w:t>demandante no le era exigible agotar el requisito previo de la conciliación extrajudicial</w:t>
      </w:r>
      <w:r w:rsidR="006E1466" w:rsidRPr="00004762">
        <w:rPr>
          <w:rFonts w:ascii="Arial" w:hAnsi="Arial" w:cs="Arial"/>
        </w:rPr>
        <w:t>.</w:t>
      </w:r>
    </w:p>
    <w:p w:rsidR="002B0281" w:rsidRPr="00004762" w:rsidRDefault="002B0281" w:rsidP="00004762">
      <w:pPr>
        <w:overflowPunct w:val="0"/>
        <w:autoSpaceDE w:val="0"/>
        <w:autoSpaceDN w:val="0"/>
        <w:adjustRightInd w:val="0"/>
        <w:spacing w:line="360" w:lineRule="auto"/>
        <w:jc w:val="both"/>
        <w:textAlignment w:val="baseline"/>
        <w:rPr>
          <w:rFonts w:ascii="Arial" w:hAnsi="Arial" w:cs="Arial"/>
        </w:rPr>
      </w:pPr>
    </w:p>
    <w:p w:rsidR="00CE04F9" w:rsidRPr="00004762" w:rsidRDefault="002561B9" w:rsidP="00004762">
      <w:pPr>
        <w:overflowPunct w:val="0"/>
        <w:autoSpaceDE w:val="0"/>
        <w:autoSpaceDN w:val="0"/>
        <w:adjustRightInd w:val="0"/>
        <w:spacing w:line="360" w:lineRule="auto"/>
        <w:jc w:val="both"/>
        <w:textAlignment w:val="baseline"/>
        <w:rPr>
          <w:rFonts w:ascii="Arial" w:eastAsia="Calibri" w:hAnsi="Arial" w:cs="Arial"/>
          <w:bCs/>
          <w:lang w:val="es-CO" w:eastAsia="en-US"/>
        </w:rPr>
      </w:pPr>
      <w:r w:rsidRPr="00004762">
        <w:rPr>
          <w:rFonts w:ascii="Arial" w:hAnsi="Arial" w:cs="Arial"/>
          <w:b/>
        </w:rPr>
        <w:t>TERCERO:</w:t>
      </w:r>
      <w:r w:rsidRPr="00004762">
        <w:rPr>
          <w:rFonts w:ascii="Arial" w:hAnsi="Arial" w:cs="Arial"/>
        </w:rPr>
        <w:t xml:space="preserve"> </w:t>
      </w:r>
      <w:r w:rsidR="00947D31" w:rsidRPr="00004762">
        <w:rPr>
          <w:rFonts w:ascii="Arial" w:eastAsia="Calibri" w:hAnsi="Arial" w:cs="Arial"/>
          <w:bCs/>
          <w:lang w:val="es-CO" w:eastAsia="en-US"/>
        </w:rPr>
        <w:t xml:space="preserve">Por Secretaría, una vez de ejecutoriado este proveído, </w:t>
      </w:r>
      <w:r w:rsidR="00D0513A" w:rsidRPr="00004762">
        <w:rPr>
          <w:rFonts w:ascii="Arial" w:eastAsia="Calibri" w:hAnsi="Arial" w:cs="Arial"/>
          <w:b/>
          <w:bCs/>
          <w:lang w:val="es-CO" w:eastAsia="en-US"/>
        </w:rPr>
        <w:t>DEVOLVER</w:t>
      </w:r>
      <w:r w:rsidR="00947D31" w:rsidRPr="00004762">
        <w:rPr>
          <w:rFonts w:ascii="Arial" w:eastAsia="Calibri" w:hAnsi="Arial" w:cs="Arial"/>
          <w:b/>
          <w:bCs/>
          <w:lang w:val="es-CO" w:eastAsia="en-US"/>
        </w:rPr>
        <w:t xml:space="preserve"> </w:t>
      </w:r>
      <w:r w:rsidR="00947D31" w:rsidRPr="00004762">
        <w:rPr>
          <w:rFonts w:ascii="Arial" w:eastAsia="Calibri" w:hAnsi="Arial" w:cs="Arial"/>
          <w:bCs/>
          <w:lang w:val="es-CO" w:eastAsia="en-US"/>
        </w:rPr>
        <w:t>el e</w:t>
      </w:r>
      <w:r w:rsidR="00055F77" w:rsidRPr="00004762">
        <w:rPr>
          <w:rFonts w:ascii="Arial" w:eastAsia="Calibri" w:hAnsi="Arial" w:cs="Arial"/>
          <w:bCs/>
          <w:lang w:val="es-CO" w:eastAsia="en-US"/>
        </w:rPr>
        <w:t xml:space="preserve">xpediente al Tribunal de origen, </w:t>
      </w:r>
      <w:r w:rsidR="00196606" w:rsidRPr="00004762">
        <w:rPr>
          <w:rFonts w:ascii="Arial" w:eastAsia="Calibri" w:hAnsi="Arial" w:cs="Arial"/>
          <w:bCs/>
          <w:lang w:val="es-CO" w:eastAsia="en-US"/>
        </w:rPr>
        <w:t xml:space="preserve">para que </w:t>
      </w:r>
      <w:r w:rsidR="00B143B0" w:rsidRPr="00004762">
        <w:rPr>
          <w:rFonts w:ascii="Arial" w:eastAsia="Calibri" w:hAnsi="Arial" w:cs="Arial"/>
          <w:bCs/>
          <w:lang w:val="es-CO" w:eastAsia="en-US"/>
        </w:rPr>
        <w:t>reanude la audiencia inicia</w:t>
      </w:r>
      <w:r w:rsidR="00CE02C0" w:rsidRPr="00004762">
        <w:rPr>
          <w:rFonts w:ascii="Arial" w:eastAsia="Calibri" w:hAnsi="Arial" w:cs="Arial"/>
          <w:bCs/>
          <w:lang w:val="es-CO" w:eastAsia="en-US"/>
        </w:rPr>
        <w:t>l</w:t>
      </w:r>
      <w:r w:rsidR="00B143B0" w:rsidRPr="00004762">
        <w:rPr>
          <w:rFonts w:ascii="Arial" w:eastAsia="Calibri" w:hAnsi="Arial" w:cs="Arial"/>
          <w:bCs/>
          <w:lang w:val="es-CO" w:eastAsia="en-US"/>
        </w:rPr>
        <w:t xml:space="preserve"> y </w:t>
      </w:r>
      <w:r w:rsidR="00196606" w:rsidRPr="00004762">
        <w:rPr>
          <w:rFonts w:ascii="Arial" w:eastAsia="Calibri" w:hAnsi="Arial" w:cs="Arial"/>
          <w:bCs/>
          <w:lang w:val="es-CO" w:eastAsia="en-US"/>
        </w:rPr>
        <w:t xml:space="preserve">continúe </w:t>
      </w:r>
      <w:r w:rsidR="00B143B0" w:rsidRPr="00004762">
        <w:rPr>
          <w:rFonts w:ascii="Arial" w:eastAsia="Calibri" w:hAnsi="Arial" w:cs="Arial"/>
          <w:bCs/>
          <w:lang w:val="es-CO" w:eastAsia="en-US"/>
        </w:rPr>
        <w:t xml:space="preserve">con </w:t>
      </w:r>
      <w:r w:rsidR="00196606" w:rsidRPr="00004762">
        <w:rPr>
          <w:rFonts w:ascii="Arial" w:eastAsia="Calibri" w:hAnsi="Arial" w:cs="Arial"/>
          <w:bCs/>
          <w:lang w:val="es-CO" w:eastAsia="en-US"/>
        </w:rPr>
        <w:t>el trámite correspondiente.</w:t>
      </w:r>
    </w:p>
    <w:p w:rsidR="00B347A1" w:rsidRPr="00004762" w:rsidRDefault="00B347A1" w:rsidP="00004762">
      <w:pPr>
        <w:overflowPunct w:val="0"/>
        <w:autoSpaceDE w:val="0"/>
        <w:autoSpaceDN w:val="0"/>
        <w:adjustRightInd w:val="0"/>
        <w:jc w:val="center"/>
        <w:textAlignment w:val="baseline"/>
        <w:rPr>
          <w:rFonts w:ascii="Arial" w:eastAsia="Calibri" w:hAnsi="Arial" w:cs="Arial"/>
          <w:bCs/>
          <w:lang w:val="es-CO" w:eastAsia="en-US"/>
        </w:rPr>
      </w:pPr>
    </w:p>
    <w:p w:rsidR="0044198F" w:rsidRPr="00004762" w:rsidRDefault="00D13205" w:rsidP="00004762">
      <w:pPr>
        <w:jc w:val="center"/>
        <w:rPr>
          <w:rFonts w:ascii="Arial" w:hAnsi="Arial" w:cs="Arial"/>
          <w:b/>
          <w:snapToGrid w:val="0"/>
          <w:lang w:val="es-ES_tradnl"/>
        </w:rPr>
      </w:pPr>
      <w:r w:rsidRPr="00004762">
        <w:rPr>
          <w:rFonts w:ascii="Arial" w:hAnsi="Arial" w:cs="Arial"/>
          <w:b/>
          <w:snapToGrid w:val="0"/>
          <w:lang w:val="es-ES_tradnl"/>
        </w:rPr>
        <w:t>NOTIFÍQUESE Y CÚMPLASE</w:t>
      </w:r>
    </w:p>
    <w:p w:rsidR="0044198F" w:rsidRPr="00004762" w:rsidRDefault="0044198F" w:rsidP="00004762">
      <w:pPr>
        <w:jc w:val="center"/>
        <w:rPr>
          <w:rFonts w:ascii="Arial" w:hAnsi="Arial" w:cs="Arial"/>
          <w:b/>
          <w:snapToGrid w:val="0"/>
          <w:lang w:val="es-ES_tradnl"/>
        </w:rPr>
      </w:pPr>
    </w:p>
    <w:p w:rsidR="00B143B0" w:rsidRPr="00004762" w:rsidRDefault="00B143B0" w:rsidP="00004762">
      <w:pPr>
        <w:jc w:val="center"/>
        <w:rPr>
          <w:rFonts w:ascii="Arial" w:hAnsi="Arial" w:cs="Arial"/>
          <w:b/>
          <w:snapToGrid w:val="0"/>
          <w:lang w:val="es-ES_tradnl"/>
        </w:rPr>
      </w:pPr>
    </w:p>
    <w:p w:rsidR="00B143B0" w:rsidRPr="00004762" w:rsidRDefault="00B143B0" w:rsidP="00004762">
      <w:pPr>
        <w:jc w:val="center"/>
        <w:rPr>
          <w:rFonts w:ascii="Arial" w:hAnsi="Arial" w:cs="Arial"/>
          <w:b/>
          <w:snapToGrid w:val="0"/>
          <w:lang w:val="es-ES_tradnl"/>
        </w:rPr>
      </w:pPr>
    </w:p>
    <w:p w:rsidR="00D24CFB" w:rsidRPr="00004762" w:rsidRDefault="00D13205" w:rsidP="00004762">
      <w:pPr>
        <w:widowControl w:val="0"/>
        <w:jc w:val="center"/>
        <w:rPr>
          <w:rFonts w:ascii="Arial" w:hAnsi="Arial" w:cs="Arial"/>
          <w:b/>
          <w:snapToGrid w:val="0"/>
          <w:lang w:val="es-ES_tradnl"/>
        </w:rPr>
      </w:pPr>
      <w:r w:rsidRPr="00004762">
        <w:rPr>
          <w:rFonts w:ascii="Arial" w:hAnsi="Arial" w:cs="Arial"/>
          <w:b/>
          <w:snapToGrid w:val="0"/>
          <w:lang w:val="es-ES_tradnl"/>
        </w:rPr>
        <w:t>MARTA NUBIA VELÁSQUEZ RICO</w:t>
      </w:r>
    </w:p>
    <w:p w:rsidR="002E2F01" w:rsidRPr="00004762" w:rsidRDefault="00D24CFB" w:rsidP="00004762">
      <w:pPr>
        <w:widowControl w:val="0"/>
        <w:jc w:val="center"/>
        <w:rPr>
          <w:rFonts w:ascii="Arial" w:hAnsi="Arial" w:cs="Arial"/>
        </w:rPr>
      </w:pPr>
      <w:r w:rsidRPr="00004762">
        <w:rPr>
          <w:rFonts w:ascii="Arial" w:hAnsi="Arial" w:cs="Arial"/>
          <w:snapToGrid w:val="0"/>
          <w:lang w:val="es-ES_tradnl"/>
        </w:rPr>
        <w:t>MAMG</w:t>
      </w:r>
    </w:p>
    <w:sectPr w:rsidR="002E2F01" w:rsidRPr="00004762" w:rsidSect="00004762">
      <w:headerReference w:type="default" r:id="rId11"/>
      <w:footerReference w:type="default" r:id="rId12"/>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FF" w:rsidRDefault="000738FF">
      <w:r>
        <w:separator/>
      </w:r>
    </w:p>
  </w:endnote>
  <w:endnote w:type="continuationSeparator" w:id="0">
    <w:p w:rsidR="000738FF" w:rsidRDefault="0007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27" w:rsidRDefault="006D0F27">
    <w:pPr>
      <w:pStyle w:val="Piedepgina"/>
      <w:jc w:val="right"/>
      <w:rPr>
        <w:rFonts w:ascii="Arial" w:hAnsi="Arial" w:cs="Arial"/>
        <w:sz w:val="22"/>
        <w:szCs w:val="22"/>
      </w:rPr>
    </w:pPr>
  </w:p>
  <w:p w:rsidR="002523D3" w:rsidRDefault="002523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FF" w:rsidRDefault="000738FF">
      <w:r>
        <w:separator/>
      </w:r>
    </w:p>
  </w:footnote>
  <w:footnote w:type="continuationSeparator" w:id="0">
    <w:p w:rsidR="000738FF" w:rsidRDefault="000738FF">
      <w:r>
        <w:continuationSeparator/>
      </w:r>
    </w:p>
  </w:footnote>
  <w:footnote w:id="1">
    <w:p w:rsidR="0000653C" w:rsidRPr="007155F5" w:rsidRDefault="0000653C" w:rsidP="0000653C">
      <w:pPr>
        <w:pStyle w:val="Textonotapie"/>
        <w:jc w:val="both"/>
        <w:rPr>
          <w:rFonts w:ascii="Arial" w:hAnsi="Arial" w:cs="Arial"/>
        </w:rPr>
      </w:pPr>
      <w:r w:rsidRPr="007155F5">
        <w:rPr>
          <w:rStyle w:val="Refdenotaalpie"/>
          <w:rFonts w:ascii="Arial" w:hAnsi="Arial" w:cs="Arial"/>
        </w:rPr>
        <w:footnoteRef/>
      </w:r>
      <w:r w:rsidRPr="007155F5">
        <w:rPr>
          <w:rFonts w:ascii="Arial" w:hAnsi="Arial" w:cs="Arial"/>
        </w:rPr>
        <w:t xml:space="preserve"> Folios 171-202 del cuaderno de primera instancia.</w:t>
      </w:r>
    </w:p>
  </w:footnote>
  <w:footnote w:id="2">
    <w:p w:rsidR="00667405" w:rsidRDefault="00667405" w:rsidP="00667405">
      <w:pPr>
        <w:jc w:val="both"/>
        <w:rPr>
          <w:rFonts w:ascii="Arial" w:hAnsi="Arial" w:cs="Arial"/>
          <w:i/>
          <w:sz w:val="20"/>
          <w:szCs w:val="20"/>
        </w:rPr>
      </w:pPr>
      <w:r w:rsidRPr="007B6D2B">
        <w:rPr>
          <w:rStyle w:val="Refdenotaalpie"/>
          <w:rFonts w:ascii="Arial" w:hAnsi="Arial" w:cs="Arial"/>
          <w:sz w:val="20"/>
          <w:szCs w:val="20"/>
        </w:rPr>
        <w:footnoteRef/>
      </w:r>
      <w:r>
        <w:t xml:space="preserve"> </w:t>
      </w:r>
      <w:r>
        <w:rPr>
          <w:rFonts w:ascii="Arial" w:hAnsi="Arial" w:cs="Arial"/>
          <w:i/>
          <w:sz w:val="20"/>
          <w:szCs w:val="20"/>
        </w:rPr>
        <w:t>“</w:t>
      </w:r>
      <w:r w:rsidRPr="00CD5191">
        <w:rPr>
          <w:rFonts w:ascii="Arial" w:hAnsi="Arial" w:cs="Arial"/>
          <w:i/>
          <w:sz w:val="20"/>
          <w:szCs w:val="20"/>
        </w:rPr>
        <w:t>Artículo 164. Oportunidad para presentar la demanda. La demanda deberá ser presentada (…) 2. En los siguientes términos, so pena de que opere la caducidad (…) j) En las relativas a contratos el término para demandar será de dos (2) años que se contarán a partir del día siguiente a la ocurrencia de los motivos de hecho o de derecho que les sirvan de fundamento</w:t>
      </w:r>
      <w:r>
        <w:rPr>
          <w:rFonts w:ascii="Arial" w:hAnsi="Arial" w:cs="Arial"/>
          <w:i/>
          <w:sz w:val="20"/>
          <w:szCs w:val="20"/>
        </w:rPr>
        <w:t>.</w:t>
      </w:r>
    </w:p>
    <w:p w:rsidR="00667405" w:rsidRPr="008D54E1" w:rsidRDefault="00667405" w:rsidP="008D54E1">
      <w:pPr>
        <w:jc w:val="both"/>
        <w:rPr>
          <w:rFonts w:ascii="Arial" w:hAnsi="Arial" w:cs="Arial"/>
          <w:b/>
        </w:rPr>
      </w:pPr>
      <w:r>
        <w:rPr>
          <w:rFonts w:ascii="Arial" w:hAnsi="Arial" w:cs="Arial"/>
          <w:i/>
          <w:sz w:val="20"/>
          <w:szCs w:val="20"/>
        </w:rPr>
        <w:t xml:space="preserve">Cuando se pretenda la nulidad absoluta o relativa del contrato, el término para demandar será de dos (2) años que se empezarán a contar desde el día siguiente al de su perfeccionamiento. </w:t>
      </w:r>
      <w:r w:rsidRPr="00667405">
        <w:rPr>
          <w:rFonts w:ascii="Arial" w:hAnsi="Arial" w:cs="Arial"/>
          <w:b/>
          <w:i/>
          <w:sz w:val="20"/>
          <w:szCs w:val="20"/>
          <w:u w:val="single"/>
        </w:rPr>
        <w:t>En todo caso, podrá demandarse la nulidad absoluta del contrato mientras se encuentra vigente</w:t>
      </w:r>
      <w:r>
        <w:rPr>
          <w:rFonts w:ascii="Arial" w:hAnsi="Arial" w:cs="Arial"/>
          <w:i/>
          <w:sz w:val="20"/>
          <w:szCs w:val="20"/>
        </w:rPr>
        <w:t xml:space="preserve">” </w:t>
      </w:r>
      <w:r>
        <w:rPr>
          <w:rFonts w:ascii="Arial" w:hAnsi="Arial" w:cs="Arial"/>
          <w:sz w:val="20"/>
          <w:szCs w:val="20"/>
        </w:rPr>
        <w:t>(se destaca).</w:t>
      </w:r>
    </w:p>
  </w:footnote>
  <w:footnote w:id="3">
    <w:p w:rsidR="00463D83" w:rsidRPr="00463D83" w:rsidRDefault="00463D83" w:rsidP="00463D83">
      <w:pPr>
        <w:pStyle w:val="Textonotapie"/>
        <w:jc w:val="both"/>
        <w:rPr>
          <w:rFonts w:ascii="Arial" w:hAnsi="Arial" w:cs="Arial"/>
          <w:lang w:val="es-CO"/>
        </w:rPr>
      </w:pPr>
      <w:r w:rsidRPr="00463D83">
        <w:rPr>
          <w:rStyle w:val="Refdenotaalpie"/>
          <w:rFonts w:ascii="Arial" w:hAnsi="Arial" w:cs="Arial"/>
        </w:rPr>
        <w:footnoteRef/>
      </w:r>
      <w:r w:rsidRPr="00463D83">
        <w:rPr>
          <w:rFonts w:ascii="Arial" w:hAnsi="Arial" w:cs="Arial"/>
        </w:rPr>
        <w:t xml:space="preserve"> </w:t>
      </w:r>
      <w:r w:rsidRPr="00463D83">
        <w:rPr>
          <w:rFonts w:ascii="Arial" w:hAnsi="Arial" w:cs="Arial"/>
          <w:lang w:val="es-CO"/>
        </w:rPr>
        <w:t>Folios 238-243 del cuaderno de primera instancia.</w:t>
      </w:r>
    </w:p>
  </w:footnote>
  <w:footnote w:id="4">
    <w:p w:rsidR="007C54B6" w:rsidRPr="007C661C" w:rsidRDefault="007C54B6" w:rsidP="007C661C">
      <w:pPr>
        <w:pStyle w:val="Textonotapie"/>
        <w:jc w:val="both"/>
        <w:rPr>
          <w:rFonts w:ascii="Arial" w:hAnsi="Arial" w:cs="Arial"/>
        </w:rPr>
      </w:pPr>
      <w:r w:rsidRPr="00B07515">
        <w:rPr>
          <w:rStyle w:val="Refdenotaalpie"/>
          <w:rFonts w:ascii="Arial" w:hAnsi="Arial" w:cs="Arial"/>
        </w:rPr>
        <w:footnoteRef/>
      </w:r>
      <w:r w:rsidRPr="007C661C">
        <w:rPr>
          <w:rFonts w:ascii="Arial" w:hAnsi="Arial" w:cs="Arial"/>
        </w:rPr>
        <w:t xml:space="preserve"> </w:t>
      </w:r>
      <w:r w:rsidR="00A37D95">
        <w:rPr>
          <w:rFonts w:ascii="Arial" w:hAnsi="Arial" w:cs="Arial"/>
        </w:rPr>
        <w:t>L</w:t>
      </w:r>
      <w:r w:rsidR="00677459">
        <w:rPr>
          <w:rFonts w:ascii="Arial" w:hAnsi="Arial" w:cs="Arial"/>
        </w:rPr>
        <w:t xml:space="preserve">as decisiones apeladas son dos: i) </w:t>
      </w:r>
      <w:r w:rsidR="00A37D95">
        <w:rPr>
          <w:rFonts w:ascii="Arial" w:hAnsi="Arial" w:cs="Arial"/>
        </w:rPr>
        <w:t xml:space="preserve">la </w:t>
      </w:r>
      <w:r w:rsidR="00A37D95" w:rsidRPr="00A37D95">
        <w:rPr>
          <w:rFonts w:ascii="Arial" w:hAnsi="Arial" w:cs="Arial"/>
          <w:i/>
        </w:rPr>
        <w:t>primera</w:t>
      </w:r>
      <w:r w:rsidR="00A37D95">
        <w:rPr>
          <w:rFonts w:ascii="Arial" w:hAnsi="Arial" w:cs="Arial"/>
        </w:rPr>
        <w:t xml:space="preserve">, concerniente a la negativa de la excepción de inepta demanda, </w:t>
      </w:r>
      <w:r w:rsidR="0003161D">
        <w:rPr>
          <w:rFonts w:ascii="Arial" w:hAnsi="Arial" w:cs="Arial"/>
        </w:rPr>
        <w:t>fue adoptada por</w:t>
      </w:r>
      <w:r w:rsidR="00A37D95">
        <w:rPr>
          <w:rFonts w:ascii="Arial" w:hAnsi="Arial" w:cs="Arial"/>
        </w:rPr>
        <w:t xml:space="preserve"> el ponente en audiencia inicial celebrada el 26 de julio de 2016</w:t>
      </w:r>
      <w:r w:rsidR="00677459">
        <w:rPr>
          <w:rFonts w:ascii="Arial" w:hAnsi="Arial" w:cs="Arial"/>
        </w:rPr>
        <w:t xml:space="preserve"> y ii) la </w:t>
      </w:r>
      <w:r w:rsidR="00677459" w:rsidRPr="00677459">
        <w:rPr>
          <w:rFonts w:ascii="Arial" w:hAnsi="Arial" w:cs="Arial"/>
          <w:i/>
        </w:rPr>
        <w:t>segunda</w:t>
      </w:r>
      <w:r w:rsidR="00677459">
        <w:rPr>
          <w:rFonts w:ascii="Arial" w:hAnsi="Arial" w:cs="Arial"/>
        </w:rPr>
        <w:t xml:space="preserve">, relativa a la terminación del proceso por encontrarse probada la excepción de caducidad, </w:t>
      </w:r>
      <w:r w:rsidR="0003161D">
        <w:rPr>
          <w:rFonts w:ascii="Arial" w:hAnsi="Arial" w:cs="Arial"/>
        </w:rPr>
        <w:t>fue adoptada por</w:t>
      </w:r>
      <w:r w:rsidR="00677459">
        <w:rPr>
          <w:rFonts w:ascii="Arial" w:hAnsi="Arial" w:cs="Arial"/>
        </w:rPr>
        <w:t xml:space="preserve"> la Sala posteriormente -dos días después- y por escrito, previa explicación de que el Tribunal no tenía los medios tecnológicos ni tampoco las salas de audiencia </w:t>
      </w:r>
      <w:r w:rsidR="0003161D">
        <w:rPr>
          <w:rFonts w:ascii="Arial" w:hAnsi="Arial" w:cs="Arial"/>
        </w:rPr>
        <w:t xml:space="preserve">adecuadas </w:t>
      </w:r>
      <w:r w:rsidR="00677459">
        <w:rPr>
          <w:rFonts w:ascii="Arial" w:hAnsi="Arial" w:cs="Arial"/>
        </w:rPr>
        <w:t>para lograr la presencia d</w:t>
      </w:r>
      <w:r w:rsidR="003E2D00">
        <w:rPr>
          <w:rFonts w:ascii="Arial" w:hAnsi="Arial" w:cs="Arial"/>
        </w:rPr>
        <w:t>e todos los magistrados.</w:t>
      </w:r>
    </w:p>
  </w:footnote>
  <w:footnote w:id="5">
    <w:p w:rsidR="00F470E1" w:rsidRPr="008F273B" w:rsidRDefault="00F470E1" w:rsidP="00F470E1">
      <w:pPr>
        <w:pStyle w:val="Textonotapie"/>
        <w:jc w:val="both"/>
        <w:rPr>
          <w:rFonts w:ascii="Arial" w:hAnsi="Arial" w:cs="Arial"/>
          <w:lang w:val="es-CO"/>
        </w:rPr>
      </w:pPr>
      <w:r w:rsidRPr="008F273B">
        <w:rPr>
          <w:rStyle w:val="Refdenotaalpie"/>
          <w:rFonts w:ascii="Arial" w:hAnsi="Arial" w:cs="Arial"/>
        </w:rPr>
        <w:footnoteRef/>
      </w:r>
      <w:r w:rsidRPr="008F273B">
        <w:rPr>
          <w:rFonts w:ascii="Arial" w:hAnsi="Arial" w:cs="Arial"/>
        </w:rPr>
        <w:t xml:space="preserve"> </w:t>
      </w:r>
      <w:r w:rsidRPr="008F273B">
        <w:rPr>
          <w:rFonts w:ascii="Arial" w:hAnsi="Arial" w:cs="Arial"/>
          <w:lang w:val="es-CO"/>
        </w:rPr>
        <w:t>Folio 271 del cuaderno de primera instancia.</w:t>
      </w:r>
    </w:p>
  </w:footnote>
  <w:footnote w:id="6">
    <w:p w:rsidR="00F470E1" w:rsidRPr="00F470E1" w:rsidRDefault="00F470E1" w:rsidP="00F470E1">
      <w:pPr>
        <w:pStyle w:val="Textonotapie"/>
        <w:jc w:val="both"/>
        <w:rPr>
          <w:lang w:val="es-CO"/>
        </w:rPr>
      </w:pPr>
      <w:r w:rsidRPr="008F273B">
        <w:rPr>
          <w:rStyle w:val="Refdenotaalpie"/>
          <w:rFonts w:ascii="Arial" w:hAnsi="Arial" w:cs="Arial"/>
        </w:rPr>
        <w:footnoteRef/>
      </w:r>
      <w:r w:rsidRPr="008F273B">
        <w:rPr>
          <w:rFonts w:ascii="Arial" w:hAnsi="Arial" w:cs="Arial"/>
        </w:rPr>
        <w:t xml:space="preserve"> </w:t>
      </w:r>
      <w:r w:rsidR="008F273B" w:rsidRPr="008F273B">
        <w:rPr>
          <w:rFonts w:ascii="Arial" w:hAnsi="Arial" w:cs="Arial"/>
        </w:rPr>
        <w:t>Folios 43-48 del cuaderno del Consejo de Estado.</w:t>
      </w:r>
    </w:p>
  </w:footnote>
  <w:footnote w:id="7">
    <w:p w:rsidR="004F68EB" w:rsidRPr="004F68EB" w:rsidRDefault="004F68EB" w:rsidP="004F68EB">
      <w:pPr>
        <w:jc w:val="both"/>
        <w:rPr>
          <w:rFonts w:ascii="Arial" w:hAnsi="Arial" w:cs="Arial"/>
          <w:i/>
          <w:sz w:val="20"/>
          <w:szCs w:val="20"/>
          <w:lang w:val="es-MX"/>
        </w:rPr>
      </w:pPr>
      <w:r w:rsidRPr="004F68EB">
        <w:rPr>
          <w:rStyle w:val="Refdenotaalpie"/>
          <w:rFonts w:ascii="Arial" w:hAnsi="Arial" w:cs="Arial"/>
          <w:sz w:val="20"/>
          <w:szCs w:val="20"/>
        </w:rPr>
        <w:footnoteRef/>
      </w:r>
      <w:r w:rsidRPr="004F68EB">
        <w:rPr>
          <w:rFonts w:ascii="Arial" w:hAnsi="Arial" w:cs="Arial"/>
          <w:sz w:val="20"/>
          <w:szCs w:val="20"/>
        </w:rPr>
        <w:t xml:space="preserve"> El artículo 38 de la Ley 153 de 1887 dispone: “</w:t>
      </w:r>
      <w:r w:rsidRPr="004F68EB">
        <w:rPr>
          <w:rFonts w:ascii="Arial" w:hAnsi="Arial" w:cs="Arial"/>
          <w:bCs/>
          <w:i/>
          <w:color w:val="000000"/>
          <w:sz w:val="20"/>
          <w:szCs w:val="20"/>
          <w:shd w:val="clear" w:color="auto" w:fill="FFFFFF"/>
        </w:rPr>
        <w:t>ARTÍCULO 38</w:t>
      </w:r>
      <w:r w:rsidRPr="004F68EB">
        <w:rPr>
          <w:rFonts w:ascii="Arial" w:hAnsi="Arial" w:cs="Arial"/>
          <w:i/>
          <w:color w:val="000000"/>
          <w:sz w:val="20"/>
          <w:szCs w:val="20"/>
          <w:shd w:val="clear" w:color="auto" w:fill="FFFFFF"/>
        </w:rPr>
        <w:t>. En todo contrato se entenderán incorporadas las leyes vigentes al tiempo de su celebración”.</w:t>
      </w:r>
    </w:p>
  </w:footnote>
  <w:footnote w:id="8">
    <w:p w:rsidR="00881392" w:rsidRPr="00371619" w:rsidRDefault="00881392" w:rsidP="00371619">
      <w:pPr>
        <w:jc w:val="both"/>
        <w:rPr>
          <w:rFonts w:ascii="Arial" w:hAnsi="Arial" w:cs="Arial"/>
          <w:i/>
          <w:sz w:val="20"/>
          <w:szCs w:val="20"/>
        </w:rPr>
      </w:pPr>
      <w:r w:rsidRPr="00970385">
        <w:rPr>
          <w:rStyle w:val="Refdenotaalpie"/>
          <w:rFonts w:ascii="Arial" w:hAnsi="Arial" w:cs="Arial"/>
          <w:sz w:val="20"/>
          <w:szCs w:val="20"/>
        </w:rPr>
        <w:footnoteRef/>
      </w:r>
      <w:r w:rsidRPr="00970385">
        <w:rPr>
          <w:rFonts w:ascii="Arial" w:hAnsi="Arial" w:cs="Arial"/>
          <w:sz w:val="20"/>
          <w:szCs w:val="20"/>
        </w:rPr>
        <w:t xml:space="preserve"> La jurisprudencia de esta Corporación, en cuanto a este preciso punto, ha señalado: </w:t>
      </w:r>
      <w:r w:rsidR="00970385" w:rsidRPr="00970385">
        <w:rPr>
          <w:rFonts w:ascii="Arial" w:hAnsi="Arial" w:cs="Arial"/>
          <w:i/>
          <w:sz w:val="20"/>
          <w:szCs w:val="20"/>
          <w:lang w:val="es-ES_tradnl" w:eastAsia="ar-SA"/>
        </w:rPr>
        <w:t>“Según lo planteado, comoquiera que para el momento en que fue adoptada la Ley 1437 de 2011, ya había iniciado a correr el término de caducidad, toda vez que el contrato n.º 175 y la resolución 1567 fueron proferidos antes de esa fecha -7 de junio de 2011 y 4 de mayo de 2011-, entonces es preciso que dicho término continúe rigiéndose por lo señalado en el Código Contencioso Administrativo -Decreto 01 de 1984, sin perjuicio de que en los demás asuntos procesales le sea dispuesto lo establecido en el Código Contencioso de Procedimiento Administrativo y de lo Contencioso Administrativo”</w:t>
      </w:r>
      <w:r w:rsidR="00970385">
        <w:rPr>
          <w:rFonts w:ascii="Arial" w:hAnsi="Arial" w:cs="Arial"/>
          <w:sz w:val="20"/>
          <w:szCs w:val="20"/>
          <w:lang w:val="es-ES_tradnl" w:eastAsia="ar-SA"/>
        </w:rPr>
        <w:t xml:space="preserve"> </w:t>
      </w:r>
      <w:r w:rsidR="00970385" w:rsidRPr="00955CE8">
        <w:rPr>
          <w:rFonts w:ascii="Arial" w:hAnsi="Arial" w:cs="Arial"/>
          <w:sz w:val="20"/>
          <w:szCs w:val="20"/>
          <w:lang w:val="es-ES_tradnl" w:eastAsia="ar-SA"/>
        </w:rPr>
        <w:t xml:space="preserve">(Consejo de Estado, Sala de lo Contencioso Administrativo, Sección </w:t>
      </w:r>
      <w:r w:rsidR="00F129A3" w:rsidRPr="00955CE8">
        <w:rPr>
          <w:rFonts w:ascii="Arial" w:hAnsi="Arial" w:cs="Arial"/>
          <w:sz w:val="20"/>
          <w:szCs w:val="20"/>
          <w:lang w:val="es-ES_tradnl" w:eastAsia="ar-SA"/>
        </w:rPr>
        <w:t xml:space="preserve">Tercera, </w:t>
      </w:r>
      <w:r w:rsidR="007D7709" w:rsidRPr="00955CE8">
        <w:rPr>
          <w:rFonts w:ascii="Arial" w:hAnsi="Arial" w:cs="Arial"/>
          <w:sz w:val="20"/>
          <w:szCs w:val="20"/>
        </w:rPr>
        <w:t>Subsección B, a</w:t>
      </w:r>
      <w:r w:rsidR="00F129A3" w:rsidRPr="00955CE8">
        <w:rPr>
          <w:rFonts w:ascii="Arial" w:hAnsi="Arial" w:cs="Arial"/>
          <w:sz w:val="20"/>
          <w:szCs w:val="20"/>
        </w:rPr>
        <w:t>uto de fecha 5 de marzo de 2015, M.P. Danilo Rojas Betancourth, exp: 49.307)</w:t>
      </w:r>
      <w:r w:rsidR="00970385" w:rsidRPr="00955CE8">
        <w:rPr>
          <w:rFonts w:ascii="Arial" w:hAnsi="Arial" w:cs="Arial"/>
          <w:i/>
          <w:sz w:val="20"/>
          <w:szCs w:val="20"/>
          <w:lang w:val="es-ES_tradnl" w:eastAsia="ar-SA"/>
        </w:rPr>
        <w:t>.</w:t>
      </w:r>
    </w:p>
  </w:footnote>
  <w:footnote w:id="9">
    <w:p w:rsidR="002959D7" w:rsidRPr="002959D7" w:rsidRDefault="002959D7" w:rsidP="002959D7">
      <w:pPr>
        <w:pStyle w:val="Textonotapie"/>
        <w:jc w:val="both"/>
        <w:rPr>
          <w:rFonts w:ascii="Arial" w:hAnsi="Arial" w:cs="Arial"/>
          <w:lang w:val="es-CO"/>
        </w:rPr>
      </w:pPr>
      <w:r w:rsidRPr="002959D7">
        <w:rPr>
          <w:rStyle w:val="Refdenotaalpie"/>
          <w:rFonts w:ascii="Arial" w:hAnsi="Arial" w:cs="Arial"/>
        </w:rPr>
        <w:footnoteRef/>
      </w:r>
      <w:r w:rsidRPr="002959D7">
        <w:rPr>
          <w:rFonts w:ascii="Arial" w:hAnsi="Arial" w:cs="Arial"/>
        </w:rPr>
        <w:t xml:space="preserve"> </w:t>
      </w:r>
      <w:r w:rsidRPr="002959D7">
        <w:rPr>
          <w:rFonts w:ascii="Arial" w:hAnsi="Arial" w:cs="Arial"/>
          <w:i/>
          <w:lang w:val="es-CO"/>
        </w:rPr>
        <w:t>“Artículo 51. DEL PERFECCIONAMIENTO DE LOS CONTRATOS. Salvo disposición en contrario, los contratos a los cuales se refiere este estatuto se entienden perfeccionados con la ejecutoria de la providencia del Consejo de Estado que los declare ajustados a la ley</w:t>
      </w:r>
      <w:r w:rsidR="00392C5F">
        <w:rPr>
          <w:rFonts w:ascii="Arial" w:hAnsi="Arial" w:cs="Arial"/>
          <w:i/>
          <w:lang w:val="es-CO"/>
        </w:rPr>
        <w:t>; si no requiere</w:t>
      </w:r>
      <w:r w:rsidRPr="002959D7">
        <w:rPr>
          <w:rFonts w:ascii="Arial" w:hAnsi="Arial" w:cs="Arial"/>
          <w:i/>
          <w:lang w:val="es-CO"/>
        </w:rPr>
        <w:t xml:space="preserve"> revisión del Consejo de Estado, con la </w:t>
      </w:r>
      <w:r w:rsidR="00392C5F">
        <w:rPr>
          <w:rFonts w:ascii="Arial" w:hAnsi="Arial" w:cs="Arial"/>
          <w:i/>
          <w:lang w:val="es-CO"/>
        </w:rPr>
        <w:t>a</w:t>
      </w:r>
      <w:r w:rsidRPr="002959D7">
        <w:rPr>
          <w:rFonts w:ascii="Arial" w:hAnsi="Arial" w:cs="Arial"/>
          <w:i/>
          <w:lang w:val="es-CO"/>
        </w:rPr>
        <w:t>probaci</w:t>
      </w:r>
      <w:r w:rsidR="00392C5F">
        <w:rPr>
          <w:rFonts w:ascii="Arial" w:hAnsi="Arial" w:cs="Arial"/>
          <w:i/>
          <w:lang w:val="es-CO"/>
        </w:rPr>
        <w:t>ón de las f</w:t>
      </w:r>
      <w:r w:rsidRPr="002959D7">
        <w:rPr>
          <w:rFonts w:ascii="Arial" w:hAnsi="Arial" w:cs="Arial"/>
          <w:i/>
          <w:lang w:val="es-CO"/>
        </w:rPr>
        <w:t>ianzas de que trata el inciso primero del art</w:t>
      </w:r>
      <w:r w:rsidR="00392C5F">
        <w:rPr>
          <w:rFonts w:ascii="Arial" w:hAnsi="Arial" w:cs="Arial"/>
          <w:i/>
          <w:lang w:val="es-CO"/>
        </w:rPr>
        <w:t>ículo 48; y si no requiere</w:t>
      </w:r>
      <w:r w:rsidRPr="002959D7">
        <w:rPr>
          <w:rFonts w:ascii="Arial" w:hAnsi="Arial" w:cs="Arial"/>
          <w:i/>
          <w:lang w:val="es-CO"/>
        </w:rPr>
        <w:t xml:space="preserve"> constitución de fianzas, con el corre</w:t>
      </w:r>
      <w:r w:rsidR="00392C5F">
        <w:rPr>
          <w:rFonts w:ascii="Arial" w:hAnsi="Arial" w:cs="Arial"/>
          <w:i/>
          <w:lang w:val="es-CO"/>
        </w:rPr>
        <w:t>spondiente registro presupuestal</w:t>
      </w:r>
      <w:r w:rsidRPr="002959D7">
        <w:rPr>
          <w:rFonts w:ascii="Arial" w:hAnsi="Arial" w:cs="Arial"/>
          <w:i/>
          <w:lang w:val="es-CO"/>
        </w:rPr>
        <w:t>, si hay lugar, o una vez suscritos”.</w:t>
      </w:r>
    </w:p>
  </w:footnote>
  <w:footnote w:id="10">
    <w:p w:rsidR="002959D7" w:rsidRPr="002959D7" w:rsidRDefault="002959D7" w:rsidP="002959D7">
      <w:pPr>
        <w:pStyle w:val="Textonotapie"/>
        <w:jc w:val="both"/>
        <w:rPr>
          <w:rFonts w:ascii="Arial" w:hAnsi="Arial" w:cs="Arial"/>
          <w:lang w:val="es-CO"/>
        </w:rPr>
      </w:pPr>
      <w:r w:rsidRPr="002959D7">
        <w:rPr>
          <w:rStyle w:val="Refdenotaalpie"/>
          <w:rFonts w:ascii="Arial" w:hAnsi="Arial" w:cs="Arial"/>
        </w:rPr>
        <w:footnoteRef/>
      </w:r>
      <w:r w:rsidRPr="002959D7">
        <w:rPr>
          <w:rFonts w:ascii="Arial" w:hAnsi="Arial" w:cs="Arial"/>
        </w:rPr>
        <w:t xml:space="preserve"> </w:t>
      </w:r>
      <w:r w:rsidRPr="002959D7">
        <w:rPr>
          <w:rFonts w:ascii="Arial" w:hAnsi="Arial" w:cs="Arial"/>
          <w:i/>
          <w:lang w:val="es-CO"/>
        </w:rPr>
        <w:t>“Artículo 175. DE LA DONACIÓN DE BIENES INMUEBLES. La donación de inmuebles exige, como requisitos únicos para su perfeccionamiento, la escritura públi</w:t>
      </w:r>
      <w:r w:rsidR="00392C5F">
        <w:rPr>
          <w:rFonts w:ascii="Arial" w:hAnsi="Arial" w:cs="Arial"/>
          <w:i/>
          <w:lang w:val="es-CO"/>
        </w:rPr>
        <w:t>ca y el registro correspondient</w:t>
      </w:r>
      <w:r w:rsidRPr="002959D7">
        <w:rPr>
          <w:rFonts w:ascii="Arial" w:hAnsi="Arial" w:cs="Arial"/>
          <w:i/>
          <w:lang w:val="es-CO"/>
        </w:rPr>
        <w:t>e. En dicha escritura no será forzosa la inclusión de las cláusulas obligatorias ordenadas en este Estatuto”.</w:t>
      </w:r>
    </w:p>
  </w:footnote>
  <w:footnote w:id="11">
    <w:p w:rsidR="00524392" w:rsidRPr="00484379" w:rsidRDefault="00524392" w:rsidP="002D2569">
      <w:pPr>
        <w:pStyle w:val="Prrafodelista"/>
        <w:ind w:left="0"/>
        <w:jc w:val="both"/>
        <w:rPr>
          <w:rFonts w:ascii="Arial" w:hAnsi="Arial" w:cs="Arial"/>
          <w:sz w:val="20"/>
          <w:szCs w:val="20"/>
          <w:lang w:val="es-MX"/>
        </w:rPr>
      </w:pPr>
      <w:r w:rsidRPr="00484379">
        <w:rPr>
          <w:rStyle w:val="Refdenotaalpie"/>
          <w:rFonts w:ascii="Arial" w:hAnsi="Arial" w:cs="Arial"/>
          <w:sz w:val="20"/>
          <w:szCs w:val="20"/>
        </w:rPr>
        <w:footnoteRef/>
      </w:r>
      <w:r w:rsidRPr="00484379">
        <w:rPr>
          <w:rFonts w:ascii="Arial" w:hAnsi="Arial" w:cs="Arial"/>
          <w:sz w:val="20"/>
          <w:szCs w:val="20"/>
        </w:rPr>
        <w:t xml:space="preserve"> </w:t>
      </w:r>
      <w:r w:rsidRPr="00484379">
        <w:rPr>
          <w:rFonts w:ascii="Arial" w:hAnsi="Arial" w:cs="Arial"/>
          <w:sz w:val="20"/>
          <w:szCs w:val="20"/>
          <w:lang w:val="es-MX"/>
        </w:rPr>
        <w:t>“</w:t>
      </w:r>
      <w:r w:rsidRPr="00484379">
        <w:rPr>
          <w:rFonts w:ascii="Arial" w:hAnsi="Arial" w:cs="Arial"/>
          <w:i/>
          <w:sz w:val="20"/>
          <w:szCs w:val="20"/>
          <w:lang w:val="es-MX"/>
        </w:rPr>
        <w:t>Artículo 136 del Decreto 01 de 1984 (texto original, sin las modificaciones introducidas). CADUCIDAD DE LAS ACCIONES (…) Las relativas a contratos caducarán a los dos (2) años de expedidos los actos u ocurridos los hechos que den lugar a ella</w:t>
      </w:r>
      <w:r w:rsidRPr="00484379">
        <w:rPr>
          <w:rFonts w:ascii="Arial" w:hAnsi="Arial" w:cs="Arial"/>
          <w:sz w:val="20"/>
          <w:szCs w:val="20"/>
          <w:lang w:val="es-MX"/>
        </w:rPr>
        <w:t>”.</w:t>
      </w:r>
    </w:p>
  </w:footnote>
  <w:footnote w:id="12">
    <w:p w:rsidR="005C4A11" w:rsidRPr="005C4A11" w:rsidRDefault="005C4A11" w:rsidP="005C4A11">
      <w:pPr>
        <w:pStyle w:val="Textonotapie"/>
        <w:jc w:val="both"/>
        <w:rPr>
          <w:rFonts w:ascii="Arial" w:hAnsi="Arial" w:cs="Arial"/>
        </w:rPr>
      </w:pPr>
      <w:r w:rsidRPr="005C4A11">
        <w:rPr>
          <w:rStyle w:val="Refdenotaalpie"/>
          <w:rFonts w:ascii="Arial" w:hAnsi="Arial" w:cs="Arial"/>
        </w:rPr>
        <w:footnoteRef/>
      </w:r>
      <w:r w:rsidRPr="005C4A11">
        <w:rPr>
          <w:rFonts w:ascii="Arial" w:hAnsi="Arial" w:cs="Arial"/>
        </w:rPr>
        <w:t xml:space="preserve"> Sobre este punto, la doctrina autorizada ha señalad</w:t>
      </w:r>
      <w:r>
        <w:rPr>
          <w:rFonts w:ascii="Arial" w:hAnsi="Arial" w:cs="Arial"/>
        </w:rPr>
        <w:t>o: “</w:t>
      </w:r>
      <w:r w:rsidRPr="005C4A11">
        <w:rPr>
          <w:rFonts w:ascii="Arial" w:hAnsi="Arial" w:cs="Arial"/>
          <w:i/>
        </w:rPr>
        <w:t xml:space="preserve">(…) toda condición tiene carácter adventicio y accidental, en el sentido de que no es nunca necesaria para la validez de un contrato, del que no representa en modo alguno uno de sus elementos constitutivos y del que podría separarse sin daño jurídico (…) parece que, precisamente, por razón de su carácter accesorio y adventicio, la condición, a diferencia de la causa, nunca es susceptible de viciar el contrato en que se inserta, y al que se adjunta (…)” </w:t>
      </w:r>
      <w:r>
        <w:rPr>
          <w:rFonts w:ascii="Arial" w:hAnsi="Arial" w:cs="Arial"/>
        </w:rPr>
        <w:t xml:space="preserve">(Josserand, Louis. Derecho Civil. Obligaciones y Contratos. Tomo I. Ediciones Jurídicas Europea - América. Buenos Aires. 1984. </w:t>
      </w:r>
      <w:r w:rsidR="00AA62C4">
        <w:rPr>
          <w:rFonts w:ascii="Arial" w:hAnsi="Arial" w:cs="Arial"/>
        </w:rPr>
        <w:t>Pág.</w:t>
      </w:r>
      <w:r>
        <w:rPr>
          <w:rFonts w:ascii="Arial" w:hAnsi="Arial" w:cs="Arial"/>
        </w:rPr>
        <w:t xml:space="preserve"> 502).</w:t>
      </w:r>
    </w:p>
  </w:footnote>
  <w:footnote w:id="13">
    <w:p w:rsidR="00231256" w:rsidRPr="00051C30" w:rsidRDefault="00231256" w:rsidP="00051C30">
      <w:pPr>
        <w:jc w:val="both"/>
        <w:rPr>
          <w:rFonts w:ascii="Arial" w:eastAsia="Calibri" w:hAnsi="Arial" w:cs="Arial"/>
          <w:i/>
          <w:color w:val="000000"/>
          <w:sz w:val="20"/>
          <w:szCs w:val="20"/>
          <w:shd w:val="clear" w:color="auto" w:fill="FFFFFF"/>
          <w:lang w:val="es-CO" w:eastAsia="en-US"/>
        </w:rPr>
      </w:pPr>
      <w:r w:rsidRPr="00A60CB8">
        <w:rPr>
          <w:rStyle w:val="Refdenotaalpie"/>
          <w:rFonts w:ascii="Arial" w:hAnsi="Arial" w:cs="Arial"/>
          <w:sz w:val="20"/>
          <w:szCs w:val="20"/>
        </w:rPr>
        <w:footnoteRef/>
      </w:r>
      <w:r w:rsidRPr="00A60CB8">
        <w:rPr>
          <w:rFonts w:ascii="Arial" w:hAnsi="Arial" w:cs="Arial"/>
          <w:sz w:val="20"/>
          <w:szCs w:val="20"/>
        </w:rPr>
        <w:t xml:space="preserve"> </w:t>
      </w:r>
      <w:r>
        <w:rPr>
          <w:rFonts w:ascii="Arial" w:hAnsi="Arial" w:cs="Arial"/>
          <w:sz w:val="20"/>
          <w:szCs w:val="20"/>
        </w:rPr>
        <w:t>“</w:t>
      </w:r>
      <w:r w:rsidRPr="00A60CB8">
        <w:rPr>
          <w:rFonts w:ascii="Arial" w:eastAsia="Calibri" w:hAnsi="Arial" w:cs="Arial"/>
          <w:i/>
          <w:color w:val="000000"/>
          <w:sz w:val="20"/>
          <w:szCs w:val="20"/>
          <w:shd w:val="clear" w:color="auto" w:fill="FFFFFF"/>
          <w:lang w:val="es-CO" w:eastAsia="en-US"/>
        </w:rPr>
        <w:t xml:space="preserve">10. En las relativas a contratos, el término de caducidad será de dos (2) años que se contará a partir del día siguiente a la ocurrencia de los motivos de hecho o de derecho que les sirvan de fundamento (…) </w:t>
      </w:r>
      <w:r w:rsidRPr="00A60CB8">
        <w:rPr>
          <w:rFonts w:ascii="Arial" w:hAnsi="Arial" w:cs="Arial"/>
          <w:b/>
          <w:bCs/>
          <w:i/>
          <w:color w:val="000000"/>
          <w:sz w:val="20"/>
          <w:szCs w:val="20"/>
        </w:rPr>
        <w:t>Parágrafo 1°. </w:t>
      </w:r>
      <w:r w:rsidRPr="00A60CB8">
        <w:rPr>
          <w:rFonts w:ascii="Arial" w:hAnsi="Arial" w:cs="Arial"/>
          <w:b/>
          <w:i/>
          <w:color w:val="000000"/>
          <w:sz w:val="20"/>
          <w:szCs w:val="20"/>
          <w:u w:val="single"/>
        </w:rPr>
        <w:t>Cuando el objeto del litigio lo constituyan bienes estatales imprescriptibles e inenajenables la acción no caducará</w:t>
      </w:r>
      <w:r>
        <w:rPr>
          <w:rFonts w:ascii="Arial" w:hAnsi="Arial" w:cs="Arial"/>
          <w:i/>
          <w:color w:val="000000"/>
          <w:sz w:val="20"/>
          <w:szCs w:val="20"/>
        </w:rPr>
        <w:t xml:space="preserve">” </w:t>
      </w:r>
      <w:r>
        <w:rPr>
          <w:rFonts w:ascii="Arial" w:hAnsi="Arial" w:cs="Arial"/>
          <w:color w:val="000000"/>
          <w:sz w:val="20"/>
          <w:szCs w:val="20"/>
        </w:rPr>
        <w:t>(se destaca)</w:t>
      </w:r>
      <w:r w:rsidRPr="00A60CB8">
        <w:rPr>
          <w:rFonts w:ascii="Arial" w:hAnsi="Arial" w:cs="Arial"/>
          <w:i/>
          <w:color w:val="000000"/>
          <w:sz w:val="20"/>
          <w:szCs w:val="20"/>
        </w:rPr>
        <w:t>.</w:t>
      </w:r>
    </w:p>
  </w:footnote>
  <w:footnote w:id="14">
    <w:p w:rsidR="009867C9" w:rsidRPr="00F56679" w:rsidRDefault="009867C9" w:rsidP="00F56679">
      <w:pPr>
        <w:overflowPunct w:val="0"/>
        <w:autoSpaceDE w:val="0"/>
        <w:autoSpaceDN w:val="0"/>
        <w:adjustRightInd w:val="0"/>
        <w:jc w:val="both"/>
        <w:textAlignment w:val="baseline"/>
        <w:rPr>
          <w:rFonts w:ascii="Arial" w:hAnsi="Arial" w:cs="Arial"/>
          <w:i/>
          <w:sz w:val="20"/>
          <w:szCs w:val="20"/>
          <w:lang w:val="es-ES_tradnl"/>
        </w:rPr>
      </w:pPr>
      <w:r w:rsidRPr="00F56679">
        <w:rPr>
          <w:rStyle w:val="Refdenotaalpie"/>
          <w:rFonts w:ascii="Arial" w:hAnsi="Arial" w:cs="Arial"/>
          <w:sz w:val="20"/>
          <w:szCs w:val="20"/>
        </w:rPr>
        <w:footnoteRef/>
      </w:r>
      <w:r w:rsidRPr="00F56679">
        <w:rPr>
          <w:rFonts w:ascii="Arial" w:hAnsi="Arial" w:cs="Arial"/>
          <w:sz w:val="20"/>
          <w:szCs w:val="20"/>
        </w:rPr>
        <w:t xml:space="preserve"> </w:t>
      </w:r>
      <w:r w:rsidRPr="00F56679">
        <w:rPr>
          <w:rFonts w:ascii="Arial" w:hAnsi="Arial" w:cs="Arial"/>
          <w:i/>
          <w:sz w:val="20"/>
          <w:szCs w:val="20"/>
          <w:lang w:val="es-ES_tradnl"/>
        </w:rPr>
        <w:t xml:space="preserve">“(…) </w:t>
      </w:r>
      <w:r w:rsidRPr="009867C9">
        <w:rPr>
          <w:rFonts w:ascii="Arial" w:hAnsi="Arial" w:cs="Arial"/>
          <w:i/>
          <w:sz w:val="20"/>
          <w:szCs w:val="20"/>
          <w:lang w:val="es-ES_tradnl"/>
        </w:rPr>
        <w:t>en el presente asunto no opera ningún término de caducidad en razón de la materia litigiosa, toda vez que el actor funda su demanda en el hecho de que el bien, objeto de un contrato de arrendamiento, es de uso público, y por ende amparado por la característica constitucional de la imprescriptibilidad, según lo dispone el art. 63 Superior</w:t>
      </w:r>
      <w:r w:rsidRPr="00F56679">
        <w:rPr>
          <w:rFonts w:ascii="Arial" w:hAnsi="Arial" w:cs="Arial"/>
          <w:i/>
          <w:sz w:val="20"/>
          <w:szCs w:val="20"/>
          <w:lang w:val="es-ES_tradnl"/>
        </w:rPr>
        <w:t xml:space="preserve">” </w:t>
      </w:r>
      <w:r w:rsidRPr="00F56679">
        <w:rPr>
          <w:rFonts w:ascii="Arial" w:hAnsi="Arial" w:cs="Arial"/>
          <w:sz w:val="20"/>
          <w:szCs w:val="20"/>
          <w:lang w:val="es-ES_tradnl"/>
        </w:rPr>
        <w:t>(Consejo de Estado, Sala de lo Contencioso Administrativo, Sección Tercera, sentencia del 16 de febrero de 2001, C.P.</w:t>
      </w:r>
      <w:r w:rsidRPr="00F56679">
        <w:rPr>
          <w:rFonts w:ascii="Arial" w:hAnsi="Arial" w:cs="Arial"/>
          <w:i/>
          <w:sz w:val="20"/>
          <w:szCs w:val="20"/>
          <w:lang w:val="es-ES_tradnl"/>
        </w:rPr>
        <w:t xml:space="preserve"> </w:t>
      </w:r>
      <w:r w:rsidRPr="00F56679">
        <w:rPr>
          <w:rFonts w:ascii="Arial" w:hAnsi="Arial" w:cs="Arial"/>
          <w:sz w:val="20"/>
          <w:szCs w:val="20"/>
          <w:lang w:val="es-ES_tradnl"/>
        </w:rPr>
        <w:t xml:space="preserve">Alier </w:t>
      </w:r>
      <w:r w:rsidR="00292525" w:rsidRPr="00F56679">
        <w:rPr>
          <w:rFonts w:ascii="Arial" w:hAnsi="Arial" w:cs="Arial"/>
          <w:sz w:val="20"/>
          <w:szCs w:val="20"/>
          <w:lang w:val="es-ES_tradnl"/>
        </w:rPr>
        <w:t>Eduardo Hernández Enríquez, expediente: 16.596).</w:t>
      </w:r>
      <w:r w:rsidRPr="009867C9">
        <w:rPr>
          <w:rFonts w:ascii="Arial" w:hAnsi="Arial" w:cs="Arial"/>
          <w:i/>
          <w:sz w:val="20"/>
          <w:szCs w:val="20"/>
          <w:lang w:val="es-ES_tradnl"/>
        </w:rPr>
        <w:t xml:space="preserve"> </w:t>
      </w:r>
    </w:p>
  </w:footnote>
  <w:footnote w:id="15">
    <w:p w:rsidR="00F56679" w:rsidRPr="00F56679" w:rsidRDefault="00F56679" w:rsidP="00F56679">
      <w:pPr>
        <w:pStyle w:val="Textonotapie"/>
        <w:jc w:val="both"/>
        <w:rPr>
          <w:lang w:val="es-CO"/>
        </w:rPr>
      </w:pPr>
      <w:r w:rsidRPr="00F56679">
        <w:rPr>
          <w:rStyle w:val="Refdenotaalpie"/>
          <w:rFonts w:ascii="Arial" w:hAnsi="Arial" w:cs="Arial"/>
        </w:rPr>
        <w:footnoteRef/>
      </w:r>
      <w:r w:rsidRPr="00F56679">
        <w:rPr>
          <w:rFonts w:ascii="Arial" w:hAnsi="Arial" w:cs="Arial"/>
        </w:rPr>
        <w:t xml:space="preserve"> En la cláusula primera del contrato de donación, contenido en la escritura pública No. 3.768 en la Notaría 1ª del Circuito de Barranquilla</w:t>
      </w:r>
      <w:r>
        <w:rPr>
          <w:rFonts w:ascii="Arial" w:hAnsi="Arial" w:cs="Arial"/>
        </w:rPr>
        <w:t>, se consignó: “</w:t>
      </w:r>
      <w:r w:rsidRPr="008D4AEE">
        <w:rPr>
          <w:rFonts w:ascii="Arial" w:hAnsi="Arial" w:cs="Arial"/>
          <w:i/>
        </w:rPr>
        <w:t>PRIMERO: Que debidamente autorizados por la Junta Directiva de la Beneficencia</w:t>
      </w:r>
      <w:r w:rsidR="008D4AEE" w:rsidRPr="008D4AEE">
        <w:rPr>
          <w:rFonts w:ascii="Arial" w:hAnsi="Arial" w:cs="Arial"/>
          <w:i/>
        </w:rPr>
        <w:t xml:space="preserve"> del Atlántico</w:t>
      </w:r>
      <w:r w:rsidR="005F544F">
        <w:rPr>
          <w:rFonts w:ascii="Arial" w:hAnsi="Arial" w:cs="Arial"/>
          <w:i/>
        </w:rPr>
        <w:t xml:space="preserve"> [entidad de naturaleza pública]</w:t>
      </w:r>
      <w:r w:rsidR="008D4AEE" w:rsidRPr="008D4AEE">
        <w:rPr>
          <w:rFonts w:ascii="Arial" w:hAnsi="Arial" w:cs="Arial"/>
          <w:i/>
        </w:rPr>
        <w:t xml:space="preserve"> (…) que es entregada para que se agregue al protocolo, transfieren a título de donación a la CORPORACIÓN UNIVERSIDAD LIBRE, entidad educativa sin ánimo de lucro, con domicilio principal en la ciudad de Bogotá, con seccional autorizada en esta ciudad el siguiente bien inmueble: ‘un lote de terreno situado en esta ciudad (…) lote que tiene una cabida superficiaria de cinco mil metros cuadrados (…)</w:t>
      </w:r>
      <w:r w:rsidR="008D4AEE">
        <w:rPr>
          <w:rFonts w:ascii="Arial" w:hAnsi="Arial" w:cs="Arial"/>
        </w:rPr>
        <w:t>”</w:t>
      </w:r>
      <w:r w:rsidR="000819E0">
        <w:rPr>
          <w:rFonts w:ascii="Arial" w:hAnsi="Arial" w:cs="Arial"/>
        </w:rPr>
        <w:t>.</w:t>
      </w:r>
    </w:p>
  </w:footnote>
  <w:footnote w:id="16">
    <w:p w:rsidR="00B307FD" w:rsidRPr="000D24EF" w:rsidRDefault="00B307FD" w:rsidP="000D24EF">
      <w:pPr>
        <w:jc w:val="both"/>
        <w:rPr>
          <w:rFonts w:ascii="Arial" w:eastAsia="Calibri" w:hAnsi="Arial" w:cs="Arial"/>
          <w:i/>
          <w:sz w:val="20"/>
          <w:szCs w:val="20"/>
          <w:lang w:eastAsia="en-US"/>
        </w:rPr>
      </w:pPr>
      <w:r w:rsidRPr="001E15E3">
        <w:rPr>
          <w:rStyle w:val="Refdenotaalpie"/>
          <w:rFonts w:ascii="Arial" w:hAnsi="Arial" w:cs="Arial"/>
          <w:sz w:val="20"/>
          <w:szCs w:val="20"/>
        </w:rPr>
        <w:footnoteRef/>
      </w:r>
      <w:r w:rsidRPr="001E15E3">
        <w:rPr>
          <w:rFonts w:ascii="Arial" w:hAnsi="Arial" w:cs="Arial"/>
          <w:sz w:val="20"/>
          <w:szCs w:val="20"/>
        </w:rPr>
        <w:t xml:space="preserve"> </w:t>
      </w:r>
      <w:r w:rsidR="00EE36C9" w:rsidRPr="00EE36C9">
        <w:rPr>
          <w:rFonts w:ascii="Arial" w:eastAsia="Calibri" w:hAnsi="Arial" w:cs="Arial"/>
          <w:i/>
          <w:sz w:val="20"/>
          <w:szCs w:val="20"/>
          <w:lang w:eastAsia="en-US"/>
        </w:rPr>
        <w:t>“En el derecho nacional, el sistema de los bienes públicos se encuentra marcado por la distinción que al respecto realizó el codificador civil en el artículo 674, por cuya virtud los patrimonios públicos se dividen en bienes de uso público –aque</w:t>
      </w:r>
      <w:r w:rsidR="00CF72CE">
        <w:rPr>
          <w:rFonts w:ascii="Arial" w:eastAsia="Calibri" w:hAnsi="Arial" w:cs="Arial"/>
          <w:i/>
          <w:sz w:val="20"/>
          <w:szCs w:val="20"/>
          <w:lang w:eastAsia="en-US"/>
        </w:rPr>
        <w:t>llos de propiedad pública cuyo ‘</w:t>
      </w:r>
      <w:r w:rsidR="00EE36C9" w:rsidRPr="00EE36C9">
        <w:rPr>
          <w:rFonts w:ascii="Arial" w:eastAsia="Calibri" w:hAnsi="Arial" w:cs="Arial"/>
          <w:i/>
          <w:sz w:val="20"/>
          <w:szCs w:val="20"/>
          <w:lang w:eastAsia="en-US"/>
        </w:rPr>
        <w:t>uso pertenece generalmente a todos los habitantes”- y bienes fiscales –categoría de naturaleza residual, pues si el bien no cumple las características para ser clasificado como de uso públi</w:t>
      </w:r>
      <w:r w:rsidR="00CF72CE">
        <w:rPr>
          <w:rFonts w:ascii="Arial" w:eastAsia="Calibri" w:hAnsi="Arial" w:cs="Arial"/>
          <w:i/>
          <w:sz w:val="20"/>
          <w:szCs w:val="20"/>
          <w:lang w:eastAsia="en-US"/>
        </w:rPr>
        <w:t>co será, necesariamente, fiscal’”</w:t>
      </w:r>
      <w:r w:rsidR="00EE36C9">
        <w:rPr>
          <w:rFonts w:ascii="Arial" w:eastAsia="Calibri" w:hAnsi="Arial" w:cs="Arial"/>
          <w:i/>
          <w:sz w:val="20"/>
          <w:szCs w:val="20"/>
          <w:lang w:eastAsia="en-US"/>
        </w:rPr>
        <w:t xml:space="preserve"> </w:t>
      </w:r>
      <w:r w:rsidR="00EE36C9">
        <w:rPr>
          <w:rFonts w:ascii="Arial" w:eastAsia="Calibri" w:hAnsi="Arial" w:cs="Arial"/>
          <w:sz w:val="20"/>
          <w:szCs w:val="20"/>
          <w:lang w:eastAsia="en-US"/>
        </w:rPr>
        <w:t>(Consejo de Estado, Sala de lo Contencioso Administrativo, Sección Tercera, Subsección A, sentencia del 28 de enero de 2015, exp: 31.612, C.P. Hernán Andrade Rincón (E))</w:t>
      </w:r>
      <w:r w:rsidR="00EE36C9" w:rsidRPr="00EE36C9">
        <w:rPr>
          <w:rFonts w:ascii="Arial" w:eastAsia="Calibri" w:hAnsi="Arial" w:cs="Arial"/>
          <w:i/>
          <w:sz w:val="20"/>
          <w:szCs w:val="20"/>
          <w:lang w:eastAsia="en-US"/>
        </w:rPr>
        <w:t xml:space="preserve">. </w:t>
      </w:r>
    </w:p>
  </w:footnote>
  <w:footnote w:id="17">
    <w:p w:rsidR="000D24EF" w:rsidRPr="000D24EF" w:rsidRDefault="000D24EF" w:rsidP="00C63876">
      <w:pPr>
        <w:pStyle w:val="Textonotapie"/>
        <w:jc w:val="both"/>
        <w:rPr>
          <w:rFonts w:ascii="Arial" w:hAnsi="Arial" w:cs="Arial"/>
        </w:rPr>
      </w:pPr>
      <w:r w:rsidRPr="000D24EF">
        <w:rPr>
          <w:rStyle w:val="Refdenotaalpie"/>
          <w:rFonts w:ascii="Arial" w:hAnsi="Arial" w:cs="Arial"/>
        </w:rPr>
        <w:footnoteRef/>
      </w:r>
      <w:r w:rsidRPr="000D24EF">
        <w:rPr>
          <w:rFonts w:ascii="Arial" w:hAnsi="Arial" w:cs="Arial"/>
        </w:rPr>
        <w:t xml:space="preserve"> </w:t>
      </w:r>
      <w:r>
        <w:rPr>
          <w:rFonts w:ascii="Arial" w:hAnsi="Arial" w:cs="Arial"/>
        </w:rPr>
        <w:t xml:space="preserve">Ver sentencia </w:t>
      </w:r>
      <w:r w:rsidR="00C63876">
        <w:rPr>
          <w:rFonts w:ascii="Arial" w:hAnsi="Arial" w:cs="Arial"/>
        </w:rPr>
        <w:t>del 12 de diciembre de 2014, exp: 36.251, con ponencia del Consejero Danilo Rojas Betancourth, Subsección B, Sección Tercera, Sala de lo Contencioso Administrativo, Consejo de Estado.</w:t>
      </w:r>
    </w:p>
  </w:footnote>
  <w:footnote w:id="18">
    <w:p w:rsidR="00775AD6" w:rsidRPr="00AE16B4" w:rsidRDefault="00775AD6" w:rsidP="00775AD6">
      <w:pPr>
        <w:pStyle w:val="Textonotapie"/>
        <w:jc w:val="both"/>
        <w:rPr>
          <w:rFonts w:ascii="Arial" w:hAnsi="Arial" w:cs="Arial"/>
          <w:lang w:val="es-CO"/>
        </w:rPr>
      </w:pPr>
      <w:r w:rsidRPr="00AE16B4">
        <w:rPr>
          <w:rStyle w:val="Refdenotaalpie"/>
          <w:rFonts w:ascii="Arial" w:hAnsi="Arial" w:cs="Arial"/>
        </w:rPr>
        <w:footnoteRef/>
      </w:r>
      <w:r w:rsidRPr="00AE16B4">
        <w:rPr>
          <w:rFonts w:ascii="Arial" w:hAnsi="Arial" w:cs="Arial"/>
        </w:rPr>
        <w:t xml:space="preserve"> En al acta No. 006 del 24 de junio de 1988 se lee: “</w:t>
      </w:r>
      <w:r w:rsidRPr="00AE16B4">
        <w:rPr>
          <w:rFonts w:ascii="Arial" w:hAnsi="Arial" w:cs="Arial"/>
          <w:i/>
        </w:rPr>
        <w:t>Apruébese el concepto favorable No. DI/506 del Departamento Legal de la Gobernación del Atlántico sobre la destinación de un lote de terreno que hizo la Beneficencia del Atlántico para la construcción de la Facultad de Odontología de la Universidad Libre Seccional Atlántico. Asimismo, autorizase la firma de la Escritura Pública respectiva por parte del señor Presidente de esta Junta Directiva y del señor Gerente de la Beneficencia del Atlántico</w:t>
      </w:r>
      <w:r w:rsidRPr="00AE16B4">
        <w:rPr>
          <w:rFonts w:ascii="Arial" w:hAnsi="Arial" w:cs="Arial"/>
        </w:rPr>
        <w:t>”  (folio 53 del cuaderno de primera instancia).</w:t>
      </w:r>
    </w:p>
  </w:footnote>
  <w:footnote w:id="19">
    <w:p w:rsidR="009949E8" w:rsidRPr="00121344" w:rsidRDefault="009949E8" w:rsidP="00121344">
      <w:pPr>
        <w:jc w:val="both"/>
        <w:rPr>
          <w:rFonts w:ascii="Arial" w:eastAsia="Calibri" w:hAnsi="Arial" w:cs="Arial"/>
          <w:iCs/>
          <w:spacing w:val="-3"/>
          <w:sz w:val="20"/>
          <w:szCs w:val="20"/>
        </w:rPr>
      </w:pPr>
      <w:r w:rsidRPr="0059696C">
        <w:rPr>
          <w:rStyle w:val="Refdenotaalpie"/>
          <w:rFonts w:ascii="Arial" w:hAnsi="Arial" w:cs="Arial"/>
          <w:sz w:val="20"/>
          <w:szCs w:val="20"/>
        </w:rPr>
        <w:footnoteRef/>
      </w:r>
      <w:r w:rsidRPr="0059696C">
        <w:rPr>
          <w:rFonts w:ascii="Arial" w:hAnsi="Arial" w:cs="Arial"/>
          <w:sz w:val="20"/>
          <w:szCs w:val="20"/>
        </w:rPr>
        <w:t xml:space="preserve"> </w:t>
      </w:r>
      <w:r w:rsidR="00E80D95" w:rsidRPr="0059696C">
        <w:rPr>
          <w:rFonts w:ascii="Arial" w:hAnsi="Arial" w:cs="Arial"/>
          <w:sz w:val="20"/>
          <w:szCs w:val="20"/>
        </w:rPr>
        <w:t xml:space="preserve">En un caso similar, aunque en una acción popular, </w:t>
      </w:r>
      <w:r w:rsidR="0059696C" w:rsidRPr="0059696C">
        <w:rPr>
          <w:rFonts w:ascii="Arial" w:hAnsi="Arial" w:cs="Arial"/>
          <w:sz w:val="20"/>
          <w:szCs w:val="20"/>
        </w:rPr>
        <w:t xml:space="preserve">además de abordarse la figura de la rescisión, </w:t>
      </w:r>
      <w:r w:rsidR="00E80D95" w:rsidRPr="0059696C">
        <w:rPr>
          <w:rFonts w:ascii="Arial" w:hAnsi="Arial" w:cs="Arial"/>
          <w:sz w:val="20"/>
          <w:szCs w:val="20"/>
        </w:rPr>
        <w:t xml:space="preserve">se hizo el análisis de un contrato de donación sujeto a condición, en los siguientes términos: </w:t>
      </w:r>
      <w:r w:rsidR="0059696C" w:rsidRPr="0059696C">
        <w:rPr>
          <w:rFonts w:ascii="Arial" w:hAnsi="Arial" w:cs="Arial"/>
          <w:iCs/>
          <w:spacing w:val="-3"/>
          <w:sz w:val="20"/>
          <w:szCs w:val="20"/>
        </w:rPr>
        <w:t>“</w:t>
      </w:r>
      <w:r w:rsidR="0059696C" w:rsidRPr="0059696C">
        <w:rPr>
          <w:rFonts w:ascii="Arial" w:eastAsia="Calibri" w:hAnsi="Arial" w:cs="Arial"/>
          <w:i/>
          <w:iCs/>
          <w:spacing w:val="-3"/>
          <w:sz w:val="20"/>
          <w:szCs w:val="20"/>
        </w:rPr>
        <w:t>En caso de que el donatario estuviere en mora de cumplir lo que en la donación se le impuso, el artículo 1483</w:t>
      </w:r>
      <w:r w:rsidR="0059696C" w:rsidRPr="0059696C">
        <w:rPr>
          <w:rFonts w:ascii="Arial" w:eastAsia="Calibri" w:hAnsi="Arial" w:cs="Arial"/>
          <w:i/>
          <w:iCs/>
          <w:spacing w:val="-3"/>
          <w:sz w:val="20"/>
          <w:szCs w:val="20"/>
          <w:vertAlign w:val="superscript"/>
        </w:rPr>
        <w:footnoteRef/>
      </w:r>
      <w:r w:rsidR="0059696C" w:rsidRPr="0059696C">
        <w:rPr>
          <w:rFonts w:ascii="Arial" w:eastAsia="Calibri" w:hAnsi="Arial" w:cs="Arial"/>
          <w:i/>
          <w:iCs/>
          <w:spacing w:val="-3"/>
          <w:sz w:val="20"/>
          <w:szCs w:val="20"/>
        </w:rPr>
        <w:t xml:space="preserve"> del Código Civil contempló que el donante tenía derecho: </w:t>
      </w:r>
      <w:r w:rsidR="0059696C" w:rsidRPr="0059696C">
        <w:rPr>
          <w:rFonts w:ascii="Arial" w:eastAsia="Calibri" w:hAnsi="Arial" w:cs="Arial"/>
          <w:b/>
          <w:i/>
          <w:iCs/>
          <w:spacing w:val="-3"/>
          <w:sz w:val="20"/>
          <w:szCs w:val="20"/>
        </w:rPr>
        <w:t>i)</w:t>
      </w:r>
      <w:r w:rsidR="0059696C" w:rsidRPr="0059696C">
        <w:rPr>
          <w:rFonts w:ascii="Arial" w:eastAsia="Calibri" w:hAnsi="Arial" w:cs="Arial"/>
          <w:i/>
          <w:iCs/>
          <w:spacing w:val="-3"/>
          <w:sz w:val="20"/>
          <w:szCs w:val="20"/>
        </w:rPr>
        <w:t xml:space="preserve"> a que se obligue al donatario a cumplir la obligación o, </w:t>
      </w:r>
      <w:r w:rsidR="0059696C" w:rsidRPr="0059696C">
        <w:rPr>
          <w:rFonts w:ascii="Arial" w:eastAsia="Calibri" w:hAnsi="Arial" w:cs="Arial"/>
          <w:b/>
          <w:i/>
          <w:iCs/>
          <w:spacing w:val="-3"/>
          <w:sz w:val="20"/>
          <w:szCs w:val="20"/>
        </w:rPr>
        <w:t>ii)</w:t>
      </w:r>
      <w:r w:rsidR="0059696C" w:rsidRPr="0059696C">
        <w:rPr>
          <w:rFonts w:ascii="Arial" w:eastAsia="Calibri" w:hAnsi="Arial" w:cs="Arial"/>
          <w:i/>
          <w:iCs/>
          <w:spacing w:val="-3"/>
          <w:sz w:val="20"/>
          <w:szCs w:val="20"/>
        </w:rPr>
        <w:t xml:space="preserve"> a que se rescinda la obligación.</w:t>
      </w:r>
      <w:r w:rsidR="0059696C" w:rsidRPr="0059696C">
        <w:rPr>
          <w:rFonts w:ascii="Arial" w:hAnsi="Arial" w:cs="Arial"/>
          <w:i/>
          <w:iCs/>
          <w:spacing w:val="-3"/>
          <w:sz w:val="20"/>
          <w:szCs w:val="20"/>
        </w:rPr>
        <w:t xml:space="preserve"> </w:t>
      </w:r>
      <w:r w:rsidR="0059696C" w:rsidRPr="0059696C">
        <w:rPr>
          <w:rFonts w:ascii="Arial" w:eastAsia="Calibri" w:hAnsi="Arial" w:cs="Arial"/>
          <w:i/>
          <w:iCs/>
          <w:spacing w:val="-3"/>
          <w:sz w:val="20"/>
          <w:szCs w:val="20"/>
        </w:rPr>
        <w:t xml:space="preserve">No obstante, frente a la segunda posibilidad &lt;&lt;rescisión de la obligación&gt;&gt; consagrada en la norma citada, la </w:t>
      </w:r>
      <w:r w:rsidR="0059696C" w:rsidRPr="0059696C">
        <w:rPr>
          <w:rFonts w:ascii="Arial" w:hAnsi="Arial" w:cs="Arial"/>
          <w:i/>
          <w:sz w:val="20"/>
          <w:szCs w:val="20"/>
        </w:rPr>
        <w:t>doctrina nacional ha señalado que, teniendo en cuenta la naturaleza contractual de la donación, lo procedente es solicitar la acción de resolución prevista en el artículo 1546 del Código Civil</w:t>
      </w:r>
      <w:r w:rsidR="0059696C" w:rsidRPr="0059696C">
        <w:rPr>
          <w:rFonts w:ascii="Arial" w:hAnsi="Arial" w:cs="Arial"/>
          <w:i/>
          <w:sz w:val="20"/>
          <w:szCs w:val="20"/>
          <w:vertAlign w:val="superscript"/>
        </w:rPr>
        <w:footnoteRef/>
      </w:r>
      <w:r w:rsidR="0059696C" w:rsidRPr="0059696C">
        <w:rPr>
          <w:rFonts w:ascii="Arial" w:hAnsi="Arial" w:cs="Arial"/>
          <w:i/>
          <w:sz w:val="20"/>
          <w:szCs w:val="20"/>
        </w:rPr>
        <w:t>; en efecto, se ha discurrido:</w:t>
      </w:r>
      <w:r w:rsidR="0059696C" w:rsidRPr="0059696C">
        <w:rPr>
          <w:rFonts w:ascii="Arial" w:hAnsi="Arial" w:cs="Arial"/>
          <w:i/>
          <w:iCs/>
          <w:spacing w:val="-3"/>
          <w:sz w:val="20"/>
          <w:szCs w:val="20"/>
        </w:rPr>
        <w:t xml:space="preserve"> ‘</w:t>
      </w:r>
      <w:r w:rsidR="0059696C" w:rsidRPr="0059696C">
        <w:rPr>
          <w:rFonts w:ascii="Arial" w:eastAsia="Calibri" w:hAnsi="Arial" w:cs="Arial"/>
          <w:i/>
          <w:iCs/>
          <w:spacing w:val="-3"/>
          <w:sz w:val="20"/>
          <w:szCs w:val="20"/>
        </w:rPr>
        <w:t>Existen varios apartes en nuestra legislación civil que hacen discutir la aplicación de la resolución en los contratos unilaterales. Podemos mencionar tres casos en los que, se puede resolver un contrato unilateral: (…).El segundo caso es el contrato de donación en que el donatario no cumple lo que en la donación se le ha impuesto</w:t>
      </w:r>
      <w:r w:rsidR="0059696C" w:rsidRPr="0059696C">
        <w:rPr>
          <w:rFonts w:ascii="Arial" w:eastAsia="Calibri" w:hAnsi="Arial" w:cs="Arial"/>
          <w:b/>
          <w:i/>
          <w:iCs/>
          <w:spacing w:val="-3"/>
          <w:sz w:val="20"/>
          <w:szCs w:val="20"/>
        </w:rPr>
        <w:t xml:space="preserve">. </w:t>
      </w:r>
      <w:r w:rsidR="0059696C" w:rsidRPr="0059696C">
        <w:rPr>
          <w:rFonts w:ascii="Arial" w:eastAsia="Calibri" w:hAnsi="Arial" w:cs="Arial"/>
          <w:b/>
          <w:i/>
          <w:iCs/>
          <w:spacing w:val="-3"/>
          <w:sz w:val="20"/>
          <w:szCs w:val="20"/>
          <w:u w:val="single"/>
        </w:rPr>
        <w:t xml:space="preserve">En este caso, según lo dispuesto </w:t>
      </w:r>
      <w:r w:rsidR="003328BB">
        <w:rPr>
          <w:rFonts w:ascii="Arial" w:eastAsia="Calibri" w:hAnsi="Arial" w:cs="Arial"/>
          <w:b/>
          <w:i/>
          <w:iCs/>
          <w:spacing w:val="-3"/>
          <w:sz w:val="20"/>
          <w:szCs w:val="20"/>
          <w:u w:val="single"/>
        </w:rPr>
        <w:t xml:space="preserve">en </w:t>
      </w:r>
      <w:r w:rsidR="0059696C" w:rsidRPr="0059696C">
        <w:rPr>
          <w:rFonts w:ascii="Arial" w:eastAsia="Calibri" w:hAnsi="Arial" w:cs="Arial"/>
          <w:b/>
          <w:i/>
          <w:iCs/>
          <w:spacing w:val="-3"/>
          <w:sz w:val="20"/>
          <w:szCs w:val="20"/>
          <w:u w:val="single"/>
        </w:rPr>
        <w:t>el artículo 1483 del Código Civil, el contrato debe ser rescindido. La verdad es que en este evento la donación no es un contrato unilateral sino bilateral y por eso cabe la resolución del mismo, en los términos del artículo 1546 del Código Civil (y no la rescisión, como impropiamente indica la ley)</w:t>
      </w:r>
      <w:r w:rsidR="0059696C" w:rsidRPr="0059696C">
        <w:rPr>
          <w:rFonts w:ascii="Arial" w:hAnsi="Arial" w:cs="Arial"/>
          <w:i/>
          <w:iCs/>
          <w:spacing w:val="-3"/>
          <w:sz w:val="20"/>
          <w:szCs w:val="20"/>
        </w:rPr>
        <w:t xml:space="preserve">’. </w:t>
      </w:r>
      <w:r w:rsidR="0059696C" w:rsidRPr="0059696C">
        <w:rPr>
          <w:rFonts w:ascii="Arial" w:eastAsia="Calibri" w:hAnsi="Arial" w:cs="Arial"/>
          <w:i/>
          <w:iCs/>
          <w:spacing w:val="-3"/>
          <w:sz w:val="20"/>
          <w:szCs w:val="20"/>
        </w:rPr>
        <w:t>Al descender al caso que ahora corresponde resolver, esta Sala observa que dentro de la presente litis se acreditó que el contrato de donación celebrado entre el muni</w:t>
      </w:r>
      <w:r w:rsidR="0059696C" w:rsidRPr="0059696C">
        <w:rPr>
          <w:rFonts w:ascii="Arial" w:hAnsi="Arial" w:cs="Arial"/>
          <w:i/>
          <w:iCs/>
          <w:spacing w:val="-3"/>
          <w:sz w:val="20"/>
          <w:szCs w:val="20"/>
        </w:rPr>
        <w:t>cipio de Samaniego y la Nación -</w:t>
      </w:r>
      <w:r w:rsidR="0059696C" w:rsidRPr="0059696C">
        <w:rPr>
          <w:rFonts w:ascii="Arial" w:eastAsia="Calibri" w:hAnsi="Arial" w:cs="Arial"/>
          <w:i/>
          <w:iCs/>
          <w:spacing w:val="-3"/>
          <w:sz w:val="20"/>
          <w:szCs w:val="20"/>
        </w:rPr>
        <w:t xml:space="preserve"> Ministerio de Comunicaciones </w:t>
      </w:r>
      <w:r w:rsidR="0059696C" w:rsidRPr="0059696C">
        <w:rPr>
          <w:rFonts w:ascii="Arial" w:eastAsia="Calibri" w:hAnsi="Arial" w:cs="Arial"/>
          <w:i/>
          <w:iCs/>
          <w:spacing w:val="-3"/>
          <w:sz w:val="20"/>
          <w:szCs w:val="20"/>
          <w:u w:val="single"/>
        </w:rPr>
        <w:t>se encontraba sujeta a una condición, consistente en que el inmueble se aplicara a la construcción de un edificio nacional en el cual funcionarían las oficinas de correos, telégrafos, despachos judiciales, etc</w:t>
      </w:r>
      <w:r w:rsidR="0059696C" w:rsidRPr="0059696C">
        <w:rPr>
          <w:rFonts w:ascii="Arial" w:hAnsi="Arial" w:cs="Arial"/>
          <w:i/>
          <w:iCs/>
          <w:spacing w:val="-3"/>
          <w:sz w:val="20"/>
          <w:szCs w:val="20"/>
        </w:rPr>
        <w:t xml:space="preserve">. </w:t>
      </w:r>
      <w:r w:rsidR="0059696C" w:rsidRPr="0059696C">
        <w:rPr>
          <w:rFonts w:ascii="Arial" w:eastAsia="Calibri" w:hAnsi="Arial" w:cs="Arial"/>
          <w:i/>
          <w:iCs/>
          <w:spacing w:val="-3"/>
          <w:sz w:val="20"/>
          <w:szCs w:val="20"/>
        </w:rPr>
        <w:t xml:space="preserve">Sin embargo, como se desprende de lo probado en el expediente, el donatario incumplió tal condición, puesto que, dando cumplimiento al </w:t>
      </w:r>
      <w:r w:rsidR="0059696C" w:rsidRPr="0059696C">
        <w:rPr>
          <w:rFonts w:ascii="Arial" w:eastAsia="Calibri" w:hAnsi="Arial" w:cs="Arial"/>
          <w:i/>
          <w:sz w:val="20"/>
          <w:szCs w:val="20"/>
        </w:rPr>
        <w:t xml:space="preserve">Decreto-ley 3267 de 1963 donó, a su vez, el bien inmueble referenciado, a la Empresa Nacional de Telecomunicaciones -TELECOM- y a ADPOSTAL, circunstancia que, a todas luces, ubica tal acción frente al escenario del </w:t>
      </w:r>
      <w:r w:rsidR="0059696C" w:rsidRPr="0059696C">
        <w:rPr>
          <w:rFonts w:ascii="Arial" w:eastAsia="Calibri" w:hAnsi="Arial" w:cs="Arial"/>
          <w:i/>
          <w:sz w:val="20"/>
          <w:szCs w:val="20"/>
          <w:u w:val="single"/>
        </w:rPr>
        <w:t>incumplimiento del contrato de donación celebrado entre las atrás señaladas entidades públicas</w:t>
      </w:r>
      <w:r w:rsidR="0059696C" w:rsidRPr="0059696C">
        <w:rPr>
          <w:rFonts w:ascii="Arial" w:hAnsi="Arial" w:cs="Arial"/>
          <w:sz w:val="20"/>
          <w:szCs w:val="20"/>
        </w:rPr>
        <w:t>”</w:t>
      </w:r>
      <w:r w:rsidR="0059696C" w:rsidRPr="0059696C">
        <w:rPr>
          <w:rFonts w:ascii="Arial" w:eastAsia="Calibri" w:hAnsi="Arial" w:cs="Arial"/>
          <w:sz w:val="20"/>
          <w:szCs w:val="20"/>
        </w:rPr>
        <w:t xml:space="preserve"> (subrayas del texto) (</w:t>
      </w:r>
      <w:r w:rsidR="00657547" w:rsidRPr="0059696C">
        <w:rPr>
          <w:rFonts w:ascii="Arial" w:eastAsia="Calibri" w:hAnsi="Arial" w:cs="Arial"/>
          <w:sz w:val="20"/>
          <w:szCs w:val="20"/>
        </w:rPr>
        <w:t>Consejo de Estado, Sala de lo Contencioso Administrativo, Sección Tercera, Subsección A, sentencia del 25 de mayo de 2016, exp: 2011-00297 (AP), actor: municipio de Samaniego, demandado: Ministerio de Tecnologías de la Información y las Comunicaciones).</w:t>
      </w:r>
    </w:p>
  </w:footnote>
  <w:footnote w:id="20">
    <w:p w:rsidR="00F10363" w:rsidRPr="00F10363" w:rsidRDefault="00F10363" w:rsidP="00F10363">
      <w:pPr>
        <w:pStyle w:val="Textonotapie"/>
        <w:jc w:val="both"/>
        <w:rPr>
          <w:rFonts w:ascii="Arial" w:hAnsi="Arial" w:cs="Arial"/>
        </w:rPr>
      </w:pPr>
      <w:r w:rsidRPr="00F10363">
        <w:rPr>
          <w:rStyle w:val="Refdenotaalpie"/>
          <w:rFonts w:ascii="Arial" w:hAnsi="Arial" w:cs="Arial"/>
        </w:rPr>
        <w:footnoteRef/>
      </w:r>
      <w:r w:rsidRPr="00F10363">
        <w:rPr>
          <w:rFonts w:ascii="Arial" w:hAnsi="Arial" w:cs="Arial"/>
        </w:rPr>
        <w:t xml:space="preserve"> Ver auto </w:t>
      </w:r>
      <w:r w:rsidR="00F865B0">
        <w:rPr>
          <w:rFonts w:ascii="Arial" w:hAnsi="Arial" w:cs="Arial"/>
        </w:rPr>
        <w:t xml:space="preserve">de ponente </w:t>
      </w:r>
      <w:r w:rsidRPr="00F10363">
        <w:rPr>
          <w:rFonts w:ascii="Arial" w:hAnsi="Arial" w:cs="Arial"/>
        </w:rPr>
        <w:t xml:space="preserve">del 29 de junio de 2017, exp: 57.506, Subsección A, Sección Tercera, Consejo de Estado; pronunciamiento en el que </w:t>
      </w:r>
      <w:r w:rsidR="00386D9F">
        <w:rPr>
          <w:rFonts w:ascii="Arial" w:hAnsi="Arial" w:cs="Arial"/>
        </w:rPr>
        <w:t xml:space="preserve">se </w:t>
      </w:r>
      <w:r w:rsidRPr="00F10363">
        <w:rPr>
          <w:rFonts w:ascii="Arial" w:hAnsi="Arial" w:cs="Arial"/>
        </w:rPr>
        <w:t>aborda la naturaleza de la excepción previa y su diferencia con el agotamiento del requisito de procedibilidad de conciliación extrajudicial.</w:t>
      </w:r>
    </w:p>
  </w:footnote>
  <w:footnote w:id="21">
    <w:p w:rsidR="00CA3E29" w:rsidRPr="001C238C" w:rsidRDefault="00CA3E29" w:rsidP="001C238C">
      <w:pPr>
        <w:pStyle w:val="Textonotapie"/>
        <w:jc w:val="both"/>
        <w:rPr>
          <w:rFonts w:ascii="Arial" w:hAnsi="Arial" w:cs="Arial"/>
          <w:lang w:val="es-CO"/>
        </w:rPr>
      </w:pPr>
      <w:r w:rsidRPr="001C238C">
        <w:rPr>
          <w:rStyle w:val="Refdenotaalpie"/>
          <w:rFonts w:ascii="Arial" w:hAnsi="Arial" w:cs="Arial"/>
        </w:rPr>
        <w:footnoteRef/>
      </w:r>
      <w:r w:rsidRPr="001C238C">
        <w:rPr>
          <w:rFonts w:ascii="Arial" w:hAnsi="Arial" w:cs="Arial"/>
        </w:rPr>
        <w:t xml:space="preserve"> </w:t>
      </w:r>
      <w:r w:rsidR="001C238C">
        <w:rPr>
          <w:rFonts w:ascii="Arial" w:hAnsi="Arial" w:cs="Arial"/>
          <w:lang w:val="es-CO"/>
        </w:rPr>
        <w:t>Folios 1-19 del cuaderno de medidas cautelares.</w:t>
      </w:r>
    </w:p>
  </w:footnote>
  <w:footnote w:id="22">
    <w:p w:rsidR="0003725D" w:rsidRPr="005811E0" w:rsidRDefault="0003725D" w:rsidP="0003725D">
      <w:pPr>
        <w:pStyle w:val="Textonotapie"/>
        <w:jc w:val="both"/>
        <w:rPr>
          <w:rFonts w:ascii="Arial" w:hAnsi="Arial" w:cs="Arial"/>
          <w:lang w:val="es-CO"/>
        </w:rPr>
      </w:pPr>
      <w:r w:rsidRPr="005811E0">
        <w:rPr>
          <w:rStyle w:val="Refdenotaalpie"/>
          <w:rFonts w:ascii="Arial" w:hAnsi="Arial" w:cs="Arial"/>
        </w:rPr>
        <w:footnoteRef/>
      </w:r>
      <w:r w:rsidRPr="005811E0">
        <w:rPr>
          <w:rFonts w:ascii="Arial" w:hAnsi="Arial" w:cs="Arial"/>
        </w:rPr>
        <w:t xml:space="preserve"> </w:t>
      </w:r>
      <w:r w:rsidRPr="005811E0">
        <w:rPr>
          <w:rFonts w:ascii="Arial" w:hAnsi="Arial" w:cs="Arial"/>
          <w:lang w:val="es-CO"/>
        </w:rPr>
        <w:t>En el artículo 1º del Decreto Ordenanzal No. 000517 se lee “</w:t>
      </w:r>
      <w:r w:rsidRPr="005811E0">
        <w:rPr>
          <w:rFonts w:ascii="Arial" w:hAnsi="Arial" w:cs="Arial"/>
          <w:i/>
          <w:lang w:val="es-CO"/>
        </w:rPr>
        <w:t>NATURALEZA JURÍDICA. La Empresa de Loterías y Apuestas Permanentes del Atlántico (Lotanco)  es una Empresa Industrial y Comercial del Estado, del orden departamental, con personería jurídica, autonomía administrativa, patrimonio propio e independiente y vinculada al Departamento Adminis</w:t>
      </w:r>
      <w:r w:rsidR="005811E0" w:rsidRPr="005811E0">
        <w:rPr>
          <w:rFonts w:ascii="Arial" w:hAnsi="Arial" w:cs="Arial"/>
          <w:i/>
          <w:lang w:val="es-CO"/>
        </w:rPr>
        <w:t xml:space="preserve">trativo de Salud del Atlántico” </w:t>
      </w:r>
      <w:r w:rsidR="005811E0" w:rsidRPr="005811E0">
        <w:rPr>
          <w:rFonts w:ascii="Arial" w:hAnsi="Arial" w:cs="Arial"/>
          <w:lang w:val="es-CO"/>
        </w:rPr>
        <w:t>(folios 73-75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326" w:rsidRPr="00831DB3" w:rsidRDefault="00106326" w:rsidP="003B0EED">
    <w:p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4F3"/>
    <w:multiLevelType w:val="hybridMultilevel"/>
    <w:tmpl w:val="E584B728"/>
    <w:lvl w:ilvl="0" w:tplc="B40A66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AC70DD"/>
    <w:multiLevelType w:val="hybridMultilevel"/>
    <w:tmpl w:val="35149D28"/>
    <w:lvl w:ilvl="0" w:tplc="851E6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A9C"/>
    <w:rsid w:val="00003640"/>
    <w:rsid w:val="00003C5C"/>
    <w:rsid w:val="00003CA5"/>
    <w:rsid w:val="00004762"/>
    <w:rsid w:val="00004946"/>
    <w:rsid w:val="00004C09"/>
    <w:rsid w:val="00005672"/>
    <w:rsid w:val="0000587A"/>
    <w:rsid w:val="00005B32"/>
    <w:rsid w:val="0000653C"/>
    <w:rsid w:val="00006CE6"/>
    <w:rsid w:val="0000766D"/>
    <w:rsid w:val="00010EF0"/>
    <w:rsid w:val="00012271"/>
    <w:rsid w:val="00012637"/>
    <w:rsid w:val="00012A41"/>
    <w:rsid w:val="00015001"/>
    <w:rsid w:val="00016B2C"/>
    <w:rsid w:val="00016BA4"/>
    <w:rsid w:val="00017251"/>
    <w:rsid w:val="00017515"/>
    <w:rsid w:val="00020E1D"/>
    <w:rsid w:val="000215E6"/>
    <w:rsid w:val="0002352E"/>
    <w:rsid w:val="00024451"/>
    <w:rsid w:val="00025469"/>
    <w:rsid w:val="0002562E"/>
    <w:rsid w:val="00025F2D"/>
    <w:rsid w:val="00025F85"/>
    <w:rsid w:val="0002628D"/>
    <w:rsid w:val="00027145"/>
    <w:rsid w:val="00027FAC"/>
    <w:rsid w:val="0003161D"/>
    <w:rsid w:val="0003184B"/>
    <w:rsid w:val="00031C7D"/>
    <w:rsid w:val="00033A17"/>
    <w:rsid w:val="000340E8"/>
    <w:rsid w:val="0003440E"/>
    <w:rsid w:val="00034C52"/>
    <w:rsid w:val="000351F9"/>
    <w:rsid w:val="000353D7"/>
    <w:rsid w:val="0003700C"/>
    <w:rsid w:val="0003725D"/>
    <w:rsid w:val="0004074E"/>
    <w:rsid w:val="00042945"/>
    <w:rsid w:val="00042ED5"/>
    <w:rsid w:val="00043508"/>
    <w:rsid w:val="00043CA7"/>
    <w:rsid w:val="00044EF9"/>
    <w:rsid w:val="00046508"/>
    <w:rsid w:val="00046830"/>
    <w:rsid w:val="00050940"/>
    <w:rsid w:val="00050D79"/>
    <w:rsid w:val="00051800"/>
    <w:rsid w:val="00051C30"/>
    <w:rsid w:val="00052149"/>
    <w:rsid w:val="00052209"/>
    <w:rsid w:val="000522C0"/>
    <w:rsid w:val="00055128"/>
    <w:rsid w:val="000557AC"/>
    <w:rsid w:val="00055A0D"/>
    <w:rsid w:val="00055DFB"/>
    <w:rsid w:val="00055F77"/>
    <w:rsid w:val="00057605"/>
    <w:rsid w:val="00057CDC"/>
    <w:rsid w:val="0006005F"/>
    <w:rsid w:val="00062367"/>
    <w:rsid w:val="00062880"/>
    <w:rsid w:val="00064196"/>
    <w:rsid w:val="000642B2"/>
    <w:rsid w:val="000655F0"/>
    <w:rsid w:val="0006570B"/>
    <w:rsid w:val="00065DF5"/>
    <w:rsid w:val="0006636F"/>
    <w:rsid w:val="00066AB1"/>
    <w:rsid w:val="000677FE"/>
    <w:rsid w:val="0007076F"/>
    <w:rsid w:val="000709BE"/>
    <w:rsid w:val="00070AF1"/>
    <w:rsid w:val="00072BA8"/>
    <w:rsid w:val="000738FF"/>
    <w:rsid w:val="00074C05"/>
    <w:rsid w:val="00074C64"/>
    <w:rsid w:val="00075A86"/>
    <w:rsid w:val="00075FD7"/>
    <w:rsid w:val="0007607F"/>
    <w:rsid w:val="00076567"/>
    <w:rsid w:val="000772B6"/>
    <w:rsid w:val="0007733C"/>
    <w:rsid w:val="00080D18"/>
    <w:rsid w:val="000819E0"/>
    <w:rsid w:val="00082997"/>
    <w:rsid w:val="00085030"/>
    <w:rsid w:val="00085470"/>
    <w:rsid w:val="000859DB"/>
    <w:rsid w:val="00085B86"/>
    <w:rsid w:val="000864B3"/>
    <w:rsid w:val="000911E9"/>
    <w:rsid w:val="000932B3"/>
    <w:rsid w:val="000934E2"/>
    <w:rsid w:val="00093D1F"/>
    <w:rsid w:val="00094B57"/>
    <w:rsid w:val="00094B62"/>
    <w:rsid w:val="00096889"/>
    <w:rsid w:val="00096905"/>
    <w:rsid w:val="00097B5F"/>
    <w:rsid w:val="00097BE6"/>
    <w:rsid w:val="00097C8E"/>
    <w:rsid w:val="000A28E5"/>
    <w:rsid w:val="000A29F6"/>
    <w:rsid w:val="000A31F1"/>
    <w:rsid w:val="000A39C9"/>
    <w:rsid w:val="000A3E88"/>
    <w:rsid w:val="000A662A"/>
    <w:rsid w:val="000A6861"/>
    <w:rsid w:val="000A7AEB"/>
    <w:rsid w:val="000B077C"/>
    <w:rsid w:val="000B14E7"/>
    <w:rsid w:val="000B312F"/>
    <w:rsid w:val="000B3DAD"/>
    <w:rsid w:val="000B44F9"/>
    <w:rsid w:val="000B4D38"/>
    <w:rsid w:val="000B4E21"/>
    <w:rsid w:val="000B5190"/>
    <w:rsid w:val="000B71E8"/>
    <w:rsid w:val="000C025F"/>
    <w:rsid w:val="000C0686"/>
    <w:rsid w:val="000C16D2"/>
    <w:rsid w:val="000C1A7F"/>
    <w:rsid w:val="000C4B12"/>
    <w:rsid w:val="000C572E"/>
    <w:rsid w:val="000C5BE2"/>
    <w:rsid w:val="000C668C"/>
    <w:rsid w:val="000C7437"/>
    <w:rsid w:val="000D1B28"/>
    <w:rsid w:val="000D1E6B"/>
    <w:rsid w:val="000D24EF"/>
    <w:rsid w:val="000D3023"/>
    <w:rsid w:val="000D3207"/>
    <w:rsid w:val="000D382A"/>
    <w:rsid w:val="000D3C47"/>
    <w:rsid w:val="000D4D6F"/>
    <w:rsid w:val="000D4FC0"/>
    <w:rsid w:val="000D53A6"/>
    <w:rsid w:val="000D5846"/>
    <w:rsid w:val="000D5867"/>
    <w:rsid w:val="000D6F34"/>
    <w:rsid w:val="000E08CD"/>
    <w:rsid w:val="000E25C3"/>
    <w:rsid w:val="000E2818"/>
    <w:rsid w:val="000E3002"/>
    <w:rsid w:val="000E3770"/>
    <w:rsid w:val="000E58A5"/>
    <w:rsid w:val="000E636D"/>
    <w:rsid w:val="000E64F9"/>
    <w:rsid w:val="000E726E"/>
    <w:rsid w:val="000E7426"/>
    <w:rsid w:val="000E7DC6"/>
    <w:rsid w:val="000F10DB"/>
    <w:rsid w:val="000F136A"/>
    <w:rsid w:val="000F1903"/>
    <w:rsid w:val="000F1D5A"/>
    <w:rsid w:val="000F1DE3"/>
    <w:rsid w:val="000F2768"/>
    <w:rsid w:val="000F2923"/>
    <w:rsid w:val="000F2F29"/>
    <w:rsid w:val="000F3646"/>
    <w:rsid w:val="000F38DD"/>
    <w:rsid w:val="000F426A"/>
    <w:rsid w:val="000F48B3"/>
    <w:rsid w:val="000F5C97"/>
    <w:rsid w:val="000F5F6E"/>
    <w:rsid w:val="000F7C52"/>
    <w:rsid w:val="001004A0"/>
    <w:rsid w:val="001006D1"/>
    <w:rsid w:val="0010074A"/>
    <w:rsid w:val="00101E54"/>
    <w:rsid w:val="001023B5"/>
    <w:rsid w:val="00102E54"/>
    <w:rsid w:val="001034A8"/>
    <w:rsid w:val="001038BF"/>
    <w:rsid w:val="00103949"/>
    <w:rsid w:val="001040EC"/>
    <w:rsid w:val="00104B68"/>
    <w:rsid w:val="0010533D"/>
    <w:rsid w:val="00106326"/>
    <w:rsid w:val="00112B62"/>
    <w:rsid w:val="00113602"/>
    <w:rsid w:val="001137CD"/>
    <w:rsid w:val="001144D4"/>
    <w:rsid w:val="00114905"/>
    <w:rsid w:val="00114D0F"/>
    <w:rsid w:val="00120152"/>
    <w:rsid w:val="00121032"/>
    <w:rsid w:val="00121344"/>
    <w:rsid w:val="00121693"/>
    <w:rsid w:val="00122F7F"/>
    <w:rsid w:val="00122FA0"/>
    <w:rsid w:val="0012317E"/>
    <w:rsid w:val="001235F3"/>
    <w:rsid w:val="00124515"/>
    <w:rsid w:val="00124E70"/>
    <w:rsid w:val="0012543A"/>
    <w:rsid w:val="00126BCF"/>
    <w:rsid w:val="00131851"/>
    <w:rsid w:val="001326E7"/>
    <w:rsid w:val="0013290C"/>
    <w:rsid w:val="00133D24"/>
    <w:rsid w:val="00134715"/>
    <w:rsid w:val="001352FB"/>
    <w:rsid w:val="0013639B"/>
    <w:rsid w:val="0013667A"/>
    <w:rsid w:val="00137D31"/>
    <w:rsid w:val="00137E8D"/>
    <w:rsid w:val="001402E7"/>
    <w:rsid w:val="00140AFA"/>
    <w:rsid w:val="001411BE"/>
    <w:rsid w:val="0014278C"/>
    <w:rsid w:val="00142915"/>
    <w:rsid w:val="00143784"/>
    <w:rsid w:val="00143B3A"/>
    <w:rsid w:val="00144511"/>
    <w:rsid w:val="00144E85"/>
    <w:rsid w:val="00146DD9"/>
    <w:rsid w:val="00146F4E"/>
    <w:rsid w:val="0015224A"/>
    <w:rsid w:val="001525FA"/>
    <w:rsid w:val="00153843"/>
    <w:rsid w:val="001539A1"/>
    <w:rsid w:val="00153BEA"/>
    <w:rsid w:val="00154D11"/>
    <w:rsid w:val="001569B0"/>
    <w:rsid w:val="0015754E"/>
    <w:rsid w:val="00160268"/>
    <w:rsid w:val="00160D75"/>
    <w:rsid w:val="00161A49"/>
    <w:rsid w:val="00161AE9"/>
    <w:rsid w:val="00162586"/>
    <w:rsid w:val="00165062"/>
    <w:rsid w:val="001659D2"/>
    <w:rsid w:val="00165A26"/>
    <w:rsid w:val="00165FCF"/>
    <w:rsid w:val="00166913"/>
    <w:rsid w:val="00166C71"/>
    <w:rsid w:val="001673B9"/>
    <w:rsid w:val="0016794F"/>
    <w:rsid w:val="0017122A"/>
    <w:rsid w:val="0017154A"/>
    <w:rsid w:val="0017166A"/>
    <w:rsid w:val="0017166D"/>
    <w:rsid w:val="00171921"/>
    <w:rsid w:val="00172864"/>
    <w:rsid w:val="00172A2C"/>
    <w:rsid w:val="00174EE3"/>
    <w:rsid w:val="0017516C"/>
    <w:rsid w:val="00175B0C"/>
    <w:rsid w:val="00175D5C"/>
    <w:rsid w:val="0017792A"/>
    <w:rsid w:val="00177957"/>
    <w:rsid w:val="00180010"/>
    <w:rsid w:val="00180F9F"/>
    <w:rsid w:val="00181567"/>
    <w:rsid w:val="0018250C"/>
    <w:rsid w:val="0018481A"/>
    <w:rsid w:val="001850DD"/>
    <w:rsid w:val="0018567F"/>
    <w:rsid w:val="001872DD"/>
    <w:rsid w:val="001873F8"/>
    <w:rsid w:val="00187529"/>
    <w:rsid w:val="0018762A"/>
    <w:rsid w:val="0018768F"/>
    <w:rsid w:val="0019049B"/>
    <w:rsid w:val="00191A50"/>
    <w:rsid w:val="001933C2"/>
    <w:rsid w:val="00194537"/>
    <w:rsid w:val="00194B22"/>
    <w:rsid w:val="00195E0A"/>
    <w:rsid w:val="001961E8"/>
    <w:rsid w:val="00196606"/>
    <w:rsid w:val="0019670E"/>
    <w:rsid w:val="001A1706"/>
    <w:rsid w:val="001A29CF"/>
    <w:rsid w:val="001A2A94"/>
    <w:rsid w:val="001A359F"/>
    <w:rsid w:val="001A3954"/>
    <w:rsid w:val="001A3B03"/>
    <w:rsid w:val="001A414F"/>
    <w:rsid w:val="001A4529"/>
    <w:rsid w:val="001A459F"/>
    <w:rsid w:val="001A47BB"/>
    <w:rsid w:val="001A4C72"/>
    <w:rsid w:val="001A52E5"/>
    <w:rsid w:val="001A547F"/>
    <w:rsid w:val="001A5517"/>
    <w:rsid w:val="001A5C16"/>
    <w:rsid w:val="001A69F9"/>
    <w:rsid w:val="001A747A"/>
    <w:rsid w:val="001B2398"/>
    <w:rsid w:val="001B2E18"/>
    <w:rsid w:val="001B33FE"/>
    <w:rsid w:val="001B3F37"/>
    <w:rsid w:val="001B4F90"/>
    <w:rsid w:val="001B52BD"/>
    <w:rsid w:val="001B5449"/>
    <w:rsid w:val="001B5B5A"/>
    <w:rsid w:val="001B5D0B"/>
    <w:rsid w:val="001B6620"/>
    <w:rsid w:val="001B7167"/>
    <w:rsid w:val="001C0BB6"/>
    <w:rsid w:val="001C0CC3"/>
    <w:rsid w:val="001C238C"/>
    <w:rsid w:val="001C2A09"/>
    <w:rsid w:val="001C2AF2"/>
    <w:rsid w:val="001C2C0E"/>
    <w:rsid w:val="001C4EC3"/>
    <w:rsid w:val="001C5171"/>
    <w:rsid w:val="001C6680"/>
    <w:rsid w:val="001C6797"/>
    <w:rsid w:val="001C729D"/>
    <w:rsid w:val="001C72CD"/>
    <w:rsid w:val="001C79A5"/>
    <w:rsid w:val="001C7C78"/>
    <w:rsid w:val="001D055B"/>
    <w:rsid w:val="001D0E3D"/>
    <w:rsid w:val="001D0F69"/>
    <w:rsid w:val="001D1873"/>
    <w:rsid w:val="001D1D4F"/>
    <w:rsid w:val="001D1D92"/>
    <w:rsid w:val="001D2DBB"/>
    <w:rsid w:val="001D3DB0"/>
    <w:rsid w:val="001D47EC"/>
    <w:rsid w:val="001D49AE"/>
    <w:rsid w:val="001D5AAC"/>
    <w:rsid w:val="001D6329"/>
    <w:rsid w:val="001D635C"/>
    <w:rsid w:val="001D69FC"/>
    <w:rsid w:val="001D6DB0"/>
    <w:rsid w:val="001E15E3"/>
    <w:rsid w:val="001E1717"/>
    <w:rsid w:val="001E18AF"/>
    <w:rsid w:val="001E3311"/>
    <w:rsid w:val="001E3F32"/>
    <w:rsid w:val="001E593C"/>
    <w:rsid w:val="001F15BA"/>
    <w:rsid w:val="001F17DD"/>
    <w:rsid w:val="001F2627"/>
    <w:rsid w:val="001F29BA"/>
    <w:rsid w:val="001F2EF8"/>
    <w:rsid w:val="001F2F54"/>
    <w:rsid w:val="001F309C"/>
    <w:rsid w:val="001F3263"/>
    <w:rsid w:val="001F3A30"/>
    <w:rsid w:val="001F3EF5"/>
    <w:rsid w:val="001F5248"/>
    <w:rsid w:val="001F5F65"/>
    <w:rsid w:val="001F628F"/>
    <w:rsid w:val="001F69A1"/>
    <w:rsid w:val="001F73F2"/>
    <w:rsid w:val="002010C1"/>
    <w:rsid w:val="002042BE"/>
    <w:rsid w:val="0020440C"/>
    <w:rsid w:val="00204E6E"/>
    <w:rsid w:val="00206C51"/>
    <w:rsid w:val="00207779"/>
    <w:rsid w:val="00210B8E"/>
    <w:rsid w:val="002111D9"/>
    <w:rsid w:val="002113A5"/>
    <w:rsid w:val="00211F62"/>
    <w:rsid w:val="00212019"/>
    <w:rsid w:val="00212954"/>
    <w:rsid w:val="00213CB6"/>
    <w:rsid w:val="00213CCA"/>
    <w:rsid w:val="00213F65"/>
    <w:rsid w:val="002150D8"/>
    <w:rsid w:val="0021547B"/>
    <w:rsid w:val="00215BA4"/>
    <w:rsid w:val="00216EF9"/>
    <w:rsid w:val="002205D9"/>
    <w:rsid w:val="00222691"/>
    <w:rsid w:val="00223868"/>
    <w:rsid w:val="00223888"/>
    <w:rsid w:val="0022537C"/>
    <w:rsid w:val="00225ECB"/>
    <w:rsid w:val="002274AA"/>
    <w:rsid w:val="00227A5B"/>
    <w:rsid w:val="002304F1"/>
    <w:rsid w:val="00231256"/>
    <w:rsid w:val="0023134B"/>
    <w:rsid w:val="002314CE"/>
    <w:rsid w:val="0023176B"/>
    <w:rsid w:val="00231E3C"/>
    <w:rsid w:val="00232562"/>
    <w:rsid w:val="0023322B"/>
    <w:rsid w:val="00233C57"/>
    <w:rsid w:val="00234536"/>
    <w:rsid w:val="002362C4"/>
    <w:rsid w:val="00236AFF"/>
    <w:rsid w:val="00237309"/>
    <w:rsid w:val="002416CA"/>
    <w:rsid w:val="00241FB4"/>
    <w:rsid w:val="00242DC1"/>
    <w:rsid w:val="0024360D"/>
    <w:rsid w:val="0024380F"/>
    <w:rsid w:val="00245AF0"/>
    <w:rsid w:val="002461DA"/>
    <w:rsid w:val="002462CB"/>
    <w:rsid w:val="0024794C"/>
    <w:rsid w:val="00247F06"/>
    <w:rsid w:val="00250276"/>
    <w:rsid w:val="00250442"/>
    <w:rsid w:val="002514EE"/>
    <w:rsid w:val="002515E5"/>
    <w:rsid w:val="00251E78"/>
    <w:rsid w:val="00252167"/>
    <w:rsid w:val="002522CA"/>
    <w:rsid w:val="002523D3"/>
    <w:rsid w:val="002526B8"/>
    <w:rsid w:val="00253306"/>
    <w:rsid w:val="00253425"/>
    <w:rsid w:val="00254355"/>
    <w:rsid w:val="00254A83"/>
    <w:rsid w:val="00254F37"/>
    <w:rsid w:val="0025559A"/>
    <w:rsid w:val="0025589D"/>
    <w:rsid w:val="002561B9"/>
    <w:rsid w:val="00256D1D"/>
    <w:rsid w:val="00257054"/>
    <w:rsid w:val="00257ABE"/>
    <w:rsid w:val="00260831"/>
    <w:rsid w:val="002615B2"/>
    <w:rsid w:val="002633A2"/>
    <w:rsid w:val="00265B85"/>
    <w:rsid w:val="0026623D"/>
    <w:rsid w:val="002666A7"/>
    <w:rsid w:val="002672FF"/>
    <w:rsid w:val="00267420"/>
    <w:rsid w:val="002708B8"/>
    <w:rsid w:val="00271D10"/>
    <w:rsid w:val="00272883"/>
    <w:rsid w:val="0027430A"/>
    <w:rsid w:val="00276DDA"/>
    <w:rsid w:val="00277A98"/>
    <w:rsid w:val="00277AE3"/>
    <w:rsid w:val="00277D39"/>
    <w:rsid w:val="00277E0A"/>
    <w:rsid w:val="0028096D"/>
    <w:rsid w:val="0028148E"/>
    <w:rsid w:val="002814AE"/>
    <w:rsid w:val="00281C73"/>
    <w:rsid w:val="002821C8"/>
    <w:rsid w:val="002824CA"/>
    <w:rsid w:val="00282B33"/>
    <w:rsid w:val="00282F9A"/>
    <w:rsid w:val="0028372D"/>
    <w:rsid w:val="00283B18"/>
    <w:rsid w:val="00285BB6"/>
    <w:rsid w:val="00286DE5"/>
    <w:rsid w:val="002870AE"/>
    <w:rsid w:val="002871EB"/>
    <w:rsid w:val="00287AC9"/>
    <w:rsid w:val="00290EC7"/>
    <w:rsid w:val="00291AAF"/>
    <w:rsid w:val="00291B75"/>
    <w:rsid w:val="00292525"/>
    <w:rsid w:val="00293153"/>
    <w:rsid w:val="0029470E"/>
    <w:rsid w:val="0029483C"/>
    <w:rsid w:val="002959D7"/>
    <w:rsid w:val="00295C8D"/>
    <w:rsid w:val="00295F60"/>
    <w:rsid w:val="00296374"/>
    <w:rsid w:val="00297108"/>
    <w:rsid w:val="00297188"/>
    <w:rsid w:val="002A0C9D"/>
    <w:rsid w:val="002A1755"/>
    <w:rsid w:val="002A219C"/>
    <w:rsid w:val="002A2670"/>
    <w:rsid w:val="002A38BA"/>
    <w:rsid w:val="002A3EFE"/>
    <w:rsid w:val="002A54D1"/>
    <w:rsid w:val="002A58BF"/>
    <w:rsid w:val="002A78CF"/>
    <w:rsid w:val="002A7DA5"/>
    <w:rsid w:val="002B0281"/>
    <w:rsid w:val="002B02E9"/>
    <w:rsid w:val="002B03E7"/>
    <w:rsid w:val="002B10B6"/>
    <w:rsid w:val="002B15B8"/>
    <w:rsid w:val="002B28CA"/>
    <w:rsid w:val="002B3EFB"/>
    <w:rsid w:val="002B40AB"/>
    <w:rsid w:val="002B4B17"/>
    <w:rsid w:val="002B5BBC"/>
    <w:rsid w:val="002B5DCE"/>
    <w:rsid w:val="002B60D5"/>
    <w:rsid w:val="002B63EA"/>
    <w:rsid w:val="002B74D6"/>
    <w:rsid w:val="002C0869"/>
    <w:rsid w:val="002C1413"/>
    <w:rsid w:val="002C1B7A"/>
    <w:rsid w:val="002C29E6"/>
    <w:rsid w:val="002C2E98"/>
    <w:rsid w:val="002C36A2"/>
    <w:rsid w:val="002C3760"/>
    <w:rsid w:val="002C51A6"/>
    <w:rsid w:val="002C55EA"/>
    <w:rsid w:val="002C6C2E"/>
    <w:rsid w:val="002C6FEB"/>
    <w:rsid w:val="002D07EA"/>
    <w:rsid w:val="002D0C2B"/>
    <w:rsid w:val="002D165D"/>
    <w:rsid w:val="002D2569"/>
    <w:rsid w:val="002D2F00"/>
    <w:rsid w:val="002D4064"/>
    <w:rsid w:val="002D4657"/>
    <w:rsid w:val="002D4A34"/>
    <w:rsid w:val="002D68E7"/>
    <w:rsid w:val="002D6D4F"/>
    <w:rsid w:val="002D7A03"/>
    <w:rsid w:val="002E0AE8"/>
    <w:rsid w:val="002E1A07"/>
    <w:rsid w:val="002E1BA9"/>
    <w:rsid w:val="002E1DF7"/>
    <w:rsid w:val="002E2F01"/>
    <w:rsid w:val="002E3FFF"/>
    <w:rsid w:val="002E431D"/>
    <w:rsid w:val="002E450B"/>
    <w:rsid w:val="002E45C2"/>
    <w:rsid w:val="002E5AFE"/>
    <w:rsid w:val="002E65BB"/>
    <w:rsid w:val="002F0818"/>
    <w:rsid w:val="002F1213"/>
    <w:rsid w:val="002F1F74"/>
    <w:rsid w:val="002F2019"/>
    <w:rsid w:val="002F2159"/>
    <w:rsid w:val="002F2DB1"/>
    <w:rsid w:val="002F3643"/>
    <w:rsid w:val="002F3A68"/>
    <w:rsid w:val="002F556D"/>
    <w:rsid w:val="002F646E"/>
    <w:rsid w:val="00300B65"/>
    <w:rsid w:val="003011CB"/>
    <w:rsid w:val="00301B57"/>
    <w:rsid w:val="00301C90"/>
    <w:rsid w:val="00305F4D"/>
    <w:rsid w:val="003065E9"/>
    <w:rsid w:val="00306759"/>
    <w:rsid w:val="00306E7A"/>
    <w:rsid w:val="003072F7"/>
    <w:rsid w:val="00307823"/>
    <w:rsid w:val="00307B14"/>
    <w:rsid w:val="00307EEF"/>
    <w:rsid w:val="0031003D"/>
    <w:rsid w:val="00310ED6"/>
    <w:rsid w:val="00312EBF"/>
    <w:rsid w:val="00313D13"/>
    <w:rsid w:val="00316169"/>
    <w:rsid w:val="00316A48"/>
    <w:rsid w:val="00317742"/>
    <w:rsid w:val="0032098A"/>
    <w:rsid w:val="003217CF"/>
    <w:rsid w:val="003232C1"/>
    <w:rsid w:val="00324538"/>
    <w:rsid w:val="003249E9"/>
    <w:rsid w:val="00324F65"/>
    <w:rsid w:val="0032602D"/>
    <w:rsid w:val="00326C74"/>
    <w:rsid w:val="00326FD9"/>
    <w:rsid w:val="00327128"/>
    <w:rsid w:val="0033229B"/>
    <w:rsid w:val="003328BB"/>
    <w:rsid w:val="00333D0B"/>
    <w:rsid w:val="0033416D"/>
    <w:rsid w:val="003360E9"/>
    <w:rsid w:val="00336AE7"/>
    <w:rsid w:val="00336FC1"/>
    <w:rsid w:val="00337EB1"/>
    <w:rsid w:val="003400F9"/>
    <w:rsid w:val="00340A02"/>
    <w:rsid w:val="00340CFB"/>
    <w:rsid w:val="003412B3"/>
    <w:rsid w:val="003428AD"/>
    <w:rsid w:val="00344B35"/>
    <w:rsid w:val="00344BAF"/>
    <w:rsid w:val="0034575D"/>
    <w:rsid w:val="00345E7A"/>
    <w:rsid w:val="00346819"/>
    <w:rsid w:val="00346CBC"/>
    <w:rsid w:val="0034769F"/>
    <w:rsid w:val="00347C7E"/>
    <w:rsid w:val="00347EB3"/>
    <w:rsid w:val="003504B5"/>
    <w:rsid w:val="00350E7F"/>
    <w:rsid w:val="003517BE"/>
    <w:rsid w:val="00351B0A"/>
    <w:rsid w:val="00351D4D"/>
    <w:rsid w:val="00352552"/>
    <w:rsid w:val="00353439"/>
    <w:rsid w:val="00355591"/>
    <w:rsid w:val="00355901"/>
    <w:rsid w:val="0035642A"/>
    <w:rsid w:val="0035714C"/>
    <w:rsid w:val="00357910"/>
    <w:rsid w:val="00357B66"/>
    <w:rsid w:val="00357F81"/>
    <w:rsid w:val="00360886"/>
    <w:rsid w:val="00361ADB"/>
    <w:rsid w:val="00364C32"/>
    <w:rsid w:val="00364C40"/>
    <w:rsid w:val="003650FA"/>
    <w:rsid w:val="00370933"/>
    <w:rsid w:val="00370D71"/>
    <w:rsid w:val="00371619"/>
    <w:rsid w:val="00372244"/>
    <w:rsid w:val="00372337"/>
    <w:rsid w:val="003723DA"/>
    <w:rsid w:val="00373097"/>
    <w:rsid w:val="0037387E"/>
    <w:rsid w:val="003747CF"/>
    <w:rsid w:val="00374C16"/>
    <w:rsid w:val="003761D9"/>
    <w:rsid w:val="00377D92"/>
    <w:rsid w:val="003804B0"/>
    <w:rsid w:val="00381306"/>
    <w:rsid w:val="003832E7"/>
    <w:rsid w:val="00383BA4"/>
    <w:rsid w:val="00385EC6"/>
    <w:rsid w:val="00386D9F"/>
    <w:rsid w:val="00387375"/>
    <w:rsid w:val="003900B0"/>
    <w:rsid w:val="0039274F"/>
    <w:rsid w:val="00392C5F"/>
    <w:rsid w:val="0039369F"/>
    <w:rsid w:val="00393D2E"/>
    <w:rsid w:val="00394686"/>
    <w:rsid w:val="00395EB4"/>
    <w:rsid w:val="00396334"/>
    <w:rsid w:val="00396581"/>
    <w:rsid w:val="00396EAA"/>
    <w:rsid w:val="003A02B8"/>
    <w:rsid w:val="003A04C2"/>
    <w:rsid w:val="003A1A18"/>
    <w:rsid w:val="003A35CB"/>
    <w:rsid w:val="003A3CBB"/>
    <w:rsid w:val="003A48AE"/>
    <w:rsid w:val="003A5D95"/>
    <w:rsid w:val="003A5F31"/>
    <w:rsid w:val="003A64E5"/>
    <w:rsid w:val="003A79C1"/>
    <w:rsid w:val="003B0EED"/>
    <w:rsid w:val="003B1462"/>
    <w:rsid w:val="003B2555"/>
    <w:rsid w:val="003B2CC2"/>
    <w:rsid w:val="003B317A"/>
    <w:rsid w:val="003B5022"/>
    <w:rsid w:val="003B6772"/>
    <w:rsid w:val="003B6C42"/>
    <w:rsid w:val="003B7208"/>
    <w:rsid w:val="003C0FBB"/>
    <w:rsid w:val="003C16B8"/>
    <w:rsid w:val="003C1739"/>
    <w:rsid w:val="003C1A94"/>
    <w:rsid w:val="003C2FF0"/>
    <w:rsid w:val="003C36D5"/>
    <w:rsid w:val="003C4A10"/>
    <w:rsid w:val="003C4B7D"/>
    <w:rsid w:val="003C56F2"/>
    <w:rsid w:val="003C62AF"/>
    <w:rsid w:val="003C6480"/>
    <w:rsid w:val="003C7986"/>
    <w:rsid w:val="003D112C"/>
    <w:rsid w:val="003D1342"/>
    <w:rsid w:val="003D1604"/>
    <w:rsid w:val="003D35E0"/>
    <w:rsid w:val="003D5B93"/>
    <w:rsid w:val="003D607A"/>
    <w:rsid w:val="003D6E08"/>
    <w:rsid w:val="003D7751"/>
    <w:rsid w:val="003E0390"/>
    <w:rsid w:val="003E0DE2"/>
    <w:rsid w:val="003E10AE"/>
    <w:rsid w:val="003E1C07"/>
    <w:rsid w:val="003E2095"/>
    <w:rsid w:val="003E22EA"/>
    <w:rsid w:val="003E252C"/>
    <w:rsid w:val="003E2D00"/>
    <w:rsid w:val="003E312C"/>
    <w:rsid w:val="003E410E"/>
    <w:rsid w:val="003E4F5C"/>
    <w:rsid w:val="003E7186"/>
    <w:rsid w:val="003E7942"/>
    <w:rsid w:val="003E7DAB"/>
    <w:rsid w:val="003F2DE8"/>
    <w:rsid w:val="003F48D0"/>
    <w:rsid w:val="003F4C9A"/>
    <w:rsid w:val="003F639C"/>
    <w:rsid w:val="003F7099"/>
    <w:rsid w:val="004001FA"/>
    <w:rsid w:val="0040086B"/>
    <w:rsid w:val="00401E91"/>
    <w:rsid w:val="00403027"/>
    <w:rsid w:val="004030C7"/>
    <w:rsid w:val="00403495"/>
    <w:rsid w:val="00404149"/>
    <w:rsid w:val="004046C7"/>
    <w:rsid w:val="00404902"/>
    <w:rsid w:val="004049DC"/>
    <w:rsid w:val="00404BA8"/>
    <w:rsid w:val="00404C71"/>
    <w:rsid w:val="00410A5E"/>
    <w:rsid w:val="0041146B"/>
    <w:rsid w:val="0041331B"/>
    <w:rsid w:val="00413B24"/>
    <w:rsid w:val="0041429F"/>
    <w:rsid w:val="0041518C"/>
    <w:rsid w:val="00415C6F"/>
    <w:rsid w:val="00417BE8"/>
    <w:rsid w:val="0042018C"/>
    <w:rsid w:val="004201A4"/>
    <w:rsid w:val="004203F8"/>
    <w:rsid w:val="00420BC0"/>
    <w:rsid w:val="00420BC2"/>
    <w:rsid w:val="00420CEC"/>
    <w:rsid w:val="004210F3"/>
    <w:rsid w:val="00421440"/>
    <w:rsid w:val="004217A4"/>
    <w:rsid w:val="004233D6"/>
    <w:rsid w:val="00424498"/>
    <w:rsid w:val="00424993"/>
    <w:rsid w:val="00425B96"/>
    <w:rsid w:val="00426D66"/>
    <w:rsid w:val="00431C15"/>
    <w:rsid w:val="00431F7A"/>
    <w:rsid w:val="004329E3"/>
    <w:rsid w:val="00432FF5"/>
    <w:rsid w:val="004335E2"/>
    <w:rsid w:val="0043366C"/>
    <w:rsid w:val="00433CB4"/>
    <w:rsid w:val="00434957"/>
    <w:rsid w:val="00434AFD"/>
    <w:rsid w:val="0043527A"/>
    <w:rsid w:val="00435C1F"/>
    <w:rsid w:val="00435FA1"/>
    <w:rsid w:val="004375F3"/>
    <w:rsid w:val="00440067"/>
    <w:rsid w:val="0044198F"/>
    <w:rsid w:val="0044271B"/>
    <w:rsid w:val="00444EE5"/>
    <w:rsid w:val="004450F9"/>
    <w:rsid w:val="00445BF7"/>
    <w:rsid w:val="00445C62"/>
    <w:rsid w:val="00445F9B"/>
    <w:rsid w:val="004466DF"/>
    <w:rsid w:val="00447044"/>
    <w:rsid w:val="00452B09"/>
    <w:rsid w:val="004541AB"/>
    <w:rsid w:val="00454B0F"/>
    <w:rsid w:val="00454BAE"/>
    <w:rsid w:val="004573A1"/>
    <w:rsid w:val="0045756A"/>
    <w:rsid w:val="00460951"/>
    <w:rsid w:val="004609E2"/>
    <w:rsid w:val="0046119E"/>
    <w:rsid w:val="004614D5"/>
    <w:rsid w:val="00463496"/>
    <w:rsid w:val="00463D83"/>
    <w:rsid w:val="00465770"/>
    <w:rsid w:val="00465DB4"/>
    <w:rsid w:val="004666EF"/>
    <w:rsid w:val="00466914"/>
    <w:rsid w:val="00467528"/>
    <w:rsid w:val="00467C14"/>
    <w:rsid w:val="00470B5C"/>
    <w:rsid w:val="00470BFE"/>
    <w:rsid w:val="004717E5"/>
    <w:rsid w:val="00472393"/>
    <w:rsid w:val="004723A9"/>
    <w:rsid w:val="00472BCB"/>
    <w:rsid w:val="00473319"/>
    <w:rsid w:val="004733B0"/>
    <w:rsid w:val="00473718"/>
    <w:rsid w:val="00474CBE"/>
    <w:rsid w:val="0047563A"/>
    <w:rsid w:val="0047603D"/>
    <w:rsid w:val="00476403"/>
    <w:rsid w:val="00477517"/>
    <w:rsid w:val="00477E38"/>
    <w:rsid w:val="00477FC7"/>
    <w:rsid w:val="0048175A"/>
    <w:rsid w:val="004837A2"/>
    <w:rsid w:val="0048386A"/>
    <w:rsid w:val="00483F6A"/>
    <w:rsid w:val="00484379"/>
    <w:rsid w:val="004845BA"/>
    <w:rsid w:val="0048651C"/>
    <w:rsid w:val="00486596"/>
    <w:rsid w:val="004866B4"/>
    <w:rsid w:val="004876A5"/>
    <w:rsid w:val="004876CF"/>
    <w:rsid w:val="00490365"/>
    <w:rsid w:val="0049082D"/>
    <w:rsid w:val="0049222D"/>
    <w:rsid w:val="004926C9"/>
    <w:rsid w:val="00493CFE"/>
    <w:rsid w:val="00494FC6"/>
    <w:rsid w:val="0049503F"/>
    <w:rsid w:val="004A176B"/>
    <w:rsid w:val="004A1879"/>
    <w:rsid w:val="004A187C"/>
    <w:rsid w:val="004A22B8"/>
    <w:rsid w:val="004A28DA"/>
    <w:rsid w:val="004A3151"/>
    <w:rsid w:val="004A4A0B"/>
    <w:rsid w:val="004A69D5"/>
    <w:rsid w:val="004A7953"/>
    <w:rsid w:val="004A7986"/>
    <w:rsid w:val="004B0F9F"/>
    <w:rsid w:val="004B2766"/>
    <w:rsid w:val="004B356F"/>
    <w:rsid w:val="004B4250"/>
    <w:rsid w:val="004B4B2F"/>
    <w:rsid w:val="004B5279"/>
    <w:rsid w:val="004B63BB"/>
    <w:rsid w:val="004B6B8A"/>
    <w:rsid w:val="004C0208"/>
    <w:rsid w:val="004C0CD7"/>
    <w:rsid w:val="004C3857"/>
    <w:rsid w:val="004C39FA"/>
    <w:rsid w:val="004C3B51"/>
    <w:rsid w:val="004C41B1"/>
    <w:rsid w:val="004C4BC5"/>
    <w:rsid w:val="004C4E27"/>
    <w:rsid w:val="004C5916"/>
    <w:rsid w:val="004C6C8D"/>
    <w:rsid w:val="004D01E4"/>
    <w:rsid w:val="004D03F1"/>
    <w:rsid w:val="004D1010"/>
    <w:rsid w:val="004D1378"/>
    <w:rsid w:val="004D1BE5"/>
    <w:rsid w:val="004D30A2"/>
    <w:rsid w:val="004D34FB"/>
    <w:rsid w:val="004D4E37"/>
    <w:rsid w:val="004D5228"/>
    <w:rsid w:val="004D532F"/>
    <w:rsid w:val="004D69BA"/>
    <w:rsid w:val="004D6C25"/>
    <w:rsid w:val="004D6E0C"/>
    <w:rsid w:val="004D72B8"/>
    <w:rsid w:val="004D7660"/>
    <w:rsid w:val="004D7A4B"/>
    <w:rsid w:val="004D7BE4"/>
    <w:rsid w:val="004D7DD5"/>
    <w:rsid w:val="004E1462"/>
    <w:rsid w:val="004E3B3E"/>
    <w:rsid w:val="004E3F9D"/>
    <w:rsid w:val="004E41F7"/>
    <w:rsid w:val="004E5509"/>
    <w:rsid w:val="004E59C3"/>
    <w:rsid w:val="004E6D26"/>
    <w:rsid w:val="004F01FE"/>
    <w:rsid w:val="004F1906"/>
    <w:rsid w:val="004F21E4"/>
    <w:rsid w:val="004F224C"/>
    <w:rsid w:val="004F4763"/>
    <w:rsid w:val="004F484B"/>
    <w:rsid w:val="004F4951"/>
    <w:rsid w:val="004F4F2D"/>
    <w:rsid w:val="004F5DF6"/>
    <w:rsid w:val="004F60BA"/>
    <w:rsid w:val="004F68EB"/>
    <w:rsid w:val="004F706A"/>
    <w:rsid w:val="004F7260"/>
    <w:rsid w:val="005001A0"/>
    <w:rsid w:val="005003FE"/>
    <w:rsid w:val="00500D9B"/>
    <w:rsid w:val="00502282"/>
    <w:rsid w:val="00504429"/>
    <w:rsid w:val="00504F12"/>
    <w:rsid w:val="0050560C"/>
    <w:rsid w:val="0050561F"/>
    <w:rsid w:val="00505760"/>
    <w:rsid w:val="00506B3D"/>
    <w:rsid w:val="005071BD"/>
    <w:rsid w:val="005074CB"/>
    <w:rsid w:val="0051027E"/>
    <w:rsid w:val="005109CC"/>
    <w:rsid w:val="00511262"/>
    <w:rsid w:val="005118AE"/>
    <w:rsid w:val="00513777"/>
    <w:rsid w:val="005141C3"/>
    <w:rsid w:val="00514523"/>
    <w:rsid w:val="005154EB"/>
    <w:rsid w:val="0051580B"/>
    <w:rsid w:val="00516269"/>
    <w:rsid w:val="00516E82"/>
    <w:rsid w:val="005175C2"/>
    <w:rsid w:val="00517DA3"/>
    <w:rsid w:val="00520CA4"/>
    <w:rsid w:val="00521E73"/>
    <w:rsid w:val="00522741"/>
    <w:rsid w:val="00524294"/>
    <w:rsid w:val="00524392"/>
    <w:rsid w:val="005246B0"/>
    <w:rsid w:val="00525800"/>
    <w:rsid w:val="00525AF0"/>
    <w:rsid w:val="005270FB"/>
    <w:rsid w:val="005275BF"/>
    <w:rsid w:val="00530550"/>
    <w:rsid w:val="00530C9D"/>
    <w:rsid w:val="00530CF3"/>
    <w:rsid w:val="0053102A"/>
    <w:rsid w:val="00531412"/>
    <w:rsid w:val="00532094"/>
    <w:rsid w:val="005320BB"/>
    <w:rsid w:val="005320E0"/>
    <w:rsid w:val="00532589"/>
    <w:rsid w:val="0053283D"/>
    <w:rsid w:val="00532B73"/>
    <w:rsid w:val="00533615"/>
    <w:rsid w:val="00534C3E"/>
    <w:rsid w:val="00540005"/>
    <w:rsid w:val="005408C8"/>
    <w:rsid w:val="00540F9B"/>
    <w:rsid w:val="005411D1"/>
    <w:rsid w:val="0054214C"/>
    <w:rsid w:val="00542C66"/>
    <w:rsid w:val="00542E99"/>
    <w:rsid w:val="005453CB"/>
    <w:rsid w:val="005457D1"/>
    <w:rsid w:val="00546698"/>
    <w:rsid w:val="005471AF"/>
    <w:rsid w:val="00547AD3"/>
    <w:rsid w:val="005505A6"/>
    <w:rsid w:val="005523CF"/>
    <w:rsid w:val="00552D96"/>
    <w:rsid w:val="00553630"/>
    <w:rsid w:val="00553CEB"/>
    <w:rsid w:val="005553F9"/>
    <w:rsid w:val="0055698D"/>
    <w:rsid w:val="00556AAA"/>
    <w:rsid w:val="00556C77"/>
    <w:rsid w:val="00557094"/>
    <w:rsid w:val="00557179"/>
    <w:rsid w:val="00557923"/>
    <w:rsid w:val="005604C2"/>
    <w:rsid w:val="0056117F"/>
    <w:rsid w:val="00561C14"/>
    <w:rsid w:val="00561E40"/>
    <w:rsid w:val="00562B36"/>
    <w:rsid w:val="00563039"/>
    <w:rsid w:val="005632A7"/>
    <w:rsid w:val="00564306"/>
    <w:rsid w:val="00564324"/>
    <w:rsid w:val="0056494E"/>
    <w:rsid w:val="00566055"/>
    <w:rsid w:val="00566969"/>
    <w:rsid w:val="0056793F"/>
    <w:rsid w:val="00570F68"/>
    <w:rsid w:val="0057116F"/>
    <w:rsid w:val="00571BCF"/>
    <w:rsid w:val="00571C39"/>
    <w:rsid w:val="00572600"/>
    <w:rsid w:val="005749A0"/>
    <w:rsid w:val="00575B05"/>
    <w:rsid w:val="00576373"/>
    <w:rsid w:val="00576ADC"/>
    <w:rsid w:val="00577935"/>
    <w:rsid w:val="00577DE6"/>
    <w:rsid w:val="005811E0"/>
    <w:rsid w:val="00581721"/>
    <w:rsid w:val="005864C9"/>
    <w:rsid w:val="00587737"/>
    <w:rsid w:val="0059044D"/>
    <w:rsid w:val="00590ECC"/>
    <w:rsid w:val="00591421"/>
    <w:rsid w:val="00592791"/>
    <w:rsid w:val="00593419"/>
    <w:rsid w:val="00593A6A"/>
    <w:rsid w:val="00593CAA"/>
    <w:rsid w:val="0059696C"/>
    <w:rsid w:val="0059738E"/>
    <w:rsid w:val="00597F86"/>
    <w:rsid w:val="00597FC9"/>
    <w:rsid w:val="005A019B"/>
    <w:rsid w:val="005A0281"/>
    <w:rsid w:val="005A0B87"/>
    <w:rsid w:val="005A0F40"/>
    <w:rsid w:val="005A19F0"/>
    <w:rsid w:val="005A1B1F"/>
    <w:rsid w:val="005A1DEA"/>
    <w:rsid w:val="005A41F1"/>
    <w:rsid w:val="005A43F9"/>
    <w:rsid w:val="005A470F"/>
    <w:rsid w:val="005A49D8"/>
    <w:rsid w:val="005A76C4"/>
    <w:rsid w:val="005B009E"/>
    <w:rsid w:val="005B01D7"/>
    <w:rsid w:val="005B202D"/>
    <w:rsid w:val="005B264B"/>
    <w:rsid w:val="005B4E98"/>
    <w:rsid w:val="005B50DA"/>
    <w:rsid w:val="005B5ACC"/>
    <w:rsid w:val="005C0109"/>
    <w:rsid w:val="005C06AE"/>
    <w:rsid w:val="005C0A23"/>
    <w:rsid w:val="005C0E34"/>
    <w:rsid w:val="005C1FEF"/>
    <w:rsid w:val="005C2016"/>
    <w:rsid w:val="005C2098"/>
    <w:rsid w:val="005C26E8"/>
    <w:rsid w:val="005C2AA8"/>
    <w:rsid w:val="005C3D0D"/>
    <w:rsid w:val="005C44E1"/>
    <w:rsid w:val="005C4A11"/>
    <w:rsid w:val="005C525C"/>
    <w:rsid w:val="005D1C57"/>
    <w:rsid w:val="005D1D4C"/>
    <w:rsid w:val="005D2DDC"/>
    <w:rsid w:val="005D35E5"/>
    <w:rsid w:val="005D3B82"/>
    <w:rsid w:val="005D3C66"/>
    <w:rsid w:val="005D3EDC"/>
    <w:rsid w:val="005D4548"/>
    <w:rsid w:val="005D4DC0"/>
    <w:rsid w:val="005D7D02"/>
    <w:rsid w:val="005E14AB"/>
    <w:rsid w:val="005E3A3C"/>
    <w:rsid w:val="005E3CD8"/>
    <w:rsid w:val="005E41ED"/>
    <w:rsid w:val="005E4E54"/>
    <w:rsid w:val="005E5B60"/>
    <w:rsid w:val="005E71D0"/>
    <w:rsid w:val="005E7406"/>
    <w:rsid w:val="005E7E62"/>
    <w:rsid w:val="005F1185"/>
    <w:rsid w:val="005F1B17"/>
    <w:rsid w:val="005F1D1A"/>
    <w:rsid w:val="005F2746"/>
    <w:rsid w:val="005F2CCE"/>
    <w:rsid w:val="005F2CEF"/>
    <w:rsid w:val="005F2E75"/>
    <w:rsid w:val="005F3868"/>
    <w:rsid w:val="005F4606"/>
    <w:rsid w:val="005F49FC"/>
    <w:rsid w:val="005F544F"/>
    <w:rsid w:val="005F5ACB"/>
    <w:rsid w:val="005F6B6A"/>
    <w:rsid w:val="005F7064"/>
    <w:rsid w:val="005F7D33"/>
    <w:rsid w:val="00600891"/>
    <w:rsid w:val="006013D2"/>
    <w:rsid w:val="00601A09"/>
    <w:rsid w:val="00601AD4"/>
    <w:rsid w:val="00603871"/>
    <w:rsid w:val="00603ABE"/>
    <w:rsid w:val="00604187"/>
    <w:rsid w:val="0060449D"/>
    <w:rsid w:val="0060477B"/>
    <w:rsid w:val="0060603F"/>
    <w:rsid w:val="00606F5A"/>
    <w:rsid w:val="006100ED"/>
    <w:rsid w:val="00612BBD"/>
    <w:rsid w:val="006130CA"/>
    <w:rsid w:val="00613E7E"/>
    <w:rsid w:val="006150C0"/>
    <w:rsid w:val="00615E50"/>
    <w:rsid w:val="00616E43"/>
    <w:rsid w:val="00617FEE"/>
    <w:rsid w:val="006206B5"/>
    <w:rsid w:val="0062090C"/>
    <w:rsid w:val="00620A25"/>
    <w:rsid w:val="00620B1F"/>
    <w:rsid w:val="00620BCF"/>
    <w:rsid w:val="00620C66"/>
    <w:rsid w:val="006220A5"/>
    <w:rsid w:val="00624667"/>
    <w:rsid w:val="00624D4D"/>
    <w:rsid w:val="006261DB"/>
    <w:rsid w:val="00626C0F"/>
    <w:rsid w:val="00626CD2"/>
    <w:rsid w:val="006277FE"/>
    <w:rsid w:val="00627D81"/>
    <w:rsid w:val="0063016C"/>
    <w:rsid w:val="006302DB"/>
    <w:rsid w:val="00630CBB"/>
    <w:rsid w:val="00631E9E"/>
    <w:rsid w:val="00635680"/>
    <w:rsid w:val="006367E1"/>
    <w:rsid w:val="0063696E"/>
    <w:rsid w:val="0063787C"/>
    <w:rsid w:val="00641480"/>
    <w:rsid w:val="00642021"/>
    <w:rsid w:val="00642C54"/>
    <w:rsid w:val="00644842"/>
    <w:rsid w:val="00644912"/>
    <w:rsid w:val="00644A48"/>
    <w:rsid w:val="006455E1"/>
    <w:rsid w:val="00645A97"/>
    <w:rsid w:val="00646191"/>
    <w:rsid w:val="00646436"/>
    <w:rsid w:val="00646683"/>
    <w:rsid w:val="00647CF5"/>
    <w:rsid w:val="006500BC"/>
    <w:rsid w:val="00650D41"/>
    <w:rsid w:val="00650EDE"/>
    <w:rsid w:val="006532A1"/>
    <w:rsid w:val="006546A8"/>
    <w:rsid w:val="00654AF2"/>
    <w:rsid w:val="006556D9"/>
    <w:rsid w:val="006568FE"/>
    <w:rsid w:val="00657547"/>
    <w:rsid w:val="00657B70"/>
    <w:rsid w:val="00661149"/>
    <w:rsid w:val="006628C4"/>
    <w:rsid w:val="00663929"/>
    <w:rsid w:val="00664533"/>
    <w:rsid w:val="006650BC"/>
    <w:rsid w:val="006653C6"/>
    <w:rsid w:val="00666525"/>
    <w:rsid w:val="006669B4"/>
    <w:rsid w:val="00666E89"/>
    <w:rsid w:val="00667014"/>
    <w:rsid w:val="00667405"/>
    <w:rsid w:val="00667D61"/>
    <w:rsid w:val="006710D8"/>
    <w:rsid w:val="00671248"/>
    <w:rsid w:val="006718A6"/>
    <w:rsid w:val="00671981"/>
    <w:rsid w:val="0067279D"/>
    <w:rsid w:val="00673717"/>
    <w:rsid w:val="00673D46"/>
    <w:rsid w:val="00675C29"/>
    <w:rsid w:val="00675CC4"/>
    <w:rsid w:val="0067612D"/>
    <w:rsid w:val="00677459"/>
    <w:rsid w:val="00677829"/>
    <w:rsid w:val="00677865"/>
    <w:rsid w:val="0068257B"/>
    <w:rsid w:val="006831AF"/>
    <w:rsid w:val="006842FB"/>
    <w:rsid w:val="006915AC"/>
    <w:rsid w:val="00692609"/>
    <w:rsid w:val="00694D26"/>
    <w:rsid w:val="00695E6C"/>
    <w:rsid w:val="00696132"/>
    <w:rsid w:val="00696C7A"/>
    <w:rsid w:val="00696D30"/>
    <w:rsid w:val="006971DA"/>
    <w:rsid w:val="006975E7"/>
    <w:rsid w:val="00697D45"/>
    <w:rsid w:val="00697D84"/>
    <w:rsid w:val="006A145E"/>
    <w:rsid w:val="006A2287"/>
    <w:rsid w:val="006A2799"/>
    <w:rsid w:val="006A369E"/>
    <w:rsid w:val="006A3F78"/>
    <w:rsid w:val="006A5362"/>
    <w:rsid w:val="006A5722"/>
    <w:rsid w:val="006A5F80"/>
    <w:rsid w:val="006A6B8E"/>
    <w:rsid w:val="006A7618"/>
    <w:rsid w:val="006A7E42"/>
    <w:rsid w:val="006B13FB"/>
    <w:rsid w:val="006B1787"/>
    <w:rsid w:val="006B1E58"/>
    <w:rsid w:val="006B3F64"/>
    <w:rsid w:val="006B45EB"/>
    <w:rsid w:val="006B59A2"/>
    <w:rsid w:val="006C0801"/>
    <w:rsid w:val="006C1857"/>
    <w:rsid w:val="006C34D9"/>
    <w:rsid w:val="006C3817"/>
    <w:rsid w:val="006C4BEE"/>
    <w:rsid w:val="006C4BFF"/>
    <w:rsid w:val="006C4CA2"/>
    <w:rsid w:val="006C4EAA"/>
    <w:rsid w:val="006C5275"/>
    <w:rsid w:val="006C5757"/>
    <w:rsid w:val="006C65B7"/>
    <w:rsid w:val="006C70BF"/>
    <w:rsid w:val="006C7243"/>
    <w:rsid w:val="006C7B36"/>
    <w:rsid w:val="006D02D8"/>
    <w:rsid w:val="006D0779"/>
    <w:rsid w:val="006D0F27"/>
    <w:rsid w:val="006D138C"/>
    <w:rsid w:val="006D21FB"/>
    <w:rsid w:val="006D2837"/>
    <w:rsid w:val="006D42DA"/>
    <w:rsid w:val="006D68DF"/>
    <w:rsid w:val="006D7016"/>
    <w:rsid w:val="006E01EE"/>
    <w:rsid w:val="006E048A"/>
    <w:rsid w:val="006E05D3"/>
    <w:rsid w:val="006E083E"/>
    <w:rsid w:val="006E0C25"/>
    <w:rsid w:val="006E1378"/>
    <w:rsid w:val="006E1466"/>
    <w:rsid w:val="006E1BBB"/>
    <w:rsid w:val="006E1F83"/>
    <w:rsid w:val="006E4056"/>
    <w:rsid w:val="006E54DE"/>
    <w:rsid w:val="006E637C"/>
    <w:rsid w:val="006F09FB"/>
    <w:rsid w:val="006F1BC9"/>
    <w:rsid w:val="006F4E3E"/>
    <w:rsid w:val="006F518A"/>
    <w:rsid w:val="006F531A"/>
    <w:rsid w:val="006F5A0A"/>
    <w:rsid w:val="006F6811"/>
    <w:rsid w:val="006F6826"/>
    <w:rsid w:val="006F6E59"/>
    <w:rsid w:val="006F7ADA"/>
    <w:rsid w:val="006F7F87"/>
    <w:rsid w:val="00700A64"/>
    <w:rsid w:val="00704EB5"/>
    <w:rsid w:val="007061EA"/>
    <w:rsid w:val="0070640D"/>
    <w:rsid w:val="007068EC"/>
    <w:rsid w:val="00706DB7"/>
    <w:rsid w:val="00707140"/>
    <w:rsid w:val="00707A18"/>
    <w:rsid w:val="00707CE3"/>
    <w:rsid w:val="00710ADD"/>
    <w:rsid w:val="00712442"/>
    <w:rsid w:val="0071260D"/>
    <w:rsid w:val="0071343A"/>
    <w:rsid w:val="00713EC3"/>
    <w:rsid w:val="00714188"/>
    <w:rsid w:val="007143CE"/>
    <w:rsid w:val="007155F5"/>
    <w:rsid w:val="0071744A"/>
    <w:rsid w:val="00720CDB"/>
    <w:rsid w:val="00721044"/>
    <w:rsid w:val="00721A57"/>
    <w:rsid w:val="00722729"/>
    <w:rsid w:val="00722F23"/>
    <w:rsid w:val="00723412"/>
    <w:rsid w:val="0072365C"/>
    <w:rsid w:val="007237BB"/>
    <w:rsid w:val="007238D2"/>
    <w:rsid w:val="00723DE2"/>
    <w:rsid w:val="00724B73"/>
    <w:rsid w:val="0072724E"/>
    <w:rsid w:val="007279EA"/>
    <w:rsid w:val="00727E92"/>
    <w:rsid w:val="007307E7"/>
    <w:rsid w:val="007316E4"/>
    <w:rsid w:val="007324E4"/>
    <w:rsid w:val="0073293F"/>
    <w:rsid w:val="0073377C"/>
    <w:rsid w:val="00733A7F"/>
    <w:rsid w:val="00735444"/>
    <w:rsid w:val="0073788D"/>
    <w:rsid w:val="00737B4C"/>
    <w:rsid w:val="00740AD7"/>
    <w:rsid w:val="00740CF0"/>
    <w:rsid w:val="00743FD3"/>
    <w:rsid w:val="007442F5"/>
    <w:rsid w:val="0074483D"/>
    <w:rsid w:val="00745003"/>
    <w:rsid w:val="00745309"/>
    <w:rsid w:val="007457E1"/>
    <w:rsid w:val="00747626"/>
    <w:rsid w:val="00747ACC"/>
    <w:rsid w:val="00751895"/>
    <w:rsid w:val="00753757"/>
    <w:rsid w:val="00753C81"/>
    <w:rsid w:val="00753EFE"/>
    <w:rsid w:val="007552B7"/>
    <w:rsid w:val="00755893"/>
    <w:rsid w:val="00757B9B"/>
    <w:rsid w:val="00760103"/>
    <w:rsid w:val="007605AC"/>
    <w:rsid w:val="00761818"/>
    <w:rsid w:val="00763A0A"/>
    <w:rsid w:val="00764482"/>
    <w:rsid w:val="00764574"/>
    <w:rsid w:val="007653D3"/>
    <w:rsid w:val="00765A8D"/>
    <w:rsid w:val="00765DD5"/>
    <w:rsid w:val="00765FEE"/>
    <w:rsid w:val="00767EE1"/>
    <w:rsid w:val="007704F3"/>
    <w:rsid w:val="00770DC4"/>
    <w:rsid w:val="00770E59"/>
    <w:rsid w:val="007711B0"/>
    <w:rsid w:val="00771253"/>
    <w:rsid w:val="00772BEE"/>
    <w:rsid w:val="00772D05"/>
    <w:rsid w:val="00773B62"/>
    <w:rsid w:val="00773BC9"/>
    <w:rsid w:val="00774B21"/>
    <w:rsid w:val="00774C50"/>
    <w:rsid w:val="007751C2"/>
    <w:rsid w:val="00775AD6"/>
    <w:rsid w:val="00780310"/>
    <w:rsid w:val="00782DE6"/>
    <w:rsid w:val="00786351"/>
    <w:rsid w:val="00787C82"/>
    <w:rsid w:val="00791117"/>
    <w:rsid w:val="007911E1"/>
    <w:rsid w:val="007912D3"/>
    <w:rsid w:val="00791F3A"/>
    <w:rsid w:val="007924F4"/>
    <w:rsid w:val="00793868"/>
    <w:rsid w:val="00794098"/>
    <w:rsid w:val="007948AC"/>
    <w:rsid w:val="007969BA"/>
    <w:rsid w:val="00796DAB"/>
    <w:rsid w:val="00796E37"/>
    <w:rsid w:val="007976E6"/>
    <w:rsid w:val="007A1508"/>
    <w:rsid w:val="007A182C"/>
    <w:rsid w:val="007A2678"/>
    <w:rsid w:val="007A274B"/>
    <w:rsid w:val="007A2794"/>
    <w:rsid w:val="007A3495"/>
    <w:rsid w:val="007A475B"/>
    <w:rsid w:val="007A485E"/>
    <w:rsid w:val="007A5852"/>
    <w:rsid w:val="007A5883"/>
    <w:rsid w:val="007A5FA0"/>
    <w:rsid w:val="007A78C4"/>
    <w:rsid w:val="007A7B9D"/>
    <w:rsid w:val="007B06BB"/>
    <w:rsid w:val="007B1EC4"/>
    <w:rsid w:val="007B3A11"/>
    <w:rsid w:val="007B4569"/>
    <w:rsid w:val="007B4B10"/>
    <w:rsid w:val="007B569A"/>
    <w:rsid w:val="007B592B"/>
    <w:rsid w:val="007B6110"/>
    <w:rsid w:val="007B6236"/>
    <w:rsid w:val="007B6481"/>
    <w:rsid w:val="007B6D2B"/>
    <w:rsid w:val="007B79D6"/>
    <w:rsid w:val="007B7C57"/>
    <w:rsid w:val="007C12EF"/>
    <w:rsid w:val="007C1ABA"/>
    <w:rsid w:val="007C1D22"/>
    <w:rsid w:val="007C54B6"/>
    <w:rsid w:val="007C5561"/>
    <w:rsid w:val="007C661C"/>
    <w:rsid w:val="007C6985"/>
    <w:rsid w:val="007C6C13"/>
    <w:rsid w:val="007C6E46"/>
    <w:rsid w:val="007C756D"/>
    <w:rsid w:val="007D0682"/>
    <w:rsid w:val="007D1300"/>
    <w:rsid w:val="007D20A3"/>
    <w:rsid w:val="007D369F"/>
    <w:rsid w:val="007D3CB2"/>
    <w:rsid w:val="007D499B"/>
    <w:rsid w:val="007D4BFF"/>
    <w:rsid w:val="007D7709"/>
    <w:rsid w:val="007D7A89"/>
    <w:rsid w:val="007D7C88"/>
    <w:rsid w:val="007E0BC4"/>
    <w:rsid w:val="007E2908"/>
    <w:rsid w:val="007E4D0B"/>
    <w:rsid w:val="007E5C2C"/>
    <w:rsid w:val="007E688E"/>
    <w:rsid w:val="007E74AC"/>
    <w:rsid w:val="007F08B1"/>
    <w:rsid w:val="007F2EAA"/>
    <w:rsid w:val="007F3C19"/>
    <w:rsid w:val="007F4838"/>
    <w:rsid w:val="007F589F"/>
    <w:rsid w:val="007F5D10"/>
    <w:rsid w:val="00800B9B"/>
    <w:rsid w:val="00800C40"/>
    <w:rsid w:val="00801B42"/>
    <w:rsid w:val="00802A47"/>
    <w:rsid w:val="00804AD7"/>
    <w:rsid w:val="00804C29"/>
    <w:rsid w:val="00805C58"/>
    <w:rsid w:val="00806B9B"/>
    <w:rsid w:val="00810A44"/>
    <w:rsid w:val="00810EEC"/>
    <w:rsid w:val="0081182E"/>
    <w:rsid w:val="008140CC"/>
    <w:rsid w:val="00814AA2"/>
    <w:rsid w:val="00814EFC"/>
    <w:rsid w:val="00815FD2"/>
    <w:rsid w:val="008162F4"/>
    <w:rsid w:val="008164E3"/>
    <w:rsid w:val="008173C2"/>
    <w:rsid w:val="00817403"/>
    <w:rsid w:val="00820826"/>
    <w:rsid w:val="00822364"/>
    <w:rsid w:val="00822B6A"/>
    <w:rsid w:val="00823B4C"/>
    <w:rsid w:val="008241AF"/>
    <w:rsid w:val="00825AE2"/>
    <w:rsid w:val="00826F78"/>
    <w:rsid w:val="008271C2"/>
    <w:rsid w:val="00827AE6"/>
    <w:rsid w:val="00830861"/>
    <w:rsid w:val="00831DB3"/>
    <w:rsid w:val="00831E92"/>
    <w:rsid w:val="0083203A"/>
    <w:rsid w:val="0083365A"/>
    <w:rsid w:val="0083397D"/>
    <w:rsid w:val="008341C3"/>
    <w:rsid w:val="00835422"/>
    <w:rsid w:val="00835F30"/>
    <w:rsid w:val="00836C19"/>
    <w:rsid w:val="00837698"/>
    <w:rsid w:val="008378E7"/>
    <w:rsid w:val="008378F2"/>
    <w:rsid w:val="00841717"/>
    <w:rsid w:val="00842AC5"/>
    <w:rsid w:val="0084313D"/>
    <w:rsid w:val="008476E7"/>
    <w:rsid w:val="00851566"/>
    <w:rsid w:val="008541D1"/>
    <w:rsid w:val="00854728"/>
    <w:rsid w:val="008572CC"/>
    <w:rsid w:val="00857E87"/>
    <w:rsid w:val="00861D32"/>
    <w:rsid w:val="00862992"/>
    <w:rsid w:val="00862CF7"/>
    <w:rsid w:val="00863424"/>
    <w:rsid w:val="0086571D"/>
    <w:rsid w:val="00865A8A"/>
    <w:rsid w:val="00870153"/>
    <w:rsid w:val="008705A4"/>
    <w:rsid w:val="00872F47"/>
    <w:rsid w:val="00874DF8"/>
    <w:rsid w:val="008754AA"/>
    <w:rsid w:val="00875F58"/>
    <w:rsid w:val="00877606"/>
    <w:rsid w:val="00877830"/>
    <w:rsid w:val="008807E3"/>
    <w:rsid w:val="00880E60"/>
    <w:rsid w:val="0088131C"/>
    <w:rsid w:val="00881392"/>
    <w:rsid w:val="00881AE1"/>
    <w:rsid w:val="00881C74"/>
    <w:rsid w:val="008821CB"/>
    <w:rsid w:val="00882B51"/>
    <w:rsid w:val="00882C4C"/>
    <w:rsid w:val="0088528B"/>
    <w:rsid w:val="008860BF"/>
    <w:rsid w:val="00891C59"/>
    <w:rsid w:val="0089225E"/>
    <w:rsid w:val="008922D6"/>
    <w:rsid w:val="00892CB3"/>
    <w:rsid w:val="00892F27"/>
    <w:rsid w:val="00893035"/>
    <w:rsid w:val="00894C96"/>
    <w:rsid w:val="008966E7"/>
    <w:rsid w:val="0089695B"/>
    <w:rsid w:val="008A053F"/>
    <w:rsid w:val="008A18AF"/>
    <w:rsid w:val="008A1EDD"/>
    <w:rsid w:val="008A2051"/>
    <w:rsid w:val="008A22A4"/>
    <w:rsid w:val="008A2711"/>
    <w:rsid w:val="008A29DB"/>
    <w:rsid w:val="008A2AF5"/>
    <w:rsid w:val="008A30A8"/>
    <w:rsid w:val="008A33AB"/>
    <w:rsid w:val="008A48A7"/>
    <w:rsid w:val="008A4EBA"/>
    <w:rsid w:val="008A55A0"/>
    <w:rsid w:val="008A5611"/>
    <w:rsid w:val="008A5ACD"/>
    <w:rsid w:val="008A7668"/>
    <w:rsid w:val="008B003E"/>
    <w:rsid w:val="008B467B"/>
    <w:rsid w:val="008B5056"/>
    <w:rsid w:val="008B5982"/>
    <w:rsid w:val="008B5ED7"/>
    <w:rsid w:val="008B7196"/>
    <w:rsid w:val="008B7F9C"/>
    <w:rsid w:val="008C1520"/>
    <w:rsid w:val="008C332F"/>
    <w:rsid w:val="008C4178"/>
    <w:rsid w:val="008C4D30"/>
    <w:rsid w:val="008C6282"/>
    <w:rsid w:val="008C6E08"/>
    <w:rsid w:val="008D1C77"/>
    <w:rsid w:val="008D20EC"/>
    <w:rsid w:val="008D2696"/>
    <w:rsid w:val="008D28AA"/>
    <w:rsid w:val="008D2AEB"/>
    <w:rsid w:val="008D3097"/>
    <w:rsid w:val="008D4AEE"/>
    <w:rsid w:val="008D54E1"/>
    <w:rsid w:val="008D5B00"/>
    <w:rsid w:val="008D62CD"/>
    <w:rsid w:val="008E05BE"/>
    <w:rsid w:val="008E0674"/>
    <w:rsid w:val="008E0E34"/>
    <w:rsid w:val="008E1955"/>
    <w:rsid w:val="008E2881"/>
    <w:rsid w:val="008E2BAA"/>
    <w:rsid w:val="008E4021"/>
    <w:rsid w:val="008E4FBB"/>
    <w:rsid w:val="008E6960"/>
    <w:rsid w:val="008E6ADA"/>
    <w:rsid w:val="008E75AC"/>
    <w:rsid w:val="008F06DA"/>
    <w:rsid w:val="008F1DF4"/>
    <w:rsid w:val="008F273B"/>
    <w:rsid w:val="008F47D3"/>
    <w:rsid w:val="008F5103"/>
    <w:rsid w:val="009010B7"/>
    <w:rsid w:val="00901E1B"/>
    <w:rsid w:val="009023A6"/>
    <w:rsid w:val="009024A0"/>
    <w:rsid w:val="0090287C"/>
    <w:rsid w:val="00902D36"/>
    <w:rsid w:val="0090321B"/>
    <w:rsid w:val="00904484"/>
    <w:rsid w:val="0090488D"/>
    <w:rsid w:val="00905259"/>
    <w:rsid w:val="00905CBC"/>
    <w:rsid w:val="00906CFA"/>
    <w:rsid w:val="00907050"/>
    <w:rsid w:val="00907F3D"/>
    <w:rsid w:val="00910D77"/>
    <w:rsid w:val="00911E17"/>
    <w:rsid w:val="00912313"/>
    <w:rsid w:val="00913CA3"/>
    <w:rsid w:val="0091455D"/>
    <w:rsid w:val="00914D35"/>
    <w:rsid w:val="009158D7"/>
    <w:rsid w:val="00915FB6"/>
    <w:rsid w:val="00916328"/>
    <w:rsid w:val="0091774A"/>
    <w:rsid w:val="0092176E"/>
    <w:rsid w:val="009218EC"/>
    <w:rsid w:val="00921D8E"/>
    <w:rsid w:val="009221B2"/>
    <w:rsid w:val="00922C03"/>
    <w:rsid w:val="00922D43"/>
    <w:rsid w:val="0092443F"/>
    <w:rsid w:val="00924AE4"/>
    <w:rsid w:val="00924BFE"/>
    <w:rsid w:val="00925285"/>
    <w:rsid w:val="00925B18"/>
    <w:rsid w:val="00926AF9"/>
    <w:rsid w:val="00927C13"/>
    <w:rsid w:val="00927E2C"/>
    <w:rsid w:val="00930366"/>
    <w:rsid w:val="009319A7"/>
    <w:rsid w:val="0093209D"/>
    <w:rsid w:val="009328DD"/>
    <w:rsid w:val="00932DCA"/>
    <w:rsid w:val="00932F62"/>
    <w:rsid w:val="00933AAA"/>
    <w:rsid w:val="0093451B"/>
    <w:rsid w:val="00935097"/>
    <w:rsid w:val="0093530F"/>
    <w:rsid w:val="009366C6"/>
    <w:rsid w:val="00937903"/>
    <w:rsid w:val="00937C18"/>
    <w:rsid w:val="00940027"/>
    <w:rsid w:val="009426C8"/>
    <w:rsid w:val="00942B47"/>
    <w:rsid w:val="0094375B"/>
    <w:rsid w:val="0094448D"/>
    <w:rsid w:val="0094641E"/>
    <w:rsid w:val="0094718C"/>
    <w:rsid w:val="009475DF"/>
    <w:rsid w:val="00947B4A"/>
    <w:rsid w:val="00947D31"/>
    <w:rsid w:val="009505E9"/>
    <w:rsid w:val="00950C4F"/>
    <w:rsid w:val="009540FB"/>
    <w:rsid w:val="00954A8A"/>
    <w:rsid w:val="00955521"/>
    <w:rsid w:val="00955CE8"/>
    <w:rsid w:val="0095677C"/>
    <w:rsid w:val="0095681E"/>
    <w:rsid w:val="00957283"/>
    <w:rsid w:val="00957501"/>
    <w:rsid w:val="009575CA"/>
    <w:rsid w:val="00960B8B"/>
    <w:rsid w:val="00960B97"/>
    <w:rsid w:val="00960CDC"/>
    <w:rsid w:val="009614A3"/>
    <w:rsid w:val="00962599"/>
    <w:rsid w:val="00962A34"/>
    <w:rsid w:val="00964F80"/>
    <w:rsid w:val="00967788"/>
    <w:rsid w:val="00970385"/>
    <w:rsid w:val="00971832"/>
    <w:rsid w:val="009728BF"/>
    <w:rsid w:val="00974D30"/>
    <w:rsid w:val="00975663"/>
    <w:rsid w:val="00975A40"/>
    <w:rsid w:val="00977A3A"/>
    <w:rsid w:val="00977E24"/>
    <w:rsid w:val="00980F24"/>
    <w:rsid w:val="00980F3D"/>
    <w:rsid w:val="00981507"/>
    <w:rsid w:val="00982E61"/>
    <w:rsid w:val="009835C4"/>
    <w:rsid w:val="00984553"/>
    <w:rsid w:val="00984D2C"/>
    <w:rsid w:val="00984EF5"/>
    <w:rsid w:val="009862D2"/>
    <w:rsid w:val="009867C9"/>
    <w:rsid w:val="00986B10"/>
    <w:rsid w:val="00987195"/>
    <w:rsid w:val="009871DD"/>
    <w:rsid w:val="00987799"/>
    <w:rsid w:val="00987882"/>
    <w:rsid w:val="0098796A"/>
    <w:rsid w:val="00990D90"/>
    <w:rsid w:val="0099104F"/>
    <w:rsid w:val="00991A80"/>
    <w:rsid w:val="00991EAD"/>
    <w:rsid w:val="00992008"/>
    <w:rsid w:val="00992591"/>
    <w:rsid w:val="0099367D"/>
    <w:rsid w:val="00993BC1"/>
    <w:rsid w:val="009946AA"/>
    <w:rsid w:val="009949E8"/>
    <w:rsid w:val="00994F7E"/>
    <w:rsid w:val="0099646F"/>
    <w:rsid w:val="00996CD9"/>
    <w:rsid w:val="009A146D"/>
    <w:rsid w:val="009A1703"/>
    <w:rsid w:val="009A1F21"/>
    <w:rsid w:val="009A333F"/>
    <w:rsid w:val="009A3E48"/>
    <w:rsid w:val="009A4370"/>
    <w:rsid w:val="009A47D3"/>
    <w:rsid w:val="009A4DD7"/>
    <w:rsid w:val="009A53E1"/>
    <w:rsid w:val="009A5C06"/>
    <w:rsid w:val="009A5DD1"/>
    <w:rsid w:val="009A73CC"/>
    <w:rsid w:val="009A7E6E"/>
    <w:rsid w:val="009B0595"/>
    <w:rsid w:val="009B0A25"/>
    <w:rsid w:val="009B1627"/>
    <w:rsid w:val="009B1BB5"/>
    <w:rsid w:val="009B3217"/>
    <w:rsid w:val="009B3C66"/>
    <w:rsid w:val="009B51E1"/>
    <w:rsid w:val="009B5505"/>
    <w:rsid w:val="009C03D2"/>
    <w:rsid w:val="009C122F"/>
    <w:rsid w:val="009C20AC"/>
    <w:rsid w:val="009C2852"/>
    <w:rsid w:val="009C2B69"/>
    <w:rsid w:val="009C49D7"/>
    <w:rsid w:val="009C543C"/>
    <w:rsid w:val="009C6016"/>
    <w:rsid w:val="009C6540"/>
    <w:rsid w:val="009C6658"/>
    <w:rsid w:val="009C7599"/>
    <w:rsid w:val="009D1AD9"/>
    <w:rsid w:val="009D2483"/>
    <w:rsid w:val="009D30D5"/>
    <w:rsid w:val="009D35C8"/>
    <w:rsid w:val="009D3D8F"/>
    <w:rsid w:val="009D3F96"/>
    <w:rsid w:val="009D4F78"/>
    <w:rsid w:val="009D6D58"/>
    <w:rsid w:val="009D709F"/>
    <w:rsid w:val="009D738F"/>
    <w:rsid w:val="009D7595"/>
    <w:rsid w:val="009E01E4"/>
    <w:rsid w:val="009E0228"/>
    <w:rsid w:val="009E02DB"/>
    <w:rsid w:val="009E0AD1"/>
    <w:rsid w:val="009E168E"/>
    <w:rsid w:val="009E1C03"/>
    <w:rsid w:val="009E1C4C"/>
    <w:rsid w:val="009E3553"/>
    <w:rsid w:val="009E6E03"/>
    <w:rsid w:val="009E78F1"/>
    <w:rsid w:val="009F0E2F"/>
    <w:rsid w:val="009F140B"/>
    <w:rsid w:val="009F3D30"/>
    <w:rsid w:val="009F4012"/>
    <w:rsid w:val="009F54CD"/>
    <w:rsid w:val="009F628D"/>
    <w:rsid w:val="009F7F7D"/>
    <w:rsid w:val="00A013AF"/>
    <w:rsid w:val="00A02F46"/>
    <w:rsid w:val="00A030FD"/>
    <w:rsid w:val="00A043AC"/>
    <w:rsid w:val="00A04592"/>
    <w:rsid w:val="00A048D2"/>
    <w:rsid w:val="00A0565A"/>
    <w:rsid w:val="00A0609B"/>
    <w:rsid w:val="00A11240"/>
    <w:rsid w:val="00A12977"/>
    <w:rsid w:val="00A12C91"/>
    <w:rsid w:val="00A1340E"/>
    <w:rsid w:val="00A14C40"/>
    <w:rsid w:val="00A165B1"/>
    <w:rsid w:val="00A1716A"/>
    <w:rsid w:val="00A17C64"/>
    <w:rsid w:val="00A20508"/>
    <w:rsid w:val="00A20B36"/>
    <w:rsid w:val="00A20D5B"/>
    <w:rsid w:val="00A212CB"/>
    <w:rsid w:val="00A22DEF"/>
    <w:rsid w:val="00A22F61"/>
    <w:rsid w:val="00A231EB"/>
    <w:rsid w:val="00A24A6F"/>
    <w:rsid w:val="00A27A52"/>
    <w:rsid w:val="00A30915"/>
    <w:rsid w:val="00A30991"/>
    <w:rsid w:val="00A3177D"/>
    <w:rsid w:val="00A338F3"/>
    <w:rsid w:val="00A338FC"/>
    <w:rsid w:val="00A341DF"/>
    <w:rsid w:val="00A36542"/>
    <w:rsid w:val="00A36CBF"/>
    <w:rsid w:val="00A36F34"/>
    <w:rsid w:val="00A37D95"/>
    <w:rsid w:val="00A40348"/>
    <w:rsid w:val="00A4047A"/>
    <w:rsid w:val="00A40BAC"/>
    <w:rsid w:val="00A41047"/>
    <w:rsid w:val="00A41573"/>
    <w:rsid w:val="00A41ADA"/>
    <w:rsid w:val="00A41BCC"/>
    <w:rsid w:val="00A42781"/>
    <w:rsid w:val="00A42B1F"/>
    <w:rsid w:val="00A4305E"/>
    <w:rsid w:val="00A441A6"/>
    <w:rsid w:val="00A44B30"/>
    <w:rsid w:val="00A4524B"/>
    <w:rsid w:val="00A45488"/>
    <w:rsid w:val="00A45867"/>
    <w:rsid w:val="00A460DB"/>
    <w:rsid w:val="00A462AA"/>
    <w:rsid w:val="00A46947"/>
    <w:rsid w:val="00A47948"/>
    <w:rsid w:val="00A51D38"/>
    <w:rsid w:val="00A53913"/>
    <w:rsid w:val="00A55043"/>
    <w:rsid w:val="00A55536"/>
    <w:rsid w:val="00A56691"/>
    <w:rsid w:val="00A5751A"/>
    <w:rsid w:val="00A60197"/>
    <w:rsid w:val="00A60299"/>
    <w:rsid w:val="00A6069C"/>
    <w:rsid w:val="00A60CB8"/>
    <w:rsid w:val="00A60D66"/>
    <w:rsid w:val="00A61EA6"/>
    <w:rsid w:val="00A62062"/>
    <w:rsid w:val="00A621A8"/>
    <w:rsid w:val="00A6360F"/>
    <w:rsid w:val="00A66739"/>
    <w:rsid w:val="00A67D5A"/>
    <w:rsid w:val="00A70888"/>
    <w:rsid w:val="00A718D1"/>
    <w:rsid w:val="00A719A2"/>
    <w:rsid w:val="00A71E61"/>
    <w:rsid w:val="00A747E7"/>
    <w:rsid w:val="00A77DC2"/>
    <w:rsid w:val="00A801C2"/>
    <w:rsid w:val="00A80C4F"/>
    <w:rsid w:val="00A81067"/>
    <w:rsid w:val="00A81A02"/>
    <w:rsid w:val="00A82564"/>
    <w:rsid w:val="00A8373B"/>
    <w:rsid w:val="00A84F2F"/>
    <w:rsid w:val="00A85494"/>
    <w:rsid w:val="00A86915"/>
    <w:rsid w:val="00A86B72"/>
    <w:rsid w:val="00A86D43"/>
    <w:rsid w:val="00A90216"/>
    <w:rsid w:val="00A943EE"/>
    <w:rsid w:val="00A94E68"/>
    <w:rsid w:val="00A95919"/>
    <w:rsid w:val="00A95C0F"/>
    <w:rsid w:val="00A97300"/>
    <w:rsid w:val="00A97BBE"/>
    <w:rsid w:val="00AA0CD4"/>
    <w:rsid w:val="00AA13ED"/>
    <w:rsid w:val="00AA1F6D"/>
    <w:rsid w:val="00AA25D1"/>
    <w:rsid w:val="00AA2733"/>
    <w:rsid w:val="00AA2E44"/>
    <w:rsid w:val="00AA4871"/>
    <w:rsid w:val="00AA62C4"/>
    <w:rsid w:val="00AA6757"/>
    <w:rsid w:val="00AA6B3E"/>
    <w:rsid w:val="00AA76FD"/>
    <w:rsid w:val="00AB034A"/>
    <w:rsid w:val="00AB0351"/>
    <w:rsid w:val="00AB0973"/>
    <w:rsid w:val="00AB337C"/>
    <w:rsid w:val="00AB3DB0"/>
    <w:rsid w:val="00AB40E3"/>
    <w:rsid w:val="00AB46C2"/>
    <w:rsid w:val="00AB6353"/>
    <w:rsid w:val="00AB6E18"/>
    <w:rsid w:val="00AB75A8"/>
    <w:rsid w:val="00AC0DF9"/>
    <w:rsid w:val="00AC10FB"/>
    <w:rsid w:val="00AC224F"/>
    <w:rsid w:val="00AC2AB4"/>
    <w:rsid w:val="00AC4049"/>
    <w:rsid w:val="00AC421B"/>
    <w:rsid w:val="00AC42DA"/>
    <w:rsid w:val="00AC5700"/>
    <w:rsid w:val="00AC5A5A"/>
    <w:rsid w:val="00AC6923"/>
    <w:rsid w:val="00AC6BAA"/>
    <w:rsid w:val="00AC7112"/>
    <w:rsid w:val="00AC7AA1"/>
    <w:rsid w:val="00AD03AF"/>
    <w:rsid w:val="00AD0FA7"/>
    <w:rsid w:val="00AD1318"/>
    <w:rsid w:val="00AD1D04"/>
    <w:rsid w:val="00AD2ACE"/>
    <w:rsid w:val="00AD3C8E"/>
    <w:rsid w:val="00AD3C92"/>
    <w:rsid w:val="00AD4214"/>
    <w:rsid w:val="00AD49D2"/>
    <w:rsid w:val="00AD5994"/>
    <w:rsid w:val="00AD5C4D"/>
    <w:rsid w:val="00AD6553"/>
    <w:rsid w:val="00AD7B97"/>
    <w:rsid w:val="00AE0481"/>
    <w:rsid w:val="00AE160C"/>
    <w:rsid w:val="00AE169B"/>
    <w:rsid w:val="00AE16B4"/>
    <w:rsid w:val="00AE180B"/>
    <w:rsid w:val="00AE18D5"/>
    <w:rsid w:val="00AE3E5A"/>
    <w:rsid w:val="00AE439B"/>
    <w:rsid w:val="00AE5463"/>
    <w:rsid w:val="00AE5EBF"/>
    <w:rsid w:val="00AE685D"/>
    <w:rsid w:val="00AE6CF2"/>
    <w:rsid w:val="00AE6E2D"/>
    <w:rsid w:val="00AE715A"/>
    <w:rsid w:val="00AF0914"/>
    <w:rsid w:val="00AF0A74"/>
    <w:rsid w:val="00AF2EDA"/>
    <w:rsid w:val="00AF2EFC"/>
    <w:rsid w:val="00AF39C2"/>
    <w:rsid w:val="00AF65FC"/>
    <w:rsid w:val="00AF7D24"/>
    <w:rsid w:val="00B0010A"/>
    <w:rsid w:val="00B0126B"/>
    <w:rsid w:val="00B014F7"/>
    <w:rsid w:val="00B0418F"/>
    <w:rsid w:val="00B05B1A"/>
    <w:rsid w:val="00B06F89"/>
    <w:rsid w:val="00B07102"/>
    <w:rsid w:val="00B07515"/>
    <w:rsid w:val="00B1065E"/>
    <w:rsid w:val="00B117CD"/>
    <w:rsid w:val="00B12723"/>
    <w:rsid w:val="00B1314A"/>
    <w:rsid w:val="00B143B0"/>
    <w:rsid w:val="00B15697"/>
    <w:rsid w:val="00B161C0"/>
    <w:rsid w:val="00B16EFE"/>
    <w:rsid w:val="00B17041"/>
    <w:rsid w:val="00B17077"/>
    <w:rsid w:val="00B17EE4"/>
    <w:rsid w:val="00B17F81"/>
    <w:rsid w:val="00B20C05"/>
    <w:rsid w:val="00B211AD"/>
    <w:rsid w:val="00B21765"/>
    <w:rsid w:val="00B22236"/>
    <w:rsid w:val="00B22539"/>
    <w:rsid w:val="00B22826"/>
    <w:rsid w:val="00B228DD"/>
    <w:rsid w:val="00B22D6B"/>
    <w:rsid w:val="00B2333F"/>
    <w:rsid w:val="00B23626"/>
    <w:rsid w:val="00B24D37"/>
    <w:rsid w:val="00B25AC0"/>
    <w:rsid w:val="00B268A0"/>
    <w:rsid w:val="00B3005A"/>
    <w:rsid w:val="00B307FD"/>
    <w:rsid w:val="00B309C6"/>
    <w:rsid w:val="00B31F07"/>
    <w:rsid w:val="00B3361E"/>
    <w:rsid w:val="00B33866"/>
    <w:rsid w:val="00B3479B"/>
    <w:rsid w:val="00B347A1"/>
    <w:rsid w:val="00B356BD"/>
    <w:rsid w:val="00B36517"/>
    <w:rsid w:val="00B3755D"/>
    <w:rsid w:val="00B400CB"/>
    <w:rsid w:val="00B40244"/>
    <w:rsid w:val="00B404A9"/>
    <w:rsid w:val="00B404E0"/>
    <w:rsid w:val="00B4075D"/>
    <w:rsid w:val="00B41277"/>
    <w:rsid w:val="00B41C1C"/>
    <w:rsid w:val="00B42606"/>
    <w:rsid w:val="00B427D2"/>
    <w:rsid w:val="00B42E82"/>
    <w:rsid w:val="00B434DD"/>
    <w:rsid w:val="00B44E01"/>
    <w:rsid w:val="00B45AAE"/>
    <w:rsid w:val="00B45C1D"/>
    <w:rsid w:val="00B47887"/>
    <w:rsid w:val="00B478DF"/>
    <w:rsid w:val="00B47A0D"/>
    <w:rsid w:val="00B50372"/>
    <w:rsid w:val="00B50CD8"/>
    <w:rsid w:val="00B519D0"/>
    <w:rsid w:val="00B522A3"/>
    <w:rsid w:val="00B526CB"/>
    <w:rsid w:val="00B52978"/>
    <w:rsid w:val="00B53113"/>
    <w:rsid w:val="00B533BB"/>
    <w:rsid w:val="00B547FA"/>
    <w:rsid w:val="00B5486E"/>
    <w:rsid w:val="00B54D6C"/>
    <w:rsid w:val="00B550BD"/>
    <w:rsid w:val="00B56155"/>
    <w:rsid w:val="00B56F98"/>
    <w:rsid w:val="00B60B29"/>
    <w:rsid w:val="00B60D70"/>
    <w:rsid w:val="00B61FA0"/>
    <w:rsid w:val="00B63474"/>
    <w:rsid w:val="00B63635"/>
    <w:rsid w:val="00B63B95"/>
    <w:rsid w:val="00B6415B"/>
    <w:rsid w:val="00B65643"/>
    <w:rsid w:val="00B658F6"/>
    <w:rsid w:val="00B65A36"/>
    <w:rsid w:val="00B67009"/>
    <w:rsid w:val="00B6706B"/>
    <w:rsid w:val="00B67334"/>
    <w:rsid w:val="00B71C16"/>
    <w:rsid w:val="00B722D0"/>
    <w:rsid w:val="00B724FF"/>
    <w:rsid w:val="00B72C26"/>
    <w:rsid w:val="00B72DF8"/>
    <w:rsid w:val="00B73DD3"/>
    <w:rsid w:val="00B7406E"/>
    <w:rsid w:val="00B74C0C"/>
    <w:rsid w:val="00B77620"/>
    <w:rsid w:val="00B77BAA"/>
    <w:rsid w:val="00B80BF2"/>
    <w:rsid w:val="00B81C3C"/>
    <w:rsid w:val="00B8224D"/>
    <w:rsid w:val="00B82A79"/>
    <w:rsid w:val="00B82C48"/>
    <w:rsid w:val="00B836E9"/>
    <w:rsid w:val="00B844FC"/>
    <w:rsid w:val="00B8453F"/>
    <w:rsid w:val="00B851A3"/>
    <w:rsid w:val="00B8674C"/>
    <w:rsid w:val="00B86825"/>
    <w:rsid w:val="00B90C14"/>
    <w:rsid w:val="00B91436"/>
    <w:rsid w:val="00B9298A"/>
    <w:rsid w:val="00B92FEB"/>
    <w:rsid w:val="00B93991"/>
    <w:rsid w:val="00B93CB2"/>
    <w:rsid w:val="00B9490A"/>
    <w:rsid w:val="00B94B26"/>
    <w:rsid w:val="00B95635"/>
    <w:rsid w:val="00B958B4"/>
    <w:rsid w:val="00B964F7"/>
    <w:rsid w:val="00B96BF6"/>
    <w:rsid w:val="00B97262"/>
    <w:rsid w:val="00B97A3B"/>
    <w:rsid w:val="00BA0848"/>
    <w:rsid w:val="00BA0DF8"/>
    <w:rsid w:val="00BA1144"/>
    <w:rsid w:val="00BA2E6A"/>
    <w:rsid w:val="00BA33E9"/>
    <w:rsid w:val="00BA3EDF"/>
    <w:rsid w:val="00BA4396"/>
    <w:rsid w:val="00BA4427"/>
    <w:rsid w:val="00BA4E00"/>
    <w:rsid w:val="00BA531F"/>
    <w:rsid w:val="00BA6FF6"/>
    <w:rsid w:val="00BA72B2"/>
    <w:rsid w:val="00BA76D0"/>
    <w:rsid w:val="00BA7B34"/>
    <w:rsid w:val="00BB0DB6"/>
    <w:rsid w:val="00BB323D"/>
    <w:rsid w:val="00BB5033"/>
    <w:rsid w:val="00BB5A01"/>
    <w:rsid w:val="00BB7873"/>
    <w:rsid w:val="00BC04B4"/>
    <w:rsid w:val="00BC0C7F"/>
    <w:rsid w:val="00BC1118"/>
    <w:rsid w:val="00BC16A0"/>
    <w:rsid w:val="00BC221F"/>
    <w:rsid w:val="00BC2B61"/>
    <w:rsid w:val="00BC2C43"/>
    <w:rsid w:val="00BC2C7B"/>
    <w:rsid w:val="00BC328E"/>
    <w:rsid w:val="00BC3D4F"/>
    <w:rsid w:val="00BC3E28"/>
    <w:rsid w:val="00BC3EF2"/>
    <w:rsid w:val="00BC5653"/>
    <w:rsid w:val="00BC5F9B"/>
    <w:rsid w:val="00BD01E9"/>
    <w:rsid w:val="00BD030F"/>
    <w:rsid w:val="00BD0C31"/>
    <w:rsid w:val="00BD279D"/>
    <w:rsid w:val="00BD3499"/>
    <w:rsid w:val="00BD478C"/>
    <w:rsid w:val="00BD5C34"/>
    <w:rsid w:val="00BD5C6C"/>
    <w:rsid w:val="00BD6059"/>
    <w:rsid w:val="00BE0305"/>
    <w:rsid w:val="00BE173E"/>
    <w:rsid w:val="00BE3340"/>
    <w:rsid w:val="00BE7890"/>
    <w:rsid w:val="00BF010D"/>
    <w:rsid w:val="00BF2285"/>
    <w:rsid w:val="00BF3DAD"/>
    <w:rsid w:val="00BF5526"/>
    <w:rsid w:val="00BF5D05"/>
    <w:rsid w:val="00BF68CF"/>
    <w:rsid w:val="00BF7E7F"/>
    <w:rsid w:val="00C00097"/>
    <w:rsid w:val="00C00385"/>
    <w:rsid w:val="00C022AF"/>
    <w:rsid w:val="00C02E42"/>
    <w:rsid w:val="00C0300D"/>
    <w:rsid w:val="00C03472"/>
    <w:rsid w:val="00C03DC3"/>
    <w:rsid w:val="00C03FC4"/>
    <w:rsid w:val="00C0604D"/>
    <w:rsid w:val="00C060E4"/>
    <w:rsid w:val="00C06356"/>
    <w:rsid w:val="00C072B3"/>
    <w:rsid w:val="00C10BC2"/>
    <w:rsid w:val="00C1101B"/>
    <w:rsid w:val="00C11138"/>
    <w:rsid w:val="00C11B30"/>
    <w:rsid w:val="00C1238D"/>
    <w:rsid w:val="00C12E01"/>
    <w:rsid w:val="00C17DE0"/>
    <w:rsid w:val="00C21B6D"/>
    <w:rsid w:val="00C21D71"/>
    <w:rsid w:val="00C22AD4"/>
    <w:rsid w:val="00C22D1B"/>
    <w:rsid w:val="00C23A8C"/>
    <w:rsid w:val="00C25212"/>
    <w:rsid w:val="00C26D2C"/>
    <w:rsid w:val="00C271E5"/>
    <w:rsid w:val="00C27420"/>
    <w:rsid w:val="00C27B71"/>
    <w:rsid w:val="00C302C0"/>
    <w:rsid w:val="00C32051"/>
    <w:rsid w:val="00C351DE"/>
    <w:rsid w:val="00C35C5C"/>
    <w:rsid w:val="00C37303"/>
    <w:rsid w:val="00C41133"/>
    <w:rsid w:val="00C4363A"/>
    <w:rsid w:val="00C44A2E"/>
    <w:rsid w:val="00C44FF2"/>
    <w:rsid w:val="00C45214"/>
    <w:rsid w:val="00C4567B"/>
    <w:rsid w:val="00C45D40"/>
    <w:rsid w:val="00C47987"/>
    <w:rsid w:val="00C50227"/>
    <w:rsid w:val="00C5058F"/>
    <w:rsid w:val="00C51FAF"/>
    <w:rsid w:val="00C52313"/>
    <w:rsid w:val="00C52F09"/>
    <w:rsid w:val="00C55384"/>
    <w:rsid w:val="00C577F5"/>
    <w:rsid w:val="00C61FDC"/>
    <w:rsid w:val="00C63876"/>
    <w:rsid w:val="00C653E7"/>
    <w:rsid w:val="00C656C8"/>
    <w:rsid w:val="00C65DB0"/>
    <w:rsid w:val="00C6628F"/>
    <w:rsid w:val="00C71E87"/>
    <w:rsid w:val="00C72A16"/>
    <w:rsid w:val="00C72C6A"/>
    <w:rsid w:val="00C72D4F"/>
    <w:rsid w:val="00C75850"/>
    <w:rsid w:val="00C77BC9"/>
    <w:rsid w:val="00C80396"/>
    <w:rsid w:val="00C8125A"/>
    <w:rsid w:val="00C814A3"/>
    <w:rsid w:val="00C82A17"/>
    <w:rsid w:val="00C837A0"/>
    <w:rsid w:val="00C838BC"/>
    <w:rsid w:val="00C84393"/>
    <w:rsid w:val="00C85B28"/>
    <w:rsid w:val="00C871B0"/>
    <w:rsid w:val="00C87440"/>
    <w:rsid w:val="00C87C6E"/>
    <w:rsid w:val="00C911A4"/>
    <w:rsid w:val="00C9127C"/>
    <w:rsid w:val="00C916DC"/>
    <w:rsid w:val="00C9232A"/>
    <w:rsid w:val="00C934B0"/>
    <w:rsid w:val="00C95708"/>
    <w:rsid w:val="00C96018"/>
    <w:rsid w:val="00C96209"/>
    <w:rsid w:val="00C96663"/>
    <w:rsid w:val="00C96C4A"/>
    <w:rsid w:val="00C9723E"/>
    <w:rsid w:val="00C97AB9"/>
    <w:rsid w:val="00C97B43"/>
    <w:rsid w:val="00CA0765"/>
    <w:rsid w:val="00CA0842"/>
    <w:rsid w:val="00CA0969"/>
    <w:rsid w:val="00CA20A4"/>
    <w:rsid w:val="00CA289E"/>
    <w:rsid w:val="00CA3261"/>
    <w:rsid w:val="00CA3532"/>
    <w:rsid w:val="00CA391E"/>
    <w:rsid w:val="00CA3E29"/>
    <w:rsid w:val="00CA3E81"/>
    <w:rsid w:val="00CA436A"/>
    <w:rsid w:val="00CA4743"/>
    <w:rsid w:val="00CA4E10"/>
    <w:rsid w:val="00CA4FD2"/>
    <w:rsid w:val="00CA57D6"/>
    <w:rsid w:val="00CA7266"/>
    <w:rsid w:val="00CA7825"/>
    <w:rsid w:val="00CB0C12"/>
    <w:rsid w:val="00CB18AA"/>
    <w:rsid w:val="00CB2029"/>
    <w:rsid w:val="00CB245C"/>
    <w:rsid w:val="00CB24F6"/>
    <w:rsid w:val="00CB2BAD"/>
    <w:rsid w:val="00CB2FC4"/>
    <w:rsid w:val="00CB305C"/>
    <w:rsid w:val="00CB3CCC"/>
    <w:rsid w:val="00CB4679"/>
    <w:rsid w:val="00CB5282"/>
    <w:rsid w:val="00CB5BA5"/>
    <w:rsid w:val="00CB705A"/>
    <w:rsid w:val="00CB7D21"/>
    <w:rsid w:val="00CB7F3C"/>
    <w:rsid w:val="00CC0953"/>
    <w:rsid w:val="00CC0C7D"/>
    <w:rsid w:val="00CC2A38"/>
    <w:rsid w:val="00CC3346"/>
    <w:rsid w:val="00CC39E7"/>
    <w:rsid w:val="00CC44CC"/>
    <w:rsid w:val="00CC4A30"/>
    <w:rsid w:val="00CC5BCD"/>
    <w:rsid w:val="00CC6112"/>
    <w:rsid w:val="00CC637B"/>
    <w:rsid w:val="00CC6668"/>
    <w:rsid w:val="00CC66C3"/>
    <w:rsid w:val="00CD146B"/>
    <w:rsid w:val="00CD162E"/>
    <w:rsid w:val="00CD22ED"/>
    <w:rsid w:val="00CD31D9"/>
    <w:rsid w:val="00CD69CE"/>
    <w:rsid w:val="00CE02C0"/>
    <w:rsid w:val="00CE037F"/>
    <w:rsid w:val="00CE0404"/>
    <w:rsid w:val="00CE04F9"/>
    <w:rsid w:val="00CE08E2"/>
    <w:rsid w:val="00CE2157"/>
    <w:rsid w:val="00CE279E"/>
    <w:rsid w:val="00CE2887"/>
    <w:rsid w:val="00CE2CB3"/>
    <w:rsid w:val="00CE3B84"/>
    <w:rsid w:val="00CE3E6B"/>
    <w:rsid w:val="00CE4204"/>
    <w:rsid w:val="00CE44CD"/>
    <w:rsid w:val="00CE5184"/>
    <w:rsid w:val="00CE5859"/>
    <w:rsid w:val="00CE5C72"/>
    <w:rsid w:val="00CE6606"/>
    <w:rsid w:val="00CF0148"/>
    <w:rsid w:val="00CF1C0D"/>
    <w:rsid w:val="00CF1C9F"/>
    <w:rsid w:val="00CF1E0D"/>
    <w:rsid w:val="00CF252F"/>
    <w:rsid w:val="00CF29A5"/>
    <w:rsid w:val="00CF2EFF"/>
    <w:rsid w:val="00CF3DC1"/>
    <w:rsid w:val="00CF4630"/>
    <w:rsid w:val="00CF5D74"/>
    <w:rsid w:val="00CF6B56"/>
    <w:rsid w:val="00CF72CE"/>
    <w:rsid w:val="00D005A1"/>
    <w:rsid w:val="00D007B1"/>
    <w:rsid w:val="00D0513A"/>
    <w:rsid w:val="00D052A6"/>
    <w:rsid w:val="00D0654A"/>
    <w:rsid w:val="00D06625"/>
    <w:rsid w:val="00D06A13"/>
    <w:rsid w:val="00D07A4F"/>
    <w:rsid w:val="00D07F45"/>
    <w:rsid w:val="00D10D77"/>
    <w:rsid w:val="00D12B9A"/>
    <w:rsid w:val="00D12F58"/>
    <w:rsid w:val="00D12FFC"/>
    <w:rsid w:val="00D1306A"/>
    <w:rsid w:val="00D13205"/>
    <w:rsid w:val="00D13A3D"/>
    <w:rsid w:val="00D14340"/>
    <w:rsid w:val="00D14347"/>
    <w:rsid w:val="00D1531A"/>
    <w:rsid w:val="00D15464"/>
    <w:rsid w:val="00D15645"/>
    <w:rsid w:val="00D176A7"/>
    <w:rsid w:val="00D1771E"/>
    <w:rsid w:val="00D201BD"/>
    <w:rsid w:val="00D20AE7"/>
    <w:rsid w:val="00D212FB"/>
    <w:rsid w:val="00D213C5"/>
    <w:rsid w:val="00D22C4B"/>
    <w:rsid w:val="00D23FCE"/>
    <w:rsid w:val="00D24AFC"/>
    <w:rsid w:val="00D24B15"/>
    <w:rsid w:val="00D24CFB"/>
    <w:rsid w:val="00D24D62"/>
    <w:rsid w:val="00D253A5"/>
    <w:rsid w:val="00D26214"/>
    <w:rsid w:val="00D267D9"/>
    <w:rsid w:val="00D26F99"/>
    <w:rsid w:val="00D27460"/>
    <w:rsid w:val="00D27AFD"/>
    <w:rsid w:val="00D27B6F"/>
    <w:rsid w:val="00D30408"/>
    <w:rsid w:val="00D30D41"/>
    <w:rsid w:val="00D33239"/>
    <w:rsid w:val="00D3331F"/>
    <w:rsid w:val="00D3430A"/>
    <w:rsid w:val="00D35FCF"/>
    <w:rsid w:val="00D36CA4"/>
    <w:rsid w:val="00D37AAF"/>
    <w:rsid w:val="00D433C0"/>
    <w:rsid w:val="00D44BA0"/>
    <w:rsid w:val="00D45CBC"/>
    <w:rsid w:val="00D47618"/>
    <w:rsid w:val="00D50808"/>
    <w:rsid w:val="00D50DF1"/>
    <w:rsid w:val="00D50F40"/>
    <w:rsid w:val="00D51475"/>
    <w:rsid w:val="00D51944"/>
    <w:rsid w:val="00D5198E"/>
    <w:rsid w:val="00D51A68"/>
    <w:rsid w:val="00D5316C"/>
    <w:rsid w:val="00D53F77"/>
    <w:rsid w:val="00D542DD"/>
    <w:rsid w:val="00D54491"/>
    <w:rsid w:val="00D55FCF"/>
    <w:rsid w:val="00D57ACA"/>
    <w:rsid w:val="00D57C3A"/>
    <w:rsid w:val="00D61F32"/>
    <w:rsid w:val="00D62F67"/>
    <w:rsid w:val="00D63CDE"/>
    <w:rsid w:val="00D677C8"/>
    <w:rsid w:val="00D6799F"/>
    <w:rsid w:val="00D70809"/>
    <w:rsid w:val="00D710A1"/>
    <w:rsid w:val="00D71857"/>
    <w:rsid w:val="00D72303"/>
    <w:rsid w:val="00D72541"/>
    <w:rsid w:val="00D7293A"/>
    <w:rsid w:val="00D72D22"/>
    <w:rsid w:val="00D741AA"/>
    <w:rsid w:val="00D7489B"/>
    <w:rsid w:val="00D75296"/>
    <w:rsid w:val="00D75666"/>
    <w:rsid w:val="00D76710"/>
    <w:rsid w:val="00D76D9E"/>
    <w:rsid w:val="00D803E9"/>
    <w:rsid w:val="00D804F3"/>
    <w:rsid w:val="00D83E15"/>
    <w:rsid w:val="00D84785"/>
    <w:rsid w:val="00D84B46"/>
    <w:rsid w:val="00D84E58"/>
    <w:rsid w:val="00D865AA"/>
    <w:rsid w:val="00D86E79"/>
    <w:rsid w:val="00D9038E"/>
    <w:rsid w:val="00D91D26"/>
    <w:rsid w:val="00D91F7F"/>
    <w:rsid w:val="00D92591"/>
    <w:rsid w:val="00D9370D"/>
    <w:rsid w:val="00D94A1C"/>
    <w:rsid w:val="00D94CBB"/>
    <w:rsid w:val="00D95546"/>
    <w:rsid w:val="00D95935"/>
    <w:rsid w:val="00D95D14"/>
    <w:rsid w:val="00D97036"/>
    <w:rsid w:val="00D970FD"/>
    <w:rsid w:val="00D97F34"/>
    <w:rsid w:val="00DA1625"/>
    <w:rsid w:val="00DA18E4"/>
    <w:rsid w:val="00DA32EE"/>
    <w:rsid w:val="00DA3DA5"/>
    <w:rsid w:val="00DA3F1B"/>
    <w:rsid w:val="00DA4858"/>
    <w:rsid w:val="00DA6F64"/>
    <w:rsid w:val="00DB0834"/>
    <w:rsid w:val="00DB1567"/>
    <w:rsid w:val="00DB265E"/>
    <w:rsid w:val="00DB2AC3"/>
    <w:rsid w:val="00DB5230"/>
    <w:rsid w:val="00DB5850"/>
    <w:rsid w:val="00DB7E81"/>
    <w:rsid w:val="00DC15FB"/>
    <w:rsid w:val="00DC17CB"/>
    <w:rsid w:val="00DC1A1D"/>
    <w:rsid w:val="00DC2760"/>
    <w:rsid w:val="00DC2A3F"/>
    <w:rsid w:val="00DC3531"/>
    <w:rsid w:val="00DC405E"/>
    <w:rsid w:val="00DC5586"/>
    <w:rsid w:val="00DC64BA"/>
    <w:rsid w:val="00DC7D6C"/>
    <w:rsid w:val="00DC7E1F"/>
    <w:rsid w:val="00DD07DD"/>
    <w:rsid w:val="00DD0FCD"/>
    <w:rsid w:val="00DD1301"/>
    <w:rsid w:val="00DD1C4C"/>
    <w:rsid w:val="00DD375A"/>
    <w:rsid w:val="00DD427D"/>
    <w:rsid w:val="00DD4428"/>
    <w:rsid w:val="00DD46F3"/>
    <w:rsid w:val="00DD4831"/>
    <w:rsid w:val="00DD6898"/>
    <w:rsid w:val="00DD6ABB"/>
    <w:rsid w:val="00DD6D5F"/>
    <w:rsid w:val="00DD7177"/>
    <w:rsid w:val="00DD78BC"/>
    <w:rsid w:val="00DE0088"/>
    <w:rsid w:val="00DE018E"/>
    <w:rsid w:val="00DE0219"/>
    <w:rsid w:val="00DE03F6"/>
    <w:rsid w:val="00DE1C0B"/>
    <w:rsid w:val="00DE3D17"/>
    <w:rsid w:val="00DE43AD"/>
    <w:rsid w:val="00DE6C4E"/>
    <w:rsid w:val="00DE6E31"/>
    <w:rsid w:val="00DF0979"/>
    <w:rsid w:val="00DF583D"/>
    <w:rsid w:val="00DF5C3B"/>
    <w:rsid w:val="00DF6081"/>
    <w:rsid w:val="00DF6605"/>
    <w:rsid w:val="00DF74AF"/>
    <w:rsid w:val="00E02050"/>
    <w:rsid w:val="00E031B9"/>
    <w:rsid w:val="00E04632"/>
    <w:rsid w:val="00E04A6D"/>
    <w:rsid w:val="00E0570D"/>
    <w:rsid w:val="00E07051"/>
    <w:rsid w:val="00E07186"/>
    <w:rsid w:val="00E07CAA"/>
    <w:rsid w:val="00E07E2C"/>
    <w:rsid w:val="00E106CF"/>
    <w:rsid w:val="00E10937"/>
    <w:rsid w:val="00E11720"/>
    <w:rsid w:val="00E121E9"/>
    <w:rsid w:val="00E1316C"/>
    <w:rsid w:val="00E133A2"/>
    <w:rsid w:val="00E14399"/>
    <w:rsid w:val="00E14C12"/>
    <w:rsid w:val="00E1759D"/>
    <w:rsid w:val="00E17713"/>
    <w:rsid w:val="00E215C2"/>
    <w:rsid w:val="00E218CF"/>
    <w:rsid w:val="00E22837"/>
    <w:rsid w:val="00E2584A"/>
    <w:rsid w:val="00E263C6"/>
    <w:rsid w:val="00E27584"/>
    <w:rsid w:val="00E309C0"/>
    <w:rsid w:val="00E322E2"/>
    <w:rsid w:val="00E32C53"/>
    <w:rsid w:val="00E3337D"/>
    <w:rsid w:val="00E337D9"/>
    <w:rsid w:val="00E3401F"/>
    <w:rsid w:val="00E341EF"/>
    <w:rsid w:val="00E37C93"/>
    <w:rsid w:val="00E40002"/>
    <w:rsid w:val="00E42302"/>
    <w:rsid w:val="00E42FF0"/>
    <w:rsid w:val="00E44CCB"/>
    <w:rsid w:val="00E467F5"/>
    <w:rsid w:val="00E5226B"/>
    <w:rsid w:val="00E5247D"/>
    <w:rsid w:val="00E526F6"/>
    <w:rsid w:val="00E52F36"/>
    <w:rsid w:val="00E5360F"/>
    <w:rsid w:val="00E5423A"/>
    <w:rsid w:val="00E542CD"/>
    <w:rsid w:val="00E55512"/>
    <w:rsid w:val="00E557F1"/>
    <w:rsid w:val="00E558DF"/>
    <w:rsid w:val="00E56B28"/>
    <w:rsid w:val="00E57869"/>
    <w:rsid w:val="00E60029"/>
    <w:rsid w:val="00E60AC4"/>
    <w:rsid w:val="00E612F4"/>
    <w:rsid w:val="00E62454"/>
    <w:rsid w:val="00E64036"/>
    <w:rsid w:val="00E646B5"/>
    <w:rsid w:val="00E646BB"/>
    <w:rsid w:val="00E655F0"/>
    <w:rsid w:val="00E65CB7"/>
    <w:rsid w:val="00E66CAE"/>
    <w:rsid w:val="00E7069B"/>
    <w:rsid w:val="00E72994"/>
    <w:rsid w:val="00E731B9"/>
    <w:rsid w:val="00E733F0"/>
    <w:rsid w:val="00E73D46"/>
    <w:rsid w:val="00E76A56"/>
    <w:rsid w:val="00E779F5"/>
    <w:rsid w:val="00E80D95"/>
    <w:rsid w:val="00E8148B"/>
    <w:rsid w:val="00E8331E"/>
    <w:rsid w:val="00E84093"/>
    <w:rsid w:val="00E840EC"/>
    <w:rsid w:val="00E848DF"/>
    <w:rsid w:val="00E87984"/>
    <w:rsid w:val="00E9093D"/>
    <w:rsid w:val="00E90BF0"/>
    <w:rsid w:val="00E91484"/>
    <w:rsid w:val="00E917BB"/>
    <w:rsid w:val="00E9389C"/>
    <w:rsid w:val="00E95013"/>
    <w:rsid w:val="00E97676"/>
    <w:rsid w:val="00EA2B11"/>
    <w:rsid w:val="00EA2C7B"/>
    <w:rsid w:val="00EA2E2B"/>
    <w:rsid w:val="00EA3807"/>
    <w:rsid w:val="00EA518C"/>
    <w:rsid w:val="00EA54C9"/>
    <w:rsid w:val="00EA64B8"/>
    <w:rsid w:val="00EB07C2"/>
    <w:rsid w:val="00EB0BA7"/>
    <w:rsid w:val="00EB0FD7"/>
    <w:rsid w:val="00EB22B3"/>
    <w:rsid w:val="00EB2496"/>
    <w:rsid w:val="00EB2A66"/>
    <w:rsid w:val="00EB428C"/>
    <w:rsid w:val="00EB51AB"/>
    <w:rsid w:val="00EB580E"/>
    <w:rsid w:val="00EB6D80"/>
    <w:rsid w:val="00EB7037"/>
    <w:rsid w:val="00EB77F9"/>
    <w:rsid w:val="00EC050B"/>
    <w:rsid w:val="00EC073F"/>
    <w:rsid w:val="00EC1ABA"/>
    <w:rsid w:val="00EC232A"/>
    <w:rsid w:val="00EC2446"/>
    <w:rsid w:val="00EC2839"/>
    <w:rsid w:val="00EC2E0E"/>
    <w:rsid w:val="00EC3420"/>
    <w:rsid w:val="00EC4D46"/>
    <w:rsid w:val="00ED02CB"/>
    <w:rsid w:val="00ED1EFD"/>
    <w:rsid w:val="00ED2777"/>
    <w:rsid w:val="00ED3D52"/>
    <w:rsid w:val="00ED4531"/>
    <w:rsid w:val="00ED531F"/>
    <w:rsid w:val="00ED5913"/>
    <w:rsid w:val="00ED6582"/>
    <w:rsid w:val="00EE06BE"/>
    <w:rsid w:val="00EE08A8"/>
    <w:rsid w:val="00EE162F"/>
    <w:rsid w:val="00EE1AAA"/>
    <w:rsid w:val="00EE36C9"/>
    <w:rsid w:val="00EE3DF5"/>
    <w:rsid w:val="00EE4C70"/>
    <w:rsid w:val="00EE4EDE"/>
    <w:rsid w:val="00EE586D"/>
    <w:rsid w:val="00EE6212"/>
    <w:rsid w:val="00EE74BD"/>
    <w:rsid w:val="00EE75D0"/>
    <w:rsid w:val="00EF0155"/>
    <w:rsid w:val="00EF0D0C"/>
    <w:rsid w:val="00EF0D39"/>
    <w:rsid w:val="00EF2842"/>
    <w:rsid w:val="00EF3DE2"/>
    <w:rsid w:val="00EF7C2F"/>
    <w:rsid w:val="00F00225"/>
    <w:rsid w:val="00F00311"/>
    <w:rsid w:val="00F0252C"/>
    <w:rsid w:val="00F025E2"/>
    <w:rsid w:val="00F042BE"/>
    <w:rsid w:val="00F05D8C"/>
    <w:rsid w:val="00F06A12"/>
    <w:rsid w:val="00F06A68"/>
    <w:rsid w:val="00F0714A"/>
    <w:rsid w:val="00F07235"/>
    <w:rsid w:val="00F10363"/>
    <w:rsid w:val="00F11A50"/>
    <w:rsid w:val="00F11F66"/>
    <w:rsid w:val="00F11FE0"/>
    <w:rsid w:val="00F1241F"/>
    <w:rsid w:val="00F129A3"/>
    <w:rsid w:val="00F15A98"/>
    <w:rsid w:val="00F15B9F"/>
    <w:rsid w:val="00F15C9B"/>
    <w:rsid w:val="00F201D5"/>
    <w:rsid w:val="00F20599"/>
    <w:rsid w:val="00F20601"/>
    <w:rsid w:val="00F20784"/>
    <w:rsid w:val="00F24B7B"/>
    <w:rsid w:val="00F25AC7"/>
    <w:rsid w:val="00F25D7E"/>
    <w:rsid w:val="00F26224"/>
    <w:rsid w:val="00F26B66"/>
    <w:rsid w:val="00F27458"/>
    <w:rsid w:val="00F27AE6"/>
    <w:rsid w:val="00F27B94"/>
    <w:rsid w:val="00F3040C"/>
    <w:rsid w:val="00F308AC"/>
    <w:rsid w:val="00F30A49"/>
    <w:rsid w:val="00F348B3"/>
    <w:rsid w:val="00F3547E"/>
    <w:rsid w:val="00F35EAD"/>
    <w:rsid w:val="00F36805"/>
    <w:rsid w:val="00F3703D"/>
    <w:rsid w:val="00F37332"/>
    <w:rsid w:val="00F37714"/>
    <w:rsid w:val="00F4167A"/>
    <w:rsid w:val="00F43CD5"/>
    <w:rsid w:val="00F44138"/>
    <w:rsid w:val="00F448DE"/>
    <w:rsid w:val="00F44A9B"/>
    <w:rsid w:val="00F44CD5"/>
    <w:rsid w:val="00F4507B"/>
    <w:rsid w:val="00F4667E"/>
    <w:rsid w:val="00F470E1"/>
    <w:rsid w:val="00F47EDF"/>
    <w:rsid w:val="00F47FD7"/>
    <w:rsid w:val="00F502A4"/>
    <w:rsid w:val="00F50C1D"/>
    <w:rsid w:val="00F50CAD"/>
    <w:rsid w:val="00F5179F"/>
    <w:rsid w:val="00F517CE"/>
    <w:rsid w:val="00F51EC7"/>
    <w:rsid w:val="00F526A5"/>
    <w:rsid w:val="00F52F0E"/>
    <w:rsid w:val="00F536C5"/>
    <w:rsid w:val="00F542C0"/>
    <w:rsid w:val="00F54B6D"/>
    <w:rsid w:val="00F56679"/>
    <w:rsid w:val="00F57AA2"/>
    <w:rsid w:val="00F6075E"/>
    <w:rsid w:val="00F61051"/>
    <w:rsid w:val="00F61345"/>
    <w:rsid w:val="00F625A6"/>
    <w:rsid w:val="00F65424"/>
    <w:rsid w:val="00F65C3A"/>
    <w:rsid w:val="00F66374"/>
    <w:rsid w:val="00F66675"/>
    <w:rsid w:val="00F66B27"/>
    <w:rsid w:val="00F67FE5"/>
    <w:rsid w:val="00F726E7"/>
    <w:rsid w:val="00F731EC"/>
    <w:rsid w:val="00F757E8"/>
    <w:rsid w:val="00F76CCD"/>
    <w:rsid w:val="00F76D6A"/>
    <w:rsid w:val="00F77236"/>
    <w:rsid w:val="00F77C0C"/>
    <w:rsid w:val="00F8055B"/>
    <w:rsid w:val="00F80A33"/>
    <w:rsid w:val="00F820FA"/>
    <w:rsid w:val="00F82387"/>
    <w:rsid w:val="00F82B82"/>
    <w:rsid w:val="00F82F6C"/>
    <w:rsid w:val="00F84635"/>
    <w:rsid w:val="00F84846"/>
    <w:rsid w:val="00F84912"/>
    <w:rsid w:val="00F84A49"/>
    <w:rsid w:val="00F8636C"/>
    <w:rsid w:val="00F8648E"/>
    <w:rsid w:val="00F865B0"/>
    <w:rsid w:val="00F86CCF"/>
    <w:rsid w:val="00F8773F"/>
    <w:rsid w:val="00F901AF"/>
    <w:rsid w:val="00F9104F"/>
    <w:rsid w:val="00F92686"/>
    <w:rsid w:val="00F93C79"/>
    <w:rsid w:val="00F9431C"/>
    <w:rsid w:val="00F955A7"/>
    <w:rsid w:val="00F95A69"/>
    <w:rsid w:val="00F96B49"/>
    <w:rsid w:val="00F979AC"/>
    <w:rsid w:val="00FA1C27"/>
    <w:rsid w:val="00FA1F8D"/>
    <w:rsid w:val="00FA28F0"/>
    <w:rsid w:val="00FA29EF"/>
    <w:rsid w:val="00FA6865"/>
    <w:rsid w:val="00FA6A59"/>
    <w:rsid w:val="00FA73BB"/>
    <w:rsid w:val="00FA7427"/>
    <w:rsid w:val="00FB117F"/>
    <w:rsid w:val="00FB324D"/>
    <w:rsid w:val="00FB3AD9"/>
    <w:rsid w:val="00FB403B"/>
    <w:rsid w:val="00FB4CEF"/>
    <w:rsid w:val="00FB6778"/>
    <w:rsid w:val="00FB68C5"/>
    <w:rsid w:val="00FB7522"/>
    <w:rsid w:val="00FB758E"/>
    <w:rsid w:val="00FB7BA9"/>
    <w:rsid w:val="00FB7D5C"/>
    <w:rsid w:val="00FC03F3"/>
    <w:rsid w:val="00FC119C"/>
    <w:rsid w:val="00FC1307"/>
    <w:rsid w:val="00FC19C5"/>
    <w:rsid w:val="00FC1BC7"/>
    <w:rsid w:val="00FC4CAF"/>
    <w:rsid w:val="00FC56B8"/>
    <w:rsid w:val="00FC611E"/>
    <w:rsid w:val="00FC7A8E"/>
    <w:rsid w:val="00FC7D93"/>
    <w:rsid w:val="00FD02BE"/>
    <w:rsid w:val="00FD0C45"/>
    <w:rsid w:val="00FD3AED"/>
    <w:rsid w:val="00FD4948"/>
    <w:rsid w:val="00FD4D23"/>
    <w:rsid w:val="00FD50A3"/>
    <w:rsid w:val="00FD6770"/>
    <w:rsid w:val="00FD6EAD"/>
    <w:rsid w:val="00FE1978"/>
    <w:rsid w:val="00FE1CFB"/>
    <w:rsid w:val="00FE64AB"/>
    <w:rsid w:val="00FF2342"/>
    <w:rsid w:val="00FF2684"/>
    <w:rsid w:val="00FF3146"/>
    <w:rsid w:val="00FF34F0"/>
    <w:rsid w:val="00FF4653"/>
    <w:rsid w:val="00FF4777"/>
    <w:rsid w:val="00FF4DAE"/>
    <w:rsid w:val="00FF56B4"/>
    <w:rsid w:val="00FF5DA7"/>
    <w:rsid w:val="00FF773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E0F91"/>
  <w15:chartTrackingRefBased/>
  <w15:docId w15:val="{7BE5D514-48FF-4F6A-A762-9A54A0C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
    <w:name w:val="Puesto"/>
    <w:basedOn w:val="Normal"/>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ft"/>
    <w:basedOn w:val="Normal"/>
    <w:link w:val="TextonotapieCar"/>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uiPriority w:val="99"/>
    <w:rsid w:val="007238D2"/>
    <w:rPr>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rsid w:val="00144E85"/>
    <w:rPr>
      <w:lang w:val="es-ES" w:eastAsia="es-ES"/>
    </w:rPr>
  </w:style>
  <w:style w:type="character" w:customStyle="1" w:styleId="iaj">
    <w:name w:val="i_aj"/>
    <w:rsid w:val="00FB7522"/>
  </w:style>
  <w:style w:type="character" w:styleId="Hipervnculo">
    <w:name w:val="Hyperlink"/>
    <w:uiPriority w:val="99"/>
    <w:unhideWhenUsed/>
    <w:rsid w:val="00C934B0"/>
    <w:rPr>
      <w:color w:val="0000FF"/>
      <w:u w:val="single"/>
    </w:rPr>
  </w:style>
  <w:style w:type="paragraph" w:customStyle="1" w:styleId="Sangra2detindependiente1">
    <w:name w:val="Sangría 2 de t. independiente1"/>
    <w:basedOn w:val="Normal"/>
    <w:rsid w:val="00782DE6"/>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baj">
    <w:name w:val="b_aj"/>
    <w:rsid w:val="003C1739"/>
  </w:style>
  <w:style w:type="character" w:customStyle="1" w:styleId="TextoindependienteCar">
    <w:name w:val="Texto independiente Car"/>
    <w:link w:val="Textoindependiente"/>
    <w:rsid w:val="002E1BA9"/>
    <w:rPr>
      <w:rFonts w:ascii="Arial" w:hAnsi="Arial"/>
      <w:sz w:val="22"/>
      <w:lang w:val="es-ES" w:eastAsia="es-ES"/>
    </w:rPr>
  </w:style>
  <w:style w:type="paragraph" w:customStyle="1" w:styleId="BodyText23">
    <w:name w:val="Body Text 23"/>
    <w:basedOn w:val="Normal"/>
    <w:rsid w:val="00AC0DF9"/>
    <w:pPr>
      <w:overflowPunct w:val="0"/>
      <w:autoSpaceDE w:val="0"/>
      <w:autoSpaceDN w:val="0"/>
      <w:adjustRightInd w:val="0"/>
      <w:spacing w:after="220" w:line="360" w:lineRule="auto"/>
      <w:ind w:firstLine="709"/>
      <w:jc w:val="both"/>
      <w:textAlignment w:val="baseline"/>
    </w:pPr>
    <w:rPr>
      <w:rFonts w:ascii="Century Gothic" w:hAnsi="Century Gothic"/>
      <w:b/>
      <w:sz w:val="22"/>
      <w:szCs w:val="20"/>
    </w:rPr>
  </w:style>
  <w:style w:type="paragraph" w:styleId="Prrafodelista">
    <w:name w:val="List Paragraph"/>
    <w:basedOn w:val="Normal"/>
    <w:uiPriority w:val="34"/>
    <w:qFormat/>
    <w:rsid w:val="00ED4531"/>
    <w:pPr>
      <w:ind w:left="708"/>
    </w:pPr>
  </w:style>
  <w:style w:type="paragraph" w:customStyle="1" w:styleId="BodyText21">
    <w:name w:val="Body Text 21"/>
    <w:basedOn w:val="Normal"/>
    <w:link w:val="BodyText21Car"/>
    <w:rsid w:val="00DC2A3F"/>
    <w:pPr>
      <w:overflowPunct w:val="0"/>
      <w:autoSpaceDE w:val="0"/>
      <w:autoSpaceDN w:val="0"/>
      <w:adjustRightInd w:val="0"/>
      <w:spacing w:line="480" w:lineRule="auto"/>
      <w:jc w:val="both"/>
      <w:textAlignment w:val="baseline"/>
    </w:pPr>
    <w:rPr>
      <w:rFonts w:ascii="Arial" w:hAnsi="Arial"/>
      <w:szCs w:val="20"/>
      <w:lang w:val="es-ES_tradnl"/>
    </w:rPr>
  </w:style>
  <w:style w:type="character" w:customStyle="1" w:styleId="BodyText21Car">
    <w:name w:val="Body Text 21 Car"/>
    <w:link w:val="BodyText21"/>
    <w:locked/>
    <w:rsid w:val="00DC2A3F"/>
    <w:rPr>
      <w:rFonts w:ascii="Arial" w:hAnsi="Arial"/>
      <w:sz w:val="24"/>
      <w:lang w:val="es-ES_tradnl" w:eastAsia="es-ES"/>
    </w:rPr>
  </w:style>
  <w:style w:type="paragraph" w:styleId="Continuarlista2">
    <w:name w:val="List Continue 2"/>
    <w:basedOn w:val="Normal"/>
    <w:rsid w:val="00A37D95"/>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670">
      <w:bodyDiv w:val="1"/>
      <w:marLeft w:val="0"/>
      <w:marRight w:val="0"/>
      <w:marTop w:val="0"/>
      <w:marBottom w:val="0"/>
      <w:divBdr>
        <w:top w:val="none" w:sz="0" w:space="0" w:color="auto"/>
        <w:left w:val="none" w:sz="0" w:space="0" w:color="auto"/>
        <w:bottom w:val="none" w:sz="0" w:space="0" w:color="auto"/>
        <w:right w:val="none" w:sz="0" w:space="0" w:color="auto"/>
      </w:divBdr>
    </w:div>
    <w:div w:id="194392654">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1890188">
      <w:bodyDiv w:val="1"/>
      <w:marLeft w:val="0"/>
      <w:marRight w:val="0"/>
      <w:marTop w:val="0"/>
      <w:marBottom w:val="0"/>
      <w:divBdr>
        <w:top w:val="none" w:sz="0" w:space="0" w:color="auto"/>
        <w:left w:val="none" w:sz="0" w:space="0" w:color="auto"/>
        <w:bottom w:val="none" w:sz="0" w:space="0" w:color="auto"/>
        <w:right w:val="none" w:sz="0" w:space="0" w:color="auto"/>
      </w:divBdr>
    </w:div>
    <w:div w:id="236598741">
      <w:bodyDiv w:val="1"/>
      <w:marLeft w:val="0"/>
      <w:marRight w:val="0"/>
      <w:marTop w:val="0"/>
      <w:marBottom w:val="0"/>
      <w:divBdr>
        <w:top w:val="none" w:sz="0" w:space="0" w:color="auto"/>
        <w:left w:val="none" w:sz="0" w:space="0" w:color="auto"/>
        <w:bottom w:val="none" w:sz="0" w:space="0" w:color="auto"/>
        <w:right w:val="none" w:sz="0" w:space="0" w:color="auto"/>
      </w:divBdr>
    </w:div>
    <w:div w:id="328681097">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27518689">
      <w:bodyDiv w:val="1"/>
      <w:marLeft w:val="0"/>
      <w:marRight w:val="0"/>
      <w:marTop w:val="0"/>
      <w:marBottom w:val="0"/>
      <w:divBdr>
        <w:top w:val="none" w:sz="0" w:space="0" w:color="auto"/>
        <w:left w:val="none" w:sz="0" w:space="0" w:color="auto"/>
        <w:bottom w:val="none" w:sz="0" w:space="0" w:color="auto"/>
        <w:right w:val="none" w:sz="0" w:space="0" w:color="auto"/>
      </w:divBdr>
    </w:div>
    <w:div w:id="637220527">
      <w:bodyDiv w:val="1"/>
      <w:marLeft w:val="0"/>
      <w:marRight w:val="0"/>
      <w:marTop w:val="0"/>
      <w:marBottom w:val="0"/>
      <w:divBdr>
        <w:top w:val="none" w:sz="0" w:space="0" w:color="auto"/>
        <w:left w:val="none" w:sz="0" w:space="0" w:color="auto"/>
        <w:bottom w:val="none" w:sz="0" w:space="0" w:color="auto"/>
        <w:right w:val="none" w:sz="0" w:space="0" w:color="auto"/>
      </w:divBdr>
    </w:div>
    <w:div w:id="638531242">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13203250">
      <w:bodyDiv w:val="1"/>
      <w:marLeft w:val="0"/>
      <w:marRight w:val="0"/>
      <w:marTop w:val="0"/>
      <w:marBottom w:val="0"/>
      <w:divBdr>
        <w:top w:val="none" w:sz="0" w:space="0" w:color="auto"/>
        <w:left w:val="none" w:sz="0" w:space="0" w:color="auto"/>
        <w:bottom w:val="none" w:sz="0" w:space="0" w:color="auto"/>
        <w:right w:val="none" w:sz="0" w:space="0" w:color="auto"/>
      </w:divBdr>
    </w:div>
    <w:div w:id="933516133">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72281769">
      <w:bodyDiv w:val="1"/>
      <w:marLeft w:val="0"/>
      <w:marRight w:val="0"/>
      <w:marTop w:val="0"/>
      <w:marBottom w:val="0"/>
      <w:divBdr>
        <w:top w:val="none" w:sz="0" w:space="0" w:color="auto"/>
        <w:left w:val="none" w:sz="0" w:space="0" w:color="auto"/>
        <w:bottom w:val="none" w:sz="0" w:space="0" w:color="auto"/>
        <w:right w:val="none" w:sz="0" w:space="0" w:color="auto"/>
      </w:divBdr>
    </w:div>
    <w:div w:id="1380863194">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89595823">
      <w:bodyDiv w:val="1"/>
      <w:marLeft w:val="0"/>
      <w:marRight w:val="0"/>
      <w:marTop w:val="0"/>
      <w:marBottom w:val="0"/>
      <w:divBdr>
        <w:top w:val="none" w:sz="0" w:space="0" w:color="auto"/>
        <w:left w:val="none" w:sz="0" w:space="0" w:color="auto"/>
        <w:bottom w:val="none" w:sz="0" w:space="0" w:color="auto"/>
        <w:right w:val="none" w:sz="0" w:space="0" w:color="auto"/>
      </w:divBdr>
    </w:div>
    <w:div w:id="1514996419">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28049073">
      <w:bodyDiv w:val="1"/>
      <w:marLeft w:val="0"/>
      <w:marRight w:val="0"/>
      <w:marTop w:val="0"/>
      <w:marBottom w:val="0"/>
      <w:divBdr>
        <w:top w:val="none" w:sz="0" w:space="0" w:color="auto"/>
        <w:left w:val="none" w:sz="0" w:space="0" w:color="auto"/>
        <w:bottom w:val="none" w:sz="0" w:space="0" w:color="auto"/>
        <w:right w:val="none" w:sz="0" w:space="0" w:color="auto"/>
      </w:divBdr>
    </w:div>
    <w:div w:id="1651323668">
      <w:bodyDiv w:val="1"/>
      <w:marLeft w:val="0"/>
      <w:marRight w:val="0"/>
      <w:marTop w:val="0"/>
      <w:marBottom w:val="0"/>
      <w:divBdr>
        <w:top w:val="none" w:sz="0" w:space="0" w:color="auto"/>
        <w:left w:val="none" w:sz="0" w:space="0" w:color="auto"/>
        <w:bottom w:val="none" w:sz="0" w:space="0" w:color="auto"/>
        <w:right w:val="none" w:sz="0" w:space="0" w:color="auto"/>
      </w:divBdr>
    </w:div>
    <w:div w:id="1783383305">
      <w:bodyDiv w:val="1"/>
      <w:marLeft w:val="0"/>
      <w:marRight w:val="0"/>
      <w:marTop w:val="0"/>
      <w:marBottom w:val="0"/>
      <w:divBdr>
        <w:top w:val="none" w:sz="0" w:space="0" w:color="auto"/>
        <w:left w:val="none" w:sz="0" w:space="0" w:color="auto"/>
        <w:bottom w:val="none" w:sz="0" w:space="0" w:color="auto"/>
        <w:right w:val="none" w:sz="0" w:space="0" w:color="auto"/>
      </w:divBdr>
    </w:div>
    <w:div w:id="1859616540">
      <w:bodyDiv w:val="1"/>
      <w:marLeft w:val="0"/>
      <w:marRight w:val="0"/>
      <w:marTop w:val="0"/>
      <w:marBottom w:val="0"/>
      <w:divBdr>
        <w:top w:val="none" w:sz="0" w:space="0" w:color="auto"/>
        <w:left w:val="none" w:sz="0" w:space="0" w:color="auto"/>
        <w:bottom w:val="none" w:sz="0" w:space="0" w:color="auto"/>
        <w:right w:val="none" w:sz="0" w:space="0" w:color="auto"/>
      </w:divBdr>
    </w:div>
    <w:div w:id="1940331133">
      <w:bodyDiv w:val="1"/>
      <w:marLeft w:val="0"/>
      <w:marRight w:val="0"/>
      <w:marTop w:val="0"/>
      <w:marBottom w:val="0"/>
      <w:divBdr>
        <w:top w:val="none" w:sz="0" w:space="0" w:color="auto"/>
        <w:left w:val="none" w:sz="0" w:space="0" w:color="auto"/>
        <w:bottom w:val="none" w:sz="0" w:space="0" w:color="auto"/>
        <w:right w:val="none" w:sz="0" w:space="0" w:color="auto"/>
      </w:divBdr>
    </w:div>
    <w:div w:id="1978996116">
      <w:bodyDiv w:val="1"/>
      <w:marLeft w:val="0"/>
      <w:marRight w:val="0"/>
      <w:marTop w:val="0"/>
      <w:marBottom w:val="0"/>
      <w:divBdr>
        <w:top w:val="none" w:sz="0" w:space="0" w:color="auto"/>
        <w:left w:val="none" w:sz="0" w:space="0" w:color="auto"/>
        <w:bottom w:val="none" w:sz="0" w:space="0" w:color="auto"/>
        <w:right w:val="none" w:sz="0" w:space="0" w:color="auto"/>
      </w:divBdr>
    </w:div>
    <w:div w:id="210764920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9896-363C-44BC-AEB6-A81D00E03EF3}">
  <ds:schemaRefs>
    <ds:schemaRef ds:uri="http://schemas.microsoft.com/sharepoint/v3/contenttype/forms"/>
  </ds:schemaRefs>
</ds:datastoreItem>
</file>

<file path=customXml/itemProps2.xml><?xml version="1.0" encoding="utf-8"?>
<ds:datastoreItem xmlns:ds="http://schemas.openxmlformats.org/officeDocument/2006/customXml" ds:itemID="{8AFDC41D-1D91-4B1C-87CD-F94A1E24157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7FBEA8F-8331-4FFF-AD35-C773BE2D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E8B70-6E33-4D7B-94CB-E0AC0764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5642</Words>
  <Characters>31031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Alejandro Raul Sarmiento Cantillo</cp:lastModifiedBy>
  <cp:revision>3</cp:revision>
  <cp:lastPrinted>2017-09-04T14:09:00Z</cp:lastPrinted>
  <dcterms:created xsi:type="dcterms:W3CDTF">2020-06-05T20:14:00Z</dcterms:created>
  <dcterms:modified xsi:type="dcterms:W3CDTF">2020-06-26T13:42:00Z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