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FE7F6" w14:textId="5D007592" w:rsidR="00BB4095" w:rsidRPr="00DC37C5" w:rsidRDefault="00037CFD" w:rsidP="00BB4095">
      <w:pPr>
        <w:jc w:val="both"/>
        <w:rPr>
          <w:rFonts w:ascii="Arial" w:hAnsi="Arial" w:cs="Arial"/>
          <w:b/>
        </w:rPr>
      </w:pPr>
      <w:r w:rsidRPr="00DC37C5">
        <w:rPr>
          <w:rFonts w:ascii="Arial" w:hAnsi="Arial" w:cs="Arial"/>
          <w:b/>
        </w:rPr>
        <w:t>PACTO ARBITRAL -</w:t>
      </w:r>
      <w:r w:rsidR="00BB4095" w:rsidRPr="00DC37C5">
        <w:rPr>
          <w:rFonts w:ascii="Arial" w:hAnsi="Arial" w:cs="Arial"/>
          <w:b/>
        </w:rPr>
        <w:t xml:space="preserve"> </w:t>
      </w:r>
      <w:r w:rsidRPr="00DC37C5">
        <w:rPr>
          <w:rFonts w:ascii="Arial" w:hAnsi="Arial" w:cs="Arial"/>
          <w:b/>
        </w:rPr>
        <w:t>Renuncia tácita - Obligatoriedad - Modificación - Formalidad</w:t>
      </w:r>
    </w:p>
    <w:p w14:paraId="015294F3" w14:textId="77777777" w:rsidR="00BB4095" w:rsidRPr="00DC37C5" w:rsidRDefault="00BB4095" w:rsidP="00BB4095">
      <w:pPr>
        <w:jc w:val="both"/>
        <w:rPr>
          <w:rFonts w:ascii="Arial" w:hAnsi="Arial" w:cs="Arial"/>
          <w:b/>
        </w:rPr>
      </w:pPr>
    </w:p>
    <w:p w14:paraId="5828D3D1" w14:textId="77777777" w:rsidR="00BB4095" w:rsidRPr="00DC37C5" w:rsidRDefault="00BB4095" w:rsidP="00BB4095">
      <w:pPr>
        <w:jc w:val="both"/>
        <w:rPr>
          <w:rFonts w:ascii="Arial" w:hAnsi="Arial" w:cs="Arial"/>
        </w:rPr>
      </w:pPr>
      <w:r w:rsidRPr="00DC37C5">
        <w:rPr>
          <w:rFonts w:ascii="Arial" w:hAnsi="Arial" w:cs="Arial"/>
        </w:rPr>
        <w:t xml:space="preserve">La Sala Plena de la Sección Tercera de esta Corporación  unificó su jurisprudencia en torno a la irrenunciabilidad tácita del pacto arbitral, a la luz de las disposiciones del Decreto-ley 1818 de 1998, y concluyó que,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solemne)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 (…)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su formación, de tal suerte que, para ello, debe haber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válido señalar que, por regla general, “en derecho las cosas se deshacen como se hacen”.           </w:t>
      </w:r>
    </w:p>
    <w:p w14:paraId="3152D2D8" w14:textId="77777777" w:rsidR="00037CFD" w:rsidRPr="00DC37C5" w:rsidRDefault="00037CFD" w:rsidP="00BB4095">
      <w:pPr>
        <w:jc w:val="both"/>
        <w:rPr>
          <w:rFonts w:ascii="Arial" w:hAnsi="Arial" w:cs="Arial"/>
        </w:rPr>
      </w:pPr>
    </w:p>
    <w:p w14:paraId="516F6635" w14:textId="77777777" w:rsidR="00BB4095" w:rsidRPr="00DC37C5" w:rsidRDefault="00BB4095" w:rsidP="00BB4095">
      <w:pPr>
        <w:jc w:val="both"/>
        <w:rPr>
          <w:rFonts w:ascii="Arial" w:hAnsi="Arial" w:cs="Arial"/>
          <w:b/>
        </w:rPr>
      </w:pPr>
      <w:r w:rsidRPr="00DC37C5">
        <w:rPr>
          <w:rFonts w:ascii="Arial" w:hAnsi="Arial" w:cs="Arial"/>
          <w:b/>
        </w:rPr>
        <w:t>C</w:t>
      </w:r>
      <w:r w:rsidR="00037CFD" w:rsidRPr="00DC37C5">
        <w:rPr>
          <w:rFonts w:ascii="Arial" w:hAnsi="Arial" w:cs="Arial"/>
          <w:b/>
        </w:rPr>
        <w:t>LÁUSULA C</w:t>
      </w:r>
      <w:r w:rsidRPr="00DC37C5">
        <w:rPr>
          <w:rFonts w:ascii="Arial" w:hAnsi="Arial" w:cs="Arial"/>
          <w:b/>
        </w:rPr>
        <w:t>OMPROMISORA</w:t>
      </w:r>
      <w:r w:rsidR="00037CFD" w:rsidRPr="00DC37C5">
        <w:rPr>
          <w:rFonts w:ascii="Arial" w:hAnsi="Arial" w:cs="Arial"/>
          <w:b/>
        </w:rPr>
        <w:t xml:space="preserve"> - Obligatoriedad - Eficacia </w:t>
      </w:r>
    </w:p>
    <w:p w14:paraId="39B0F2DE" w14:textId="77777777" w:rsidR="00BB4095" w:rsidRPr="00DC37C5" w:rsidRDefault="00BB4095" w:rsidP="00BB4095">
      <w:pPr>
        <w:jc w:val="both"/>
        <w:rPr>
          <w:rFonts w:ascii="Arial" w:hAnsi="Arial" w:cs="Arial"/>
          <w:b/>
        </w:rPr>
      </w:pPr>
    </w:p>
    <w:p w14:paraId="546212E7" w14:textId="77777777" w:rsidR="00BB4095" w:rsidRPr="00DC37C5" w:rsidRDefault="00BB4095" w:rsidP="00BB4095">
      <w:pPr>
        <w:jc w:val="both"/>
        <w:rPr>
          <w:rFonts w:ascii="Arial" w:hAnsi="Arial" w:cs="Arial"/>
        </w:rPr>
      </w:pPr>
      <w:r w:rsidRPr="00DC37C5">
        <w:rPr>
          <w:rFonts w:ascii="Arial" w:hAnsi="Arial" w:cs="Arial"/>
        </w:rPr>
        <w:t xml:space="preserve">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y, por lo tanto, sus actuaciones resultarían afectadas de nulidad, conforme a lo dispuesto en los numerales 1 y 2 del artículo 140 del C. de P. C. 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pacto no desaparece, ni siquiera si el demandado no excepciona falta de jurisdicción. En este caso, no hay razón para desconocer la eficacia de la cláusula compromisoria contenida en la cláusula catorce del contrato 147; por consiguiente, todo lo actuado en este proceso resulta nulo. </w:t>
      </w:r>
    </w:p>
    <w:p w14:paraId="517C031B" w14:textId="77777777" w:rsidR="00BB4095" w:rsidRPr="00DC37C5" w:rsidRDefault="00BB4095" w:rsidP="00BB4095">
      <w:pPr>
        <w:jc w:val="both"/>
        <w:rPr>
          <w:rFonts w:ascii="Arial" w:hAnsi="Arial" w:cs="Arial"/>
        </w:rPr>
      </w:pPr>
    </w:p>
    <w:p w14:paraId="1D8FFED3" w14:textId="77777777" w:rsidR="00BB4095" w:rsidRPr="00DC37C5" w:rsidRDefault="00BB4095" w:rsidP="00BB4095">
      <w:pPr>
        <w:jc w:val="both"/>
        <w:rPr>
          <w:rFonts w:ascii="Arial" w:hAnsi="Arial" w:cs="Arial"/>
          <w:b/>
        </w:rPr>
      </w:pPr>
      <w:r w:rsidRPr="00DC37C5">
        <w:rPr>
          <w:rFonts w:ascii="Arial" w:hAnsi="Arial" w:cs="Arial"/>
          <w:b/>
        </w:rPr>
        <w:t>NULIDAD</w:t>
      </w:r>
      <w:r w:rsidR="00037CFD" w:rsidRPr="00DC37C5">
        <w:rPr>
          <w:rFonts w:ascii="Arial" w:hAnsi="Arial" w:cs="Arial"/>
          <w:b/>
        </w:rPr>
        <w:t xml:space="preserve"> - Procesal - Falta de competencia</w:t>
      </w:r>
    </w:p>
    <w:p w14:paraId="382F9A3A" w14:textId="77777777" w:rsidR="00BB4095" w:rsidRPr="00DC37C5" w:rsidRDefault="00BB4095" w:rsidP="00BB4095">
      <w:pPr>
        <w:jc w:val="both"/>
        <w:rPr>
          <w:rFonts w:ascii="Arial" w:hAnsi="Arial" w:cs="Arial"/>
          <w:b/>
        </w:rPr>
      </w:pPr>
    </w:p>
    <w:p w14:paraId="153C780B" w14:textId="77777777" w:rsidR="00BB4095" w:rsidRPr="00DC37C5" w:rsidRDefault="00BB4095" w:rsidP="00BB4095">
      <w:pPr>
        <w:jc w:val="both"/>
        <w:rPr>
          <w:rFonts w:ascii="Arial" w:hAnsi="Arial" w:cs="Arial"/>
        </w:rPr>
      </w:pPr>
      <w:r w:rsidRPr="00DC37C5">
        <w:rPr>
          <w:rFonts w:ascii="Arial" w:hAnsi="Arial" w:cs="Arial"/>
        </w:rPr>
        <w:t>Por lo anterior, se estima que, en este caso, se configuran las causales de nulidad procesal contempladas en los numerales 1 y 2 del artículo 140 del C. de P. C., las cuales son insaneables, según lo dispuesto por el inciso final del artículo 144 ibídem, por cuanto, en virtud del pacto arbitral, la jurisdicción de lo contencioso administrativo no es la competente para conocer de las pretensiones formuladas en la demanda, pues corresponde conocer de ellas a la justicia arbitral. Así, pues, la Sala declarará de oficio la nulidad de todo lo actuado en este proceso, desde el auto admisorio de la demanda, inclusive. Ahora bien, para evitar que se produzca una eventual vulneración del derecho fundamental de acceso a la administración de justicia y para impedir que las partes queden sin obtener decisión de fondo en relación con la controversia suscitada, la Sala acudirá a la solución prevista por la Corte Constitucional a través de la sentencia integradora C-662 de 2004 y, en tal virtud, ordenará enviar el expediente a la Cámara de Comercio “más cercana” para que se solicite la convocatoria del Tribunal de Arbitramento. Lo anterior, comoquiera que en la cláusula compromisoria las partes no especificaron el centro de arbitraje ante el cual debe presentarse la convocatoria, caso para el cual la ley contempla unas reglas que permiten determinar cuál es el que debe conocer del arbitramento.</w:t>
      </w:r>
    </w:p>
    <w:p w14:paraId="4BD5F0B9" w14:textId="77777777" w:rsidR="00BE5929" w:rsidRPr="00DC37C5" w:rsidRDefault="00BE5929" w:rsidP="00BB4095">
      <w:pPr>
        <w:widowControl w:val="0"/>
        <w:jc w:val="both"/>
        <w:rPr>
          <w:rFonts w:ascii="Arial" w:hAnsi="Arial" w:cs="Arial"/>
          <w:b/>
        </w:rPr>
      </w:pPr>
    </w:p>
    <w:p w14:paraId="6980C1EB" w14:textId="77777777" w:rsidR="00BB4095" w:rsidRPr="00DC37C5" w:rsidRDefault="00BB4095" w:rsidP="00BB4095">
      <w:pPr>
        <w:widowControl w:val="0"/>
        <w:jc w:val="both"/>
        <w:rPr>
          <w:rFonts w:ascii="Arial" w:hAnsi="Arial" w:cs="Arial"/>
        </w:rPr>
      </w:pPr>
    </w:p>
    <w:p w14:paraId="0B9C56FA" w14:textId="77777777" w:rsidR="006A1654" w:rsidRPr="00DC37C5" w:rsidRDefault="006A1654" w:rsidP="00BE5929">
      <w:pPr>
        <w:jc w:val="both"/>
        <w:rPr>
          <w:rFonts w:ascii="Arial" w:hAnsi="Arial" w:cs="Arial"/>
          <w:b/>
        </w:rPr>
      </w:pPr>
    </w:p>
    <w:p w14:paraId="07C158F1" w14:textId="77777777" w:rsidR="00B25C7E" w:rsidRDefault="00B25C7E" w:rsidP="00B25C7E">
      <w:pPr>
        <w:jc w:val="center"/>
        <w:rPr>
          <w:rFonts w:ascii="Arial" w:hAnsi="Arial" w:cs="Arial"/>
          <w:b/>
          <w:sz w:val="24"/>
          <w:szCs w:val="24"/>
        </w:rPr>
      </w:pPr>
      <w:r w:rsidRPr="007A42C8">
        <w:rPr>
          <w:rFonts w:ascii="Arial" w:hAnsi="Arial" w:cs="Arial"/>
          <w:b/>
          <w:sz w:val="24"/>
          <w:szCs w:val="24"/>
        </w:rPr>
        <w:t>CONSEJO DE ESTADO</w:t>
      </w:r>
    </w:p>
    <w:p w14:paraId="1F7DB7CC" w14:textId="77777777" w:rsidR="00B25C7E" w:rsidRDefault="00B25C7E" w:rsidP="00B25C7E">
      <w:pPr>
        <w:jc w:val="center"/>
        <w:rPr>
          <w:rFonts w:ascii="Arial" w:hAnsi="Arial" w:cs="Arial"/>
          <w:b/>
          <w:sz w:val="24"/>
          <w:szCs w:val="24"/>
        </w:rPr>
      </w:pPr>
    </w:p>
    <w:p w14:paraId="3500C0F6" w14:textId="77777777" w:rsidR="00B25C7E" w:rsidRDefault="00B25C7E" w:rsidP="00B25C7E">
      <w:pPr>
        <w:jc w:val="center"/>
        <w:rPr>
          <w:rFonts w:ascii="Arial" w:hAnsi="Arial" w:cs="Arial"/>
          <w:b/>
          <w:sz w:val="24"/>
          <w:szCs w:val="24"/>
        </w:rPr>
      </w:pPr>
      <w:r w:rsidRPr="007A42C8">
        <w:rPr>
          <w:rFonts w:ascii="Arial" w:hAnsi="Arial" w:cs="Arial"/>
          <w:b/>
          <w:sz w:val="24"/>
          <w:szCs w:val="24"/>
        </w:rPr>
        <w:t>SALA DE LO CONTENCIOSO ADMINISTRATIVO</w:t>
      </w:r>
    </w:p>
    <w:p w14:paraId="78F76B84" w14:textId="77777777" w:rsidR="00B25C7E" w:rsidRPr="007A42C8" w:rsidRDefault="00B25C7E" w:rsidP="00B25C7E">
      <w:pPr>
        <w:jc w:val="center"/>
        <w:rPr>
          <w:rFonts w:ascii="Arial" w:hAnsi="Arial" w:cs="Arial"/>
          <w:b/>
          <w:sz w:val="24"/>
          <w:szCs w:val="24"/>
        </w:rPr>
      </w:pPr>
    </w:p>
    <w:p w14:paraId="46E4921A" w14:textId="77777777" w:rsidR="00B25C7E" w:rsidRDefault="00B25C7E" w:rsidP="00B25C7E">
      <w:pPr>
        <w:jc w:val="center"/>
        <w:rPr>
          <w:rFonts w:ascii="Arial" w:hAnsi="Arial" w:cs="Arial"/>
          <w:b/>
          <w:sz w:val="24"/>
          <w:szCs w:val="24"/>
        </w:rPr>
      </w:pPr>
      <w:r>
        <w:rPr>
          <w:rFonts w:ascii="Arial" w:hAnsi="Arial" w:cs="Arial"/>
          <w:b/>
          <w:sz w:val="24"/>
          <w:szCs w:val="24"/>
        </w:rPr>
        <w:t>SECCIO</w:t>
      </w:r>
      <w:r w:rsidRPr="007A42C8">
        <w:rPr>
          <w:rFonts w:ascii="Arial" w:hAnsi="Arial" w:cs="Arial"/>
          <w:b/>
          <w:sz w:val="24"/>
          <w:szCs w:val="24"/>
        </w:rPr>
        <w:t xml:space="preserve">N TERCERA </w:t>
      </w:r>
    </w:p>
    <w:p w14:paraId="49C5BFB1" w14:textId="77777777" w:rsidR="00B25C7E" w:rsidRDefault="00B25C7E" w:rsidP="00B25C7E">
      <w:pPr>
        <w:jc w:val="center"/>
        <w:rPr>
          <w:rFonts w:ascii="Arial" w:hAnsi="Arial" w:cs="Arial"/>
          <w:b/>
          <w:sz w:val="24"/>
          <w:szCs w:val="24"/>
        </w:rPr>
      </w:pPr>
    </w:p>
    <w:p w14:paraId="4257D7BF" w14:textId="77777777" w:rsidR="00B25C7E" w:rsidRDefault="00B25C7E" w:rsidP="00B25C7E">
      <w:pPr>
        <w:jc w:val="center"/>
        <w:rPr>
          <w:rFonts w:ascii="Arial" w:hAnsi="Arial" w:cs="Arial"/>
          <w:b/>
          <w:sz w:val="24"/>
          <w:szCs w:val="24"/>
        </w:rPr>
      </w:pPr>
      <w:r>
        <w:rPr>
          <w:rFonts w:ascii="Arial" w:hAnsi="Arial" w:cs="Arial"/>
          <w:b/>
          <w:sz w:val="24"/>
          <w:szCs w:val="24"/>
        </w:rPr>
        <w:t>SUBSECCION A</w:t>
      </w:r>
    </w:p>
    <w:p w14:paraId="3EFC8A30" w14:textId="77777777" w:rsidR="00B25C7E" w:rsidRPr="007A42C8" w:rsidRDefault="00B25C7E" w:rsidP="00B25C7E">
      <w:pPr>
        <w:jc w:val="center"/>
        <w:rPr>
          <w:rFonts w:ascii="Arial" w:hAnsi="Arial" w:cs="Arial"/>
          <w:b/>
          <w:sz w:val="24"/>
          <w:szCs w:val="24"/>
        </w:rPr>
      </w:pPr>
    </w:p>
    <w:p w14:paraId="794E1812" w14:textId="77777777" w:rsidR="00B25C7E" w:rsidRPr="007A42C8" w:rsidRDefault="00B25C7E" w:rsidP="00B25C7E">
      <w:pPr>
        <w:jc w:val="center"/>
        <w:rPr>
          <w:rFonts w:ascii="Arial" w:hAnsi="Arial" w:cs="Arial"/>
          <w:b/>
          <w:sz w:val="24"/>
          <w:szCs w:val="24"/>
        </w:rPr>
      </w:pPr>
      <w:r w:rsidRPr="007A42C8">
        <w:rPr>
          <w:rFonts w:ascii="Arial" w:hAnsi="Arial" w:cs="Arial"/>
          <w:b/>
          <w:sz w:val="24"/>
          <w:szCs w:val="24"/>
        </w:rPr>
        <w:t xml:space="preserve">Consejero </w:t>
      </w:r>
      <w:r>
        <w:rPr>
          <w:rFonts w:ascii="Arial" w:hAnsi="Arial" w:cs="Arial"/>
          <w:b/>
          <w:sz w:val="24"/>
          <w:szCs w:val="24"/>
        </w:rPr>
        <w:t>p</w:t>
      </w:r>
      <w:r w:rsidRPr="007A42C8">
        <w:rPr>
          <w:rFonts w:ascii="Arial" w:hAnsi="Arial" w:cs="Arial"/>
          <w:b/>
          <w:sz w:val="24"/>
          <w:szCs w:val="24"/>
        </w:rPr>
        <w:t>onente: CARLOS ALBERTO ZAMBRANO BARRERA</w:t>
      </w:r>
    </w:p>
    <w:p w14:paraId="43FE5310" w14:textId="77777777" w:rsidR="00B25C7E" w:rsidRPr="007A42C8" w:rsidRDefault="00B25C7E" w:rsidP="00B25C7E">
      <w:pPr>
        <w:jc w:val="both"/>
        <w:rPr>
          <w:rFonts w:ascii="Arial" w:hAnsi="Arial" w:cs="Arial"/>
          <w:b/>
          <w:sz w:val="24"/>
          <w:szCs w:val="24"/>
        </w:rPr>
      </w:pPr>
    </w:p>
    <w:p w14:paraId="0EC575A4" w14:textId="77777777" w:rsidR="00A2632D" w:rsidRPr="00312B9E" w:rsidRDefault="00A2632D" w:rsidP="00312B9E">
      <w:pPr>
        <w:jc w:val="both"/>
        <w:rPr>
          <w:rFonts w:ascii="Arial" w:hAnsi="Arial" w:cs="Arial"/>
          <w:sz w:val="24"/>
          <w:szCs w:val="24"/>
        </w:rPr>
      </w:pPr>
      <w:r w:rsidRPr="00312B9E">
        <w:rPr>
          <w:rFonts w:ascii="Arial" w:hAnsi="Arial" w:cs="Arial"/>
          <w:sz w:val="24"/>
          <w:szCs w:val="24"/>
        </w:rPr>
        <w:t xml:space="preserve">Bogotá, D.C., once (11) de abril de dos mil dieciséis (2016) </w:t>
      </w:r>
    </w:p>
    <w:p w14:paraId="483ECC79" w14:textId="77777777" w:rsidR="00A2632D" w:rsidRPr="00312B9E" w:rsidRDefault="00A2632D" w:rsidP="00312B9E">
      <w:pPr>
        <w:jc w:val="both"/>
        <w:rPr>
          <w:rFonts w:ascii="Arial" w:hAnsi="Arial" w:cs="Arial"/>
          <w:sz w:val="24"/>
          <w:szCs w:val="24"/>
        </w:rPr>
      </w:pPr>
    </w:p>
    <w:p w14:paraId="2C372B21" w14:textId="77777777" w:rsidR="00A2632D" w:rsidRPr="00B25C7E" w:rsidRDefault="00A2632D" w:rsidP="00312B9E">
      <w:pPr>
        <w:jc w:val="both"/>
        <w:rPr>
          <w:rFonts w:ascii="Arial" w:hAnsi="Arial" w:cs="Arial"/>
          <w:b/>
          <w:sz w:val="24"/>
          <w:szCs w:val="24"/>
        </w:rPr>
      </w:pPr>
      <w:r w:rsidRPr="00B25C7E">
        <w:rPr>
          <w:rFonts w:ascii="Arial" w:hAnsi="Arial" w:cs="Arial"/>
          <w:b/>
          <w:sz w:val="24"/>
          <w:szCs w:val="24"/>
        </w:rPr>
        <w:t>Radicación</w:t>
      </w:r>
      <w:r w:rsidR="00B25C7E" w:rsidRPr="00B25C7E">
        <w:rPr>
          <w:rFonts w:ascii="Arial" w:hAnsi="Arial" w:cs="Arial"/>
          <w:b/>
          <w:sz w:val="24"/>
          <w:szCs w:val="24"/>
        </w:rPr>
        <w:t xml:space="preserve"> número: </w:t>
      </w:r>
      <w:r w:rsidR="00ED3FD4" w:rsidRPr="00B25C7E">
        <w:rPr>
          <w:rFonts w:ascii="Arial" w:hAnsi="Arial" w:cs="Arial"/>
          <w:b/>
          <w:sz w:val="24"/>
          <w:szCs w:val="24"/>
        </w:rPr>
        <w:t>88001-23-31-000-2003-00054-01(33222)</w:t>
      </w:r>
    </w:p>
    <w:p w14:paraId="5B7E5D6A" w14:textId="77777777" w:rsidR="00B25C7E" w:rsidRDefault="00B25C7E" w:rsidP="00312B9E">
      <w:pPr>
        <w:jc w:val="both"/>
        <w:rPr>
          <w:rFonts w:ascii="Arial" w:hAnsi="Arial" w:cs="Arial"/>
          <w:b/>
          <w:sz w:val="24"/>
          <w:szCs w:val="24"/>
        </w:rPr>
      </w:pPr>
    </w:p>
    <w:p w14:paraId="19D28FD7" w14:textId="77777777" w:rsidR="00A2632D" w:rsidRPr="00B25C7E" w:rsidRDefault="00B25C7E" w:rsidP="00312B9E">
      <w:pPr>
        <w:jc w:val="both"/>
        <w:rPr>
          <w:rFonts w:ascii="Arial" w:hAnsi="Arial" w:cs="Arial"/>
          <w:b/>
          <w:sz w:val="24"/>
          <w:szCs w:val="24"/>
        </w:rPr>
      </w:pPr>
      <w:r w:rsidRPr="00B25C7E">
        <w:rPr>
          <w:rFonts w:ascii="Arial" w:hAnsi="Arial" w:cs="Arial"/>
          <w:b/>
          <w:sz w:val="24"/>
          <w:szCs w:val="24"/>
        </w:rPr>
        <w:t>Actor</w:t>
      </w:r>
      <w:r w:rsidR="00DE2981">
        <w:rPr>
          <w:rFonts w:ascii="Arial" w:hAnsi="Arial" w:cs="Arial"/>
          <w:b/>
          <w:sz w:val="24"/>
          <w:szCs w:val="24"/>
        </w:rPr>
        <w:t>:</w:t>
      </w:r>
      <w:r w:rsidRPr="00B25C7E">
        <w:rPr>
          <w:rFonts w:ascii="Arial" w:hAnsi="Arial" w:cs="Arial"/>
          <w:b/>
          <w:sz w:val="24"/>
          <w:szCs w:val="24"/>
        </w:rPr>
        <w:t xml:space="preserve"> UNIÓN TEMPORAL TEKASU LTDA.</w:t>
      </w:r>
      <w:r w:rsidR="006A1654">
        <w:rPr>
          <w:rFonts w:ascii="Arial" w:hAnsi="Arial" w:cs="Arial"/>
          <w:b/>
          <w:sz w:val="24"/>
          <w:szCs w:val="24"/>
        </w:rPr>
        <w:t xml:space="preserve"> - </w:t>
      </w:r>
      <w:r w:rsidRPr="00B25C7E">
        <w:rPr>
          <w:rFonts w:ascii="Arial" w:hAnsi="Arial" w:cs="Arial"/>
          <w:b/>
          <w:sz w:val="24"/>
          <w:szCs w:val="24"/>
        </w:rPr>
        <w:t>ARY CONSTRUCCIONES Y CIA. LTDA.</w:t>
      </w:r>
      <w:r w:rsidR="006A1654">
        <w:rPr>
          <w:rFonts w:ascii="Arial" w:hAnsi="Arial" w:cs="Arial"/>
          <w:b/>
          <w:sz w:val="24"/>
          <w:szCs w:val="24"/>
        </w:rPr>
        <w:t xml:space="preserve"> - </w:t>
      </w:r>
      <w:r w:rsidRPr="00B25C7E">
        <w:rPr>
          <w:rFonts w:ascii="Arial" w:hAnsi="Arial" w:cs="Arial"/>
          <w:b/>
          <w:sz w:val="24"/>
          <w:szCs w:val="24"/>
        </w:rPr>
        <w:t>Z.R. INGENIERÍA</w:t>
      </w:r>
    </w:p>
    <w:p w14:paraId="3DE4E6E6" w14:textId="77777777" w:rsidR="00B25C7E" w:rsidRDefault="00B25C7E" w:rsidP="00312B9E">
      <w:pPr>
        <w:jc w:val="both"/>
        <w:rPr>
          <w:rFonts w:ascii="Arial" w:hAnsi="Arial" w:cs="Arial"/>
          <w:b/>
          <w:sz w:val="24"/>
          <w:szCs w:val="24"/>
        </w:rPr>
      </w:pPr>
    </w:p>
    <w:p w14:paraId="117ADD73" w14:textId="77777777" w:rsidR="00A2632D" w:rsidRPr="00B25C7E" w:rsidRDefault="00A2632D" w:rsidP="00312B9E">
      <w:pPr>
        <w:jc w:val="both"/>
        <w:rPr>
          <w:rFonts w:ascii="Arial" w:hAnsi="Arial" w:cs="Arial"/>
          <w:b/>
          <w:sz w:val="24"/>
          <w:szCs w:val="24"/>
        </w:rPr>
      </w:pPr>
      <w:r w:rsidRPr="00B25C7E">
        <w:rPr>
          <w:rFonts w:ascii="Arial" w:hAnsi="Arial" w:cs="Arial"/>
          <w:b/>
          <w:sz w:val="24"/>
          <w:szCs w:val="24"/>
        </w:rPr>
        <w:t>Demandado:</w:t>
      </w:r>
      <w:r w:rsidR="00B25C7E" w:rsidRPr="00B25C7E">
        <w:rPr>
          <w:rFonts w:ascii="Arial" w:hAnsi="Arial" w:cs="Arial"/>
          <w:b/>
          <w:sz w:val="24"/>
          <w:szCs w:val="24"/>
        </w:rPr>
        <w:t xml:space="preserve"> ARCHIPIÉLAGO DE SAN ANDRÉS, PROVIDENCIA Y SANTA CATALINA</w:t>
      </w:r>
    </w:p>
    <w:p w14:paraId="318E3ABA" w14:textId="77777777" w:rsidR="00B25C7E" w:rsidRDefault="00B25C7E" w:rsidP="00312B9E">
      <w:pPr>
        <w:jc w:val="both"/>
        <w:rPr>
          <w:rFonts w:ascii="Arial" w:hAnsi="Arial" w:cs="Arial"/>
          <w:b/>
          <w:sz w:val="24"/>
          <w:szCs w:val="24"/>
        </w:rPr>
      </w:pPr>
    </w:p>
    <w:p w14:paraId="386FC305" w14:textId="77777777" w:rsidR="00B25C7E" w:rsidRDefault="00B25C7E" w:rsidP="00312B9E">
      <w:pPr>
        <w:jc w:val="both"/>
        <w:rPr>
          <w:rFonts w:ascii="Arial" w:hAnsi="Arial" w:cs="Arial"/>
          <w:b/>
          <w:sz w:val="24"/>
          <w:szCs w:val="24"/>
        </w:rPr>
      </w:pPr>
    </w:p>
    <w:p w14:paraId="32995B4D" w14:textId="77777777" w:rsidR="00B25C7E" w:rsidRDefault="00B25C7E" w:rsidP="00312B9E">
      <w:pPr>
        <w:jc w:val="both"/>
        <w:rPr>
          <w:rFonts w:ascii="Arial" w:hAnsi="Arial" w:cs="Arial"/>
          <w:b/>
          <w:sz w:val="24"/>
          <w:szCs w:val="24"/>
        </w:rPr>
      </w:pPr>
    </w:p>
    <w:p w14:paraId="40507390" w14:textId="77777777" w:rsidR="00A2632D" w:rsidRPr="00B25C7E" w:rsidRDefault="00B25C7E" w:rsidP="00312B9E">
      <w:pPr>
        <w:jc w:val="both"/>
        <w:rPr>
          <w:rFonts w:ascii="Arial" w:hAnsi="Arial" w:cs="Arial"/>
          <w:b/>
          <w:sz w:val="24"/>
          <w:szCs w:val="24"/>
        </w:rPr>
      </w:pPr>
      <w:r w:rsidRPr="00B25C7E">
        <w:rPr>
          <w:rFonts w:ascii="Arial" w:hAnsi="Arial" w:cs="Arial"/>
          <w:b/>
          <w:sz w:val="24"/>
          <w:szCs w:val="24"/>
        </w:rPr>
        <w:t>Referencia</w:t>
      </w:r>
      <w:r w:rsidR="00A2632D" w:rsidRPr="00B25C7E">
        <w:rPr>
          <w:rFonts w:ascii="Arial" w:hAnsi="Arial" w:cs="Arial"/>
          <w:b/>
          <w:sz w:val="24"/>
          <w:szCs w:val="24"/>
        </w:rPr>
        <w:t>:</w:t>
      </w:r>
      <w:r w:rsidRPr="00B25C7E">
        <w:rPr>
          <w:rFonts w:ascii="Arial" w:hAnsi="Arial" w:cs="Arial"/>
          <w:b/>
          <w:sz w:val="24"/>
          <w:szCs w:val="24"/>
        </w:rPr>
        <w:t xml:space="preserve"> NULIDAD PROCESAL ACCIÓN CONTRACTUAL  </w:t>
      </w:r>
    </w:p>
    <w:p w14:paraId="696E25F0" w14:textId="77777777" w:rsidR="00A2632D" w:rsidRDefault="00A2632D" w:rsidP="00312B9E">
      <w:pPr>
        <w:jc w:val="both"/>
        <w:rPr>
          <w:rFonts w:ascii="Arial" w:hAnsi="Arial" w:cs="Arial"/>
          <w:b/>
          <w:sz w:val="24"/>
          <w:szCs w:val="24"/>
        </w:rPr>
      </w:pPr>
    </w:p>
    <w:p w14:paraId="41B26518" w14:textId="77777777" w:rsidR="00B25C7E" w:rsidRDefault="00B25C7E" w:rsidP="00312B9E">
      <w:pPr>
        <w:jc w:val="both"/>
        <w:rPr>
          <w:rFonts w:ascii="Arial" w:hAnsi="Arial" w:cs="Arial"/>
          <w:b/>
          <w:sz w:val="24"/>
          <w:szCs w:val="24"/>
        </w:rPr>
      </w:pPr>
    </w:p>
    <w:p w14:paraId="73DD1BB0" w14:textId="77777777" w:rsidR="00B25C7E" w:rsidRPr="00B25C7E" w:rsidRDefault="00B25C7E" w:rsidP="00312B9E">
      <w:pPr>
        <w:jc w:val="both"/>
        <w:rPr>
          <w:rFonts w:ascii="Arial" w:hAnsi="Arial" w:cs="Arial"/>
          <w:b/>
          <w:sz w:val="24"/>
          <w:szCs w:val="24"/>
        </w:rPr>
      </w:pPr>
    </w:p>
    <w:p w14:paraId="047C2434" w14:textId="77777777" w:rsidR="00A2632D" w:rsidRPr="0074774D" w:rsidRDefault="00A2632D" w:rsidP="00E15824">
      <w:pPr>
        <w:pStyle w:val="Textoindependiente"/>
        <w:rPr>
          <w:rFonts w:ascii="Century Gothic" w:hAnsi="Century Gothic"/>
          <w:sz w:val="22"/>
          <w:szCs w:val="22"/>
        </w:rPr>
      </w:pPr>
      <w:r w:rsidRPr="0074774D">
        <w:rPr>
          <w:rFonts w:ascii="Century Gothic" w:hAnsi="Century Gothic"/>
          <w:sz w:val="22"/>
          <w:szCs w:val="22"/>
        </w:rPr>
        <w:t xml:space="preserve">Encontrándose el proceso para decidir el recurso de apelación interpuesto contra el fallo </w:t>
      </w:r>
      <w:r>
        <w:rPr>
          <w:rFonts w:ascii="Century Gothic" w:hAnsi="Century Gothic" w:cs="Arial"/>
          <w:sz w:val="22"/>
          <w:szCs w:val="22"/>
        </w:rPr>
        <w:t>d</w:t>
      </w:r>
      <w:r w:rsidRPr="0074774D">
        <w:rPr>
          <w:rFonts w:ascii="Century Gothic" w:hAnsi="Century Gothic" w:cs="Arial"/>
          <w:sz w:val="22"/>
          <w:szCs w:val="22"/>
        </w:rPr>
        <w:t xml:space="preserve">el </w:t>
      </w:r>
      <w:r>
        <w:rPr>
          <w:rFonts w:ascii="Century Gothic" w:hAnsi="Century Gothic" w:cs="Arial"/>
          <w:sz w:val="22"/>
          <w:szCs w:val="22"/>
        </w:rPr>
        <w:t>27 de julio de 2006</w:t>
      </w:r>
      <w:r w:rsidRPr="0074774D">
        <w:rPr>
          <w:rFonts w:ascii="Century Gothic" w:hAnsi="Century Gothic" w:cs="Arial"/>
          <w:sz w:val="22"/>
          <w:szCs w:val="22"/>
        </w:rPr>
        <w:t xml:space="preserve"> proferido</w:t>
      </w:r>
      <w:r w:rsidRPr="0074774D">
        <w:rPr>
          <w:rFonts w:ascii="Century Gothic" w:hAnsi="Century Gothic"/>
          <w:sz w:val="22"/>
          <w:szCs w:val="22"/>
        </w:rPr>
        <w:t xml:space="preserve"> por el Tribunal Administrativo de </w:t>
      </w:r>
      <w:r>
        <w:rPr>
          <w:rFonts w:ascii="Century Gothic" w:hAnsi="Century Gothic"/>
          <w:sz w:val="22"/>
          <w:szCs w:val="22"/>
        </w:rPr>
        <w:t>San Andrés, Providencia y Santa Catalina</w:t>
      </w:r>
      <w:r w:rsidRPr="0074774D">
        <w:rPr>
          <w:rFonts w:ascii="Century Gothic" w:hAnsi="Century Gothic"/>
          <w:sz w:val="22"/>
          <w:szCs w:val="22"/>
        </w:rPr>
        <w:t xml:space="preserve">, </w:t>
      </w:r>
      <w:r>
        <w:rPr>
          <w:rFonts w:ascii="Century Gothic" w:hAnsi="Century Gothic"/>
          <w:sz w:val="22"/>
          <w:szCs w:val="22"/>
        </w:rPr>
        <w:t xml:space="preserve">se </w:t>
      </w:r>
      <w:r w:rsidRPr="0074774D">
        <w:rPr>
          <w:rFonts w:ascii="Century Gothic" w:hAnsi="Century Gothic"/>
          <w:sz w:val="22"/>
          <w:szCs w:val="22"/>
        </w:rPr>
        <w:t xml:space="preserve">advierte la presencia de </w:t>
      </w:r>
      <w:r>
        <w:rPr>
          <w:rFonts w:ascii="Century Gothic" w:hAnsi="Century Gothic"/>
          <w:sz w:val="22"/>
          <w:szCs w:val="22"/>
        </w:rPr>
        <w:t>una c</w:t>
      </w:r>
      <w:r w:rsidRPr="0074774D">
        <w:rPr>
          <w:rFonts w:ascii="Century Gothic" w:hAnsi="Century Gothic"/>
          <w:sz w:val="22"/>
          <w:szCs w:val="22"/>
        </w:rPr>
        <w:t xml:space="preserve">ausal de nulidad procesal, que impide proseguir el trámite de segunda instancia. </w:t>
      </w:r>
    </w:p>
    <w:p w14:paraId="29859CB5" w14:textId="77777777" w:rsidR="00A2632D" w:rsidRDefault="00A2632D" w:rsidP="00E15824">
      <w:pPr>
        <w:pStyle w:val="Textoindependiente"/>
        <w:spacing w:line="240" w:lineRule="auto"/>
        <w:ind w:left="601" w:right="318"/>
        <w:rPr>
          <w:rFonts w:ascii="Century Gothic" w:hAnsi="Century Gothic" w:cs="Arial"/>
          <w:sz w:val="22"/>
          <w:szCs w:val="22"/>
        </w:rPr>
      </w:pPr>
    </w:p>
    <w:p w14:paraId="05D99FFA" w14:textId="77777777" w:rsidR="00A2632D" w:rsidRPr="00EF5F2F" w:rsidRDefault="00A2632D" w:rsidP="00E15824">
      <w:pPr>
        <w:pStyle w:val="Textoindependiente"/>
        <w:spacing w:line="240" w:lineRule="auto"/>
        <w:ind w:left="601" w:right="318"/>
        <w:rPr>
          <w:rFonts w:ascii="Century Gothic" w:hAnsi="Century Gothic" w:cs="Arial"/>
          <w:sz w:val="22"/>
          <w:szCs w:val="22"/>
        </w:rPr>
      </w:pPr>
    </w:p>
    <w:p w14:paraId="08DAF398" w14:textId="77777777" w:rsidR="00A2632D" w:rsidRPr="00EF5F2F" w:rsidRDefault="00A2632D" w:rsidP="00E15824">
      <w:pPr>
        <w:pStyle w:val="Ttulo3"/>
        <w:jc w:val="center"/>
        <w:rPr>
          <w:rFonts w:ascii="Century Gothic" w:hAnsi="Century Gothic" w:cs="Arial"/>
          <w:b/>
          <w:sz w:val="22"/>
          <w:szCs w:val="22"/>
        </w:rPr>
      </w:pPr>
      <w:r w:rsidRPr="00EF5F2F">
        <w:rPr>
          <w:rFonts w:ascii="Century Gothic" w:hAnsi="Century Gothic" w:cs="Arial"/>
          <w:b/>
          <w:sz w:val="22"/>
          <w:szCs w:val="22"/>
        </w:rPr>
        <w:t>I. ANTECEDENTES</w:t>
      </w:r>
    </w:p>
    <w:p w14:paraId="52BFC36B" w14:textId="77777777" w:rsidR="00A2632D" w:rsidRPr="00EF5F2F" w:rsidRDefault="00A2632D" w:rsidP="00E15824"/>
    <w:p w14:paraId="21B8B85D" w14:textId="77777777" w:rsidR="00A2632D" w:rsidRPr="00EF5F2F" w:rsidRDefault="00A2632D" w:rsidP="00E15824">
      <w:pPr>
        <w:spacing w:line="360" w:lineRule="auto"/>
        <w:jc w:val="both"/>
        <w:rPr>
          <w:rFonts w:ascii="Century Gothic" w:hAnsi="Century Gothic" w:cs="Arial"/>
          <w:bCs/>
        </w:rPr>
      </w:pPr>
      <w:r w:rsidRPr="00EF5F2F">
        <w:rPr>
          <w:rFonts w:ascii="Century Gothic" w:hAnsi="Century Gothic" w:cs="Arial"/>
          <w:b/>
          <w:bCs/>
        </w:rPr>
        <w:t xml:space="preserve">1.- La demanda.- </w:t>
      </w:r>
      <w:r w:rsidRPr="00EF5F2F">
        <w:rPr>
          <w:rFonts w:ascii="Century Gothic" w:hAnsi="Century Gothic" w:cs="Arial"/>
          <w:bCs/>
        </w:rPr>
        <w:t xml:space="preserve"> </w:t>
      </w:r>
    </w:p>
    <w:p w14:paraId="46858F1E" w14:textId="77777777" w:rsidR="00A2632D" w:rsidRPr="00EF5F2F" w:rsidRDefault="00A2632D" w:rsidP="00E15824">
      <w:pPr>
        <w:spacing w:line="360" w:lineRule="auto"/>
        <w:jc w:val="both"/>
        <w:rPr>
          <w:rFonts w:ascii="Century Gothic" w:hAnsi="Century Gothic" w:cs="Arial"/>
          <w:bCs/>
        </w:rPr>
      </w:pPr>
    </w:p>
    <w:p w14:paraId="0CD048BE" w14:textId="77777777" w:rsidR="00A2632D" w:rsidRDefault="00A2632D" w:rsidP="00E15824">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3 de septiembre de 2003</w:t>
      </w:r>
      <w:r w:rsidRPr="001C0FBC">
        <w:rPr>
          <w:rFonts w:ascii="Century Gothic" w:hAnsi="Century Gothic" w:cs="Arial"/>
          <w:sz w:val="22"/>
          <w:szCs w:val="22"/>
        </w:rPr>
        <w:t xml:space="preserve"> en </w:t>
      </w:r>
      <w:r>
        <w:rPr>
          <w:rFonts w:ascii="Century Gothic" w:hAnsi="Century Gothic" w:cs="Arial"/>
          <w:sz w:val="22"/>
          <w:szCs w:val="22"/>
        </w:rPr>
        <w:t xml:space="preserve">el Tribunal Administrativo de </w:t>
      </w:r>
      <w:r>
        <w:rPr>
          <w:rFonts w:ascii="Century Gothic" w:hAnsi="Century Gothic"/>
          <w:sz w:val="22"/>
          <w:szCs w:val="22"/>
        </w:rPr>
        <w:t>San Andrés, Providencia y Santa Catalina</w:t>
      </w:r>
      <w:r>
        <w:rPr>
          <w:rFonts w:ascii="Century Gothic" w:hAnsi="Century Gothic" w:cs="Arial"/>
          <w:sz w:val="22"/>
          <w:szCs w:val="22"/>
        </w:rPr>
        <w:t xml:space="preserve">, la </w:t>
      </w:r>
      <w:r w:rsidRPr="004C7A6F">
        <w:rPr>
          <w:rFonts w:ascii="Century Gothic" w:hAnsi="Century Gothic" w:cs="Arial"/>
          <w:sz w:val="22"/>
          <w:szCs w:val="22"/>
        </w:rPr>
        <w:t>Unión temporal Tekasu Ltda.</w:t>
      </w:r>
      <w:r w:rsidR="006A1654">
        <w:rPr>
          <w:rFonts w:ascii="Century Gothic" w:hAnsi="Century Gothic" w:cs="Arial"/>
          <w:sz w:val="22"/>
          <w:szCs w:val="22"/>
        </w:rPr>
        <w:t xml:space="preserve"> - </w:t>
      </w:r>
      <w:r w:rsidRPr="004C7A6F">
        <w:rPr>
          <w:rFonts w:ascii="Century Gothic" w:hAnsi="Century Gothic" w:cs="Arial"/>
          <w:sz w:val="22"/>
          <w:szCs w:val="22"/>
        </w:rPr>
        <w:t>Ary Construcciones y Cia. Ltda.</w:t>
      </w:r>
      <w:r w:rsidR="006A1654">
        <w:rPr>
          <w:rFonts w:ascii="Century Gothic" w:hAnsi="Century Gothic" w:cs="Arial"/>
          <w:sz w:val="22"/>
          <w:szCs w:val="22"/>
        </w:rPr>
        <w:t xml:space="preserve"> - </w:t>
      </w:r>
      <w:r w:rsidRPr="004C7A6F">
        <w:rPr>
          <w:rFonts w:ascii="Century Gothic" w:hAnsi="Century Gothic" w:cs="Arial"/>
          <w:sz w:val="22"/>
          <w:szCs w:val="22"/>
        </w:rPr>
        <w:t>Z.R. Ingeniería</w:t>
      </w:r>
      <w:r>
        <w:rPr>
          <w:rFonts w:ascii="Century Gothic" w:hAnsi="Century Gothic" w:cs="Arial"/>
          <w:sz w:val="22"/>
          <w:szCs w:val="22"/>
        </w:rPr>
        <w:t xml:space="preserve"> </w:t>
      </w:r>
      <w:r w:rsidRPr="001C0FBC">
        <w:rPr>
          <w:rFonts w:ascii="Century Gothic" w:hAnsi="Century Gothic" w:cs="Arial"/>
          <w:sz w:val="22"/>
          <w:szCs w:val="22"/>
        </w:rPr>
        <w:t>formul</w:t>
      </w:r>
      <w:r>
        <w:rPr>
          <w:rFonts w:ascii="Century Gothic" w:hAnsi="Century Gothic" w:cs="Arial"/>
          <w:sz w:val="22"/>
          <w:szCs w:val="22"/>
        </w:rPr>
        <w:t xml:space="preserve">ó </w:t>
      </w:r>
      <w:r w:rsidRPr="001C0FBC">
        <w:rPr>
          <w:rFonts w:ascii="Century Gothic" w:hAnsi="Century Gothic" w:cs="Arial"/>
          <w:sz w:val="22"/>
          <w:szCs w:val="22"/>
        </w:rPr>
        <w:t xml:space="preserve">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contra </w:t>
      </w:r>
      <w:r>
        <w:rPr>
          <w:rFonts w:ascii="Century Gothic" w:hAnsi="Century Gothic" w:cs="Arial"/>
          <w:sz w:val="22"/>
          <w:szCs w:val="22"/>
        </w:rPr>
        <w:t xml:space="preserve">el departamento </w:t>
      </w:r>
      <w:r>
        <w:rPr>
          <w:rFonts w:ascii="Century Gothic" w:hAnsi="Century Gothic"/>
          <w:sz w:val="22"/>
          <w:szCs w:val="22"/>
        </w:rPr>
        <w:t>Archipiélago de San Andrés, Providencia y Santa Catalina</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14:paraId="2D836882" w14:textId="77777777" w:rsidR="00A2632D" w:rsidRDefault="00A2632D" w:rsidP="00E15824">
      <w:pPr>
        <w:pStyle w:val="Textoindependiente3"/>
        <w:tabs>
          <w:tab w:val="clear" w:pos="426"/>
        </w:tabs>
        <w:rPr>
          <w:rFonts w:ascii="Century Gothic" w:hAnsi="Century Gothic" w:cs="Arial"/>
          <w:sz w:val="22"/>
          <w:szCs w:val="22"/>
        </w:rPr>
      </w:pPr>
    </w:p>
    <w:p w14:paraId="254D01A5"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“1</w:t>
      </w:r>
      <w:r>
        <w:rPr>
          <w:rFonts w:ascii="Century Gothic" w:hAnsi="Century Gothic" w:cs="Arial"/>
          <w:sz w:val="20"/>
          <w:szCs w:val="20"/>
        </w:rPr>
        <w:t>. Que se declare</w:t>
      </w:r>
      <w:r w:rsidRPr="008D0C23">
        <w:rPr>
          <w:rFonts w:ascii="Century Gothic" w:hAnsi="Century Gothic" w:cs="Arial"/>
          <w:sz w:val="20"/>
          <w:szCs w:val="20"/>
        </w:rPr>
        <w:t xml:space="preserve"> contractualmente responsable a la Gobernación ARCHIPIELAGO DE SAN ANDRES, PROVIDENCIA Y SANTA CATALINA del </w:t>
      </w:r>
      <w:r w:rsidRPr="008D0C23">
        <w:rPr>
          <w:rFonts w:ascii="Century Gothic" w:hAnsi="Century Gothic" w:cs="Arial"/>
          <w:sz w:val="20"/>
          <w:szCs w:val="20"/>
        </w:rPr>
        <w:lastRenderedPageBreak/>
        <w:t>Desequilibrio Financiero del Contrato 147/98 y sus contratos adicionales números 01</w:t>
      </w:r>
      <w:r>
        <w:rPr>
          <w:rFonts w:ascii="Century Gothic" w:hAnsi="Century Gothic" w:cs="Arial"/>
          <w:sz w:val="20"/>
          <w:szCs w:val="20"/>
        </w:rPr>
        <w:t xml:space="preserve"> </w:t>
      </w:r>
      <w:r w:rsidRPr="008D0C23">
        <w:rPr>
          <w:rFonts w:ascii="Century Gothic" w:hAnsi="Century Gothic" w:cs="Arial"/>
          <w:sz w:val="20"/>
          <w:szCs w:val="20"/>
        </w:rPr>
        <w:t xml:space="preserve">de Marzo 3 del 2000 y el 02 de Junio 27 del 2.000. </w:t>
      </w:r>
    </w:p>
    <w:p w14:paraId="1644D62F"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p>
    <w:p w14:paraId="69D9883D"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 xml:space="preserve">“2. Que como consecuencia de la declaratoria anterior, se de por terminado judicialmente el contrato número 147/98, y sus contratos adicionales números 01 de Marzo 3 del 2000 y el 02 de Junio 27 del 2.000, suscritos entre la Gobernación ARCHIPIELAGO DE SAN ANDRES, PROVIDENCIA Y SANTA CATALINA y la Unión Temporal que represento; con ocasión del Desequilibrio Financiero del mencionado contrato y por culpa inmputable única y exclusivamente a la entidad contratante. </w:t>
      </w:r>
    </w:p>
    <w:p w14:paraId="594C6AB8"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p>
    <w:p w14:paraId="63A6F786"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 xml:space="preserve">“3. Se decrete la liquidación judicial del contrato, de acuerdo a la pruebas allegadas al expediente, señalando expresamente las sumas adeudadas por la entidad contratante a mi representada. </w:t>
      </w:r>
    </w:p>
    <w:p w14:paraId="1772B1FD"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p>
    <w:p w14:paraId="2622F660"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“4. Que como consecuencia del acto anterior, se ordene el pago a favor de mi poderdante de las sumas contenidas en las reclamaciones presentadas ante la gobernación y algunas de estas ya protocolizadas como silencio administrativo positivo según consta en la</w:t>
      </w:r>
      <w:r>
        <w:rPr>
          <w:rFonts w:ascii="Century Gothic" w:hAnsi="Century Gothic" w:cs="Arial"/>
          <w:sz w:val="20"/>
          <w:szCs w:val="20"/>
        </w:rPr>
        <w:t>s</w:t>
      </w:r>
      <w:r w:rsidRPr="008D0C23">
        <w:rPr>
          <w:rFonts w:ascii="Century Gothic" w:hAnsi="Century Gothic" w:cs="Arial"/>
          <w:sz w:val="20"/>
          <w:szCs w:val="20"/>
        </w:rPr>
        <w:t xml:space="preserve"> escrituras… , por un valor total de CUATROCIENTOS SETENTA Y CINCO MILLONES DOSCIENTOS NOVENTA Y TRES MIL TRESCIENTOS SESENTA Y UN PESOS ($475.293.361.00).</w:t>
      </w:r>
    </w:p>
    <w:p w14:paraId="265294F2"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p>
    <w:p w14:paraId="4928DA1C"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 xml:space="preserve">“5. Se actualice dicho valor a la fecha de Fallo del presente proceso, con base en los indices de costo a la vida emitidos por el DANE. </w:t>
      </w:r>
    </w:p>
    <w:p w14:paraId="3F4447FA"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p>
    <w:p w14:paraId="398A1990"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 xml:space="preserve">“6. Se indemnice a mi cliente en los perjuicios morales y materiales ocasionados por la Gobernación, por no mediar culpa suya en la terminación del contrato; de acuerdo a lo probado del proceso. </w:t>
      </w:r>
    </w:p>
    <w:p w14:paraId="020377B1"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p>
    <w:p w14:paraId="5A1374A0" w14:textId="77777777" w:rsidR="00A2632D" w:rsidRPr="008D0C23" w:rsidRDefault="00A2632D" w:rsidP="00E15824">
      <w:pPr>
        <w:pStyle w:val="Textoindependiente3"/>
        <w:tabs>
          <w:tab w:val="clear" w:pos="426"/>
        </w:tabs>
        <w:spacing w:line="240" w:lineRule="auto"/>
        <w:ind w:left="851" w:right="851"/>
        <w:rPr>
          <w:rFonts w:ascii="Century Gothic" w:hAnsi="Century Gothic" w:cs="Arial"/>
          <w:sz w:val="20"/>
          <w:szCs w:val="20"/>
        </w:rPr>
      </w:pPr>
      <w:r w:rsidRPr="008D0C23">
        <w:rPr>
          <w:rFonts w:ascii="Century Gothic" w:hAnsi="Century Gothic" w:cs="Arial"/>
          <w:sz w:val="20"/>
          <w:szCs w:val="20"/>
        </w:rPr>
        <w:t>“7. Se condene en costas y agencias en derecho a la demandada” (fls. 3 y 4, c. 1)</w:t>
      </w:r>
    </w:p>
    <w:p w14:paraId="376E083A" w14:textId="77777777" w:rsidR="00A2632D" w:rsidRDefault="00A2632D" w:rsidP="00E15824">
      <w:pPr>
        <w:pStyle w:val="Textoindependiente3"/>
        <w:tabs>
          <w:tab w:val="clear" w:pos="426"/>
        </w:tabs>
        <w:rPr>
          <w:rFonts w:ascii="Century Gothic" w:hAnsi="Century Gothic" w:cs="Arial"/>
          <w:sz w:val="22"/>
          <w:szCs w:val="22"/>
        </w:rPr>
      </w:pPr>
    </w:p>
    <w:p w14:paraId="133E6B58" w14:textId="77777777" w:rsidR="00A2632D" w:rsidRPr="001C0FBC" w:rsidRDefault="00A2632D" w:rsidP="00E15824">
      <w:pPr>
        <w:pStyle w:val="Textoindependiente3"/>
        <w:tabs>
          <w:tab w:val="clear" w:pos="426"/>
        </w:tabs>
        <w:rPr>
          <w:rFonts w:ascii="Century Gothic" w:hAnsi="Century Gothic" w:cs="Arial"/>
          <w:b/>
          <w:sz w:val="22"/>
          <w:szCs w:val="22"/>
        </w:rPr>
      </w:pPr>
      <w:r w:rsidRPr="001C0FBC">
        <w:rPr>
          <w:rFonts w:ascii="Century Gothic" w:hAnsi="Century Gothic" w:cs="Arial"/>
          <w:b/>
          <w:sz w:val="22"/>
          <w:szCs w:val="22"/>
        </w:rPr>
        <w:t>2.- Hechos.-</w:t>
      </w:r>
    </w:p>
    <w:p w14:paraId="5CA8D360" w14:textId="77777777" w:rsidR="00A2632D" w:rsidRPr="001C0FBC" w:rsidRDefault="00A2632D" w:rsidP="00E15824">
      <w:pPr>
        <w:pStyle w:val="Textoindependiente3"/>
        <w:tabs>
          <w:tab w:val="clear" w:pos="426"/>
        </w:tabs>
        <w:rPr>
          <w:rFonts w:ascii="Century Gothic" w:hAnsi="Century Gothic" w:cs="Arial"/>
          <w:sz w:val="22"/>
          <w:szCs w:val="22"/>
        </w:rPr>
      </w:pPr>
    </w:p>
    <w:p w14:paraId="53C203DB" w14:textId="77777777" w:rsidR="00A2632D" w:rsidRPr="001C0FBC" w:rsidRDefault="00A2632D" w:rsidP="00E15824">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Los fundamentos fácticos de las pretensiones son, en síntesis, </w:t>
      </w:r>
      <w:r w:rsidRPr="006F2F1A">
        <w:rPr>
          <w:rFonts w:ascii="Century Gothic" w:hAnsi="Century Gothic" w:cs="Arial"/>
          <w:sz w:val="22"/>
          <w:szCs w:val="22"/>
        </w:rPr>
        <w:t>los siguientes:</w:t>
      </w:r>
    </w:p>
    <w:p w14:paraId="551ADDAC" w14:textId="77777777" w:rsidR="00A2632D" w:rsidRDefault="00A2632D" w:rsidP="00E15824">
      <w:pPr>
        <w:pStyle w:val="Textoindependiente3"/>
        <w:tabs>
          <w:tab w:val="clear" w:pos="426"/>
        </w:tabs>
        <w:rPr>
          <w:rFonts w:ascii="Century Gothic" w:hAnsi="Century Gothic" w:cs="Arial"/>
          <w:sz w:val="22"/>
          <w:szCs w:val="22"/>
        </w:rPr>
      </w:pPr>
    </w:p>
    <w:p w14:paraId="02B6E5A8" w14:textId="77777777" w:rsidR="00A2632D" w:rsidRDefault="00A2632D" w:rsidP="00E15824">
      <w:pPr>
        <w:pStyle w:val="Textoindependiente3"/>
        <w:tabs>
          <w:tab w:val="clear" w:pos="426"/>
        </w:tabs>
        <w:rPr>
          <w:rFonts w:ascii="Century Gothic" w:hAnsi="Century Gothic" w:cs="Arial"/>
          <w:sz w:val="22"/>
          <w:szCs w:val="22"/>
        </w:rPr>
      </w:pPr>
      <w:r w:rsidRPr="005A48B2">
        <w:rPr>
          <w:rFonts w:ascii="Century Gothic" w:hAnsi="Century Gothic" w:cs="Arial"/>
          <w:b/>
          <w:sz w:val="22"/>
          <w:szCs w:val="22"/>
        </w:rPr>
        <w:t>2.1.-</w:t>
      </w:r>
      <w:r>
        <w:rPr>
          <w:rFonts w:ascii="Century Gothic" w:hAnsi="Century Gothic" w:cs="Arial"/>
          <w:b/>
          <w:sz w:val="22"/>
          <w:szCs w:val="22"/>
        </w:rPr>
        <w:t xml:space="preserve"> </w:t>
      </w:r>
      <w:r>
        <w:rPr>
          <w:rFonts w:ascii="Century Gothic" w:hAnsi="Century Gothic" w:cs="Arial"/>
          <w:sz w:val="22"/>
          <w:szCs w:val="22"/>
        </w:rPr>
        <w:t xml:space="preserve">La parte actora celebró con el departamento de </w:t>
      </w:r>
      <w:r>
        <w:rPr>
          <w:rFonts w:ascii="Century Gothic" w:hAnsi="Century Gothic"/>
          <w:sz w:val="22"/>
          <w:szCs w:val="22"/>
        </w:rPr>
        <w:t>San Andrés, Providencia y Santa Catalina</w:t>
      </w:r>
      <w:r>
        <w:rPr>
          <w:rFonts w:ascii="Century Gothic" w:hAnsi="Century Gothic" w:cs="Arial"/>
          <w:sz w:val="22"/>
          <w:szCs w:val="22"/>
        </w:rPr>
        <w:t xml:space="preserve"> el contrato de obra 147, del 21 de diciembre de 1998, el cual tenía como objeto el diseño, suministro, construcción y puesta en marcha de la planta de tratamiento de aguas residuales en Providencia Isla. </w:t>
      </w:r>
    </w:p>
    <w:p w14:paraId="3D950D29" w14:textId="77777777" w:rsidR="00A2632D" w:rsidRDefault="00A2632D" w:rsidP="00E15824">
      <w:pPr>
        <w:pStyle w:val="Textoindependiente3"/>
        <w:tabs>
          <w:tab w:val="clear" w:pos="426"/>
        </w:tabs>
        <w:rPr>
          <w:rFonts w:ascii="Century Gothic" w:hAnsi="Century Gothic" w:cs="Arial"/>
          <w:sz w:val="22"/>
          <w:szCs w:val="22"/>
        </w:rPr>
      </w:pPr>
    </w:p>
    <w:p w14:paraId="1A26C167" w14:textId="77777777" w:rsidR="00A2632D" w:rsidRDefault="00A2632D" w:rsidP="00E15824">
      <w:pPr>
        <w:pStyle w:val="Textoindependiente3"/>
        <w:tabs>
          <w:tab w:val="clear" w:pos="426"/>
        </w:tabs>
        <w:rPr>
          <w:rFonts w:ascii="Century Gothic" w:hAnsi="Century Gothic" w:cs="Arial"/>
          <w:sz w:val="22"/>
          <w:szCs w:val="22"/>
        </w:rPr>
      </w:pPr>
      <w:r w:rsidRPr="005A48B2">
        <w:rPr>
          <w:rFonts w:ascii="Century Gothic" w:hAnsi="Century Gothic" w:cs="Arial"/>
          <w:b/>
          <w:sz w:val="22"/>
          <w:szCs w:val="22"/>
        </w:rPr>
        <w:t>2.2.-</w:t>
      </w:r>
      <w:r>
        <w:rPr>
          <w:rFonts w:ascii="Century Gothic" w:hAnsi="Century Gothic" w:cs="Arial"/>
          <w:b/>
          <w:sz w:val="22"/>
          <w:szCs w:val="22"/>
        </w:rPr>
        <w:t xml:space="preserve"> </w:t>
      </w:r>
      <w:r>
        <w:rPr>
          <w:rFonts w:ascii="Century Gothic" w:hAnsi="Century Gothic" w:cs="Arial"/>
          <w:sz w:val="22"/>
          <w:szCs w:val="22"/>
        </w:rPr>
        <w:t xml:space="preserve">Desde el inicio del contrato se presentaron inconvenientes en su ejecución, por culpa del contratante, tales como el sitio en el que debía funcionar la planta de tratamiento y otros aspectos técnicos, lo que generó la suspensión del contrato en múltiples ocasiones y la ruptura del equilibrio económico del mismo. </w:t>
      </w:r>
    </w:p>
    <w:p w14:paraId="5BD65F4A" w14:textId="77777777" w:rsidR="00A2632D" w:rsidRDefault="00A2632D" w:rsidP="00E15824">
      <w:pPr>
        <w:pStyle w:val="Textoindependiente3"/>
        <w:tabs>
          <w:tab w:val="clear" w:pos="426"/>
        </w:tabs>
        <w:rPr>
          <w:rFonts w:ascii="Century Gothic" w:hAnsi="Century Gothic" w:cs="Arial"/>
          <w:sz w:val="22"/>
          <w:szCs w:val="22"/>
        </w:rPr>
      </w:pPr>
    </w:p>
    <w:p w14:paraId="4A126FAD" w14:textId="77777777" w:rsidR="00A2632D" w:rsidRDefault="00A2632D" w:rsidP="00E15824">
      <w:pPr>
        <w:pStyle w:val="Textoindependiente3"/>
        <w:tabs>
          <w:tab w:val="clear" w:pos="426"/>
        </w:tabs>
        <w:rPr>
          <w:rFonts w:ascii="Century Gothic" w:hAnsi="Century Gothic"/>
          <w:sz w:val="22"/>
          <w:szCs w:val="22"/>
        </w:rPr>
      </w:pPr>
      <w:r w:rsidRPr="00835EE0">
        <w:rPr>
          <w:rFonts w:ascii="Century Gothic" w:hAnsi="Century Gothic"/>
          <w:b/>
          <w:sz w:val="22"/>
          <w:szCs w:val="22"/>
        </w:rPr>
        <w:t>2.3.-</w:t>
      </w:r>
      <w:r w:rsidRPr="00D01BB6">
        <w:rPr>
          <w:rFonts w:ascii="Century Gothic" w:hAnsi="Century Gothic"/>
          <w:b/>
          <w:sz w:val="22"/>
          <w:szCs w:val="22"/>
        </w:rPr>
        <w:t xml:space="preserve"> </w:t>
      </w:r>
      <w:r>
        <w:rPr>
          <w:rFonts w:ascii="Century Gothic" w:hAnsi="Century Gothic"/>
          <w:sz w:val="22"/>
          <w:szCs w:val="22"/>
        </w:rPr>
        <w:t xml:space="preserve">El contrato se ejecutó en un 80%, alguna cuentas de cobro no fueron canceladas oportunamente y, al permanecer el contrato suspendido desde mayo de 2000, se perdieron las partidas presupuestales destinadas para finalizar la obra, todo por la falta de planeación y diseño del objeto contractual. </w:t>
      </w:r>
    </w:p>
    <w:p w14:paraId="405318DD" w14:textId="77777777" w:rsidR="00A2632D" w:rsidRDefault="00A2632D" w:rsidP="00E15824">
      <w:pPr>
        <w:pStyle w:val="Textoindependiente3"/>
        <w:tabs>
          <w:tab w:val="clear" w:pos="426"/>
        </w:tabs>
        <w:rPr>
          <w:rFonts w:ascii="Century Gothic" w:hAnsi="Century Gothic"/>
          <w:sz w:val="22"/>
          <w:szCs w:val="22"/>
        </w:rPr>
      </w:pPr>
    </w:p>
    <w:p w14:paraId="4EEDA808" w14:textId="77777777" w:rsidR="00A2632D" w:rsidRPr="00EF5F2F" w:rsidRDefault="00A2632D" w:rsidP="00E15824">
      <w:pPr>
        <w:pStyle w:val="Textoindependiente21"/>
        <w:tabs>
          <w:tab w:val="left" w:pos="567"/>
        </w:tabs>
        <w:ind w:right="-4" w:firstLine="0"/>
        <w:rPr>
          <w:rFonts w:ascii="Century Gothic" w:hAnsi="Century Gothic" w:cs="Tahoma"/>
          <w:b/>
          <w:sz w:val="22"/>
          <w:szCs w:val="22"/>
        </w:rPr>
      </w:pPr>
      <w:r w:rsidRPr="00EF5F2F">
        <w:rPr>
          <w:rFonts w:ascii="Century Gothic" w:hAnsi="Century Gothic" w:cs="Arial"/>
          <w:b/>
          <w:bCs/>
          <w:sz w:val="22"/>
          <w:szCs w:val="22"/>
        </w:rPr>
        <w:t xml:space="preserve">3.- </w:t>
      </w:r>
      <w:r w:rsidRPr="00EF5F2F">
        <w:rPr>
          <w:rFonts w:ascii="Century Gothic" w:hAnsi="Century Gothic" w:cs="Tahoma"/>
          <w:b/>
          <w:sz w:val="22"/>
          <w:szCs w:val="22"/>
        </w:rPr>
        <w:t>La actuación procesal</w:t>
      </w:r>
    </w:p>
    <w:p w14:paraId="0E541B44" w14:textId="77777777" w:rsidR="00A2632D" w:rsidRPr="00EF5F2F" w:rsidRDefault="00A2632D" w:rsidP="00E15824">
      <w:pPr>
        <w:pStyle w:val="Textoindependiente21"/>
        <w:ind w:firstLine="708"/>
        <w:rPr>
          <w:rFonts w:ascii="Century Gothic" w:hAnsi="Century Gothic" w:cs="Tahoma"/>
          <w:sz w:val="22"/>
          <w:szCs w:val="22"/>
        </w:rPr>
      </w:pPr>
    </w:p>
    <w:p w14:paraId="4BA6C9CF" w14:textId="77777777" w:rsidR="00A2632D" w:rsidRPr="001C0FBC" w:rsidRDefault="00A2632D" w:rsidP="00E15824">
      <w:pPr>
        <w:pStyle w:val="Textoindependiente211"/>
        <w:ind w:right="0" w:firstLine="0"/>
        <w:rPr>
          <w:rFonts w:ascii="Century Gothic" w:hAnsi="Century Gothic" w:cs="Tahoma"/>
          <w:sz w:val="22"/>
          <w:szCs w:val="22"/>
        </w:rPr>
      </w:pPr>
      <w:r w:rsidRPr="001C0FBC">
        <w:rPr>
          <w:rFonts w:ascii="Century Gothic" w:hAnsi="Century Gothic" w:cs="Tahoma"/>
          <w:sz w:val="22"/>
          <w:szCs w:val="22"/>
        </w:rPr>
        <w:t xml:space="preserve">Por auto del </w:t>
      </w:r>
      <w:r>
        <w:rPr>
          <w:rFonts w:ascii="Century Gothic" w:hAnsi="Century Gothic" w:cs="Tahoma"/>
          <w:sz w:val="22"/>
          <w:szCs w:val="22"/>
        </w:rPr>
        <w:t xml:space="preserve">7 de octubre de 2003 </w:t>
      </w:r>
      <w:r w:rsidRPr="001C0FBC">
        <w:rPr>
          <w:rFonts w:ascii="Century Gothic" w:hAnsi="Century Gothic" w:cs="Tahoma"/>
          <w:sz w:val="22"/>
          <w:szCs w:val="22"/>
        </w:rPr>
        <w:t>se admitió 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 a través de la notificación personal de la providencia </w:t>
      </w:r>
      <w:r>
        <w:rPr>
          <w:rFonts w:ascii="Century Gothic" w:hAnsi="Century Gothic" w:cs="Tahoma"/>
          <w:sz w:val="22"/>
          <w:szCs w:val="22"/>
        </w:rPr>
        <w:t xml:space="preserve">al Gobernador de </w:t>
      </w:r>
      <w:r>
        <w:rPr>
          <w:rFonts w:ascii="Century Gothic" w:hAnsi="Century Gothic"/>
          <w:sz w:val="22"/>
          <w:szCs w:val="22"/>
        </w:rPr>
        <w:t>San Andrés, Providencia y Santa Catalina</w:t>
      </w:r>
      <w:r>
        <w:rPr>
          <w:rFonts w:ascii="Century Gothic" w:hAnsi="Century Gothic" w:cs="Tahoma"/>
          <w:sz w:val="22"/>
          <w:szCs w:val="22"/>
        </w:rPr>
        <w:t xml:space="preserve">, </w:t>
      </w:r>
      <w:r w:rsidRPr="001C0FBC">
        <w:rPr>
          <w:rFonts w:ascii="Century Gothic" w:hAnsi="Century Gothic" w:cs="Tahoma"/>
          <w:sz w:val="22"/>
          <w:szCs w:val="22"/>
        </w:rPr>
        <w:t xml:space="preserve">se ordenó la notificación personal al agente del Ministerio Público, se </w:t>
      </w:r>
      <w:r>
        <w:rPr>
          <w:rFonts w:ascii="Century Gothic" w:hAnsi="Century Gothic" w:cs="Tahoma"/>
          <w:sz w:val="22"/>
          <w:szCs w:val="22"/>
        </w:rPr>
        <w:t xml:space="preserve">dispuso </w:t>
      </w:r>
      <w:r w:rsidRPr="001C0FBC">
        <w:rPr>
          <w:rFonts w:ascii="Century Gothic" w:hAnsi="Century Gothic" w:cs="Tahoma"/>
          <w:sz w:val="22"/>
          <w:szCs w:val="22"/>
        </w:rPr>
        <w:t xml:space="preserve">la fijación del negocio en lista y se reconoció personería al </w:t>
      </w:r>
      <w:r>
        <w:rPr>
          <w:rFonts w:ascii="Century Gothic" w:hAnsi="Century Gothic" w:cs="Tahoma"/>
          <w:sz w:val="22"/>
          <w:szCs w:val="22"/>
        </w:rPr>
        <w:t>apoderado de la parte actora</w:t>
      </w:r>
      <w:r w:rsidRPr="001C0FBC">
        <w:rPr>
          <w:rFonts w:ascii="Century Gothic" w:hAnsi="Century Gothic" w:cs="Tahoma"/>
          <w:sz w:val="22"/>
          <w:szCs w:val="22"/>
        </w:rPr>
        <w:t>.</w:t>
      </w:r>
    </w:p>
    <w:p w14:paraId="5898D653" w14:textId="77777777" w:rsidR="00A2632D" w:rsidRDefault="00A2632D" w:rsidP="00E15824">
      <w:pPr>
        <w:pStyle w:val="Textoindependiente21"/>
        <w:ind w:right="0" w:firstLine="0"/>
        <w:rPr>
          <w:rFonts w:ascii="Century Gothic" w:hAnsi="Century Gothic" w:cs="Tahoma"/>
          <w:sz w:val="22"/>
          <w:szCs w:val="22"/>
          <w:lang w:val="es-ES"/>
        </w:rPr>
      </w:pPr>
    </w:p>
    <w:p w14:paraId="7A631CF8" w14:textId="77777777" w:rsidR="00A2632D" w:rsidRDefault="00A2632D" w:rsidP="00E15824">
      <w:pPr>
        <w:pStyle w:val="Textoindependiente21"/>
        <w:ind w:right="0" w:firstLine="0"/>
        <w:rPr>
          <w:rFonts w:ascii="Century Gothic" w:hAnsi="Century Gothic"/>
          <w:sz w:val="22"/>
          <w:szCs w:val="22"/>
        </w:rPr>
      </w:pPr>
      <w:r w:rsidRPr="00DE00C6">
        <w:rPr>
          <w:rFonts w:ascii="Century Gothic" w:hAnsi="Century Gothic" w:cs="Tahoma"/>
          <w:sz w:val="22"/>
          <w:szCs w:val="22"/>
        </w:rPr>
        <w:t>El departamento</w:t>
      </w:r>
      <w:r>
        <w:rPr>
          <w:rFonts w:ascii="Century Gothic" w:hAnsi="Century Gothic" w:cs="Tahoma"/>
          <w:sz w:val="22"/>
          <w:szCs w:val="22"/>
        </w:rPr>
        <w:t xml:space="preserve"> de </w:t>
      </w:r>
      <w:r>
        <w:rPr>
          <w:rFonts w:ascii="Century Gothic" w:hAnsi="Century Gothic"/>
          <w:sz w:val="22"/>
          <w:szCs w:val="22"/>
        </w:rPr>
        <w:t xml:space="preserve">San Andrés, Providencia y Santa Catalina en la contestación de la demanda aceptó unos hechos y negó otros, solicitó acceder a la disolución y liquidación del contrato y se opuso a las demás pretensiones de la demanda por carecer de objeto, ya que el contratista consintió la firma de dos adiciones al contrato principal, por lo que ahora no podía alegar perjuicios con fundamento en la adición y en la suspensión del contrato. </w:t>
      </w:r>
    </w:p>
    <w:p w14:paraId="475B48BC" w14:textId="77777777" w:rsidR="00A2632D" w:rsidRDefault="00A2632D" w:rsidP="00E15824">
      <w:pPr>
        <w:pStyle w:val="Textoindependiente21"/>
        <w:ind w:right="0" w:firstLine="0"/>
        <w:rPr>
          <w:rFonts w:ascii="Century Gothic" w:hAnsi="Century Gothic"/>
          <w:sz w:val="22"/>
          <w:szCs w:val="22"/>
        </w:rPr>
      </w:pPr>
    </w:p>
    <w:p w14:paraId="14022AD8" w14:textId="77777777" w:rsidR="00A2632D" w:rsidRDefault="00A2632D" w:rsidP="00E15824">
      <w:pPr>
        <w:pStyle w:val="Textoindependiente21"/>
        <w:ind w:right="0" w:firstLine="0"/>
        <w:rPr>
          <w:rFonts w:ascii="Century Gothic" w:hAnsi="Century Gothic" w:cs="Tahoma"/>
          <w:sz w:val="22"/>
          <w:szCs w:val="22"/>
          <w:lang w:val="es-ES"/>
        </w:rPr>
      </w:pPr>
      <w:r>
        <w:rPr>
          <w:rFonts w:ascii="Century Gothic" w:hAnsi="Century Gothic"/>
          <w:sz w:val="22"/>
          <w:szCs w:val="22"/>
        </w:rPr>
        <w:t xml:space="preserve">Propuso las excepciones de: i) “fuerza mayor que justifica plenamente las suspensiones y rompimiento de la buena fe contractual”, ii) “no rompimiento del principio del equilibrio contractual”, iii) “cobro de lo no debido” y iv) “consensualidad contractual del accionante”. </w:t>
      </w:r>
    </w:p>
    <w:p w14:paraId="32324C14" w14:textId="77777777" w:rsidR="00A2632D" w:rsidRDefault="00A2632D" w:rsidP="00E15824">
      <w:pPr>
        <w:pStyle w:val="Textoindependiente21"/>
        <w:ind w:right="0" w:firstLine="0"/>
        <w:rPr>
          <w:rFonts w:ascii="Century Gothic" w:hAnsi="Century Gothic" w:cs="Tahoma"/>
          <w:sz w:val="22"/>
          <w:szCs w:val="22"/>
          <w:lang w:val="es-ES"/>
        </w:rPr>
      </w:pPr>
    </w:p>
    <w:p w14:paraId="4E9D6A2A" w14:textId="77777777" w:rsidR="00A2632D" w:rsidRPr="008E54FB" w:rsidRDefault="00A2632D" w:rsidP="00E15824">
      <w:pPr>
        <w:pStyle w:val="Lista2"/>
        <w:widowControl w:val="0"/>
        <w:tabs>
          <w:tab w:val="num" w:pos="709"/>
        </w:tabs>
        <w:spacing w:line="360" w:lineRule="auto"/>
        <w:ind w:left="0" w:firstLine="0"/>
        <w:jc w:val="both"/>
        <w:rPr>
          <w:rFonts w:cs="Arial"/>
          <w:b/>
          <w:sz w:val="22"/>
          <w:szCs w:val="22"/>
        </w:rPr>
      </w:pPr>
      <w:r>
        <w:rPr>
          <w:rFonts w:cs="Arial"/>
          <w:b/>
          <w:sz w:val="22"/>
          <w:szCs w:val="22"/>
        </w:rPr>
        <w:t>4</w:t>
      </w:r>
      <w:r w:rsidRPr="008E54FB">
        <w:rPr>
          <w:rFonts w:cs="Arial"/>
          <w:b/>
          <w:sz w:val="22"/>
          <w:szCs w:val="22"/>
        </w:rPr>
        <w:t>.- La sentencia recurrida.-</w:t>
      </w:r>
    </w:p>
    <w:p w14:paraId="07FEB15E" w14:textId="77777777" w:rsidR="00A2632D" w:rsidRPr="008E54FB" w:rsidRDefault="00A2632D" w:rsidP="00E15824">
      <w:pPr>
        <w:pStyle w:val="Lista2"/>
        <w:widowControl w:val="0"/>
        <w:tabs>
          <w:tab w:val="num" w:pos="709"/>
        </w:tabs>
        <w:spacing w:line="360" w:lineRule="auto"/>
        <w:ind w:left="0" w:firstLine="0"/>
        <w:jc w:val="both"/>
        <w:rPr>
          <w:rFonts w:cs="Arial"/>
          <w:sz w:val="22"/>
          <w:szCs w:val="22"/>
        </w:rPr>
      </w:pPr>
    </w:p>
    <w:p w14:paraId="50E70A09" w14:textId="77777777" w:rsidR="00A2632D" w:rsidRDefault="00A2632D" w:rsidP="00E15824">
      <w:pPr>
        <w:pStyle w:val="Textoindependiente211"/>
        <w:ind w:right="0" w:firstLine="0"/>
        <w:rPr>
          <w:rFonts w:ascii="Century Gothic" w:hAnsi="Century Gothic" w:cs="Tahoma"/>
          <w:sz w:val="22"/>
          <w:szCs w:val="22"/>
        </w:rPr>
      </w:pPr>
      <w:r w:rsidRPr="008E54FB">
        <w:rPr>
          <w:rFonts w:ascii="Century Gothic" w:hAnsi="Century Gothic" w:cs="Tahoma"/>
          <w:sz w:val="22"/>
          <w:szCs w:val="22"/>
        </w:rPr>
        <w:t xml:space="preserve">Es la proferida el </w:t>
      </w:r>
      <w:r>
        <w:rPr>
          <w:rFonts w:ascii="Century Gothic" w:hAnsi="Century Gothic" w:cs="Tahoma"/>
          <w:sz w:val="22"/>
          <w:szCs w:val="22"/>
        </w:rPr>
        <w:t>27</w:t>
      </w:r>
      <w:r w:rsidRPr="008E54FB">
        <w:rPr>
          <w:rFonts w:ascii="Century Gothic" w:hAnsi="Century Gothic" w:cs="Tahoma"/>
          <w:sz w:val="22"/>
          <w:szCs w:val="22"/>
        </w:rPr>
        <w:t xml:space="preserve"> de </w:t>
      </w:r>
      <w:r>
        <w:rPr>
          <w:rFonts w:ascii="Century Gothic" w:hAnsi="Century Gothic" w:cs="Tahoma"/>
          <w:sz w:val="22"/>
          <w:szCs w:val="22"/>
        </w:rPr>
        <w:t>julio d</w:t>
      </w:r>
      <w:r w:rsidRPr="008E54FB">
        <w:rPr>
          <w:rFonts w:ascii="Century Gothic" w:hAnsi="Century Gothic" w:cs="Tahoma"/>
          <w:sz w:val="22"/>
          <w:szCs w:val="22"/>
        </w:rPr>
        <w:t>e 200</w:t>
      </w:r>
      <w:r>
        <w:rPr>
          <w:rFonts w:ascii="Century Gothic" w:hAnsi="Century Gothic" w:cs="Tahoma"/>
          <w:sz w:val="22"/>
          <w:szCs w:val="22"/>
        </w:rPr>
        <w:t>6</w:t>
      </w:r>
      <w:r w:rsidRPr="008E54FB">
        <w:rPr>
          <w:rFonts w:ascii="Century Gothic" w:hAnsi="Century Gothic" w:cs="Tahoma"/>
          <w:sz w:val="22"/>
          <w:szCs w:val="22"/>
        </w:rPr>
        <w:t xml:space="preserve"> por el Tribunal Administrativo de </w:t>
      </w:r>
      <w:r>
        <w:rPr>
          <w:rFonts w:ascii="Century Gothic" w:hAnsi="Century Gothic" w:cs="Tahoma"/>
          <w:sz w:val="22"/>
          <w:szCs w:val="22"/>
        </w:rPr>
        <w:t>San Andrés, Providencia y Santa Catalina</w:t>
      </w:r>
      <w:r w:rsidRPr="008E54FB">
        <w:rPr>
          <w:rFonts w:ascii="Century Gothic" w:hAnsi="Century Gothic" w:cs="Tahoma"/>
          <w:sz w:val="22"/>
          <w:szCs w:val="22"/>
        </w:rPr>
        <w:t>, que</w:t>
      </w:r>
      <w:r>
        <w:rPr>
          <w:rFonts w:ascii="Century Gothic" w:hAnsi="Century Gothic" w:cs="Tahoma"/>
          <w:sz w:val="22"/>
          <w:szCs w:val="22"/>
        </w:rPr>
        <w:t xml:space="preserve"> declaró probadas las excepciones de inexistencia de la ruptura del equilibrio financiero del contrato y común acuerdo de las partes en los contrato modificatorios, liquidó el contrato de obra y, en consecuencia, ordenó al contratista reintegrar la suma de $99’753.877,07 y al departamento recibir las obras ejecutadas, y negó las demás  </w:t>
      </w:r>
      <w:r w:rsidRPr="007F163C">
        <w:rPr>
          <w:rFonts w:ascii="Century Gothic" w:hAnsi="Century Gothic" w:cs="Tahoma"/>
          <w:sz w:val="22"/>
          <w:szCs w:val="22"/>
        </w:rPr>
        <w:t>pretensiones de la demanda.</w:t>
      </w:r>
    </w:p>
    <w:p w14:paraId="4A78DF86" w14:textId="77777777" w:rsidR="00A2632D" w:rsidRDefault="00A2632D" w:rsidP="00E15824">
      <w:pPr>
        <w:pStyle w:val="Textoindependiente211"/>
        <w:ind w:right="0" w:firstLine="0"/>
        <w:rPr>
          <w:rFonts w:ascii="Century Gothic" w:hAnsi="Century Gothic" w:cs="Tahoma"/>
          <w:sz w:val="22"/>
          <w:szCs w:val="22"/>
        </w:rPr>
      </w:pPr>
    </w:p>
    <w:p w14:paraId="1A23F2DF" w14:textId="77777777" w:rsidR="00A2632D" w:rsidRDefault="00A2632D" w:rsidP="00E15824">
      <w:pPr>
        <w:pStyle w:val="Textoindependiente211"/>
        <w:ind w:right="0" w:firstLine="0"/>
        <w:rPr>
          <w:rFonts w:ascii="Century Gothic" w:hAnsi="Century Gothic" w:cs="Tahoma"/>
          <w:sz w:val="22"/>
          <w:szCs w:val="22"/>
        </w:rPr>
      </w:pPr>
      <w:r>
        <w:rPr>
          <w:rFonts w:ascii="Century Gothic" w:hAnsi="Century Gothic" w:cs="Tahoma"/>
          <w:sz w:val="22"/>
          <w:szCs w:val="22"/>
        </w:rPr>
        <w:t xml:space="preserve">Fundamentó su decisión en que en el acta de modificación de obra, que constituyó el fundamento del contrato adicional del 3 de marzo de 2002, las partes acordaron que no se presentaba un incremento en el valor del contrato derivado de mayores plazos o del nuevo presupuesto elaborado, por lo que encontró probada la excepción de consensualidad contractual del accionante y, en consecuencia, la ausencia de rompimiento del equilibrio financiero del contrato. </w:t>
      </w:r>
    </w:p>
    <w:p w14:paraId="70290AA8" w14:textId="77777777" w:rsidR="00A2632D" w:rsidRDefault="00A2632D" w:rsidP="00E15824">
      <w:pPr>
        <w:pStyle w:val="Textoindependiente211"/>
        <w:ind w:right="0" w:firstLine="0"/>
        <w:rPr>
          <w:rFonts w:ascii="Century Gothic" w:hAnsi="Century Gothic" w:cs="Tahoma"/>
          <w:sz w:val="22"/>
          <w:szCs w:val="22"/>
        </w:rPr>
      </w:pPr>
    </w:p>
    <w:p w14:paraId="718AD154" w14:textId="77777777" w:rsidR="00A2632D" w:rsidRDefault="00A2632D" w:rsidP="00E15824">
      <w:pPr>
        <w:pStyle w:val="Textoindependiente211"/>
        <w:ind w:right="0" w:firstLine="0"/>
        <w:rPr>
          <w:rFonts w:ascii="Century Gothic" w:hAnsi="Century Gothic" w:cs="Tahoma"/>
          <w:sz w:val="22"/>
          <w:szCs w:val="22"/>
        </w:rPr>
      </w:pPr>
      <w:r>
        <w:rPr>
          <w:rFonts w:ascii="Century Gothic" w:hAnsi="Century Gothic" w:cs="Tahoma"/>
          <w:sz w:val="22"/>
          <w:szCs w:val="22"/>
        </w:rPr>
        <w:lastRenderedPageBreak/>
        <w:t>Con los mismos argumentos desestimó los valores reclamados y protocolizados como silencio administrativo positivo y, en cuanto a las actas de reajuste, de obras adicionales y gastos de administración, encontró que no reunían las condiciones necesarias para su reconocimiento, aceptación y pago.</w:t>
      </w:r>
    </w:p>
    <w:p w14:paraId="758D7EEB" w14:textId="77777777" w:rsidR="00A2632D" w:rsidRDefault="00A2632D" w:rsidP="00E15824">
      <w:pPr>
        <w:pStyle w:val="Textoindependiente211"/>
        <w:ind w:right="0" w:firstLine="0"/>
        <w:rPr>
          <w:rFonts w:ascii="Century Gothic" w:hAnsi="Century Gothic" w:cs="Tahoma"/>
          <w:sz w:val="22"/>
          <w:szCs w:val="22"/>
        </w:rPr>
      </w:pPr>
      <w:r>
        <w:rPr>
          <w:rFonts w:ascii="Century Gothic" w:hAnsi="Century Gothic" w:cs="Tahoma"/>
          <w:sz w:val="22"/>
          <w:szCs w:val="22"/>
        </w:rPr>
        <w:t xml:space="preserve"> </w:t>
      </w:r>
    </w:p>
    <w:p w14:paraId="504B03DE" w14:textId="77777777" w:rsidR="00A2632D" w:rsidRPr="001C0FBC" w:rsidRDefault="00A2632D" w:rsidP="00E15824">
      <w:pPr>
        <w:spacing w:line="360" w:lineRule="auto"/>
        <w:ind w:right="-1"/>
        <w:jc w:val="both"/>
        <w:rPr>
          <w:rFonts w:ascii="Century Gothic" w:hAnsi="Century Gothic" w:cs="Arial"/>
          <w:b/>
          <w:bCs/>
          <w:color w:val="000000"/>
        </w:rPr>
      </w:pPr>
      <w:r w:rsidRPr="000C3C65">
        <w:rPr>
          <w:rFonts w:ascii="Century Gothic" w:hAnsi="Century Gothic" w:cs="Arial"/>
          <w:b/>
          <w:bCs/>
          <w:color w:val="000000"/>
        </w:rPr>
        <w:t>5.- El recurso de apelación.-</w:t>
      </w:r>
    </w:p>
    <w:p w14:paraId="68E03749" w14:textId="77777777" w:rsidR="00A2632D" w:rsidRPr="001C0FBC" w:rsidRDefault="00A2632D" w:rsidP="00E15824">
      <w:pPr>
        <w:ind w:right="-1"/>
        <w:jc w:val="both"/>
        <w:rPr>
          <w:rFonts w:ascii="Century Gothic" w:hAnsi="Century Gothic" w:cs="Arial"/>
          <w:bCs/>
          <w:color w:val="000000"/>
        </w:rPr>
      </w:pPr>
    </w:p>
    <w:p w14:paraId="7CB5CAFA" w14:textId="77777777" w:rsidR="00A2632D" w:rsidRDefault="00A2632D" w:rsidP="00E15824">
      <w:pPr>
        <w:pStyle w:val="Textoindependiente211"/>
        <w:ind w:right="47" w:firstLine="0"/>
        <w:rPr>
          <w:rFonts w:ascii="Century Gothic" w:hAnsi="Century Gothic" w:cs="Tahoma"/>
          <w:sz w:val="22"/>
          <w:szCs w:val="22"/>
        </w:rPr>
      </w:pPr>
      <w:r w:rsidRPr="001C0FBC">
        <w:rPr>
          <w:rFonts w:ascii="Century Gothic" w:hAnsi="Century Gothic" w:cs="Tahoma"/>
          <w:sz w:val="22"/>
          <w:szCs w:val="22"/>
        </w:rPr>
        <w:t>Inconforme con la anterior decisión y dentro de la oportunidad prevista por el ordenamiento jurídico, la</w:t>
      </w:r>
      <w:r>
        <w:rPr>
          <w:rFonts w:ascii="Century Gothic" w:hAnsi="Century Gothic" w:cs="Tahoma"/>
          <w:sz w:val="22"/>
          <w:szCs w:val="22"/>
        </w:rPr>
        <w:t>s</w:t>
      </w:r>
      <w:r w:rsidRPr="001C0FBC">
        <w:rPr>
          <w:rFonts w:ascii="Century Gothic" w:hAnsi="Century Gothic" w:cs="Tahoma"/>
          <w:sz w:val="22"/>
          <w:szCs w:val="22"/>
        </w:rPr>
        <w:t xml:space="preserve"> parte</w:t>
      </w:r>
      <w:r>
        <w:rPr>
          <w:rFonts w:ascii="Century Gothic" w:hAnsi="Century Gothic" w:cs="Tahoma"/>
          <w:sz w:val="22"/>
          <w:szCs w:val="22"/>
        </w:rPr>
        <w:t>s</w:t>
      </w:r>
      <w:r w:rsidRPr="001C0FBC">
        <w:rPr>
          <w:rFonts w:ascii="Century Gothic" w:hAnsi="Century Gothic" w:cs="Tahoma"/>
          <w:sz w:val="22"/>
          <w:szCs w:val="22"/>
        </w:rPr>
        <w:t xml:space="preserve"> interpus</w:t>
      </w:r>
      <w:r>
        <w:rPr>
          <w:rFonts w:ascii="Century Gothic" w:hAnsi="Century Gothic" w:cs="Tahoma"/>
          <w:sz w:val="22"/>
          <w:szCs w:val="22"/>
        </w:rPr>
        <w:t xml:space="preserve">ieron </w:t>
      </w:r>
      <w:r w:rsidRPr="001C0FBC">
        <w:rPr>
          <w:rFonts w:ascii="Century Gothic" w:hAnsi="Century Gothic" w:cs="Tahoma"/>
          <w:sz w:val="22"/>
          <w:szCs w:val="22"/>
        </w:rPr>
        <w:t>recurso de apelación</w:t>
      </w:r>
      <w:r>
        <w:rPr>
          <w:rFonts w:ascii="Century Gothic" w:hAnsi="Century Gothic" w:cs="Tahoma"/>
          <w:sz w:val="22"/>
          <w:szCs w:val="22"/>
        </w:rPr>
        <w:t xml:space="preserve">, pero solo lo sustentó la parte actora, quien indicó que la sentencia es incongruente, ya que se pronunció sobre un aspecto no planteado en la demanda como lo es el reintegro de las sumas ordenadas. </w:t>
      </w:r>
    </w:p>
    <w:p w14:paraId="6538C264" w14:textId="77777777" w:rsidR="00A2632D" w:rsidRDefault="00A2632D" w:rsidP="00E15824">
      <w:pPr>
        <w:pStyle w:val="Textoindependiente211"/>
        <w:ind w:right="47" w:firstLine="0"/>
        <w:rPr>
          <w:rFonts w:ascii="Century Gothic" w:hAnsi="Century Gothic" w:cs="Tahoma"/>
          <w:sz w:val="22"/>
          <w:szCs w:val="22"/>
        </w:rPr>
      </w:pPr>
    </w:p>
    <w:p w14:paraId="4D8673FB" w14:textId="77777777" w:rsidR="00A2632D" w:rsidRDefault="00A2632D" w:rsidP="00E15824">
      <w:pPr>
        <w:pStyle w:val="Textoindependiente211"/>
        <w:ind w:right="47" w:firstLine="0"/>
        <w:rPr>
          <w:rFonts w:ascii="Century Gothic" w:hAnsi="Century Gothic" w:cs="Tahoma"/>
          <w:sz w:val="22"/>
          <w:szCs w:val="22"/>
        </w:rPr>
      </w:pPr>
      <w:r>
        <w:rPr>
          <w:rFonts w:ascii="Century Gothic" w:hAnsi="Century Gothic" w:cs="Tahoma"/>
          <w:sz w:val="22"/>
          <w:szCs w:val="22"/>
        </w:rPr>
        <w:t xml:space="preserve">Señaló que el </w:t>
      </w:r>
      <w:r>
        <w:rPr>
          <w:rFonts w:ascii="Century Gothic" w:hAnsi="Century Gothic" w:cs="Tahoma"/>
          <w:i/>
          <w:sz w:val="22"/>
          <w:szCs w:val="22"/>
        </w:rPr>
        <w:t xml:space="preserve">a quo </w:t>
      </w:r>
      <w:r>
        <w:rPr>
          <w:rFonts w:ascii="Century Gothic" w:hAnsi="Century Gothic" w:cs="Tahoma"/>
          <w:sz w:val="22"/>
          <w:szCs w:val="22"/>
        </w:rPr>
        <w:t xml:space="preserve">no podía liquidar el contrato sin, previamente, declarar su terminación. Agregó que tampoco estudió la omisión del demandado en la recepción de las obras, de donde se deriva el rompimiento del equilibrio contractual. </w:t>
      </w:r>
    </w:p>
    <w:p w14:paraId="3A1C557A" w14:textId="77777777" w:rsidR="00A2632D" w:rsidRDefault="00A2632D" w:rsidP="00E15824">
      <w:pPr>
        <w:pStyle w:val="Textoindependiente211"/>
        <w:ind w:right="47" w:firstLine="0"/>
        <w:rPr>
          <w:rFonts w:ascii="Century Gothic" w:hAnsi="Century Gothic" w:cs="Tahoma"/>
          <w:sz w:val="22"/>
          <w:szCs w:val="22"/>
        </w:rPr>
      </w:pPr>
    </w:p>
    <w:p w14:paraId="6C07F55F" w14:textId="77777777" w:rsidR="00A2632D" w:rsidRPr="002F51DD" w:rsidRDefault="00A2632D" w:rsidP="00E15824">
      <w:pPr>
        <w:pStyle w:val="Textoindependiente211"/>
        <w:ind w:right="47" w:firstLine="0"/>
        <w:rPr>
          <w:rFonts w:ascii="Century Gothic" w:hAnsi="Century Gothic" w:cs="Tahoma"/>
          <w:sz w:val="22"/>
          <w:szCs w:val="22"/>
        </w:rPr>
      </w:pPr>
      <w:r>
        <w:rPr>
          <w:rFonts w:ascii="Century Gothic" w:hAnsi="Century Gothic" w:cs="Tahoma"/>
          <w:sz w:val="22"/>
          <w:szCs w:val="22"/>
        </w:rPr>
        <w:t xml:space="preserve">Sumado a lo anterior, adujó que el Tribunal de instancia no estudió lo concerniente a los silencios administrativos positivos, lo que redunda en un enriquecimiento sin causa. </w:t>
      </w:r>
    </w:p>
    <w:p w14:paraId="085D255E" w14:textId="77777777" w:rsidR="00A2632D" w:rsidRPr="00053C1D" w:rsidRDefault="00A2632D" w:rsidP="00E15824">
      <w:pPr>
        <w:pStyle w:val="Textoindependiente211"/>
        <w:spacing w:line="240" w:lineRule="auto"/>
        <w:ind w:left="851" w:right="851" w:firstLine="0"/>
        <w:rPr>
          <w:rFonts w:ascii="Century Gothic" w:hAnsi="Century Gothic" w:cs="Tahoma"/>
          <w:sz w:val="20"/>
        </w:rPr>
      </w:pPr>
    </w:p>
    <w:p w14:paraId="786F3154" w14:textId="77777777" w:rsidR="00A2632D" w:rsidRPr="001C0FBC" w:rsidRDefault="00A2632D" w:rsidP="00E15824">
      <w:pPr>
        <w:pStyle w:val="Textoindependiente211"/>
        <w:ind w:firstLine="0"/>
        <w:rPr>
          <w:rFonts w:ascii="Century Gothic" w:hAnsi="Century Gothic" w:cs="Tahoma"/>
          <w:b/>
          <w:sz w:val="22"/>
          <w:szCs w:val="22"/>
        </w:rPr>
      </w:pPr>
      <w:r>
        <w:rPr>
          <w:rFonts w:ascii="Century Gothic" w:hAnsi="Century Gothic" w:cs="Tahoma"/>
          <w:b/>
          <w:sz w:val="22"/>
          <w:szCs w:val="22"/>
        </w:rPr>
        <w:t>6</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p>
    <w:p w14:paraId="5CC46DD5" w14:textId="77777777" w:rsidR="00A2632D" w:rsidRDefault="00A2632D" w:rsidP="00E15824">
      <w:pPr>
        <w:pStyle w:val="Textoindependiente211"/>
        <w:ind w:firstLine="0"/>
        <w:rPr>
          <w:rFonts w:ascii="Century Gothic" w:hAnsi="Century Gothic" w:cs="Tahoma"/>
          <w:b/>
          <w:sz w:val="22"/>
          <w:szCs w:val="22"/>
        </w:rPr>
      </w:pPr>
    </w:p>
    <w:p w14:paraId="76B66A34" w14:textId="77777777" w:rsidR="00A2632D" w:rsidRDefault="00A2632D" w:rsidP="00E15824">
      <w:pPr>
        <w:pStyle w:val="Textoindependiente211"/>
        <w:ind w:firstLine="0"/>
        <w:rPr>
          <w:rFonts w:ascii="Century Gothic" w:hAnsi="Century Gothic" w:cs="Tahoma"/>
          <w:sz w:val="22"/>
          <w:szCs w:val="22"/>
        </w:rPr>
      </w:pPr>
      <w:r>
        <w:rPr>
          <w:rFonts w:ascii="Century Gothic" w:hAnsi="Century Gothic" w:cs="Tahoma"/>
          <w:sz w:val="22"/>
          <w:szCs w:val="22"/>
        </w:rPr>
        <w:t xml:space="preserve">El recurso se concedió el 5 de septiembre de 2006, se corrió traslado para sustentar el 17 de agosto de 2007 y se admitió en auto de 12 de diciembre de ese mismo año. El 15 de febrero de 2008 se corrió traslado para alegar de conclusión, momento en el cual la parte actora solicitó se revocara la sentencia apelada. </w:t>
      </w:r>
    </w:p>
    <w:p w14:paraId="4F154753" w14:textId="77777777" w:rsidR="00A2632D" w:rsidRPr="00EF5F2F" w:rsidRDefault="00A2632D" w:rsidP="00E15824">
      <w:pPr>
        <w:pStyle w:val="Textoindependiente21"/>
        <w:ind w:firstLine="0"/>
        <w:rPr>
          <w:rFonts w:ascii="Century Gothic" w:hAnsi="Century Gothic" w:cs="Tahoma"/>
          <w:sz w:val="22"/>
          <w:szCs w:val="22"/>
        </w:rPr>
      </w:pPr>
    </w:p>
    <w:p w14:paraId="7E5E0D7F" w14:textId="77777777" w:rsidR="00A2632D" w:rsidRPr="00EF5F2F" w:rsidRDefault="00A2632D" w:rsidP="00E15824">
      <w:pPr>
        <w:pStyle w:val="Textoindependiente21"/>
        <w:ind w:firstLine="0"/>
        <w:rPr>
          <w:rFonts w:ascii="Century Gothic" w:hAnsi="Century Gothic" w:cs="Tahoma"/>
          <w:sz w:val="22"/>
          <w:szCs w:val="22"/>
        </w:rPr>
      </w:pPr>
      <w:r>
        <w:rPr>
          <w:rFonts w:ascii="Century Gothic" w:hAnsi="Century Gothic" w:cs="Tahoma"/>
          <w:sz w:val="22"/>
          <w:szCs w:val="22"/>
        </w:rPr>
        <w:t xml:space="preserve">La parte demandada y el Ministerio Público </w:t>
      </w:r>
      <w:r w:rsidRPr="00EF5F2F">
        <w:rPr>
          <w:rFonts w:ascii="Century Gothic" w:hAnsi="Century Gothic" w:cs="Tahoma"/>
          <w:sz w:val="22"/>
          <w:szCs w:val="22"/>
        </w:rPr>
        <w:t>guard</w:t>
      </w:r>
      <w:r>
        <w:rPr>
          <w:rFonts w:ascii="Century Gothic" w:hAnsi="Century Gothic" w:cs="Tahoma"/>
          <w:sz w:val="22"/>
          <w:szCs w:val="22"/>
        </w:rPr>
        <w:t xml:space="preserve">aron </w:t>
      </w:r>
      <w:r w:rsidRPr="00EF5F2F">
        <w:rPr>
          <w:rFonts w:ascii="Century Gothic" w:hAnsi="Century Gothic" w:cs="Tahoma"/>
          <w:sz w:val="22"/>
          <w:szCs w:val="22"/>
        </w:rPr>
        <w:t>silencio.</w:t>
      </w:r>
    </w:p>
    <w:p w14:paraId="7938B2E0" w14:textId="77777777" w:rsidR="00A2632D" w:rsidRDefault="00A2632D" w:rsidP="00E15824">
      <w:pPr>
        <w:spacing w:line="360" w:lineRule="auto"/>
        <w:jc w:val="center"/>
        <w:rPr>
          <w:rFonts w:ascii="Century Gothic" w:hAnsi="Century Gothic" w:cs="Arial"/>
          <w:b/>
          <w:bCs/>
          <w:color w:val="000000"/>
        </w:rPr>
      </w:pPr>
    </w:p>
    <w:p w14:paraId="0F333164" w14:textId="77777777" w:rsidR="00A2632D" w:rsidRPr="00EF5F2F" w:rsidRDefault="00A2632D" w:rsidP="00E15824">
      <w:pPr>
        <w:spacing w:line="360" w:lineRule="auto"/>
        <w:jc w:val="center"/>
        <w:rPr>
          <w:rFonts w:ascii="Century Gothic" w:hAnsi="Century Gothic" w:cs="Arial"/>
          <w:b/>
          <w:bCs/>
          <w:color w:val="000000"/>
        </w:rPr>
      </w:pPr>
      <w:r w:rsidRPr="00EF5F2F">
        <w:rPr>
          <w:rFonts w:ascii="Century Gothic" w:hAnsi="Century Gothic" w:cs="Arial"/>
          <w:b/>
          <w:bCs/>
          <w:color w:val="000000"/>
        </w:rPr>
        <w:t>CONSIDERACIONES</w:t>
      </w:r>
    </w:p>
    <w:p w14:paraId="39FA801A" w14:textId="77777777" w:rsidR="00A2632D" w:rsidRDefault="00A2632D" w:rsidP="00E15824">
      <w:pPr>
        <w:spacing w:line="360" w:lineRule="auto"/>
        <w:jc w:val="both"/>
        <w:rPr>
          <w:rFonts w:ascii="Century Gothic" w:hAnsi="Century Gothic" w:cs="Arial"/>
          <w:bCs/>
          <w:color w:val="000000"/>
        </w:rPr>
      </w:pPr>
    </w:p>
    <w:p w14:paraId="5A1136D1" w14:textId="77777777" w:rsidR="00A2632D" w:rsidRDefault="00A2632D" w:rsidP="00E15824">
      <w:pPr>
        <w:spacing w:line="360" w:lineRule="auto"/>
        <w:jc w:val="both"/>
        <w:rPr>
          <w:rFonts w:ascii="Century Gothic" w:hAnsi="Century Gothic"/>
        </w:rPr>
      </w:pPr>
      <w:r>
        <w:rPr>
          <w:rFonts w:ascii="Century Gothic" w:hAnsi="Century Gothic"/>
        </w:rPr>
        <w:t xml:space="preserve">En el contrato 147 celebrado el 21 de diciembre de 1998, se pactó lo siguiente (se transcribe como obra en el original): </w:t>
      </w:r>
    </w:p>
    <w:p w14:paraId="6170D3CE" w14:textId="77777777" w:rsidR="00A2632D" w:rsidRDefault="00A2632D" w:rsidP="00E15824">
      <w:pPr>
        <w:spacing w:line="360" w:lineRule="auto"/>
        <w:jc w:val="both"/>
        <w:rPr>
          <w:rFonts w:ascii="Century Gothic" w:hAnsi="Century Gothic"/>
        </w:rPr>
      </w:pPr>
    </w:p>
    <w:p w14:paraId="407A648C" w14:textId="77777777" w:rsidR="00A2632D" w:rsidRPr="00C24F7A" w:rsidRDefault="00A2632D" w:rsidP="00E15824">
      <w:pPr>
        <w:ind w:left="851" w:right="851"/>
        <w:jc w:val="both"/>
        <w:rPr>
          <w:rFonts w:ascii="Century Gothic" w:hAnsi="Century Gothic"/>
          <w:sz w:val="20"/>
          <w:szCs w:val="20"/>
        </w:rPr>
      </w:pPr>
      <w:r w:rsidRPr="00C24F7A">
        <w:rPr>
          <w:rFonts w:ascii="Century Gothic" w:hAnsi="Century Gothic"/>
          <w:sz w:val="20"/>
          <w:szCs w:val="20"/>
        </w:rPr>
        <w:t xml:space="preserve">“CLAUSULA DECIMO CUARTA.- SOLUCION DE CONTROVERSIA CONTRACTUALES: Las partes, en aras de buscar en forma ágil, rápida y directa la solución a las diferencias y discrepancias surgidas de la ejecución del Contrato, acudirán a los mecanismos previstos en la Ley, tales como la conciliación amigable composición y transacción. Las diferencias o controversias que surjan entre el </w:t>
      </w:r>
      <w:r w:rsidRPr="00C24F7A">
        <w:rPr>
          <w:rFonts w:ascii="Century Gothic" w:hAnsi="Century Gothic"/>
          <w:b/>
          <w:sz w:val="20"/>
          <w:szCs w:val="20"/>
        </w:rPr>
        <w:t>DEPARTAMENTO</w:t>
      </w:r>
      <w:r w:rsidRPr="00C24F7A">
        <w:rPr>
          <w:rFonts w:ascii="Century Gothic" w:hAnsi="Century Gothic"/>
          <w:sz w:val="20"/>
          <w:szCs w:val="20"/>
        </w:rPr>
        <w:t xml:space="preserve"> y el</w:t>
      </w:r>
      <w:r w:rsidRPr="00C24F7A">
        <w:rPr>
          <w:rFonts w:ascii="Century Gothic" w:hAnsi="Century Gothic"/>
          <w:b/>
          <w:sz w:val="20"/>
          <w:szCs w:val="20"/>
        </w:rPr>
        <w:t xml:space="preserve"> CONTRATISTA</w:t>
      </w:r>
      <w:r w:rsidRPr="00C24F7A">
        <w:rPr>
          <w:rFonts w:ascii="Century Gothic" w:hAnsi="Century Gothic"/>
          <w:sz w:val="20"/>
          <w:szCs w:val="20"/>
        </w:rPr>
        <w:t xml:space="preserve">, por concepto de la celebración, interpretación, ejecución o terminación del presente Contrato, y que no </w:t>
      </w:r>
      <w:r w:rsidRPr="00C24F7A">
        <w:rPr>
          <w:rFonts w:ascii="Century Gothic" w:hAnsi="Century Gothic"/>
          <w:sz w:val="20"/>
          <w:szCs w:val="20"/>
        </w:rPr>
        <w:lastRenderedPageBreak/>
        <w:t xml:space="preserve">puedan ser resueltas de común acuerdo, serán dirimidas conforme al siguiente procedimiento: 14.1 Si la diferencia fuere de naturaleza técnica, contable o jurídica, podrá solicitar la intervención de árbitros con el fin que éstos diriman los conflictos contractuales presentados. 14.2.1 El respectivo laudo será proferido en derecho y el lugar de funcionamiento del tribunal será la ciudad de SAN ANDRES, ISLA. El laudo arbitral será obligatorio para la partes. 14.2.2 El Tribunal estará compuesto por tres árbitros, los cuales serán designados de común acuerdo por las partes. 14.2.3 Si las partes no se pusieren de acuerdo en la designación de uno o más árbitros, ésos serán designados por la Cámara de Comercio de San Ándres, Isla y deberán ser abogados titulados. 14.3 En caso de duda sobre la naturaleza de la discrepancia entre las partes, se entenderá que ésta es de naturaleza jurídica y por consiguiente será dirimida por arbitramento. PARAGRAFO: Queda claro que las Cláusulas de Terminación Unilateral y Caducidad, así como sus efectos no son susceptibles de decisión arbitral” (fl. 143, c. anexos de la demanda). </w:t>
      </w:r>
    </w:p>
    <w:p w14:paraId="3270191D" w14:textId="77777777" w:rsidR="00A2632D" w:rsidRDefault="00A2632D" w:rsidP="00E15824">
      <w:pPr>
        <w:spacing w:line="360" w:lineRule="auto"/>
        <w:jc w:val="both"/>
        <w:rPr>
          <w:rFonts w:ascii="Century Gothic" w:hAnsi="Century Gothic"/>
        </w:rPr>
      </w:pPr>
    </w:p>
    <w:p w14:paraId="1180479A" w14:textId="77777777" w:rsidR="00A2632D" w:rsidRDefault="00A2632D" w:rsidP="00E15824">
      <w:pPr>
        <w:spacing w:line="360" w:lineRule="auto"/>
        <w:jc w:val="both"/>
        <w:rPr>
          <w:rFonts w:ascii="Century Gothic" w:hAnsi="Century Gothic"/>
        </w:rPr>
      </w:pPr>
    </w:p>
    <w:p w14:paraId="01479F2A" w14:textId="77777777" w:rsidR="00A2632D" w:rsidRPr="007111CF" w:rsidRDefault="00A2632D" w:rsidP="00E15824">
      <w:pPr>
        <w:spacing w:line="360" w:lineRule="auto"/>
        <w:jc w:val="both"/>
        <w:rPr>
          <w:rFonts w:ascii="Century Gothic" w:hAnsi="Century Gothic"/>
        </w:rPr>
      </w:pPr>
      <w:r>
        <w:rPr>
          <w:rFonts w:ascii="Century Gothic" w:hAnsi="Century Gothic"/>
        </w:rPr>
        <w:t>Así, n</w:t>
      </w:r>
      <w:r w:rsidRPr="007111CF">
        <w:rPr>
          <w:rFonts w:ascii="Century Gothic" w:hAnsi="Century Gothic"/>
        </w:rPr>
        <w:t>o cabe duda de que las partes decidieron sustraer del conocimiento de la jurisdicción del Estado las controversias que, de manera general, s</w:t>
      </w:r>
      <w:r>
        <w:rPr>
          <w:rFonts w:ascii="Century Gothic" w:hAnsi="Century Gothic"/>
        </w:rPr>
        <w:t>urgieran del</w:t>
      </w:r>
      <w:r w:rsidRPr="007111CF">
        <w:rPr>
          <w:rFonts w:ascii="Century Gothic" w:hAnsi="Century Gothic"/>
        </w:rPr>
        <w:t xml:space="preserve"> contrato </w:t>
      </w:r>
      <w:r>
        <w:rPr>
          <w:rFonts w:ascii="Century Gothic" w:hAnsi="Century Gothic"/>
        </w:rPr>
        <w:t>147</w:t>
      </w:r>
      <w:r w:rsidRPr="007111CF">
        <w:rPr>
          <w:rFonts w:ascii="Century Gothic" w:hAnsi="Century Gothic"/>
        </w:rPr>
        <w:t xml:space="preserve"> del 2</w:t>
      </w:r>
      <w:r>
        <w:rPr>
          <w:rFonts w:ascii="Century Gothic" w:hAnsi="Century Gothic"/>
        </w:rPr>
        <w:t>1</w:t>
      </w:r>
      <w:r w:rsidRPr="007111CF">
        <w:rPr>
          <w:rFonts w:ascii="Century Gothic" w:hAnsi="Century Gothic"/>
        </w:rPr>
        <w:t xml:space="preserve"> de </w:t>
      </w:r>
      <w:r>
        <w:rPr>
          <w:rFonts w:ascii="Century Gothic" w:hAnsi="Century Gothic"/>
        </w:rPr>
        <w:t xml:space="preserve">diciembre </w:t>
      </w:r>
      <w:r w:rsidRPr="007111CF">
        <w:rPr>
          <w:rFonts w:ascii="Century Gothic" w:hAnsi="Century Gothic"/>
        </w:rPr>
        <w:t>de 199</w:t>
      </w:r>
      <w:r>
        <w:rPr>
          <w:rFonts w:ascii="Century Gothic" w:hAnsi="Century Gothic"/>
        </w:rPr>
        <w:t>8</w:t>
      </w:r>
      <w:r w:rsidRPr="007111CF">
        <w:rPr>
          <w:rFonts w:ascii="Century Gothic" w:hAnsi="Century Gothic"/>
        </w:rPr>
        <w:t xml:space="preserve">, para asignárselas a la justicia arbitral; no obstante, el Tribunal de primera instancia guardó silencio acerca de los efectos del pacto arbitral en la competencia para conocer del negocio </w:t>
      </w:r>
      <w:r>
        <w:rPr>
          <w:rFonts w:ascii="Century Gothic" w:hAnsi="Century Gothic"/>
        </w:rPr>
        <w:t xml:space="preserve">por parte de </w:t>
      </w:r>
      <w:r w:rsidRPr="007111CF">
        <w:rPr>
          <w:rFonts w:ascii="Century Gothic" w:hAnsi="Century Gothic"/>
        </w:rPr>
        <w:t xml:space="preserve">esta jurisdicción. </w:t>
      </w:r>
    </w:p>
    <w:p w14:paraId="33B1B4EC" w14:textId="77777777" w:rsidR="00A2632D" w:rsidRPr="007111CF" w:rsidRDefault="00A2632D" w:rsidP="00E15824">
      <w:pPr>
        <w:spacing w:line="360" w:lineRule="auto"/>
        <w:jc w:val="both"/>
        <w:rPr>
          <w:rFonts w:ascii="Century Gothic" w:hAnsi="Century Gothic"/>
        </w:rPr>
      </w:pPr>
    </w:p>
    <w:p w14:paraId="43769116" w14:textId="77777777" w:rsidR="00A2632D" w:rsidRPr="007111CF" w:rsidRDefault="00A2632D" w:rsidP="00E15824">
      <w:pPr>
        <w:pStyle w:val="NormalWeb"/>
        <w:spacing w:before="0" w:beforeAutospacing="0" w:after="0" w:afterAutospacing="0" w:line="360" w:lineRule="auto"/>
        <w:jc w:val="both"/>
        <w:rPr>
          <w:rFonts w:ascii="Century Gothic" w:hAnsi="Century Gothic"/>
          <w:sz w:val="22"/>
          <w:szCs w:val="22"/>
        </w:rPr>
      </w:pPr>
      <w:r>
        <w:rPr>
          <w:rFonts w:ascii="Century Gothic" w:hAnsi="Century Gothic"/>
          <w:sz w:val="22"/>
          <w:szCs w:val="22"/>
        </w:rPr>
        <w:t>La Sala P</w:t>
      </w:r>
      <w:r w:rsidRPr="007111CF">
        <w:rPr>
          <w:rFonts w:ascii="Century Gothic" w:hAnsi="Century Gothic"/>
          <w:sz w:val="22"/>
          <w:szCs w:val="22"/>
        </w:rPr>
        <w:t>lena de la Sección Tercera de esta Corporación</w:t>
      </w:r>
      <w:r>
        <w:rPr>
          <w:rStyle w:val="Refdenotaalpie"/>
          <w:rFonts w:ascii="Century Gothic" w:hAnsi="Century Gothic"/>
          <w:sz w:val="22"/>
          <w:szCs w:val="22"/>
        </w:rPr>
        <w:footnoteReference w:id="1"/>
      </w:r>
      <w:r w:rsidRPr="007111CF">
        <w:rPr>
          <w:rFonts w:ascii="Century Gothic" w:hAnsi="Century Gothic"/>
          <w:sz w:val="22"/>
          <w:szCs w:val="22"/>
        </w:rPr>
        <w:t xml:space="preserve"> unificó su jurisprudencia en torno a la irrenunciabilidad tácita del pacto arbitral</w:t>
      </w:r>
      <w:r>
        <w:rPr>
          <w:rFonts w:ascii="Century Gothic" w:hAnsi="Century Gothic"/>
          <w:sz w:val="22"/>
          <w:szCs w:val="22"/>
        </w:rPr>
        <w:t xml:space="preserve">, a la luz de las disposiciones del </w:t>
      </w:r>
      <w:r w:rsidRPr="007111CF">
        <w:rPr>
          <w:rFonts w:ascii="Century Gothic" w:hAnsi="Century Gothic"/>
          <w:sz w:val="22"/>
          <w:szCs w:val="22"/>
        </w:rPr>
        <w:t>Decreto-ley 1818 de 1998</w:t>
      </w:r>
      <w:r>
        <w:rPr>
          <w:rFonts w:ascii="Century Gothic" w:hAnsi="Century Gothic"/>
          <w:sz w:val="22"/>
          <w:szCs w:val="22"/>
        </w:rPr>
        <w:t>,</w:t>
      </w:r>
      <w:r w:rsidRPr="007111CF">
        <w:rPr>
          <w:rFonts w:ascii="Century Gothic" w:hAnsi="Century Gothic"/>
          <w:sz w:val="22"/>
          <w:szCs w:val="22"/>
        </w:rPr>
        <w:t xml:space="preserve"> y concluyó que,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sole</w:t>
      </w:r>
      <w:r>
        <w:rPr>
          <w:rFonts w:ascii="Century Gothic" w:hAnsi="Century Gothic"/>
          <w:sz w:val="22"/>
          <w:szCs w:val="22"/>
        </w:rPr>
        <w:t>m</w:t>
      </w:r>
      <w:r w:rsidRPr="007111CF">
        <w:rPr>
          <w:rFonts w:ascii="Century Gothic" w:hAnsi="Century Gothic"/>
          <w:sz w:val="22"/>
          <w:szCs w:val="22"/>
        </w:rPr>
        <w:t>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w:t>
      </w:r>
    </w:p>
    <w:p w14:paraId="36A8C5AF" w14:textId="77777777" w:rsidR="00A2632D" w:rsidRPr="007111CF" w:rsidRDefault="00A2632D" w:rsidP="00E15824">
      <w:pPr>
        <w:spacing w:line="360" w:lineRule="auto"/>
        <w:jc w:val="both"/>
        <w:rPr>
          <w:rFonts w:ascii="Century Gothic" w:hAnsi="Century Gothic"/>
        </w:rPr>
      </w:pPr>
    </w:p>
    <w:p w14:paraId="03B48DB7" w14:textId="77777777" w:rsidR="00A2632D" w:rsidRPr="007111CF" w:rsidRDefault="00A2632D" w:rsidP="00E15824">
      <w:pPr>
        <w:pStyle w:val="Textoindependiente2"/>
        <w:ind w:right="0"/>
        <w:rPr>
          <w:rFonts w:ascii="Century Gothic" w:hAnsi="Century Gothic"/>
          <w:sz w:val="22"/>
          <w:szCs w:val="22"/>
        </w:rPr>
      </w:pPr>
      <w:r w:rsidRPr="007111CF">
        <w:rPr>
          <w:rFonts w:ascii="Century Gothic" w:hAnsi="Century Gothic"/>
          <w:sz w:val="22"/>
          <w:szCs w:val="22"/>
        </w:rPr>
        <w:t>La tesis que acogió la Sala en la providencia de unificación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w:t>
      </w:r>
      <w:r>
        <w:rPr>
          <w:rFonts w:ascii="Century Gothic" w:hAnsi="Century Gothic"/>
          <w:sz w:val="22"/>
          <w:szCs w:val="22"/>
        </w:rPr>
        <w:t xml:space="preserve"> su </w:t>
      </w:r>
      <w:r w:rsidRPr="007111CF">
        <w:rPr>
          <w:rFonts w:ascii="Century Gothic" w:hAnsi="Century Gothic"/>
          <w:sz w:val="22"/>
          <w:szCs w:val="22"/>
        </w:rPr>
        <w:t>formación</w:t>
      </w:r>
      <w:r>
        <w:rPr>
          <w:rFonts w:ascii="Century Gothic" w:hAnsi="Century Gothic"/>
          <w:sz w:val="22"/>
          <w:szCs w:val="22"/>
        </w:rPr>
        <w:t>,</w:t>
      </w:r>
      <w:r w:rsidRPr="007111CF">
        <w:rPr>
          <w:rFonts w:ascii="Century Gothic" w:hAnsi="Century Gothic"/>
          <w:sz w:val="22"/>
          <w:szCs w:val="22"/>
        </w:rPr>
        <w:t xml:space="preserve"> de tal suerte que, para ello, </w:t>
      </w:r>
      <w:r>
        <w:rPr>
          <w:rFonts w:ascii="Century Gothic" w:hAnsi="Century Gothic"/>
          <w:sz w:val="22"/>
          <w:szCs w:val="22"/>
        </w:rPr>
        <w:t xml:space="preserve">debe haber </w:t>
      </w:r>
      <w:r w:rsidRPr="007111CF">
        <w:rPr>
          <w:rFonts w:ascii="Century Gothic" w:hAnsi="Century Gothic"/>
          <w:sz w:val="22"/>
          <w:szCs w:val="22"/>
        </w:rPr>
        <w:t xml:space="preserve">también un acuerdo expreso y escrito, lo cual excluye, por ende, la posibilidad de que el pacto arbitral pueda ser válidamente modificado o dejado sin efecto de manera tácita o por inferencia que </w:t>
      </w:r>
      <w:r w:rsidRPr="007111CF">
        <w:rPr>
          <w:rFonts w:ascii="Century Gothic" w:hAnsi="Century Gothic"/>
          <w:sz w:val="22"/>
          <w:szCs w:val="22"/>
        </w:rPr>
        <w:lastRenderedPageBreak/>
        <w:t>haga el juez institucional, a partir del mero comportamiento procesal de las partes. Al respecto, es válido señalar que, por regla general, “</w:t>
      </w:r>
      <w:r w:rsidRPr="007111CF">
        <w:rPr>
          <w:rFonts w:ascii="Century Gothic" w:hAnsi="Century Gothic"/>
          <w:i/>
          <w:sz w:val="22"/>
          <w:szCs w:val="22"/>
        </w:rPr>
        <w:t>en derecho las cosas se deshacen como se hacen</w:t>
      </w:r>
      <w:r w:rsidRPr="007111CF">
        <w:rPr>
          <w:rFonts w:ascii="Century Gothic" w:hAnsi="Century Gothic"/>
          <w:sz w:val="22"/>
          <w:szCs w:val="22"/>
        </w:rPr>
        <w:t xml:space="preserve">”.           </w:t>
      </w:r>
    </w:p>
    <w:p w14:paraId="40AD4F5E" w14:textId="77777777" w:rsidR="00A2632D" w:rsidRPr="007111CF" w:rsidRDefault="00A2632D" w:rsidP="00E15824">
      <w:pPr>
        <w:spacing w:line="360" w:lineRule="auto"/>
        <w:jc w:val="both"/>
        <w:rPr>
          <w:rFonts w:ascii="Century Gothic" w:hAnsi="Century Gothic" w:cs="Arial"/>
        </w:rPr>
      </w:pPr>
    </w:p>
    <w:p w14:paraId="53CA913B" w14:textId="77777777" w:rsidR="00A2632D" w:rsidRPr="007111CF" w:rsidRDefault="00A2632D" w:rsidP="00E15824">
      <w:pPr>
        <w:spacing w:line="360" w:lineRule="auto"/>
        <w:jc w:val="both"/>
        <w:rPr>
          <w:rFonts w:ascii="Century Gothic" w:hAnsi="Century Gothic" w:cs="Arial"/>
        </w:rPr>
      </w:pPr>
      <w:r w:rsidRPr="007111CF">
        <w:rPr>
          <w:rFonts w:ascii="Century Gothic" w:hAnsi="Century Gothic" w:cs="Arial"/>
        </w:rPr>
        <w:t>No sobra destacar que la solemnidad a cuya observancia las normas legales supeditan la existencia del pacto arbitral, lejos de responder a un simple capricho del legislador o</w:t>
      </w:r>
      <w:r>
        <w:rPr>
          <w:rFonts w:ascii="Century Gothic" w:hAnsi="Century Gothic" w:cs="Arial"/>
        </w:rPr>
        <w:t xml:space="preserve"> a</w:t>
      </w:r>
      <w:r w:rsidRPr="007111CF">
        <w:rPr>
          <w:rFonts w:ascii="Century Gothic" w:hAnsi="Century Gothic" w:cs="Arial"/>
        </w:rPr>
        <w:t xml:space="preserve"> un anhelo del juez, reviste la mayor importancia y encuentra fundamento en el interés público que dicho pacto involucra, en atención a los importantísimos y muy significativos efectos de estirpe procesal que </w:t>
      </w:r>
      <w:r>
        <w:rPr>
          <w:rFonts w:ascii="Century Gothic" w:hAnsi="Century Gothic" w:cs="Arial"/>
        </w:rPr>
        <w:t xml:space="preserve">tal </w:t>
      </w:r>
      <w:r w:rsidRPr="007111CF">
        <w:rPr>
          <w:rFonts w:ascii="Century Gothic" w:hAnsi="Century Gothic" w:cs="Arial"/>
        </w:rPr>
        <w:t>acuerdo está llamado a generar, asunto en el cual, como es obvio, se encuentran directamente involucradas tanto la seguridad jurídica como, más importante todavía, la efectividad del derecho fundamental de acceso a la administración de justicia, del cual son titulares las partes que intervienen en la celebración de tales acuerdos –una de las cuales deberá ser, al menos, una entidad estatal–</w:t>
      </w:r>
      <w:r>
        <w:rPr>
          <w:rFonts w:ascii="Century Gothic" w:hAnsi="Century Gothic" w:cs="Arial"/>
        </w:rPr>
        <w:t xml:space="preserve">, </w:t>
      </w:r>
      <w:r w:rsidRPr="007111CF">
        <w:rPr>
          <w:rFonts w:ascii="Century Gothic" w:hAnsi="Century Gothic" w:cs="Arial"/>
        </w:rPr>
        <w:t>puesto que</w:t>
      </w:r>
      <w:r>
        <w:rPr>
          <w:rFonts w:ascii="Century Gothic" w:hAnsi="Century Gothic" w:cs="Arial"/>
        </w:rPr>
        <w:t>,</w:t>
      </w:r>
      <w:r w:rsidRPr="007111CF">
        <w:rPr>
          <w:rFonts w:ascii="Century Gothic" w:hAnsi="Century Gothic" w:cs="Arial"/>
        </w:rPr>
        <w:t xml:space="preserve"> a partir de su perfeccionamiento, </w:t>
      </w:r>
      <w:r>
        <w:rPr>
          <w:rFonts w:ascii="Century Gothic" w:hAnsi="Century Gothic" w:cs="Arial"/>
        </w:rPr>
        <w:t xml:space="preserve">ellas </w:t>
      </w:r>
      <w:r w:rsidRPr="007111CF">
        <w:rPr>
          <w:rFonts w:ascii="Century Gothic" w:hAnsi="Century Gothic" w:cs="Arial"/>
        </w:rPr>
        <w:t xml:space="preserve">quedan atadas a lo que hubieren decidido o convenido cuando alguna requiera poner en movimiento la función judicial del Estado.  </w:t>
      </w:r>
    </w:p>
    <w:p w14:paraId="1D32543C" w14:textId="77777777" w:rsidR="00A2632D" w:rsidRPr="007111CF" w:rsidRDefault="00A2632D" w:rsidP="00E15824">
      <w:pPr>
        <w:spacing w:line="360" w:lineRule="auto"/>
        <w:jc w:val="both"/>
        <w:rPr>
          <w:rFonts w:ascii="Century Gothic" w:hAnsi="Century Gothic" w:cs="Arial"/>
        </w:rPr>
      </w:pPr>
    </w:p>
    <w:p w14:paraId="2ED6466F" w14:textId="77777777" w:rsidR="00A2632D" w:rsidRPr="007111CF" w:rsidRDefault="00A2632D" w:rsidP="00E15824">
      <w:pPr>
        <w:spacing w:line="360" w:lineRule="auto"/>
        <w:jc w:val="both"/>
        <w:rPr>
          <w:rFonts w:ascii="Century Gothic" w:hAnsi="Century Gothic" w:cs="Arial"/>
        </w:rPr>
      </w:pPr>
      <w:r w:rsidRPr="007111CF">
        <w:rPr>
          <w:rFonts w:ascii="Century Gothic" w:hAnsi="Century Gothic" w:cs="Arial"/>
        </w:rPr>
        <w:t>La autonomía de la cláusula compromisoria constituye una de sus principales características, al punto que los árbitros se encuentran habilitados para decidir la controversia aún en el evento de que el contrato sobre el cual deban fallar sea nulo o inexistente, es decir, la nulidad del contrato no afecta la validez y eficacia de la cláusula compromisoria pactada por las partes</w:t>
      </w:r>
      <w:r w:rsidRPr="007111CF">
        <w:rPr>
          <w:rStyle w:val="Refdenotaalpie"/>
          <w:rFonts w:ascii="Century Gothic" w:hAnsi="Century Gothic" w:cs="Arial"/>
        </w:rPr>
        <w:footnoteReference w:id="2"/>
      </w:r>
      <w:r w:rsidRPr="007111CF">
        <w:rPr>
          <w:rFonts w:ascii="Century Gothic" w:hAnsi="Century Gothic" w:cs="Arial"/>
        </w:rPr>
        <w:t>.</w:t>
      </w:r>
    </w:p>
    <w:p w14:paraId="6D58D27C" w14:textId="77777777" w:rsidR="00A2632D" w:rsidRPr="007111CF" w:rsidRDefault="00A2632D" w:rsidP="00E15824">
      <w:pPr>
        <w:spacing w:line="360" w:lineRule="auto"/>
        <w:jc w:val="both"/>
        <w:rPr>
          <w:rFonts w:ascii="Century Gothic" w:hAnsi="Century Gothic"/>
        </w:rPr>
      </w:pPr>
    </w:p>
    <w:p w14:paraId="038FC7CD" w14:textId="77777777" w:rsidR="00A2632D" w:rsidRPr="007111CF" w:rsidRDefault="00A2632D" w:rsidP="00E15824">
      <w:pPr>
        <w:spacing w:line="360" w:lineRule="auto"/>
        <w:jc w:val="both"/>
        <w:rPr>
          <w:rFonts w:ascii="Century Gothic" w:hAnsi="Century Gothic"/>
        </w:rPr>
      </w:pPr>
      <w:r w:rsidRPr="007111CF">
        <w:rPr>
          <w:rFonts w:ascii="Century Gothic" w:hAnsi="Century Gothic"/>
        </w:rPr>
        <w:t>Así, pues</w:t>
      </w:r>
      <w:r>
        <w:rPr>
          <w:rFonts w:ascii="Century Gothic" w:hAnsi="Century Gothic"/>
        </w:rPr>
        <w:t>,</w:t>
      </w:r>
      <w:r w:rsidRPr="007111CF">
        <w:rPr>
          <w:rFonts w:ascii="Century Gothic" w:hAnsi="Century Gothic"/>
        </w:rPr>
        <w:t xml:space="preserve"> los efectos que comporta la cláusula compromisoria son de tal</w:t>
      </w:r>
      <w:r>
        <w:rPr>
          <w:rFonts w:ascii="Century Gothic" w:hAnsi="Century Gothic"/>
        </w:rPr>
        <w:t xml:space="preserve"> </w:t>
      </w:r>
      <w:r w:rsidRPr="007111CF">
        <w:rPr>
          <w:rFonts w:ascii="Century Gothic" w:hAnsi="Century Gothic"/>
        </w:rPr>
        <w:t>importancia que, incluso, por razón de su autonomía, la misma subsiste aunque no ocurra lo mismo con el contrato que le dio origen –bien por razón de su nulidad, o bien por su inexistencia–; por lo mismo y con mayor razón</w:t>
      </w:r>
      <w:r>
        <w:rPr>
          <w:rFonts w:ascii="Century Gothic" w:hAnsi="Century Gothic"/>
        </w:rPr>
        <w:t>,</w:t>
      </w:r>
      <w:r w:rsidRPr="007111CF">
        <w:rPr>
          <w:rFonts w:ascii="Century Gothic" w:hAnsi="Century Gothic"/>
        </w:rPr>
        <w:t xml:space="preserve"> hay que admitir, entonces, que ella debe permanecer incólume en el mundo jurídico si las partes que la convienen nada deciden de manera expresa, conjunta y por escrito, acerca de su modificación o eliminación.</w:t>
      </w:r>
    </w:p>
    <w:p w14:paraId="3DF0B48D" w14:textId="77777777" w:rsidR="00A2632D" w:rsidRPr="007111CF" w:rsidRDefault="00A2632D" w:rsidP="00E15824">
      <w:pPr>
        <w:spacing w:line="360" w:lineRule="auto"/>
        <w:jc w:val="both"/>
        <w:rPr>
          <w:rFonts w:ascii="Century Gothic" w:hAnsi="Century Gothic"/>
        </w:rPr>
      </w:pPr>
    </w:p>
    <w:p w14:paraId="564B5E16" w14:textId="77777777" w:rsidR="00A2632D" w:rsidRPr="007111CF" w:rsidRDefault="00A2632D" w:rsidP="00E15824">
      <w:pPr>
        <w:spacing w:line="360" w:lineRule="auto"/>
        <w:jc w:val="both"/>
        <w:rPr>
          <w:rFonts w:ascii="Century Gothic" w:hAnsi="Century Gothic"/>
        </w:rPr>
      </w:pPr>
      <w:r w:rsidRPr="007111CF">
        <w:rPr>
          <w:rFonts w:ascii="Century Gothic" w:hAnsi="Century Gothic"/>
        </w:rPr>
        <w:t>Por consiguiente, la inferencia o deducción que, en sentido contrario, haga el juez institucional o permanente, a partir de la conducta procesal asumida por las partes del contrato estatal, a fin de concluir que cada una decidió, de manera unilateral, renunciar a la cláusula compromisoria o eliminarla, a pesar de que conjuntamente hayan convenido</w:t>
      </w:r>
      <w:r>
        <w:rPr>
          <w:rFonts w:ascii="Century Gothic" w:hAnsi="Century Gothic"/>
        </w:rPr>
        <w:t xml:space="preserve"> en forma</w:t>
      </w:r>
      <w:r w:rsidRPr="007111CF">
        <w:rPr>
          <w:rFonts w:ascii="Century Gothic" w:hAnsi="Century Gothic"/>
        </w:rPr>
        <w:t xml:space="preserve"> expresa y por escrito tal posibilidad, desconoce abiertamente el carácter autónomo que caracteriza a la cláusula compromisoria.  </w:t>
      </w:r>
    </w:p>
    <w:p w14:paraId="24655C2B" w14:textId="77777777" w:rsidR="00A2632D" w:rsidRPr="007111CF" w:rsidRDefault="00A2632D" w:rsidP="00E15824">
      <w:pPr>
        <w:widowControl w:val="0"/>
        <w:spacing w:line="360" w:lineRule="auto"/>
        <w:jc w:val="both"/>
        <w:rPr>
          <w:rFonts w:ascii="Century Gothic" w:hAnsi="Century Gothic"/>
        </w:rPr>
      </w:pPr>
    </w:p>
    <w:p w14:paraId="5F8D9FDB" w14:textId="77777777" w:rsidR="00A2632D" w:rsidRPr="007111CF" w:rsidRDefault="00A2632D" w:rsidP="00E15824">
      <w:pPr>
        <w:spacing w:line="360" w:lineRule="auto"/>
        <w:jc w:val="both"/>
        <w:rPr>
          <w:rFonts w:ascii="Century Gothic" w:hAnsi="Century Gothic" w:cs="Arial"/>
        </w:rPr>
      </w:pPr>
      <w:r w:rsidRPr="007111CF">
        <w:rPr>
          <w:rFonts w:ascii="Century Gothic" w:hAnsi="Century Gothic"/>
        </w:rPr>
        <w:t xml:space="preserve">Por lo anterior, </w:t>
      </w:r>
      <w:r w:rsidRPr="007111CF">
        <w:rPr>
          <w:rFonts w:ascii="Century Gothic" w:hAnsi="Century Gothic" w:cs="Arial"/>
        </w:rPr>
        <w:t>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w:t>
      </w:r>
      <w:r>
        <w:rPr>
          <w:rFonts w:ascii="Century Gothic" w:hAnsi="Century Gothic" w:cs="Arial"/>
        </w:rPr>
        <w:t xml:space="preserve"> y, por lo tanto</w:t>
      </w:r>
      <w:r w:rsidRPr="007111CF">
        <w:rPr>
          <w:rFonts w:ascii="Century Gothic" w:hAnsi="Century Gothic" w:cs="Arial"/>
        </w:rPr>
        <w:t>, sus actuaciones resultarían afectadas de nulidad, conforme a lo dispuesto en los numerales 1 y 2 del artículo 140 del C. de P. C.</w:t>
      </w:r>
    </w:p>
    <w:p w14:paraId="573A8447" w14:textId="77777777" w:rsidR="00A2632D" w:rsidRPr="007111CF" w:rsidRDefault="00A2632D" w:rsidP="00E15824">
      <w:pPr>
        <w:spacing w:line="360" w:lineRule="auto"/>
        <w:jc w:val="both"/>
        <w:rPr>
          <w:rFonts w:ascii="Century Gothic" w:hAnsi="Century Gothic"/>
        </w:rPr>
      </w:pPr>
    </w:p>
    <w:p w14:paraId="7AF16AF6" w14:textId="77777777" w:rsidR="00A2632D" w:rsidRPr="007111CF" w:rsidRDefault="00A2632D" w:rsidP="00E15824">
      <w:pPr>
        <w:pStyle w:val="Textoindependiente2"/>
        <w:ind w:right="0"/>
        <w:rPr>
          <w:rFonts w:ascii="Century Gothic" w:hAnsi="Century Gothic"/>
          <w:sz w:val="22"/>
          <w:szCs w:val="22"/>
        </w:rPr>
      </w:pPr>
      <w:r w:rsidRPr="007111CF">
        <w:rPr>
          <w:rFonts w:ascii="Century Gothic" w:hAnsi="Century Gothic"/>
          <w:sz w:val="22"/>
          <w:szCs w:val="22"/>
        </w:rPr>
        <w:t xml:space="preserve">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w:t>
      </w:r>
      <w:r>
        <w:rPr>
          <w:rFonts w:ascii="Century Gothic" w:hAnsi="Century Gothic"/>
          <w:sz w:val="22"/>
          <w:szCs w:val="22"/>
        </w:rPr>
        <w:t>p</w:t>
      </w:r>
      <w:r w:rsidRPr="007111CF">
        <w:rPr>
          <w:rFonts w:ascii="Century Gothic" w:hAnsi="Century Gothic"/>
          <w:sz w:val="22"/>
          <w:szCs w:val="22"/>
        </w:rPr>
        <w:t>acto no desaparece, ni siquiera si el demandado no excepciona falta de jurisdicción</w:t>
      </w:r>
      <w:r>
        <w:rPr>
          <w:rFonts w:ascii="Century Gothic" w:hAnsi="Century Gothic"/>
          <w:sz w:val="22"/>
          <w:szCs w:val="22"/>
        </w:rPr>
        <w:t>.</w:t>
      </w:r>
      <w:r w:rsidRPr="007111CF">
        <w:rPr>
          <w:rFonts w:ascii="Century Gothic" w:hAnsi="Century Gothic"/>
          <w:sz w:val="22"/>
          <w:szCs w:val="22"/>
        </w:rPr>
        <w:t xml:space="preserve">  </w:t>
      </w:r>
    </w:p>
    <w:p w14:paraId="1AA15109" w14:textId="77777777" w:rsidR="00A2632D" w:rsidRDefault="00A2632D" w:rsidP="00E15824">
      <w:pPr>
        <w:spacing w:line="360" w:lineRule="auto"/>
        <w:jc w:val="both"/>
        <w:rPr>
          <w:rFonts w:ascii="Century Gothic" w:hAnsi="Century Gothic" w:cs="Arial"/>
        </w:rPr>
      </w:pPr>
    </w:p>
    <w:p w14:paraId="39AE8EE0" w14:textId="77777777" w:rsidR="00A2632D" w:rsidRDefault="00A2632D" w:rsidP="00E15824">
      <w:pPr>
        <w:spacing w:line="360" w:lineRule="auto"/>
        <w:jc w:val="both"/>
        <w:rPr>
          <w:rFonts w:ascii="Century Gothic" w:hAnsi="Century Gothic" w:cs="Arial"/>
        </w:rPr>
      </w:pPr>
      <w:r>
        <w:rPr>
          <w:rFonts w:ascii="Century Gothic" w:hAnsi="Century Gothic" w:cs="Arial"/>
        </w:rPr>
        <w:t xml:space="preserve">En este caso, no hay razón para desconocer la eficacia de la cláusula compromisoria contenida en la cláusula catorce del contrato 147; por consiguiente, todo lo actuado en este proceso resulta nulo. </w:t>
      </w:r>
    </w:p>
    <w:p w14:paraId="78AC0196" w14:textId="77777777" w:rsidR="00A2632D" w:rsidRPr="007111CF" w:rsidRDefault="00A2632D" w:rsidP="00E15824">
      <w:pPr>
        <w:spacing w:line="360" w:lineRule="auto"/>
        <w:jc w:val="both"/>
        <w:rPr>
          <w:rFonts w:ascii="Century Gothic" w:hAnsi="Century Gothic" w:cs="Arial"/>
        </w:rPr>
      </w:pPr>
    </w:p>
    <w:p w14:paraId="79C5CC01" w14:textId="77777777" w:rsidR="00A2632D" w:rsidRDefault="00A2632D" w:rsidP="00E15824">
      <w:pPr>
        <w:spacing w:line="360" w:lineRule="auto"/>
        <w:jc w:val="both"/>
        <w:rPr>
          <w:rFonts w:ascii="Century Gothic" w:hAnsi="Century Gothic"/>
        </w:rPr>
      </w:pPr>
      <w:r w:rsidRPr="00EF5F2F">
        <w:rPr>
          <w:rFonts w:ascii="Century Gothic" w:hAnsi="Century Gothic"/>
        </w:rPr>
        <w:t xml:space="preserve">Por lo anterior, </w:t>
      </w:r>
      <w:r>
        <w:rPr>
          <w:rFonts w:ascii="Century Gothic" w:hAnsi="Century Gothic"/>
        </w:rPr>
        <w:t xml:space="preserve">se </w:t>
      </w:r>
      <w:r w:rsidRPr="00EF5F2F">
        <w:rPr>
          <w:rFonts w:ascii="Century Gothic" w:hAnsi="Century Gothic"/>
        </w:rPr>
        <w:t>estima que</w:t>
      </w:r>
      <w:r>
        <w:rPr>
          <w:rFonts w:ascii="Century Gothic" w:hAnsi="Century Gothic"/>
        </w:rPr>
        <w:t>, en este caso, se configuran las causales de nulidad procesal contempladas en los numerales 1 y 2 del artículo 140 del C. de P. C., las cuales son insaneables, según lo dispuesto por el inciso final del artículo 144 ibídem, por cuanto, en virtud del pacto arbitral, la jurisdicción de lo contencioso administrativo no es la competente para conocer de las pretensiones formuladas en la demanda, pues corresponde conocer de ellas a la justicia arbitral. Así, pues, la Sala declarará de oficio la nulidad de todo lo actuado en este proceso, desde el auto admisorio de la demanda, inclusive.</w:t>
      </w:r>
    </w:p>
    <w:p w14:paraId="34302D96" w14:textId="77777777" w:rsidR="00A2632D" w:rsidRDefault="00A2632D" w:rsidP="00E15824">
      <w:pPr>
        <w:spacing w:line="360" w:lineRule="auto"/>
        <w:jc w:val="both"/>
        <w:rPr>
          <w:rFonts w:ascii="Century Gothic" w:hAnsi="Century Gothic"/>
        </w:rPr>
      </w:pPr>
    </w:p>
    <w:p w14:paraId="3751AAA2" w14:textId="77777777" w:rsidR="00A2632D" w:rsidRDefault="00A2632D" w:rsidP="00E15824">
      <w:pPr>
        <w:spacing w:line="360" w:lineRule="auto"/>
        <w:jc w:val="both"/>
        <w:rPr>
          <w:rFonts w:ascii="Century Gothic" w:hAnsi="Century Gothic"/>
        </w:rPr>
      </w:pPr>
      <w:r w:rsidRPr="00EF5F2F">
        <w:rPr>
          <w:rFonts w:ascii="Century Gothic" w:hAnsi="Century Gothic"/>
        </w:rPr>
        <w:t>Ahora bien, para evitar que se produzca una eventual vulneración del derecho fundamental de acceso a la administración de justicia y para impedir que las partes queden sin obtener decisión de fondo en relación con la controversia suscitada, la Sala acudirá a la solución prevista por la Corte Constitucional a través de la sentencia integradora C-662 de 2004 y, en tal virtud,</w:t>
      </w:r>
      <w:r>
        <w:rPr>
          <w:rFonts w:ascii="Century Gothic" w:hAnsi="Century Gothic"/>
        </w:rPr>
        <w:t xml:space="preserve"> ordenará enviar el expediente a la Cámara de Comercio “más cercana” para que se solicite la convocatoria del Tribunal de Arbitramento.</w:t>
      </w:r>
    </w:p>
    <w:p w14:paraId="530BEC35" w14:textId="77777777" w:rsidR="00A2632D" w:rsidRDefault="00A2632D" w:rsidP="00E15824">
      <w:pPr>
        <w:spacing w:line="360" w:lineRule="auto"/>
        <w:jc w:val="both"/>
        <w:rPr>
          <w:rFonts w:ascii="Century Gothic" w:hAnsi="Century Gothic"/>
        </w:rPr>
      </w:pPr>
    </w:p>
    <w:p w14:paraId="0B71818D" w14:textId="77777777" w:rsidR="00A2632D" w:rsidRDefault="00A2632D" w:rsidP="00E15824">
      <w:pPr>
        <w:spacing w:line="360" w:lineRule="auto"/>
        <w:jc w:val="both"/>
        <w:rPr>
          <w:rFonts w:ascii="Century Gothic" w:hAnsi="Century Gothic" w:cs="Tahoma"/>
        </w:rPr>
      </w:pPr>
      <w:r>
        <w:rPr>
          <w:rFonts w:ascii="Century Gothic" w:hAnsi="Century Gothic"/>
        </w:rPr>
        <w:t xml:space="preserve">Lo anterior, comoquiera que en la cláusula compromisoria las partes no </w:t>
      </w:r>
      <w:r>
        <w:rPr>
          <w:rFonts w:ascii="Century Gothic" w:hAnsi="Century Gothic" w:cs="Tahoma"/>
        </w:rPr>
        <w:t>especificaron el centro de arbitraje ante el cual debe presentarse la convocatoria, caso para el cual la ley contempla unas reglas que permiten determinar cuál es el que debe conocer del arbitramento.</w:t>
      </w:r>
    </w:p>
    <w:p w14:paraId="1C83BEF7" w14:textId="77777777" w:rsidR="00A2632D" w:rsidRDefault="00A2632D" w:rsidP="00E15824">
      <w:pPr>
        <w:spacing w:line="360" w:lineRule="auto"/>
        <w:jc w:val="both"/>
        <w:rPr>
          <w:rFonts w:ascii="Century Gothic" w:hAnsi="Century Gothic" w:cs="Tahoma"/>
        </w:rPr>
      </w:pPr>
    </w:p>
    <w:p w14:paraId="0541BAD0" w14:textId="77777777" w:rsidR="00A2632D" w:rsidRDefault="00A2632D" w:rsidP="00E15824">
      <w:pPr>
        <w:spacing w:line="360" w:lineRule="auto"/>
        <w:jc w:val="both"/>
        <w:rPr>
          <w:rFonts w:ascii="Century Gothic" w:hAnsi="Century Gothic" w:cs="Tahoma"/>
        </w:rPr>
      </w:pPr>
      <w:r>
        <w:rPr>
          <w:rFonts w:ascii="Century Gothic" w:hAnsi="Century Gothic" w:cs="Tahoma"/>
        </w:rPr>
        <w:t xml:space="preserve">Para este caso, la Ley 1563 de 2012, aplicable al </w:t>
      </w:r>
      <w:r w:rsidRPr="00836116">
        <w:rPr>
          <w:rFonts w:ascii="Century Gothic" w:hAnsi="Century Gothic" w:cs="Tahoma"/>
          <w:i/>
        </w:rPr>
        <w:t>sub examine</w:t>
      </w:r>
      <w:r>
        <w:rPr>
          <w:rFonts w:ascii="Century Gothic" w:hAnsi="Century Gothic" w:cs="Tahoma"/>
        </w:rPr>
        <w:t xml:space="preserve"> toda vez que la demanda arbitral se promoverá después de la entrada en vigencia de esta norma</w:t>
      </w:r>
      <w:r w:rsidR="006A1654">
        <w:rPr>
          <w:rFonts w:ascii="Century Gothic" w:hAnsi="Century Gothic" w:cs="Tahoma"/>
        </w:rPr>
        <w:t xml:space="preserve"> - </w:t>
      </w:r>
      <w:r>
        <w:rPr>
          <w:rFonts w:ascii="Century Gothic" w:hAnsi="Century Gothic" w:cs="Tahoma"/>
        </w:rPr>
        <w:t>12 de octubre de 2012-, establece, en su artículo 12, lo siguiente:</w:t>
      </w:r>
    </w:p>
    <w:p w14:paraId="45A87010" w14:textId="77777777" w:rsidR="00A2632D" w:rsidRDefault="00A2632D" w:rsidP="00E15824">
      <w:pPr>
        <w:pStyle w:val="NormalWeb"/>
        <w:spacing w:before="0" w:beforeAutospacing="0" w:after="0" w:afterAutospacing="0"/>
        <w:ind w:left="851" w:right="851"/>
        <w:jc w:val="both"/>
        <w:rPr>
          <w:rFonts w:ascii="Century Gothic" w:hAnsi="Century Gothic"/>
          <w:bCs/>
          <w:sz w:val="20"/>
          <w:szCs w:val="20"/>
        </w:rPr>
      </w:pPr>
      <w:bookmarkStart w:id="0" w:name="12"/>
    </w:p>
    <w:p w14:paraId="69DFFFFC" w14:textId="77777777" w:rsidR="00A2632D" w:rsidRPr="0044344A" w:rsidRDefault="00A2632D" w:rsidP="00E15824">
      <w:pPr>
        <w:pStyle w:val="NormalWeb"/>
        <w:spacing w:before="0" w:beforeAutospacing="0" w:after="0" w:afterAutospacing="0"/>
        <w:ind w:left="851" w:right="851"/>
        <w:jc w:val="both"/>
        <w:rPr>
          <w:rFonts w:ascii="Century Gothic" w:hAnsi="Century Gothic"/>
          <w:sz w:val="20"/>
          <w:szCs w:val="20"/>
        </w:rPr>
      </w:pPr>
      <w:r w:rsidRPr="0044344A">
        <w:rPr>
          <w:rFonts w:ascii="Century Gothic" w:hAnsi="Century Gothic"/>
          <w:bCs/>
          <w:sz w:val="20"/>
          <w:szCs w:val="20"/>
        </w:rPr>
        <w:t>“ARTÍCULO 12. INICIACIÓN DEL PROCESO ARBITRAL.</w:t>
      </w:r>
      <w:bookmarkEnd w:id="0"/>
      <w:r w:rsidRPr="0044344A">
        <w:rPr>
          <w:rStyle w:val="apple-converted-space"/>
          <w:rFonts w:ascii="Century Gothic" w:hAnsi="Century Gothic"/>
          <w:sz w:val="20"/>
          <w:szCs w:val="20"/>
        </w:rPr>
        <w:t> </w:t>
      </w:r>
      <w:r w:rsidRPr="0044344A">
        <w:rPr>
          <w:rFonts w:ascii="Century Gothic" w:hAnsi="Century Gothic"/>
          <w:sz w:val="20"/>
          <w:szCs w:val="20"/>
        </w:rPr>
        <w:t>El proceso arbitral comenzará con la presentación de la demanda, que deberá reunir todos los requisitos exigidos por el Código de Procedimiento Civil, acompañada del pacto arbitral y dirigida al centro de arbitraje acordado por las partes. En su defecto, a uno del lugar del domicilio de la demandada, y si esta fuere plural, en el de cualquiera de sus integrantes.</w:t>
      </w:r>
      <w:r w:rsidRPr="0044344A">
        <w:rPr>
          <w:rStyle w:val="apple-converted-space"/>
          <w:rFonts w:ascii="Century Gothic" w:hAnsi="Century Gothic"/>
          <w:sz w:val="20"/>
          <w:szCs w:val="20"/>
        </w:rPr>
        <w:t> </w:t>
      </w:r>
      <w:r w:rsidRPr="0044344A">
        <w:rPr>
          <w:rFonts w:ascii="Century Gothic" w:hAnsi="Century Gothic"/>
          <w:sz w:val="20"/>
          <w:szCs w:val="20"/>
        </w:rPr>
        <w:t>El centro de arbitraje que no fuere competente, remitirá la demanda al que lo fuere. Los conflictos de competencia que se susciten entre centros de arbitraje serán resueltos por el Ministerio de Justicia y del Derecho.</w:t>
      </w:r>
    </w:p>
    <w:p w14:paraId="516C4F25" w14:textId="77777777" w:rsidR="00A2632D" w:rsidRDefault="00A2632D" w:rsidP="00E15824">
      <w:pPr>
        <w:pStyle w:val="NormalWeb"/>
        <w:spacing w:before="0" w:beforeAutospacing="0" w:after="0" w:afterAutospacing="0"/>
        <w:ind w:left="851" w:right="851"/>
        <w:jc w:val="both"/>
        <w:rPr>
          <w:rFonts w:ascii="Century Gothic" w:hAnsi="Century Gothic"/>
          <w:sz w:val="20"/>
          <w:szCs w:val="20"/>
        </w:rPr>
      </w:pPr>
    </w:p>
    <w:p w14:paraId="43252E29" w14:textId="77777777" w:rsidR="00A2632D" w:rsidRPr="0044344A" w:rsidRDefault="00A2632D" w:rsidP="00E15824">
      <w:pPr>
        <w:pStyle w:val="NormalWeb"/>
        <w:spacing w:before="0" w:beforeAutospacing="0" w:after="0" w:afterAutospacing="0"/>
        <w:ind w:left="851" w:right="851"/>
        <w:jc w:val="both"/>
        <w:rPr>
          <w:rFonts w:ascii="Century Gothic" w:hAnsi="Century Gothic"/>
          <w:sz w:val="20"/>
          <w:szCs w:val="20"/>
        </w:rPr>
      </w:pPr>
      <w:r w:rsidRPr="0044344A">
        <w:rPr>
          <w:rFonts w:ascii="Century Gothic" w:hAnsi="Century Gothic"/>
          <w:sz w:val="20"/>
          <w:szCs w:val="20"/>
        </w:rPr>
        <w:t>“Si no hubiere centro de arbitraje en el domicilio acordado o en el del domicilio del demandado, la solicitud de convocatoria se presentará en el centro de arbitraje más cercano.</w:t>
      </w:r>
    </w:p>
    <w:p w14:paraId="0468AE12" w14:textId="77777777" w:rsidR="00A2632D" w:rsidRDefault="00A2632D" w:rsidP="00E15824">
      <w:pPr>
        <w:pStyle w:val="NormalWeb"/>
        <w:spacing w:before="0" w:beforeAutospacing="0" w:after="0" w:afterAutospacing="0"/>
        <w:ind w:left="851" w:right="851"/>
        <w:jc w:val="both"/>
        <w:rPr>
          <w:rFonts w:ascii="Century Gothic" w:hAnsi="Century Gothic"/>
          <w:sz w:val="20"/>
          <w:szCs w:val="20"/>
        </w:rPr>
      </w:pPr>
    </w:p>
    <w:p w14:paraId="3EEA8D7B" w14:textId="77777777" w:rsidR="00A2632D" w:rsidRPr="0044344A" w:rsidRDefault="00A2632D" w:rsidP="00E15824">
      <w:pPr>
        <w:pStyle w:val="NormalWeb"/>
        <w:spacing w:before="0" w:beforeAutospacing="0" w:after="0" w:afterAutospacing="0"/>
        <w:ind w:left="851" w:right="851"/>
        <w:jc w:val="both"/>
        <w:rPr>
          <w:rFonts w:ascii="Century Gothic" w:hAnsi="Century Gothic"/>
          <w:sz w:val="20"/>
          <w:szCs w:val="20"/>
        </w:rPr>
      </w:pPr>
      <w:r w:rsidRPr="0044344A">
        <w:rPr>
          <w:rFonts w:ascii="Century Gothic" w:hAnsi="Century Gothic"/>
          <w:sz w:val="20"/>
          <w:szCs w:val="20"/>
        </w:rPr>
        <w:t>“Tratándose de procesos en los que es demandada una entidad pública, el centro de arbitraje correspondiente deberá remitir comunicación a la Agencia Nacional de Defensa Jurídica del Estado, informando de la presentación de la demanda.</w:t>
      </w:r>
    </w:p>
    <w:p w14:paraId="47427037" w14:textId="77777777" w:rsidR="00A2632D" w:rsidRDefault="00A2632D" w:rsidP="00E15824">
      <w:pPr>
        <w:pStyle w:val="NormalWeb"/>
        <w:spacing w:before="0" w:beforeAutospacing="0" w:after="0" w:afterAutospacing="0"/>
        <w:ind w:left="851" w:right="851"/>
        <w:jc w:val="both"/>
        <w:rPr>
          <w:rFonts w:ascii="Century Gothic" w:hAnsi="Century Gothic"/>
          <w:sz w:val="20"/>
          <w:szCs w:val="20"/>
        </w:rPr>
      </w:pPr>
    </w:p>
    <w:p w14:paraId="5AD7C139" w14:textId="77777777" w:rsidR="00A2632D" w:rsidRPr="0044344A" w:rsidRDefault="00A2632D" w:rsidP="00E15824">
      <w:pPr>
        <w:pStyle w:val="NormalWeb"/>
        <w:spacing w:before="0" w:beforeAutospacing="0" w:after="0" w:afterAutospacing="0"/>
        <w:ind w:left="851" w:right="851"/>
        <w:jc w:val="both"/>
        <w:rPr>
          <w:rFonts w:ascii="Century Gothic" w:hAnsi="Century Gothic"/>
          <w:sz w:val="20"/>
          <w:szCs w:val="20"/>
        </w:rPr>
      </w:pPr>
      <w:r w:rsidRPr="0044344A">
        <w:rPr>
          <w:rFonts w:ascii="Century Gothic" w:hAnsi="Century Gothic"/>
          <w:sz w:val="20"/>
          <w:szCs w:val="20"/>
        </w:rPr>
        <w:t>“La remisión de la comunicación a que se refiere este inciso, es requisito indispensable para la continuación del proceso arbitral”.</w:t>
      </w:r>
    </w:p>
    <w:p w14:paraId="221CA058" w14:textId="77777777" w:rsidR="00A2632D" w:rsidRDefault="00A2632D" w:rsidP="00E15824">
      <w:pPr>
        <w:spacing w:line="360" w:lineRule="auto"/>
        <w:jc w:val="both"/>
        <w:rPr>
          <w:rFonts w:ascii="Century Gothic" w:hAnsi="Century Gothic" w:cs="Tahoma"/>
        </w:rPr>
      </w:pPr>
    </w:p>
    <w:p w14:paraId="3F401461" w14:textId="77777777" w:rsidR="00A2632D" w:rsidRDefault="00A2632D" w:rsidP="00E15824">
      <w:pPr>
        <w:spacing w:line="360" w:lineRule="auto"/>
        <w:jc w:val="both"/>
        <w:rPr>
          <w:rFonts w:ascii="Century Gothic" w:hAnsi="Century Gothic" w:cs="Tahoma"/>
        </w:rPr>
      </w:pPr>
      <w:r>
        <w:rPr>
          <w:rFonts w:ascii="Century Gothic" w:hAnsi="Century Gothic" w:cs="Tahoma"/>
        </w:rPr>
        <w:t>Sobre el particular, esta Subsección en un caso semejante señaló que</w:t>
      </w:r>
      <w:r>
        <w:rPr>
          <w:rStyle w:val="Refdenotaalpie"/>
          <w:rFonts w:ascii="Century Gothic" w:hAnsi="Century Gothic" w:cs="Tahoma"/>
        </w:rPr>
        <w:footnoteReference w:id="3"/>
      </w:r>
      <w:r>
        <w:rPr>
          <w:rFonts w:ascii="Century Gothic" w:hAnsi="Century Gothic" w:cs="Tahoma"/>
        </w:rPr>
        <w:t>:</w:t>
      </w:r>
    </w:p>
    <w:p w14:paraId="185AA0DC" w14:textId="77777777" w:rsidR="00A2632D" w:rsidRDefault="00A2632D" w:rsidP="00E15824">
      <w:pPr>
        <w:spacing w:line="360" w:lineRule="auto"/>
        <w:jc w:val="both"/>
        <w:rPr>
          <w:rFonts w:ascii="Century Gothic" w:hAnsi="Century Gothic" w:cs="Tahoma"/>
        </w:rPr>
      </w:pPr>
    </w:p>
    <w:p w14:paraId="67D9E6AB" w14:textId="77777777" w:rsidR="00A2632D" w:rsidRPr="005207A2" w:rsidRDefault="00A2632D" w:rsidP="00E15824">
      <w:pPr>
        <w:ind w:left="851" w:right="851"/>
        <w:jc w:val="both"/>
        <w:rPr>
          <w:rFonts w:ascii="Century Gothic" w:hAnsi="Century Gothic" w:cs="Tahoma"/>
          <w:sz w:val="20"/>
          <w:szCs w:val="20"/>
          <w:lang w:val="es-ES_tradnl"/>
        </w:rPr>
      </w:pPr>
      <w:r w:rsidRPr="005207A2">
        <w:rPr>
          <w:rFonts w:ascii="Century Gothic" w:hAnsi="Century Gothic" w:cs="Tahoma"/>
          <w:sz w:val="20"/>
          <w:szCs w:val="20"/>
          <w:lang w:val="es-ES_tradnl"/>
        </w:rPr>
        <w:t xml:space="preserve">“Esta norma… contempla la posibilidad de que la convocatoria se promueva en el centro de arbitraje ‘más cercano’, cuando las partes no hayan acordado contractualmente un centro de arbitraje y cuando en el domicilio del demandado no exista. </w:t>
      </w:r>
    </w:p>
    <w:p w14:paraId="2D732AA7" w14:textId="77777777" w:rsidR="00A2632D" w:rsidRPr="005207A2" w:rsidRDefault="00A2632D" w:rsidP="00E15824">
      <w:pPr>
        <w:ind w:left="851" w:right="851"/>
        <w:jc w:val="both"/>
        <w:rPr>
          <w:rFonts w:ascii="Century Gothic" w:hAnsi="Century Gothic" w:cs="Tahoma"/>
          <w:sz w:val="20"/>
          <w:szCs w:val="20"/>
          <w:lang w:val="es-ES_tradnl"/>
        </w:rPr>
      </w:pPr>
    </w:p>
    <w:p w14:paraId="36381E29" w14:textId="77777777" w:rsidR="00A2632D" w:rsidRPr="005207A2" w:rsidRDefault="00A2632D" w:rsidP="00E15824">
      <w:pPr>
        <w:ind w:left="851" w:right="851"/>
        <w:jc w:val="both"/>
        <w:rPr>
          <w:rFonts w:ascii="Century Gothic" w:hAnsi="Century Gothic" w:cs="Tahoma"/>
          <w:sz w:val="20"/>
          <w:szCs w:val="20"/>
          <w:lang w:val="es-ES_tradnl"/>
        </w:rPr>
      </w:pPr>
      <w:r w:rsidRPr="005207A2">
        <w:rPr>
          <w:rFonts w:ascii="Century Gothic" w:hAnsi="Century Gothic" w:cs="Tahoma"/>
          <w:sz w:val="20"/>
          <w:szCs w:val="20"/>
          <w:lang w:val="es-ES_tradnl"/>
        </w:rPr>
        <w:t>“Ahora bien, la norma no menciona si el centro de arbitraje ante el cual debe ser promovida la convocatoria debe ser el ‘más cercano’ al del domicilio del demandante o del demandado; sin embargo, en sentir de la Sala, debe entenderse referido al del domicilio de este último (del demandado), pues las normas de procedimiento que regulan la determinación de la competencia por el factor territorial señalan que el fuero general, (sic) en los procesos contenciosos está dado, salvo disposición en contrario, por el domicilio del demandado (artículos 23 del C. de P.C., hoy artículo 28 del C.G.P.), en razón a que, tal como lo ha precisado la jurisprudencia de la Corte Suprema de Justicia, ‘… si la conveniencia social impone al demandado el deber de afrontar la litis por iniciativa del actor, resulta apenas justo que se le demande en su domicilio, en donde el trámite del proceso será menos oneroso para él …’.</w:t>
      </w:r>
    </w:p>
    <w:p w14:paraId="21E9EE67" w14:textId="77777777" w:rsidR="00A2632D" w:rsidRPr="005207A2" w:rsidRDefault="00A2632D" w:rsidP="00E15824">
      <w:pPr>
        <w:ind w:left="851" w:right="851"/>
        <w:jc w:val="both"/>
        <w:rPr>
          <w:rFonts w:ascii="Century Gothic" w:hAnsi="Century Gothic" w:cs="Tahoma"/>
          <w:sz w:val="20"/>
          <w:szCs w:val="20"/>
          <w:lang w:val="es-ES_tradnl"/>
        </w:rPr>
      </w:pPr>
    </w:p>
    <w:p w14:paraId="266BA14A" w14:textId="77777777" w:rsidR="00A2632D" w:rsidRPr="005207A2" w:rsidRDefault="00A2632D" w:rsidP="00E15824">
      <w:pPr>
        <w:ind w:left="851" w:right="851"/>
        <w:jc w:val="both"/>
        <w:rPr>
          <w:rFonts w:ascii="Century Gothic" w:hAnsi="Century Gothic" w:cs="Tahoma"/>
          <w:sz w:val="20"/>
          <w:szCs w:val="20"/>
          <w:lang w:val="es-ES_tradnl"/>
        </w:rPr>
      </w:pPr>
      <w:r w:rsidRPr="005207A2">
        <w:rPr>
          <w:rFonts w:ascii="Century Gothic" w:hAnsi="Century Gothic" w:cs="Tahoma"/>
          <w:sz w:val="20"/>
          <w:szCs w:val="20"/>
          <w:lang w:val="es-ES_tradnl"/>
        </w:rPr>
        <w:t>“Aplicada dicha noción a las normas que informan la competencia territorial en materia arbitral, se puede deducir que, si las partes no han pactado el centro de arbitraje ante el cual se debe presentar la demanda arbitral y en el domicilio del demandado no existe centro de arbitraje, lo más equitativo es que el competente para conocer de la convocatoria sea el centro de arbitraje del lugar más cercano al domicilio del convocado, pues así se garantiza que éste pueda ejercer debidamente su defensa, incurriendo en menores costos de desplazamiento, es decir, solo así se materializa el principio actor sequitor forum rei (el demandante debe litigar en el foro del demandado)”.</w:t>
      </w:r>
    </w:p>
    <w:p w14:paraId="0A174C62" w14:textId="77777777" w:rsidR="00A2632D" w:rsidRPr="00556BCF" w:rsidRDefault="00A2632D" w:rsidP="00E15824">
      <w:pPr>
        <w:spacing w:line="360" w:lineRule="auto"/>
        <w:jc w:val="both"/>
        <w:rPr>
          <w:rFonts w:ascii="Century Gothic" w:hAnsi="Century Gothic" w:cs="Tahoma"/>
          <w:lang w:val="es-ES_tradnl"/>
        </w:rPr>
      </w:pPr>
    </w:p>
    <w:p w14:paraId="3AD9FD6E" w14:textId="77777777" w:rsidR="00A2632D" w:rsidRPr="00EF5F2F" w:rsidRDefault="00A2632D" w:rsidP="00E15824">
      <w:pPr>
        <w:spacing w:line="360" w:lineRule="auto"/>
        <w:jc w:val="both"/>
        <w:rPr>
          <w:rFonts w:ascii="Century Gothic" w:hAnsi="Century Gothic"/>
        </w:rPr>
      </w:pPr>
      <w:r>
        <w:rPr>
          <w:rFonts w:ascii="Century Gothic" w:hAnsi="Century Gothic" w:cs="Tahoma"/>
        </w:rPr>
        <w:t xml:space="preserve">Visto lo anterior y dado que en el domicilio del aquí demandado no existe centro de arbitraje, se enviará el expediente al </w:t>
      </w:r>
      <w:r w:rsidRPr="00556BCF">
        <w:rPr>
          <w:rFonts w:ascii="Century Gothic" w:hAnsi="Century Gothic" w:cs="Tahoma"/>
          <w:lang w:val="es-ES_tradnl"/>
        </w:rPr>
        <w:t>Centro de Arbitraje y Conciliación de la Cámara de Comercio</w:t>
      </w:r>
      <w:r>
        <w:rPr>
          <w:rFonts w:ascii="Century Gothic" w:hAnsi="Century Gothic" w:cs="Tahoma"/>
        </w:rPr>
        <w:t xml:space="preserve"> más cercana </w:t>
      </w:r>
      <w:r w:rsidRPr="00556BCF">
        <w:rPr>
          <w:rFonts w:ascii="Century Gothic" w:hAnsi="Century Gothic" w:cs="Tahoma"/>
          <w:lang w:val="es-ES_tradnl"/>
        </w:rPr>
        <w:t>al domicilio del potencial convocado</w:t>
      </w:r>
      <w:r>
        <w:rPr>
          <w:rFonts w:ascii="Century Gothic" w:hAnsi="Century Gothic" w:cs="Tahoma"/>
          <w:lang w:val="es-ES_tradnl"/>
        </w:rPr>
        <w:t>, es decir, al de la ciudad de Cartagena, para lo cual se</w:t>
      </w:r>
      <w:r w:rsidRPr="00EF5F2F">
        <w:rPr>
          <w:rFonts w:ascii="Century Gothic" w:hAnsi="Century Gothic"/>
        </w:rPr>
        <w:t xml:space="preserve"> fijará un término máximo de seis (6) meses contados a partir de la ejecutoria de la presente providencia, para que la parte demandante solicite la convocatoria de un Tribunal de Arbitramento tendiente a resolver las diferencias planteadas entre las partes en torno a las pretensiones </w:t>
      </w:r>
      <w:r>
        <w:rPr>
          <w:rFonts w:ascii="Century Gothic" w:hAnsi="Century Gothic"/>
        </w:rPr>
        <w:t>de</w:t>
      </w:r>
      <w:r w:rsidRPr="00EF5F2F">
        <w:rPr>
          <w:rFonts w:ascii="Century Gothic" w:hAnsi="Century Gothic"/>
        </w:rPr>
        <w:t xml:space="preserve"> la demanda que</w:t>
      </w:r>
      <w:r>
        <w:rPr>
          <w:rFonts w:ascii="Century Gothic" w:hAnsi="Century Gothic"/>
        </w:rPr>
        <w:t xml:space="preserve"> dio inicio al presente proceso y</w:t>
      </w:r>
      <w:r w:rsidRPr="00EF5F2F">
        <w:rPr>
          <w:rFonts w:ascii="Century Gothic" w:hAnsi="Century Gothic"/>
        </w:rPr>
        <w:t xml:space="preserve"> dispondrá que, para efectos del conteo del término de caducidad de la acción, el Tribunal de Arbitramento tenga en cuenta la fecha de presentación de la demanda que originó el presente proceso, esto es, el </w:t>
      </w:r>
      <w:r>
        <w:rPr>
          <w:rFonts w:ascii="Century Gothic" w:hAnsi="Century Gothic"/>
        </w:rPr>
        <w:t xml:space="preserve">3 de septiembre de 2003 </w:t>
      </w:r>
      <w:r w:rsidRPr="00EF5F2F">
        <w:rPr>
          <w:rFonts w:ascii="Century Gothic" w:hAnsi="Century Gothic"/>
        </w:rPr>
        <w:t>(</w:t>
      </w:r>
      <w:r>
        <w:rPr>
          <w:rFonts w:ascii="Century Gothic" w:hAnsi="Century Gothic"/>
        </w:rPr>
        <w:t>fl. 16</w:t>
      </w:r>
      <w:r w:rsidRPr="00EF5F2F">
        <w:rPr>
          <w:rFonts w:ascii="Century Gothic" w:hAnsi="Century Gothic"/>
        </w:rPr>
        <w:t xml:space="preserve"> </w:t>
      </w:r>
      <w:r>
        <w:rPr>
          <w:rFonts w:ascii="Century Gothic" w:hAnsi="Century Gothic"/>
        </w:rPr>
        <w:t>rvs., c</w:t>
      </w:r>
      <w:r w:rsidRPr="00EF5F2F">
        <w:rPr>
          <w:rFonts w:ascii="Century Gothic" w:hAnsi="Century Gothic"/>
        </w:rPr>
        <w:t xml:space="preserve">.1). </w:t>
      </w:r>
    </w:p>
    <w:p w14:paraId="57DC36C8" w14:textId="77777777" w:rsidR="00A2632D" w:rsidRPr="00EF5F2F" w:rsidRDefault="00A2632D" w:rsidP="00E15824">
      <w:pPr>
        <w:spacing w:line="360" w:lineRule="auto"/>
        <w:jc w:val="both"/>
        <w:rPr>
          <w:rFonts w:ascii="Century Gothic" w:hAnsi="Century Gothic"/>
          <w:bCs/>
        </w:rPr>
      </w:pPr>
    </w:p>
    <w:p w14:paraId="362E7DFC" w14:textId="77777777" w:rsidR="00A2632D" w:rsidRPr="00EF5F2F" w:rsidRDefault="00A2632D" w:rsidP="00E15824">
      <w:pPr>
        <w:widowControl w:val="0"/>
        <w:autoSpaceDE w:val="0"/>
        <w:autoSpaceDN w:val="0"/>
        <w:adjustRightInd w:val="0"/>
        <w:spacing w:line="360" w:lineRule="auto"/>
        <w:jc w:val="both"/>
        <w:rPr>
          <w:rFonts w:ascii="Century Gothic" w:hAnsi="Century Gothic"/>
        </w:rPr>
      </w:pPr>
      <w:r w:rsidRPr="00EF5F2F">
        <w:rPr>
          <w:rFonts w:ascii="Century Gothic" w:hAnsi="Century Gothic"/>
        </w:rPr>
        <w:t xml:space="preserve">En mérito de lo expuesto, </w:t>
      </w:r>
      <w:r>
        <w:rPr>
          <w:rFonts w:ascii="Century Gothic" w:hAnsi="Century Gothic"/>
        </w:rPr>
        <w:t>se</w:t>
      </w:r>
    </w:p>
    <w:p w14:paraId="30A3F288" w14:textId="77777777" w:rsidR="00A2632D" w:rsidRDefault="00A2632D" w:rsidP="00E15824">
      <w:pPr>
        <w:widowControl w:val="0"/>
        <w:autoSpaceDE w:val="0"/>
        <w:autoSpaceDN w:val="0"/>
        <w:adjustRightInd w:val="0"/>
        <w:spacing w:line="360" w:lineRule="auto"/>
        <w:jc w:val="center"/>
        <w:rPr>
          <w:rFonts w:ascii="Century Gothic" w:hAnsi="Century Gothic"/>
          <w:b/>
        </w:rPr>
      </w:pPr>
    </w:p>
    <w:p w14:paraId="1C9C17E9" w14:textId="77777777" w:rsidR="00A2632D" w:rsidRPr="00EF5F2F" w:rsidRDefault="00A2632D" w:rsidP="00E15824">
      <w:pPr>
        <w:widowControl w:val="0"/>
        <w:autoSpaceDE w:val="0"/>
        <w:autoSpaceDN w:val="0"/>
        <w:adjustRightInd w:val="0"/>
        <w:spacing w:line="360" w:lineRule="auto"/>
        <w:jc w:val="center"/>
        <w:rPr>
          <w:rFonts w:ascii="Century Gothic" w:hAnsi="Century Gothic"/>
          <w:b/>
        </w:rPr>
      </w:pPr>
      <w:r>
        <w:rPr>
          <w:rFonts w:ascii="Century Gothic" w:hAnsi="Century Gothic"/>
          <w:b/>
        </w:rPr>
        <w:t xml:space="preserve">R E S U E LVE </w:t>
      </w:r>
    </w:p>
    <w:p w14:paraId="2B4E0A95" w14:textId="77777777" w:rsidR="00A2632D" w:rsidRDefault="00A2632D" w:rsidP="00E15824">
      <w:pPr>
        <w:widowControl w:val="0"/>
        <w:autoSpaceDE w:val="0"/>
        <w:autoSpaceDN w:val="0"/>
        <w:adjustRightInd w:val="0"/>
        <w:spacing w:line="360" w:lineRule="auto"/>
        <w:rPr>
          <w:rFonts w:ascii="Century Gothic" w:hAnsi="Century Gothic"/>
        </w:rPr>
      </w:pPr>
    </w:p>
    <w:p w14:paraId="6BF8ADCC" w14:textId="77777777" w:rsidR="00A2632D" w:rsidRPr="00EF5F2F" w:rsidRDefault="00A2632D" w:rsidP="00E15824">
      <w:pPr>
        <w:widowControl w:val="0"/>
        <w:autoSpaceDE w:val="0"/>
        <w:autoSpaceDN w:val="0"/>
        <w:adjustRightInd w:val="0"/>
        <w:spacing w:line="360" w:lineRule="auto"/>
        <w:jc w:val="both"/>
        <w:rPr>
          <w:rFonts w:ascii="Century Gothic" w:hAnsi="Century Gothic"/>
        </w:rPr>
      </w:pPr>
      <w:r>
        <w:rPr>
          <w:rFonts w:ascii="Century Gothic" w:hAnsi="Century Gothic"/>
          <w:b/>
        </w:rPr>
        <w:t>Primero:</w:t>
      </w:r>
      <w:r w:rsidRPr="00EF5F2F">
        <w:rPr>
          <w:rFonts w:ascii="Century Gothic" w:hAnsi="Century Gothic"/>
          <w:b/>
        </w:rPr>
        <w:t xml:space="preserve"> </w:t>
      </w:r>
      <w:r>
        <w:rPr>
          <w:rFonts w:ascii="Century Gothic" w:hAnsi="Century Gothic"/>
          <w:b/>
        </w:rPr>
        <w:t>DECLÁRA</w:t>
      </w:r>
      <w:r w:rsidRPr="00EF5F2F">
        <w:rPr>
          <w:rFonts w:ascii="Century Gothic" w:hAnsi="Century Gothic"/>
          <w:b/>
        </w:rPr>
        <w:t xml:space="preserve">SE </w:t>
      </w:r>
      <w:r w:rsidRPr="00246AF6">
        <w:rPr>
          <w:rFonts w:ascii="Century Gothic" w:hAnsi="Century Gothic"/>
        </w:rPr>
        <w:t>la nulidad de todo lo actuado en el presente proceso</w:t>
      </w:r>
      <w:r>
        <w:rPr>
          <w:rFonts w:ascii="Century Gothic" w:hAnsi="Century Gothic"/>
        </w:rPr>
        <w:t>, por las razones expuestas en la parte motiva.</w:t>
      </w:r>
    </w:p>
    <w:p w14:paraId="3E3069BD" w14:textId="77777777" w:rsidR="00A2632D" w:rsidRPr="00EF5F2F" w:rsidRDefault="00A2632D" w:rsidP="00E15824">
      <w:pPr>
        <w:widowControl w:val="0"/>
        <w:autoSpaceDE w:val="0"/>
        <w:autoSpaceDN w:val="0"/>
        <w:adjustRightInd w:val="0"/>
        <w:spacing w:line="360" w:lineRule="auto"/>
        <w:jc w:val="both"/>
        <w:rPr>
          <w:rFonts w:ascii="Century Gothic" w:hAnsi="Century Gothic"/>
          <w:b/>
        </w:rPr>
      </w:pPr>
    </w:p>
    <w:p w14:paraId="62555099" w14:textId="77777777" w:rsidR="00A2632D" w:rsidRPr="00A57E31" w:rsidRDefault="00A2632D" w:rsidP="00E15824">
      <w:pPr>
        <w:widowControl w:val="0"/>
        <w:autoSpaceDE w:val="0"/>
        <w:autoSpaceDN w:val="0"/>
        <w:adjustRightInd w:val="0"/>
        <w:spacing w:line="360" w:lineRule="auto"/>
        <w:jc w:val="both"/>
        <w:rPr>
          <w:rFonts w:ascii="Century Gothic" w:hAnsi="Century Gothic"/>
        </w:rPr>
      </w:pPr>
      <w:r>
        <w:rPr>
          <w:rFonts w:ascii="Century Gothic" w:hAnsi="Century Gothic"/>
          <w:b/>
        </w:rPr>
        <w:t>Segundo:</w:t>
      </w:r>
      <w:r w:rsidRPr="00EF5F2F">
        <w:rPr>
          <w:rFonts w:ascii="Century Gothic" w:hAnsi="Century Gothic"/>
          <w:b/>
        </w:rPr>
        <w:t xml:space="preserve"> </w:t>
      </w:r>
      <w:r w:rsidRPr="00A57E31">
        <w:rPr>
          <w:rFonts w:ascii="Century Gothic" w:hAnsi="Century Gothic"/>
        </w:rPr>
        <w:t>En firme esta providencia,</w:t>
      </w:r>
      <w:r>
        <w:rPr>
          <w:rFonts w:ascii="Century Gothic" w:hAnsi="Century Gothic"/>
          <w:b/>
        </w:rPr>
        <w:t xml:space="preserve"> ENVÍESE </w:t>
      </w:r>
      <w:r>
        <w:rPr>
          <w:rFonts w:ascii="Century Gothic" w:hAnsi="Century Gothic"/>
        </w:rPr>
        <w:t xml:space="preserve">el expediente a la Cámara de Comercio de Cartagena, para lo de su cargo. </w:t>
      </w:r>
    </w:p>
    <w:p w14:paraId="7E01EEB8" w14:textId="77777777" w:rsidR="00A2632D" w:rsidRDefault="00A2632D" w:rsidP="00E15824">
      <w:pPr>
        <w:widowControl w:val="0"/>
        <w:autoSpaceDE w:val="0"/>
        <w:autoSpaceDN w:val="0"/>
        <w:adjustRightInd w:val="0"/>
        <w:spacing w:line="360" w:lineRule="auto"/>
        <w:jc w:val="both"/>
        <w:rPr>
          <w:rFonts w:ascii="Century Gothic" w:hAnsi="Century Gothic"/>
          <w:b/>
        </w:rPr>
      </w:pPr>
    </w:p>
    <w:p w14:paraId="2B3013B0" w14:textId="77777777" w:rsidR="00A2632D" w:rsidRPr="00227EB4" w:rsidRDefault="00A2632D" w:rsidP="00E15824">
      <w:pPr>
        <w:widowControl w:val="0"/>
        <w:autoSpaceDE w:val="0"/>
        <w:autoSpaceDN w:val="0"/>
        <w:adjustRightInd w:val="0"/>
        <w:spacing w:line="360" w:lineRule="auto"/>
        <w:jc w:val="both"/>
        <w:rPr>
          <w:rFonts w:ascii="Century Gothic" w:hAnsi="Century Gothic"/>
        </w:rPr>
      </w:pPr>
      <w:r>
        <w:rPr>
          <w:rFonts w:ascii="Century Gothic" w:hAnsi="Century Gothic"/>
          <w:b/>
        </w:rPr>
        <w:t>Tercero:</w:t>
      </w:r>
      <w:r w:rsidRPr="00EF5F2F">
        <w:rPr>
          <w:rFonts w:ascii="Century Gothic" w:hAnsi="Century Gothic"/>
        </w:rPr>
        <w:t xml:space="preserve"> </w:t>
      </w:r>
      <w:r w:rsidRPr="00227EB4">
        <w:rPr>
          <w:rFonts w:ascii="Century Gothic" w:hAnsi="Century Gothic"/>
          <w:b/>
        </w:rPr>
        <w:t xml:space="preserve">CONCÉDESE </w:t>
      </w:r>
      <w:r w:rsidRPr="00227EB4">
        <w:rPr>
          <w:rFonts w:ascii="Century Gothic" w:hAnsi="Century Gothic"/>
        </w:rPr>
        <w:t xml:space="preserve">el término de seis (6) meses, contados a partir de la ejecutoria de la presente providencia, para que, si a bien lo tiene, la </w:t>
      </w:r>
      <w:r>
        <w:rPr>
          <w:rFonts w:ascii="Century Gothic" w:hAnsi="Century Gothic"/>
        </w:rPr>
        <w:t xml:space="preserve">unión </w:t>
      </w:r>
      <w:r w:rsidRPr="00227EB4">
        <w:rPr>
          <w:rFonts w:ascii="Century Gothic" w:hAnsi="Century Gothic"/>
        </w:rPr>
        <w:t>temporal Tekasu Ltda.</w:t>
      </w:r>
      <w:r w:rsidR="006A1654">
        <w:rPr>
          <w:rFonts w:ascii="Century Gothic" w:hAnsi="Century Gothic"/>
        </w:rPr>
        <w:t xml:space="preserve"> - </w:t>
      </w:r>
      <w:r w:rsidRPr="00227EB4">
        <w:rPr>
          <w:rFonts w:ascii="Century Gothic" w:hAnsi="Century Gothic"/>
        </w:rPr>
        <w:t>Ary Construcciones y Cia. Ltda.</w:t>
      </w:r>
      <w:r w:rsidR="006A1654">
        <w:rPr>
          <w:rFonts w:ascii="Century Gothic" w:hAnsi="Century Gothic"/>
        </w:rPr>
        <w:t xml:space="preserve"> - </w:t>
      </w:r>
      <w:r w:rsidRPr="00227EB4">
        <w:rPr>
          <w:rFonts w:ascii="Century Gothic" w:hAnsi="Century Gothic"/>
        </w:rPr>
        <w:t>Z.R. Ingeniería</w:t>
      </w:r>
      <w:r>
        <w:rPr>
          <w:rFonts w:ascii="Century Gothic" w:hAnsi="Century Gothic"/>
        </w:rPr>
        <w:t xml:space="preserve"> </w:t>
      </w:r>
      <w:r w:rsidRPr="00227EB4">
        <w:rPr>
          <w:rFonts w:ascii="Century Gothic" w:hAnsi="Century Gothic" w:cs="Arial"/>
        </w:rPr>
        <w:t xml:space="preserve">solicite la convocatoria de un Tribunal de Arbitramento que dirima </w:t>
      </w:r>
      <w:r w:rsidRPr="00227EB4">
        <w:rPr>
          <w:rFonts w:ascii="Century Gothic" w:hAnsi="Century Gothic"/>
        </w:rPr>
        <w:t xml:space="preserve">las diferencias planteadas entre las partes en torno a las pretensiones objeto de la demanda que dio inicio al presente proceso. </w:t>
      </w:r>
    </w:p>
    <w:p w14:paraId="6E7010BD" w14:textId="77777777" w:rsidR="00A2632D" w:rsidRPr="00227EB4" w:rsidRDefault="00A2632D" w:rsidP="00E15824">
      <w:pPr>
        <w:widowControl w:val="0"/>
        <w:autoSpaceDE w:val="0"/>
        <w:autoSpaceDN w:val="0"/>
        <w:adjustRightInd w:val="0"/>
        <w:spacing w:line="360" w:lineRule="auto"/>
        <w:jc w:val="both"/>
        <w:rPr>
          <w:rFonts w:ascii="Century Gothic" w:hAnsi="Century Gothic"/>
        </w:rPr>
      </w:pPr>
    </w:p>
    <w:p w14:paraId="5C3F1FA4" w14:textId="77777777" w:rsidR="00A2632D" w:rsidRDefault="00A2632D" w:rsidP="00E15824">
      <w:pPr>
        <w:widowControl w:val="0"/>
        <w:autoSpaceDE w:val="0"/>
        <w:autoSpaceDN w:val="0"/>
        <w:adjustRightInd w:val="0"/>
        <w:spacing w:line="360" w:lineRule="auto"/>
        <w:jc w:val="both"/>
        <w:rPr>
          <w:rFonts w:ascii="Century Gothic" w:hAnsi="Century Gothic"/>
        </w:rPr>
      </w:pPr>
      <w:r w:rsidRPr="00227EB4">
        <w:rPr>
          <w:rFonts w:ascii="Century Gothic" w:hAnsi="Century Gothic"/>
        </w:rPr>
        <w:t xml:space="preserve">Para efectos del conteo del término de caducidad de la acción, el Tribunal de Arbitramento tendrá en cuenta la fecha de presentación de la demanda que originó este proceso, esto es, el </w:t>
      </w:r>
      <w:r>
        <w:rPr>
          <w:rFonts w:ascii="Century Gothic" w:hAnsi="Century Gothic"/>
        </w:rPr>
        <w:t>3 de septiembre de 2003.</w:t>
      </w:r>
    </w:p>
    <w:p w14:paraId="7CADAF84" w14:textId="77777777" w:rsidR="00A2632D" w:rsidRDefault="00A2632D" w:rsidP="00E15824">
      <w:pPr>
        <w:widowControl w:val="0"/>
        <w:autoSpaceDE w:val="0"/>
        <w:autoSpaceDN w:val="0"/>
        <w:adjustRightInd w:val="0"/>
        <w:spacing w:line="360" w:lineRule="auto"/>
        <w:jc w:val="both"/>
        <w:rPr>
          <w:rFonts w:ascii="Century Gothic" w:hAnsi="Century Gothic"/>
        </w:rPr>
      </w:pPr>
    </w:p>
    <w:p w14:paraId="2E334C19" w14:textId="77777777" w:rsidR="00A2632D" w:rsidRPr="00EF5F2F" w:rsidRDefault="00A2632D" w:rsidP="00E15824">
      <w:pPr>
        <w:widowControl w:val="0"/>
        <w:autoSpaceDE w:val="0"/>
        <w:autoSpaceDN w:val="0"/>
        <w:adjustRightInd w:val="0"/>
        <w:spacing w:line="360" w:lineRule="auto"/>
        <w:jc w:val="both"/>
        <w:rPr>
          <w:rFonts w:ascii="Century Gothic" w:hAnsi="Century Gothic" w:cs="Arial"/>
        </w:rPr>
      </w:pPr>
      <w:r w:rsidRPr="00192869">
        <w:rPr>
          <w:rFonts w:ascii="Century Gothic" w:hAnsi="Century Gothic"/>
          <w:b/>
        </w:rPr>
        <w:t>Cuarto</w:t>
      </w:r>
      <w:r>
        <w:rPr>
          <w:rFonts w:ascii="Century Gothic" w:hAnsi="Century Gothic"/>
          <w:b/>
        </w:rPr>
        <w:t>:</w:t>
      </w:r>
      <w:r w:rsidRPr="00192869">
        <w:rPr>
          <w:rFonts w:ascii="Century Gothic" w:hAnsi="Century Gothic"/>
          <w:b/>
        </w:rPr>
        <w:t xml:space="preserve"> </w:t>
      </w:r>
      <w:r>
        <w:rPr>
          <w:rFonts w:ascii="Century Gothic" w:hAnsi="Century Gothic"/>
        </w:rPr>
        <w:t>Comuníquese esta decisión al Tribunal Administrativo de origen, para lo que corresponda.</w:t>
      </w:r>
    </w:p>
    <w:p w14:paraId="00FB195A" w14:textId="77777777" w:rsidR="00A2632D" w:rsidRDefault="00A2632D" w:rsidP="00E15824">
      <w:pPr>
        <w:widowControl w:val="0"/>
        <w:autoSpaceDE w:val="0"/>
        <w:autoSpaceDN w:val="0"/>
        <w:adjustRightInd w:val="0"/>
        <w:ind w:firstLine="567"/>
        <w:rPr>
          <w:rFonts w:ascii="Century Gothic" w:hAnsi="Century Gothic"/>
          <w:b/>
        </w:rPr>
      </w:pPr>
    </w:p>
    <w:p w14:paraId="3C084300" w14:textId="77777777" w:rsidR="00A2632D" w:rsidRPr="00EF5F2F" w:rsidRDefault="00A2632D" w:rsidP="00E15824">
      <w:pPr>
        <w:widowControl w:val="0"/>
        <w:autoSpaceDE w:val="0"/>
        <w:autoSpaceDN w:val="0"/>
        <w:adjustRightInd w:val="0"/>
        <w:ind w:firstLine="567"/>
        <w:rPr>
          <w:rFonts w:ascii="Century Gothic" w:hAnsi="Century Gothic"/>
          <w:b/>
        </w:rPr>
      </w:pPr>
    </w:p>
    <w:p w14:paraId="23FF1E69" w14:textId="77777777" w:rsidR="00A2632D" w:rsidRPr="00EF5F2F" w:rsidRDefault="00A2632D" w:rsidP="00E15824">
      <w:pPr>
        <w:widowControl w:val="0"/>
        <w:autoSpaceDE w:val="0"/>
        <w:autoSpaceDN w:val="0"/>
        <w:adjustRightInd w:val="0"/>
        <w:rPr>
          <w:rFonts w:ascii="Century Gothic" w:hAnsi="Century Gothic"/>
          <w:b/>
        </w:rPr>
      </w:pPr>
      <w:r w:rsidRPr="00EF5F2F">
        <w:rPr>
          <w:rFonts w:ascii="Century Gothic" w:hAnsi="Century Gothic"/>
          <w:b/>
        </w:rPr>
        <w:t>NOTIFÍQUESE</w:t>
      </w:r>
      <w:r>
        <w:rPr>
          <w:rFonts w:ascii="Century Gothic" w:hAnsi="Century Gothic"/>
          <w:b/>
        </w:rPr>
        <w:t xml:space="preserve">, COMUNÍQUESE </w:t>
      </w:r>
      <w:r w:rsidRPr="00EF5F2F">
        <w:rPr>
          <w:rFonts w:ascii="Century Gothic" w:hAnsi="Century Gothic"/>
          <w:b/>
        </w:rPr>
        <w:t>Y CÚMPLASE.</w:t>
      </w:r>
    </w:p>
    <w:p w14:paraId="0D3E650F" w14:textId="77777777" w:rsidR="00A2632D" w:rsidRPr="00EF5F2F" w:rsidRDefault="00A2632D" w:rsidP="00E15824">
      <w:pPr>
        <w:widowControl w:val="0"/>
        <w:autoSpaceDE w:val="0"/>
        <w:autoSpaceDN w:val="0"/>
        <w:adjustRightInd w:val="0"/>
        <w:ind w:firstLine="567"/>
        <w:rPr>
          <w:rFonts w:ascii="Century Gothic" w:hAnsi="Century Gothic"/>
          <w:b/>
        </w:rPr>
      </w:pPr>
    </w:p>
    <w:p w14:paraId="2DB7ABCB"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7A465F30"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78BEA979"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45787CAB"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3A5393BF"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3357E83F"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4E7574E7" w14:textId="77777777" w:rsidR="00A2632D" w:rsidRPr="00EF5F2F" w:rsidRDefault="00A2632D" w:rsidP="00E15824">
      <w:pPr>
        <w:widowControl w:val="0"/>
        <w:autoSpaceDE w:val="0"/>
        <w:autoSpaceDN w:val="0"/>
        <w:adjustRightInd w:val="0"/>
        <w:ind w:firstLine="567"/>
        <w:jc w:val="center"/>
        <w:rPr>
          <w:rFonts w:ascii="Century Gothic" w:hAnsi="Century Gothic"/>
          <w:b/>
        </w:rPr>
      </w:pPr>
    </w:p>
    <w:p w14:paraId="0B12AEB8" w14:textId="77777777" w:rsidR="00A2632D" w:rsidRPr="00ED5835" w:rsidRDefault="00A2632D" w:rsidP="00E15824">
      <w:pPr>
        <w:widowControl w:val="0"/>
        <w:autoSpaceDE w:val="0"/>
        <w:autoSpaceDN w:val="0"/>
        <w:adjustRightInd w:val="0"/>
        <w:ind w:firstLine="567"/>
        <w:jc w:val="center"/>
        <w:rPr>
          <w:rFonts w:ascii="Century Gothic" w:hAnsi="Century Gothic"/>
          <w:b/>
        </w:rPr>
      </w:pPr>
      <w:r w:rsidRPr="00EF5F2F">
        <w:rPr>
          <w:rFonts w:ascii="Century Gothic" w:hAnsi="Century Gothic"/>
          <w:b/>
        </w:rPr>
        <w:t>CARLOS ALBERTO ZAMBRANO BARRERA</w:t>
      </w:r>
      <w:r w:rsidRPr="00ED5835">
        <w:rPr>
          <w:rFonts w:ascii="Century Gothic" w:hAnsi="Century Gothic"/>
          <w:b/>
        </w:rPr>
        <w:t xml:space="preserve"> </w:t>
      </w:r>
    </w:p>
    <w:p w14:paraId="66C5726D" w14:textId="77777777" w:rsidR="00A2632D" w:rsidRPr="00ED5835" w:rsidRDefault="00A2632D" w:rsidP="00E15824">
      <w:pPr>
        <w:widowControl w:val="0"/>
        <w:autoSpaceDE w:val="0"/>
        <w:autoSpaceDN w:val="0"/>
        <w:adjustRightInd w:val="0"/>
        <w:ind w:firstLine="567"/>
        <w:jc w:val="center"/>
        <w:rPr>
          <w:rFonts w:ascii="Century Gothic" w:hAnsi="Century Gothic" w:cs="Arial"/>
        </w:rPr>
      </w:pPr>
    </w:p>
    <w:p w14:paraId="3FC3B888" w14:textId="77777777" w:rsidR="00A2632D" w:rsidRDefault="00A2632D"/>
    <w:p w14:paraId="528B19B0" w14:textId="77777777" w:rsidR="00EC33D1" w:rsidRDefault="00EC33D1" w:rsidP="00EC33D1"/>
    <w:p w14:paraId="3D655E70" w14:textId="77777777" w:rsidR="000907FE" w:rsidRDefault="000907FE"/>
    <w:sectPr w:rsidR="000907FE" w:rsidSect="00E15824">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DD301" w14:textId="77777777" w:rsidR="00505D10" w:rsidRDefault="00505D10" w:rsidP="00A2632D">
      <w:r>
        <w:separator/>
      </w:r>
    </w:p>
  </w:endnote>
  <w:endnote w:type="continuationSeparator" w:id="0">
    <w:p w14:paraId="7949D46F" w14:textId="77777777" w:rsidR="00505D10" w:rsidRDefault="00505D10" w:rsidP="00A2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125E" w14:textId="77777777" w:rsidR="00505D10" w:rsidRDefault="00505D10" w:rsidP="00A2632D">
      <w:r>
        <w:separator/>
      </w:r>
    </w:p>
  </w:footnote>
  <w:footnote w:type="continuationSeparator" w:id="0">
    <w:p w14:paraId="252878EC" w14:textId="77777777" w:rsidR="00505D10" w:rsidRDefault="00505D10" w:rsidP="00A2632D">
      <w:r>
        <w:continuationSeparator/>
      </w:r>
    </w:p>
  </w:footnote>
  <w:footnote w:id="1">
    <w:p w14:paraId="15BCB15A" w14:textId="77777777" w:rsidR="00A2632D" w:rsidRPr="004340B9" w:rsidRDefault="00A2632D" w:rsidP="00E15824">
      <w:pPr>
        <w:pStyle w:val="Textonotapie"/>
        <w:jc w:val="both"/>
        <w:rPr>
          <w:rFonts w:ascii="Century Gothic" w:hAnsi="Century Gothic"/>
          <w:sz w:val="18"/>
          <w:szCs w:val="18"/>
          <w:lang w:val="es-MX"/>
        </w:rPr>
      </w:pPr>
      <w:r w:rsidRPr="004340B9">
        <w:rPr>
          <w:rStyle w:val="Refdenotaalpie"/>
          <w:rFonts w:ascii="Century Gothic" w:hAnsi="Century Gothic"/>
          <w:sz w:val="18"/>
          <w:szCs w:val="18"/>
        </w:rPr>
        <w:footnoteRef/>
      </w:r>
      <w:r w:rsidRPr="004340B9">
        <w:rPr>
          <w:rFonts w:ascii="Century Gothic" w:hAnsi="Century Gothic"/>
          <w:sz w:val="18"/>
          <w:szCs w:val="18"/>
        </w:rPr>
        <w:t xml:space="preserve"> </w:t>
      </w:r>
      <w:r w:rsidRPr="004340B9">
        <w:rPr>
          <w:rFonts w:ascii="Century Gothic" w:hAnsi="Century Gothic"/>
          <w:sz w:val="18"/>
          <w:szCs w:val="18"/>
          <w:lang w:val="es-MX"/>
        </w:rPr>
        <w:t xml:space="preserve">Consejo de Estado, Sala de lo Contencioso Administrativo, Sección Tercera, auto de unificación del 18 de abril del 2013, exp. 17.859 </w:t>
      </w:r>
    </w:p>
  </w:footnote>
  <w:footnote w:id="2">
    <w:p w14:paraId="02EC80B2" w14:textId="77777777" w:rsidR="00A2632D" w:rsidRPr="004340B9" w:rsidRDefault="00A2632D" w:rsidP="00E15824">
      <w:pPr>
        <w:pStyle w:val="Textonotapie"/>
        <w:jc w:val="both"/>
        <w:rPr>
          <w:rFonts w:ascii="Century Gothic" w:hAnsi="Century Gothic"/>
          <w:sz w:val="18"/>
          <w:szCs w:val="18"/>
          <w:lang w:val="es-CO"/>
        </w:rPr>
      </w:pPr>
      <w:r w:rsidRPr="004340B9">
        <w:rPr>
          <w:rStyle w:val="Refdenotaalpie"/>
          <w:rFonts w:ascii="Century Gothic" w:hAnsi="Century Gothic"/>
          <w:sz w:val="18"/>
          <w:szCs w:val="18"/>
        </w:rPr>
        <w:footnoteRef/>
      </w:r>
      <w:r w:rsidRPr="004340B9">
        <w:rPr>
          <w:rFonts w:ascii="Century Gothic" w:hAnsi="Century Gothic"/>
          <w:sz w:val="18"/>
          <w:szCs w:val="18"/>
        </w:rPr>
        <w:t xml:space="preserve"> </w:t>
      </w:r>
      <w:r w:rsidRPr="004340B9">
        <w:rPr>
          <w:rFonts w:ascii="Century Gothic" w:hAnsi="Century Gothic"/>
          <w:sz w:val="18"/>
          <w:szCs w:val="18"/>
          <w:lang w:val="es-CO"/>
        </w:rPr>
        <w:t>Consejo de Estado, Sala de lo Contencioso Administrativo, Sección Tercera, sentencia del 4 de diciembre de 2006, exp. 32.871.</w:t>
      </w:r>
    </w:p>
  </w:footnote>
  <w:footnote w:id="3">
    <w:p w14:paraId="4611EC94" w14:textId="77777777" w:rsidR="00A2632D" w:rsidRPr="007E7E10" w:rsidRDefault="00A2632D" w:rsidP="00E15824">
      <w:pPr>
        <w:pStyle w:val="Textonotapie"/>
        <w:jc w:val="both"/>
        <w:rPr>
          <w:rFonts w:ascii="Century Gothic" w:hAnsi="Century Gothic"/>
          <w:sz w:val="18"/>
          <w:szCs w:val="18"/>
          <w:lang w:val="es-CO"/>
        </w:rPr>
      </w:pPr>
      <w:r w:rsidRPr="007E7E10">
        <w:rPr>
          <w:rStyle w:val="Refdenotaalpie"/>
          <w:rFonts w:ascii="Century Gothic" w:hAnsi="Century Gothic"/>
          <w:sz w:val="18"/>
          <w:szCs w:val="18"/>
        </w:rPr>
        <w:footnoteRef/>
      </w:r>
      <w:r w:rsidRPr="007E7E10">
        <w:rPr>
          <w:rFonts w:ascii="Century Gothic" w:hAnsi="Century Gothic"/>
          <w:sz w:val="18"/>
          <w:szCs w:val="18"/>
        </w:rPr>
        <w:t xml:space="preserve"> </w:t>
      </w:r>
      <w:r w:rsidRPr="007E7E10">
        <w:rPr>
          <w:rFonts w:ascii="Century Gothic" w:hAnsi="Century Gothic"/>
          <w:sz w:val="18"/>
          <w:szCs w:val="18"/>
          <w:lang w:val="es-CO"/>
        </w:rPr>
        <w:t>Consejo de Estado, Sección Tercera, Subsección A, auto del 19 de marzo de 2015,  expediente: 19001233100020010113601 (41.365), Consejero Ponente: Carlos Alberto Zambrano Barrera.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D1"/>
    <w:rsid w:val="00037CFD"/>
    <w:rsid w:val="000907FE"/>
    <w:rsid w:val="001025E4"/>
    <w:rsid w:val="00137F13"/>
    <w:rsid w:val="001A1BCD"/>
    <w:rsid w:val="001A64B1"/>
    <w:rsid w:val="00223844"/>
    <w:rsid w:val="002263D1"/>
    <w:rsid w:val="002C31EB"/>
    <w:rsid w:val="002D02E8"/>
    <w:rsid w:val="002E4A08"/>
    <w:rsid w:val="00312B9E"/>
    <w:rsid w:val="003379F4"/>
    <w:rsid w:val="003B217F"/>
    <w:rsid w:val="003C28AA"/>
    <w:rsid w:val="004572E0"/>
    <w:rsid w:val="00481AAA"/>
    <w:rsid w:val="004A1DD4"/>
    <w:rsid w:val="00505D10"/>
    <w:rsid w:val="00530314"/>
    <w:rsid w:val="005B0A56"/>
    <w:rsid w:val="005D0389"/>
    <w:rsid w:val="005E6DAA"/>
    <w:rsid w:val="006177B2"/>
    <w:rsid w:val="006835FD"/>
    <w:rsid w:val="006A1654"/>
    <w:rsid w:val="00720D71"/>
    <w:rsid w:val="007210E3"/>
    <w:rsid w:val="00765639"/>
    <w:rsid w:val="007A1250"/>
    <w:rsid w:val="007B741C"/>
    <w:rsid w:val="00853153"/>
    <w:rsid w:val="00862A78"/>
    <w:rsid w:val="00900D97"/>
    <w:rsid w:val="009227ED"/>
    <w:rsid w:val="009903A6"/>
    <w:rsid w:val="00990B22"/>
    <w:rsid w:val="00A2632D"/>
    <w:rsid w:val="00B11766"/>
    <w:rsid w:val="00B25C7E"/>
    <w:rsid w:val="00B34E8E"/>
    <w:rsid w:val="00B476DD"/>
    <w:rsid w:val="00B65AB6"/>
    <w:rsid w:val="00BB4095"/>
    <w:rsid w:val="00BE5929"/>
    <w:rsid w:val="00C4759B"/>
    <w:rsid w:val="00D35958"/>
    <w:rsid w:val="00D36F7D"/>
    <w:rsid w:val="00DB6DEF"/>
    <w:rsid w:val="00DC37C5"/>
    <w:rsid w:val="00DE2981"/>
    <w:rsid w:val="00E1313F"/>
    <w:rsid w:val="00E15824"/>
    <w:rsid w:val="00E31479"/>
    <w:rsid w:val="00E84C00"/>
    <w:rsid w:val="00EC33D1"/>
    <w:rsid w:val="00ED3FD4"/>
    <w:rsid w:val="00F0462A"/>
    <w:rsid w:val="00F852C7"/>
    <w:rsid w:val="00FD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3643"/>
  <w15:chartTrackingRefBased/>
  <w15:docId w15:val="{16B34410-82C6-41B7-8F2D-151ED07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qFormat/>
    <w:rsid w:val="00A2632D"/>
    <w:pPr>
      <w:keepNext/>
      <w:spacing w:line="360" w:lineRule="auto"/>
      <w:ind w:right="-1"/>
      <w:jc w:val="both"/>
      <w:outlineLvl w:val="2"/>
    </w:pPr>
    <w:rPr>
      <w:rFonts w:ascii="Garamond" w:eastAsia="Times New Roman" w:hAnsi="Garamond"/>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A2632D"/>
    <w:rPr>
      <w:rFonts w:ascii="Garamond" w:eastAsia="Times New Roman" w:hAnsi="Garamond"/>
      <w:bCs/>
      <w:sz w:val="28"/>
      <w:szCs w:val="24"/>
      <w:lang w:eastAsia="es-ES"/>
    </w:rPr>
  </w:style>
  <w:style w:type="paragraph" w:styleId="Textoindependiente">
    <w:name w:val="Body Text"/>
    <w:basedOn w:val="Normal"/>
    <w:link w:val="TextoindependienteCar"/>
    <w:rsid w:val="00A2632D"/>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rsid w:val="00A2632D"/>
    <w:rPr>
      <w:rFonts w:ascii="Garamond" w:eastAsia="Times New Roman" w:hAnsi="Garamond"/>
      <w:bCs/>
      <w:sz w:val="24"/>
      <w:szCs w:val="24"/>
      <w:lang w:eastAsia="es-ES"/>
    </w:rPr>
  </w:style>
  <w:style w:type="paragraph" w:styleId="Textoindependiente3">
    <w:name w:val="Body Text 3"/>
    <w:basedOn w:val="Normal"/>
    <w:link w:val="Textoindependiente3Car"/>
    <w:rsid w:val="00A2632D"/>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rsid w:val="00A2632D"/>
    <w:rPr>
      <w:rFonts w:ascii="Garamond" w:eastAsia="Times New Roman" w:hAnsi="Garamond"/>
      <w:bCs/>
      <w:sz w:val="28"/>
      <w:szCs w:val="24"/>
      <w:lang w:eastAsia="es-ES"/>
    </w:rPr>
  </w:style>
  <w:style w:type="paragraph" w:styleId="Textoindependiente2">
    <w:name w:val="Body Text 2"/>
    <w:basedOn w:val="Normal"/>
    <w:link w:val="Textoindependiente2Car"/>
    <w:rsid w:val="00A2632D"/>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link w:val="Textoindependiente2"/>
    <w:rsid w:val="00A2632D"/>
    <w:rPr>
      <w:rFonts w:ascii="Garamond" w:eastAsia="Times New Roman" w:hAnsi="Garamond"/>
      <w:sz w:val="28"/>
      <w:szCs w:val="24"/>
      <w:lang w:eastAsia="es-ES"/>
    </w:rPr>
  </w:style>
  <w:style w:type="character" w:styleId="Refdenotaalpie">
    <w:name w:val="footnote reference"/>
    <w:aliases w:val="Texto de nota al pie,Ref. de nota al pie 2,Pie de Página,FC,referencia nota al pie,Nota de pie,Texto nota al pie,Appel note de bas de page,Texto de nota al p,Pie de Pàgina,F,Pie de P_gin,Pie de P_,Texto de nota al pi,Pie de P_g,f,Ref"/>
    <w:semiHidden/>
    <w:rsid w:val="00A2632D"/>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A2632D"/>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A2632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A2632D"/>
    <w:rPr>
      <w:rFonts w:ascii="Arial" w:eastAsia="Times New Roman" w:hAnsi="Arial"/>
      <w:lang w:val="es-ES_tradnl" w:eastAsia="es-ES"/>
    </w:rPr>
  </w:style>
  <w:style w:type="paragraph" w:styleId="NormalWeb">
    <w:name w:val="Normal (Web)"/>
    <w:basedOn w:val="Normal"/>
    <w:uiPriority w:val="99"/>
    <w:unhideWhenUsed/>
    <w:rsid w:val="00A2632D"/>
    <w:pPr>
      <w:spacing w:before="100" w:beforeAutospacing="1" w:after="100" w:afterAutospacing="1"/>
    </w:pPr>
    <w:rPr>
      <w:rFonts w:ascii="Arial" w:eastAsia="Times New Roman" w:hAnsi="Arial" w:cs="Arial"/>
      <w:color w:val="000000"/>
      <w:sz w:val="24"/>
      <w:szCs w:val="24"/>
      <w:lang w:eastAsia="es-CO"/>
    </w:rPr>
  </w:style>
  <w:style w:type="paragraph" w:styleId="Lista2">
    <w:name w:val="List 2"/>
    <w:basedOn w:val="Normal"/>
    <w:rsid w:val="00A2632D"/>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independiente21">
    <w:name w:val="Texto independiente 21"/>
    <w:basedOn w:val="Normal"/>
    <w:rsid w:val="00A2632D"/>
    <w:pPr>
      <w:spacing w:line="360" w:lineRule="auto"/>
      <w:ind w:right="79" w:firstLine="1416"/>
      <w:jc w:val="both"/>
    </w:pPr>
    <w:rPr>
      <w:rFonts w:ascii="CG Times" w:eastAsia="Times New Roman" w:hAnsi="CG Times"/>
      <w:sz w:val="32"/>
      <w:szCs w:val="20"/>
      <w:lang w:eastAsia="es-ES"/>
    </w:rPr>
  </w:style>
  <w:style w:type="paragraph" w:customStyle="1" w:styleId="Textoindependiente211">
    <w:name w:val="Texto independiente 211"/>
    <w:basedOn w:val="Normal"/>
    <w:uiPriority w:val="99"/>
    <w:rsid w:val="00A2632D"/>
    <w:pPr>
      <w:spacing w:line="360" w:lineRule="auto"/>
      <w:ind w:right="79" w:firstLine="1416"/>
      <w:jc w:val="both"/>
    </w:pPr>
    <w:rPr>
      <w:rFonts w:ascii="CG Times" w:eastAsia="Times New Roman" w:hAnsi="CG Times"/>
      <w:sz w:val="32"/>
      <w:szCs w:val="20"/>
      <w:lang w:val="es-ES" w:eastAsia="es-ES"/>
    </w:rPr>
  </w:style>
  <w:style w:type="character" w:customStyle="1" w:styleId="apple-converted-space">
    <w:name w:val="apple-converted-space"/>
    <w:rsid w:val="00A2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D9E0994-2BC4-40E5-A8C1-9DDD948B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2ACCF-3864-4D6D-B93C-E311CBFDEA7B}">
  <ds:schemaRefs>
    <ds:schemaRef ds:uri="http://schemas.microsoft.com/sharepoint/v3/contenttype/forms"/>
  </ds:schemaRefs>
</ds:datastoreItem>
</file>

<file path=customXml/itemProps3.xml><?xml version="1.0" encoding="utf-8"?>
<ds:datastoreItem xmlns:ds="http://schemas.openxmlformats.org/officeDocument/2006/customXml" ds:itemID="{D9B6A119-97E4-4DD7-A7C5-BC9D0D47E7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4242</Words>
  <Characters>23333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FLOR ANGELA Aldana</cp:lastModifiedBy>
  <cp:revision>2</cp:revision>
  <dcterms:created xsi:type="dcterms:W3CDTF">2020-06-26T16:55:00Z</dcterms:created>
  <dcterms:modified xsi:type="dcterms:W3CDTF">2020-06-26T16:55:00Z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