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D49A8" w14:textId="7A380353" w:rsidR="004A7810" w:rsidRPr="001B312B" w:rsidRDefault="004A7810" w:rsidP="004A7810">
      <w:pPr>
        <w:rPr>
          <w:rFonts w:ascii="Arial" w:eastAsia="Verdana" w:hAnsi="Arial" w:cs="Arial"/>
          <w:sz w:val="22"/>
          <w:szCs w:val="22"/>
        </w:rPr>
      </w:pPr>
      <w:r w:rsidRPr="001B312B">
        <w:rPr>
          <w:rFonts w:ascii="Arial" w:hAnsi="Arial"/>
          <w:b/>
          <w:sz w:val="22"/>
          <w:szCs w:val="22"/>
        </w:rPr>
        <w:t>TUTELA CONTRA PROVIDENCIA</w:t>
      </w:r>
      <w:r w:rsidR="00B34F58">
        <w:rPr>
          <w:rFonts w:ascii="Arial" w:hAnsi="Arial"/>
          <w:b/>
          <w:sz w:val="22"/>
          <w:szCs w:val="22"/>
        </w:rPr>
        <w:t>S</w:t>
      </w:r>
      <w:r w:rsidRPr="001B312B">
        <w:rPr>
          <w:rFonts w:ascii="Arial" w:hAnsi="Arial"/>
          <w:b/>
          <w:sz w:val="22"/>
          <w:szCs w:val="22"/>
        </w:rPr>
        <w:t xml:space="preserve"> JUDICIAL</w:t>
      </w:r>
      <w:r w:rsidR="00B34F58">
        <w:rPr>
          <w:rFonts w:ascii="Arial" w:hAnsi="Arial"/>
          <w:b/>
          <w:sz w:val="22"/>
          <w:szCs w:val="22"/>
        </w:rPr>
        <w:t>ES</w:t>
      </w:r>
      <w:r w:rsidRPr="001B312B">
        <w:rPr>
          <w:rFonts w:ascii="Arial" w:hAnsi="Arial"/>
          <w:b/>
          <w:sz w:val="22"/>
          <w:szCs w:val="22"/>
        </w:rPr>
        <w:t xml:space="preserve"> </w:t>
      </w:r>
      <w:r w:rsidR="00B34F58">
        <w:rPr>
          <w:rFonts w:ascii="Arial" w:hAnsi="Arial"/>
          <w:b/>
          <w:sz w:val="22"/>
          <w:szCs w:val="22"/>
        </w:rPr>
        <w:t xml:space="preserve">- </w:t>
      </w:r>
      <w:r w:rsidRPr="001B312B">
        <w:rPr>
          <w:rFonts w:ascii="Arial" w:hAnsi="Arial"/>
          <w:b/>
          <w:bCs/>
          <w:sz w:val="22"/>
          <w:szCs w:val="22"/>
        </w:rPr>
        <w:t xml:space="preserve">Requisitos de procedibilidad </w:t>
      </w:r>
      <w:r w:rsidRPr="001B312B">
        <w:rPr>
          <w:rFonts w:ascii="Arial" w:eastAsia="Verdana" w:hAnsi="Arial" w:cs="Arial"/>
          <w:sz w:val="22"/>
          <w:szCs w:val="22"/>
        </w:rPr>
        <w:t xml:space="preserve"> </w:t>
      </w:r>
    </w:p>
    <w:p w14:paraId="442F9829" w14:textId="77777777" w:rsidR="004A7810" w:rsidRPr="001B312B" w:rsidRDefault="004A7810" w:rsidP="004A7810">
      <w:pPr>
        <w:shd w:val="clear" w:color="auto" w:fill="FFFFFF"/>
        <w:rPr>
          <w:rFonts w:ascii="Arial" w:eastAsia="Verdana" w:hAnsi="Arial" w:cs="Arial"/>
          <w:sz w:val="22"/>
          <w:szCs w:val="22"/>
        </w:rPr>
      </w:pPr>
    </w:p>
    <w:p w14:paraId="70ED2679" w14:textId="77777777" w:rsidR="004A7810" w:rsidRPr="001B312B" w:rsidRDefault="004A7810" w:rsidP="004A7810">
      <w:pPr>
        <w:shd w:val="clear" w:color="auto" w:fill="FFFFFF"/>
        <w:rPr>
          <w:rFonts w:ascii="Arial" w:eastAsia="Verdana" w:hAnsi="Arial" w:cs="Arial"/>
          <w:sz w:val="22"/>
          <w:szCs w:val="22"/>
        </w:rPr>
      </w:pPr>
      <w:r w:rsidRPr="001B312B">
        <w:rPr>
          <w:rFonts w:ascii="Arial" w:eastAsia="Verdana" w:hAnsi="Arial" w:cs="Arial"/>
          <w:sz w:val="22"/>
          <w:szCs w:val="22"/>
        </w:rPr>
        <w:t>Para tal efecto, el juez de tutela debe verificar el cumplimiento de los requisitos generales (procesales o de procedibilidad) que fijó la Corte Constitucional, en la sentencia C-590 de 2005. Esto es, la relevancia constitucional, el agotamiento de los medios ordinarios de defensa, la inmediatez y que no se esté cuestionando una sentencia de tutela.</w:t>
      </w:r>
    </w:p>
    <w:p w14:paraId="54E9D808" w14:textId="77777777" w:rsidR="004A7810" w:rsidRPr="001B312B" w:rsidRDefault="004A7810" w:rsidP="004A7810">
      <w:pPr>
        <w:rPr>
          <w:rFonts w:ascii="Arial" w:eastAsia="Verdana" w:hAnsi="Arial" w:cs="Arial"/>
          <w:b/>
          <w:sz w:val="22"/>
          <w:szCs w:val="22"/>
          <w:lang w:val="es-ES_tradnl" w:eastAsia="es-CO"/>
        </w:rPr>
      </w:pPr>
    </w:p>
    <w:p w14:paraId="7ED91124" w14:textId="53CB9F6C" w:rsidR="004A7810" w:rsidRDefault="00B34F58" w:rsidP="004A7810">
      <w:pPr>
        <w:rPr>
          <w:rFonts w:ascii="Arial" w:eastAsia="Verdana" w:hAnsi="Arial" w:cs="Arial"/>
          <w:b/>
          <w:bCs/>
          <w:sz w:val="22"/>
          <w:szCs w:val="22"/>
        </w:rPr>
      </w:pPr>
      <w:r w:rsidRPr="001B312B">
        <w:rPr>
          <w:rFonts w:ascii="Arial" w:hAnsi="Arial"/>
          <w:b/>
          <w:sz w:val="22"/>
          <w:szCs w:val="22"/>
        </w:rPr>
        <w:t>TUTELA CONTRA PROVIDENCIA</w:t>
      </w:r>
      <w:r>
        <w:rPr>
          <w:rFonts w:ascii="Arial" w:hAnsi="Arial"/>
          <w:b/>
          <w:sz w:val="22"/>
          <w:szCs w:val="22"/>
        </w:rPr>
        <w:t>S</w:t>
      </w:r>
      <w:r w:rsidRPr="001B312B">
        <w:rPr>
          <w:rFonts w:ascii="Arial" w:hAnsi="Arial"/>
          <w:b/>
          <w:sz w:val="22"/>
          <w:szCs w:val="22"/>
        </w:rPr>
        <w:t xml:space="preserve"> JUDICIAL</w:t>
      </w:r>
      <w:r>
        <w:rPr>
          <w:rFonts w:ascii="Arial" w:hAnsi="Arial"/>
          <w:b/>
          <w:sz w:val="22"/>
          <w:szCs w:val="22"/>
        </w:rPr>
        <w:t>ES</w:t>
      </w:r>
      <w:r w:rsidRPr="001B312B">
        <w:rPr>
          <w:rFonts w:ascii="Arial" w:hAnsi="Arial"/>
          <w:b/>
          <w:sz w:val="22"/>
          <w:szCs w:val="22"/>
        </w:rPr>
        <w:t xml:space="preserve"> </w:t>
      </w:r>
      <w:r w:rsidR="004A7810" w:rsidRPr="001B312B">
        <w:rPr>
          <w:rFonts w:ascii="Arial" w:hAnsi="Arial"/>
          <w:b/>
          <w:sz w:val="22"/>
          <w:szCs w:val="22"/>
        </w:rPr>
        <w:t xml:space="preserve">- </w:t>
      </w:r>
      <w:r w:rsidR="004A7810" w:rsidRPr="001B312B">
        <w:rPr>
          <w:rFonts w:ascii="Arial" w:eastAsia="Verdana" w:hAnsi="Arial" w:cs="Arial"/>
          <w:b/>
          <w:bCs/>
          <w:sz w:val="22"/>
          <w:szCs w:val="22"/>
        </w:rPr>
        <w:t>Defectos o vicios de fondo</w:t>
      </w:r>
    </w:p>
    <w:p w14:paraId="695A9C38" w14:textId="77777777" w:rsidR="00C14BD6" w:rsidRPr="001B312B" w:rsidRDefault="00C14BD6" w:rsidP="004A7810">
      <w:pPr>
        <w:rPr>
          <w:rFonts w:ascii="Arial" w:eastAsia="Verdana" w:hAnsi="Arial" w:cs="Arial"/>
          <w:b/>
          <w:sz w:val="22"/>
          <w:szCs w:val="22"/>
          <w:lang w:eastAsia="es-CO"/>
        </w:rPr>
      </w:pPr>
    </w:p>
    <w:p w14:paraId="68737D00" w14:textId="77777777" w:rsidR="004A7810" w:rsidRPr="001B312B" w:rsidRDefault="004A7810" w:rsidP="004A7810">
      <w:pPr>
        <w:rPr>
          <w:rFonts w:ascii="Arial" w:eastAsia="Verdana" w:hAnsi="Arial" w:cs="Arial"/>
          <w:sz w:val="22"/>
          <w:szCs w:val="22"/>
        </w:rPr>
      </w:pPr>
      <w:r w:rsidRPr="001B312B">
        <w:rPr>
          <w:rFonts w:ascii="Arial" w:eastAsia="Verdana" w:hAnsi="Arial" w:cs="Arial"/>
          <w:sz w:val="22"/>
          <w:szCs w:val="22"/>
        </w:rPr>
        <w:t xml:space="preserve">Una vez la acción de tutela supere el estudio de las causales procesales, el juez puede conceder la protección, siempre que advierta la presencia de alguno de los siguientes defectos o vicios de fondo, que miran más hacia la prosperidad de la tutela: </w:t>
      </w:r>
      <w:r w:rsidRPr="001B312B">
        <w:rPr>
          <w:rFonts w:ascii="Arial" w:eastAsia="Verdana" w:hAnsi="Arial" w:cs="Arial"/>
          <w:b/>
          <w:sz w:val="22"/>
          <w:szCs w:val="22"/>
        </w:rPr>
        <w:t xml:space="preserve">(i) </w:t>
      </w:r>
      <w:r w:rsidRPr="001B312B">
        <w:rPr>
          <w:rFonts w:ascii="Arial" w:eastAsia="Verdana" w:hAnsi="Arial" w:cs="Arial"/>
          <w:sz w:val="22"/>
          <w:szCs w:val="22"/>
        </w:rPr>
        <w:t xml:space="preserve">defecto sustantivo, </w:t>
      </w:r>
      <w:r w:rsidRPr="001B312B">
        <w:rPr>
          <w:rFonts w:ascii="Arial" w:eastAsia="Verdana" w:hAnsi="Arial" w:cs="Arial"/>
          <w:b/>
          <w:sz w:val="22"/>
          <w:szCs w:val="22"/>
        </w:rPr>
        <w:t>(</w:t>
      </w:r>
      <w:proofErr w:type="spellStart"/>
      <w:r w:rsidRPr="001B312B">
        <w:rPr>
          <w:rFonts w:ascii="Arial" w:eastAsia="Verdana" w:hAnsi="Arial" w:cs="Arial"/>
          <w:b/>
          <w:sz w:val="22"/>
          <w:szCs w:val="22"/>
        </w:rPr>
        <w:t>ii</w:t>
      </w:r>
      <w:proofErr w:type="spellEnd"/>
      <w:r w:rsidRPr="001B312B">
        <w:rPr>
          <w:rFonts w:ascii="Arial" w:eastAsia="Verdana" w:hAnsi="Arial" w:cs="Arial"/>
          <w:b/>
          <w:sz w:val="22"/>
          <w:szCs w:val="22"/>
        </w:rPr>
        <w:t xml:space="preserve">) </w:t>
      </w:r>
      <w:r w:rsidRPr="001B312B">
        <w:rPr>
          <w:rFonts w:ascii="Arial" w:eastAsia="Verdana" w:hAnsi="Arial" w:cs="Arial"/>
          <w:sz w:val="22"/>
          <w:szCs w:val="22"/>
        </w:rPr>
        <w:t xml:space="preserve">defecto fáctico, </w:t>
      </w:r>
      <w:r w:rsidRPr="001B312B">
        <w:rPr>
          <w:rFonts w:ascii="Arial" w:eastAsia="Verdana" w:hAnsi="Arial" w:cs="Arial"/>
          <w:b/>
          <w:sz w:val="22"/>
          <w:szCs w:val="22"/>
        </w:rPr>
        <w:t>(</w:t>
      </w:r>
      <w:proofErr w:type="spellStart"/>
      <w:r w:rsidRPr="001B312B">
        <w:rPr>
          <w:rFonts w:ascii="Arial" w:eastAsia="Verdana" w:hAnsi="Arial" w:cs="Arial"/>
          <w:b/>
          <w:sz w:val="22"/>
          <w:szCs w:val="22"/>
        </w:rPr>
        <w:t>iii</w:t>
      </w:r>
      <w:proofErr w:type="spellEnd"/>
      <w:r w:rsidRPr="001B312B">
        <w:rPr>
          <w:rFonts w:ascii="Arial" w:eastAsia="Verdana" w:hAnsi="Arial" w:cs="Arial"/>
          <w:b/>
          <w:sz w:val="22"/>
          <w:szCs w:val="22"/>
        </w:rPr>
        <w:t xml:space="preserve">) </w:t>
      </w:r>
      <w:r w:rsidRPr="001B312B">
        <w:rPr>
          <w:rFonts w:ascii="Arial" w:eastAsia="Verdana" w:hAnsi="Arial" w:cs="Arial"/>
          <w:sz w:val="22"/>
          <w:szCs w:val="22"/>
        </w:rPr>
        <w:t xml:space="preserve">defecto procedimental absoluto, </w:t>
      </w:r>
      <w:r w:rsidRPr="001B312B">
        <w:rPr>
          <w:rFonts w:ascii="Arial" w:eastAsia="Verdana" w:hAnsi="Arial" w:cs="Arial"/>
          <w:b/>
          <w:sz w:val="22"/>
          <w:szCs w:val="22"/>
        </w:rPr>
        <w:t>(</w:t>
      </w:r>
      <w:proofErr w:type="spellStart"/>
      <w:r w:rsidRPr="001B312B">
        <w:rPr>
          <w:rFonts w:ascii="Arial" w:eastAsia="Verdana" w:hAnsi="Arial" w:cs="Arial"/>
          <w:b/>
          <w:sz w:val="22"/>
          <w:szCs w:val="22"/>
        </w:rPr>
        <w:t>iv</w:t>
      </w:r>
      <w:proofErr w:type="spellEnd"/>
      <w:r w:rsidRPr="001B312B">
        <w:rPr>
          <w:rFonts w:ascii="Arial" w:eastAsia="Verdana" w:hAnsi="Arial" w:cs="Arial"/>
          <w:b/>
          <w:sz w:val="22"/>
          <w:szCs w:val="22"/>
        </w:rPr>
        <w:t xml:space="preserve">) </w:t>
      </w:r>
      <w:r w:rsidRPr="001B312B">
        <w:rPr>
          <w:rFonts w:ascii="Arial" w:eastAsia="Verdana" w:hAnsi="Arial" w:cs="Arial"/>
          <w:sz w:val="22"/>
          <w:szCs w:val="22"/>
        </w:rPr>
        <w:t xml:space="preserve">defecto orgánico, </w:t>
      </w:r>
      <w:r w:rsidRPr="001B312B">
        <w:rPr>
          <w:rFonts w:ascii="Arial" w:eastAsia="Verdana" w:hAnsi="Arial" w:cs="Arial"/>
          <w:b/>
          <w:sz w:val="22"/>
          <w:szCs w:val="22"/>
        </w:rPr>
        <w:t>(v)</w:t>
      </w:r>
      <w:r w:rsidRPr="001B312B">
        <w:rPr>
          <w:rFonts w:ascii="Arial" w:eastAsia="Verdana" w:hAnsi="Arial" w:cs="Arial"/>
          <w:sz w:val="22"/>
          <w:szCs w:val="22"/>
        </w:rPr>
        <w:t> error inducido, </w:t>
      </w:r>
      <w:r w:rsidRPr="001B312B">
        <w:rPr>
          <w:rFonts w:ascii="Arial" w:eastAsia="Verdana" w:hAnsi="Arial" w:cs="Arial"/>
          <w:b/>
          <w:sz w:val="22"/>
          <w:szCs w:val="22"/>
        </w:rPr>
        <w:t>(vi)</w:t>
      </w:r>
      <w:r w:rsidRPr="001B312B">
        <w:rPr>
          <w:rFonts w:ascii="Arial" w:eastAsia="Verdana" w:hAnsi="Arial" w:cs="Arial"/>
          <w:sz w:val="22"/>
          <w:szCs w:val="22"/>
        </w:rPr>
        <w:t> decisión sin motivación, </w:t>
      </w:r>
      <w:r w:rsidRPr="001B312B">
        <w:rPr>
          <w:rFonts w:ascii="Arial" w:eastAsia="Verdana" w:hAnsi="Arial" w:cs="Arial"/>
          <w:b/>
          <w:sz w:val="22"/>
          <w:szCs w:val="22"/>
        </w:rPr>
        <w:t>(</w:t>
      </w:r>
      <w:proofErr w:type="spellStart"/>
      <w:r w:rsidRPr="001B312B">
        <w:rPr>
          <w:rFonts w:ascii="Arial" w:eastAsia="Verdana" w:hAnsi="Arial" w:cs="Arial"/>
          <w:b/>
          <w:sz w:val="22"/>
          <w:szCs w:val="22"/>
        </w:rPr>
        <w:t>vii</w:t>
      </w:r>
      <w:proofErr w:type="spellEnd"/>
      <w:r w:rsidRPr="001B312B">
        <w:rPr>
          <w:rFonts w:ascii="Arial" w:eastAsia="Verdana" w:hAnsi="Arial" w:cs="Arial"/>
          <w:b/>
          <w:sz w:val="22"/>
          <w:szCs w:val="22"/>
        </w:rPr>
        <w:t>)</w:t>
      </w:r>
      <w:r w:rsidRPr="001B312B">
        <w:rPr>
          <w:rFonts w:ascii="Arial" w:eastAsia="Verdana" w:hAnsi="Arial" w:cs="Arial"/>
          <w:sz w:val="22"/>
          <w:szCs w:val="22"/>
        </w:rPr>
        <w:t> desconocimiento del precedente y </w:t>
      </w:r>
      <w:r w:rsidRPr="001B312B">
        <w:rPr>
          <w:rFonts w:ascii="Arial" w:eastAsia="Verdana" w:hAnsi="Arial" w:cs="Arial"/>
          <w:b/>
          <w:sz w:val="22"/>
          <w:szCs w:val="22"/>
        </w:rPr>
        <w:t>(</w:t>
      </w:r>
      <w:proofErr w:type="spellStart"/>
      <w:r w:rsidRPr="001B312B">
        <w:rPr>
          <w:rFonts w:ascii="Arial" w:eastAsia="Verdana" w:hAnsi="Arial" w:cs="Arial"/>
          <w:b/>
          <w:sz w:val="22"/>
          <w:szCs w:val="22"/>
        </w:rPr>
        <w:t>viii</w:t>
      </w:r>
      <w:proofErr w:type="spellEnd"/>
      <w:r w:rsidRPr="001B312B">
        <w:rPr>
          <w:rFonts w:ascii="Arial" w:eastAsia="Verdana" w:hAnsi="Arial" w:cs="Arial"/>
          <w:b/>
          <w:sz w:val="22"/>
          <w:szCs w:val="22"/>
        </w:rPr>
        <w:t>)</w:t>
      </w:r>
      <w:r w:rsidRPr="001B312B">
        <w:rPr>
          <w:rFonts w:ascii="Arial" w:eastAsia="Verdana" w:hAnsi="Arial" w:cs="Arial"/>
          <w:sz w:val="22"/>
          <w:szCs w:val="22"/>
        </w:rPr>
        <w:t> violación directa de la Constitución.</w:t>
      </w:r>
    </w:p>
    <w:p w14:paraId="318F4AA2" w14:textId="77777777" w:rsidR="004A7810" w:rsidRPr="001B312B" w:rsidRDefault="004A7810" w:rsidP="004A7810">
      <w:pPr>
        <w:rPr>
          <w:rFonts w:ascii="Arial" w:hAnsi="Arial" w:cs="Arial"/>
          <w:sz w:val="22"/>
          <w:szCs w:val="22"/>
          <w:lang w:eastAsia="es-CO"/>
        </w:rPr>
      </w:pPr>
    </w:p>
    <w:p w14:paraId="612EF653" w14:textId="17AFB105" w:rsidR="004A7810" w:rsidRPr="001B312B" w:rsidRDefault="00B34F58" w:rsidP="004A7810">
      <w:pPr>
        <w:rPr>
          <w:rFonts w:ascii="Arial" w:hAnsi="Arial"/>
          <w:b/>
          <w:sz w:val="22"/>
          <w:szCs w:val="22"/>
        </w:rPr>
      </w:pPr>
      <w:r w:rsidRPr="001B312B">
        <w:rPr>
          <w:rFonts w:ascii="Arial" w:hAnsi="Arial"/>
          <w:b/>
          <w:sz w:val="22"/>
          <w:szCs w:val="22"/>
        </w:rPr>
        <w:t>TUTELA CONTRA PROVIDENCIA</w:t>
      </w:r>
      <w:r>
        <w:rPr>
          <w:rFonts w:ascii="Arial" w:hAnsi="Arial"/>
          <w:b/>
          <w:sz w:val="22"/>
          <w:szCs w:val="22"/>
        </w:rPr>
        <w:t>S</w:t>
      </w:r>
      <w:r w:rsidRPr="001B312B">
        <w:rPr>
          <w:rFonts w:ascii="Arial" w:hAnsi="Arial"/>
          <w:b/>
          <w:sz w:val="22"/>
          <w:szCs w:val="22"/>
        </w:rPr>
        <w:t xml:space="preserve"> JUDICIAL</w:t>
      </w:r>
      <w:r>
        <w:rPr>
          <w:rFonts w:ascii="Arial" w:hAnsi="Arial"/>
          <w:b/>
          <w:sz w:val="22"/>
          <w:szCs w:val="22"/>
        </w:rPr>
        <w:t>ES</w:t>
      </w:r>
      <w:r w:rsidRPr="001B312B">
        <w:rPr>
          <w:rFonts w:ascii="Arial" w:hAnsi="Arial"/>
          <w:b/>
          <w:sz w:val="22"/>
          <w:szCs w:val="22"/>
        </w:rPr>
        <w:t xml:space="preserve"> </w:t>
      </w:r>
      <w:r w:rsidR="00B231E1">
        <w:rPr>
          <w:rFonts w:ascii="Arial" w:hAnsi="Arial"/>
          <w:b/>
          <w:sz w:val="22"/>
          <w:szCs w:val="22"/>
        </w:rPr>
        <w:t>–</w:t>
      </w:r>
      <w:r w:rsidR="004A7810" w:rsidRPr="001B312B">
        <w:rPr>
          <w:rFonts w:ascii="Arial" w:hAnsi="Arial"/>
          <w:b/>
          <w:sz w:val="22"/>
          <w:szCs w:val="22"/>
        </w:rPr>
        <w:t xml:space="preserve"> </w:t>
      </w:r>
      <w:r w:rsidR="00C14BD6">
        <w:rPr>
          <w:rFonts w:ascii="Arial" w:hAnsi="Arial"/>
          <w:b/>
          <w:sz w:val="22"/>
          <w:szCs w:val="22"/>
        </w:rPr>
        <w:t>Excepcional</w:t>
      </w:r>
      <w:r w:rsidR="00B231E1">
        <w:rPr>
          <w:rFonts w:ascii="Arial" w:hAnsi="Arial"/>
          <w:b/>
          <w:sz w:val="22"/>
          <w:szCs w:val="22"/>
        </w:rPr>
        <w:t xml:space="preserve"> </w:t>
      </w:r>
      <w:r w:rsidR="004A7810" w:rsidRPr="001B312B">
        <w:rPr>
          <w:rFonts w:ascii="Arial" w:hAnsi="Arial"/>
          <w:b/>
          <w:sz w:val="22"/>
          <w:szCs w:val="22"/>
        </w:rPr>
        <w:t xml:space="preserve"> </w:t>
      </w:r>
    </w:p>
    <w:p w14:paraId="61ACC74F" w14:textId="77777777" w:rsidR="004A7810" w:rsidRPr="001B312B" w:rsidRDefault="004A7810" w:rsidP="004A7810">
      <w:pPr>
        <w:rPr>
          <w:rFonts w:ascii="Arial" w:hAnsi="Arial" w:cs="Arial"/>
          <w:sz w:val="22"/>
          <w:szCs w:val="22"/>
          <w:lang w:eastAsia="es-CO"/>
        </w:rPr>
      </w:pPr>
    </w:p>
    <w:p w14:paraId="3C6716E3" w14:textId="77777777" w:rsidR="004A7810" w:rsidRPr="001B312B" w:rsidRDefault="004A7810" w:rsidP="004A7810">
      <w:pPr>
        <w:shd w:val="clear" w:color="auto" w:fill="FFFFFF"/>
        <w:rPr>
          <w:rFonts w:ascii="Arial" w:eastAsia="Verdana" w:hAnsi="Arial" w:cs="Arial"/>
          <w:sz w:val="22"/>
          <w:szCs w:val="22"/>
        </w:rPr>
      </w:pPr>
      <w:r w:rsidRPr="001B312B">
        <w:rPr>
          <w:rFonts w:ascii="Arial" w:eastAsia="Verdana" w:hAnsi="Arial" w:cs="Arial"/>
          <w:sz w:val="22"/>
          <w:szCs w:val="22"/>
        </w:rPr>
        <w:t xml:space="preserve">Las causales específicas que ha decantado la Corte Constitucional (y que han venido aplicando la mayoría de las autoridades judiciales) buscan que la tutela no se convierta en una instancia adicional para que las partes reabran discusiones jurídicas que son propias de los procesos ordinarios o expongan los argumentos que, por negligencia o decisión propia, dejaron de proponer oportunamente. (…) Es evidente, entonces, que la solicitud de amparo se interpuso simplemente para revivir el debate que ya se agotó en el proceso ordinario y para obtener una opinión diversa a la que ya emitió la jurisdicción de lo contencioso administrativo, finalidad para la que no es procedente este medio de protección excepcional. La acción de tutela está prevista para la protección de derechos fundamentales y no como instancia adicional de los procesos ordinarios. </w:t>
      </w:r>
    </w:p>
    <w:p w14:paraId="59E5DF99" w14:textId="77777777" w:rsidR="004A7810" w:rsidRPr="001B312B" w:rsidRDefault="004A7810" w:rsidP="004A7810">
      <w:pPr>
        <w:rPr>
          <w:rFonts w:ascii="Arial" w:hAnsi="Arial" w:cs="Arial"/>
          <w:sz w:val="22"/>
          <w:szCs w:val="22"/>
          <w:lang w:eastAsia="es-CO"/>
        </w:rPr>
      </w:pPr>
    </w:p>
    <w:p w14:paraId="62BFE851" w14:textId="0781E08E" w:rsidR="004A7810" w:rsidRPr="001B312B" w:rsidRDefault="00B34F58" w:rsidP="004A7810">
      <w:pPr>
        <w:rPr>
          <w:rFonts w:ascii="Arial" w:eastAsia="Verdana" w:hAnsi="Arial" w:cs="Arial"/>
          <w:sz w:val="22"/>
          <w:szCs w:val="22"/>
          <w:lang w:val="es-ES_tradnl" w:eastAsia="es-CO"/>
        </w:rPr>
      </w:pPr>
      <w:r w:rsidRPr="001B312B">
        <w:rPr>
          <w:rFonts w:ascii="Arial" w:hAnsi="Arial"/>
          <w:b/>
          <w:sz w:val="22"/>
          <w:szCs w:val="22"/>
        </w:rPr>
        <w:t>TUTELA CONTRA PROVIDENCIA</w:t>
      </w:r>
      <w:r>
        <w:rPr>
          <w:rFonts w:ascii="Arial" w:hAnsi="Arial"/>
          <w:b/>
          <w:sz w:val="22"/>
          <w:szCs w:val="22"/>
        </w:rPr>
        <w:t>S</w:t>
      </w:r>
      <w:r w:rsidRPr="001B312B">
        <w:rPr>
          <w:rFonts w:ascii="Arial" w:hAnsi="Arial"/>
          <w:b/>
          <w:sz w:val="22"/>
          <w:szCs w:val="22"/>
        </w:rPr>
        <w:t xml:space="preserve"> JUDICIAL</w:t>
      </w:r>
      <w:r>
        <w:rPr>
          <w:rFonts w:ascii="Arial" w:hAnsi="Arial"/>
          <w:b/>
          <w:sz w:val="22"/>
          <w:szCs w:val="22"/>
        </w:rPr>
        <w:t>ES</w:t>
      </w:r>
      <w:r w:rsidR="004A7810" w:rsidRPr="001B312B">
        <w:rPr>
          <w:rFonts w:ascii="Arial" w:hAnsi="Arial" w:cs="Arial"/>
          <w:b/>
          <w:sz w:val="22"/>
          <w:szCs w:val="22"/>
          <w:lang w:val="es-ES_tradnl" w:eastAsia="es-CO"/>
        </w:rPr>
        <w:t xml:space="preserve"> - </w:t>
      </w:r>
      <w:r w:rsidRPr="001B312B">
        <w:rPr>
          <w:rFonts w:ascii="Arial" w:hAnsi="Arial"/>
          <w:b/>
          <w:bCs/>
          <w:sz w:val="22"/>
          <w:szCs w:val="22"/>
        </w:rPr>
        <w:t>Requisitos de procedibilidad</w:t>
      </w:r>
      <w:r w:rsidRPr="001B312B">
        <w:rPr>
          <w:rFonts w:ascii="Arial" w:hAnsi="Arial" w:cs="Arial"/>
          <w:b/>
          <w:bCs/>
          <w:sz w:val="22"/>
          <w:szCs w:val="22"/>
          <w:lang w:val="es-ES_tradnl" w:eastAsia="es-CO"/>
        </w:rPr>
        <w:t xml:space="preserve"> </w:t>
      </w:r>
      <w:r>
        <w:rPr>
          <w:rFonts w:ascii="Arial" w:hAnsi="Arial" w:cs="Arial"/>
          <w:b/>
          <w:bCs/>
          <w:sz w:val="22"/>
          <w:szCs w:val="22"/>
          <w:lang w:val="es-ES_tradnl" w:eastAsia="es-CO"/>
        </w:rPr>
        <w:t xml:space="preserve">- </w:t>
      </w:r>
      <w:r w:rsidR="004A7810" w:rsidRPr="001B312B">
        <w:rPr>
          <w:rFonts w:ascii="Arial" w:hAnsi="Arial" w:cs="Arial"/>
          <w:b/>
          <w:bCs/>
          <w:sz w:val="22"/>
          <w:szCs w:val="22"/>
          <w:lang w:val="es-ES_tradnl" w:eastAsia="es-CO"/>
        </w:rPr>
        <w:t>R</w:t>
      </w:r>
      <w:r w:rsidR="004A7810" w:rsidRPr="001B312B">
        <w:rPr>
          <w:rFonts w:ascii="Arial" w:eastAsia="Verdana" w:hAnsi="Arial" w:cs="Arial"/>
          <w:b/>
          <w:bCs/>
          <w:sz w:val="22"/>
          <w:szCs w:val="22"/>
          <w:lang w:val="es-ES_tradnl" w:eastAsia="es-CO"/>
        </w:rPr>
        <w:t>elevancia constitucional</w:t>
      </w:r>
    </w:p>
    <w:p w14:paraId="77404F4D" w14:textId="77777777" w:rsidR="004A7810" w:rsidRPr="001B312B" w:rsidRDefault="004A7810" w:rsidP="004A7810">
      <w:pPr>
        <w:rPr>
          <w:rFonts w:ascii="Arial" w:eastAsia="Verdana" w:hAnsi="Arial" w:cs="Arial"/>
          <w:sz w:val="22"/>
          <w:szCs w:val="22"/>
          <w:lang w:val="es-ES_tradnl" w:eastAsia="es-CO"/>
        </w:rPr>
      </w:pPr>
    </w:p>
    <w:p w14:paraId="792F420B" w14:textId="77777777" w:rsidR="004A7810" w:rsidRPr="001B312B" w:rsidRDefault="004A7810" w:rsidP="004A7810">
      <w:pPr>
        <w:rPr>
          <w:rFonts w:ascii="Arial" w:hAnsi="Arial" w:cs="Arial"/>
          <w:sz w:val="22"/>
          <w:szCs w:val="22"/>
          <w:lang w:val="es-ES_tradnl" w:eastAsia="es-CO"/>
        </w:rPr>
      </w:pPr>
      <w:r w:rsidRPr="001B312B">
        <w:rPr>
          <w:rFonts w:ascii="Arial" w:hAnsi="Arial" w:cs="Arial"/>
          <w:sz w:val="22"/>
          <w:szCs w:val="22"/>
          <w:lang w:val="es-ES_tradnl" w:eastAsia="es-CO"/>
        </w:rPr>
        <w:t>Este requisito tiene como finalidad (i) proteger la autonomía e independencia judicial y (</w:t>
      </w:r>
      <w:proofErr w:type="spellStart"/>
      <w:r w:rsidRPr="001B312B">
        <w:rPr>
          <w:rFonts w:ascii="Arial" w:hAnsi="Arial" w:cs="Arial"/>
          <w:sz w:val="22"/>
          <w:szCs w:val="22"/>
          <w:lang w:val="es-ES_tradnl" w:eastAsia="es-CO"/>
        </w:rPr>
        <w:t>ii</w:t>
      </w:r>
      <w:proofErr w:type="spellEnd"/>
      <w:r w:rsidRPr="001B312B">
        <w:rPr>
          <w:rFonts w:ascii="Arial" w:hAnsi="Arial" w:cs="Arial"/>
          <w:sz w:val="22"/>
          <w:szCs w:val="22"/>
          <w:lang w:val="es-ES_tradnl" w:eastAsia="es-CO"/>
        </w:rPr>
        <w:t>) evitar que el juez de tutela se inmiscuya en asuntos que corresponde resolver a otras jurisdicciones.</w:t>
      </w:r>
    </w:p>
    <w:p w14:paraId="2505909E" w14:textId="77777777" w:rsidR="004A7810" w:rsidRPr="001B312B" w:rsidRDefault="004A7810" w:rsidP="004A7810">
      <w:pPr>
        <w:rPr>
          <w:rFonts w:ascii="Arial" w:hAnsi="Arial" w:cs="Arial"/>
          <w:sz w:val="22"/>
          <w:szCs w:val="22"/>
          <w:lang w:val="es-ES_tradnl" w:eastAsia="es-CO"/>
        </w:rPr>
      </w:pPr>
    </w:p>
    <w:p w14:paraId="6189B12C" w14:textId="1C906AA6" w:rsidR="004A7810" w:rsidRPr="001B312B" w:rsidRDefault="00B34F58" w:rsidP="004A7810">
      <w:pPr>
        <w:rPr>
          <w:rFonts w:ascii="Arial" w:eastAsia="Verdana" w:hAnsi="Arial" w:cs="Arial"/>
          <w:b/>
          <w:bCs/>
          <w:sz w:val="22"/>
          <w:szCs w:val="22"/>
          <w:lang w:val="es-ES_tradnl" w:eastAsia="es-CO"/>
        </w:rPr>
      </w:pPr>
      <w:r w:rsidRPr="001B312B">
        <w:rPr>
          <w:rFonts w:ascii="Arial" w:hAnsi="Arial"/>
          <w:b/>
          <w:sz w:val="22"/>
          <w:szCs w:val="22"/>
        </w:rPr>
        <w:t>TUTELA CONTRA PROVIDENCIA</w:t>
      </w:r>
      <w:r>
        <w:rPr>
          <w:rFonts w:ascii="Arial" w:hAnsi="Arial"/>
          <w:b/>
          <w:sz w:val="22"/>
          <w:szCs w:val="22"/>
        </w:rPr>
        <w:t>S</w:t>
      </w:r>
      <w:r w:rsidRPr="001B312B">
        <w:rPr>
          <w:rFonts w:ascii="Arial" w:hAnsi="Arial"/>
          <w:b/>
          <w:sz w:val="22"/>
          <w:szCs w:val="22"/>
        </w:rPr>
        <w:t xml:space="preserve"> JUDICIAL</w:t>
      </w:r>
      <w:r>
        <w:rPr>
          <w:rFonts w:ascii="Arial" w:hAnsi="Arial"/>
          <w:b/>
          <w:sz w:val="22"/>
          <w:szCs w:val="22"/>
        </w:rPr>
        <w:t>ES</w:t>
      </w:r>
      <w:r w:rsidRPr="001B312B">
        <w:rPr>
          <w:rFonts w:ascii="Arial" w:hAnsi="Arial" w:cs="Arial"/>
          <w:b/>
          <w:sz w:val="22"/>
          <w:szCs w:val="22"/>
          <w:lang w:val="es-ES_tradnl" w:eastAsia="es-CO"/>
        </w:rPr>
        <w:t xml:space="preserve"> - </w:t>
      </w:r>
      <w:r w:rsidRPr="001B312B">
        <w:rPr>
          <w:rFonts w:ascii="Arial" w:hAnsi="Arial"/>
          <w:b/>
          <w:bCs/>
          <w:sz w:val="22"/>
          <w:szCs w:val="22"/>
        </w:rPr>
        <w:t>Requisitos de procedibilidad</w:t>
      </w:r>
      <w:r w:rsidRPr="001B312B">
        <w:rPr>
          <w:rFonts w:ascii="Arial" w:hAnsi="Arial" w:cs="Arial"/>
          <w:b/>
          <w:bCs/>
          <w:sz w:val="22"/>
          <w:szCs w:val="22"/>
          <w:lang w:val="es-ES_tradnl" w:eastAsia="es-CO"/>
        </w:rPr>
        <w:t xml:space="preserve"> </w:t>
      </w:r>
      <w:r>
        <w:rPr>
          <w:rFonts w:ascii="Arial" w:hAnsi="Arial" w:cs="Arial"/>
          <w:b/>
          <w:bCs/>
          <w:sz w:val="22"/>
          <w:szCs w:val="22"/>
          <w:lang w:val="es-ES_tradnl" w:eastAsia="es-CO"/>
        </w:rPr>
        <w:t xml:space="preserve">- </w:t>
      </w:r>
      <w:r w:rsidRPr="001B312B">
        <w:rPr>
          <w:rFonts w:ascii="Arial" w:hAnsi="Arial" w:cs="Arial"/>
          <w:b/>
          <w:bCs/>
          <w:sz w:val="22"/>
          <w:szCs w:val="22"/>
          <w:lang w:val="es-ES_tradnl" w:eastAsia="es-CO"/>
        </w:rPr>
        <w:t>R</w:t>
      </w:r>
      <w:r w:rsidRPr="001B312B">
        <w:rPr>
          <w:rFonts w:ascii="Arial" w:eastAsia="Verdana" w:hAnsi="Arial" w:cs="Arial"/>
          <w:b/>
          <w:bCs/>
          <w:sz w:val="22"/>
          <w:szCs w:val="22"/>
          <w:lang w:val="es-ES_tradnl" w:eastAsia="es-CO"/>
        </w:rPr>
        <w:t>elevancia constitucional</w:t>
      </w:r>
      <w:r>
        <w:rPr>
          <w:rFonts w:ascii="Arial" w:eastAsia="Verdana" w:hAnsi="Arial" w:cs="Arial"/>
          <w:b/>
          <w:bCs/>
          <w:sz w:val="22"/>
          <w:szCs w:val="22"/>
          <w:lang w:val="es-ES_tradnl" w:eastAsia="es-CO"/>
        </w:rPr>
        <w:t xml:space="preserve"> </w:t>
      </w:r>
      <w:r w:rsidR="004A7810" w:rsidRPr="001B312B">
        <w:rPr>
          <w:rFonts w:ascii="Arial" w:eastAsia="Verdana" w:hAnsi="Arial" w:cs="Arial"/>
          <w:b/>
          <w:sz w:val="22"/>
          <w:szCs w:val="22"/>
          <w:lang w:val="es-ES_tradnl" w:eastAsia="es-CO"/>
        </w:rPr>
        <w:t xml:space="preserve">- </w:t>
      </w:r>
      <w:r w:rsidR="004A7810" w:rsidRPr="001B312B">
        <w:rPr>
          <w:rFonts w:ascii="Arial" w:eastAsia="Verdana" w:hAnsi="Arial" w:cs="Arial"/>
          <w:b/>
          <w:bCs/>
          <w:sz w:val="22"/>
          <w:szCs w:val="22"/>
          <w:lang w:val="es-ES_tradnl" w:eastAsia="es-CO"/>
        </w:rPr>
        <w:t xml:space="preserve">Elementos </w:t>
      </w:r>
    </w:p>
    <w:p w14:paraId="7A5ED287" w14:textId="77777777" w:rsidR="004A7810" w:rsidRPr="001B312B" w:rsidRDefault="004A7810" w:rsidP="004A7810">
      <w:pPr>
        <w:rPr>
          <w:rFonts w:ascii="Arial" w:eastAsia="Verdana" w:hAnsi="Arial" w:cs="Arial"/>
          <w:sz w:val="22"/>
          <w:szCs w:val="22"/>
          <w:lang w:val="es-ES_tradnl" w:eastAsia="es-CO"/>
        </w:rPr>
      </w:pPr>
    </w:p>
    <w:p w14:paraId="22BF7450" w14:textId="77777777" w:rsidR="008B667A" w:rsidRPr="001B312B" w:rsidRDefault="004A7810" w:rsidP="004A7810">
      <w:pPr>
        <w:rPr>
          <w:rFonts w:ascii="Arial" w:hAnsi="Arial" w:cs="Arial"/>
          <w:sz w:val="22"/>
          <w:szCs w:val="22"/>
          <w:lang w:val="es-ES_tradnl" w:eastAsia="es-CO"/>
        </w:rPr>
      </w:pPr>
      <w:r w:rsidRPr="001B312B">
        <w:rPr>
          <w:rFonts w:ascii="Arial" w:hAnsi="Arial" w:cs="Arial"/>
          <w:sz w:val="22"/>
          <w:szCs w:val="22"/>
          <w:lang w:val="es-ES_tradnl" w:eastAsia="es-CO"/>
        </w:rPr>
        <w:t xml:space="preserve">i) El primero consistente en que el interesado argumente de manera suficiente y razonable la relevancia constitucional por vulneración de derechos fundamentales. Debe tenerse en cuenta que para el efecto «no basta, entonces, aducir la vulneración de derechos fundamentales para cumplir este requisito de procedibilidad de la tutela contra providencias judiciales». </w:t>
      </w:r>
      <w:proofErr w:type="spellStart"/>
      <w:r w:rsidRPr="001B312B">
        <w:rPr>
          <w:rFonts w:ascii="Arial" w:hAnsi="Arial" w:cs="Arial"/>
          <w:sz w:val="22"/>
          <w:szCs w:val="22"/>
          <w:lang w:val="es-ES_tradnl" w:eastAsia="es-CO"/>
        </w:rPr>
        <w:t>ii</w:t>
      </w:r>
      <w:proofErr w:type="spellEnd"/>
      <w:r w:rsidRPr="001B312B">
        <w:rPr>
          <w:rFonts w:ascii="Arial" w:hAnsi="Arial" w:cs="Arial"/>
          <w:sz w:val="22"/>
          <w:szCs w:val="22"/>
          <w:lang w:val="es-ES_tradnl" w:eastAsia="es-CO"/>
        </w:rPr>
        <w:t>) El segundo consiste en que la acción de tutela no se erija en una instancia adicional del proceso ordinario en el que fue proferida la providencia acusada, puesto que este mecanismo especial está constituido para proteger derechos fundamentales, más no para discutir la discrepancia que el interesado tenga frente a la decisión judicial.</w:t>
      </w:r>
    </w:p>
    <w:p w14:paraId="25DDF0DD" w14:textId="77777777" w:rsidR="008B667A" w:rsidRDefault="008B667A" w:rsidP="002C3BFA">
      <w:pPr>
        <w:jc w:val="center"/>
        <w:rPr>
          <w:rFonts w:ascii="Arial" w:hAnsi="Arial" w:cs="Arial"/>
          <w:b/>
          <w:sz w:val="24"/>
          <w:szCs w:val="24"/>
        </w:rPr>
      </w:pPr>
    </w:p>
    <w:p w14:paraId="4E6E12EB" w14:textId="77777777" w:rsidR="00813E92" w:rsidRDefault="00813E92" w:rsidP="002C3BFA">
      <w:pPr>
        <w:jc w:val="center"/>
        <w:rPr>
          <w:rFonts w:ascii="Arial" w:hAnsi="Arial" w:cs="Arial"/>
          <w:b/>
          <w:sz w:val="24"/>
          <w:szCs w:val="24"/>
        </w:rPr>
      </w:pPr>
    </w:p>
    <w:p w14:paraId="6FD8A9E5" w14:textId="77777777" w:rsidR="00EF4616" w:rsidRDefault="00EF4616" w:rsidP="002C3BFA">
      <w:pPr>
        <w:jc w:val="center"/>
        <w:rPr>
          <w:rFonts w:ascii="Arial" w:hAnsi="Arial" w:cs="Arial"/>
          <w:b/>
          <w:sz w:val="24"/>
          <w:szCs w:val="24"/>
        </w:rPr>
      </w:pPr>
      <w:r w:rsidRPr="002C3BFA">
        <w:rPr>
          <w:rFonts w:ascii="Arial" w:hAnsi="Arial" w:cs="Arial"/>
          <w:b/>
          <w:sz w:val="24"/>
          <w:szCs w:val="24"/>
        </w:rPr>
        <w:t>CONSEJO DE ESTADO</w:t>
      </w:r>
    </w:p>
    <w:p w14:paraId="65FA9EF0" w14:textId="77777777" w:rsidR="002C3BFA" w:rsidRPr="002C3BFA" w:rsidRDefault="002C3BFA" w:rsidP="002C3BFA">
      <w:pPr>
        <w:jc w:val="center"/>
        <w:rPr>
          <w:rFonts w:ascii="Arial" w:hAnsi="Arial" w:cs="Arial"/>
          <w:b/>
          <w:sz w:val="24"/>
          <w:szCs w:val="24"/>
        </w:rPr>
      </w:pPr>
    </w:p>
    <w:p w14:paraId="5AB05AFE" w14:textId="77777777" w:rsidR="001E370C" w:rsidRDefault="001E370C" w:rsidP="002C3BFA">
      <w:pPr>
        <w:jc w:val="center"/>
        <w:rPr>
          <w:rFonts w:ascii="Arial" w:hAnsi="Arial" w:cs="Arial"/>
          <w:b/>
          <w:sz w:val="24"/>
          <w:szCs w:val="24"/>
        </w:rPr>
      </w:pPr>
      <w:r w:rsidRPr="002C3BFA">
        <w:rPr>
          <w:rFonts w:ascii="Arial" w:hAnsi="Arial" w:cs="Arial"/>
          <w:b/>
          <w:sz w:val="24"/>
          <w:szCs w:val="24"/>
        </w:rPr>
        <w:t>SALA DE LO CONTENCIOSO ADMINISTRATIVO</w:t>
      </w:r>
    </w:p>
    <w:p w14:paraId="3A9F9B24" w14:textId="77777777" w:rsidR="002C3BFA" w:rsidRPr="002C3BFA" w:rsidRDefault="002C3BFA" w:rsidP="002C3BFA">
      <w:pPr>
        <w:jc w:val="center"/>
        <w:rPr>
          <w:rFonts w:ascii="Arial" w:hAnsi="Arial" w:cs="Arial"/>
          <w:b/>
          <w:sz w:val="24"/>
          <w:szCs w:val="24"/>
        </w:rPr>
      </w:pPr>
    </w:p>
    <w:p w14:paraId="180F77E4" w14:textId="77777777" w:rsidR="001E370C" w:rsidRPr="002C3BFA" w:rsidRDefault="001E370C" w:rsidP="002C3BFA">
      <w:pPr>
        <w:jc w:val="center"/>
        <w:rPr>
          <w:rFonts w:ascii="Arial" w:hAnsi="Arial" w:cs="Arial"/>
          <w:b/>
          <w:sz w:val="24"/>
          <w:szCs w:val="24"/>
        </w:rPr>
      </w:pPr>
      <w:r w:rsidRPr="002C3BFA">
        <w:rPr>
          <w:rFonts w:ascii="Arial" w:hAnsi="Arial" w:cs="Arial"/>
          <w:b/>
          <w:sz w:val="24"/>
          <w:szCs w:val="24"/>
        </w:rPr>
        <w:t>SECCIÓN CUARTA</w:t>
      </w:r>
    </w:p>
    <w:p w14:paraId="24772811" w14:textId="77777777" w:rsidR="001E370C" w:rsidRPr="002C3BFA" w:rsidRDefault="001E370C" w:rsidP="002C3BFA">
      <w:pPr>
        <w:jc w:val="center"/>
        <w:rPr>
          <w:rFonts w:ascii="Arial" w:hAnsi="Arial" w:cs="Arial"/>
          <w:b/>
          <w:sz w:val="24"/>
          <w:szCs w:val="24"/>
        </w:rPr>
      </w:pPr>
    </w:p>
    <w:p w14:paraId="0A48DD89" w14:textId="77777777" w:rsidR="001E370C" w:rsidRPr="002C3BFA" w:rsidRDefault="002C3BFA" w:rsidP="002C3BFA">
      <w:pPr>
        <w:jc w:val="center"/>
        <w:rPr>
          <w:rFonts w:ascii="Arial" w:hAnsi="Arial" w:cs="Arial"/>
          <w:b/>
          <w:sz w:val="24"/>
          <w:szCs w:val="24"/>
        </w:rPr>
      </w:pPr>
      <w:r w:rsidRPr="002C3BFA">
        <w:rPr>
          <w:rFonts w:ascii="Arial" w:hAnsi="Arial" w:cs="Arial"/>
          <w:b/>
          <w:sz w:val="24"/>
          <w:szCs w:val="24"/>
        </w:rPr>
        <w:t>Consejero ponente</w:t>
      </w:r>
      <w:r w:rsidR="001E370C" w:rsidRPr="002C3BFA">
        <w:rPr>
          <w:rFonts w:ascii="Arial" w:hAnsi="Arial" w:cs="Arial"/>
          <w:b/>
          <w:sz w:val="24"/>
          <w:szCs w:val="24"/>
        </w:rPr>
        <w:t>: JULIO ROBERTO PIZA RODRÍGUEZ</w:t>
      </w:r>
    </w:p>
    <w:p w14:paraId="28677D94" w14:textId="77777777" w:rsidR="006319CD" w:rsidRPr="002C3BFA" w:rsidRDefault="006319CD" w:rsidP="002C3BFA">
      <w:pPr>
        <w:rPr>
          <w:rFonts w:ascii="Arial" w:hAnsi="Arial" w:cs="Arial"/>
          <w:sz w:val="24"/>
          <w:szCs w:val="24"/>
        </w:rPr>
      </w:pPr>
    </w:p>
    <w:p w14:paraId="25496212" w14:textId="77777777" w:rsidR="001E370C" w:rsidRPr="002C3BFA" w:rsidRDefault="001E370C" w:rsidP="002C3BFA">
      <w:pPr>
        <w:rPr>
          <w:rFonts w:ascii="Arial" w:hAnsi="Arial" w:cs="Arial"/>
          <w:sz w:val="24"/>
          <w:szCs w:val="24"/>
        </w:rPr>
      </w:pPr>
      <w:r w:rsidRPr="002C3BFA">
        <w:rPr>
          <w:rFonts w:ascii="Arial" w:hAnsi="Arial" w:cs="Arial"/>
          <w:sz w:val="24"/>
          <w:szCs w:val="24"/>
        </w:rPr>
        <w:t>Bogotá</w:t>
      </w:r>
      <w:r w:rsidR="002C3BFA">
        <w:rPr>
          <w:rFonts w:ascii="Arial" w:hAnsi="Arial" w:cs="Arial"/>
          <w:sz w:val="24"/>
          <w:szCs w:val="24"/>
        </w:rPr>
        <w:t>,</w:t>
      </w:r>
      <w:r w:rsidRPr="002C3BFA">
        <w:rPr>
          <w:rFonts w:ascii="Arial" w:hAnsi="Arial" w:cs="Arial"/>
          <w:sz w:val="24"/>
          <w:szCs w:val="24"/>
        </w:rPr>
        <w:t xml:space="preserve"> D.C., </w:t>
      </w:r>
      <w:r w:rsidR="00D85146" w:rsidRPr="002C3BFA">
        <w:rPr>
          <w:rFonts w:ascii="Arial" w:hAnsi="Arial" w:cs="Arial"/>
          <w:sz w:val="24"/>
          <w:szCs w:val="24"/>
        </w:rPr>
        <w:t>veintiocho (28)</w:t>
      </w:r>
      <w:r w:rsidRPr="002C3BFA">
        <w:rPr>
          <w:rFonts w:ascii="Arial" w:hAnsi="Arial" w:cs="Arial"/>
          <w:sz w:val="24"/>
          <w:szCs w:val="24"/>
        </w:rPr>
        <w:t xml:space="preserve"> de</w:t>
      </w:r>
      <w:r w:rsidR="00D85146" w:rsidRPr="002C3BFA">
        <w:rPr>
          <w:rFonts w:ascii="Arial" w:hAnsi="Arial" w:cs="Arial"/>
          <w:sz w:val="24"/>
          <w:szCs w:val="24"/>
        </w:rPr>
        <w:t xml:space="preserve"> febrero</w:t>
      </w:r>
      <w:r w:rsidRPr="002C3BFA">
        <w:rPr>
          <w:rFonts w:ascii="Arial" w:hAnsi="Arial" w:cs="Arial"/>
          <w:sz w:val="24"/>
          <w:szCs w:val="24"/>
        </w:rPr>
        <w:t xml:space="preserve"> dos mil diecinueve (2019)</w:t>
      </w:r>
    </w:p>
    <w:p w14:paraId="0B441513" w14:textId="77777777" w:rsidR="001E370C" w:rsidRPr="002C3BFA" w:rsidRDefault="001E370C" w:rsidP="002C3BFA">
      <w:pPr>
        <w:rPr>
          <w:rFonts w:ascii="Arial" w:hAnsi="Arial" w:cs="Arial"/>
          <w:sz w:val="24"/>
          <w:szCs w:val="24"/>
        </w:rPr>
      </w:pPr>
    </w:p>
    <w:p w14:paraId="4DE926C9" w14:textId="77777777" w:rsidR="002B4980" w:rsidRPr="002C3BFA" w:rsidRDefault="002C3BFA" w:rsidP="002C3BFA">
      <w:pPr>
        <w:rPr>
          <w:rFonts w:ascii="Arial" w:hAnsi="Arial" w:cs="Arial"/>
          <w:b/>
          <w:sz w:val="24"/>
          <w:szCs w:val="24"/>
        </w:rPr>
      </w:pPr>
      <w:r w:rsidRPr="002C3BFA">
        <w:rPr>
          <w:rFonts w:ascii="Arial" w:hAnsi="Arial" w:cs="Arial"/>
          <w:b/>
          <w:sz w:val="24"/>
          <w:szCs w:val="24"/>
        </w:rPr>
        <w:t xml:space="preserve">Radicación número: </w:t>
      </w:r>
      <w:r w:rsidR="00B01B7B" w:rsidRPr="002C3BFA">
        <w:rPr>
          <w:rFonts w:ascii="Arial" w:hAnsi="Arial" w:cs="Arial"/>
          <w:b/>
          <w:sz w:val="24"/>
          <w:szCs w:val="24"/>
        </w:rPr>
        <w:t>11001-03-15-000-2018-04208</w:t>
      </w:r>
      <w:r w:rsidR="001E370C" w:rsidRPr="002C3BFA">
        <w:rPr>
          <w:rFonts w:ascii="Arial" w:hAnsi="Arial" w:cs="Arial"/>
          <w:b/>
          <w:sz w:val="24"/>
          <w:szCs w:val="24"/>
        </w:rPr>
        <w:t>-0</w:t>
      </w:r>
      <w:r w:rsidR="002B4980" w:rsidRPr="002C3BFA">
        <w:rPr>
          <w:rFonts w:ascii="Arial" w:hAnsi="Arial" w:cs="Arial"/>
          <w:b/>
          <w:sz w:val="24"/>
          <w:szCs w:val="24"/>
        </w:rPr>
        <w:t>0</w:t>
      </w:r>
      <w:r w:rsidRPr="002C3BFA">
        <w:rPr>
          <w:rFonts w:ascii="Arial" w:hAnsi="Arial" w:cs="Arial"/>
          <w:b/>
          <w:sz w:val="24"/>
          <w:szCs w:val="24"/>
        </w:rPr>
        <w:t>(AC)</w:t>
      </w:r>
    </w:p>
    <w:p w14:paraId="0481BF4B" w14:textId="77777777" w:rsidR="002C3BFA" w:rsidRPr="002C3BFA" w:rsidRDefault="002C3BFA" w:rsidP="002C3BFA">
      <w:pPr>
        <w:rPr>
          <w:rFonts w:ascii="Arial" w:hAnsi="Arial" w:cs="Arial"/>
          <w:b/>
          <w:sz w:val="24"/>
          <w:szCs w:val="24"/>
        </w:rPr>
      </w:pPr>
    </w:p>
    <w:p w14:paraId="009464A9" w14:textId="77777777" w:rsidR="001E370C" w:rsidRPr="002C3BFA" w:rsidRDefault="002C3BFA" w:rsidP="002C3BFA">
      <w:pPr>
        <w:rPr>
          <w:rFonts w:ascii="Arial" w:hAnsi="Arial" w:cs="Arial"/>
          <w:b/>
          <w:sz w:val="24"/>
          <w:szCs w:val="24"/>
        </w:rPr>
      </w:pPr>
      <w:r w:rsidRPr="002C3BFA">
        <w:rPr>
          <w:rFonts w:ascii="Arial" w:hAnsi="Arial" w:cs="Arial"/>
          <w:b/>
          <w:sz w:val="24"/>
          <w:szCs w:val="24"/>
        </w:rPr>
        <w:t xml:space="preserve">Actor: </w:t>
      </w:r>
      <w:r w:rsidR="00B01B7B" w:rsidRPr="002C3BFA">
        <w:rPr>
          <w:rFonts w:ascii="Arial" w:hAnsi="Arial" w:cs="Arial"/>
          <w:b/>
          <w:sz w:val="24"/>
          <w:szCs w:val="24"/>
        </w:rPr>
        <w:t>UNIÓN TEMPORAL RAYUEL</w:t>
      </w:r>
      <w:r w:rsidR="006E31B8" w:rsidRPr="002C3BFA">
        <w:rPr>
          <w:rFonts w:ascii="Arial" w:hAnsi="Arial" w:cs="Arial"/>
          <w:b/>
          <w:sz w:val="24"/>
          <w:szCs w:val="24"/>
        </w:rPr>
        <w:t>A</w:t>
      </w:r>
    </w:p>
    <w:p w14:paraId="57E654A6" w14:textId="77777777" w:rsidR="002C3BFA" w:rsidRPr="002C3BFA" w:rsidRDefault="002C3BFA" w:rsidP="002C3BFA">
      <w:pPr>
        <w:rPr>
          <w:rFonts w:ascii="Arial" w:hAnsi="Arial" w:cs="Arial"/>
          <w:b/>
          <w:sz w:val="24"/>
          <w:szCs w:val="24"/>
        </w:rPr>
      </w:pPr>
    </w:p>
    <w:p w14:paraId="3A4A596B" w14:textId="77777777" w:rsidR="001E370C" w:rsidRPr="002C3BFA" w:rsidRDefault="002C3BFA" w:rsidP="002C3BFA">
      <w:pPr>
        <w:rPr>
          <w:rFonts w:ascii="Arial" w:hAnsi="Arial" w:cs="Arial"/>
          <w:b/>
          <w:sz w:val="24"/>
          <w:szCs w:val="24"/>
        </w:rPr>
      </w:pPr>
      <w:r w:rsidRPr="002C3BFA">
        <w:rPr>
          <w:rFonts w:ascii="Arial" w:hAnsi="Arial" w:cs="Arial"/>
          <w:b/>
          <w:sz w:val="24"/>
          <w:szCs w:val="24"/>
        </w:rPr>
        <w:t xml:space="preserve">Demandado: </w:t>
      </w:r>
      <w:r w:rsidR="00B01B7B" w:rsidRPr="002C3BFA">
        <w:rPr>
          <w:rFonts w:ascii="Arial" w:hAnsi="Arial" w:cs="Arial"/>
          <w:b/>
          <w:sz w:val="24"/>
          <w:szCs w:val="24"/>
        </w:rPr>
        <w:t>CONSEJO DE ESTADO, SECCIÓN TERCERA, SUBSECCIÓN C</w:t>
      </w:r>
    </w:p>
    <w:p w14:paraId="51553F80" w14:textId="77777777" w:rsidR="001E370C" w:rsidRPr="002C3BFA" w:rsidRDefault="001E370C" w:rsidP="002C3BFA">
      <w:pPr>
        <w:rPr>
          <w:rFonts w:ascii="Arial" w:hAnsi="Arial" w:cs="Arial"/>
          <w:sz w:val="24"/>
          <w:szCs w:val="24"/>
        </w:rPr>
      </w:pPr>
    </w:p>
    <w:p w14:paraId="4E720557" w14:textId="77777777" w:rsidR="006319CD" w:rsidRDefault="006319CD" w:rsidP="002C3BFA">
      <w:pPr>
        <w:rPr>
          <w:rFonts w:ascii="Arial" w:hAnsi="Arial" w:cs="Arial"/>
          <w:sz w:val="24"/>
          <w:szCs w:val="24"/>
        </w:rPr>
      </w:pPr>
    </w:p>
    <w:p w14:paraId="0743AD68" w14:textId="77777777" w:rsidR="002C3BFA" w:rsidRPr="002C3BFA" w:rsidRDefault="002C3BFA" w:rsidP="002C3BFA">
      <w:pPr>
        <w:rPr>
          <w:rFonts w:ascii="Arial" w:hAnsi="Arial" w:cs="Arial"/>
          <w:sz w:val="24"/>
          <w:szCs w:val="24"/>
        </w:rPr>
      </w:pPr>
    </w:p>
    <w:p w14:paraId="4A60173E" w14:textId="77777777" w:rsidR="001E370C" w:rsidRPr="002C3BFA" w:rsidRDefault="001E370C" w:rsidP="002C3BFA">
      <w:pPr>
        <w:jc w:val="center"/>
        <w:rPr>
          <w:rFonts w:ascii="Arial" w:hAnsi="Arial" w:cs="Arial"/>
          <w:b/>
          <w:sz w:val="24"/>
          <w:szCs w:val="24"/>
        </w:rPr>
      </w:pPr>
      <w:r w:rsidRPr="002C3BFA">
        <w:rPr>
          <w:rFonts w:ascii="Arial" w:hAnsi="Arial" w:cs="Arial"/>
          <w:b/>
          <w:sz w:val="24"/>
          <w:szCs w:val="24"/>
        </w:rPr>
        <w:t>SENTENCIA DE PRIMERA INSTANCIA</w:t>
      </w:r>
    </w:p>
    <w:p w14:paraId="636882A8" w14:textId="77777777" w:rsidR="001E370C" w:rsidRPr="002C3BFA" w:rsidRDefault="001E370C" w:rsidP="002C3BFA">
      <w:pPr>
        <w:rPr>
          <w:rFonts w:ascii="Arial" w:hAnsi="Arial" w:cs="Arial"/>
          <w:sz w:val="24"/>
          <w:szCs w:val="24"/>
        </w:rPr>
      </w:pPr>
    </w:p>
    <w:p w14:paraId="3B695EC4" w14:textId="77777777" w:rsidR="001E370C" w:rsidRPr="001B712C" w:rsidRDefault="001E370C" w:rsidP="0046202D">
      <w:pPr>
        <w:ind w:right="51"/>
        <w:rPr>
          <w:rFonts w:ascii="Arial" w:eastAsia="Verdana" w:hAnsi="Arial" w:cs="Arial"/>
          <w:sz w:val="24"/>
          <w:szCs w:val="24"/>
        </w:rPr>
      </w:pPr>
      <w:r w:rsidRPr="001B712C">
        <w:rPr>
          <w:rFonts w:ascii="Arial" w:eastAsia="Verdana" w:hAnsi="Arial" w:cs="Arial"/>
          <w:sz w:val="24"/>
          <w:szCs w:val="24"/>
        </w:rPr>
        <w:t xml:space="preserve">La Sala decide la acción de tutela interpuesta por la </w:t>
      </w:r>
      <w:r w:rsidR="00B01B7B" w:rsidRPr="001B712C">
        <w:rPr>
          <w:rFonts w:ascii="Arial" w:eastAsia="Verdana" w:hAnsi="Arial" w:cs="Arial"/>
          <w:sz w:val="24"/>
          <w:szCs w:val="24"/>
        </w:rPr>
        <w:t>Unión Temporal Rayuela</w:t>
      </w:r>
      <w:r w:rsidR="006E31B8" w:rsidRPr="001B712C">
        <w:rPr>
          <w:rFonts w:ascii="Arial" w:eastAsia="Verdana" w:hAnsi="Arial" w:cs="Arial"/>
          <w:sz w:val="24"/>
          <w:szCs w:val="24"/>
        </w:rPr>
        <w:t xml:space="preserve"> —</w:t>
      </w:r>
      <w:r w:rsidR="002B4980" w:rsidRPr="001B712C">
        <w:rPr>
          <w:rFonts w:ascii="Arial" w:eastAsia="Verdana" w:hAnsi="Arial" w:cs="Arial"/>
          <w:sz w:val="24"/>
          <w:szCs w:val="24"/>
        </w:rPr>
        <w:t xml:space="preserve">integrada por </w:t>
      </w:r>
      <w:r w:rsidR="00495EFA" w:rsidRPr="001B712C">
        <w:rPr>
          <w:rFonts w:ascii="Arial" w:eastAsia="Verdana" w:hAnsi="Arial" w:cs="Arial"/>
          <w:sz w:val="24"/>
          <w:szCs w:val="24"/>
        </w:rPr>
        <w:t>Ingenieros Civiles Asociados INCA Ltda. y R&amp;H Ingeniería Ltda.</w:t>
      </w:r>
      <w:r w:rsidR="006E31B8" w:rsidRPr="001B712C">
        <w:rPr>
          <w:rFonts w:ascii="Arial" w:eastAsia="Verdana" w:hAnsi="Arial" w:cs="Arial"/>
          <w:sz w:val="24"/>
          <w:szCs w:val="24"/>
        </w:rPr>
        <w:t>—</w:t>
      </w:r>
      <w:r w:rsidR="00495EFA" w:rsidRPr="001B712C">
        <w:rPr>
          <w:rFonts w:ascii="Arial" w:eastAsia="Verdana" w:hAnsi="Arial" w:cs="Arial"/>
          <w:sz w:val="24"/>
          <w:szCs w:val="24"/>
        </w:rPr>
        <w:t xml:space="preserve"> </w:t>
      </w:r>
      <w:r w:rsidRPr="001B712C">
        <w:rPr>
          <w:rFonts w:ascii="Arial" w:eastAsia="Verdana" w:hAnsi="Arial" w:cs="Arial"/>
          <w:sz w:val="24"/>
          <w:szCs w:val="24"/>
        </w:rPr>
        <w:t xml:space="preserve">contra la </w:t>
      </w:r>
      <w:r w:rsidR="00495EFA" w:rsidRPr="001B712C">
        <w:rPr>
          <w:rFonts w:ascii="Arial" w:eastAsia="Verdana" w:hAnsi="Arial" w:cs="Arial"/>
          <w:sz w:val="24"/>
          <w:szCs w:val="24"/>
        </w:rPr>
        <w:t xml:space="preserve">providencia del 8 de marzo de </w:t>
      </w:r>
      <w:r w:rsidRPr="001B712C">
        <w:rPr>
          <w:rFonts w:ascii="Arial" w:eastAsia="Verdana" w:hAnsi="Arial" w:cs="Arial"/>
          <w:sz w:val="24"/>
          <w:szCs w:val="24"/>
        </w:rPr>
        <w:t xml:space="preserve">2018, dictada por el </w:t>
      </w:r>
      <w:r w:rsidR="00495EFA" w:rsidRPr="001B712C">
        <w:rPr>
          <w:rFonts w:ascii="Arial" w:eastAsia="Verdana" w:hAnsi="Arial" w:cs="Arial"/>
          <w:sz w:val="24"/>
          <w:szCs w:val="24"/>
        </w:rPr>
        <w:t>Consejo de Estado, Sección Tercera, Subsección C.</w:t>
      </w:r>
    </w:p>
    <w:p w14:paraId="54656915" w14:textId="77777777" w:rsidR="001E370C" w:rsidRPr="001B712C" w:rsidRDefault="001E370C" w:rsidP="0046202D">
      <w:pPr>
        <w:ind w:right="51"/>
        <w:rPr>
          <w:rFonts w:ascii="Arial" w:eastAsia="Verdana" w:hAnsi="Arial" w:cs="Arial"/>
          <w:sz w:val="24"/>
          <w:szCs w:val="24"/>
        </w:rPr>
      </w:pPr>
      <w:r w:rsidRPr="001B712C">
        <w:rPr>
          <w:rFonts w:ascii="Arial" w:eastAsia="Verdana" w:hAnsi="Arial" w:cs="Arial"/>
          <w:sz w:val="24"/>
          <w:szCs w:val="24"/>
        </w:rPr>
        <w:t xml:space="preserve"> </w:t>
      </w:r>
    </w:p>
    <w:p w14:paraId="517D2956" w14:textId="77777777" w:rsidR="001E370C" w:rsidRPr="001B712C" w:rsidRDefault="001E370C" w:rsidP="0046202D">
      <w:pPr>
        <w:widowControl w:val="0"/>
        <w:pBdr>
          <w:top w:val="nil"/>
          <w:left w:val="nil"/>
          <w:bottom w:val="nil"/>
          <w:right w:val="nil"/>
          <w:between w:val="nil"/>
        </w:pBdr>
        <w:jc w:val="center"/>
        <w:rPr>
          <w:rFonts w:ascii="Arial" w:eastAsia="Verdana" w:hAnsi="Arial" w:cs="Arial"/>
          <w:sz w:val="24"/>
          <w:szCs w:val="24"/>
        </w:rPr>
      </w:pPr>
      <w:r w:rsidRPr="001B712C">
        <w:rPr>
          <w:rFonts w:ascii="Arial" w:eastAsia="Verdana" w:hAnsi="Arial" w:cs="Arial"/>
          <w:b/>
          <w:sz w:val="24"/>
          <w:szCs w:val="24"/>
        </w:rPr>
        <w:t>ANTECEDENTES</w:t>
      </w:r>
    </w:p>
    <w:p w14:paraId="49A7B8DC" w14:textId="77777777" w:rsidR="001E370C" w:rsidRPr="001B712C" w:rsidRDefault="001E370C" w:rsidP="0046202D">
      <w:pPr>
        <w:widowControl w:val="0"/>
        <w:pBdr>
          <w:top w:val="nil"/>
          <w:left w:val="nil"/>
          <w:bottom w:val="nil"/>
          <w:right w:val="nil"/>
          <w:between w:val="nil"/>
        </w:pBdr>
        <w:ind w:left="283" w:hanging="283"/>
        <w:jc w:val="center"/>
        <w:rPr>
          <w:rFonts w:ascii="Arial" w:eastAsia="Verdana" w:hAnsi="Arial" w:cs="Arial"/>
          <w:sz w:val="24"/>
          <w:szCs w:val="24"/>
        </w:rPr>
      </w:pPr>
    </w:p>
    <w:p w14:paraId="426BA9FC" w14:textId="77777777" w:rsidR="001E370C" w:rsidRPr="001B712C" w:rsidRDefault="001E370C" w:rsidP="0046202D">
      <w:pPr>
        <w:widowControl w:val="0"/>
        <w:numPr>
          <w:ilvl w:val="0"/>
          <w:numId w:val="1"/>
        </w:numPr>
        <w:jc w:val="left"/>
        <w:rPr>
          <w:rFonts w:ascii="Arial" w:eastAsia="Verdana" w:hAnsi="Arial" w:cs="Arial"/>
          <w:sz w:val="24"/>
          <w:szCs w:val="24"/>
        </w:rPr>
      </w:pPr>
      <w:r w:rsidRPr="001B712C">
        <w:rPr>
          <w:rFonts w:ascii="Arial" w:eastAsia="Verdana" w:hAnsi="Arial" w:cs="Arial"/>
          <w:b/>
          <w:sz w:val="24"/>
          <w:szCs w:val="24"/>
        </w:rPr>
        <w:t xml:space="preserve">Pretensiones </w:t>
      </w:r>
    </w:p>
    <w:p w14:paraId="37650F20" w14:textId="77777777" w:rsidR="001E370C" w:rsidRPr="001B712C" w:rsidRDefault="001E370C" w:rsidP="0046202D">
      <w:pPr>
        <w:widowControl w:val="0"/>
        <w:ind w:left="360"/>
        <w:rPr>
          <w:rFonts w:ascii="Arial" w:eastAsia="Verdana" w:hAnsi="Arial" w:cs="Arial"/>
          <w:sz w:val="24"/>
          <w:szCs w:val="24"/>
        </w:rPr>
      </w:pPr>
    </w:p>
    <w:p w14:paraId="3B020BA7" w14:textId="77777777" w:rsidR="001E370C" w:rsidRPr="001B712C" w:rsidRDefault="001E370C" w:rsidP="0046202D">
      <w:pPr>
        <w:ind w:right="51"/>
        <w:rPr>
          <w:rFonts w:ascii="Arial" w:eastAsia="Verdana" w:hAnsi="Arial" w:cs="Arial"/>
          <w:sz w:val="24"/>
          <w:szCs w:val="24"/>
        </w:rPr>
      </w:pPr>
      <w:r w:rsidRPr="001B712C">
        <w:rPr>
          <w:rFonts w:ascii="Arial" w:eastAsia="Verdana" w:hAnsi="Arial" w:cs="Arial"/>
          <w:sz w:val="24"/>
          <w:szCs w:val="24"/>
        </w:rPr>
        <w:t xml:space="preserve">1.1. En ejercicio de la acción de tutela, </w:t>
      </w:r>
      <w:r w:rsidR="00495EFA" w:rsidRPr="001B712C">
        <w:rPr>
          <w:rFonts w:ascii="Arial" w:eastAsia="Verdana" w:hAnsi="Arial" w:cs="Arial"/>
          <w:sz w:val="24"/>
          <w:szCs w:val="24"/>
        </w:rPr>
        <w:t>la Unión Temporal Rayuela pidi</w:t>
      </w:r>
      <w:r w:rsidR="002B4980" w:rsidRPr="001B712C">
        <w:rPr>
          <w:rFonts w:ascii="Arial" w:eastAsia="Verdana" w:hAnsi="Arial" w:cs="Arial"/>
          <w:sz w:val="24"/>
          <w:szCs w:val="24"/>
        </w:rPr>
        <w:t>ó</w:t>
      </w:r>
      <w:r w:rsidR="00495EFA" w:rsidRPr="001B712C">
        <w:rPr>
          <w:rFonts w:ascii="Arial" w:eastAsia="Verdana" w:hAnsi="Arial" w:cs="Arial"/>
          <w:sz w:val="24"/>
          <w:szCs w:val="24"/>
        </w:rPr>
        <w:t xml:space="preserve"> </w:t>
      </w:r>
      <w:r w:rsidRPr="001B712C">
        <w:rPr>
          <w:rFonts w:ascii="Arial" w:eastAsia="Verdana" w:hAnsi="Arial" w:cs="Arial"/>
          <w:sz w:val="24"/>
          <w:szCs w:val="24"/>
        </w:rPr>
        <w:t>la protección de</w:t>
      </w:r>
      <w:r w:rsidR="002D6E06" w:rsidRPr="001B712C">
        <w:rPr>
          <w:rFonts w:ascii="Arial" w:eastAsia="Verdana" w:hAnsi="Arial" w:cs="Arial"/>
          <w:sz w:val="24"/>
          <w:szCs w:val="24"/>
        </w:rPr>
        <w:t xml:space="preserve"> los</w:t>
      </w:r>
      <w:r w:rsidR="00495EFA" w:rsidRPr="001B712C">
        <w:rPr>
          <w:rFonts w:ascii="Arial" w:eastAsia="Verdana" w:hAnsi="Arial" w:cs="Arial"/>
          <w:sz w:val="24"/>
          <w:szCs w:val="24"/>
        </w:rPr>
        <w:t xml:space="preserve"> derecho</w:t>
      </w:r>
      <w:r w:rsidR="002D6E06" w:rsidRPr="001B712C">
        <w:rPr>
          <w:rFonts w:ascii="Arial" w:eastAsia="Verdana" w:hAnsi="Arial" w:cs="Arial"/>
          <w:sz w:val="24"/>
          <w:szCs w:val="24"/>
        </w:rPr>
        <w:t>s</w:t>
      </w:r>
      <w:r w:rsidR="00495EFA" w:rsidRPr="001B712C">
        <w:rPr>
          <w:rFonts w:ascii="Arial" w:eastAsia="Verdana" w:hAnsi="Arial" w:cs="Arial"/>
          <w:sz w:val="24"/>
          <w:szCs w:val="24"/>
        </w:rPr>
        <w:t xml:space="preserve"> fundamental</w:t>
      </w:r>
      <w:r w:rsidR="002D6E06" w:rsidRPr="001B712C">
        <w:rPr>
          <w:rFonts w:ascii="Arial" w:eastAsia="Verdana" w:hAnsi="Arial" w:cs="Arial"/>
          <w:sz w:val="24"/>
          <w:szCs w:val="24"/>
        </w:rPr>
        <w:t>es</w:t>
      </w:r>
      <w:r w:rsidR="00495EFA" w:rsidRPr="001B712C">
        <w:rPr>
          <w:rFonts w:ascii="Arial" w:eastAsia="Verdana" w:hAnsi="Arial" w:cs="Arial"/>
          <w:sz w:val="24"/>
          <w:szCs w:val="24"/>
        </w:rPr>
        <w:t xml:space="preserve"> al </w:t>
      </w:r>
      <w:r w:rsidRPr="001B712C">
        <w:rPr>
          <w:rFonts w:ascii="Arial" w:eastAsia="Verdana" w:hAnsi="Arial" w:cs="Arial"/>
          <w:sz w:val="24"/>
          <w:szCs w:val="24"/>
        </w:rPr>
        <w:t>debido proceso</w:t>
      </w:r>
      <w:r w:rsidR="002D6E06" w:rsidRPr="001B712C">
        <w:rPr>
          <w:rFonts w:ascii="Arial" w:eastAsia="Verdana" w:hAnsi="Arial" w:cs="Arial"/>
          <w:sz w:val="24"/>
          <w:szCs w:val="24"/>
        </w:rPr>
        <w:t xml:space="preserve"> y de acceso a la administración</w:t>
      </w:r>
      <w:r w:rsidR="00495EFA" w:rsidRPr="001B712C">
        <w:rPr>
          <w:rFonts w:ascii="Arial" w:eastAsia="Verdana" w:hAnsi="Arial" w:cs="Arial"/>
          <w:sz w:val="24"/>
          <w:szCs w:val="24"/>
        </w:rPr>
        <w:t xml:space="preserve">, </w:t>
      </w:r>
      <w:r w:rsidRPr="001B712C">
        <w:rPr>
          <w:rFonts w:ascii="Arial" w:eastAsia="Verdana" w:hAnsi="Arial" w:cs="Arial"/>
          <w:sz w:val="24"/>
          <w:szCs w:val="24"/>
        </w:rPr>
        <w:t>que estim</w:t>
      </w:r>
      <w:r w:rsidR="002B4980" w:rsidRPr="001B712C">
        <w:rPr>
          <w:rFonts w:ascii="Arial" w:eastAsia="Verdana" w:hAnsi="Arial" w:cs="Arial"/>
          <w:sz w:val="24"/>
          <w:szCs w:val="24"/>
        </w:rPr>
        <w:t>ó</w:t>
      </w:r>
      <w:r w:rsidR="00495EFA" w:rsidRPr="001B712C">
        <w:rPr>
          <w:rFonts w:ascii="Arial" w:eastAsia="Verdana" w:hAnsi="Arial" w:cs="Arial"/>
          <w:sz w:val="24"/>
          <w:szCs w:val="24"/>
        </w:rPr>
        <w:t xml:space="preserve"> </w:t>
      </w:r>
      <w:r w:rsidRPr="001B712C">
        <w:rPr>
          <w:rFonts w:ascii="Arial" w:eastAsia="Verdana" w:hAnsi="Arial" w:cs="Arial"/>
          <w:sz w:val="24"/>
          <w:szCs w:val="24"/>
        </w:rPr>
        <w:t xml:space="preserve">vulnerados por el </w:t>
      </w:r>
      <w:r w:rsidR="00495EFA" w:rsidRPr="001B712C">
        <w:rPr>
          <w:rFonts w:ascii="Arial" w:eastAsia="Verdana" w:hAnsi="Arial" w:cs="Arial"/>
          <w:sz w:val="24"/>
          <w:szCs w:val="24"/>
        </w:rPr>
        <w:t>Consejo de Estado, Sección Tercera, Subsección C.</w:t>
      </w:r>
      <w:r w:rsidRPr="001B712C">
        <w:rPr>
          <w:rFonts w:ascii="Arial" w:eastAsia="Verdana" w:hAnsi="Arial" w:cs="Arial"/>
          <w:sz w:val="24"/>
          <w:szCs w:val="24"/>
        </w:rPr>
        <w:t xml:space="preserve"> En concreto, formul</w:t>
      </w:r>
      <w:r w:rsidR="002B4980" w:rsidRPr="001B712C">
        <w:rPr>
          <w:rFonts w:ascii="Arial" w:eastAsia="Verdana" w:hAnsi="Arial" w:cs="Arial"/>
          <w:sz w:val="24"/>
          <w:szCs w:val="24"/>
        </w:rPr>
        <w:t>ó</w:t>
      </w:r>
      <w:r w:rsidR="00495EFA" w:rsidRPr="001B712C">
        <w:rPr>
          <w:rFonts w:ascii="Arial" w:eastAsia="Verdana" w:hAnsi="Arial" w:cs="Arial"/>
          <w:sz w:val="24"/>
          <w:szCs w:val="24"/>
        </w:rPr>
        <w:t xml:space="preserve"> </w:t>
      </w:r>
      <w:r w:rsidRPr="001B712C">
        <w:rPr>
          <w:rFonts w:ascii="Arial" w:eastAsia="Verdana" w:hAnsi="Arial" w:cs="Arial"/>
          <w:sz w:val="24"/>
          <w:szCs w:val="24"/>
        </w:rPr>
        <w:t>las siguientes pretensiones:</w:t>
      </w:r>
    </w:p>
    <w:p w14:paraId="5885D504" w14:textId="77777777" w:rsidR="001E370C" w:rsidRPr="001B712C" w:rsidRDefault="001E370C" w:rsidP="0046202D">
      <w:pPr>
        <w:ind w:right="224"/>
        <w:rPr>
          <w:rFonts w:ascii="Arial" w:eastAsia="Verdana" w:hAnsi="Arial" w:cs="Arial"/>
          <w:sz w:val="24"/>
          <w:szCs w:val="24"/>
        </w:rPr>
      </w:pPr>
    </w:p>
    <w:p w14:paraId="2149E202" w14:textId="77777777" w:rsidR="007D3445" w:rsidRPr="001B712C" w:rsidRDefault="00495EFA" w:rsidP="0046202D">
      <w:pPr>
        <w:pStyle w:val="Prrafodelista"/>
        <w:ind w:left="917" w:right="224"/>
        <w:rPr>
          <w:rFonts w:ascii="Arial" w:eastAsia="Verdana" w:hAnsi="Arial" w:cs="Arial"/>
          <w:sz w:val="24"/>
          <w:szCs w:val="24"/>
        </w:rPr>
      </w:pPr>
      <w:r w:rsidRPr="001B712C">
        <w:rPr>
          <w:rFonts w:ascii="Arial" w:eastAsia="Verdana" w:hAnsi="Arial" w:cs="Arial"/>
          <w:sz w:val="24"/>
          <w:szCs w:val="24"/>
        </w:rPr>
        <w:t>Primero. TUTELAR; los derechos fundamentales al debido proceso establecido en el artículo 29 de la Constitución Política de Colombia, ante la violación del artículo 29 de la Constitución Política de Colombia, por haber sido conculcados estos derechos fundamentales por parte del CONSEJO DE ESTADO SECCIÓN TERCERA SUBSECCIÓN C, en providencia del 8 de marzo de 2018</w:t>
      </w:r>
      <w:r w:rsidR="007D3445" w:rsidRPr="001B712C">
        <w:rPr>
          <w:rFonts w:ascii="Arial" w:eastAsia="Verdana" w:hAnsi="Arial" w:cs="Arial"/>
          <w:sz w:val="24"/>
          <w:szCs w:val="24"/>
        </w:rPr>
        <w:t xml:space="preserve"> (…) de la cual se notificó por anotación en el estado del 11 de mayo de 2018, dentro del proceso </w:t>
      </w:r>
      <w:proofErr w:type="spellStart"/>
      <w:r w:rsidR="007D3445" w:rsidRPr="001B712C">
        <w:rPr>
          <w:rFonts w:ascii="Arial" w:eastAsia="Verdana" w:hAnsi="Arial" w:cs="Arial"/>
          <w:sz w:val="24"/>
          <w:szCs w:val="24"/>
        </w:rPr>
        <w:t>N°</w:t>
      </w:r>
      <w:proofErr w:type="spellEnd"/>
      <w:r w:rsidR="007D3445" w:rsidRPr="001B712C">
        <w:rPr>
          <w:rFonts w:ascii="Arial" w:eastAsia="Verdana" w:hAnsi="Arial" w:cs="Arial"/>
          <w:sz w:val="24"/>
          <w:szCs w:val="24"/>
        </w:rPr>
        <w:t xml:space="preserve">. 850012333002-2016-00087-02 (59035), Demandante: UNIÓN TEMPORAL RAYUELA Demandado: Departamento de Casanare; porque se incurrió en un yerro por parte del a-quo en la providencia objeto de alzada, al no analizar de forma correcta la contabilización de los términos de la caducidad, que fue interrumpida con la </w:t>
      </w:r>
      <w:r w:rsidR="002B4980" w:rsidRPr="001B712C">
        <w:rPr>
          <w:rFonts w:ascii="Arial" w:eastAsia="Verdana" w:hAnsi="Arial" w:cs="Arial"/>
          <w:sz w:val="24"/>
          <w:szCs w:val="24"/>
        </w:rPr>
        <w:t xml:space="preserve">solicitud </w:t>
      </w:r>
      <w:r w:rsidR="007D3445" w:rsidRPr="001B712C">
        <w:rPr>
          <w:rFonts w:ascii="Arial" w:eastAsia="Verdana" w:hAnsi="Arial" w:cs="Arial"/>
          <w:sz w:val="24"/>
          <w:szCs w:val="24"/>
        </w:rPr>
        <w:t xml:space="preserve">de conciliación, en aplicación el artículo 13 de la ley 1285 de 2009, </w:t>
      </w:r>
      <w:proofErr w:type="gramStart"/>
      <w:r w:rsidR="007D3445" w:rsidRPr="001B712C">
        <w:rPr>
          <w:rFonts w:ascii="Arial" w:eastAsia="Verdana" w:hAnsi="Arial" w:cs="Arial"/>
          <w:sz w:val="24"/>
          <w:szCs w:val="24"/>
        </w:rPr>
        <w:t>de acuerdo a</w:t>
      </w:r>
      <w:proofErr w:type="gramEnd"/>
      <w:r w:rsidR="007D3445" w:rsidRPr="001B712C">
        <w:rPr>
          <w:rFonts w:ascii="Arial" w:eastAsia="Verdana" w:hAnsi="Arial" w:cs="Arial"/>
          <w:sz w:val="24"/>
          <w:szCs w:val="24"/>
        </w:rPr>
        <w:t xml:space="preserve"> como más adelante demostraré en el transcurso de la presente acción de tutela. </w:t>
      </w:r>
    </w:p>
    <w:p w14:paraId="2A701B41" w14:textId="77777777" w:rsidR="007D3445" w:rsidRPr="001B712C" w:rsidRDefault="007D3445" w:rsidP="0046202D">
      <w:pPr>
        <w:pStyle w:val="Prrafodelista"/>
        <w:ind w:left="917" w:right="224"/>
        <w:rPr>
          <w:rFonts w:ascii="Arial" w:eastAsia="Verdana" w:hAnsi="Arial" w:cs="Arial"/>
          <w:sz w:val="24"/>
          <w:szCs w:val="24"/>
        </w:rPr>
      </w:pPr>
    </w:p>
    <w:p w14:paraId="29D24CC1" w14:textId="77777777" w:rsidR="005A1B4D" w:rsidRPr="001B712C" w:rsidRDefault="007D3445" w:rsidP="0046202D">
      <w:pPr>
        <w:pStyle w:val="Prrafodelista"/>
        <w:ind w:left="917" w:right="224"/>
        <w:rPr>
          <w:rFonts w:ascii="Arial" w:eastAsia="Verdana" w:hAnsi="Arial" w:cs="Arial"/>
          <w:sz w:val="24"/>
          <w:szCs w:val="24"/>
        </w:rPr>
      </w:pPr>
      <w:r w:rsidRPr="001B712C">
        <w:rPr>
          <w:rFonts w:ascii="Arial" w:eastAsia="Verdana" w:hAnsi="Arial" w:cs="Arial"/>
          <w:sz w:val="24"/>
          <w:szCs w:val="24"/>
        </w:rPr>
        <w:t>Segundo: que como consecu</w:t>
      </w:r>
      <w:r w:rsidR="002B4980" w:rsidRPr="001B712C">
        <w:rPr>
          <w:rFonts w:ascii="Arial" w:eastAsia="Verdana" w:hAnsi="Arial" w:cs="Arial"/>
          <w:sz w:val="24"/>
          <w:szCs w:val="24"/>
        </w:rPr>
        <w:t>encia de lo anterior, se deje si</w:t>
      </w:r>
      <w:r w:rsidRPr="001B712C">
        <w:rPr>
          <w:rFonts w:ascii="Arial" w:eastAsia="Verdana" w:hAnsi="Arial" w:cs="Arial"/>
          <w:sz w:val="24"/>
          <w:szCs w:val="24"/>
        </w:rPr>
        <w:t xml:space="preserve">n valor y efecto legal la providencia contra providencia </w:t>
      </w:r>
      <w:r w:rsidR="002B4980" w:rsidRPr="001B712C">
        <w:rPr>
          <w:rFonts w:ascii="Arial" w:eastAsia="Verdana" w:hAnsi="Arial" w:cs="Arial"/>
          <w:i/>
          <w:sz w:val="24"/>
          <w:szCs w:val="24"/>
        </w:rPr>
        <w:t>(sic)</w:t>
      </w:r>
      <w:r w:rsidR="002B4980" w:rsidRPr="001B712C">
        <w:rPr>
          <w:rFonts w:ascii="Arial" w:eastAsia="Verdana" w:hAnsi="Arial" w:cs="Arial"/>
          <w:sz w:val="24"/>
          <w:szCs w:val="24"/>
        </w:rPr>
        <w:t xml:space="preserve"> </w:t>
      </w:r>
      <w:r w:rsidRPr="001B712C">
        <w:rPr>
          <w:rFonts w:ascii="Arial" w:eastAsia="Verdana" w:hAnsi="Arial" w:cs="Arial"/>
          <w:sz w:val="24"/>
          <w:szCs w:val="24"/>
        </w:rPr>
        <w:t xml:space="preserve">del 8 de marzo de 2018 proferida por el CONCEJO </w:t>
      </w:r>
      <w:r w:rsidRPr="001B712C">
        <w:rPr>
          <w:rFonts w:ascii="Arial" w:eastAsia="Verdana" w:hAnsi="Arial" w:cs="Arial"/>
          <w:i/>
          <w:sz w:val="24"/>
          <w:szCs w:val="24"/>
        </w:rPr>
        <w:t>(sic)</w:t>
      </w:r>
      <w:r w:rsidRPr="001B712C">
        <w:rPr>
          <w:rFonts w:ascii="Arial" w:eastAsia="Verdana" w:hAnsi="Arial" w:cs="Arial"/>
          <w:sz w:val="24"/>
          <w:szCs w:val="24"/>
        </w:rPr>
        <w:t xml:space="preserve"> DE ESTADO</w:t>
      </w:r>
      <w:r w:rsidR="005A1B4D" w:rsidRPr="001B712C">
        <w:rPr>
          <w:rFonts w:ascii="Arial" w:eastAsia="Verdana" w:hAnsi="Arial" w:cs="Arial"/>
          <w:sz w:val="24"/>
          <w:szCs w:val="24"/>
        </w:rPr>
        <w:t xml:space="preserve"> SECCIÓN TERCERA SUBSECCIÓN C, de la cual se notificó por anotación en el estado del 11 de mayo de 2018, y en su lugar se ordene la admisión del medio de control como en justicia y derecho corresponde. </w:t>
      </w:r>
    </w:p>
    <w:p w14:paraId="03D74E2D" w14:textId="77777777" w:rsidR="005A1B4D" w:rsidRPr="001B712C" w:rsidRDefault="005A1B4D" w:rsidP="0046202D">
      <w:pPr>
        <w:pStyle w:val="Prrafodelista"/>
        <w:ind w:left="917" w:right="224"/>
        <w:rPr>
          <w:rFonts w:ascii="Arial" w:eastAsia="Verdana" w:hAnsi="Arial" w:cs="Arial"/>
          <w:sz w:val="24"/>
          <w:szCs w:val="24"/>
        </w:rPr>
      </w:pPr>
    </w:p>
    <w:p w14:paraId="75DEC174" w14:textId="77777777" w:rsidR="001E370C" w:rsidRPr="001B712C" w:rsidRDefault="005A1B4D" w:rsidP="0046202D">
      <w:pPr>
        <w:pStyle w:val="Prrafodelista"/>
        <w:ind w:left="917" w:right="224"/>
        <w:rPr>
          <w:rFonts w:ascii="Arial" w:eastAsia="Verdana" w:hAnsi="Arial" w:cs="Arial"/>
          <w:sz w:val="24"/>
          <w:szCs w:val="24"/>
        </w:rPr>
      </w:pPr>
      <w:r w:rsidRPr="001B712C">
        <w:rPr>
          <w:rFonts w:ascii="Arial" w:eastAsia="Verdana" w:hAnsi="Arial" w:cs="Arial"/>
          <w:sz w:val="24"/>
          <w:szCs w:val="24"/>
        </w:rPr>
        <w:t>Tercero. Como consecuencia de lo anterior, se ordene al Tribunal Administrativo del Casanare, que debe admitir la demanda, objeto de la presente acción constitucional</w:t>
      </w:r>
      <w:r w:rsidRPr="001B712C">
        <w:rPr>
          <w:rStyle w:val="Refdenotaalpie"/>
          <w:rFonts w:ascii="Arial" w:eastAsia="Verdana" w:hAnsi="Arial" w:cs="Arial"/>
          <w:szCs w:val="24"/>
        </w:rPr>
        <w:footnoteReference w:id="1"/>
      </w:r>
      <w:r w:rsidRPr="001B712C">
        <w:rPr>
          <w:rFonts w:ascii="Arial" w:eastAsia="Verdana" w:hAnsi="Arial" w:cs="Arial"/>
          <w:sz w:val="24"/>
          <w:szCs w:val="24"/>
        </w:rPr>
        <w:t xml:space="preserve">. </w:t>
      </w:r>
      <w:r w:rsidR="007D3445" w:rsidRPr="001B712C">
        <w:rPr>
          <w:rFonts w:ascii="Arial" w:eastAsia="Verdana" w:hAnsi="Arial" w:cs="Arial"/>
          <w:sz w:val="24"/>
          <w:szCs w:val="24"/>
        </w:rPr>
        <w:t xml:space="preserve">   </w:t>
      </w:r>
    </w:p>
    <w:p w14:paraId="7DB06650" w14:textId="77777777" w:rsidR="001E370C" w:rsidRPr="001B712C" w:rsidRDefault="001E370C" w:rsidP="0046202D">
      <w:pPr>
        <w:pStyle w:val="Prrafodelista"/>
        <w:ind w:left="917" w:right="224"/>
        <w:rPr>
          <w:rFonts w:ascii="Arial" w:eastAsia="Verdana" w:hAnsi="Arial" w:cs="Arial"/>
          <w:sz w:val="24"/>
          <w:szCs w:val="24"/>
        </w:rPr>
      </w:pPr>
    </w:p>
    <w:p w14:paraId="73520FE8" w14:textId="77777777" w:rsidR="001E370C" w:rsidRPr="001B712C" w:rsidRDefault="001E370C" w:rsidP="0046202D">
      <w:pPr>
        <w:pStyle w:val="Prrafodelista"/>
        <w:numPr>
          <w:ilvl w:val="0"/>
          <w:numId w:val="1"/>
        </w:numPr>
        <w:pBdr>
          <w:top w:val="nil"/>
          <w:left w:val="nil"/>
          <w:bottom w:val="nil"/>
          <w:right w:val="nil"/>
          <w:between w:val="nil"/>
        </w:pBdr>
        <w:rPr>
          <w:rFonts w:ascii="Arial" w:eastAsia="Verdana" w:hAnsi="Arial" w:cs="Arial"/>
          <w:color w:val="000000"/>
          <w:sz w:val="24"/>
          <w:szCs w:val="24"/>
        </w:rPr>
      </w:pPr>
      <w:r w:rsidRPr="001B712C">
        <w:rPr>
          <w:rFonts w:ascii="Arial" w:eastAsia="Verdana" w:hAnsi="Arial" w:cs="Arial"/>
          <w:b/>
          <w:color w:val="000000"/>
          <w:sz w:val="24"/>
          <w:szCs w:val="24"/>
        </w:rPr>
        <w:t>Hechos</w:t>
      </w:r>
    </w:p>
    <w:p w14:paraId="2E39396F" w14:textId="77777777" w:rsidR="001E370C" w:rsidRPr="001B712C" w:rsidRDefault="001E370C" w:rsidP="0046202D">
      <w:pPr>
        <w:widowControl w:val="0"/>
        <w:pBdr>
          <w:top w:val="nil"/>
          <w:left w:val="nil"/>
          <w:bottom w:val="nil"/>
          <w:right w:val="nil"/>
          <w:between w:val="nil"/>
        </w:pBdr>
        <w:tabs>
          <w:tab w:val="left" w:pos="1418"/>
        </w:tabs>
        <w:ind w:left="708"/>
        <w:rPr>
          <w:rFonts w:ascii="Arial" w:eastAsia="Verdana" w:hAnsi="Arial" w:cs="Arial"/>
          <w:color w:val="000000"/>
          <w:sz w:val="24"/>
          <w:szCs w:val="24"/>
        </w:rPr>
      </w:pPr>
    </w:p>
    <w:p w14:paraId="645D1E6E" w14:textId="77777777" w:rsidR="001E370C" w:rsidRPr="001B712C" w:rsidRDefault="001E370C" w:rsidP="0046202D">
      <w:pPr>
        <w:widowControl w:val="0"/>
        <w:pBdr>
          <w:top w:val="nil"/>
          <w:left w:val="nil"/>
          <w:bottom w:val="nil"/>
          <w:right w:val="nil"/>
          <w:between w:val="nil"/>
        </w:pBdr>
        <w:tabs>
          <w:tab w:val="left" w:pos="1418"/>
        </w:tabs>
        <w:rPr>
          <w:rFonts w:ascii="Arial" w:eastAsia="Verdana" w:hAnsi="Arial" w:cs="Arial"/>
          <w:color w:val="000000"/>
          <w:sz w:val="24"/>
          <w:szCs w:val="24"/>
        </w:rPr>
      </w:pPr>
      <w:r w:rsidRPr="001B712C">
        <w:rPr>
          <w:rFonts w:ascii="Arial" w:eastAsia="Verdana" w:hAnsi="Arial" w:cs="Arial"/>
          <w:color w:val="000000"/>
          <w:sz w:val="24"/>
          <w:szCs w:val="24"/>
        </w:rPr>
        <w:t>Del expediente, la Sala destaca los siguientes hechos relevantes:</w:t>
      </w:r>
    </w:p>
    <w:p w14:paraId="63654A42" w14:textId="77777777" w:rsidR="001E370C" w:rsidRPr="001B712C" w:rsidRDefault="001E370C" w:rsidP="0046202D">
      <w:pPr>
        <w:widowControl w:val="0"/>
        <w:pBdr>
          <w:top w:val="nil"/>
          <w:left w:val="nil"/>
          <w:bottom w:val="nil"/>
          <w:right w:val="nil"/>
          <w:between w:val="nil"/>
        </w:pBdr>
        <w:tabs>
          <w:tab w:val="left" w:pos="1418"/>
        </w:tabs>
        <w:rPr>
          <w:rFonts w:ascii="Arial" w:eastAsia="Verdana" w:hAnsi="Arial" w:cs="Arial"/>
          <w:color w:val="000000"/>
          <w:sz w:val="24"/>
          <w:szCs w:val="24"/>
        </w:rPr>
      </w:pPr>
    </w:p>
    <w:p w14:paraId="3FDEC02F" w14:textId="77777777" w:rsidR="00E904D1" w:rsidRPr="001B712C" w:rsidRDefault="001E370C" w:rsidP="0046202D">
      <w:pPr>
        <w:ind w:right="51"/>
        <w:rPr>
          <w:rFonts w:ascii="Arial" w:eastAsia="Verdana" w:hAnsi="Arial" w:cs="Arial"/>
          <w:sz w:val="24"/>
          <w:szCs w:val="24"/>
        </w:rPr>
      </w:pPr>
      <w:r w:rsidRPr="001B712C">
        <w:rPr>
          <w:rFonts w:ascii="Arial" w:eastAsia="Verdana" w:hAnsi="Arial" w:cs="Arial"/>
          <w:sz w:val="24"/>
          <w:szCs w:val="24"/>
        </w:rPr>
        <w:lastRenderedPageBreak/>
        <w:t xml:space="preserve">2.1. </w:t>
      </w:r>
      <w:r w:rsidR="00E904D1" w:rsidRPr="001B712C">
        <w:rPr>
          <w:rFonts w:ascii="Arial" w:eastAsia="Verdana" w:hAnsi="Arial" w:cs="Arial"/>
          <w:sz w:val="24"/>
          <w:szCs w:val="24"/>
        </w:rPr>
        <w:t>El 19 de diciembre de 2008, la Unión Temporal Rayuela y el departamento de Casanare suscribieron el contrato de obra</w:t>
      </w:r>
      <w:r w:rsidR="00966294" w:rsidRPr="001B712C">
        <w:rPr>
          <w:rFonts w:ascii="Arial" w:eastAsia="Verdana" w:hAnsi="Arial" w:cs="Arial"/>
          <w:sz w:val="24"/>
          <w:szCs w:val="24"/>
        </w:rPr>
        <w:t xml:space="preserve"> 0062, cuyo objeto era </w:t>
      </w:r>
      <w:r w:rsidR="002B4980" w:rsidRPr="001B712C">
        <w:rPr>
          <w:rFonts w:ascii="Arial" w:eastAsia="Verdana" w:hAnsi="Arial" w:cs="Arial"/>
          <w:sz w:val="24"/>
          <w:szCs w:val="24"/>
        </w:rPr>
        <w:t xml:space="preserve">la </w:t>
      </w:r>
      <w:r w:rsidR="00966294" w:rsidRPr="001B712C">
        <w:rPr>
          <w:rFonts w:ascii="Arial" w:eastAsia="Verdana" w:hAnsi="Arial" w:cs="Arial"/>
          <w:sz w:val="24"/>
          <w:szCs w:val="24"/>
        </w:rPr>
        <w:t>«</w:t>
      </w:r>
      <w:r w:rsidR="00966294" w:rsidRPr="001B712C">
        <w:rPr>
          <w:rFonts w:ascii="Arial" w:eastAsia="Verdana" w:hAnsi="Arial" w:cs="Arial"/>
          <w:i/>
          <w:sz w:val="24"/>
          <w:szCs w:val="24"/>
        </w:rPr>
        <w:t>adecuac</w:t>
      </w:r>
      <w:r w:rsidR="002B4980" w:rsidRPr="001B712C">
        <w:rPr>
          <w:rFonts w:ascii="Arial" w:eastAsia="Verdana" w:hAnsi="Arial" w:cs="Arial"/>
          <w:i/>
          <w:sz w:val="24"/>
          <w:szCs w:val="24"/>
        </w:rPr>
        <w:t>ión y mejoramiento de la torre A</w:t>
      </w:r>
      <w:r w:rsidR="00966294" w:rsidRPr="001B712C">
        <w:rPr>
          <w:rFonts w:ascii="Arial" w:eastAsia="Verdana" w:hAnsi="Arial" w:cs="Arial"/>
          <w:i/>
          <w:sz w:val="24"/>
          <w:szCs w:val="24"/>
        </w:rPr>
        <w:t xml:space="preserve"> del nuevo centro administrativo departamental de Casanare</w:t>
      </w:r>
      <w:r w:rsidR="00966294" w:rsidRPr="001B712C">
        <w:rPr>
          <w:rFonts w:ascii="Arial" w:eastAsia="Verdana" w:hAnsi="Arial" w:cs="Arial"/>
          <w:sz w:val="24"/>
          <w:szCs w:val="24"/>
        </w:rPr>
        <w:t>»</w:t>
      </w:r>
      <w:r w:rsidR="00966294" w:rsidRPr="001B712C">
        <w:rPr>
          <w:rStyle w:val="Refdenotaalpie"/>
          <w:rFonts w:ascii="Arial" w:eastAsia="Verdana" w:hAnsi="Arial" w:cs="Arial"/>
          <w:szCs w:val="24"/>
        </w:rPr>
        <w:footnoteReference w:id="2"/>
      </w:r>
      <w:r w:rsidR="00966294" w:rsidRPr="001B712C">
        <w:rPr>
          <w:rFonts w:ascii="Arial" w:eastAsia="Verdana" w:hAnsi="Arial" w:cs="Arial"/>
          <w:sz w:val="24"/>
          <w:szCs w:val="24"/>
        </w:rPr>
        <w:t xml:space="preserve">. </w:t>
      </w:r>
      <w:r w:rsidR="00E904D1" w:rsidRPr="001B712C">
        <w:rPr>
          <w:rFonts w:ascii="Arial" w:eastAsia="Verdana" w:hAnsi="Arial" w:cs="Arial"/>
          <w:sz w:val="24"/>
          <w:szCs w:val="24"/>
        </w:rPr>
        <w:t xml:space="preserve"> </w:t>
      </w:r>
    </w:p>
    <w:p w14:paraId="5F7FAEBA" w14:textId="77777777" w:rsidR="00966294" w:rsidRPr="001B712C" w:rsidRDefault="00966294" w:rsidP="0046202D">
      <w:pPr>
        <w:ind w:right="51"/>
        <w:rPr>
          <w:rFonts w:ascii="Arial" w:eastAsia="Verdana" w:hAnsi="Arial" w:cs="Arial"/>
          <w:sz w:val="24"/>
          <w:szCs w:val="24"/>
        </w:rPr>
      </w:pPr>
    </w:p>
    <w:p w14:paraId="405F05BD" w14:textId="77777777" w:rsidR="00966294" w:rsidRPr="001B712C" w:rsidRDefault="00966294" w:rsidP="0046202D">
      <w:pPr>
        <w:ind w:right="51"/>
        <w:rPr>
          <w:rFonts w:ascii="Arial" w:eastAsia="Verdana" w:hAnsi="Arial" w:cs="Arial"/>
          <w:sz w:val="24"/>
          <w:szCs w:val="24"/>
        </w:rPr>
      </w:pPr>
      <w:r w:rsidRPr="001B712C">
        <w:rPr>
          <w:rFonts w:ascii="Arial" w:eastAsia="Verdana" w:hAnsi="Arial" w:cs="Arial"/>
          <w:sz w:val="24"/>
          <w:szCs w:val="24"/>
        </w:rPr>
        <w:t>2.2. El departamento de Casanare, mediante Resoluci</w:t>
      </w:r>
      <w:r w:rsidR="005D32B9" w:rsidRPr="001B712C">
        <w:rPr>
          <w:rFonts w:ascii="Arial" w:eastAsia="Verdana" w:hAnsi="Arial" w:cs="Arial"/>
          <w:sz w:val="24"/>
          <w:szCs w:val="24"/>
        </w:rPr>
        <w:t>ones</w:t>
      </w:r>
      <w:r w:rsidRPr="001B712C">
        <w:rPr>
          <w:rFonts w:ascii="Arial" w:eastAsia="Verdana" w:hAnsi="Arial" w:cs="Arial"/>
          <w:sz w:val="24"/>
          <w:szCs w:val="24"/>
        </w:rPr>
        <w:t xml:space="preserve"> 004 del 11 de febrero de 2014</w:t>
      </w:r>
      <w:r w:rsidR="005D32B9" w:rsidRPr="001B712C">
        <w:rPr>
          <w:rFonts w:ascii="Arial" w:eastAsia="Verdana" w:hAnsi="Arial" w:cs="Arial"/>
          <w:sz w:val="24"/>
          <w:szCs w:val="24"/>
        </w:rPr>
        <w:t xml:space="preserve"> y 006 del 21 de febrero de 2014</w:t>
      </w:r>
      <w:r w:rsidRPr="001B712C">
        <w:rPr>
          <w:rFonts w:ascii="Arial" w:eastAsia="Verdana" w:hAnsi="Arial" w:cs="Arial"/>
          <w:sz w:val="24"/>
          <w:szCs w:val="24"/>
        </w:rPr>
        <w:t xml:space="preserve">, declaró el incumplimiento del contrato 0062 de 2008 </w:t>
      </w:r>
      <w:r w:rsidR="005D32B9" w:rsidRPr="001B712C">
        <w:rPr>
          <w:rFonts w:ascii="Arial" w:eastAsia="Verdana" w:hAnsi="Arial" w:cs="Arial"/>
          <w:sz w:val="24"/>
          <w:szCs w:val="24"/>
        </w:rPr>
        <w:t xml:space="preserve">e hizo efectiva la cláusula penal. </w:t>
      </w:r>
    </w:p>
    <w:p w14:paraId="186BFA48" w14:textId="77777777" w:rsidR="005D32B9" w:rsidRPr="001B712C" w:rsidRDefault="005D32B9" w:rsidP="0046202D">
      <w:pPr>
        <w:ind w:right="51"/>
        <w:rPr>
          <w:rFonts w:ascii="Arial" w:eastAsia="Verdana" w:hAnsi="Arial" w:cs="Arial"/>
          <w:sz w:val="24"/>
          <w:szCs w:val="24"/>
        </w:rPr>
      </w:pPr>
    </w:p>
    <w:p w14:paraId="016D4EBD" w14:textId="77777777" w:rsidR="00C46B6D" w:rsidRPr="001B712C" w:rsidRDefault="005D32B9" w:rsidP="0046202D">
      <w:pPr>
        <w:ind w:right="51"/>
        <w:rPr>
          <w:rFonts w:ascii="Arial" w:eastAsia="Verdana" w:hAnsi="Arial" w:cs="Arial"/>
          <w:sz w:val="24"/>
          <w:szCs w:val="24"/>
        </w:rPr>
      </w:pPr>
      <w:r w:rsidRPr="001B712C">
        <w:rPr>
          <w:rFonts w:ascii="Arial" w:eastAsia="Verdana" w:hAnsi="Arial" w:cs="Arial"/>
          <w:sz w:val="24"/>
          <w:szCs w:val="24"/>
        </w:rPr>
        <w:t xml:space="preserve">2.3. </w:t>
      </w:r>
      <w:r w:rsidR="00C46B6D" w:rsidRPr="001B712C">
        <w:rPr>
          <w:rFonts w:ascii="Arial" w:eastAsia="Verdana" w:hAnsi="Arial" w:cs="Arial"/>
          <w:sz w:val="24"/>
          <w:szCs w:val="24"/>
        </w:rPr>
        <w:t xml:space="preserve">El 4 de marzo de 2014, el departamento de Casanare y la Unión Temporal </w:t>
      </w:r>
      <w:r w:rsidR="006E31B8" w:rsidRPr="001B712C">
        <w:rPr>
          <w:rFonts w:ascii="Arial" w:eastAsia="Verdana" w:hAnsi="Arial" w:cs="Arial"/>
          <w:sz w:val="24"/>
          <w:szCs w:val="24"/>
        </w:rPr>
        <w:t xml:space="preserve">Rayuela </w:t>
      </w:r>
      <w:r w:rsidR="00C46B6D" w:rsidRPr="001B712C">
        <w:rPr>
          <w:rFonts w:ascii="Arial" w:eastAsia="Verdana" w:hAnsi="Arial" w:cs="Arial"/>
          <w:sz w:val="24"/>
          <w:szCs w:val="24"/>
        </w:rPr>
        <w:t xml:space="preserve">suscribieron acta bilateral de liquidación del contrato. </w:t>
      </w:r>
    </w:p>
    <w:p w14:paraId="59724D13" w14:textId="77777777" w:rsidR="00C46B6D" w:rsidRPr="001B712C" w:rsidRDefault="00C46B6D" w:rsidP="0046202D">
      <w:pPr>
        <w:ind w:right="51"/>
        <w:rPr>
          <w:rFonts w:ascii="Arial" w:eastAsia="Verdana" w:hAnsi="Arial" w:cs="Arial"/>
          <w:sz w:val="24"/>
          <w:szCs w:val="24"/>
        </w:rPr>
      </w:pPr>
    </w:p>
    <w:p w14:paraId="1103B663" w14:textId="77777777" w:rsidR="00385A57" w:rsidRPr="001B712C" w:rsidRDefault="00C46B6D" w:rsidP="0046202D">
      <w:pPr>
        <w:ind w:right="51"/>
        <w:rPr>
          <w:rFonts w:ascii="Arial" w:eastAsia="Verdana" w:hAnsi="Arial" w:cs="Arial"/>
          <w:sz w:val="24"/>
          <w:szCs w:val="24"/>
        </w:rPr>
      </w:pPr>
      <w:r w:rsidRPr="001B712C">
        <w:rPr>
          <w:rFonts w:ascii="Arial" w:eastAsia="Verdana" w:hAnsi="Arial" w:cs="Arial"/>
          <w:sz w:val="24"/>
          <w:szCs w:val="24"/>
        </w:rPr>
        <w:t xml:space="preserve">2.4. </w:t>
      </w:r>
      <w:r w:rsidR="005A1B4D" w:rsidRPr="001B712C">
        <w:rPr>
          <w:rFonts w:ascii="Arial" w:eastAsia="Verdana" w:hAnsi="Arial" w:cs="Arial"/>
          <w:sz w:val="24"/>
          <w:szCs w:val="24"/>
        </w:rPr>
        <w:t xml:space="preserve">En ejercicio de la acción de controversias contractuales, la Unión Temporal Rayuela pidió la nulidad </w:t>
      </w:r>
      <w:r w:rsidR="00385A57" w:rsidRPr="001B712C">
        <w:rPr>
          <w:rFonts w:ascii="Arial" w:eastAsia="Verdana" w:hAnsi="Arial" w:cs="Arial"/>
          <w:sz w:val="24"/>
          <w:szCs w:val="24"/>
        </w:rPr>
        <w:t xml:space="preserve">de las Resoluciones 0004 </w:t>
      </w:r>
      <w:r w:rsidR="005D32B9" w:rsidRPr="001B712C">
        <w:rPr>
          <w:rFonts w:ascii="Arial" w:eastAsia="Verdana" w:hAnsi="Arial" w:cs="Arial"/>
          <w:sz w:val="24"/>
          <w:szCs w:val="24"/>
        </w:rPr>
        <w:t xml:space="preserve">y </w:t>
      </w:r>
      <w:r w:rsidR="00385A57" w:rsidRPr="001B712C">
        <w:rPr>
          <w:rFonts w:ascii="Arial" w:eastAsia="Verdana" w:hAnsi="Arial" w:cs="Arial"/>
          <w:sz w:val="24"/>
          <w:szCs w:val="24"/>
        </w:rPr>
        <w:t>0062 de 2014</w:t>
      </w:r>
      <w:r w:rsidR="003002A3" w:rsidRPr="001B712C">
        <w:rPr>
          <w:rFonts w:ascii="Arial" w:eastAsia="Verdana" w:hAnsi="Arial" w:cs="Arial"/>
          <w:sz w:val="24"/>
          <w:szCs w:val="24"/>
        </w:rPr>
        <w:t xml:space="preserve">. En consecuencia, solicitó </w:t>
      </w:r>
      <w:r w:rsidR="005D32B9" w:rsidRPr="001B712C">
        <w:rPr>
          <w:rFonts w:ascii="Arial" w:eastAsia="Verdana" w:hAnsi="Arial" w:cs="Arial"/>
          <w:sz w:val="24"/>
          <w:szCs w:val="24"/>
        </w:rPr>
        <w:t>que se declarara que no se incumplió el contrato</w:t>
      </w:r>
      <w:r w:rsidR="00CC45EF" w:rsidRPr="001B712C">
        <w:rPr>
          <w:rFonts w:ascii="Arial" w:eastAsia="Verdana" w:hAnsi="Arial" w:cs="Arial"/>
          <w:sz w:val="24"/>
          <w:szCs w:val="24"/>
        </w:rPr>
        <w:t xml:space="preserve"> de obra</w:t>
      </w:r>
      <w:r w:rsidR="005D32B9" w:rsidRPr="001B712C">
        <w:rPr>
          <w:rFonts w:ascii="Arial" w:eastAsia="Verdana" w:hAnsi="Arial" w:cs="Arial"/>
          <w:sz w:val="24"/>
          <w:szCs w:val="24"/>
        </w:rPr>
        <w:t xml:space="preserve">, que no hay lugar a hacer efectiva la cláusula penal y que se condenara al pago de los perjuicios causados. </w:t>
      </w:r>
    </w:p>
    <w:p w14:paraId="5678A2CB" w14:textId="77777777" w:rsidR="005D32B9" w:rsidRPr="001B712C" w:rsidRDefault="005D32B9" w:rsidP="0046202D">
      <w:pPr>
        <w:ind w:right="51"/>
        <w:rPr>
          <w:rFonts w:ascii="Arial" w:eastAsia="Verdana" w:hAnsi="Arial" w:cs="Arial"/>
          <w:sz w:val="24"/>
          <w:szCs w:val="24"/>
        </w:rPr>
      </w:pPr>
    </w:p>
    <w:p w14:paraId="6D0A33BD" w14:textId="77777777" w:rsidR="00385A57" w:rsidRPr="001B712C" w:rsidRDefault="00385A57" w:rsidP="0046202D">
      <w:pPr>
        <w:ind w:right="51"/>
        <w:rPr>
          <w:rFonts w:ascii="Arial" w:eastAsia="Verdana" w:hAnsi="Arial" w:cs="Arial"/>
          <w:sz w:val="24"/>
          <w:szCs w:val="24"/>
        </w:rPr>
      </w:pPr>
      <w:r w:rsidRPr="001B712C">
        <w:rPr>
          <w:rFonts w:ascii="Arial" w:eastAsia="Verdana" w:hAnsi="Arial" w:cs="Arial"/>
          <w:sz w:val="24"/>
          <w:szCs w:val="24"/>
        </w:rPr>
        <w:t>2.</w:t>
      </w:r>
      <w:r w:rsidR="002B4980" w:rsidRPr="001B712C">
        <w:rPr>
          <w:rFonts w:ascii="Arial" w:eastAsia="Verdana" w:hAnsi="Arial" w:cs="Arial"/>
          <w:sz w:val="24"/>
          <w:szCs w:val="24"/>
        </w:rPr>
        <w:t>5</w:t>
      </w:r>
      <w:r w:rsidRPr="001B712C">
        <w:rPr>
          <w:rFonts w:ascii="Arial" w:eastAsia="Verdana" w:hAnsi="Arial" w:cs="Arial"/>
          <w:sz w:val="24"/>
          <w:szCs w:val="24"/>
        </w:rPr>
        <w:t xml:space="preserve">. La demanda correspondió al Tribunal Administrativo de Casanare, que, mediante providencia del 6 de mayo de 2016, la inadmitió para que i) </w:t>
      </w:r>
      <w:r w:rsidR="003002A3" w:rsidRPr="001B712C">
        <w:rPr>
          <w:rFonts w:ascii="Arial" w:eastAsia="Verdana" w:hAnsi="Arial" w:cs="Arial"/>
          <w:sz w:val="24"/>
          <w:szCs w:val="24"/>
        </w:rPr>
        <w:t xml:space="preserve">se precisara </w:t>
      </w:r>
      <w:r w:rsidRPr="001B712C">
        <w:rPr>
          <w:rFonts w:ascii="Arial" w:eastAsia="Verdana" w:hAnsi="Arial" w:cs="Arial"/>
          <w:sz w:val="24"/>
          <w:szCs w:val="24"/>
        </w:rPr>
        <w:t>la vigencia de la Unión Temporal Rayuela</w:t>
      </w:r>
      <w:r w:rsidR="003002A3" w:rsidRPr="001B712C">
        <w:rPr>
          <w:rFonts w:ascii="Arial" w:eastAsia="Verdana" w:hAnsi="Arial" w:cs="Arial"/>
          <w:sz w:val="24"/>
          <w:szCs w:val="24"/>
        </w:rPr>
        <w:t>,</w:t>
      </w:r>
      <w:r w:rsidRPr="001B712C">
        <w:rPr>
          <w:rFonts w:ascii="Arial" w:eastAsia="Verdana" w:hAnsi="Arial" w:cs="Arial"/>
          <w:sz w:val="24"/>
          <w:szCs w:val="24"/>
        </w:rPr>
        <w:t xml:space="preserve"> </w:t>
      </w:r>
      <w:proofErr w:type="spellStart"/>
      <w:r w:rsidRPr="001B712C">
        <w:rPr>
          <w:rFonts w:ascii="Arial" w:eastAsia="Verdana" w:hAnsi="Arial" w:cs="Arial"/>
          <w:sz w:val="24"/>
          <w:szCs w:val="24"/>
        </w:rPr>
        <w:t>ii</w:t>
      </w:r>
      <w:proofErr w:type="spellEnd"/>
      <w:r w:rsidRPr="001B712C">
        <w:rPr>
          <w:rFonts w:ascii="Arial" w:eastAsia="Verdana" w:hAnsi="Arial" w:cs="Arial"/>
          <w:sz w:val="24"/>
          <w:szCs w:val="24"/>
        </w:rPr>
        <w:t>) se aportara el certificado de existencia y representación legal de la aseguradora convocada</w:t>
      </w:r>
      <w:r w:rsidR="003002A3" w:rsidRPr="001B712C">
        <w:rPr>
          <w:rFonts w:ascii="Arial" w:eastAsia="Verdana" w:hAnsi="Arial" w:cs="Arial"/>
          <w:sz w:val="24"/>
          <w:szCs w:val="24"/>
        </w:rPr>
        <w:t>,</w:t>
      </w:r>
      <w:r w:rsidRPr="001B712C">
        <w:rPr>
          <w:rFonts w:ascii="Arial" w:eastAsia="Verdana" w:hAnsi="Arial" w:cs="Arial"/>
          <w:sz w:val="24"/>
          <w:szCs w:val="24"/>
        </w:rPr>
        <w:t xml:space="preserve"> </w:t>
      </w:r>
      <w:proofErr w:type="spellStart"/>
      <w:r w:rsidRPr="001B712C">
        <w:rPr>
          <w:rFonts w:ascii="Arial" w:eastAsia="Verdana" w:hAnsi="Arial" w:cs="Arial"/>
          <w:sz w:val="24"/>
          <w:szCs w:val="24"/>
        </w:rPr>
        <w:t>iii</w:t>
      </w:r>
      <w:proofErr w:type="spellEnd"/>
      <w:r w:rsidRPr="001B712C">
        <w:rPr>
          <w:rFonts w:ascii="Arial" w:eastAsia="Verdana" w:hAnsi="Arial" w:cs="Arial"/>
          <w:sz w:val="24"/>
          <w:szCs w:val="24"/>
        </w:rPr>
        <w:t xml:space="preserve">) se separaran las pretensiones y </w:t>
      </w:r>
      <w:proofErr w:type="spellStart"/>
      <w:r w:rsidRPr="001B712C">
        <w:rPr>
          <w:rFonts w:ascii="Arial" w:eastAsia="Verdana" w:hAnsi="Arial" w:cs="Arial"/>
          <w:sz w:val="24"/>
          <w:szCs w:val="24"/>
        </w:rPr>
        <w:t>iv</w:t>
      </w:r>
      <w:proofErr w:type="spellEnd"/>
      <w:r w:rsidRPr="001B712C">
        <w:rPr>
          <w:rFonts w:ascii="Arial" w:eastAsia="Verdana" w:hAnsi="Arial" w:cs="Arial"/>
          <w:sz w:val="24"/>
          <w:szCs w:val="24"/>
        </w:rPr>
        <w:t xml:space="preserve">) se expusiera el concepto de violación. </w:t>
      </w:r>
    </w:p>
    <w:p w14:paraId="3B6FCC60" w14:textId="77777777" w:rsidR="00385A57" w:rsidRPr="001B712C" w:rsidRDefault="00385A57" w:rsidP="0046202D">
      <w:pPr>
        <w:ind w:right="51"/>
        <w:rPr>
          <w:rFonts w:ascii="Arial" w:eastAsia="Verdana" w:hAnsi="Arial" w:cs="Arial"/>
          <w:sz w:val="24"/>
          <w:szCs w:val="24"/>
        </w:rPr>
      </w:pPr>
    </w:p>
    <w:p w14:paraId="4B005C4F" w14:textId="77777777" w:rsidR="00385A57" w:rsidRPr="001B712C" w:rsidRDefault="00385A57" w:rsidP="0046202D">
      <w:pPr>
        <w:ind w:right="51"/>
        <w:rPr>
          <w:rFonts w:ascii="Arial" w:eastAsia="Verdana" w:hAnsi="Arial" w:cs="Arial"/>
          <w:sz w:val="24"/>
          <w:szCs w:val="24"/>
        </w:rPr>
      </w:pPr>
      <w:r w:rsidRPr="001B712C">
        <w:rPr>
          <w:rFonts w:ascii="Arial" w:eastAsia="Verdana" w:hAnsi="Arial" w:cs="Arial"/>
          <w:sz w:val="24"/>
          <w:szCs w:val="24"/>
        </w:rPr>
        <w:t>2.</w:t>
      </w:r>
      <w:r w:rsidR="003002A3" w:rsidRPr="001B712C">
        <w:rPr>
          <w:rFonts w:ascii="Arial" w:eastAsia="Verdana" w:hAnsi="Arial" w:cs="Arial"/>
          <w:sz w:val="24"/>
          <w:szCs w:val="24"/>
        </w:rPr>
        <w:t>6</w:t>
      </w:r>
      <w:r w:rsidRPr="001B712C">
        <w:rPr>
          <w:rFonts w:ascii="Arial" w:eastAsia="Verdana" w:hAnsi="Arial" w:cs="Arial"/>
          <w:sz w:val="24"/>
          <w:szCs w:val="24"/>
        </w:rPr>
        <w:t>. El Tribunal Administrativo de Casanare, en providencia del 14 de ju</w:t>
      </w:r>
      <w:r w:rsidR="009E3420" w:rsidRPr="001B712C">
        <w:rPr>
          <w:rFonts w:ascii="Arial" w:eastAsia="Verdana" w:hAnsi="Arial" w:cs="Arial"/>
          <w:sz w:val="24"/>
          <w:szCs w:val="24"/>
        </w:rPr>
        <w:t>lio de 2016, rechazó la demanda, por caducidad de la acción</w:t>
      </w:r>
      <w:r w:rsidR="003002A3" w:rsidRPr="001B712C">
        <w:rPr>
          <w:rFonts w:ascii="Arial" w:eastAsia="Verdana" w:hAnsi="Arial" w:cs="Arial"/>
          <w:sz w:val="24"/>
          <w:szCs w:val="24"/>
        </w:rPr>
        <w:t xml:space="preserve"> de controversias contractuales</w:t>
      </w:r>
      <w:r w:rsidR="009E3420" w:rsidRPr="001B712C">
        <w:rPr>
          <w:rFonts w:ascii="Arial" w:eastAsia="Verdana" w:hAnsi="Arial" w:cs="Arial"/>
          <w:sz w:val="24"/>
          <w:szCs w:val="24"/>
        </w:rPr>
        <w:t>.</w:t>
      </w:r>
      <w:r w:rsidRPr="001B712C">
        <w:rPr>
          <w:rFonts w:ascii="Arial" w:eastAsia="Verdana" w:hAnsi="Arial" w:cs="Arial"/>
          <w:sz w:val="24"/>
          <w:szCs w:val="24"/>
        </w:rPr>
        <w:t xml:space="preserve"> </w:t>
      </w:r>
    </w:p>
    <w:p w14:paraId="67E22FF1" w14:textId="77777777" w:rsidR="00385A57" w:rsidRPr="001B712C" w:rsidRDefault="00385A57" w:rsidP="0046202D">
      <w:pPr>
        <w:ind w:right="51"/>
        <w:rPr>
          <w:rFonts w:ascii="Arial" w:eastAsia="Verdana" w:hAnsi="Arial" w:cs="Arial"/>
          <w:sz w:val="24"/>
          <w:szCs w:val="24"/>
        </w:rPr>
      </w:pPr>
    </w:p>
    <w:p w14:paraId="6B562A4F" w14:textId="77777777" w:rsidR="00385A57" w:rsidRPr="001B712C" w:rsidRDefault="00385A57" w:rsidP="0046202D">
      <w:pPr>
        <w:ind w:right="51"/>
        <w:rPr>
          <w:rFonts w:ascii="Arial" w:eastAsia="Verdana" w:hAnsi="Arial" w:cs="Arial"/>
          <w:sz w:val="24"/>
          <w:szCs w:val="24"/>
        </w:rPr>
      </w:pPr>
      <w:r w:rsidRPr="001B712C">
        <w:rPr>
          <w:rFonts w:ascii="Arial" w:eastAsia="Verdana" w:hAnsi="Arial" w:cs="Arial"/>
          <w:sz w:val="24"/>
          <w:szCs w:val="24"/>
        </w:rPr>
        <w:t>2.</w:t>
      </w:r>
      <w:r w:rsidR="003002A3" w:rsidRPr="001B712C">
        <w:rPr>
          <w:rFonts w:ascii="Arial" w:eastAsia="Verdana" w:hAnsi="Arial" w:cs="Arial"/>
          <w:sz w:val="24"/>
          <w:szCs w:val="24"/>
        </w:rPr>
        <w:t>7</w:t>
      </w:r>
      <w:r w:rsidRPr="001B712C">
        <w:rPr>
          <w:rFonts w:ascii="Arial" w:eastAsia="Verdana" w:hAnsi="Arial" w:cs="Arial"/>
          <w:sz w:val="24"/>
          <w:szCs w:val="24"/>
        </w:rPr>
        <w:t xml:space="preserve">. Inconforme con la decisión, la Unión Temporal Rayuela apeló y el Consejo de Estado, Sección Tercera, Subsección C, mediante providencia del </w:t>
      </w:r>
      <w:r w:rsidR="00D575CE" w:rsidRPr="001B712C">
        <w:rPr>
          <w:rFonts w:ascii="Arial" w:eastAsia="Verdana" w:hAnsi="Arial" w:cs="Arial"/>
          <w:sz w:val="24"/>
          <w:szCs w:val="24"/>
        </w:rPr>
        <w:t>8</w:t>
      </w:r>
      <w:r w:rsidR="00CC45EF" w:rsidRPr="001B712C">
        <w:rPr>
          <w:rFonts w:ascii="Arial" w:eastAsia="Verdana" w:hAnsi="Arial" w:cs="Arial"/>
          <w:sz w:val="24"/>
          <w:szCs w:val="24"/>
        </w:rPr>
        <w:t xml:space="preserve"> de marzo de 2018, la confirmó, porque </w:t>
      </w:r>
      <w:r w:rsidR="00C46B6D" w:rsidRPr="001B712C">
        <w:rPr>
          <w:rFonts w:ascii="Arial" w:eastAsia="Verdana" w:hAnsi="Arial" w:cs="Arial"/>
          <w:sz w:val="24"/>
          <w:szCs w:val="24"/>
        </w:rPr>
        <w:t xml:space="preserve">si bien </w:t>
      </w:r>
      <w:r w:rsidR="004D68A5" w:rsidRPr="001B712C">
        <w:rPr>
          <w:rFonts w:ascii="Arial" w:eastAsia="Verdana" w:hAnsi="Arial" w:cs="Arial"/>
          <w:sz w:val="24"/>
          <w:szCs w:val="24"/>
        </w:rPr>
        <w:t xml:space="preserve">en el año 2016 </w:t>
      </w:r>
      <w:r w:rsidR="00C46B6D" w:rsidRPr="001B712C">
        <w:rPr>
          <w:rFonts w:ascii="Arial" w:eastAsia="Verdana" w:hAnsi="Arial" w:cs="Arial"/>
          <w:sz w:val="24"/>
          <w:szCs w:val="24"/>
        </w:rPr>
        <w:t xml:space="preserve">la Unión Temporal </w:t>
      </w:r>
      <w:r w:rsidR="00CC45EF" w:rsidRPr="001B712C">
        <w:rPr>
          <w:rFonts w:ascii="Arial" w:eastAsia="Verdana" w:hAnsi="Arial" w:cs="Arial"/>
          <w:sz w:val="24"/>
          <w:szCs w:val="24"/>
        </w:rPr>
        <w:t xml:space="preserve">Rayuela </w:t>
      </w:r>
      <w:r w:rsidR="004D68A5" w:rsidRPr="001B712C">
        <w:rPr>
          <w:rFonts w:ascii="Arial" w:eastAsia="Verdana" w:hAnsi="Arial" w:cs="Arial"/>
          <w:sz w:val="24"/>
          <w:szCs w:val="24"/>
        </w:rPr>
        <w:t xml:space="preserve">presentó una segunda solicitud de conciliación prejudicial, lo cierto es que el requisito de procedibilidad quedó agotado con la </w:t>
      </w:r>
      <w:r w:rsidR="003002A3" w:rsidRPr="001B712C">
        <w:rPr>
          <w:rFonts w:ascii="Arial" w:eastAsia="Verdana" w:hAnsi="Arial" w:cs="Arial"/>
          <w:sz w:val="24"/>
          <w:szCs w:val="24"/>
        </w:rPr>
        <w:t>solicitud del 25 de noviembre de 2014. Que,</w:t>
      </w:r>
      <w:r w:rsidR="00CB1EE2" w:rsidRPr="001B712C">
        <w:rPr>
          <w:rFonts w:ascii="Arial" w:eastAsia="Verdana" w:hAnsi="Arial" w:cs="Arial"/>
          <w:sz w:val="24"/>
          <w:szCs w:val="24"/>
        </w:rPr>
        <w:t xml:space="preserve"> por lo tanto, </w:t>
      </w:r>
      <w:r w:rsidR="003002A3" w:rsidRPr="001B712C">
        <w:rPr>
          <w:rFonts w:ascii="Arial" w:eastAsia="Verdana" w:hAnsi="Arial" w:cs="Arial"/>
          <w:sz w:val="24"/>
          <w:szCs w:val="24"/>
        </w:rPr>
        <w:t xml:space="preserve">la nueva solicitud de conciliación </w:t>
      </w:r>
      <w:r w:rsidR="00CB1EE2" w:rsidRPr="001B712C">
        <w:rPr>
          <w:rFonts w:ascii="Arial" w:eastAsia="Verdana" w:hAnsi="Arial" w:cs="Arial"/>
          <w:sz w:val="24"/>
          <w:szCs w:val="24"/>
        </w:rPr>
        <w:t xml:space="preserve">no </w:t>
      </w:r>
      <w:r w:rsidR="00CC45EF" w:rsidRPr="001B712C">
        <w:rPr>
          <w:rFonts w:ascii="Arial" w:eastAsia="Verdana" w:hAnsi="Arial" w:cs="Arial"/>
          <w:sz w:val="24"/>
          <w:szCs w:val="24"/>
        </w:rPr>
        <w:t xml:space="preserve">suspende el término de caducidad ni </w:t>
      </w:r>
      <w:r w:rsidR="00CB1EE2" w:rsidRPr="001B712C">
        <w:rPr>
          <w:rFonts w:ascii="Arial" w:eastAsia="Verdana" w:hAnsi="Arial" w:cs="Arial"/>
          <w:sz w:val="24"/>
          <w:szCs w:val="24"/>
        </w:rPr>
        <w:t xml:space="preserve">puede tenerse en cuenta para </w:t>
      </w:r>
      <w:r w:rsidR="00CC45EF" w:rsidRPr="001B712C">
        <w:rPr>
          <w:rFonts w:ascii="Arial" w:eastAsia="Verdana" w:hAnsi="Arial" w:cs="Arial"/>
          <w:sz w:val="24"/>
          <w:szCs w:val="24"/>
        </w:rPr>
        <w:t xml:space="preserve">determinar la </w:t>
      </w:r>
      <w:r w:rsidR="00CB1EE2" w:rsidRPr="001B712C">
        <w:rPr>
          <w:rFonts w:ascii="Arial" w:eastAsia="Verdana" w:hAnsi="Arial" w:cs="Arial"/>
          <w:sz w:val="24"/>
          <w:szCs w:val="24"/>
        </w:rPr>
        <w:t xml:space="preserve">caducidad de la acción de controversias contractuales. </w:t>
      </w:r>
    </w:p>
    <w:p w14:paraId="63A1F8E8" w14:textId="77777777" w:rsidR="001B712C" w:rsidRPr="001B712C" w:rsidRDefault="001B712C" w:rsidP="0046202D">
      <w:pPr>
        <w:widowControl w:val="0"/>
        <w:ind w:right="51"/>
        <w:rPr>
          <w:rFonts w:ascii="Arial" w:eastAsia="Verdana" w:hAnsi="Arial" w:cs="Arial"/>
          <w:sz w:val="24"/>
          <w:szCs w:val="24"/>
        </w:rPr>
      </w:pPr>
    </w:p>
    <w:p w14:paraId="57D6BED0" w14:textId="77777777" w:rsidR="001E370C" w:rsidRPr="001B712C" w:rsidRDefault="001E370C" w:rsidP="0046202D">
      <w:pPr>
        <w:widowControl w:val="0"/>
        <w:numPr>
          <w:ilvl w:val="0"/>
          <w:numId w:val="1"/>
        </w:numPr>
        <w:pBdr>
          <w:top w:val="nil"/>
          <w:left w:val="nil"/>
          <w:bottom w:val="nil"/>
          <w:right w:val="nil"/>
          <w:between w:val="nil"/>
        </w:pBdr>
        <w:ind w:left="1134" w:hanging="567"/>
        <w:rPr>
          <w:rFonts w:ascii="Arial" w:eastAsia="Verdana" w:hAnsi="Arial" w:cs="Arial"/>
          <w:b/>
          <w:color w:val="000000"/>
          <w:sz w:val="24"/>
          <w:szCs w:val="24"/>
        </w:rPr>
      </w:pPr>
      <w:r w:rsidRPr="001B712C">
        <w:rPr>
          <w:rFonts w:ascii="Arial" w:eastAsia="Verdana" w:hAnsi="Arial" w:cs="Arial"/>
          <w:b/>
          <w:color w:val="000000"/>
          <w:sz w:val="24"/>
          <w:szCs w:val="24"/>
        </w:rPr>
        <w:t>Argumentos de la tutela</w:t>
      </w:r>
      <w:r w:rsidRPr="001B712C">
        <w:rPr>
          <w:rStyle w:val="Refdenotaalpie"/>
          <w:rFonts w:ascii="Arial" w:eastAsia="Verdana" w:hAnsi="Arial" w:cs="Arial"/>
          <w:color w:val="000000"/>
          <w:szCs w:val="24"/>
        </w:rPr>
        <w:footnoteReference w:id="3"/>
      </w:r>
    </w:p>
    <w:p w14:paraId="646305EE" w14:textId="77777777" w:rsidR="00223017" w:rsidRPr="001B712C" w:rsidRDefault="00223017" w:rsidP="0046202D">
      <w:pPr>
        <w:widowControl w:val="0"/>
        <w:pBdr>
          <w:top w:val="nil"/>
          <w:left w:val="nil"/>
          <w:bottom w:val="nil"/>
          <w:right w:val="nil"/>
          <w:between w:val="nil"/>
        </w:pBdr>
        <w:rPr>
          <w:rFonts w:ascii="Arial" w:eastAsia="Verdana" w:hAnsi="Arial" w:cs="Arial"/>
          <w:b/>
          <w:color w:val="000000"/>
          <w:sz w:val="24"/>
          <w:szCs w:val="24"/>
        </w:rPr>
      </w:pPr>
    </w:p>
    <w:p w14:paraId="45E76988" w14:textId="77777777" w:rsidR="00223017" w:rsidRPr="001B712C" w:rsidRDefault="00223017" w:rsidP="0046202D">
      <w:pPr>
        <w:widowControl w:val="0"/>
        <w:pBdr>
          <w:top w:val="nil"/>
          <w:left w:val="nil"/>
          <w:bottom w:val="nil"/>
          <w:right w:val="nil"/>
          <w:between w:val="nil"/>
        </w:pBdr>
        <w:rPr>
          <w:rFonts w:ascii="Arial" w:eastAsia="Verdana" w:hAnsi="Arial" w:cs="Arial"/>
          <w:color w:val="000000"/>
          <w:sz w:val="24"/>
          <w:szCs w:val="24"/>
        </w:rPr>
      </w:pPr>
      <w:r w:rsidRPr="001B712C">
        <w:rPr>
          <w:rFonts w:ascii="Arial" w:eastAsia="Verdana" w:hAnsi="Arial" w:cs="Arial"/>
          <w:color w:val="000000"/>
          <w:sz w:val="24"/>
          <w:szCs w:val="24"/>
        </w:rPr>
        <w:t xml:space="preserve">3.1. </w:t>
      </w:r>
      <w:r w:rsidR="006E31B8" w:rsidRPr="001B712C">
        <w:rPr>
          <w:rFonts w:ascii="Arial" w:eastAsia="Verdana" w:hAnsi="Arial" w:cs="Arial"/>
          <w:color w:val="000000"/>
          <w:sz w:val="24"/>
          <w:szCs w:val="24"/>
        </w:rPr>
        <w:t>De manera preliminar, l</w:t>
      </w:r>
      <w:r w:rsidRPr="001B712C">
        <w:rPr>
          <w:rFonts w:ascii="Arial" w:eastAsia="Verdana" w:hAnsi="Arial" w:cs="Arial"/>
          <w:color w:val="000000"/>
          <w:sz w:val="24"/>
          <w:szCs w:val="24"/>
        </w:rPr>
        <w:t xml:space="preserve">a parte demandante alegó que la solicitud de amparo es procedente, porque no cuenta con otro medio de defensa para la protección de los derechos invocados. </w:t>
      </w:r>
      <w:r w:rsidR="00CC45EF" w:rsidRPr="001B712C">
        <w:rPr>
          <w:rFonts w:ascii="Arial" w:eastAsia="Verdana" w:hAnsi="Arial" w:cs="Arial"/>
          <w:color w:val="000000"/>
          <w:sz w:val="24"/>
          <w:szCs w:val="24"/>
        </w:rPr>
        <w:t>Dijo</w:t>
      </w:r>
      <w:r w:rsidRPr="001B712C">
        <w:rPr>
          <w:rFonts w:ascii="Arial" w:eastAsia="Verdana" w:hAnsi="Arial" w:cs="Arial"/>
          <w:color w:val="000000"/>
          <w:sz w:val="24"/>
          <w:szCs w:val="24"/>
        </w:rPr>
        <w:t xml:space="preserve">, además, </w:t>
      </w:r>
      <w:r w:rsidR="00CC45EF" w:rsidRPr="001B712C">
        <w:rPr>
          <w:rFonts w:ascii="Arial" w:eastAsia="Verdana" w:hAnsi="Arial" w:cs="Arial"/>
          <w:color w:val="000000"/>
          <w:sz w:val="24"/>
          <w:szCs w:val="24"/>
        </w:rPr>
        <w:t xml:space="preserve">que </w:t>
      </w:r>
      <w:r w:rsidRPr="001B712C">
        <w:rPr>
          <w:rFonts w:ascii="Arial" w:eastAsia="Verdana" w:hAnsi="Arial" w:cs="Arial"/>
          <w:color w:val="000000"/>
          <w:sz w:val="24"/>
          <w:szCs w:val="24"/>
        </w:rPr>
        <w:t xml:space="preserve">la demanda se presentó antes de cumplirse seis meses de haberse notificado la providencia cuestionada, es decir, que se presentó </w:t>
      </w:r>
      <w:r w:rsidR="00CC45EF" w:rsidRPr="001B712C">
        <w:rPr>
          <w:rFonts w:ascii="Arial" w:eastAsia="Verdana" w:hAnsi="Arial" w:cs="Arial"/>
          <w:color w:val="000000"/>
          <w:sz w:val="24"/>
          <w:szCs w:val="24"/>
        </w:rPr>
        <w:t xml:space="preserve">oportunamente. </w:t>
      </w:r>
    </w:p>
    <w:p w14:paraId="59C859BA" w14:textId="77777777" w:rsidR="00CC45EF" w:rsidRPr="001B712C" w:rsidRDefault="00CC45EF" w:rsidP="0046202D">
      <w:pPr>
        <w:widowControl w:val="0"/>
        <w:pBdr>
          <w:top w:val="nil"/>
          <w:left w:val="nil"/>
          <w:bottom w:val="nil"/>
          <w:right w:val="nil"/>
          <w:between w:val="nil"/>
        </w:pBdr>
        <w:rPr>
          <w:rFonts w:ascii="Arial" w:eastAsia="Verdana" w:hAnsi="Arial" w:cs="Arial"/>
          <w:color w:val="000000"/>
          <w:sz w:val="24"/>
          <w:szCs w:val="24"/>
        </w:rPr>
      </w:pPr>
    </w:p>
    <w:p w14:paraId="76270DCF" w14:textId="77777777" w:rsidR="00CC45EF" w:rsidRPr="001B712C" w:rsidRDefault="00223017" w:rsidP="0046202D">
      <w:pPr>
        <w:widowControl w:val="0"/>
        <w:pBdr>
          <w:top w:val="nil"/>
          <w:left w:val="nil"/>
          <w:bottom w:val="nil"/>
          <w:right w:val="nil"/>
          <w:between w:val="nil"/>
        </w:pBdr>
        <w:rPr>
          <w:rFonts w:ascii="Arial" w:eastAsia="Verdana" w:hAnsi="Arial" w:cs="Arial"/>
          <w:color w:val="000000"/>
          <w:sz w:val="24"/>
          <w:szCs w:val="24"/>
        </w:rPr>
      </w:pPr>
      <w:r w:rsidRPr="001B712C">
        <w:rPr>
          <w:rFonts w:ascii="Arial" w:eastAsia="Verdana" w:hAnsi="Arial" w:cs="Arial"/>
          <w:color w:val="000000"/>
          <w:sz w:val="24"/>
          <w:szCs w:val="24"/>
        </w:rPr>
        <w:t xml:space="preserve">3.2. </w:t>
      </w:r>
      <w:r w:rsidR="00EF4616">
        <w:rPr>
          <w:rFonts w:ascii="Arial" w:eastAsia="Verdana" w:hAnsi="Arial" w:cs="Arial"/>
          <w:color w:val="000000"/>
          <w:sz w:val="24"/>
          <w:szCs w:val="24"/>
        </w:rPr>
        <w:t xml:space="preserve">Alega la parte accionante que </w:t>
      </w:r>
      <w:r w:rsidR="002D6E06" w:rsidRPr="001B712C">
        <w:rPr>
          <w:rFonts w:ascii="Arial" w:eastAsia="Verdana" w:hAnsi="Arial" w:cs="Arial"/>
          <w:color w:val="000000"/>
          <w:sz w:val="24"/>
          <w:szCs w:val="24"/>
        </w:rPr>
        <w:t xml:space="preserve">la decisión objeto de tutela desconoció los derechos fundamentales al debido proceso y de acceso a la administración de justicia, porque no </w:t>
      </w:r>
      <w:r w:rsidR="00CC45EF" w:rsidRPr="001B712C">
        <w:rPr>
          <w:rFonts w:ascii="Arial" w:eastAsia="Verdana" w:hAnsi="Arial" w:cs="Arial"/>
          <w:color w:val="000000"/>
          <w:sz w:val="24"/>
          <w:szCs w:val="24"/>
        </w:rPr>
        <w:t xml:space="preserve">tuvo en cuenta la solicitud de conciliación que presentó en el año 2016 para determinar la caducidad de la acción de controversias contractuales. </w:t>
      </w:r>
    </w:p>
    <w:p w14:paraId="5349A4DA" w14:textId="77777777" w:rsidR="002D6E06" w:rsidRPr="001B712C" w:rsidRDefault="002D6E06" w:rsidP="0046202D">
      <w:pPr>
        <w:widowControl w:val="0"/>
        <w:pBdr>
          <w:top w:val="nil"/>
          <w:left w:val="nil"/>
          <w:bottom w:val="nil"/>
          <w:right w:val="nil"/>
          <w:between w:val="nil"/>
        </w:pBdr>
        <w:rPr>
          <w:rFonts w:ascii="Arial" w:hAnsi="Arial" w:cs="Arial"/>
          <w:bCs/>
          <w:sz w:val="24"/>
          <w:szCs w:val="24"/>
        </w:rPr>
      </w:pPr>
    </w:p>
    <w:p w14:paraId="4B461357" w14:textId="77777777" w:rsidR="00F00A1C" w:rsidRPr="001B712C" w:rsidRDefault="002D6E06" w:rsidP="0046202D">
      <w:pPr>
        <w:widowControl w:val="0"/>
        <w:pBdr>
          <w:top w:val="nil"/>
          <w:left w:val="nil"/>
          <w:bottom w:val="nil"/>
          <w:right w:val="nil"/>
          <w:between w:val="nil"/>
        </w:pBdr>
        <w:rPr>
          <w:rFonts w:ascii="Arial" w:hAnsi="Arial" w:cs="Arial"/>
          <w:bCs/>
          <w:sz w:val="24"/>
          <w:szCs w:val="24"/>
          <w:lang w:val="es-CO"/>
        </w:rPr>
      </w:pPr>
      <w:r w:rsidRPr="001B712C">
        <w:rPr>
          <w:rFonts w:ascii="Arial" w:hAnsi="Arial" w:cs="Arial"/>
          <w:bCs/>
          <w:sz w:val="24"/>
          <w:szCs w:val="24"/>
        </w:rPr>
        <w:t xml:space="preserve">3.2.1. Que </w:t>
      </w:r>
      <w:r w:rsidR="00CC45EF" w:rsidRPr="001B712C">
        <w:rPr>
          <w:rFonts w:ascii="Arial" w:hAnsi="Arial" w:cs="Arial"/>
          <w:bCs/>
          <w:sz w:val="24"/>
          <w:szCs w:val="24"/>
          <w:lang w:val="es-CO"/>
        </w:rPr>
        <w:t xml:space="preserve">la solicitud de conciliación del 25 de noviembre de 2014 no agota el requisito de conciliación prejudicial para demandar la nulidad de </w:t>
      </w:r>
      <w:r w:rsidR="00CC45EF" w:rsidRPr="001B712C">
        <w:rPr>
          <w:rFonts w:ascii="Arial" w:hAnsi="Arial" w:cs="Arial"/>
          <w:bCs/>
          <w:sz w:val="24"/>
          <w:szCs w:val="24"/>
        </w:rPr>
        <w:t>la</w:t>
      </w:r>
      <w:r w:rsidR="00CC45EF" w:rsidRPr="001B712C">
        <w:rPr>
          <w:rFonts w:ascii="Arial" w:hAnsi="Arial" w:cs="Arial"/>
          <w:bCs/>
          <w:sz w:val="24"/>
          <w:szCs w:val="24"/>
          <w:lang w:val="es-CO"/>
        </w:rPr>
        <w:t>s</w:t>
      </w:r>
      <w:r w:rsidR="00CC45EF" w:rsidRPr="001B712C">
        <w:rPr>
          <w:rFonts w:ascii="Arial" w:hAnsi="Arial" w:cs="Arial"/>
          <w:bCs/>
          <w:sz w:val="24"/>
          <w:szCs w:val="24"/>
        </w:rPr>
        <w:t xml:space="preserve"> </w:t>
      </w:r>
      <w:r w:rsidR="00CC45EF" w:rsidRPr="001B712C">
        <w:rPr>
          <w:rFonts w:ascii="Arial" w:hAnsi="Arial" w:cs="Arial"/>
          <w:bCs/>
          <w:sz w:val="24"/>
          <w:szCs w:val="24"/>
          <w:lang w:val="es-CO"/>
        </w:rPr>
        <w:t xml:space="preserve">Resoluciones </w:t>
      </w:r>
      <w:r w:rsidR="00CC45EF" w:rsidRPr="001B712C">
        <w:rPr>
          <w:rFonts w:ascii="Arial" w:hAnsi="Arial" w:cs="Arial"/>
          <w:bCs/>
          <w:sz w:val="24"/>
          <w:szCs w:val="24"/>
        </w:rPr>
        <w:t xml:space="preserve">No. 0004 </w:t>
      </w:r>
      <w:r w:rsidR="00CC45EF" w:rsidRPr="001B712C">
        <w:rPr>
          <w:rFonts w:ascii="Arial" w:hAnsi="Arial" w:cs="Arial"/>
          <w:bCs/>
          <w:sz w:val="24"/>
          <w:szCs w:val="24"/>
          <w:lang w:val="es-CO"/>
        </w:rPr>
        <w:t>y</w:t>
      </w:r>
      <w:r w:rsidR="00CC45EF" w:rsidRPr="001B712C">
        <w:rPr>
          <w:rFonts w:ascii="Arial" w:hAnsi="Arial" w:cs="Arial"/>
          <w:bCs/>
          <w:sz w:val="24"/>
          <w:szCs w:val="24"/>
        </w:rPr>
        <w:t xml:space="preserve"> 0006 de 2014, </w:t>
      </w:r>
      <w:r w:rsidR="00667187" w:rsidRPr="001B712C">
        <w:rPr>
          <w:rFonts w:ascii="Arial" w:hAnsi="Arial" w:cs="Arial"/>
          <w:bCs/>
          <w:sz w:val="24"/>
          <w:szCs w:val="24"/>
        </w:rPr>
        <w:t xml:space="preserve">toda vez que </w:t>
      </w:r>
      <w:r w:rsidR="00CC45EF" w:rsidRPr="001B712C">
        <w:rPr>
          <w:rFonts w:ascii="Arial" w:hAnsi="Arial" w:cs="Arial"/>
          <w:bCs/>
          <w:sz w:val="24"/>
          <w:szCs w:val="24"/>
        </w:rPr>
        <w:t xml:space="preserve">en </w:t>
      </w:r>
      <w:r w:rsidRPr="001B712C">
        <w:rPr>
          <w:rFonts w:ascii="Arial" w:hAnsi="Arial" w:cs="Arial"/>
          <w:bCs/>
          <w:sz w:val="24"/>
          <w:szCs w:val="24"/>
        </w:rPr>
        <w:t xml:space="preserve">dicha </w:t>
      </w:r>
      <w:r w:rsidRPr="001B712C">
        <w:rPr>
          <w:rFonts w:ascii="Arial" w:hAnsi="Arial" w:cs="Arial"/>
          <w:bCs/>
          <w:sz w:val="24"/>
          <w:szCs w:val="24"/>
          <w:lang w:val="es-CO"/>
        </w:rPr>
        <w:t xml:space="preserve">solicitud únicamente se pidió conciliar </w:t>
      </w:r>
      <w:r w:rsidR="00F00A1C" w:rsidRPr="001B712C">
        <w:rPr>
          <w:rFonts w:ascii="Arial" w:hAnsi="Arial" w:cs="Arial"/>
          <w:bCs/>
          <w:sz w:val="24"/>
          <w:szCs w:val="24"/>
          <w:lang w:val="es-CO"/>
        </w:rPr>
        <w:t xml:space="preserve">las </w:t>
      </w:r>
      <w:r w:rsidR="004575D0" w:rsidRPr="001B712C">
        <w:rPr>
          <w:rFonts w:ascii="Arial" w:hAnsi="Arial" w:cs="Arial"/>
          <w:sz w:val="24"/>
          <w:szCs w:val="24"/>
        </w:rPr>
        <w:t xml:space="preserve">diferencias que </w:t>
      </w:r>
      <w:r w:rsidR="00892A3D" w:rsidRPr="001B712C">
        <w:rPr>
          <w:rFonts w:ascii="Arial" w:hAnsi="Arial" w:cs="Arial"/>
          <w:sz w:val="24"/>
          <w:szCs w:val="24"/>
          <w:lang w:val="es-CO"/>
        </w:rPr>
        <w:t xml:space="preserve">existían sobre </w:t>
      </w:r>
      <w:r w:rsidRPr="001B712C">
        <w:rPr>
          <w:rFonts w:ascii="Arial" w:hAnsi="Arial" w:cs="Arial"/>
          <w:sz w:val="24"/>
          <w:szCs w:val="24"/>
          <w:lang w:val="es-CO"/>
        </w:rPr>
        <w:t>los</w:t>
      </w:r>
      <w:r w:rsidR="004575D0" w:rsidRPr="001B712C">
        <w:rPr>
          <w:rFonts w:ascii="Arial" w:hAnsi="Arial" w:cs="Arial"/>
          <w:sz w:val="24"/>
          <w:szCs w:val="24"/>
          <w:lang w:val="es-CO"/>
        </w:rPr>
        <w:t xml:space="preserve"> </w:t>
      </w:r>
      <w:r w:rsidR="004575D0" w:rsidRPr="001B712C">
        <w:rPr>
          <w:rFonts w:ascii="Arial" w:hAnsi="Arial" w:cs="Arial"/>
          <w:bCs/>
          <w:sz w:val="24"/>
          <w:szCs w:val="24"/>
        </w:rPr>
        <w:t xml:space="preserve">valores </w:t>
      </w:r>
      <w:r w:rsidR="004575D0" w:rsidRPr="001B712C">
        <w:rPr>
          <w:rFonts w:ascii="Arial" w:hAnsi="Arial" w:cs="Arial"/>
          <w:bCs/>
          <w:sz w:val="24"/>
          <w:szCs w:val="24"/>
          <w:lang w:val="es-CO"/>
        </w:rPr>
        <w:t xml:space="preserve">señalados en el </w:t>
      </w:r>
      <w:r w:rsidR="004575D0" w:rsidRPr="001B712C">
        <w:rPr>
          <w:rFonts w:ascii="Arial" w:hAnsi="Arial" w:cs="Arial"/>
          <w:bCs/>
          <w:sz w:val="24"/>
          <w:szCs w:val="24"/>
        </w:rPr>
        <w:t xml:space="preserve">acta de liquidación del </w:t>
      </w:r>
      <w:r w:rsidR="004575D0" w:rsidRPr="001B712C">
        <w:rPr>
          <w:rFonts w:ascii="Arial" w:hAnsi="Arial" w:cs="Arial"/>
          <w:bCs/>
          <w:sz w:val="24"/>
          <w:szCs w:val="24"/>
        </w:rPr>
        <w:lastRenderedPageBreak/>
        <w:t>contrato 062 del 2008</w:t>
      </w:r>
      <w:r w:rsidR="00E3036F" w:rsidRPr="001B712C">
        <w:rPr>
          <w:rFonts w:ascii="Arial" w:hAnsi="Arial" w:cs="Arial"/>
          <w:bCs/>
          <w:sz w:val="24"/>
          <w:szCs w:val="24"/>
          <w:lang w:val="es-CO"/>
        </w:rPr>
        <w:t xml:space="preserve">, mas no </w:t>
      </w:r>
      <w:r w:rsidRPr="001B712C">
        <w:rPr>
          <w:rFonts w:ascii="Arial" w:hAnsi="Arial" w:cs="Arial"/>
          <w:bCs/>
          <w:sz w:val="24"/>
          <w:szCs w:val="24"/>
          <w:lang w:val="es-CO"/>
        </w:rPr>
        <w:t xml:space="preserve">sobre </w:t>
      </w:r>
      <w:r w:rsidR="004575D0" w:rsidRPr="001B712C">
        <w:rPr>
          <w:rFonts w:ascii="Arial" w:hAnsi="Arial" w:cs="Arial"/>
          <w:bCs/>
          <w:sz w:val="24"/>
          <w:szCs w:val="24"/>
          <w:lang w:val="es-CO"/>
        </w:rPr>
        <w:t xml:space="preserve">la </w:t>
      </w:r>
      <w:r w:rsidR="006D7D11" w:rsidRPr="001B712C">
        <w:rPr>
          <w:rFonts w:ascii="Arial" w:hAnsi="Arial" w:cs="Arial"/>
          <w:bCs/>
          <w:sz w:val="24"/>
          <w:szCs w:val="24"/>
        </w:rPr>
        <w:t>nulidad de la</w:t>
      </w:r>
      <w:r w:rsidR="004575D0" w:rsidRPr="001B712C">
        <w:rPr>
          <w:rFonts w:ascii="Arial" w:hAnsi="Arial" w:cs="Arial"/>
          <w:bCs/>
          <w:sz w:val="24"/>
          <w:szCs w:val="24"/>
          <w:lang w:val="es-CO"/>
        </w:rPr>
        <w:t>s</w:t>
      </w:r>
      <w:r w:rsidR="006D7D11" w:rsidRPr="001B712C">
        <w:rPr>
          <w:rFonts w:ascii="Arial" w:hAnsi="Arial" w:cs="Arial"/>
          <w:bCs/>
          <w:sz w:val="24"/>
          <w:szCs w:val="24"/>
        </w:rPr>
        <w:t xml:space="preserve"> </w:t>
      </w:r>
      <w:r w:rsidR="004575D0" w:rsidRPr="001B712C">
        <w:rPr>
          <w:rFonts w:ascii="Arial" w:hAnsi="Arial" w:cs="Arial"/>
          <w:bCs/>
          <w:sz w:val="24"/>
          <w:szCs w:val="24"/>
          <w:lang w:val="es-CO"/>
        </w:rPr>
        <w:t xml:space="preserve">Resoluciones </w:t>
      </w:r>
      <w:r w:rsidR="006D7D11" w:rsidRPr="001B712C">
        <w:rPr>
          <w:rFonts w:ascii="Arial" w:hAnsi="Arial" w:cs="Arial"/>
          <w:bCs/>
          <w:sz w:val="24"/>
          <w:szCs w:val="24"/>
        </w:rPr>
        <w:t xml:space="preserve">No. 0004 </w:t>
      </w:r>
      <w:r w:rsidR="004575D0" w:rsidRPr="001B712C">
        <w:rPr>
          <w:rFonts w:ascii="Arial" w:hAnsi="Arial" w:cs="Arial"/>
          <w:bCs/>
          <w:sz w:val="24"/>
          <w:szCs w:val="24"/>
          <w:lang w:val="es-CO"/>
        </w:rPr>
        <w:t>y</w:t>
      </w:r>
      <w:r w:rsidR="006D7D11" w:rsidRPr="001B712C">
        <w:rPr>
          <w:rFonts w:ascii="Arial" w:hAnsi="Arial" w:cs="Arial"/>
          <w:bCs/>
          <w:sz w:val="24"/>
          <w:szCs w:val="24"/>
        </w:rPr>
        <w:t xml:space="preserve"> 0006 de 2014</w:t>
      </w:r>
      <w:r w:rsidR="00892A3D" w:rsidRPr="001B712C">
        <w:rPr>
          <w:rFonts w:ascii="Arial" w:hAnsi="Arial" w:cs="Arial"/>
          <w:bCs/>
          <w:sz w:val="24"/>
          <w:szCs w:val="24"/>
          <w:lang w:val="es-CO"/>
        </w:rPr>
        <w:t>.</w:t>
      </w:r>
      <w:r w:rsidR="00D36D9A" w:rsidRPr="001B712C">
        <w:rPr>
          <w:rFonts w:ascii="Arial" w:hAnsi="Arial" w:cs="Arial"/>
          <w:bCs/>
          <w:sz w:val="24"/>
          <w:szCs w:val="24"/>
          <w:lang w:val="es-CO"/>
        </w:rPr>
        <w:t xml:space="preserve"> </w:t>
      </w:r>
    </w:p>
    <w:p w14:paraId="5A60C9C5" w14:textId="77777777" w:rsidR="00CC45EF" w:rsidRPr="001B712C" w:rsidRDefault="00CC45EF" w:rsidP="0046202D">
      <w:pPr>
        <w:widowControl w:val="0"/>
        <w:pBdr>
          <w:top w:val="nil"/>
          <w:left w:val="nil"/>
          <w:bottom w:val="nil"/>
          <w:right w:val="nil"/>
          <w:between w:val="nil"/>
        </w:pBdr>
        <w:rPr>
          <w:rFonts w:ascii="Arial" w:hAnsi="Arial" w:cs="Arial"/>
          <w:bCs/>
          <w:sz w:val="24"/>
          <w:szCs w:val="24"/>
          <w:lang w:val="es-CO"/>
        </w:rPr>
      </w:pPr>
    </w:p>
    <w:p w14:paraId="4E296A40" w14:textId="77777777" w:rsidR="006D7D11" w:rsidRPr="001B712C" w:rsidRDefault="00F00A1C" w:rsidP="0046202D">
      <w:pPr>
        <w:widowControl w:val="0"/>
        <w:pBdr>
          <w:top w:val="nil"/>
          <w:left w:val="nil"/>
          <w:bottom w:val="nil"/>
          <w:right w:val="nil"/>
          <w:between w:val="nil"/>
        </w:pBdr>
        <w:rPr>
          <w:rFonts w:ascii="Arial" w:hAnsi="Arial" w:cs="Arial"/>
          <w:bCs/>
          <w:sz w:val="24"/>
          <w:szCs w:val="24"/>
        </w:rPr>
      </w:pPr>
      <w:r w:rsidRPr="001B712C">
        <w:rPr>
          <w:rFonts w:ascii="Arial" w:hAnsi="Arial" w:cs="Arial"/>
          <w:bCs/>
          <w:sz w:val="24"/>
          <w:szCs w:val="24"/>
          <w:lang w:val="es-CO"/>
        </w:rPr>
        <w:t xml:space="preserve">3.2.2. </w:t>
      </w:r>
      <w:r w:rsidR="00336920" w:rsidRPr="001B712C">
        <w:rPr>
          <w:rFonts w:ascii="Arial" w:hAnsi="Arial" w:cs="Arial"/>
          <w:bCs/>
          <w:sz w:val="24"/>
          <w:szCs w:val="24"/>
          <w:lang w:val="es-CO"/>
        </w:rPr>
        <w:t xml:space="preserve">Que la solicitud de conciliación que </w:t>
      </w:r>
      <w:r w:rsidRPr="001B712C">
        <w:rPr>
          <w:rFonts w:ascii="Arial" w:hAnsi="Arial" w:cs="Arial"/>
          <w:bCs/>
          <w:sz w:val="24"/>
          <w:szCs w:val="24"/>
          <w:lang w:val="es-CO"/>
        </w:rPr>
        <w:t xml:space="preserve">en realidad </w:t>
      </w:r>
      <w:r w:rsidR="00336920" w:rsidRPr="001B712C">
        <w:rPr>
          <w:rFonts w:ascii="Arial" w:hAnsi="Arial" w:cs="Arial"/>
          <w:bCs/>
          <w:sz w:val="24"/>
          <w:szCs w:val="24"/>
          <w:lang w:val="es-CO"/>
        </w:rPr>
        <w:t xml:space="preserve">cumple el requisito de procedibilidad es la </w:t>
      </w:r>
      <w:r w:rsidR="00C36897" w:rsidRPr="001B712C">
        <w:rPr>
          <w:rFonts w:ascii="Arial" w:hAnsi="Arial" w:cs="Arial"/>
          <w:bCs/>
          <w:sz w:val="24"/>
          <w:szCs w:val="24"/>
          <w:lang w:val="es-CO"/>
        </w:rPr>
        <w:t xml:space="preserve">que se presentó </w:t>
      </w:r>
      <w:r w:rsidR="00CC45EF" w:rsidRPr="001B712C">
        <w:rPr>
          <w:rFonts w:ascii="Arial" w:hAnsi="Arial" w:cs="Arial"/>
          <w:bCs/>
          <w:sz w:val="24"/>
          <w:szCs w:val="24"/>
          <w:lang w:val="es-CO"/>
        </w:rPr>
        <w:t xml:space="preserve">en </w:t>
      </w:r>
      <w:r w:rsidR="00C36897" w:rsidRPr="001B712C">
        <w:rPr>
          <w:rFonts w:ascii="Arial" w:hAnsi="Arial" w:cs="Arial"/>
          <w:bCs/>
          <w:sz w:val="24"/>
          <w:szCs w:val="24"/>
          <w:lang w:val="es-CO"/>
        </w:rPr>
        <w:t xml:space="preserve">el año </w:t>
      </w:r>
      <w:r w:rsidR="00336920" w:rsidRPr="001B712C">
        <w:rPr>
          <w:rFonts w:ascii="Arial" w:hAnsi="Arial" w:cs="Arial"/>
          <w:bCs/>
          <w:sz w:val="24"/>
          <w:szCs w:val="24"/>
        </w:rPr>
        <w:t>2016</w:t>
      </w:r>
      <w:r w:rsidR="00CC45EF" w:rsidRPr="001B712C">
        <w:rPr>
          <w:rFonts w:ascii="Arial" w:hAnsi="Arial" w:cs="Arial"/>
          <w:bCs/>
          <w:sz w:val="24"/>
          <w:szCs w:val="24"/>
        </w:rPr>
        <w:t xml:space="preserve">, </w:t>
      </w:r>
      <w:r w:rsidR="00667187" w:rsidRPr="001B712C">
        <w:rPr>
          <w:rFonts w:ascii="Arial" w:hAnsi="Arial" w:cs="Arial"/>
          <w:bCs/>
          <w:sz w:val="24"/>
          <w:szCs w:val="24"/>
        </w:rPr>
        <w:t>pues</w:t>
      </w:r>
      <w:r w:rsidR="00CC45EF" w:rsidRPr="001B712C">
        <w:rPr>
          <w:rFonts w:ascii="Arial" w:hAnsi="Arial" w:cs="Arial"/>
          <w:bCs/>
          <w:sz w:val="24"/>
          <w:szCs w:val="24"/>
        </w:rPr>
        <w:t xml:space="preserve"> ahí sí se dijo expresamente que se pretendía la nulidad de las Resoluciones 0004 y 006 de 2014. Que, por lo tanto, </w:t>
      </w:r>
      <w:r w:rsidR="00336920" w:rsidRPr="001B712C">
        <w:rPr>
          <w:rFonts w:ascii="Arial" w:hAnsi="Arial" w:cs="Arial"/>
          <w:bCs/>
          <w:sz w:val="24"/>
          <w:szCs w:val="24"/>
          <w:lang w:val="es-CO"/>
        </w:rPr>
        <w:t xml:space="preserve">debe tenerse en cuenta para determinar la oportunidad de la acción de controversias </w:t>
      </w:r>
      <w:r w:rsidR="00470C3D" w:rsidRPr="001B712C">
        <w:rPr>
          <w:rFonts w:ascii="Arial" w:hAnsi="Arial" w:cs="Arial"/>
          <w:bCs/>
          <w:sz w:val="24"/>
          <w:szCs w:val="24"/>
          <w:lang w:val="es-CO"/>
        </w:rPr>
        <w:t>contractuales</w:t>
      </w:r>
      <w:r w:rsidR="00CC45EF" w:rsidRPr="001B712C">
        <w:rPr>
          <w:rFonts w:ascii="Arial" w:hAnsi="Arial" w:cs="Arial"/>
          <w:bCs/>
          <w:sz w:val="24"/>
          <w:szCs w:val="24"/>
          <w:lang w:val="es-CO"/>
        </w:rPr>
        <w:t xml:space="preserve">. Que, de haberse </w:t>
      </w:r>
      <w:r w:rsidR="00667187" w:rsidRPr="001B712C">
        <w:rPr>
          <w:rFonts w:ascii="Arial" w:hAnsi="Arial" w:cs="Arial"/>
          <w:bCs/>
          <w:sz w:val="24"/>
          <w:szCs w:val="24"/>
          <w:lang w:val="es-CO"/>
        </w:rPr>
        <w:t>considerado</w:t>
      </w:r>
      <w:r w:rsidR="00CC45EF" w:rsidRPr="001B712C">
        <w:rPr>
          <w:rFonts w:ascii="Arial" w:hAnsi="Arial" w:cs="Arial"/>
          <w:bCs/>
          <w:sz w:val="24"/>
          <w:szCs w:val="24"/>
          <w:lang w:val="es-CO"/>
        </w:rPr>
        <w:t xml:space="preserve">, la autoridad judicial demandada hubiese advertido que </w:t>
      </w:r>
      <w:r w:rsidR="00C36897" w:rsidRPr="001B712C">
        <w:rPr>
          <w:rFonts w:ascii="Arial" w:hAnsi="Arial" w:cs="Arial"/>
          <w:bCs/>
          <w:sz w:val="24"/>
          <w:szCs w:val="24"/>
          <w:lang w:val="es-CO"/>
        </w:rPr>
        <w:t xml:space="preserve">el </w:t>
      </w:r>
      <w:r w:rsidR="006D7D11" w:rsidRPr="001B712C">
        <w:rPr>
          <w:rFonts w:ascii="Arial" w:hAnsi="Arial" w:cs="Arial"/>
          <w:bCs/>
          <w:sz w:val="24"/>
          <w:szCs w:val="24"/>
        </w:rPr>
        <w:t>4 de abril de 2016 se</w:t>
      </w:r>
      <w:r w:rsidR="00667187" w:rsidRPr="001B712C">
        <w:rPr>
          <w:rFonts w:ascii="Arial" w:hAnsi="Arial" w:cs="Arial"/>
          <w:bCs/>
          <w:sz w:val="24"/>
          <w:szCs w:val="24"/>
        </w:rPr>
        <w:t xml:space="preserve"> declaró </w:t>
      </w:r>
      <w:r w:rsidR="00C36897" w:rsidRPr="001B712C">
        <w:rPr>
          <w:rFonts w:ascii="Arial" w:hAnsi="Arial" w:cs="Arial"/>
          <w:bCs/>
          <w:sz w:val="24"/>
          <w:szCs w:val="24"/>
        </w:rPr>
        <w:t>fallida</w:t>
      </w:r>
      <w:r w:rsidR="00667187" w:rsidRPr="001B712C">
        <w:rPr>
          <w:rFonts w:ascii="Arial" w:hAnsi="Arial" w:cs="Arial"/>
          <w:bCs/>
          <w:sz w:val="24"/>
          <w:szCs w:val="24"/>
        </w:rPr>
        <w:t xml:space="preserve"> la segunda solicitud de conciliación</w:t>
      </w:r>
      <w:r w:rsidR="00C36897" w:rsidRPr="001B712C">
        <w:rPr>
          <w:rFonts w:ascii="Arial" w:hAnsi="Arial" w:cs="Arial"/>
          <w:bCs/>
          <w:sz w:val="24"/>
          <w:szCs w:val="24"/>
        </w:rPr>
        <w:t>. Que a partir</w:t>
      </w:r>
      <w:r w:rsidR="006D7D11" w:rsidRPr="001B712C">
        <w:rPr>
          <w:rFonts w:ascii="Arial" w:hAnsi="Arial" w:cs="Arial"/>
          <w:bCs/>
          <w:sz w:val="24"/>
          <w:szCs w:val="24"/>
        </w:rPr>
        <w:t xml:space="preserve"> de </w:t>
      </w:r>
      <w:r w:rsidR="00C36897" w:rsidRPr="001B712C">
        <w:rPr>
          <w:rFonts w:ascii="Arial" w:hAnsi="Arial" w:cs="Arial"/>
          <w:bCs/>
          <w:sz w:val="24"/>
          <w:szCs w:val="24"/>
        </w:rPr>
        <w:t>esa</w:t>
      </w:r>
      <w:r w:rsidR="006D7D11" w:rsidRPr="001B712C">
        <w:rPr>
          <w:rFonts w:ascii="Arial" w:hAnsi="Arial" w:cs="Arial"/>
          <w:bCs/>
          <w:sz w:val="24"/>
          <w:szCs w:val="24"/>
        </w:rPr>
        <w:t xml:space="preserve"> fecha se reanud</w:t>
      </w:r>
      <w:r w:rsidR="00C36897" w:rsidRPr="001B712C">
        <w:rPr>
          <w:rFonts w:ascii="Arial" w:hAnsi="Arial" w:cs="Arial"/>
          <w:bCs/>
          <w:sz w:val="24"/>
          <w:szCs w:val="24"/>
        </w:rPr>
        <w:t>ó</w:t>
      </w:r>
      <w:r w:rsidR="006D7D11" w:rsidRPr="001B712C">
        <w:rPr>
          <w:rFonts w:ascii="Arial" w:hAnsi="Arial" w:cs="Arial"/>
          <w:bCs/>
          <w:sz w:val="24"/>
          <w:szCs w:val="24"/>
        </w:rPr>
        <w:t xml:space="preserve"> el término de caducidad, </w:t>
      </w:r>
      <w:r w:rsidR="00C36897" w:rsidRPr="001B712C">
        <w:rPr>
          <w:rFonts w:ascii="Arial" w:hAnsi="Arial" w:cs="Arial"/>
          <w:bCs/>
          <w:sz w:val="24"/>
          <w:szCs w:val="24"/>
        </w:rPr>
        <w:t>«</w:t>
      </w:r>
      <w:r w:rsidR="006D7D11" w:rsidRPr="001B712C">
        <w:rPr>
          <w:rFonts w:ascii="Arial" w:hAnsi="Arial" w:cs="Arial"/>
          <w:bCs/>
          <w:i/>
          <w:sz w:val="24"/>
          <w:szCs w:val="24"/>
        </w:rPr>
        <w:t>que al hacer la contabilización de los 14 días hábiles interrumpidos, es decir que esta vence el 22 de abril de 2016, la demanda fue presentada 14 abril de la presente anualidad, es decir, dentro del término de ley</w:t>
      </w:r>
      <w:r w:rsidR="00C36897" w:rsidRPr="001B712C">
        <w:rPr>
          <w:rFonts w:ascii="Arial" w:hAnsi="Arial" w:cs="Arial"/>
          <w:bCs/>
          <w:sz w:val="24"/>
          <w:szCs w:val="24"/>
        </w:rPr>
        <w:t>»</w:t>
      </w:r>
      <w:r w:rsidR="006D7D11" w:rsidRPr="001B712C">
        <w:rPr>
          <w:rFonts w:ascii="Arial" w:hAnsi="Arial" w:cs="Arial"/>
          <w:bCs/>
          <w:sz w:val="24"/>
          <w:szCs w:val="24"/>
        </w:rPr>
        <w:t>.</w:t>
      </w:r>
    </w:p>
    <w:p w14:paraId="25DDF15E" w14:textId="77777777" w:rsidR="003255CF" w:rsidRPr="001B712C" w:rsidRDefault="003255CF" w:rsidP="0046202D">
      <w:pPr>
        <w:pStyle w:val="Textoindependiente"/>
        <w:spacing w:line="240" w:lineRule="auto"/>
        <w:ind w:right="-531"/>
        <w:rPr>
          <w:rFonts w:cs="Arial"/>
          <w:bCs/>
          <w:sz w:val="24"/>
        </w:rPr>
      </w:pPr>
    </w:p>
    <w:p w14:paraId="4E816E00" w14:textId="77777777" w:rsidR="00336920" w:rsidRPr="001B712C" w:rsidRDefault="003255CF" w:rsidP="005B0405">
      <w:pPr>
        <w:pStyle w:val="Textoindependiente"/>
        <w:spacing w:line="240" w:lineRule="auto"/>
        <w:ind w:right="-6"/>
        <w:rPr>
          <w:rFonts w:cs="Arial"/>
          <w:bCs/>
          <w:sz w:val="24"/>
          <w:lang w:val="es-CO"/>
        </w:rPr>
      </w:pPr>
      <w:r w:rsidRPr="001B712C">
        <w:rPr>
          <w:rFonts w:cs="Arial"/>
          <w:bCs/>
          <w:sz w:val="24"/>
          <w:lang w:val="es-CO"/>
        </w:rPr>
        <w:t>3.3.</w:t>
      </w:r>
      <w:r w:rsidR="00667187" w:rsidRPr="001B712C">
        <w:rPr>
          <w:rFonts w:cs="Arial"/>
          <w:bCs/>
          <w:sz w:val="24"/>
          <w:lang w:val="es-CO"/>
        </w:rPr>
        <w:t xml:space="preserve"> Por otra parte, —</w:t>
      </w:r>
      <w:r w:rsidR="00CC45EF" w:rsidRPr="001B712C">
        <w:rPr>
          <w:rFonts w:cs="Arial"/>
          <w:bCs/>
          <w:sz w:val="24"/>
          <w:lang w:val="es-CO"/>
        </w:rPr>
        <w:t>sin explicar la incidencia que tiene para este proceso</w:t>
      </w:r>
      <w:r w:rsidR="00667187" w:rsidRPr="001B712C">
        <w:rPr>
          <w:rFonts w:cs="Arial"/>
          <w:bCs/>
          <w:sz w:val="24"/>
          <w:lang w:val="es-CO"/>
        </w:rPr>
        <w:t>—</w:t>
      </w:r>
      <w:r w:rsidR="00CC45EF" w:rsidRPr="001B712C">
        <w:rPr>
          <w:rFonts w:cs="Arial"/>
          <w:bCs/>
          <w:sz w:val="24"/>
          <w:lang w:val="es-CO"/>
        </w:rPr>
        <w:t xml:space="preserve"> </w:t>
      </w:r>
      <w:r w:rsidR="00AE7524" w:rsidRPr="001B712C">
        <w:rPr>
          <w:rFonts w:cs="Arial"/>
          <w:bCs/>
          <w:sz w:val="24"/>
          <w:lang w:val="es-CO"/>
        </w:rPr>
        <w:t xml:space="preserve">la Unión Temporal Rayuela </w:t>
      </w:r>
      <w:r w:rsidR="00CC45EF" w:rsidRPr="001B712C">
        <w:rPr>
          <w:rFonts w:cs="Arial"/>
          <w:bCs/>
          <w:sz w:val="24"/>
          <w:lang w:val="es-CO"/>
        </w:rPr>
        <w:t xml:space="preserve">manifestó que </w:t>
      </w:r>
      <w:r w:rsidR="00336920" w:rsidRPr="001B712C">
        <w:rPr>
          <w:rFonts w:cs="Arial"/>
          <w:bCs/>
          <w:sz w:val="24"/>
          <w:lang w:val="es-CO"/>
        </w:rPr>
        <w:t>las Resoluciones 004 y 006 de 2014 y el acta de liquidación del contrato d</w:t>
      </w:r>
      <w:r w:rsidR="00336920" w:rsidRPr="001B712C">
        <w:rPr>
          <w:rFonts w:cs="Arial"/>
          <w:bCs/>
          <w:sz w:val="24"/>
        </w:rPr>
        <w:t>el 4 marzo de 2014</w:t>
      </w:r>
      <w:r w:rsidR="00336920" w:rsidRPr="001B712C">
        <w:rPr>
          <w:rFonts w:cs="Arial"/>
          <w:bCs/>
          <w:sz w:val="24"/>
          <w:lang w:val="es-CO"/>
        </w:rPr>
        <w:t xml:space="preserve"> son demandables ante la </w:t>
      </w:r>
      <w:r w:rsidR="00336920" w:rsidRPr="001B712C">
        <w:rPr>
          <w:rFonts w:cs="Arial"/>
          <w:bCs/>
          <w:sz w:val="24"/>
        </w:rPr>
        <w:t>Jurisdicción de lo Contencioso Administrativ</w:t>
      </w:r>
      <w:r w:rsidR="00336920" w:rsidRPr="001B712C">
        <w:rPr>
          <w:rFonts w:cs="Arial"/>
          <w:bCs/>
          <w:sz w:val="24"/>
          <w:lang w:val="es-CO"/>
        </w:rPr>
        <w:t>o</w:t>
      </w:r>
      <w:r w:rsidR="00336920" w:rsidRPr="001B712C">
        <w:rPr>
          <w:rFonts w:cs="Arial"/>
          <w:bCs/>
          <w:sz w:val="24"/>
        </w:rPr>
        <w:t xml:space="preserve">, </w:t>
      </w:r>
      <w:r w:rsidR="00336920" w:rsidRPr="001B712C">
        <w:rPr>
          <w:rFonts w:cs="Arial"/>
          <w:bCs/>
          <w:sz w:val="24"/>
          <w:lang w:val="es-CO"/>
        </w:rPr>
        <w:t>en los términos</w:t>
      </w:r>
      <w:r w:rsidR="009C2E9B" w:rsidRPr="001B712C">
        <w:rPr>
          <w:rFonts w:cs="Arial"/>
          <w:bCs/>
          <w:sz w:val="24"/>
          <w:lang w:val="es-CO"/>
        </w:rPr>
        <w:t xml:space="preserve"> de los</w:t>
      </w:r>
      <w:r w:rsidR="00336920" w:rsidRPr="001B712C">
        <w:rPr>
          <w:rFonts w:cs="Arial"/>
          <w:bCs/>
          <w:sz w:val="24"/>
        </w:rPr>
        <w:t xml:space="preserve"> artículo</w:t>
      </w:r>
      <w:r w:rsidR="00336920" w:rsidRPr="001B712C">
        <w:rPr>
          <w:rFonts w:cs="Arial"/>
          <w:bCs/>
          <w:sz w:val="24"/>
          <w:lang w:val="es-CO"/>
        </w:rPr>
        <w:t>s</w:t>
      </w:r>
      <w:r w:rsidR="00336920" w:rsidRPr="001B712C">
        <w:rPr>
          <w:rFonts w:cs="Arial"/>
          <w:bCs/>
          <w:sz w:val="24"/>
        </w:rPr>
        <w:t xml:space="preserve"> 141 </w:t>
      </w:r>
      <w:r w:rsidR="00336920" w:rsidRPr="001B712C">
        <w:rPr>
          <w:rFonts w:cs="Arial"/>
          <w:bCs/>
          <w:sz w:val="24"/>
          <w:lang w:val="es-CO"/>
        </w:rPr>
        <w:t xml:space="preserve">y </w:t>
      </w:r>
      <w:r w:rsidR="00336920" w:rsidRPr="001B712C">
        <w:rPr>
          <w:rFonts w:cs="Arial"/>
          <w:bCs/>
          <w:sz w:val="24"/>
        </w:rPr>
        <w:t>164</w:t>
      </w:r>
      <w:r w:rsidR="00336920" w:rsidRPr="001B712C">
        <w:rPr>
          <w:rFonts w:cs="Arial"/>
          <w:bCs/>
          <w:sz w:val="24"/>
          <w:lang w:val="es-CO"/>
        </w:rPr>
        <w:t xml:space="preserve">, literal j), </w:t>
      </w:r>
      <w:r w:rsidR="00336920" w:rsidRPr="001B712C">
        <w:rPr>
          <w:rFonts w:cs="Arial"/>
          <w:bCs/>
          <w:sz w:val="24"/>
        </w:rPr>
        <w:t>del CPACA</w:t>
      </w:r>
      <w:r w:rsidR="00336920" w:rsidRPr="001B712C">
        <w:rPr>
          <w:rFonts w:cs="Arial"/>
          <w:bCs/>
          <w:sz w:val="24"/>
          <w:lang w:val="es-CO"/>
        </w:rPr>
        <w:t xml:space="preserve">. Sobre este tema, </w:t>
      </w:r>
      <w:r w:rsidR="009C2E9B" w:rsidRPr="001B712C">
        <w:rPr>
          <w:rFonts w:cs="Arial"/>
          <w:bCs/>
          <w:sz w:val="24"/>
          <w:lang w:val="es-CO"/>
        </w:rPr>
        <w:t xml:space="preserve">también </w:t>
      </w:r>
      <w:r w:rsidR="00336920" w:rsidRPr="001B712C">
        <w:rPr>
          <w:rFonts w:cs="Arial"/>
          <w:bCs/>
          <w:sz w:val="24"/>
          <w:lang w:val="es-CO"/>
        </w:rPr>
        <w:t xml:space="preserve">transcribió apartes de la </w:t>
      </w:r>
      <w:r w:rsidR="00336920" w:rsidRPr="001B712C">
        <w:rPr>
          <w:rFonts w:cs="Arial"/>
          <w:bCs/>
          <w:sz w:val="24"/>
        </w:rPr>
        <w:t>sentencia del 1</w:t>
      </w:r>
      <w:r w:rsidR="00336920" w:rsidRPr="001B712C">
        <w:rPr>
          <w:rFonts w:cs="Arial"/>
          <w:bCs/>
          <w:sz w:val="24"/>
          <w:lang w:val="es-CO"/>
        </w:rPr>
        <w:t>°</w:t>
      </w:r>
      <w:r w:rsidR="00336920" w:rsidRPr="001B712C">
        <w:rPr>
          <w:rFonts w:cs="Arial"/>
          <w:bCs/>
          <w:sz w:val="24"/>
        </w:rPr>
        <w:t xml:space="preserve"> de julio de 2015, proceso </w:t>
      </w:r>
      <w:proofErr w:type="spellStart"/>
      <w:r w:rsidR="00336920" w:rsidRPr="001B712C">
        <w:rPr>
          <w:rFonts w:cs="Arial"/>
          <w:bCs/>
          <w:sz w:val="24"/>
          <w:lang w:val="es-CO"/>
        </w:rPr>
        <w:t>N°</w:t>
      </w:r>
      <w:proofErr w:type="spellEnd"/>
      <w:r w:rsidR="00336920" w:rsidRPr="001B712C">
        <w:rPr>
          <w:rFonts w:cs="Arial"/>
          <w:bCs/>
          <w:sz w:val="24"/>
          <w:lang w:val="es-CO"/>
        </w:rPr>
        <w:t xml:space="preserve">. </w:t>
      </w:r>
      <w:r w:rsidR="00336920" w:rsidRPr="001B712C">
        <w:rPr>
          <w:rFonts w:cs="Arial"/>
          <w:bCs/>
          <w:sz w:val="24"/>
        </w:rPr>
        <w:t>34290</w:t>
      </w:r>
      <w:r w:rsidR="00336920" w:rsidRPr="001B712C">
        <w:rPr>
          <w:rFonts w:cs="Arial"/>
          <w:bCs/>
          <w:sz w:val="24"/>
          <w:lang w:val="es-CO"/>
        </w:rPr>
        <w:t xml:space="preserve">, que explica las acciones que pueden ejercerse con ocasión de la actividad contractual del Estado. </w:t>
      </w:r>
    </w:p>
    <w:p w14:paraId="5665E172" w14:textId="77777777" w:rsidR="006319CD" w:rsidRPr="001B712C" w:rsidRDefault="006319CD" w:rsidP="005B0405">
      <w:pPr>
        <w:pStyle w:val="Textoindependiente"/>
        <w:spacing w:line="240" w:lineRule="auto"/>
        <w:ind w:right="-6"/>
        <w:rPr>
          <w:rFonts w:cs="Arial"/>
          <w:bCs/>
          <w:sz w:val="24"/>
          <w:lang w:val="es-CO"/>
        </w:rPr>
      </w:pPr>
    </w:p>
    <w:p w14:paraId="1D86BE63" w14:textId="77777777" w:rsidR="00D36D9A" w:rsidRDefault="009C2E9B" w:rsidP="005B0405">
      <w:pPr>
        <w:pStyle w:val="Textoindependiente"/>
        <w:spacing w:line="240" w:lineRule="auto"/>
        <w:ind w:right="-6"/>
        <w:rPr>
          <w:rFonts w:cs="Arial"/>
          <w:bCs/>
          <w:sz w:val="24"/>
          <w:lang w:val="es-CO"/>
        </w:rPr>
      </w:pPr>
      <w:r w:rsidRPr="001B712C">
        <w:rPr>
          <w:rFonts w:cs="Arial"/>
          <w:bCs/>
          <w:sz w:val="24"/>
          <w:lang w:val="es-CO"/>
        </w:rPr>
        <w:t xml:space="preserve">3.4. </w:t>
      </w:r>
      <w:r w:rsidR="00D36D9A" w:rsidRPr="001B712C">
        <w:rPr>
          <w:rFonts w:cs="Arial"/>
          <w:bCs/>
          <w:sz w:val="24"/>
          <w:lang w:val="es-CO"/>
        </w:rPr>
        <w:t xml:space="preserve">Por </w:t>
      </w:r>
      <w:r w:rsidRPr="001B712C">
        <w:rPr>
          <w:rFonts w:cs="Arial"/>
          <w:bCs/>
          <w:sz w:val="24"/>
          <w:lang w:val="es-CO"/>
        </w:rPr>
        <w:t xml:space="preserve">último, </w:t>
      </w:r>
      <w:r w:rsidR="00D36D9A" w:rsidRPr="001B712C">
        <w:rPr>
          <w:rFonts w:cs="Arial"/>
          <w:bCs/>
          <w:sz w:val="24"/>
          <w:lang w:val="es-CO"/>
        </w:rPr>
        <w:t xml:space="preserve">citó la </w:t>
      </w:r>
      <w:r w:rsidR="00D36D9A" w:rsidRPr="001B712C">
        <w:rPr>
          <w:rFonts w:cs="Arial"/>
          <w:bCs/>
          <w:sz w:val="24"/>
        </w:rPr>
        <w:t>sentencia del 28 de enero de 2010,</w:t>
      </w:r>
      <w:r w:rsidR="00D36D9A" w:rsidRPr="001B712C">
        <w:rPr>
          <w:rFonts w:cs="Arial"/>
          <w:bCs/>
          <w:sz w:val="24"/>
          <w:lang w:val="es-CO"/>
        </w:rPr>
        <w:t xml:space="preserve"> proceso </w:t>
      </w:r>
      <w:proofErr w:type="spellStart"/>
      <w:r w:rsidR="00D36D9A" w:rsidRPr="001B712C">
        <w:rPr>
          <w:rFonts w:cs="Arial"/>
          <w:bCs/>
          <w:sz w:val="24"/>
          <w:lang w:val="es-CO"/>
        </w:rPr>
        <w:t>N°</w:t>
      </w:r>
      <w:proofErr w:type="spellEnd"/>
      <w:r w:rsidR="00D36D9A" w:rsidRPr="001B712C">
        <w:rPr>
          <w:rFonts w:cs="Arial"/>
          <w:bCs/>
          <w:sz w:val="24"/>
          <w:lang w:val="es-CO"/>
        </w:rPr>
        <w:t xml:space="preserve">. </w:t>
      </w:r>
      <w:r w:rsidR="00D36D9A" w:rsidRPr="001B712C">
        <w:rPr>
          <w:rFonts w:cs="Arial"/>
          <w:bCs/>
          <w:sz w:val="24"/>
        </w:rPr>
        <w:t>2009- 00804-01(AC)</w:t>
      </w:r>
      <w:r w:rsidR="00D36D9A" w:rsidRPr="001B712C">
        <w:rPr>
          <w:rFonts w:cs="Arial"/>
          <w:bCs/>
          <w:sz w:val="24"/>
          <w:lang w:val="es-CO"/>
        </w:rPr>
        <w:t xml:space="preserve">, dictada por el Consejo de Estado, Sección Segunda, Subsección A, (que trata sobre la conciliación extrajudicial como </w:t>
      </w:r>
      <w:r w:rsidR="00D36D9A" w:rsidRPr="001B712C">
        <w:rPr>
          <w:rFonts w:cs="Arial"/>
          <w:bCs/>
          <w:sz w:val="24"/>
        </w:rPr>
        <w:t>requisito de procedibilidad</w:t>
      </w:r>
      <w:r w:rsidR="00D36D9A" w:rsidRPr="001B712C">
        <w:rPr>
          <w:rFonts w:cs="Arial"/>
          <w:bCs/>
          <w:sz w:val="24"/>
          <w:lang w:val="es-CO"/>
        </w:rPr>
        <w:t>)</w:t>
      </w:r>
      <w:r w:rsidR="00D36D9A" w:rsidRPr="001B712C">
        <w:rPr>
          <w:rFonts w:cs="Arial"/>
          <w:bCs/>
          <w:sz w:val="24"/>
        </w:rPr>
        <w:t xml:space="preserve"> </w:t>
      </w:r>
      <w:r w:rsidR="00D36D9A" w:rsidRPr="001B712C">
        <w:rPr>
          <w:rFonts w:cs="Arial"/>
          <w:bCs/>
          <w:sz w:val="24"/>
          <w:lang w:val="es-CO"/>
        </w:rPr>
        <w:t xml:space="preserve">y la </w:t>
      </w:r>
      <w:r w:rsidR="00D36D9A" w:rsidRPr="001B712C">
        <w:rPr>
          <w:rFonts w:cs="Arial"/>
          <w:bCs/>
          <w:sz w:val="24"/>
        </w:rPr>
        <w:t xml:space="preserve">sentencia de </w:t>
      </w:r>
      <w:r w:rsidRPr="001B712C">
        <w:rPr>
          <w:rFonts w:cs="Arial"/>
          <w:bCs/>
          <w:sz w:val="24"/>
        </w:rPr>
        <w:t>unificación</w:t>
      </w:r>
      <w:r w:rsidR="00D36D9A" w:rsidRPr="001B712C">
        <w:rPr>
          <w:rFonts w:cs="Arial"/>
          <w:bCs/>
          <w:sz w:val="24"/>
        </w:rPr>
        <w:t xml:space="preserve"> del 31 de julio de 2012, </w:t>
      </w:r>
      <w:r w:rsidR="00D36D9A" w:rsidRPr="001B712C">
        <w:rPr>
          <w:rFonts w:cs="Arial"/>
          <w:bCs/>
          <w:sz w:val="24"/>
          <w:lang w:val="es-CO"/>
        </w:rPr>
        <w:t xml:space="preserve">proceso </w:t>
      </w:r>
      <w:proofErr w:type="spellStart"/>
      <w:r w:rsidR="00D36D9A" w:rsidRPr="001B712C">
        <w:rPr>
          <w:rFonts w:cs="Arial"/>
          <w:bCs/>
          <w:sz w:val="24"/>
          <w:lang w:val="es-CO"/>
        </w:rPr>
        <w:t>N°</w:t>
      </w:r>
      <w:proofErr w:type="spellEnd"/>
      <w:r w:rsidR="00D36D9A" w:rsidRPr="001B712C">
        <w:rPr>
          <w:rFonts w:cs="Arial"/>
          <w:bCs/>
          <w:sz w:val="24"/>
        </w:rPr>
        <w:t>. 2009- 01328- 01 (IJ),</w:t>
      </w:r>
      <w:r w:rsidR="00D36D9A" w:rsidRPr="001B712C">
        <w:rPr>
          <w:rFonts w:cs="Arial"/>
          <w:bCs/>
          <w:sz w:val="24"/>
          <w:lang w:val="es-CO"/>
        </w:rPr>
        <w:t xml:space="preserve"> de la Sala Plena del Consejo de Estado, que</w:t>
      </w:r>
      <w:r w:rsidRPr="001B712C">
        <w:rPr>
          <w:rFonts w:cs="Arial"/>
          <w:bCs/>
          <w:sz w:val="24"/>
          <w:lang w:val="es-CO"/>
        </w:rPr>
        <w:t xml:space="preserve">, según dijo, </w:t>
      </w:r>
      <w:r w:rsidR="00D36D9A" w:rsidRPr="001B712C">
        <w:rPr>
          <w:rFonts w:cs="Arial"/>
          <w:bCs/>
          <w:sz w:val="24"/>
          <w:lang w:val="es-CO"/>
        </w:rPr>
        <w:t xml:space="preserve">establece que </w:t>
      </w:r>
      <w:r w:rsidRPr="001B712C">
        <w:rPr>
          <w:rFonts w:cs="Arial"/>
          <w:bCs/>
          <w:sz w:val="24"/>
          <w:lang w:val="es-CO"/>
        </w:rPr>
        <w:t>«</w:t>
      </w:r>
      <w:r w:rsidR="00D36D9A" w:rsidRPr="001B712C">
        <w:rPr>
          <w:rFonts w:cs="Arial"/>
          <w:bCs/>
          <w:i/>
          <w:sz w:val="24"/>
        </w:rPr>
        <w:t>cuando como en este caso existen dos interpretaciones igualmente válidas debe privilegiarse la que garantice de mejor manera el acceso a la administración de justicia</w:t>
      </w:r>
      <w:r w:rsidRPr="001B712C">
        <w:rPr>
          <w:rFonts w:cs="Arial"/>
          <w:bCs/>
          <w:sz w:val="24"/>
          <w:lang w:val="es-CO"/>
        </w:rPr>
        <w:t>»</w:t>
      </w:r>
      <w:r w:rsidRPr="001B712C">
        <w:rPr>
          <w:rStyle w:val="Refdenotaalpie"/>
          <w:rFonts w:ascii="Arial" w:hAnsi="Arial" w:cs="Arial"/>
          <w:bCs/>
          <w:lang w:val="es-CO"/>
        </w:rPr>
        <w:footnoteReference w:id="4"/>
      </w:r>
      <w:r w:rsidR="00D36D9A" w:rsidRPr="001B712C">
        <w:rPr>
          <w:rFonts w:cs="Arial"/>
          <w:bCs/>
          <w:sz w:val="24"/>
        </w:rPr>
        <w:t>.</w:t>
      </w:r>
      <w:r w:rsidRPr="001B712C">
        <w:rPr>
          <w:rFonts w:cs="Arial"/>
          <w:bCs/>
          <w:sz w:val="24"/>
          <w:lang w:val="es-CO"/>
        </w:rPr>
        <w:t xml:space="preserve"> Pero tampoco explicó las repercusiones </w:t>
      </w:r>
      <w:r w:rsidR="00AE7524" w:rsidRPr="001B712C">
        <w:rPr>
          <w:rFonts w:cs="Arial"/>
          <w:bCs/>
          <w:sz w:val="24"/>
          <w:lang w:val="es-CO"/>
        </w:rPr>
        <w:t xml:space="preserve">que esas decisiones tendrían para </w:t>
      </w:r>
      <w:r w:rsidRPr="001B712C">
        <w:rPr>
          <w:rFonts w:cs="Arial"/>
          <w:bCs/>
          <w:sz w:val="24"/>
          <w:lang w:val="es-CO"/>
        </w:rPr>
        <w:t xml:space="preserve">este caso. </w:t>
      </w:r>
    </w:p>
    <w:p w14:paraId="5542ABFD" w14:textId="77777777" w:rsidR="001E370C" w:rsidRPr="001B712C" w:rsidRDefault="001E370C" w:rsidP="0046202D">
      <w:pPr>
        <w:pBdr>
          <w:top w:val="nil"/>
          <w:left w:val="nil"/>
          <w:bottom w:val="nil"/>
          <w:right w:val="nil"/>
          <w:between w:val="nil"/>
        </w:pBdr>
        <w:rPr>
          <w:rFonts w:ascii="Arial" w:eastAsia="Verdana" w:hAnsi="Arial" w:cs="Arial"/>
          <w:sz w:val="24"/>
          <w:szCs w:val="24"/>
        </w:rPr>
      </w:pPr>
    </w:p>
    <w:p w14:paraId="79CCE272" w14:textId="77777777" w:rsidR="001E370C" w:rsidRPr="001B712C" w:rsidRDefault="001E370C" w:rsidP="0046202D">
      <w:pPr>
        <w:numPr>
          <w:ilvl w:val="0"/>
          <w:numId w:val="1"/>
        </w:numPr>
        <w:ind w:left="1134" w:hanging="567"/>
        <w:rPr>
          <w:rFonts w:ascii="Arial" w:eastAsia="Verdana" w:hAnsi="Arial" w:cs="Arial"/>
          <w:sz w:val="24"/>
          <w:szCs w:val="24"/>
        </w:rPr>
      </w:pPr>
      <w:r w:rsidRPr="001B712C">
        <w:rPr>
          <w:rFonts w:ascii="Arial" w:eastAsia="Verdana" w:hAnsi="Arial" w:cs="Arial"/>
          <w:b/>
          <w:sz w:val="24"/>
          <w:szCs w:val="24"/>
        </w:rPr>
        <w:t xml:space="preserve">Trámite procesal </w:t>
      </w:r>
    </w:p>
    <w:p w14:paraId="441831F0" w14:textId="77777777" w:rsidR="001E370C" w:rsidRPr="001B712C" w:rsidRDefault="001E370C" w:rsidP="0046202D">
      <w:pPr>
        <w:rPr>
          <w:rFonts w:ascii="Arial" w:eastAsia="Verdana" w:hAnsi="Arial" w:cs="Arial"/>
          <w:b/>
          <w:sz w:val="24"/>
          <w:szCs w:val="24"/>
        </w:rPr>
      </w:pPr>
    </w:p>
    <w:p w14:paraId="6F40AE35" w14:textId="77777777" w:rsidR="001E370C" w:rsidRPr="001B712C" w:rsidRDefault="001E370C" w:rsidP="0046202D">
      <w:pPr>
        <w:rPr>
          <w:rFonts w:ascii="Arial" w:eastAsia="Verdana" w:hAnsi="Arial" w:cs="Arial"/>
          <w:i/>
          <w:sz w:val="24"/>
          <w:szCs w:val="24"/>
        </w:rPr>
      </w:pPr>
      <w:r w:rsidRPr="001B712C">
        <w:rPr>
          <w:rFonts w:ascii="Arial" w:eastAsia="Verdana" w:hAnsi="Arial" w:cs="Arial"/>
          <w:sz w:val="24"/>
          <w:szCs w:val="24"/>
        </w:rPr>
        <w:t xml:space="preserve">4.1. El Despacho sustanciador, mediante auto del 21 de noviembre de 2018, admitió la demanda y, entre otras cosas, ordenó notificar, en calidad de demandados, a los magistrados del </w:t>
      </w:r>
      <w:r w:rsidR="00897D71" w:rsidRPr="001B712C">
        <w:rPr>
          <w:rFonts w:ascii="Arial" w:eastAsia="Verdana" w:hAnsi="Arial" w:cs="Arial"/>
          <w:sz w:val="24"/>
          <w:szCs w:val="24"/>
        </w:rPr>
        <w:t xml:space="preserve">Consejo de Estado, Sección Tercera, Subsección C. No se vinculó a ningún tercero, por cuanto en el proceso de controversias contractuales no se ha trabado la </w:t>
      </w:r>
      <w:r w:rsidR="00897D71" w:rsidRPr="001B712C">
        <w:rPr>
          <w:rFonts w:ascii="Arial" w:eastAsia="Verdana" w:hAnsi="Arial" w:cs="Arial"/>
          <w:i/>
          <w:sz w:val="24"/>
          <w:szCs w:val="24"/>
        </w:rPr>
        <w:t xml:space="preserve">litis. </w:t>
      </w:r>
    </w:p>
    <w:p w14:paraId="1F682848" w14:textId="77777777" w:rsidR="00897D71" w:rsidRPr="001B712C" w:rsidRDefault="00897D71" w:rsidP="0046202D">
      <w:pPr>
        <w:rPr>
          <w:rFonts w:ascii="Arial" w:eastAsia="Verdana" w:hAnsi="Arial" w:cs="Arial"/>
          <w:sz w:val="24"/>
          <w:szCs w:val="24"/>
        </w:rPr>
      </w:pPr>
    </w:p>
    <w:p w14:paraId="79DE23E6" w14:textId="77777777" w:rsidR="001E370C" w:rsidRPr="001B712C" w:rsidRDefault="001E370C" w:rsidP="0046202D">
      <w:pPr>
        <w:rPr>
          <w:rFonts w:ascii="Arial" w:eastAsia="Verdana" w:hAnsi="Arial" w:cs="Arial"/>
          <w:sz w:val="24"/>
          <w:szCs w:val="24"/>
        </w:rPr>
      </w:pPr>
      <w:r w:rsidRPr="001B712C">
        <w:rPr>
          <w:rFonts w:ascii="Arial" w:eastAsia="Verdana" w:hAnsi="Arial" w:cs="Arial"/>
          <w:sz w:val="24"/>
          <w:szCs w:val="24"/>
        </w:rPr>
        <w:t xml:space="preserve">4.2. En cumplimiento de la anterior orden, la Secretaría General </w:t>
      </w:r>
      <w:r w:rsidR="00897D71" w:rsidRPr="001B712C">
        <w:rPr>
          <w:rFonts w:ascii="Arial" w:eastAsia="Verdana" w:hAnsi="Arial" w:cs="Arial"/>
          <w:sz w:val="24"/>
          <w:szCs w:val="24"/>
        </w:rPr>
        <w:t>notificó</w:t>
      </w:r>
      <w:r w:rsidR="0046202D" w:rsidRPr="001B712C">
        <w:rPr>
          <w:rFonts w:ascii="Arial" w:eastAsia="Verdana" w:hAnsi="Arial" w:cs="Arial"/>
          <w:sz w:val="24"/>
          <w:szCs w:val="24"/>
        </w:rPr>
        <w:t xml:space="preserve"> de manera personal </w:t>
      </w:r>
      <w:r w:rsidR="00897D71" w:rsidRPr="001B712C">
        <w:rPr>
          <w:rFonts w:ascii="Arial" w:eastAsia="Verdana" w:hAnsi="Arial" w:cs="Arial"/>
          <w:sz w:val="24"/>
          <w:szCs w:val="24"/>
        </w:rPr>
        <w:t xml:space="preserve">a los magistrados del Consejo de Estado, Sección Tercera, Subsección C, </w:t>
      </w:r>
      <w:r w:rsidRPr="001B712C">
        <w:rPr>
          <w:rFonts w:ascii="Arial" w:eastAsia="Verdana" w:hAnsi="Arial" w:cs="Arial"/>
          <w:sz w:val="24"/>
          <w:szCs w:val="24"/>
        </w:rPr>
        <w:t xml:space="preserve">tal y como consta </w:t>
      </w:r>
      <w:r w:rsidR="00897D71" w:rsidRPr="001B712C">
        <w:rPr>
          <w:rFonts w:ascii="Arial" w:eastAsia="Verdana" w:hAnsi="Arial" w:cs="Arial"/>
          <w:sz w:val="24"/>
          <w:szCs w:val="24"/>
        </w:rPr>
        <w:t xml:space="preserve">a folio 28 del expediente. </w:t>
      </w:r>
    </w:p>
    <w:p w14:paraId="5A143546" w14:textId="77777777" w:rsidR="00897D71" w:rsidRPr="001B712C" w:rsidRDefault="00897D71" w:rsidP="0046202D">
      <w:pPr>
        <w:rPr>
          <w:rFonts w:ascii="Arial" w:eastAsia="Verdana" w:hAnsi="Arial" w:cs="Arial"/>
          <w:sz w:val="24"/>
          <w:szCs w:val="24"/>
        </w:rPr>
      </w:pPr>
    </w:p>
    <w:p w14:paraId="544CAF0C" w14:textId="77777777" w:rsidR="001E370C" w:rsidRPr="001B712C" w:rsidRDefault="001E370C" w:rsidP="0046202D">
      <w:pPr>
        <w:numPr>
          <w:ilvl w:val="0"/>
          <w:numId w:val="1"/>
        </w:numPr>
        <w:ind w:left="1134" w:hanging="567"/>
        <w:rPr>
          <w:rFonts w:ascii="Arial" w:eastAsia="Verdana" w:hAnsi="Arial" w:cs="Arial"/>
          <w:sz w:val="24"/>
          <w:szCs w:val="24"/>
        </w:rPr>
      </w:pPr>
      <w:r w:rsidRPr="001B712C">
        <w:rPr>
          <w:rFonts w:ascii="Arial" w:eastAsia="Verdana" w:hAnsi="Arial" w:cs="Arial"/>
          <w:b/>
          <w:sz w:val="24"/>
          <w:szCs w:val="24"/>
        </w:rPr>
        <w:t>Intervención de la autoridad judicial demandada</w:t>
      </w:r>
    </w:p>
    <w:p w14:paraId="1CE4396D" w14:textId="77777777" w:rsidR="001E370C" w:rsidRPr="001B712C" w:rsidRDefault="001E370C" w:rsidP="0046202D">
      <w:pPr>
        <w:rPr>
          <w:rFonts w:ascii="Arial" w:eastAsia="Verdana" w:hAnsi="Arial" w:cs="Arial"/>
          <w:sz w:val="24"/>
          <w:szCs w:val="24"/>
        </w:rPr>
      </w:pPr>
    </w:p>
    <w:p w14:paraId="7A7BCACF" w14:textId="77777777" w:rsidR="0046202D" w:rsidRPr="001B712C" w:rsidRDefault="001E370C" w:rsidP="0046202D">
      <w:pPr>
        <w:rPr>
          <w:rFonts w:ascii="Arial" w:eastAsia="Verdana" w:hAnsi="Arial" w:cs="Arial"/>
          <w:sz w:val="24"/>
          <w:szCs w:val="24"/>
        </w:rPr>
      </w:pPr>
      <w:r w:rsidRPr="001B712C">
        <w:rPr>
          <w:rFonts w:ascii="Arial" w:eastAsia="Verdana" w:hAnsi="Arial" w:cs="Arial"/>
          <w:sz w:val="24"/>
          <w:szCs w:val="24"/>
        </w:rPr>
        <w:t>5.1. El</w:t>
      </w:r>
      <w:r w:rsidR="00897D71" w:rsidRPr="001B712C">
        <w:rPr>
          <w:rFonts w:ascii="Arial" w:eastAsia="Verdana" w:hAnsi="Arial" w:cs="Arial"/>
          <w:sz w:val="24"/>
          <w:szCs w:val="24"/>
        </w:rPr>
        <w:t xml:space="preserve"> Consejo de Estado, Sección Tercera, Subsección C</w:t>
      </w:r>
      <w:r w:rsidRPr="001B712C">
        <w:rPr>
          <w:rFonts w:ascii="Arial" w:eastAsia="Verdana" w:hAnsi="Arial" w:cs="Arial"/>
          <w:sz w:val="24"/>
          <w:szCs w:val="24"/>
          <w:vertAlign w:val="superscript"/>
        </w:rPr>
        <w:footnoteReference w:id="5"/>
      </w:r>
      <w:r w:rsidRPr="001B712C">
        <w:rPr>
          <w:rFonts w:ascii="Arial" w:eastAsia="Verdana" w:hAnsi="Arial" w:cs="Arial"/>
          <w:sz w:val="24"/>
          <w:szCs w:val="24"/>
        </w:rPr>
        <w:t xml:space="preserve">, por conducto del magistrado ponente de la providencia objeto de tutela, solicitó que </w:t>
      </w:r>
      <w:r w:rsidR="006D7D11" w:rsidRPr="001B712C">
        <w:rPr>
          <w:rFonts w:ascii="Arial" w:eastAsia="Verdana" w:hAnsi="Arial" w:cs="Arial"/>
          <w:sz w:val="24"/>
          <w:szCs w:val="24"/>
        </w:rPr>
        <w:t xml:space="preserve">se denegara el amparo solicitado por la </w:t>
      </w:r>
      <w:r w:rsidR="0046202D" w:rsidRPr="001B712C">
        <w:rPr>
          <w:rFonts w:ascii="Arial" w:eastAsia="Verdana" w:hAnsi="Arial" w:cs="Arial"/>
          <w:sz w:val="24"/>
          <w:szCs w:val="24"/>
        </w:rPr>
        <w:t xml:space="preserve">Unión Temporal Rayuela. </w:t>
      </w:r>
    </w:p>
    <w:p w14:paraId="7A205A96" w14:textId="77777777" w:rsidR="0046202D" w:rsidRPr="001B712C" w:rsidRDefault="0046202D" w:rsidP="0046202D">
      <w:pPr>
        <w:rPr>
          <w:rFonts w:ascii="Arial" w:eastAsia="Verdana" w:hAnsi="Arial" w:cs="Arial"/>
          <w:sz w:val="24"/>
          <w:szCs w:val="24"/>
        </w:rPr>
      </w:pPr>
    </w:p>
    <w:p w14:paraId="46402234" w14:textId="77777777" w:rsidR="001E370C" w:rsidRPr="001B712C" w:rsidRDefault="0046202D" w:rsidP="0046202D">
      <w:pPr>
        <w:rPr>
          <w:rFonts w:ascii="Arial" w:eastAsia="Verdana" w:hAnsi="Arial" w:cs="Arial"/>
          <w:sz w:val="24"/>
          <w:szCs w:val="24"/>
        </w:rPr>
      </w:pPr>
      <w:r w:rsidRPr="001B712C">
        <w:rPr>
          <w:rFonts w:ascii="Arial" w:eastAsia="Verdana" w:hAnsi="Arial" w:cs="Arial"/>
          <w:sz w:val="24"/>
          <w:szCs w:val="24"/>
        </w:rPr>
        <w:t xml:space="preserve">5.2. Explicó que </w:t>
      </w:r>
      <w:r w:rsidR="003255CF" w:rsidRPr="001B712C">
        <w:rPr>
          <w:rFonts w:ascii="Arial" w:eastAsia="Verdana" w:hAnsi="Arial" w:cs="Arial"/>
          <w:sz w:val="24"/>
          <w:szCs w:val="24"/>
        </w:rPr>
        <w:t>en la solicitud de conciliación del 25 de noviembre de 2014 se pidió expresamente que «</w:t>
      </w:r>
      <w:r w:rsidR="003255CF" w:rsidRPr="001B712C">
        <w:rPr>
          <w:rFonts w:ascii="Arial" w:eastAsia="Verdana" w:hAnsi="Arial" w:cs="Arial"/>
          <w:i/>
          <w:sz w:val="24"/>
          <w:szCs w:val="24"/>
        </w:rPr>
        <w:t>se reconozca que la Resolución 0004 quedó sin efectos</w:t>
      </w:r>
      <w:r w:rsidR="003255CF" w:rsidRPr="001B712C">
        <w:rPr>
          <w:rFonts w:ascii="Arial" w:eastAsia="Verdana" w:hAnsi="Arial" w:cs="Arial"/>
          <w:sz w:val="24"/>
          <w:szCs w:val="24"/>
        </w:rPr>
        <w:t>»</w:t>
      </w:r>
      <w:r w:rsidR="003255CF" w:rsidRPr="001B712C">
        <w:rPr>
          <w:rStyle w:val="Refdenotaalpie"/>
          <w:rFonts w:ascii="Arial" w:eastAsia="Verdana" w:hAnsi="Arial" w:cs="Arial"/>
          <w:szCs w:val="24"/>
        </w:rPr>
        <w:footnoteReference w:id="6"/>
      </w:r>
      <w:r w:rsidR="003255CF" w:rsidRPr="001B712C">
        <w:rPr>
          <w:rFonts w:ascii="Arial" w:eastAsia="Verdana" w:hAnsi="Arial" w:cs="Arial"/>
          <w:sz w:val="24"/>
          <w:szCs w:val="24"/>
        </w:rPr>
        <w:t>. Que, por lo tanto, «</w:t>
      </w:r>
      <w:r w:rsidR="003255CF" w:rsidRPr="001B712C">
        <w:rPr>
          <w:rFonts w:ascii="Arial" w:eastAsia="Verdana" w:hAnsi="Arial" w:cs="Arial"/>
          <w:i/>
          <w:sz w:val="24"/>
          <w:szCs w:val="24"/>
        </w:rPr>
        <w:t xml:space="preserve">no queda claro si, al alegar que la solicitud de nulidad del referido acto </w:t>
      </w:r>
      <w:r w:rsidR="003255CF" w:rsidRPr="001B712C">
        <w:rPr>
          <w:rFonts w:ascii="Arial" w:eastAsia="Verdana" w:hAnsi="Arial" w:cs="Arial"/>
          <w:i/>
          <w:sz w:val="24"/>
          <w:szCs w:val="24"/>
        </w:rPr>
        <w:lastRenderedPageBreak/>
        <w:t>no había sido solicitada en conciliación del 25 de noviembre de 2014, está afirmando que se presentó un defecto de carácter fáctico o jurídico. Si lo primero, no se dan a conocer las razones para restar crédito a un documento, como el acta de conciliación. Si lo segundo, no se exponen tampoco los motivos que permiten afirmar que la solicitud de dejar sin efectos un acto administrativo se diferencia de la nulidad del mismo</w:t>
      </w:r>
      <w:r w:rsidR="003255CF" w:rsidRPr="001B712C">
        <w:rPr>
          <w:rFonts w:ascii="Arial" w:eastAsia="Verdana" w:hAnsi="Arial" w:cs="Arial"/>
          <w:sz w:val="24"/>
          <w:szCs w:val="24"/>
        </w:rPr>
        <w:t>»</w:t>
      </w:r>
      <w:r w:rsidR="003255CF" w:rsidRPr="001B712C">
        <w:rPr>
          <w:rStyle w:val="Refdenotaalpie"/>
          <w:rFonts w:ascii="Arial" w:eastAsia="Verdana" w:hAnsi="Arial" w:cs="Arial"/>
          <w:szCs w:val="24"/>
        </w:rPr>
        <w:footnoteReference w:id="7"/>
      </w:r>
      <w:r w:rsidR="003255CF" w:rsidRPr="001B712C">
        <w:rPr>
          <w:rFonts w:ascii="Arial" w:eastAsia="Verdana" w:hAnsi="Arial" w:cs="Arial"/>
          <w:sz w:val="24"/>
          <w:szCs w:val="24"/>
        </w:rPr>
        <w:t xml:space="preserve">. </w:t>
      </w:r>
    </w:p>
    <w:p w14:paraId="256D0C85" w14:textId="77777777" w:rsidR="00667187" w:rsidRPr="001B712C" w:rsidRDefault="00667187" w:rsidP="0046202D">
      <w:pPr>
        <w:rPr>
          <w:rFonts w:ascii="Arial" w:eastAsia="Verdana" w:hAnsi="Arial" w:cs="Arial"/>
          <w:sz w:val="24"/>
          <w:szCs w:val="24"/>
        </w:rPr>
      </w:pPr>
    </w:p>
    <w:p w14:paraId="638605CF" w14:textId="77777777" w:rsidR="00B243D7" w:rsidRPr="001B712C" w:rsidRDefault="0046202D" w:rsidP="0046202D">
      <w:pPr>
        <w:rPr>
          <w:rFonts w:ascii="Arial" w:eastAsia="Verdana" w:hAnsi="Arial" w:cs="Arial"/>
          <w:sz w:val="24"/>
          <w:szCs w:val="24"/>
        </w:rPr>
      </w:pPr>
      <w:r w:rsidRPr="001B712C">
        <w:rPr>
          <w:rFonts w:ascii="Arial" w:eastAsia="Verdana" w:hAnsi="Arial" w:cs="Arial"/>
          <w:sz w:val="24"/>
          <w:szCs w:val="24"/>
        </w:rPr>
        <w:t>5.3</w:t>
      </w:r>
      <w:r w:rsidR="003255CF" w:rsidRPr="001B712C">
        <w:rPr>
          <w:rFonts w:ascii="Arial" w:eastAsia="Verdana" w:hAnsi="Arial" w:cs="Arial"/>
          <w:sz w:val="24"/>
          <w:szCs w:val="24"/>
        </w:rPr>
        <w:t xml:space="preserve">. </w:t>
      </w:r>
      <w:r w:rsidRPr="001B712C">
        <w:rPr>
          <w:rFonts w:ascii="Arial" w:eastAsia="Verdana" w:hAnsi="Arial" w:cs="Arial"/>
          <w:sz w:val="24"/>
          <w:szCs w:val="24"/>
        </w:rPr>
        <w:t xml:space="preserve">Por otra parte, precisó que aunque </w:t>
      </w:r>
      <w:r w:rsidR="003255CF" w:rsidRPr="001B712C">
        <w:rPr>
          <w:rFonts w:ascii="Arial" w:eastAsia="Verdana" w:hAnsi="Arial" w:cs="Arial"/>
          <w:sz w:val="24"/>
          <w:szCs w:val="24"/>
        </w:rPr>
        <w:t xml:space="preserve">el demandante cita jurisprudencia de esta Corporación sobre la conciliación prejudicial como requisito de procedibilidad, ese asunto no fue objeto de pronunciamiento en el auto acusado. </w:t>
      </w:r>
      <w:r w:rsidR="00B243D7" w:rsidRPr="001B712C">
        <w:rPr>
          <w:rFonts w:ascii="Arial" w:eastAsia="Verdana" w:hAnsi="Arial" w:cs="Arial"/>
          <w:sz w:val="24"/>
          <w:szCs w:val="24"/>
        </w:rPr>
        <w:t xml:space="preserve">Que </w:t>
      </w:r>
      <w:r w:rsidRPr="001B712C">
        <w:rPr>
          <w:rFonts w:ascii="Arial" w:eastAsia="Verdana" w:hAnsi="Arial" w:cs="Arial"/>
          <w:sz w:val="24"/>
          <w:szCs w:val="24"/>
        </w:rPr>
        <w:t xml:space="preserve">lo mismo ocurre con </w:t>
      </w:r>
      <w:r w:rsidR="00B243D7" w:rsidRPr="001B712C">
        <w:rPr>
          <w:rFonts w:ascii="Arial" w:eastAsia="Verdana" w:hAnsi="Arial" w:cs="Arial"/>
          <w:sz w:val="24"/>
          <w:szCs w:val="24"/>
        </w:rPr>
        <w:t xml:space="preserve">la sentencia del 1° de julio de 2015, dictada por el Consejo de Estado, </w:t>
      </w:r>
      <w:r w:rsidRPr="001B712C">
        <w:rPr>
          <w:rFonts w:ascii="Arial" w:eastAsia="Verdana" w:hAnsi="Arial" w:cs="Arial"/>
          <w:sz w:val="24"/>
          <w:szCs w:val="24"/>
        </w:rPr>
        <w:t xml:space="preserve">y que, en todo caso, </w:t>
      </w:r>
      <w:r w:rsidR="00B243D7" w:rsidRPr="001B712C">
        <w:rPr>
          <w:rFonts w:ascii="Arial" w:eastAsia="Verdana" w:hAnsi="Arial" w:cs="Arial"/>
          <w:sz w:val="24"/>
          <w:szCs w:val="24"/>
        </w:rPr>
        <w:t xml:space="preserve">en ese </w:t>
      </w:r>
      <w:r w:rsidRPr="001B712C">
        <w:rPr>
          <w:rFonts w:ascii="Arial" w:eastAsia="Verdana" w:hAnsi="Arial" w:cs="Arial"/>
          <w:sz w:val="24"/>
          <w:szCs w:val="24"/>
        </w:rPr>
        <w:t xml:space="preserve">asunto </w:t>
      </w:r>
      <w:r w:rsidR="00B243D7" w:rsidRPr="001B712C">
        <w:rPr>
          <w:rFonts w:ascii="Arial" w:eastAsia="Verdana" w:hAnsi="Arial" w:cs="Arial"/>
          <w:sz w:val="24"/>
          <w:szCs w:val="24"/>
        </w:rPr>
        <w:t xml:space="preserve">se discutía la existencia de un contrato de arrendamiento, que no es de los que requiere de liquidación, como ocurre en el caso </w:t>
      </w:r>
      <w:r w:rsidRPr="001B712C">
        <w:rPr>
          <w:rFonts w:ascii="Arial" w:eastAsia="Verdana" w:hAnsi="Arial" w:cs="Arial"/>
          <w:sz w:val="24"/>
          <w:szCs w:val="24"/>
        </w:rPr>
        <w:t xml:space="preserve">propuesto por </w:t>
      </w:r>
      <w:r w:rsidR="00B243D7" w:rsidRPr="001B712C">
        <w:rPr>
          <w:rFonts w:ascii="Arial" w:eastAsia="Verdana" w:hAnsi="Arial" w:cs="Arial"/>
          <w:sz w:val="24"/>
          <w:szCs w:val="24"/>
        </w:rPr>
        <w:t xml:space="preserve">la </w:t>
      </w:r>
      <w:r w:rsidRPr="001B712C">
        <w:rPr>
          <w:rFonts w:ascii="Arial" w:eastAsia="Verdana" w:hAnsi="Arial" w:cs="Arial"/>
          <w:sz w:val="24"/>
          <w:szCs w:val="24"/>
        </w:rPr>
        <w:t>U</w:t>
      </w:r>
      <w:r w:rsidR="00B243D7" w:rsidRPr="001B712C">
        <w:rPr>
          <w:rFonts w:ascii="Arial" w:eastAsia="Verdana" w:hAnsi="Arial" w:cs="Arial"/>
          <w:sz w:val="24"/>
          <w:szCs w:val="24"/>
        </w:rPr>
        <w:t xml:space="preserve">nión </w:t>
      </w:r>
      <w:r w:rsidRPr="001B712C">
        <w:rPr>
          <w:rFonts w:ascii="Arial" w:eastAsia="Verdana" w:hAnsi="Arial" w:cs="Arial"/>
          <w:sz w:val="24"/>
          <w:szCs w:val="24"/>
        </w:rPr>
        <w:t>T</w:t>
      </w:r>
      <w:r w:rsidR="00B243D7" w:rsidRPr="001B712C">
        <w:rPr>
          <w:rFonts w:ascii="Arial" w:eastAsia="Verdana" w:hAnsi="Arial" w:cs="Arial"/>
          <w:sz w:val="24"/>
          <w:szCs w:val="24"/>
        </w:rPr>
        <w:t xml:space="preserve">emporal </w:t>
      </w:r>
      <w:r w:rsidRPr="001B712C">
        <w:rPr>
          <w:rFonts w:ascii="Arial" w:eastAsia="Verdana" w:hAnsi="Arial" w:cs="Arial"/>
          <w:sz w:val="24"/>
          <w:szCs w:val="24"/>
        </w:rPr>
        <w:t xml:space="preserve">Rayuela. </w:t>
      </w:r>
      <w:r w:rsidR="00B243D7" w:rsidRPr="001B712C">
        <w:rPr>
          <w:rFonts w:ascii="Arial" w:eastAsia="Verdana" w:hAnsi="Arial" w:cs="Arial"/>
          <w:sz w:val="24"/>
          <w:szCs w:val="24"/>
        </w:rPr>
        <w:t xml:space="preserve"> </w:t>
      </w:r>
    </w:p>
    <w:p w14:paraId="2799B895" w14:textId="77777777" w:rsidR="00B243D7" w:rsidRPr="001B712C" w:rsidRDefault="00B243D7" w:rsidP="0046202D">
      <w:pPr>
        <w:rPr>
          <w:rFonts w:ascii="Arial" w:eastAsia="Verdana" w:hAnsi="Arial" w:cs="Arial"/>
          <w:sz w:val="24"/>
          <w:szCs w:val="24"/>
        </w:rPr>
      </w:pPr>
    </w:p>
    <w:p w14:paraId="4F4AF290" w14:textId="77777777" w:rsidR="00897D71" w:rsidRPr="001B712C" w:rsidRDefault="00B243D7" w:rsidP="0046202D">
      <w:pPr>
        <w:rPr>
          <w:rFonts w:ascii="Arial" w:eastAsia="Verdana" w:hAnsi="Arial" w:cs="Arial"/>
          <w:sz w:val="24"/>
          <w:szCs w:val="24"/>
        </w:rPr>
      </w:pPr>
      <w:r w:rsidRPr="001B712C">
        <w:rPr>
          <w:rFonts w:ascii="Arial" w:eastAsia="Verdana" w:hAnsi="Arial" w:cs="Arial"/>
          <w:sz w:val="24"/>
          <w:szCs w:val="24"/>
        </w:rPr>
        <w:t>5.</w:t>
      </w:r>
      <w:r w:rsidR="0046202D" w:rsidRPr="001B712C">
        <w:rPr>
          <w:rFonts w:ascii="Arial" w:eastAsia="Verdana" w:hAnsi="Arial" w:cs="Arial"/>
          <w:sz w:val="24"/>
          <w:szCs w:val="24"/>
        </w:rPr>
        <w:t>4</w:t>
      </w:r>
      <w:r w:rsidRPr="001B712C">
        <w:rPr>
          <w:rFonts w:ascii="Arial" w:eastAsia="Verdana" w:hAnsi="Arial" w:cs="Arial"/>
          <w:sz w:val="24"/>
          <w:szCs w:val="24"/>
        </w:rPr>
        <w:t>. Por último, sostuvo que no es cierto que se hubiese desconocido el derecho de acceso a la administración de justicia</w:t>
      </w:r>
      <w:r w:rsidR="0046202D" w:rsidRPr="001B712C">
        <w:rPr>
          <w:rFonts w:ascii="Arial" w:eastAsia="Verdana" w:hAnsi="Arial" w:cs="Arial"/>
          <w:sz w:val="24"/>
          <w:szCs w:val="24"/>
        </w:rPr>
        <w:t xml:space="preserve"> la demandante</w:t>
      </w:r>
      <w:r w:rsidRPr="001B712C">
        <w:rPr>
          <w:rFonts w:ascii="Arial" w:eastAsia="Verdana" w:hAnsi="Arial" w:cs="Arial"/>
          <w:sz w:val="24"/>
          <w:szCs w:val="24"/>
        </w:rPr>
        <w:t>. Que «</w:t>
      </w:r>
      <w:r w:rsidRPr="001B712C">
        <w:rPr>
          <w:rFonts w:ascii="Arial" w:eastAsia="Verdana" w:hAnsi="Arial" w:cs="Arial"/>
          <w:i/>
          <w:sz w:val="24"/>
          <w:szCs w:val="24"/>
        </w:rPr>
        <w:t>la ratio de la providencia atacada se centró en afirmar que en la solicitud de conciliación del 25 de octubre de 2014 se discutió la revocación de la resolución núm. 4 del 11 de febrero de 2014, con la cual la entidad demandada liquidó unilateralmente el contrato núm. 062 de 2008, y ello traía consigo la revocación de la resolución número 6 del 21 de febrero de 2014, con el que la entidad demandada había impuesto una multa a la demandante en el marco del mismo contrato. En atención a ello, se entendió agotado la conciliación con el trámite iniciado mediante la solicitud del 25 de noviembre de 2014</w:t>
      </w:r>
      <w:r w:rsidRPr="001B712C">
        <w:rPr>
          <w:rFonts w:ascii="Arial" w:eastAsia="Verdana" w:hAnsi="Arial" w:cs="Arial"/>
          <w:sz w:val="24"/>
          <w:szCs w:val="24"/>
        </w:rPr>
        <w:t>»</w:t>
      </w:r>
      <w:r w:rsidRPr="001B712C">
        <w:rPr>
          <w:rStyle w:val="Refdenotaalpie"/>
          <w:rFonts w:ascii="Arial" w:eastAsia="Verdana" w:hAnsi="Arial" w:cs="Arial"/>
          <w:szCs w:val="24"/>
        </w:rPr>
        <w:footnoteReference w:id="8"/>
      </w:r>
      <w:r w:rsidRPr="001B712C">
        <w:rPr>
          <w:rFonts w:ascii="Arial" w:eastAsia="Verdana" w:hAnsi="Arial" w:cs="Arial"/>
          <w:sz w:val="24"/>
          <w:szCs w:val="24"/>
        </w:rPr>
        <w:t xml:space="preserve">.   </w:t>
      </w:r>
    </w:p>
    <w:p w14:paraId="09484E44" w14:textId="77777777" w:rsidR="00DA4659" w:rsidRPr="001B712C" w:rsidRDefault="00DA4659" w:rsidP="0046202D">
      <w:pPr>
        <w:rPr>
          <w:rFonts w:ascii="Arial" w:eastAsia="Verdana" w:hAnsi="Arial" w:cs="Arial"/>
          <w:sz w:val="24"/>
          <w:szCs w:val="24"/>
        </w:rPr>
      </w:pPr>
    </w:p>
    <w:p w14:paraId="35EF32E9" w14:textId="77777777" w:rsidR="001E370C" w:rsidRPr="001B712C" w:rsidRDefault="001E370C" w:rsidP="0046202D">
      <w:pPr>
        <w:widowControl w:val="0"/>
        <w:pBdr>
          <w:top w:val="nil"/>
          <w:left w:val="nil"/>
          <w:bottom w:val="nil"/>
          <w:right w:val="nil"/>
          <w:between w:val="nil"/>
        </w:pBdr>
        <w:jc w:val="center"/>
        <w:rPr>
          <w:rFonts w:ascii="Arial" w:eastAsia="Verdana" w:hAnsi="Arial" w:cs="Arial"/>
          <w:b/>
          <w:sz w:val="24"/>
          <w:szCs w:val="24"/>
        </w:rPr>
      </w:pPr>
      <w:r w:rsidRPr="001B712C">
        <w:rPr>
          <w:rFonts w:ascii="Arial" w:eastAsia="Verdana" w:hAnsi="Arial" w:cs="Arial"/>
          <w:b/>
          <w:sz w:val="24"/>
          <w:szCs w:val="24"/>
        </w:rPr>
        <w:t>CONSIDERACIONES</w:t>
      </w:r>
    </w:p>
    <w:p w14:paraId="3480F4EE" w14:textId="77777777" w:rsidR="00DA4659" w:rsidRPr="001B712C" w:rsidRDefault="00DA4659" w:rsidP="0046202D">
      <w:pPr>
        <w:widowControl w:val="0"/>
        <w:pBdr>
          <w:top w:val="nil"/>
          <w:left w:val="nil"/>
          <w:bottom w:val="nil"/>
          <w:right w:val="nil"/>
          <w:between w:val="nil"/>
        </w:pBdr>
        <w:jc w:val="center"/>
        <w:rPr>
          <w:rFonts w:ascii="Arial" w:eastAsia="Verdana" w:hAnsi="Arial" w:cs="Arial"/>
          <w:b/>
          <w:sz w:val="24"/>
          <w:szCs w:val="24"/>
        </w:rPr>
      </w:pPr>
    </w:p>
    <w:p w14:paraId="52411199" w14:textId="77777777" w:rsidR="0046202D" w:rsidRPr="001B712C" w:rsidRDefault="00DA4659" w:rsidP="0046202D">
      <w:pPr>
        <w:widowControl w:val="0"/>
        <w:rPr>
          <w:rFonts w:ascii="Arial" w:hAnsi="Arial" w:cs="Arial"/>
          <w:bCs/>
          <w:sz w:val="24"/>
          <w:szCs w:val="24"/>
          <w:lang w:val="es-ES_tradnl"/>
        </w:rPr>
      </w:pPr>
      <w:r w:rsidRPr="001B712C">
        <w:rPr>
          <w:rFonts w:ascii="Arial" w:hAnsi="Arial" w:cs="Arial"/>
          <w:bCs/>
          <w:sz w:val="24"/>
          <w:szCs w:val="24"/>
          <w:lang w:val="es-ES_tradnl"/>
        </w:rPr>
        <w:t>Para resolver la solicitud de amparo, la Sala se referirá, en primer lugar, a la procedencia de la acción de tutela contra providencias judiciales. Luego, verificará si en el caso concreto se cumplen los requisitos generales de procedibilidad establecidos por la Corte Constitucional. Si no se cumplen, la tutela se declarará improcedente. De lo contrario, se estudiará el fondo del asunto, en los términos propuestos por la parte actora</w:t>
      </w:r>
    </w:p>
    <w:p w14:paraId="254CEAD5" w14:textId="77777777" w:rsidR="001E370C" w:rsidRPr="001B712C" w:rsidRDefault="001E370C" w:rsidP="0046202D">
      <w:pPr>
        <w:widowControl w:val="0"/>
        <w:pBdr>
          <w:top w:val="nil"/>
          <w:left w:val="nil"/>
          <w:bottom w:val="nil"/>
          <w:right w:val="nil"/>
          <w:between w:val="nil"/>
        </w:pBdr>
        <w:jc w:val="center"/>
        <w:rPr>
          <w:rFonts w:ascii="Arial" w:eastAsia="Verdana" w:hAnsi="Arial" w:cs="Arial"/>
          <w:sz w:val="24"/>
          <w:szCs w:val="24"/>
        </w:rPr>
      </w:pPr>
    </w:p>
    <w:p w14:paraId="12D9B577" w14:textId="77777777" w:rsidR="001E370C" w:rsidRPr="001B712C" w:rsidRDefault="001E370C" w:rsidP="0046202D">
      <w:pPr>
        <w:numPr>
          <w:ilvl w:val="0"/>
          <w:numId w:val="2"/>
        </w:numPr>
        <w:pBdr>
          <w:top w:val="nil"/>
          <w:left w:val="nil"/>
          <w:bottom w:val="nil"/>
          <w:right w:val="nil"/>
          <w:between w:val="nil"/>
        </w:pBdr>
        <w:contextualSpacing/>
        <w:jc w:val="left"/>
        <w:rPr>
          <w:rFonts w:ascii="Arial" w:hAnsi="Arial" w:cs="Arial"/>
          <w:sz w:val="24"/>
          <w:szCs w:val="24"/>
        </w:rPr>
      </w:pPr>
      <w:bookmarkStart w:id="0" w:name="_Hlk517684677"/>
      <w:r w:rsidRPr="001B712C">
        <w:rPr>
          <w:rFonts w:ascii="Arial" w:eastAsia="Verdana" w:hAnsi="Arial" w:cs="Arial"/>
          <w:b/>
          <w:sz w:val="24"/>
          <w:szCs w:val="24"/>
        </w:rPr>
        <w:t>De la acción de tutela contra providencias judiciales</w:t>
      </w:r>
    </w:p>
    <w:p w14:paraId="45133FAA" w14:textId="77777777" w:rsidR="001E370C" w:rsidRPr="001B712C" w:rsidRDefault="001E370C" w:rsidP="0046202D">
      <w:pPr>
        <w:pBdr>
          <w:top w:val="nil"/>
          <w:left w:val="nil"/>
          <w:bottom w:val="nil"/>
          <w:right w:val="nil"/>
          <w:between w:val="nil"/>
        </w:pBdr>
        <w:ind w:left="927" w:hanging="708"/>
        <w:jc w:val="left"/>
        <w:rPr>
          <w:rFonts w:ascii="Arial" w:eastAsia="Calibri" w:hAnsi="Arial" w:cs="Arial"/>
          <w:sz w:val="24"/>
          <w:szCs w:val="24"/>
        </w:rPr>
      </w:pPr>
    </w:p>
    <w:p w14:paraId="0E7E47C2" w14:textId="77777777" w:rsidR="001E370C" w:rsidRPr="001B712C" w:rsidRDefault="001E370C" w:rsidP="0046202D">
      <w:pPr>
        <w:shd w:val="clear" w:color="auto" w:fill="FFFFFF"/>
        <w:rPr>
          <w:rFonts w:ascii="Arial" w:eastAsia="Verdana" w:hAnsi="Arial" w:cs="Arial"/>
          <w:sz w:val="24"/>
          <w:szCs w:val="24"/>
        </w:rPr>
      </w:pPr>
      <w:r w:rsidRPr="001B712C">
        <w:rPr>
          <w:rFonts w:ascii="Arial" w:eastAsia="Verdana" w:hAnsi="Arial" w:cs="Arial"/>
          <w:sz w:val="24"/>
          <w:szCs w:val="24"/>
        </w:rPr>
        <w:t>A partir del año 2012</w:t>
      </w:r>
      <w:r w:rsidRPr="001B712C">
        <w:rPr>
          <w:rFonts w:ascii="Arial" w:eastAsia="Verdana" w:hAnsi="Arial" w:cs="Arial"/>
          <w:sz w:val="24"/>
          <w:szCs w:val="24"/>
          <w:vertAlign w:val="superscript"/>
        </w:rPr>
        <w:footnoteReference w:id="9"/>
      </w:r>
      <w:r w:rsidRPr="001B712C">
        <w:rPr>
          <w:rFonts w:ascii="Arial" w:eastAsia="Verdana" w:hAnsi="Arial" w:cs="Arial"/>
          <w:sz w:val="24"/>
          <w:szCs w:val="24"/>
        </w:rPr>
        <w:t>, la Sala Plena de lo Contencioso Administrativo de esta Corporación aceptó la procedencia de la acción de tutela contra providencias judiciales. De hecho, en la sentencia de unificación del 5 de agosto de 2014</w:t>
      </w:r>
      <w:r w:rsidRPr="001B712C">
        <w:rPr>
          <w:rFonts w:ascii="Arial" w:eastAsia="Verdana" w:hAnsi="Arial" w:cs="Arial"/>
          <w:sz w:val="24"/>
          <w:szCs w:val="24"/>
          <w:vertAlign w:val="superscript"/>
        </w:rPr>
        <w:footnoteReference w:id="10"/>
      </w:r>
      <w:r w:rsidRPr="001B712C">
        <w:rPr>
          <w:rFonts w:ascii="Arial" w:eastAsia="Verdana" w:hAnsi="Arial" w:cs="Arial"/>
          <w:sz w:val="24"/>
          <w:szCs w:val="24"/>
        </w:rPr>
        <w:t xml:space="preserve">, se precisó que la acción de tutela, incluso, es procedente para cuestionar providencias judiciales dictadas por el Consejo de Estado, pues, de conformidad con el artículo 86 de la Constitución Política, ese mecanismo puede ejercerse contra cualquier </w:t>
      </w:r>
      <w:proofErr w:type="gramStart"/>
      <w:r w:rsidRPr="001B712C">
        <w:rPr>
          <w:rFonts w:ascii="Arial" w:eastAsia="Verdana" w:hAnsi="Arial" w:cs="Arial"/>
          <w:sz w:val="24"/>
          <w:szCs w:val="24"/>
        </w:rPr>
        <w:t>autoridad pública</w:t>
      </w:r>
      <w:proofErr w:type="gramEnd"/>
      <w:r w:rsidRPr="001B712C">
        <w:rPr>
          <w:rFonts w:ascii="Arial" w:eastAsia="Verdana" w:hAnsi="Arial" w:cs="Arial"/>
          <w:sz w:val="24"/>
          <w:szCs w:val="24"/>
        </w:rPr>
        <w:t>.</w:t>
      </w:r>
    </w:p>
    <w:p w14:paraId="1D939FA4" w14:textId="77777777" w:rsidR="001E370C" w:rsidRPr="001B712C" w:rsidRDefault="001E370C" w:rsidP="0046202D">
      <w:pPr>
        <w:shd w:val="clear" w:color="auto" w:fill="FFFFFF"/>
        <w:rPr>
          <w:rFonts w:ascii="Arial" w:eastAsia="Verdana" w:hAnsi="Arial" w:cs="Arial"/>
          <w:sz w:val="24"/>
          <w:szCs w:val="24"/>
        </w:rPr>
      </w:pPr>
    </w:p>
    <w:p w14:paraId="436018F7" w14:textId="77777777" w:rsidR="001E370C" w:rsidRPr="001B712C" w:rsidRDefault="001E370C" w:rsidP="0046202D">
      <w:pPr>
        <w:shd w:val="clear" w:color="auto" w:fill="FFFFFF"/>
        <w:rPr>
          <w:rFonts w:ascii="Arial" w:eastAsia="Verdana" w:hAnsi="Arial" w:cs="Arial"/>
          <w:sz w:val="24"/>
          <w:szCs w:val="24"/>
        </w:rPr>
      </w:pPr>
      <w:r w:rsidRPr="001B712C">
        <w:rPr>
          <w:rFonts w:ascii="Arial" w:eastAsia="Verdana" w:hAnsi="Arial" w:cs="Arial"/>
          <w:sz w:val="24"/>
          <w:szCs w:val="24"/>
        </w:rPr>
        <w:t xml:space="preserve">Para tal efecto, el juez de tutela debe verificar el cumplimiento de los requisitos generales (procesales o de procedibilidad) que fijó la Corte Constitucional, en la sentencia C-590 de 2005. Esto es, la relevancia constitucional, el agotamiento de los medios ordinarios de defensa, la inmediatez y que no se esté cuestionando una sentencia de tutela. </w:t>
      </w:r>
    </w:p>
    <w:p w14:paraId="58AA9305" w14:textId="77777777" w:rsidR="001E370C" w:rsidRPr="001B712C" w:rsidRDefault="001E370C" w:rsidP="0046202D">
      <w:pPr>
        <w:rPr>
          <w:rFonts w:ascii="Arial" w:eastAsia="Verdana" w:hAnsi="Arial" w:cs="Arial"/>
          <w:sz w:val="24"/>
          <w:szCs w:val="24"/>
        </w:rPr>
      </w:pPr>
    </w:p>
    <w:p w14:paraId="22D7181C" w14:textId="77777777" w:rsidR="001E370C" w:rsidRPr="001B712C" w:rsidRDefault="001E370C" w:rsidP="0046202D">
      <w:pPr>
        <w:rPr>
          <w:rFonts w:ascii="Arial" w:eastAsia="Verdana" w:hAnsi="Arial" w:cs="Arial"/>
          <w:sz w:val="24"/>
          <w:szCs w:val="24"/>
        </w:rPr>
      </w:pPr>
      <w:r w:rsidRPr="001B712C">
        <w:rPr>
          <w:rFonts w:ascii="Arial" w:eastAsia="Verdana" w:hAnsi="Arial" w:cs="Arial"/>
          <w:sz w:val="24"/>
          <w:szCs w:val="24"/>
        </w:rPr>
        <w:t xml:space="preserve">Una vez la acción de tutela supere el estudio de las causales procesales, el juez puede conceder la protección, siempre que advierta la presencia de alguno de los siguientes </w:t>
      </w:r>
      <w:r w:rsidRPr="001B712C">
        <w:rPr>
          <w:rFonts w:ascii="Arial" w:eastAsia="Verdana" w:hAnsi="Arial" w:cs="Arial"/>
          <w:sz w:val="24"/>
          <w:szCs w:val="24"/>
        </w:rPr>
        <w:lastRenderedPageBreak/>
        <w:t xml:space="preserve">defectos o vicios de fondo, que miran más hacia la prosperidad de la tutela: </w:t>
      </w:r>
      <w:r w:rsidRPr="001B712C">
        <w:rPr>
          <w:rFonts w:ascii="Arial" w:eastAsia="Verdana" w:hAnsi="Arial" w:cs="Arial"/>
          <w:b/>
          <w:sz w:val="24"/>
          <w:szCs w:val="24"/>
        </w:rPr>
        <w:t xml:space="preserve">(i) </w:t>
      </w:r>
      <w:r w:rsidRPr="001B712C">
        <w:rPr>
          <w:rFonts w:ascii="Arial" w:eastAsia="Verdana" w:hAnsi="Arial" w:cs="Arial"/>
          <w:sz w:val="24"/>
          <w:szCs w:val="24"/>
        </w:rPr>
        <w:t xml:space="preserve">defecto sustantivo, </w:t>
      </w:r>
      <w:r w:rsidRPr="001B712C">
        <w:rPr>
          <w:rFonts w:ascii="Arial" w:eastAsia="Verdana" w:hAnsi="Arial" w:cs="Arial"/>
          <w:b/>
          <w:sz w:val="24"/>
          <w:szCs w:val="24"/>
        </w:rPr>
        <w:t>(</w:t>
      </w:r>
      <w:proofErr w:type="spellStart"/>
      <w:r w:rsidRPr="001B712C">
        <w:rPr>
          <w:rFonts w:ascii="Arial" w:eastAsia="Verdana" w:hAnsi="Arial" w:cs="Arial"/>
          <w:b/>
          <w:sz w:val="24"/>
          <w:szCs w:val="24"/>
        </w:rPr>
        <w:t>ii</w:t>
      </w:r>
      <w:proofErr w:type="spellEnd"/>
      <w:r w:rsidRPr="001B712C">
        <w:rPr>
          <w:rFonts w:ascii="Arial" w:eastAsia="Verdana" w:hAnsi="Arial" w:cs="Arial"/>
          <w:b/>
          <w:sz w:val="24"/>
          <w:szCs w:val="24"/>
        </w:rPr>
        <w:t xml:space="preserve">) </w:t>
      </w:r>
      <w:r w:rsidRPr="001B712C">
        <w:rPr>
          <w:rFonts w:ascii="Arial" w:eastAsia="Verdana" w:hAnsi="Arial" w:cs="Arial"/>
          <w:sz w:val="24"/>
          <w:szCs w:val="24"/>
        </w:rPr>
        <w:t xml:space="preserve">defecto fáctico, </w:t>
      </w:r>
      <w:r w:rsidRPr="001B712C">
        <w:rPr>
          <w:rFonts w:ascii="Arial" w:eastAsia="Verdana" w:hAnsi="Arial" w:cs="Arial"/>
          <w:b/>
          <w:sz w:val="24"/>
          <w:szCs w:val="24"/>
        </w:rPr>
        <w:t>(</w:t>
      </w:r>
      <w:proofErr w:type="spellStart"/>
      <w:r w:rsidRPr="001B712C">
        <w:rPr>
          <w:rFonts w:ascii="Arial" w:eastAsia="Verdana" w:hAnsi="Arial" w:cs="Arial"/>
          <w:b/>
          <w:sz w:val="24"/>
          <w:szCs w:val="24"/>
        </w:rPr>
        <w:t>iii</w:t>
      </w:r>
      <w:proofErr w:type="spellEnd"/>
      <w:r w:rsidRPr="001B712C">
        <w:rPr>
          <w:rFonts w:ascii="Arial" w:eastAsia="Verdana" w:hAnsi="Arial" w:cs="Arial"/>
          <w:b/>
          <w:sz w:val="24"/>
          <w:szCs w:val="24"/>
        </w:rPr>
        <w:t xml:space="preserve">) </w:t>
      </w:r>
      <w:r w:rsidRPr="001B712C">
        <w:rPr>
          <w:rFonts w:ascii="Arial" w:eastAsia="Verdana" w:hAnsi="Arial" w:cs="Arial"/>
          <w:sz w:val="24"/>
          <w:szCs w:val="24"/>
        </w:rPr>
        <w:t xml:space="preserve">defecto procedimental absoluto, </w:t>
      </w:r>
      <w:r w:rsidRPr="001B712C">
        <w:rPr>
          <w:rFonts w:ascii="Arial" w:eastAsia="Verdana" w:hAnsi="Arial" w:cs="Arial"/>
          <w:b/>
          <w:sz w:val="24"/>
          <w:szCs w:val="24"/>
        </w:rPr>
        <w:t>(</w:t>
      </w:r>
      <w:proofErr w:type="spellStart"/>
      <w:r w:rsidRPr="001B712C">
        <w:rPr>
          <w:rFonts w:ascii="Arial" w:eastAsia="Verdana" w:hAnsi="Arial" w:cs="Arial"/>
          <w:b/>
          <w:sz w:val="24"/>
          <w:szCs w:val="24"/>
        </w:rPr>
        <w:t>iv</w:t>
      </w:r>
      <w:proofErr w:type="spellEnd"/>
      <w:r w:rsidRPr="001B712C">
        <w:rPr>
          <w:rFonts w:ascii="Arial" w:eastAsia="Verdana" w:hAnsi="Arial" w:cs="Arial"/>
          <w:b/>
          <w:sz w:val="24"/>
          <w:szCs w:val="24"/>
        </w:rPr>
        <w:t xml:space="preserve">) </w:t>
      </w:r>
      <w:r w:rsidRPr="001B712C">
        <w:rPr>
          <w:rFonts w:ascii="Arial" w:eastAsia="Verdana" w:hAnsi="Arial" w:cs="Arial"/>
          <w:sz w:val="24"/>
          <w:szCs w:val="24"/>
        </w:rPr>
        <w:t xml:space="preserve">defecto orgánico, </w:t>
      </w:r>
      <w:r w:rsidRPr="001B712C">
        <w:rPr>
          <w:rFonts w:ascii="Arial" w:eastAsia="Verdana" w:hAnsi="Arial" w:cs="Arial"/>
          <w:b/>
          <w:sz w:val="24"/>
          <w:szCs w:val="24"/>
        </w:rPr>
        <w:t>(v)</w:t>
      </w:r>
      <w:r w:rsidRPr="001B712C">
        <w:rPr>
          <w:rFonts w:ascii="Arial" w:eastAsia="Verdana" w:hAnsi="Arial" w:cs="Arial"/>
          <w:sz w:val="24"/>
          <w:szCs w:val="24"/>
        </w:rPr>
        <w:t> error inducido, </w:t>
      </w:r>
      <w:r w:rsidRPr="001B712C">
        <w:rPr>
          <w:rFonts w:ascii="Arial" w:eastAsia="Verdana" w:hAnsi="Arial" w:cs="Arial"/>
          <w:b/>
          <w:sz w:val="24"/>
          <w:szCs w:val="24"/>
        </w:rPr>
        <w:t>(vi)</w:t>
      </w:r>
      <w:r w:rsidRPr="001B712C">
        <w:rPr>
          <w:rFonts w:ascii="Arial" w:eastAsia="Verdana" w:hAnsi="Arial" w:cs="Arial"/>
          <w:sz w:val="24"/>
          <w:szCs w:val="24"/>
        </w:rPr>
        <w:t> decisión sin motivación, </w:t>
      </w:r>
      <w:r w:rsidRPr="001B712C">
        <w:rPr>
          <w:rFonts w:ascii="Arial" w:eastAsia="Verdana" w:hAnsi="Arial" w:cs="Arial"/>
          <w:b/>
          <w:sz w:val="24"/>
          <w:szCs w:val="24"/>
        </w:rPr>
        <w:t>(</w:t>
      </w:r>
      <w:proofErr w:type="spellStart"/>
      <w:r w:rsidRPr="001B712C">
        <w:rPr>
          <w:rFonts w:ascii="Arial" w:eastAsia="Verdana" w:hAnsi="Arial" w:cs="Arial"/>
          <w:b/>
          <w:sz w:val="24"/>
          <w:szCs w:val="24"/>
        </w:rPr>
        <w:t>vii</w:t>
      </w:r>
      <w:proofErr w:type="spellEnd"/>
      <w:r w:rsidRPr="001B712C">
        <w:rPr>
          <w:rFonts w:ascii="Arial" w:eastAsia="Verdana" w:hAnsi="Arial" w:cs="Arial"/>
          <w:b/>
          <w:sz w:val="24"/>
          <w:szCs w:val="24"/>
        </w:rPr>
        <w:t>)</w:t>
      </w:r>
      <w:r w:rsidRPr="001B712C">
        <w:rPr>
          <w:rFonts w:ascii="Arial" w:eastAsia="Verdana" w:hAnsi="Arial" w:cs="Arial"/>
          <w:sz w:val="24"/>
          <w:szCs w:val="24"/>
        </w:rPr>
        <w:t> desconocimiento del precedente y </w:t>
      </w:r>
      <w:r w:rsidRPr="001B712C">
        <w:rPr>
          <w:rFonts w:ascii="Arial" w:eastAsia="Verdana" w:hAnsi="Arial" w:cs="Arial"/>
          <w:b/>
          <w:sz w:val="24"/>
          <w:szCs w:val="24"/>
        </w:rPr>
        <w:t>(</w:t>
      </w:r>
      <w:proofErr w:type="spellStart"/>
      <w:r w:rsidRPr="001B712C">
        <w:rPr>
          <w:rFonts w:ascii="Arial" w:eastAsia="Verdana" w:hAnsi="Arial" w:cs="Arial"/>
          <w:b/>
          <w:sz w:val="24"/>
          <w:szCs w:val="24"/>
        </w:rPr>
        <w:t>viii</w:t>
      </w:r>
      <w:proofErr w:type="spellEnd"/>
      <w:r w:rsidRPr="001B712C">
        <w:rPr>
          <w:rFonts w:ascii="Arial" w:eastAsia="Verdana" w:hAnsi="Arial" w:cs="Arial"/>
          <w:b/>
          <w:sz w:val="24"/>
          <w:szCs w:val="24"/>
        </w:rPr>
        <w:t>)</w:t>
      </w:r>
      <w:r w:rsidRPr="001B712C">
        <w:rPr>
          <w:rFonts w:ascii="Arial" w:eastAsia="Verdana" w:hAnsi="Arial" w:cs="Arial"/>
          <w:sz w:val="24"/>
          <w:szCs w:val="24"/>
        </w:rPr>
        <w:t> violación directa de la Constitución.</w:t>
      </w:r>
    </w:p>
    <w:p w14:paraId="30C4B63A" w14:textId="77777777" w:rsidR="001E370C" w:rsidRPr="001B712C" w:rsidRDefault="001E370C" w:rsidP="0046202D">
      <w:pPr>
        <w:rPr>
          <w:rFonts w:ascii="Arial" w:eastAsia="Verdana" w:hAnsi="Arial" w:cs="Arial"/>
          <w:sz w:val="24"/>
          <w:szCs w:val="24"/>
        </w:rPr>
      </w:pPr>
    </w:p>
    <w:p w14:paraId="058F9090" w14:textId="77777777" w:rsidR="001E370C" w:rsidRPr="001B712C" w:rsidRDefault="001E370C" w:rsidP="0046202D">
      <w:pPr>
        <w:shd w:val="clear" w:color="auto" w:fill="FFFFFF"/>
        <w:rPr>
          <w:rFonts w:ascii="Arial" w:eastAsia="Verdana" w:hAnsi="Arial" w:cs="Arial"/>
          <w:sz w:val="24"/>
          <w:szCs w:val="24"/>
        </w:rPr>
      </w:pPr>
      <w:r w:rsidRPr="001B712C">
        <w:rPr>
          <w:rFonts w:ascii="Arial" w:eastAsia="Verdana" w:hAnsi="Arial" w:cs="Arial"/>
          <w:sz w:val="24"/>
          <w:szCs w:val="24"/>
        </w:rPr>
        <w:t>Las causales específicas que ha decantado la Corte Constitucional (y que han venido aplicando la mayoría de las autoridades judiciales) buscan que la tutela no se convierta en una instancia adicional para que las partes reabran discusiones jurídicas que son propias de los procesos ordinarios o expongan los argumentos que, por negligencia o decisión propia, dejaron de proponer oportunamente.</w:t>
      </w:r>
    </w:p>
    <w:p w14:paraId="6FA98E58" w14:textId="77777777" w:rsidR="001E370C" w:rsidRPr="001B712C" w:rsidRDefault="001E370C" w:rsidP="0046202D">
      <w:pPr>
        <w:shd w:val="clear" w:color="auto" w:fill="FFFFFF"/>
        <w:rPr>
          <w:rFonts w:ascii="Arial" w:eastAsia="Verdana" w:hAnsi="Arial" w:cs="Arial"/>
          <w:sz w:val="24"/>
          <w:szCs w:val="24"/>
        </w:rPr>
      </w:pPr>
    </w:p>
    <w:p w14:paraId="56C6C259" w14:textId="77777777" w:rsidR="001E370C" w:rsidRPr="001B712C" w:rsidRDefault="001E370C" w:rsidP="0046202D">
      <w:pPr>
        <w:rPr>
          <w:rFonts w:ascii="Arial" w:eastAsia="Verdana" w:hAnsi="Arial" w:cs="Arial"/>
          <w:sz w:val="24"/>
          <w:szCs w:val="24"/>
        </w:rPr>
      </w:pPr>
      <w:r w:rsidRPr="001B712C">
        <w:rPr>
          <w:rFonts w:ascii="Arial" w:eastAsia="Verdana" w:hAnsi="Arial" w:cs="Arial"/>
          <w:sz w:val="24"/>
          <w:szCs w:val="24"/>
        </w:rPr>
        <w:t>Ahora, tratándose de tutela contra providencias judiciales proferidas por el Consejo de Estado o por la Corte Suprema de Justicia, cuando ejercen funciones de órganos de cierre en las respectivas jurisdicciones, la Corte Constitucional ha establecido un requisito adicional, consistente en «</w:t>
      </w:r>
      <w:r w:rsidRPr="001B712C">
        <w:rPr>
          <w:rFonts w:ascii="Arial" w:eastAsia="Verdana" w:hAnsi="Arial" w:cs="Arial"/>
          <w:i/>
          <w:sz w:val="24"/>
          <w:szCs w:val="24"/>
        </w:rPr>
        <w:t>la configuración de una anomalía de tal entidad que exija la imperiosa intervención del juez constitucional</w:t>
      </w:r>
      <w:r w:rsidRPr="001B712C">
        <w:rPr>
          <w:rFonts w:ascii="Arial" w:eastAsia="Verdana" w:hAnsi="Arial" w:cs="Arial"/>
          <w:sz w:val="24"/>
          <w:szCs w:val="24"/>
        </w:rPr>
        <w:t>»</w:t>
      </w:r>
      <w:r w:rsidRPr="001B712C">
        <w:rPr>
          <w:rFonts w:ascii="Arial" w:eastAsia="Verdana" w:hAnsi="Arial" w:cs="Arial"/>
          <w:sz w:val="24"/>
          <w:szCs w:val="24"/>
          <w:vertAlign w:val="superscript"/>
        </w:rPr>
        <w:footnoteReference w:id="11"/>
      </w:r>
      <w:r w:rsidRPr="001B712C">
        <w:rPr>
          <w:rFonts w:ascii="Arial" w:eastAsia="Verdana" w:hAnsi="Arial" w:cs="Arial"/>
          <w:sz w:val="24"/>
          <w:szCs w:val="24"/>
        </w:rPr>
        <w:t>.</w:t>
      </w:r>
    </w:p>
    <w:bookmarkEnd w:id="0"/>
    <w:p w14:paraId="221ABE41" w14:textId="77777777" w:rsidR="001E370C" w:rsidRPr="001B712C" w:rsidRDefault="001E370C" w:rsidP="0046202D">
      <w:pPr>
        <w:widowControl w:val="0"/>
        <w:pBdr>
          <w:top w:val="nil"/>
          <w:left w:val="nil"/>
          <w:bottom w:val="nil"/>
          <w:right w:val="nil"/>
          <w:between w:val="nil"/>
        </w:pBdr>
        <w:rPr>
          <w:rFonts w:ascii="Arial" w:eastAsia="Verdana" w:hAnsi="Arial" w:cs="Arial"/>
          <w:sz w:val="24"/>
          <w:szCs w:val="24"/>
        </w:rPr>
      </w:pPr>
    </w:p>
    <w:p w14:paraId="770188FE" w14:textId="77777777" w:rsidR="00DA4659" w:rsidRPr="001B712C" w:rsidRDefault="00DA4659" w:rsidP="0046202D">
      <w:pPr>
        <w:pStyle w:val="Prrafodelista"/>
        <w:numPr>
          <w:ilvl w:val="0"/>
          <w:numId w:val="2"/>
        </w:numPr>
        <w:rPr>
          <w:rFonts w:ascii="Arial" w:eastAsia="Verdana" w:hAnsi="Arial" w:cs="Arial"/>
          <w:b/>
          <w:sz w:val="24"/>
          <w:szCs w:val="24"/>
          <w:lang w:val="es-ES_tradnl" w:eastAsia="es-CO"/>
        </w:rPr>
      </w:pPr>
      <w:r w:rsidRPr="001B712C">
        <w:rPr>
          <w:rFonts w:ascii="Arial" w:hAnsi="Arial" w:cs="Arial"/>
          <w:b/>
          <w:sz w:val="24"/>
          <w:szCs w:val="24"/>
          <w:lang w:val="es-ES_tradnl" w:eastAsia="es-CO"/>
        </w:rPr>
        <w:t>Verificación del cumplimiento de los requisitos generales de procedibilidad de la tutela contra providencias judiciales</w:t>
      </w:r>
    </w:p>
    <w:p w14:paraId="10F1801F" w14:textId="77777777" w:rsidR="00DA4659" w:rsidRPr="001B712C" w:rsidRDefault="00DA4659" w:rsidP="0046202D">
      <w:pPr>
        <w:rPr>
          <w:rFonts w:ascii="Arial" w:eastAsia="Verdana" w:hAnsi="Arial" w:cs="Arial"/>
          <w:b/>
          <w:sz w:val="24"/>
          <w:szCs w:val="24"/>
          <w:lang w:val="es-ES_tradnl" w:eastAsia="es-CO"/>
        </w:rPr>
      </w:pPr>
    </w:p>
    <w:p w14:paraId="1BCCE4E1" w14:textId="77777777" w:rsidR="00DA4659" w:rsidRPr="001B712C" w:rsidRDefault="00DA4659" w:rsidP="0046202D">
      <w:pPr>
        <w:rPr>
          <w:rFonts w:ascii="Arial" w:eastAsia="Verdana" w:hAnsi="Arial" w:cs="Arial"/>
          <w:sz w:val="24"/>
          <w:szCs w:val="24"/>
          <w:lang w:val="es-ES_tradnl" w:eastAsia="es-CO"/>
        </w:rPr>
      </w:pPr>
      <w:r w:rsidRPr="001B712C">
        <w:rPr>
          <w:rFonts w:ascii="Arial" w:eastAsia="Verdana" w:hAnsi="Arial" w:cs="Arial"/>
          <w:sz w:val="24"/>
          <w:szCs w:val="24"/>
          <w:lang w:val="es-ES_tradnl" w:eastAsia="es-CO"/>
        </w:rPr>
        <w:t>2.1.</w:t>
      </w:r>
      <w:r w:rsidRPr="001B712C">
        <w:rPr>
          <w:rFonts w:ascii="Arial" w:eastAsia="Verdana" w:hAnsi="Arial" w:cs="Arial"/>
          <w:b/>
          <w:sz w:val="24"/>
          <w:szCs w:val="24"/>
          <w:lang w:val="es-ES_tradnl" w:eastAsia="es-CO"/>
        </w:rPr>
        <w:t xml:space="preserve"> De la relevancia constitucional. </w:t>
      </w:r>
      <w:r w:rsidRPr="001B712C">
        <w:rPr>
          <w:rFonts w:ascii="Arial" w:eastAsia="Verdana" w:hAnsi="Arial" w:cs="Arial"/>
          <w:sz w:val="24"/>
          <w:szCs w:val="24"/>
          <w:lang w:val="es-ES_tradnl" w:eastAsia="es-CO"/>
        </w:rPr>
        <w:t xml:space="preserve">Este requisito tiene como finalidad </w:t>
      </w:r>
      <w:r w:rsidRPr="001B712C">
        <w:rPr>
          <w:rFonts w:ascii="Arial" w:eastAsia="Verdana" w:hAnsi="Arial" w:cs="Arial"/>
          <w:b/>
          <w:sz w:val="24"/>
          <w:szCs w:val="24"/>
          <w:lang w:val="es-ES_tradnl" w:eastAsia="es-CO"/>
        </w:rPr>
        <w:t>(i)</w:t>
      </w:r>
      <w:r w:rsidRPr="001B712C">
        <w:rPr>
          <w:rFonts w:ascii="Arial" w:eastAsia="Verdana" w:hAnsi="Arial" w:cs="Arial"/>
          <w:sz w:val="24"/>
          <w:szCs w:val="24"/>
          <w:lang w:val="es-ES_tradnl" w:eastAsia="es-CO"/>
        </w:rPr>
        <w:t xml:space="preserve"> proteger la autonomía e independencia judicial y </w:t>
      </w:r>
      <w:r w:rsidRPr="001B712C">
        <w:rPr>
          <w:rFonts w:ascii="Arial" w:eastAsia="Verdana" w:hAnsi="Arial" w:cs="Arial"/>
          <w:b/>
          <w:sz w:val="24"/>
          <w:szCs w:val="24"/>
          <w:lang w:val="es-ES_tradnl" w:eastAsia="es-CO"/>
        </w:rPr>
        <w:t>(</w:t>
      </w:r>
      <w:proofErr w:type="spellStart"/>
      <w:r w:rsidRPr="001B712C">
        <w:rPr>
          <w:rFonts w:ascii="Arial" w:eastAsia="Verdana" w:hAnsi="Arial" w:cs="Arial"/>
          <w:b/>
          <w:sz w:val="24"/>
          <w:szCs w:val="24"/>
          <w:lang w:val="es-ES_tradnl" w:eastAsia="es-CO"/>
        </w:rPr>
        <w:t>ii</w:t>
      </w:r>
      <w:proofErr w:type="spellEnd"/>
      <w:r w:rsidRPr="001B712C">
        <w:rPr>
          <w:rFonts w:ascii="Arial" w:eastAsia="Verdana" w:hAnsi="Arial" w:cs="Arial"/>
          <w:b/>
          <w:sz w:val="24"/>
          <w:szCs w:val="24"/>
          <w:lang w:val="es-ES_tradnl" w:eastAsia="es-CO"/>
        </w:rPr>
        <w:t>)</w:t>
      </w:r>
      <w:r w:rsidRPr="001B712C">
        <w:rPr>
          <w:rFonts w:ascii="Arial" w:eastAsia="Verdana" w:hAnsi="Arial" w:cs="Arial"/>
          <w:sz w:val="24"/>
          <w:szCs w:val="24"/>
          <w:lang w:val="es-ES_tradnl" w:eastAsia="es-CO"/>
        </w:rPr>
        <w:t xml:space="preserve"> evitar que el juez de tutela se inmiscuya en asuntos que corresponde resolver a otras jurisdicciones. Para determinar si una solicitud de amparo tiene o no relevancia constitucional, la Sala Plena del Consejo de Estado ha considerado necesario examinar dos elementos</w:t>
      </w:r>
      <w:r w:rsidRPr="001B712C">
        <w:rPr>
          <w:rFonts w:ascii="Arial" w:eastAsia="Verdana" w:hAnsi="Arial" w:cs="Arial"/>
          <w:sz w:val="24"/>
          <w:szCs w:val="24"/>
          <w:vertAlign w:val="superscript"/>
          <w:lang w:val="es-ES_tradnl" w:eastAsia="es-CO"/>
        </w:rPr>
        <w:footnoteReference w:id="12"/>
      </w:r>
      <w:r w:rsidRPr="001B712C">
        <w:rPr>
          <w:rFonts w:ascii="Arial" w:eastAsia="Verdana" w:hAnsi="Arial" w:cs="Arial"/>
          <w:sz w:val="24"/>
          <w:szCs w:val="24"/>
          <w:lang w:val="es-ES_tradnl" w:eastAsia="es-CO"/>
        </w:rPr>
        <w:t>:</w:t>
      </w:r>
    </w:p>
    <w:p w14:paraId="1E754762" w14:textId="77777777" w:rsidR="00DA4659" w:rsidRPr="001B712C" w:rsidRDefault="00DA4659" w:rsidP="0046202D">
      <w:pPr>
        <w:tabs>
          <w:tab w:val="left" w:pos="709"/>
          <w:tab w:val="left" w:pos="1701"/>
        </w:tabs>
        <w:rPr>
          <w:rFonts w:ascii="Arial" w:eastAsia="Verdana" w:hAnsi="Arial" w:cs="Arial"/>
          <w:sz w:val="24"/>
          <w:szCs w:val="24"/>
          <w:lang w:val="es-ES_tradnl" w:eastAsia="es-CO"/>
        </w:rPr>
      </w:pPr>
      <w:r w:rsidRPr="001B712C">
        <w:rPr>
          <w:rFonts w:ascii="Arial" w:eastAsia="Verdana" w:hAnsi="Arial" w:cs="Arial"/>
          <w:sz w:val="24"/>
          <w:szCs w:val="24"/>
          <w:lang w:val="es-ES_tradnl" w:eastAsia="es-CO"/>
        </w:rPr>
        <w:t xml:space="preserve"> </w:t>
      </w:r>
    </w:p>
    <w:p w14:paraId="1440448F" w14:textId="77777777" w:rsidR="00DA4659" w:rsidRPr="001B712C" w:rsidRDefault="00FB4F98" w:rsidP="0046202D">
      <w:pPr>
        <w:tabs>
          <w:tab w:val="left" w:pos="709"/>
          <w:tab w:val="left" w:pos="834"/>
        </w:tabs>
        <w:rPr>
          <w:rFonts w:ascii="Arial" w:eastAsia="Verdana" w:hAnsi="Arial" w:cs="Arial"/>
          <w:i/>
          <w:sz w:val="24"/>
          <w:szCs w:val="24"/>
          <w:lang w:val="es-ES_tradnl" w:eastAsia="es-CO"/>
        </w:rPr>
      </w:pPr>
      <w:r w:rsidRPr="001B712C">
        <w:rPr>
          <w:rFonts w:ascii="Arial" w:eastAsia="Verdana" w:hAnsi="Arial" w:cs="Arial"/>
          <w:b/>
          <w:sz w:val="24"/>
          <w:szCs w:val="24"/>
          <w:lang w:val="es-ES_tradnl" w:eastAsia="es-CO"/>
        </w:rPr>
        <w:tab/>
      </w:r>
      <w:r w:rsidR="00DA4659" w:rsidRPr="001B712C">
        <w:rPr>
          <w:rFonts w:ascii="Arial" w:eastAsia="Verdana" w:hAnsi="Arial" w:cs="Arial"/>
          <w:b/>
          <w:sz w:val="24"/>
          <w:szCs w:val="24"/>
          <w:lang w:val="es-ES_tradnl" w:eastAsia="es-CO"/>
        </w:rPr>
        <w:t>i)</w:t>
      </w:r>
      <w:r w:rsidR="00DA4659" w:rsidRPr="001B712C">
        <w:rPr>
          <w:rFonts w:ascii="Arial" w:eastAsia="Verdana" w:hAnsi="Arial" w:cs="Arial"/>
          <w:sz w:val="24"/>
          <w:szCs w:val="24"/>
          <w:lang w:val="es-ES_tradnl" w:eastAsia="es-CO"/>
        </w:rPr>
        <w:t xml:space="preserve"> El primero consistente en que el interesado argumente de manera suficiente y razonable la relevancia constitucional por vulneración de derechos fundamentales. Debe tenerse en cuenta que para el efecto «</w:t>
      </w:r>
      <w:r w:rsidR="00DA4659" w:rsidRPr="001B712C">
        <w:rPr>
          <w:rFonts w:ascii="Arial" w:eastAsia="Verdana" w:hAnsi="Arial" w:cs="Arial"/>
          <w:i/>
          <w:sz w:val="24"/>
          <w:szCs w:val="24"/>
          <w:lang w:val="es-ES_tradnl" w:eastAsia="es-CO"/>
        </w:rPr>
        <w:t>no basta, entonces, aducir la vulneración de derechos fundamentales para cumplir este requisito de procedibilidad de la tutela contra providencias judiciales</w:t>
      </w:r>
      <w:r w:rsidR="00DA4659" w:rsidRPr="001B712C">
        <w:rPr>
          <w:rFonts w:ascii="Arial" w:eastAsia="Verdana" w:hAnsi="Arial" w:cs="Arial"/>
          <w:sz w:val="24"/>
          <w:szCs w:val="24"/>
          <w:lang w:val="es-ES_tradnl" w:eastAsia="es-CO"/>
        </w:rPr>
        <w:t>».</w:t>
      </w:r>
    </w:p>
    <w:p w14:paraId="0092E025" w14:textId="77777777" w:rsidR="00DA4659" w:rsidRPr="001B712C" w:rsidRDefault="00DA4659" w:rsidP="0046202D">
      <w:pPr>
        <w:tabs>
          <w:tab w:val="left" w:pos="709"/>
          <w:tab w:val="left" w:pos="834"/>
        </w:tabs>
        <w:ind w:firstLine="709"/>
        <w:rPr>
          <w:rFonts w:ascii="Arial" w:eastAsia="Verdana" w:hAnsi="Arial" w:cs="Arial"/>
          <w:sz w:val="24"/>
          <w:szCs w:val="24"/>
          <w:lang w:val="es-ES_tradnl" w:eastAsia="es-CO"/>
        </w:rPr>
      </w:pPr>
      <w:r w:rsidRPr="001B712C">
        <w:rPr>
          <w:rFonts w:ascii="Arial" w:eastAsia="Verdana" w:hAnsi="Arial" w:cs="Arial"/>
          <w:sz w:val="24"/>
          <w:szCs w:val="24"/>
          <w:lang w:val="es-ES_tradnl" w:eastAsia="es-CO"/>
        </w:rPr>
        <w:t xml:space="preserve"> </w:t>
      </w:r>
    </w:p>
    <w:p w14:paraId="1DAD95C7" w14:textId="77777777" w:rsidR="00DA4659" w:rsidRPr="001B712C" w:rsidRDefault="00FB4F98" w:rsidP="0046202D">
      <w:pPr>
        <w:tabs>
          <w:tab w:val="left" w:pos="851"/>
          <w:tab w:val="left" w:pos="2790"/>
        </w:tabs>
        <w:rPr>
          <w:rFonts w:ascii="Arial" w:eastAsia="Verdana" w:hAnsi="Arial" w:cs="Arial"/>
          <w:sz w:val="24"/>
          <w:szCs w:val="24"/>
          <w:lang w:val="es-ES_tradnl" w:eastAsia="es-CO"/>
        </w:rPr>
      </w:pPr>
      <w:r w:rsidRPr="001B712C">
        <w:rPr>
          <w:rFonts w:ascii="Arial" w:eastAsia="Verdana" w:hAnsi="Arial" w:cs="Arial"/>
          <w:b/>
          <w:sz w:val="24"/>
          <w:szCs w:val="24"/>
          <w:lang w:val="es-ES_tradnl" w:eastAsia="es-CO"/>
        </w:rPr>
        <w:tab/>
      </w:r>
      <w:proofErr w:type="spellStart"/>
      <w:r w:rsidR="00DA4659" w:rsidRPr="001B712C">
        <w:rPr>
          <w:rFonts w:ascii="Arial" w:eastAsia="Verdana" w:hAnsi="Arial" w:cs="Arial"/>
          <w:b/>
          <w:sz w:val="24"/>
          <w:szCs w:val="24"/>
          <w:lang w:val="es-ES_tradnl" w:eastAsia="es-CO"/>
        </w:rPr>
        <w:t>ii</w:t>
      </w:r>
      <w:proofErr w:type="spellEnd"/>
      <w:r w:rsidR="00DA4659" w:rsidRPr="001B712C">
        <w:rPr>
          <w:rFonts w:ascii="Arial" w:eastAsia="Verdana" w:hAnsi="Arial" w:cs="Arial"/>
          <w:b/>
          <w:sz w:val="24"/>
          <w:szCs w:val="24"/>
          <w:lang w:val="es-ES_tradnl" w:eastAsia="es-CO"/>
        </w:rPr>
        <w:t>)</w:t>
      </w:r>
      <w:r w:rsidR="00DA4659" w:rsidRPr="001B712C">
        <w:rPr>
          <w:rFonts w:ascii="Arial" w:eastAsia="Verdana" w:hAnsi="Arial" w:cs="Arial"/>
          <w:sz w:val="24"/>
          <w:szCs w:val="24"/>
          <w:lang w:val="es-ES_tradnl" w:eastAsia="es-CO"/>
        </w:rPr>
        <w:t xml:space="preserve"> El segundo consiste en que la acción de tutela no se erija en una instancia adicional del proceso ordinario en el que fue proferida la providencia acusada, puesto que este mecanismo especial está constituido para proteger derechos fundamentales, más no para discutir la discrepancia que el interesado tenga frente a la decisión judicial.</w:t>
      </w:r>
    </w:p>
    <w:p w14:paraId="2757BED3" w14:textId="77777777" w:rsidR="00DA4659" w:rsidRPr="001B712C" w:rsidRDefault="00DA4659" w:rsidP="0046202D">
      <w:pPr>
        <w:ind w:right="51"/>
        <w:rPr>
          <w:rFonts w:ascii="Arial" w:eastAsia="Verdana" w:hAnsi="Arial" w:cs="Arial"/>
          <w:color w:val="000000"/>
          <w:sz w:val="24"/>
          <w:szCs w:val="24"/>
        </w:rPr>
      </w:pPr>
    </w:p>
    <w:p w14:paraId="6C406739" w14:textId="77777777" w:rsidR="00FB4F98" w:rsidRPr="001B712C" w:rsidRDefault="00FB4F98" w:rsidP="0046202D">
      <w:pPr>
        <w:widowControl w:val="0"/>
        <w:pBdr>
          <w:top w:val="nil"/>
          <w:left w:val="nil"/>
          <w:bottom w:val="nil"/>
          <w:right w:val="nil"/>
          <w:between w:val="nil"/>
        </w:pBdr>
        <w:rPr>
          <w:rFonts w:ascii="Arial" w:hAnsi="Arial" w:cs="Arial"/>
          <w:bCs/>
          <w:sz w:val="24"/>
          <w:szCs w:val="24"/>
        </w:rPr>
      </w:pPr>
      <w:r w:rsidRPr="001B712C">
        <w:rPr>
          <w:rFonts w:ascii="Arial" w:eastAsia="Verdana" w:hAnsi="Arial" w:cs="Arial"/>
          <w:sz w:val="24"/>
          <w:szCs w:val="24"/>
        </w:rPr>
        <w:t xml:space="preserve">2.2. </w:t>
      </w:r>
      <w:r w:rsidR="00DA4659" w:rsidRPr="001B712C">
        <w:rPr>
          <w:rFonts w:ascii="Arial" w:eastAsia="Verdana" w:hAnsi="Arial" w:cs="Arial"/>
          <w:sz w:val="24"/>
          <w:szCs w:val="24"/>
        </w:rPr>
        <w:t xml:space="preserve">En el </w:t>
      </w:r>
      <w:proofErr w:type="gramStart"/>
      <w:r w:rsidR="00DA4659" w:rsidRPr="001B712C">
        <w:rPr>
          <w:rFonts w:ascii="Arial" w:eastAsia="Verdana" w:hAnsi="Arial" w:cs="Arial"/>
          <w:i/>
          <w:sz w:val="24"/>
          <w:szCs w:val="24"/>
        </w:rPr>
        <w:t>sub lite</w:t>
      </w:r>
      <w:proofErr w:type="gramEnd"/>
      <w:r w:rsidR="00DA4659" w:rsidRPr="001B712C">
        <w:rPr>
          <w:rFonts w:ascii="Arial" w:eastAsia="Verdana" w:hAnsi="Arial" w:cs="Arial"/>
          <w:i/>
          <w:sz w:val="24"/>
          <w:szCs w:val="24"/>
        </w:rPr>
        <w:t xml:space="preserve">, </w:t>
      </w:r>
      <w:r w:rsidR="00DA4659" w:rsidRPr="001B712C">
        <w:rPr>
          <w:rFonts w:ascii="Arial" w:eastAsia="Verdana" w:hAnsi="Arial" w:cs="Arial"/>
          <w:sz w:val="24"/>
          <w:szCs w:val="24"/>
        </w:rPr>
        <w:t xml:space="preserve">la </w:t>
      </w:r>
      <w:r w:rsidRPr="001B712C">
        <w:rPr>
          <w:rFonts w:ascii="Arial" w:eastAsia="Verdana" w:hAnsi="Arial" w:cs="Arial"/>
          <w:sz w:val="24"/>
          <w:szCs w:val="24"/>
        </w:rPr>
        <w:t xml:space="preserve">Unión Temporal Rayuela alegó que el Consejo de Estado, Sección Tercera, Subsección C, </w:t>
      </w:r>
      <w:r w:rsidR="00C96FF3" w:rsidRPr="001B712C">
        <w:rPr>
          <w:rFonts w:ascii="Arial" w:eastAsia="Verdana" w:hAnsi="Arial" w:cs="Arial"/>
          <w:sz w:val="24"/>
          <w:szCs w:val="24"/>
        </w:rPr>
        <w:t xml:space="preserve">contó indebidamente el término de caducidad de la acción de controversias contractuales, por cuanto no advirtió </w:t>
      </w:r>
      <w:r w:rsidRPr="001B712C">
        <w:rPr>
          <w:rFonts w:ascii="Arial" w:eastAsia="Verdana" w:hAnsi="Arial" w:cs="Arial"/>
          <w:sz w:val="24"/>
          <w:szCs w:val="24"/>
        </w:rPr>
        <w:t>que en</w:t>
      </w:r>
      <w:r w:rsidRPr="001B712C">
        <w:rPr>
          <w:rFonts w:ascii="Arial" w:hAnsi="Arial" w:cs="Arial"/>
          <w:bCs/>
          <w:sz w:val="24"/>
          <w:szCs w:val="24"/>
          <w:lang w:val="es-CO"/>
        </w:rPr>
        <w:t xml:space="preserve"> la solicitud de conciliación del 25 de noviembre de 2014 no se incluyeron las Resoluciones </w:t>
      </w:r>
      <w:r w:rsidRPr="001B712C">
        <w:rPr>
          <w:rFonts w:ascii="Arial" w:hAnsi="Arial" w:cs="Arial"/>
          <w:bCs/>
          <w:sz w:val="24"/>
          <w:szCs w:val="24"/>
        </w:rPr>
        <w:t xml:space="preserve">No. 0004 </w:t>
      </w:r>
      <w:r w:rsidRPr="001B712C">
        <w:rPr>
          <w:rFonts w:ascii="Arial" w:hAnsi="Arial" w:cs="Arial"/>
          <w:bCs/>
          <w:sz w:val="24"/>
          <w:szCs w:val="24"/>
          <w:lang w:val="es-CO"/>
        </w:rPr>
        <w:t>y</w:t>
      </w:r>
      <w:r w:rsidRPr="001B712C">
        <w:rPr>
          <w:rFonts w:ascii="Arial" w:hAnsi="Arial" w:cs="Arial"/>
          <w:bCs/>
          <w:sz w:val="24"/>
          <w:szCs w:val="24"/>
        </w:rPr>
        <w:t xml:space="preserve"> 0006 de 2014</w:t>
      </w:r>
      <w:r w:rsidR="00C96FF3" w:rsidRPr="001B712C">
        <w:rPr>
          <w:rFonts w:ascii="Arial" w:hAnsi="Arial" w:cs="Arial"/>
          <w:bCs/>
          <w:sz w:val="24"/>
          <w:szCs w:val="24"/>
        </w:rPr>
        <w:t>. Q</w:t>
      </w:r>
      <w:r w:rsidRPr="001B712C">
        <w:rPr>
          <w:rFonts w:ascii="Arial" w:hAnsi="Arial" w:cs="Arial"/>
          <w:bCs/>
          <w:sz w:val="24"/>
          <w:szCs w:val="24"/>
        </w:rPr>
        <w:t>ue, por lo tanto, no es esa solicitud la que sirve para agotar el requisito de conciliación</w:t>
      </w:r>
      <w:r w:rsidR="00C96FF3" w:rsidRPr="001B712C">
        <w:rPr>
          <w:rFonts w:ascii="Arial" w:hAnsi="Arial" w:cs="Arial"/>
          <w:bCs/>
          <w:sz w:val="24"/>
          <w:szCs w:val="24"/>
        </w:rPr>
        <w:t xml:space="preserve">, sino la solicitud que se presentó en </w:t>
      </w:r>
      <w:r w:rsidR="0001382A" w:rsidRPr="001B712C">
        <w:rPr>
          <w:rFonts w:ascii="Arial" w:hAnsi="Arial" w:cs="Arial"/>
          <w:bCs/>
          <w:sz w:val="24"/>
          <w:szCs w:val="24"/>
        </w:rPr>
        <w:t xml:space="preserve">el año 2016. </w:t>
      </w:r>
      <w:r w:rsidRPr="001B712C">
        <w:rPr>
          <w:rFonts w:ascii="Arial" w:hAnsi="Arial" w:cs="Arial"/>
          <w:bCs/>
          <w:sz w:val="24"/>
          <w:szCs w:val="24"/>
        </w:rPr>
        <w:t xml:space="preserve">  </w:t>
      </w:r>
    </w:p>
    <w:p w14:paraId="7DC4F199" w14:textId="77777777" w:rsidR="006319CD" w:rsidRPr="001B712C" w:rsidRDefault="006319CD" w:rsidP="0046202D">
      <w:pPr>
        <w:widowControl w:val="0"/>
        <w:rPr>
          <w:rFonts w:ascii="Arial" w:eastAsia="Verdana" w:hAnsi="Arial" w:cs="Arial"/>
          <w:sz w:val="24"/>
          <w:szCs w:val="24"/>
        </w:rPr>
      </w:pPr>
    </w:p>
    <w:p w14:paraId="077574CB" w14:textId="77777777" w:rsidR="00DA4659" w:rsidRDefault="00DA4659" w:rsidP="0046202D">
      <w:pPr>
        <w:widowControl w:val="0"/>
        <w:rPr>
          <w:rFonts w:ascii="Arial" w:eastAsia="Verdana" w:hAnsi="Arial" w:cs="Arial"/>
          <w:sz w:val="24"/>
          <w:szCs w:val="24"/>
        </w:rPr>
      </w:pPr>
      <w:r w:rsidRPr="001B712C">
        <w:rPr>
          <w:rFonts w:ascii="Arial" w:eastAsia="Verdana" w:hAnsi="Arial" w:cs="Arial"/>
          <w:sz w:val="24"/>
          <w:szCs w:val="24"/>
        </w:rPr>
        <w:t xml:space="preserve">2.3. </w:t>
      </w:r>
      <w:r w:rsidR="005B0405" w:rsidRPr="001B712C">
        <w:rPr>
          <w:rFonts w:ascii="Arial" w:eastAsia="Verdana" w:hAnsi="Arial" w:cs="Arial"/>
          <w:sz w:val="24"/>
          <w:szCs w:val="24"/>
        </w:rPr>
        <w:t>La</w:t>
      </w:r>
      <w:r w:rsidR="00C96FF3" w:rsidRPr="001B712C">
        <w:rPr>
          <w:rFonts w:ascii="Arial" w:eastAsia="Verdana" w:hAnsi="Arial" w:cs="Arial"/>
          <w:sz w:val="24"/>
          <w:szCs w:val="24"/>
        </w:rPr>
        <w:t xml:space="preserve"> Sala advierte</w:t>
      </w:r>
      <w:r w:rsidRPr="001B712C">
        <w:rPr>
          <w:rFonts w:ascii="Arial" w:eastAsia="Verdana" w:hAnsi="Arial" w:cs="Arial"/>
          <w:sz w:val="24"/>
          <w:szCs w:val="24"/>
        </w:rPr>
        <w:t xml:space="preserve"> que se trata de alegatos con los que </w:t>
      </w:r>
      <w:r w:rsidR="0001382A" w:rsidRPr="001B712C">
        <w:rPr>
          <w:rFonts w:ascii="Arial" w:eastAsia="Verdana" w:hAnsi="Arial" w:cs="Arial"/>
          <w:sz w:val="24"/>
          <w:szCs w:val="24"/>
        </w:rPr>
        <w:t xml:space="preserve">la parte actora </w:t>
      </w:r>
      <w:r w:rsidRPr="001B712C">
        <w:rPr>
          <w:rFonts w:ascii="Arial" w:eastAsia="Verdana" w:hAnsi="Arial" w:cs="Arial"/>
          <w:sz w:val="24"/>
          <w:szCs w:val="24"/>
        </w:rPr>
        <w:t xml:space="preserve">pretende continuar el debate jurídico que planteó en el proceso de </w:t>
      </w:r>
      <w:r w:rsidR="0001382A" w:rsidRPr="001B712C">
        <w:rPr>
          <w:rFonts w:ascii="Arial" w:eastAsia="Verdana" w:hAnsi="Arial" w:cs="Arial"/>
          <w:sz w:val="24"/>
          <w:szCs w:val="24"/>
        </w:rPr>
        <w:t>controversias contractuales</w:t>
      </w:r>
      <w:r w:rsidRPr="001B712C">
        <w:rPr>
          <w:rFonts w:ascii="Arial" w:eastAsia="Verdana" w:hAnsi="Arial" w:cs="Arial"/>
          <w:sz w:val="24"/>
          <w:szCs w:val="24"/>
        </w:rPr>
        <w:t xml:space="preserve">. Es decir, se </w:t>
      </w:r>
      <w:r w:rsidR="006319CD" w:rsidRPr="001B712C">
        <w:rPr>
          <w:rFonts w:ascii="Arial" w:eastAsia="Verdana" w:hAnsi="Arial" w:cs="Arial"/>
          <w:sz w:val="24"/>
          <w:szCs w:val="24"/>
        </w:rPr>
        <w:t>constata</w:t>
      </w:r>
      <w:r w:rsidRPr="001B712C">
        <w:rPr>
          <w:rFonts w:ascii="Arial" w:eastAsia="Verdana" w:hAnsi="Arial" w:cs="Arial"/>
          <w:sz w:val="24"/>
          <w:szCs w:val="24"/>
        </w:rPr>
        <w:t xml:space="preserve"> que </w:t>
      </w:r>
      <w:r w:rsidR="0001382A" w:rsidRPr="001B712C">
        <w:rPr>
          <w:rFonts w:ascii="Arial" w:eastAsia="Verdana" w:hAnsi="Arial" w:cs="Arial"/>
          <w:sz w:val="24"/>
          <w:szCs w:val="24"/>
        </w:rPr>
        <w:t xml:space="preserve">la Unión Temporal Rayuela </w:t>
      </w:r>
      <w:r w:rsidRPr="001B712C">
        <w:rPr>
          <w:rFonts w:ascii="Arial" w:eastAsia="Verdana" w:hAnsi="Arial" w:cs="Arial"/>
          <w:sz w:val="24"/>
          <w:szCs w:val="24"/>
        </w:rPr>
        <w:t xml:space="preserve">intenta simplemente emplear la acción de tutela a modo de instancia adicional, como se </w:t>
      </w:r>
      <w:r w:rsidR="0001382A" w:rsidRPr="001B712C">
        <w:rPr>
          <w:rFonts w:ascii="Arial" w:eastAsia="Verdana" w:hAnsi="Arial" w:cs="Arial"/>
          <w:sz w:val="24"/>
          <w:szCs w:val="24"/>
        </w:rPr>
        <w:t>evidencia en el siguiente cuadro comparativo e</w:t>
      </w:r>
      <w:r w:rsidR="00C96FF3" w:rsidRPr="001B712C">
        <w:rPr>
          <w:rFonts w:ascii="Arial" w:eastAsia="Verdana" w:hAnsi="Arial" w:cs="Arial"/>
          <w:sz w:val="24"/>
          <w:szCs w:val="24"/>
        </w:rPr>
        <w:t xml:space="preserve">ntre los argumentos del </w:t>
      </w:r>
      <w:r w:rsidR="0001382A" w:rsidRPr="001B712C">
        <w:rPr>
          <w:rFonts w:ascii="Arial" w:eastAsia="Verdana" w:hAnsi="Arial" w:cs="Arial"/>
          <w:sz w:val="24"/>
          <w:szCs w:val="24"/>
        </w:rPr>
        <w:t xml:space="preserve">recurso de apelación que presentó en el proceso ordinario y </w:t>
      </w:r>
      <w:r w:rsidR="00C96FF3" w:rsidRPr="001B712C">
        <w:rPr>
          <w:rFonts w:ascii="Arial" w:eastAsia="Verdana" w:hAnsi="Arial" w:cs="Arial"/>
          <w:sz w:val="24"/>
          <w:szCs w:val="24"/>
        </w:rPr>
        <w:t xml:space="preserve">los de </w:t>
      </w:r>
      <w:r w:rsidR="0001382A" w:rsidRPr="001B712C">
        <w:rPr>
          <w:rFonts w:ascii="Arial" w:eastAsia="Verdana" w:hAnsi="Arial" w:cs="Arial"/>
          <w:sz w:val="24"/>
          <w:szCs w:val="24"/>
        </w:rPr>
        <w:t>la acción de tutela</w:t>
      </w:r>
      <w:r w:rsidR="00667187" w:rsidRPr="001B712C">
        <w:rPr>
          <w:rFonts w:ascii="Arial" w:eastAsia="Verdana" w:hAnsi="Arial" w:cs="Arial"/>
          <w:sz w:val="24"/>
          <w:szCs w:val="24"/>
        </w:rPr>
        <w:t xml:space="preserve"> de la referencia</w:t>
      </w:r>
      <w:r w:rsidR="0001382A" w:rsidRPr="001B712C">
        <w:rPr>
          <w:rFonts w:ascii="Arial" w:eastAsia="Verdana" w:hAnsi="Arial" w:cs="Arial"/>
          <w:sz w:val="24"/>
          <w:szCs w:val="24"/>
        </w:rPr>
        <w:t xml:space="preserve">. </w:t>
      </w:r>
    </w:p>
    <w:p w14:paraId="400E4D1D" w14:textId="77777777" w:rsidR="00EF4616" w:rsidRPr="001B712C" w:rsidRDefault="00EF4616" w:rsidP="0046202D">
      <w:pPr>
        <w:widowControl w:val="0"/>
        <w:rPr>
          <w:rFonts w:ascii="Arial" w:eastAsia="Verdana" w:hAnsi="Arial" w:cs="Arial"/>
          <w:sz w:val="24"/>
          <w:szCs w:val="24"/>
        </w:rPr>
      </w:pPr>
    </w:p>
    <w:p w14:paraId="7FB1224E" w14:textId="77777777" w:rsidR="0001382A" w:rsidRPr="001B712C" w:rsidRDefault="0001382A" w:rsidP="0046202D">
      <w:pPr>
        <w:widowControl w:val="0"/>
        <w:rPr>
          <w:rFonts w:ascii="Arial" w:eastAsia="Verdana" w:hAnsi="Arial" w:cs="Arial"/>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7"/>
        <w:gridCol w:w="4577"/>
      </w:tblGrid>
      <w:tr w:rsidR="0001382A" w:rsidRPr="001B712C" w14:paraId="6F970BCF" w14:textId="77777777" w:rsidTr="00091FFD">
        <w:tc>
          <w:tcPr>
            <w:tcW w:w="4637" w:type="dxa"/>
            <w:shd w:val="clear" w:color="auto" w:fill="auto"/>
          </w:tcPr>
          <w:p w14:paraId="497E0332" w14:textId="77777777" w:rsidR="0001382A" w:rsidRPr="001B712C" w:rsidRDefault="0001382A" w:rsidP="0046202D">
            <w:pPr>
              <w:widowControl w:val="0"/>
              <w:rPr>
                <w:rFonts w:ascii="Arial" w:eastAsia="Verdana" w:hAnsi="Arial" w:cs="Arial"/>
                <w:b/>
                <w:sz w:val="24"/>
                <w:szCs w:val="24"/>
              </w:rPr>
            </w:pPr>
            <w:r w:rsidRPr="001B712C">
              <w:rPr>
                <w:rFonts w:ascii="Arial" w:eastAsia="Verdana" w:hAnsi="Arial" w:cs="Arial"/>
                <w:b/>
                <w:sz w:val="24"/>
                <w:szCs w:val="24"/>
              </w:rPr>
              <w:t xml:space="preserve">Recurso de apelación presentado en el proceso de controversias contractuales </w:t>
            </w:r>
          </w:p>
        </w:tc>
        <w:tc>
          <w:tcPr>
            <w:tcW w:w="4577" w:type="dxa"/>
            <w:shd w:val="clear" w:color="auto" w:fill="auto"/>
          </w:tcPr>
          <w:p w14:paraId="024D6E8F" w14:textId="77777777" w:rsidR="0001382A" w:rsidRPr="001B712C" w:rsidRDefault="0001382A" w:rsidP="0046202D">
            <w:pPr>
              <w:widowControl w:val="0"/>
              <w:rPr>
                <w:rFonts w:ascii="Arial" w:eastAsia="Verdana" w:hAnsi="Arial" w:cs="Arial"/>
                <w:b/>
                <w:sz w:val="24"/>
                <w:szCs w:val="24"/>
              </w:rPr>
            </w:pPr>
            <w:r w:rsidRPr="001B712C">
              <w:rPr>
                <w:rFonts w:ascii="Arial" w:eastAsia="Verdana" w:hAnsi="Arial" w:cs="Arial"/>
                <w:b/>
                <w:sz w:val="24"/>
                <w:szCs w:val="24"/>
              </w:rPr>
              <w:t>Argumentos de la solicitud de amparo</w:t>
            </w:r>
          </w:p>
        </w:tc>
      </w:tr>
      <w:tr w:rsidR="0001382A" w:rsidRPr="001B712C" w14:paraId="1A99DD29" w14:textId="77777777" w:rsidTr="00091FFD">
        <w:tc>
          <w:tcPr>
            <w:tcW w:w="4637" w:type="dxa"/>
            <w:shd w:val="clear" w:color="auto" w:fill="auto"/>
          </w:tcPr>
          <w:p w14:paraId="10ACF652" w14:textId="77777777" w:rsidR="00003AB6" w:rsidRPr="001B712C" w:rsidRDefault="00003AB6" w:rsidP="0046202D">
            <w:pPr>
              <w:widowControl w:val="0"/>
              <w:rPr>
                <w:rFonts w:ascii="Arial" w:eastAsia="Verdana" w:hAnsi="Arial" w:cs="Arial"/>
                <w:b/>
                <w:sz w:val="24"/>
                <w:szCs w:val="24"/>
              </w:rPr>
            </w:pPr>
          </w:p>
          <w:p w14:paraId="56726468" w14:textId="77777777" w:rsidR="0001382A" w:rsidRPr="001B712C" w:rsidRDefault="0001382A" w:rsidP="0046202D">
            <w:pPr>
              <w:widowControl w:val="0"/>
              <w:rPr>
                <w:rFonts w:ascii="Arial" w:eastAsia="Verdana" w:hAnsi="Arial" w:cs="Arial"/>
                <w:b/>
                <w:sz w:val="24"/>
                <w:szCs w:val="24"/>
              </w:rPr>
            </w:pPr>
            <w:r w:rsidRPr="001B712C">
              <w:rPr>
                <w:rFonts w:ascii="Arial" w:eastAsia="Verdana" w:hAnsi="Arial" w:cs="Arial"/>
                <w:b/>
                <w:sz w:val="24"/>
                <w:szCs w:val="24"/>
              </w:rPr>
              <w:t>F</w:t>
            </w:r>
            <w:r w:rsidR="000402BF" w:rsidRPr="001B712C">
              <w:rPr>
                <w:rFonts w:ascii="Arial" w:eastAsia="Verdana" w:hAnsi="Arial" w:cs="Arial"/>
                <w:b/>
                <w:sz w:val="24"/>
                <w:szCs w:val="24"/>
              </w:rPr>
              <w:t xml:space="preserve">UNDAMENTOS DEL RECURSO DE APELACIÓN </w:t>
            </w:r>
          </w:p>
          <w:p w14:paraId="7D82C198" w14:textId="77777777" w:rsidR="0001382A" w:rsidRPr="001B712C" w:rsidRDefault="0001382A" w:rsidP="0046202D">
            <w:pPr>
              <w:widowControl w:val="0"/>
              <w:rPr>
                <w:rFonts w:ascii="Arial" w:eastAsia="Verdana" w:hAnsi="Arial" w:cs="Arial"/>
                <w:b/>
                <w:sz w:val="24"/>
                <w:szCs w:val="24"/>
              </w:rPr>
            </w:pPr>
          </w:p>
          <w:p w14:paraId="1C49DFEE" w14:textId="77777777" w:rsidR="0001382A" w:rsidRPr="001B712C" w:rsidRDefault="0001382A" w:rsidP="0046202D">
            <w:pPr>
              <w:pStyle w:val="Textoindependiente"/>
              <w:spacing w:line="240" w:lineRule="auto"/>
              <w:rPr>
                <w:rFonts w:cs="Arial"/>
                <w:bCs/>
                <w:sz w:val="24"/>
              </w:rPr>
            </w:pPr>
          </w:p>
          <w:p w14:paraId="59205CBD" w14:textId="77777777" w:rsidR="0001382A" w:rsidRPr="001B712C" w:rsidRDefault="0001382A" w:rsidP="0046202D">
            <w:pPr>
              <w:pStyle w:val="Textoindependiente"/>
              <w:spacing w:line="240" w:lineRule="auto"/>
              <w:rPr>
                <w:rFonts w:cs="Arial"/>
                <w:bCs/>
                <w:sz w:val="24"/>
              </w:rPr>
            </w:pPr>
            <w:r w:rsidRPr="001B712C">
              <w:rPr>
                <w:rFonts w:cs="Arial"/>
                <w:bCs/>
                <w:sz w:val="24"/>
              </w:rPr>
              <w:t>En la providencia objeto de alzada, concluye el a-quo, que con la conciliación que denominó primera solicitud de conciliación fechada el 25 de noviembre 2014, con ella agotó el requisito para la totalidad de las pretensiones.</w:t>
            </w:r>
          </w:p>
          <w:p w14:paraId="4992B01A" w14:textId="77777777" w:rsidR="0001382A" w:rsidRPr="001B712C" w:rsidRDefault="00003AB6" w:rsidP="0046202D">
            <w:pPr>
              <w:pStyle w:val="Textoindependiente"/>
              <w:spacing w:line="240" w:lineRule="auto"/>
              <w:rPr>
                <w:rFonts w:cs="Arial"/>
                <w:bCs/>
                <w:sz w:val="24"/>
                <w:lang w:val="es-CO"/>
              </w:rPr>
            </w:pPr>
            <w:r w:rsidRPr="001B712C">
              <w:rPr>
                <w:rFonts w:cs="Arial"/>
                <w:bCs/>
                <w:sz w:val="24"/>
                <w:lang w:val="es-CO"/>
              </w:rPr>
              <w:t>(…)</w:t>
            </w:r>
          </w:p>
          <w:p w14:paraId="1B7AAF70" w14:textId="77777777" w:rsidR="0001382A" w:rsidRPr="001B712C" w:rsidRDefault="0001382A" w:rsidP="0046202D">
            <w:pPr>
              <w:pStyle w:val="Textoindependiente"/>
              <w:spacing w:line="240" w:lineRule="auto"/>
              <w:rPr>
                <w:rFonts w:cs="Arial"/>
                <w:bCs/>
                <w:sz w:val="24"/>
              </w:rPr>
            </w:pPr>
            <w:r w:rsidRPr="001B712C">
              <w:rPr>
                <w:rFonts w:cs="Arial"/>
                <w:bCs/>
                <w:sz w:val="24"/>
              </w:rPr>
              <w:t>Pues se discrepa de tal afirmación a la que arribó el a-quo, por varias razones:</w:t>
            </w:r>
          </w:p>
          <w:p w14:paraId="4CA914EF" w14:textId="77777777" w:rsidR="0001382A" w:rsidRPr="001B712C" w:rsidRDefault="0001382A" w:rsidP="0046202D">
            <w:pPr>
              <w:pStyle w:val="Textoindependiente"/>
              <w:spacing w:line="240" w:lineRule="auto"/>
              <w:rPr>
                <w:rFonts w:cs="Arial"/>
                <w:bCs/>
                <w:sz w:val="24"/>
              </w:rPr>
            </w:pPr>
          </w:p>
          <w:p w14:paraId="0D94E5FA" w14:textId="77777777" w:rsidR="0001382A" w:rsidRPr="001B712C" w:rsidRDefault="0001382A" w:rsidP="0046202D">
            <w:pPr>
              <w:pStyle w:val="Textoindependiente"/>
              <w:spacing w:line="240" w:lineRule="auto"/>
              <w:rPr>
                <w:rFonts w:cs="Arial"/>
                <w:bCs/>
                <w:sz w:val="24"/>
              </w:rPr>
            </w:pPr>
            <w:r w:rsidRPr="001B712C">
              <w:rPr>
                <w:rFonts w:cs="Arial"/>
                <w:bCs/>
                <w:sz w:val="24"/>
              </w:rPr>
              <w:t xml:space="preserve">Comienzo por indicar que al leer el contenido de la aludida constancia relacionada con la primera solicitud de conciliación </w:t>
            </w:r>
            <w:r w:rsidR="00003AB6" w:rsidRPr="001B712C">
              <w:rPr>
                <w:rFonts w:cs="Arial"/>
                <w:bCs/>
                <w:sz w:val="24"/>
              </w:rPr>
              <w:t>fechada el 25 de noviembre 2014</w:t>
            </w:r>
            <w:r w:rsidRPr="001B712C">
              <w:rPr>
                <w:rFonts w:cs="Arial"/>
                <w:bCs/>
                <w:sz w:val="24"/>
              </w:rPr>
              <w:t>, por ninguna parte indica o da cuenta que el actor en sede de agotamiento del requisito de procedibilidad, en esa oportunidad haya pedido y, que esté certificado en esa acta y/o constancia, que lo allí solicitado en sede conciliación haya sido sobre la nulidad de la resolución No. 0004 del 11 de febrero de 2014 y la resolución No. 0006 del 21 de febrero de 2014, suscrita por el Jefe de la Oficina Jurídica del Departamento de Casanare; lo certificado en esa acta, es unas reclamaciones</w:t>
            </w:r>
            <w:r w:rsidR="006319CD" w:rsidRPr="001B712C">
              <w:rPr>
                <w:rFonts w:cs="Arial"/>
                <w:bCs/>
                <w:sz w:val="24"/>
                <w:lang w:val="es-CO"/>
              </w:rPr>
              <w:t xml:space="preserve"> (sic)</w:t>
            </w:r>
            <w:r w:rsidRPr="001B712C">
              <w:rPr>
                <w:rFonts w:cs="Arial"/>
                <w:bCs/>
                <w:sz w:val="24"/>
              </w:rPr>
              <w:t xml:space="preserve"> de unos valores que indica el acta de liquidación del contrato 062 del 2008 de fecha 4 de marzo de 2014, como es la suma de $236</w:t>
            </w:r>
            <w:r w:rsidR="00195979" w:rsidRPr="001B712C">
              <w:rPr>
                <w:rFonts w:cs="Arial"/>
                <w:bCs/>
                <w:sz w:val="24"/>
                <w:lang w:val="es-CO"/>
              </w:rPr>
              <w:t>’</w:t>
            </w:r>
            <w:r w:rsidRPr="001B712C">
              <w:rPr>
                <w:rFonts w:cs="Arial"/>
                <w:bCs/>
                <w:sz w:val="24"/>
              </w:rPr>
              <w:t>749.323,79, más la suma de $521.008.867,oo y dejar sin efectos la resolución 004 de 4 de febrero que declaró el incumplimiento.</w:t>
            </w:r>
          </w:p>
          <w:p w14:paraId="2447506F" w14:textId="77777777" w:rsidR="0001382A" w:rsidRPr="001B712C" w:rsidRDefault="0001382A" w:rsidP="0046202D">
            <w:pPr>
              <w:pStyle w:val="Textoindependiente"/>
              <w:spacing w:line="240" w:lineRule="auto"/>
              <w:rPr>
                <w:rFonts w:cs="Arial"/>
                <w:bCs/>
                <w:sz w:val="24"/>
              </w:rPr>
            </w:pPr>
          </w:p>
          <w:p w14:paraId="5EE57708" w14:textId="77777777" w:rsidR="0001382A" w:rsidRPr="001B712C" w:rsidRDefault="0001382A" w:rsidP="0046202D">
            <w:pPr>
              <w:pStyle w:val="Textoindependiente"/>
              <w:spacing w:line="240" w:lineRule="auto"/>
              <w:rPr>
                <w:rFonts w:cs="Arial"/>
                <w:bCs/>
                <w:sz w:val="24"/>
              </w:rPr>
            </w:pPr>
            <w:r w:rsidRPr="001B712C">
              <w:rPr>
                <w:rFonts w:cs="Arial"/>
                <w:bCs/>
                <w:sz w:val="24"/>
              </w:rPr>
              <w:t xml:space="preserve">En el caso que nos compete el estudio, el actor, en la primera solicitud de conciliación fechada el 25 de noviembre 2014 no solicitó en sede de conciliación extrajudicial de manera expresa sobre la nulidad de la resolución No. 0004 del 11 de febrero de 2014 suscrita por el Jefe de la Oficina Jurídica del Departamento de Casanare, a través de la cual declaró el incumplimiento del contrato y sancionó al contratista la Unión Temporal Rayuela por valor de $424.338.200 ni la resolución No. </w:t>
            </w:r>
            <w:r w:rsidRPr="001B712C">
              <w:rPr>
                <w:rFonts w:cs="Arial"/>
                <w:bCs/>
                <w:sz w:val="24"/>
              </w:rPr>
              <w:lastRenderedPageBreak/>
              <w:t>0006 del 21 de febrero de 2014, suscrita por el Jefe de la Oficina Jurídica del Departamento de Casanare, que confirmó la resolución No. 0004 del 11 de febrero 2014.</w:t>
            </w:r>
          </w:p>
          <w:p w14:paraId="24145D67" w14:textId="77777777" w:rsidR="0001382A" w:rsidRPr="001B712C" w:rsidRDefault="0001382A" w:rsidP="0046202D">
            <w:pPr>
              <w:pStyle w:val="Textoindependiente"/>
              <w:spacing w:line="240" w:lineRule="auto"/>
              <w:rPr>
                <w:rFonts w:cs="Arial"/>
                <w:bCs/>
                <w:sz w:val="24"/>
              </w:rPr>
            </w:pPr>
          </w:p>
          <w:p w14:paraId="3C4FF6AF" w14:textId="77777777" w:rsidR="0001382A" w:rsidRPr="001B712C" w:rsidRDefault="0001382A" w:rsidP="0046202D">
            <w:pPr>
              <w:pStyle w:val="Textoindependiente"/>
              <w:spacing w:line="240" w:lineRule="auto"/>
              <w:rPr>
                <w:rFonts w:cs="Arial"/>
                <w:bCs/>
                <w:sz w:val="24"/>
              </w:rPr>
            </w:pPr>
            <w:r w:rsidRPr="001B712C">
              <w:rPr>
                <w:rFonts w:cs="Arial"/>
                <w:bCs/>
                <w:sz w:val="24"/>
              </w:rPr>
              <w:t>El hecho que el actor en la primera solicitud de conciliación fechada el 25 de noviembre 2014 que recayó con el acta del 25 de noviembre de 2014, no haya agotado el requisito de procesabilidad</w:t>
            </w:r>
            <w:r w:rsidR="00003AB6" w:rsidRPr="001B712C">
              <w:rPr>
                <w:rFonts w:cs="Arial"/>
                <w:bCs/>
                <w:sz w:val="24"/>
                <w:lang w:val="es-CO"/>
              </w:rPr>
              <w:t xml:space="preserve"> (sic)</w:t>
            </w:r>
            <w:r w:rsidRPr="001B712C">
              <w:rPr>
                <w:rFonts w:cs="Arial"/>
                <w:bCs/>
                <w:sz w:val="24"/>
              </w:rPr>
              <w:t>, que impone el artículo 13 de la Ley 1285 de 2009, concretamente sobre las resoluciones Nos. 0006 del 21 de febrero de 2014 y la 0004 del 11 de febrero 2014 suscrita por el Jefe de la Oficina Jurídica del Departamento de Casanare; es apenas lógico y por sustracción de materia que la Jurisdicción de lo Contencioso Administrativo carecería de competencia para entrar a estudiar su legalidad de la nulidad de la resolución No. 0004 del 11 de febrero de 2014 y la resolución No. 0006 del 21 de febrero de 2014, suscrita por el Jefe de la</w:t>
            </w:r>
            <w:r w:rsidR="00003AB6" w:rsidRPr="001B712C">
              <w:rPr>
                <w:rFonts w:cs="Arial"/>
                <w:bCs/>
                <w:sz w:val="24"/>
                <w:lang w:val="es-CO"/>
              </w:rPr>
              <w:t xml:space="preserve"> </w:t>
            </w:r>
            <w:r w:rsidRPr="001B712C">
              <w:rPr>
                <w:rFonts w:cs="Arial"/>
                <w:bCs/>
                <w:sz w:val="24"/>
              </w:rPr>
              <w:t>Oficina Jurídica del Departamento de Casanare.</w:t>
            </w:r>
          </w:p>
          <w:p w14:paraId="62B76F3D" w14:textId="77777777" w:rsidR="0001382A" w:rsidRPr="001B712C" w:rsidRDefault="00003AB6" w:rsidP="0046202D">
            <w:pPr>
              <w:pStyle w:val="Textoindependiente"/>
              <w:spacing w:line="240" w:lineRule="auto"/>
              <w:rPr>
                <w:rFonts w:cs="Arial"/>
                <w:bCs/>
                <w:sz w:val="24"/>
              </w:rPr>
            </w:pPr>
            <w:r w:rsidRPr="001B712C">
              <w:rPr>
                <w:rFonts w:cs="Arial"/>
                <w:bCs/>
                <w:sz w:val="24"/>
                <w:lang w:val="es-CO"/>
              </w:rPr>
              <w:t>(…)</w:t>
            </w:r>
          </w:p>
          <w:p w14:paraId="323364EE" w14:textId="77777777" w:rsidR="0001382A" w:rsidRPr="001B712C" w:rsidRDefault="0001382A" w:rsidP="0046202D">
            <w:pPr>
              <w:pStyle w:val="Textoindependiente"/>
              <w:spacing w:line="240" w:lineRule="auto"/>
              <w:rPr>
                <w:rFonts w:cs="Arial"/>
                <w:bCs/>
                <w:sz w:val="24"/>
              </w:rPr>
            </w:pPr>
            <w:r w:rsidRPr="001B712C">
              <w:rPr>
                <w:rFonts w:cs="Arial"/>
                <w:bCs/>
                <w:sz w:val="24"/>
              </w:rPr>
              <w:t>Para efectos de zanjar el y</w:t>
            </w:r>
            <w:r w:rsidR="00091FFD" w:rsidRPr="001B712C">
              <w:rPr>
                <w:rFonts w:cs="Arial"/>
                <w:bCs/>
                <w:sz w:val="24"/>
              </w:rPr>
              <w:t>erro en que incurrió en el a-quo</w:t>
            </w:r>
            <w:r w:rsidRPr="001B712C">
              <w:rPr>
                <w:rFonts w:cs="Arial"/>
                <w:bCs/>
                <w:sz w:val="24"/>
              </w:rPr>
              <w:t xml:space="preserve"> en la providencia objeto de alzada, se debe analizar las dos solicitudes conciliación que al comparar la primera con la segunda dista diametralmente la una de la otra, como se ha demostrado a lo largo de</w:t>
            </w:r>
            <w:r w:rsidR="00003AB6" w:rsidRPr="001B712C">
              <w:rPr>
                <w:rFonts w:cs="Arial"/>
                <w:bCs/>
                <w:sz w:val="24"/>
                <w:lang w:val="es-CO"/>
              </w:rPr>
              <w:t>l recurso</w:t>
            </w:r>
            <w:r w:rsidRPr="001B712C">
              <w:rPr>
                <w:rFonts w:cs="Arial"/>
                <w:bCs/>
                <w:sz w:val="24"/>
              </w:rPr>
              <w:t>, donde la segunda solicitud de conciliación fechada el 4 de abril 2016, es al que agota el requisito de la conciliación como lo ordena el artículo 13 de la Ley 1285 de 2009, para que la Jurisdicción de lo Contencioso Administrativo, pueda arrogarse de competencia.</w:t>
            </w:r>
          </w:p>
          <w:p w14:paraId="78B3DC45" w14:textId="77777777" w:rsidR="0001382A" w:rsidRPr="001B712C" w:rsidRDefault="00091FFD" w:rsidP="0046202D">
            <w:pPr>
              <w:pStyle w:val="Textoindependiente"/>
              <w:spacing w:line="240" w:lineRule="auto"/>
              <w:rPr>
                <w:rFonts w:eastAsia="Verdana" w:cs="Arial"/>
                <w:b/>
                <w:sz w:val="24"/>
              </w:rPr>
            </w:pPr>
            <w:r w:rsidRPr="001B712C">
              <w:rPr>
                <w:rFonts w:cs="Arial"/>
                <w:bCs/>
                <w:sz w:val="24"/>
                <w:lang w:val="es-CO"/>
              </w:rPr>
              <w:t xml:space="preserve"> </w:t>
            </w:r>
            <w:r w:rsidR="002C2835" w:rsidRPr="001B712C">
              <w:rPr>
                <w:rFonts w:cs="Arial"/>
                <w:bCs/>
                <w:sz w:val="24"/>
                <w:lang w:val="es-CO"/>
              </w:rPr>
              <w:t xml:space="preserve">(…) </w:t>
            </w:r>
          </w:p>
        </w:tc>
        <w:tc>
          <w:tcPr>
            <w:tcW w:w="4577" w:type="dxa"/>
            <w:shd w:val="clear" w:color="auto" w:fill="auto"/>
          </w:tcPr>
          <w:p w14:paraId="27162CCB" w14:textId="77777777" w:rsidR="0001382A" w:rsidRPr="001B712C" w:rsidRDefault="0001382A" w:rsidP="0046202D">
            <w:pPr>
              <w:pStyle w:val="Textoindependiente"/>
              <w:spacing w:line="240" w:lineRule="auto"/>
              <w:rPr>
                <w:rFonts w:cs="Arial"/>
                <w:b/>
                <w:bCs/>
                <w:sz w:val="24"/>
              </w:rPr>
            </w:pPr>
            <w:r w:rsidRPr="001B712C">
              <w:rPr>
                <w:rFonts w:cs="Arial"/>
                <w:b/>
                <w:bCs/>
                <w:sz w:val="24"/>
              </w:rPr>
              <w:lastRenderedPageBreak/>
              <w:t>SUSTENTACIÓN DE LA INCONFORMIDAD. FUNDAMENTOS JURIDICOS QUE SUSTENTAN LA ACCION DE TUTELA</w:t>
            </w:r>
          </w:p>
          <w:p w14:paraId="18C1269D" w14:textId="77777777" w:rsidR="0001382A" w:rsidRPr="001B712C" w:rsidRDefault="0001382A" w:rsidP="0046202D">
            <w:pPr>
              <w:pStyle w:val="Textoindependiente"/>
              <w:spacing w:line="240" w:lineRule="auto"/>
              <w:rPr>
                <w:rFonts w:cs="Arial"/>
                <w:bCs/>
                <w:sz w:val="24"/>
              </w:rPr>
            </w:pPr>
          </w:p>
          <w:p w14:paraId="44F317B9" w14:textId="77777777" w:rsidR="006319CD" w:rsidRPr="001B712C" w:rsidRDefault="006319CD" w:rsidP="0046202D">
            <w:pPr>
              <w:pStyle w:val="Textoindependiente"/>
              <w:spacing w:line="240" w:lineRule="auto"/>
              <w:rPr>
                <w:rFonts w:cs="Arial"/>
                <w:bCs/>
                <w:sz w:val="24"/>
              </w:rPr>
            </w:pPr>
          </w:p>
          <w:p w14:paraId="3CE1E102" w14:textId="77777777" w:rsidR="0001382A" w:rsidRPr="001B712C" w:rsidRDefault="0001382A" w:rsidP="0046202D">
            <w:pPr>
              <w:pStyle w:val="Textoindependiente"/>
              <w:spacing w:line="240" w:lineRule="auto"/>
              <w:rPr>
                <w:rFonts w:cs="Arial"/>
                <w:bCs/>
                <w:sz w:val="24"/>
              </w:rPr>
            </w:pPr>
            <w:r w:rsidRPr="001B712C">
              <w:rPr>
                <w:rFonts w:cs="Arial"/>
                <w:bCs/>
                <w:sz w:val="24"/>
              </w:rPr>
              <w:t>En la providencia objeto de alzada, concluye el a-quo, que con la conciliación que denominó primera solicitud de conciliación fechada el 25 de noviembre 2014, con ella agotó el requisito para la totalidad de las pretensiones.</w:t>
            </w:r>
          </w:p>
          <w:p w14:paraId="4081EA89" w14:textId="77777777" w:rsidR="0001382A" w:rsidRPr="001B712C" w:rsidRDefault="00003AB6" w:rsidP="0046202D">
            <w:pPr>
              <w:pStyle w:val="Textoindependiente"/>
              <w:spacing w:line="240" w:lineRule="auto"/>
              <w:rPr>
                <w:rFonts w:cs="Arial"/>
                <w:bCs/>
                <w:sz w:val="24"/>
              </w:rPr>
            </w:pPr>
            <w:r w:rsidRPr="001B712C">
              <w:rPr>
                <w:rFonts w:cs="Arial"/>
                <w:bCs/>
                <w:sz w:val="24"/>
                <w:lang w:val="es-CO"/>
              </w:rPr>
              <w:t>(…)</w:t>
            </w:r>
          </w:p>
          <w:p w14:paraId="530F5752" w14:textId="77777777" w:rsidR="0001382A" w:rsidRPr="001B712C" w:rsidRDefault="0001382A" w:rsidP="0046202D">
            <w:pPr>
              <w:pStyle w:val="Textoindependiente"/>
              <w:spacing w:line="240" w:lineRule="auto"/>
              <w:rPr>
                <w:rFonts w:cs="Arial"/>
                <w:bCs/>
                <w:sz w:val="24"/>
              </w:rPr>
            </w:pPr>
            <w:r w:rsidRPr="001B712C">
              <w:rPr>
                <w:rFonts w:cs="Arial"/>
                <w:bCs/>
                <w:sz w:val="24"/>
              </w:rPr>
              <w:t>Pues se discrepa de tal afirmación a la que arribó el a-quo, por varias razones:</w:t>
            </w:r>
          </w:p>
          <w:p w14:paraId="0E95BE8E" w14:textId="77777777" w:rsidR="0001382A" w:rsidRPr="001B712C" w:rsidRDefault="0001382A" w:rsidP="0046202D">
            <w:pPr>
              <w:pStyle w:val="Textoindependiente"/>
              <w:spacing w:line="240" w:lineRule="auto"/>
              <w:rPr>
                <w:rFonts w:cs="Arial"/>
                <w:bCs/>
                <w:sz w:val="24"/>
              </w:rPr>
            </w:pPr>
          </w:p>
          <w:p w14:paraId="21BC184B" w14:textId="77777777" w:rsidR="0001382A" w:rsidRPr="001B712C" w:rsidRDefault="0001382A" w:rsidP="0046202D">
            <w:pPr>
              <w:pStyle w:val="Textoindependiente"/>
              <w:spacing w:line="240" w:lineRule="auto"/>
              <w:rPr>
                <w:rFonts w:cs="Arial"/>
                <w:bCs/>
                <w:sz w:val="24"/>
              </w:rPr>
            </w:pPr>
            <w:r w:rsidRPr="001B712C">
              <w:rPr>
                <w:rFonts w:cs="Arial"/>
                <w:bCs/>
                <w:sz w:val="24"/>
              </w:rPr>
              <w:t xml:space="preserve">Comienzo por indicar que al leer el contenido de la aludida constancia relacionada con la primera solicitud de conciliación </w:t>
            </w:r>
            <w:r w:rsidR="00003AB6" w:rsidRPr="001B712C">
              <w:rPr>
                <w:rFonts w:cs="Arial"/>
                <w:bCs/>
                <w:sz w:val="24"/>
              </w:rPr>
              <w:t>fechada el 25 de noviembre 2014</w:t>
            </w:r>
            <w:r w:rsidRPr="001B712C">
              <w:rPr>
                <w:rFonts w:cs="Arial"/>
                <w:bCs/>
                <w:sz w:val="24"/>
              </w:rPr>
              <w:t xml:space="preserve">, por ninguna parte indica o da cuenta que el actor en sede de agotamiento del requisito de procedibilidad, en esa oportunidad haya pedido y, que esté certificado en esa acta y/o constancia, que lo allí solicitado en sede conciliación haya sido sobre la nulidad de la resolución No. 0004 del 11 de febrero de 2014 y la resolución No. 0006 del 21 de febrero de 2014, suscrita por el Jefe de la Oficina Jurídica del Departamento de Casanare; lo certificado en esa acta, es unas </w:t>
            </w:r>
            <w:r w:rsidR="006319CD" w:rsidRPr="001B712C">
              <w:rPr>
                <w:rFonts w:cs="Arial"/>
                <w:bCs/>
                <w:sz w:val="24"/>
                <w:lang w:val="es-CO"/>
              </w:rPr>
              <w:t xml:space="preserve">(sic) </w:t>
            </w:r>
            <w:r w:rsidRPr="001B712C">
              <w:rPr>
                <w:rFonts w:cs="Arial"/>
                <w:bCs/>
                <w:sz w:val="24"/>
              </w:rPr>
              <w:t>reclamaciones de unos valores que indica el acta de liquidación del contrato 062 del 2008 de fecha 4 de marzo de 2014, como es la suma de $236</w:t>
            </w:r>
            <w:r w:rsidR="00195979" w:rsidRPr="001B712C">
              <w:rPr>
                <w:rFonts w:cs="Arial"/>
                <w:bCs/>
                <w:sz w:val="24"/>
                <w:lang w:val="es-CO"/>
              </w:rPr>
              <w:t>’</w:t>
            </w:r>
            <w:r w:rsidRPr="001B712C">
              <w:rPr>
                <w:rFonts w:cs="Arial"/>
                <w:bCs/>
                <w:sz w:val="24"/>
              </w:rPr>
              <w:t>749.323,79, más la suma de $521.008.867,oo y dejar sin efectos la resolución 004 de 4 de febrero que declaró el incumplimiento.</w:t>
            </w:r>
          </w:p>
          <w:p w14:paraId="47FCAC65" w14:textId="77777777" w:rsidR="0001382A" w:rsidRPr="001B712C" w:rsidRDefault="0001382A" w:rsidP="0046202D">
            <w:pPr>
              <w:pStyle w:val="Textoindependiente"/>
              <w:spacing w:line="240" w:lineRule="auto"/>
              <w:rPr>
                <w:rFonts w:cs="Arial"/>
                <w:bCs/>
                <w:sz w:val="24"/>
              </w:rPr>
            </w:pPr>
          </w:p>
          <w:p w14:paraId="436E6C8B" w14:textId="77777777" w:rsidR="0001382A" w:rsidRPr="001B712C" w:rsidRDefault="0001382A" w:rsidP="0046202D">
            <w:pPr>
              <w:pStyle w:val="Textoindependiente"/>
              <w:spacing w:line="240" w:lineRule="auto"/>
              <w:rPr>
                <w:rFonts w:cs="Arial"/>
                <w:bCs/>
                <w:sz w:val="24"/>
              </w:rPr>
            </w:pPr>
            <w:r w:rsidRPr="001B712C">
              <w:rPr>
                <w:rFonts w:cs="Arial"/>
                <w:bCs/>
                <w:sz w:val="24"/>
              </w:rPr>
              <w:t xml:space="preserve">En el caso que nos compete el estudio, el actor, en la primera solicitud de conciliación fechada el 25 de noviembre 2014 no solicitó en sede de conciliación extrajudicial de manera expresa sobre la nulidad de la resolución No. 0004 del 11 de febrero de 2014 suscrita por el Jefe de la Oficina Jurídica del Departamento de Casanare, a través de la cual declaró el incumplimiento del contrato y sancionó al </w:t>
            </w:r>
            <w:r w:rsidRPr="001B712C">
              <w:rPr>
                <w:rFonts w:cs="Arial"/>
                <w:bCs/>
                <w:sz w:val="24"/>
              </w:rPr>
              <w:lastRenderedPageBreak/>
              <w:t>contratista la Unión Temporal Rayuela por valor de $424.338.200 ni la resolución No. 0006 del 21 de febrero de 2014, suscrita por el Jefe de la Oficina Jurídica del Departamento de Casanare, que confirmó la resolución No. 0004 del 11 de febrero 2014.</w:t>
            </w:r>
          </w:p>
          <w:p w14:paraId="7E46DFC4" w14:textId="77777777" w:rsidR="006319CD" w:rsidRPr="001B712C" w:rsidRDefault="006319CD" w:rsidP="0046202D">
            <w:pPr>
              <w:pStyle w:val="Textoindependiente"/>
              <w:spacing w:line="240" w:lineRule="auto"/>
              <w:rPr>
                <w:rFonts w:cs="Arial"/>
                <w:bCs/>
                <w:sz w:val="24"/>
              </w:rPr>
            </w:pPr>
          </w:p>
          <w:p w14:paraId="00036927" w14:textId="77777777" w:rsidR="0001382A" w:rsidRPr="001B712C" w:rsidRDefault="0001382A" w:rsidP="0046202D">
            <w:pPr>
              <w:pStyle w:val="Textoindependiente"/>
              <w:spacing w:line="240" w:lineRule="auto"/>
              <w:rPr>
                <w:rFonts w:cs="Arial"/>
                <w:bCs/>
                <w:sz w:val="24"/>
              </w:rPr>
            </w:pPr>
            <w:r w:rsidRPr="001B712C">
              <w:rPr>
                <w:rFonts w:cs="Arial"/>
                <w:bCs/>
                <w:sz w:val="24"/>
              </w:rPr>
              <w:t>El hecho que el actor en la primera solicitud de conciliación fechada el 25 de noviembre 2014 que recayó con el acta del 25 de noviembre de 2014, no haya agotado el requisito de procesabilidad</w:t>
            </w:r>
            <w:r w:rsidR="00003AB6" w:rsidRPr="001B712C">
              <w:rPr>
                <w:rFonts w:cs="Arial"/>
                <w:bCs/>
                <w:sz w:val="24"/>
                <w:lang w:val="es-CO"/>
              </w:rPr>
              <w:t xml:space="preserve"> (sic)</w:t>
            </w:r>
            <w:r w:rsidRPr="001B712C">
              <w:rPr>
                <w:rFonts w:cs="Arial"/>
                <w:bCs/>
                <w:sz w:val="24"/>
              </w:rPr>
              <w:t>, que impone el artículo 13 de la Ley 1285 de 2009, concretamente sobre las resoluciones Nos. 0006 del 21 de febrero de 2014 y la 0004 del 11 de febrero 2014 suscrita por el Jefe de la Oficina Jurídica del Departamento de Casanare; es apenas lógico y por sustracción de materia que la Jurisdicción de lo Contencioso Administrativo carecería de competencia para entrar a estudiar su legalidad de la nulidad de la resolución No. 0004 del 11 de febrero de 2014 y la resolución No. 0006 del 21 de febrero de 2014, suscrita por el Jefe de la</w:t>
            </w:r>
            <w:r w:rsidR="00003AB6" w:rsidRPr="001B712C">
              <w:rPr>
                <w:rFonts w:cs="Arial"/>
                <w:bCs/>
                <w:sz w:val="24"/>
                <w:lang w:val="es-CO"/>
              </w:rPr>
              <w:t xml:space="preserve"> </w:t>
            </w:r>
            <w:r w:rsidRPr="001B712C">
              <w:rPr>
                <w:rFonts w:cs="Arial"/>
                <w:bCs/>
                <w:sz w:val="24"/>
              </w:rPr>
              <w:t>Oficina Jurídica del Departamento de Casanare.</w:t>
            </w:r>
          </w:p>
          <w:p w14:paraId="1DE5B5E4" w14:textId="77777777" w:rsidR="00003AB6" w:rsidRPr="001B712C" w:rsidRDefault="00003AB6" w:rsidP="0046202D">
            <w:pPr>
              <w:pStyle w:val="Textoindependiente"/>
              <w:spacing w:line="240" w:lineRule="auto"/>
              <w:rPr>
                <w:rFonts w:cs="Arial"/>
                <w:bCs/>
                <w:sz w:val="24"/>
                <w:lang w:val="es-CO"/>
              </w:rPr>
            </w:pPr>
            <w:r w:rsidRPr="001B712C">
              <w:rPr>
                <w:rFonts w:cs="Arial"/>
                <w:bCs/>
                <w:sz w:val="24"/>
                <w:lang w:val="es-CO"/>
              </w:rPr>
              <w:t xml:space="preserve">(…) </w:t>
            </w:r>
          </w:p>
          <w:p w14:paraId="107FB291" w14:textId="77777777" w:rsidR="0001382A" w:rsidRPr="001B712C" w:rsidRDefault="0001382A" w:rsidP="0046202D">
            <w:pPr>
              <w:pStyle w:val="Textoindependiente"/>
              <w:spacing w:line="240" w:lineRule="auto"/>
              <w:rPr>
                <w:rFonts w:cs="Arial"/>
                <w:bCs/>
                <w:sz w:val="24"/>
              </w:rPr>
            </w:pPr>
            <w:r w:rsidRPr="001B712C">
              <w:rPr>
                <w:rFonts w:cs="Arial"/>
                <w:bCs/>
                <w:sz w:val="24"/>
              </w:rPr>
              <w:t>Para efectos de zanjar el yerro en que incurrió en el a-qu</w:t>
            </w:r>
            <w:r w:rsidR="00091FFD" w:rsidRPr="001B712C">
              <w:rPr>
                <w:rFonts w:cs="Arial"/>
                <w:bCs/>
                <w:sz w:val="24"/>
                <w:lang w:val="es-CO"/>
              </w:rPr>
              <w:t>o</w:t>
            </w:r>
            <w:r w:rsidRPr="001B712C">
              <w:rPr>
                <w:rFonts w:cs="Arial"/>
                <w:bCs/>
                <w:sz w:val="24"/>
              </w:rPr>
              <w:t xml:space="preserve"> en la providencia objeto de alzada, se debe analizar las dos solicitudes conciliación que al comparar la primera con la segunda dista diametralmente la una de la otra, como se ha demostrado a lo largo de la presente tutela, donde la segunda solicitud de conciliación fechada el 4 de abril 2016, es al que agota el requisito de la conciliación como lo ordena el artículo 13 de la Ley 1285 de 2009, para que la Jurisdicción de lo Contencioso Administrativo, pueda arrogarse de competencia.</w:t>
            </w:r>
          </w:p>
          <w:p w14:paraId="0DF21199" w14:textId="77777777" w:rsidR="0001382A" w:rsidRPr="001B712C" w:rsidRDefault="002C2835" w:rsidP="0046202D">
            <w:pPr>
              <w:pStyle w:val="Textoindependiente"/>
              <w:spacing w:line="240" w:lineRule="auto"/>
              <w:rPr>
                <w:rFonts w:eastAsia="Verdana" w:cs="Arial"/>
                <w:b/>
                <w:sz w:val="24"/>
              </w:rPr>
            </w:pPr>
            <w:r w:rsidRPr="001B712C">
              <w:rPr>
                <w:rFonts w:cs="Arial"/>
                <w:bCs/>
                <w:sz w:val="24"/>
                <w:lang w:val="es-CO"/>
              </w:rPr>
              <w:t xml:space="preserve">(…) </w:t>
            </w:r>
          </w:p>
        </w:tc>
      </w:tr>
    </w:tbl>
    <w:p w14:paraId="1BC61D10" w14:textId="77777777" w:rsidR="0001382A" w:rsidRPr="001B712C" w:rsidRDefault="0001382A" w:rsidP="0046202D">
      <w:pPr>
        <w:widowControl w:val="0"/>
        <w:rPr>
          <w:rFonts w:ascii="Arial" w:eastAsia="Verdana" w:hAnsi="Arial" w:cs="Arial"/>
          <w:b/>
          <w:sz w:val="24"/>
          <w:szCs w:val="24"/>
        </w:rPr>
      </w:pPr>
    </w:p>
    <w:p w14:paraId="1A55C29F" w14:textId="77777777" w:rsidR="002C2835" w:rsidRPr="001B712C" w:rsidRDefault="00DA4659" w:rsidP="0046202D">
      <w:pPr>
        <w:ind w:right="51"/>
        <w:rPr>
          <w:rFonts w:ascii="Arial" w:eastAsia="Verdana" w:hAnsi="Arial" w:cs="Arial"/>
          <w:sz w:val="24"/>
          <w:szCs w:val="24"/>
        </w:rPr>
      </w:pPr>
      <w:r w:rsidRPr="001B712C">
        <w:rPr>
          <w:rFonts w:ascii="Arial" w:eastAsia="Verdana" w:hAnsi="Arial" w:cs="Arial"/>
          <w:sz w:val="24"/>
          <w:szCs w:val="24"/>
        </w:rPr>
        <w:t>2.3.</w:t>
      </w:r>
      <w:r w:rsidR="00091FFD" w:rsidRPr="001B712C">
        <w:rPr>
          <w:rFonts w:ascii="Arial" w:eastAsia="Verdana" w:hAnsi="Arial" w:cs="Arial"/>
          <w:sz w:val="24"/>
          <w:szCs w:val="24"/>
        </w:rPr>
        <w:t>1</w:t>
      </w:r>
      <w:r w:rsidRPr="001B712C">
        <w:rPr>
          <w:rFonts w:ascii="Arial" w:eastAsia="Verdana" w:hAnsi="Arial" w:cs="Arial"/>
          <w:sz w:val="24"/>
          <w:szCs w:val="24"/>
        </w:rPr>
        <w:t xml:space="preserve"> Como se ve, los argumentos que expuso la </w:t>
      </w:r>
      <w:r w:rsidR="002C2835" w:rsidRPr="001B712C">
        <w:rPr>
          <w:rFonts w:ascii="Arial" w:eastAsia="Verdana" w:hAnsi="Arial" w:cs="Arial"/>
          <w:sz w:val="24"/>
          <w:szCs w:val="24"/>
        </w:rPr>
        <w:t xml:space="preserve">Unión Temporal Rayuela </w:t>
      </w:r>
      <w:r w:rsidRPr="001B712C">
        <w:rPr>
          <w:rFonts w:ascii="Arial" w:eastAsia="Verdana" w:hAnsi="Arial" w:cs="Arial"/>
          <w:sz w:val="24"/>
          <w:szCs w:val="24"/>
        </w:rPr>
        <w:t xml:space="preserve">en el proceso ordinario son </w:t>
      </w:r>
      <w:r w:rsidR="002C2835" w:rsidRPr="001B712C">
        <w:rPr>
          <w:rFonts w:ascii="Arial" w:eastAsia="Verdana" w:hAnsi="Arial" w:cs="Arial"/>
          <w:sz w:val="24"/>
          <w:szCs w:val="24"/>
        </w:rPr>
        <w:t xml:space="preserve">exactamente iguales a </w:t>
      </w:r>
      <w:r w:rsidRPr="001B712C">
        <w:rPr>
          <w:rFonts w:ascii="Arial" w:eastAsia="Verdana" w:hAnsi="Arial" w:cs="Arial"/>
          <w:sz w:val="24"/>
          <w:szCs w:val="24"/>
        </w:rPr>
        <w:t xml:space="preserve">los que ahora propone </w:t>
      </w:r>
      <w:r w:rsidR="000402BF" w:rsidRPr="001B712C">
        <w:rPr>
          <w:rFonts w:ascii="Arial" w:eastAsia="Verdana" w:hAnsi="Arial" w:cs="Arial"/>
          <w:sz w:val="24"/>
          <w:szCs w:val="24"/>
        </w:rPr>
        <w:t>en</w:t>
      </w:r>
      <w:r w:rsidRPr="001B712C">
        <w:rPr>
          <w:rFonts w:ascii="Arial" w:eastAsia="Verdana" w:hAnsi="Arial" w:cs="Arial"/>
          <w:sz w:val="24"/>
          <w:szCs w:val="24"/>
        </w:rPr>
        <w:t xml:space="preserve"> la presente acción de tutela</w:t>
      </w:r>
      <w:r w:rsidR="00091FFD" w:rsidRPr="001B712C">
        <w:rPr>
          <w:rFonts w:ascii="Arial" w:eastAsia="Verdana" w:hAnsi="Arial" w:cs="Arial"/>
          <w:sz w:val="24"/>
          <w:szCs w:val="24"/>
        </w:rPr>
        <w:t xml:space="preserve">, pues </w:t>
      </w:r>
      <w:r w:rsidRPr="001B712C">
        <w:rPr>
          <w:rFonts w:ascii="Arial" w:eastAsia="Verdana" w:hAnsi="Arial" w:cs="Arial"/>
          <w:sz w:val="24"/>
          <w:szCs w:val="24"/>
        </w:rPr>
        <w:t xml:space="preserve">insiste en que </w:t>
      </w:r>
      <w:r w:rsidR="002C2835" w:rsidRPr="001B712C">
        <w:rPr>
          <w:rFonts w:ascii="Arial" w:eastAsia="Verdana" w:hAnsi="Arial" w:cs="Arial"/>
          <w:sz w:val="24"/>
          <w:szCs w:val="24"/>
        </w:rPr>
        <w:t>el término de caducidad de la acción de controversias contractuales no puede contarse a partir de la constancia que se expidió con ocasión de la solicitud de conciliaci</w:t>
      </w:r>
      <w:r w:rsidR="00091FFD" w:rsidRPr="001B712C">
        <w:rPr>
          <w:rFonts w:ascii="Arial" w:eastAsia="Verdana" w:hAnsi="Arial" w:cs="Arial"/>
          <w:sz w:val="24"/>
          <w:szCs w:val="24"/>
        </w:rPr>
        <w:t xml:space="preserve">ón del 25 de noviembre de 2014, sino con la solicitud del año 2016. </w:t>
      </w:r>
    </w:p>
    <w:p w14:paraId="67181AC0" w14:textId="77777777" w:rsidR="00DA4659" w:rsidRPr="001B712C" w:rsidRDefault="00DA4659" w:rsidP="0046202D">
      <w:pPr>
        <w:ind w:right="51"/>
        <w:rPr>
          <w:rFonts w:ascii="Arial" w:eastAsia="Verdana" w:hAnsi="Arial" w:cs="Arial"/>
          <w:sz w:val="24"/>
          <w:szCs w:val="24"/>
        </w:rPr>
      </w:pPr>
    </w:p>
    <w:p w14:paraId="22C716CC" w14:textId="77777777" w:rsidR="000B4B50" w:rsidRPr="001B712C" w:rsidRDefault="00DA4659" w:rsidP="0046202D">
      <w:pPr>
        <w:rPr>
          <w:rFonts w:ascii="Arial" w:eastAsia="Verdana" w:hAnsi="Arial" w:cs="Arial"/>
          <w:sz w:val="24"/>
          <w:szCs w:val="24"/>
        </w:rPr>
      </w:pPr>
      <w:r w:rsidRPr="001B712C">
        <w:rPr>
          <w:rFonts w:ascii="Arial" w:eastAsia="Verdana" w:hAnsi="Arial" w:cs="Arial"/>
          <w:sz w:val="24"/>
          <w:szCs w:val="24"/>
        </w:rPr>
        <w:t xml:space="preserve">2.3.2. En el escenario que propone la </w:t>
      </w:r>
      <w:r w:rsidR="002C2835" w:rsidRPr="001B712C">
        <w:rPr>
          <w:rFonts w:ascii="Arial" w:eastAsia="Verdana" w:hAnsi="Arial" w:cs="Arial"/>
          <w:sz w:val="24"/>
          <w:szCs w:val="24"/>
        </w:rPr>
        <w:t xml:space="preserve">parte </w:t>
      </w:r>
      <w:r w:rsidRPr="001B712C">
        <w:rPr>
          <w:rFonts w:ascii="Arial" w:eastAsia="Verdana" w:hAnsi="Arial" w:cs="Arial"/>
          <w:sz w:val="24"/>
          <w:szCs w:val="24"/>
        </w:rPr>
        <w:t xml:space="preserve">demandante, la Sala estaría obligada a examinar nuevamente un </w:t>
      </w:r>
      <w:r w:rsidR="002C2835" w:rsidRPr="001B712C">
        <w:rPr>
          <w:rFonts w:ascii="Arial" w:eastAsia="Verdana" w:hAnsi="Arial" w:cs="Arial"/>
          <w:sz w:val="24"/>
          <w:szCs w:val="24"/>
        </w:rPr>
        <w:t xml:space="preserve">asunto </w:t>
      </w:r>
      <w:r w:rsidRPr="001B712C">
        <w:rPr>
          <w:rFonts w:ascii="Arial" w:eastAsia="Verdana" w:hAnsi="Arial" w:cs="Arial"/>
          <w:sz w:val="24"/>
          <w:szCs w:val="24"/>
        </w:rPr>
        <w:t xml:space="preserve">que ya fue resuelto por la autoridad judicial </w:t>
      </w:r>
      <w:r w:rsidRPr="001B712C">
        <w:rPr>
          <w:rFonts w:ascii="Arial" w:eastAsia="Verdana" w:hAnsi="Arial" w:cs="Arial"/>
          <w:sz w:val="24"/>
          <w:szCs w:val="24"/>
        </w:rPr>
        <w:lastRenderedPageBreak/>
        <w:t>demandada en el proceso</w:t>
      </w:r>
      <w:r w:rsidR="002C2835" w:rsidRPr="001B712C">
        <w:rPr>
          <w:rFonts w:ascii="Arial" w:eastAsia="Verdana" w:hAnsi="Arial" w:cs="Arial"/>
          <w:sz w:val="24"/>
          <w:szCs w:val="24"/>
        </w:rPr>
        <w:t xml:space="preserve"> de controversias contractuales</w:t>
      </w:r>
      <w:r w:rsidRPr="001B712C">
        <w:rPr>
          <w:rFonts w:ascii="Arial" w:eastAsia="Verdana" w:hAnsi="Arial" w:cs="Arial"/>
          <w:sz w:val="24"/>
          <w:szCs w:val="24"/>
        </w:rPr>
        <w:t xml:space="preserve">. </w:t>
      </w:r>
      <w:r w:rsidR="000B4B50" w:rsidRPr="001B712C">
        <w:rPr>
          <w:rFonts w:ascii="Arial" w:eastAsia="Verdana" w:hAnsi="Arial" w:cs="Arial"/>
          <w:sz w:val="24"/>
          <w:szCs w:val="24"/>
        </w:rPr>
        <w:t xml:space="preserve">Sobre el particular, </w:t>
      </w:r>
      <w:r w:rsidR="002C2835" w:rsidRPr="001B712C">
        <w:rPr>
          <w:rFonts w:ascii="Arial" w:eastAsia="Verdana" w:hAnsi="Arial" w:cs="Arial"/>
          <w:sz w:val="24"/>
          <w:szCs w:val="24"/>
        </w:rPr>
        <w:t>en la providencia acusada se concluyó</w:t>
      </w:r>
      <w:r w:rsidR="000B4B50" w:rsidRPr="001B712C">
        <w:rPr>
          <w:rFonts w:ascii="Arial" w:eastAsia="Verdana" w:hAnsi="Arial" w:cs="Arial"/>
          <w:sz w:val="24"/>
          <w:szCs w:val="24"/>
        </w:rPr>
        <w:t xml:space="preserve">: </w:t>
      </w:r>
    </w:p>
    <w:p w14:paraId="4AC26694" w14:textId="77777777" w:rsidR="000B4B50" w:rsidRPr="001B712C" w:rsidRDefault="000B4B50" w:rsidP="0046202D">
      <w:pPr>
        <w:rPr>
          <w:rFonts w:ascii="Arial" w:eastAsia="Verdana" w:hAnsi="Arial" w:cs="Arial"/>
          <w:sz w:val="24"/>
          <w:szCs w:val="24"/>
        </w:rPr>
      </w:pPr>
    </w:p>
    <w:p w14:paraId="1EE606C5" w14:textId="77777777" w:rsidR="000B4B50" w:rsidRPr="001B712C" w:rsidRDefault="000B4B50" w:rsidP="0046202D">
      <w:pPr>
        <w:ind w:left="397"/>
        <w:rPr>
          <w:rFonts w:ascii="Arial" w:eastAsia="Verdana" w:hAnsi="Arial" w:cs="Arial"/>
          <w:sz w:val="22"/>
          <w:szCs w:val="24"/>
        </w:rPr>
      </w:pPr>
      <w:r w:rsidRPr="001B712C">
        <w:rPr>
          <w:rFonts w:ascii="Arial" w:eastAsia="Verdana" w:hAnsi="Arial" w:cs="Arial"/>
          <w:sz w:val="22"/>
          <w:szCs w:val="24"/>
          <w:u w:val="single"/>
        </w:rPr>
        <w:t xml:space="preserve">La Sala aprecia que </w:t>
      </w:r>
      <w:r w:rsidR="002C2835" w:rsidRPr="001B712C">
        <w:rPr>
          <w:rFonts w:ascii="Arial" w:eastAsia="Verdana" w:hAnsi="Arial" w:cs="Arial"/>
          <w:sz w:val="22"/>
          <w:szCs w:val="24"/>
          <w:u w:val="single"/>
        </w:rPr>
        <w:t>se presenta una identidad de objeto en los dos trámites conciliatorios precedentes</w:t>
      </w:r>
      <w:r w:rsidR="002C2835" w:rsidRPr="001B712C">
        <w:rPr>
          <w:rFonts w:ascii="Arial" w:eastAsia="Verdana" w:hAnsi="Arial" w:cs="Arial"/>
          <w:sz w:val="22"/>
          <w:szCs w:val="24"/>
        </w:rPr>
        <w:t>, ya que en ambos se discutió la solicitud de revocación de la resolución número cuatro (4) de once (11) de febrero de dos mil catorce (2014)</w:t>
      </w:r>
      <w:r w:rsidRPr="001B712C">
        <w:rPr>
          <w:rFonts w:ascii="Arial" w:eastAsia="Verdana" w:hAnsi="Arial" w:cs="Arial"/>
          <w:sz w:val="22"/>
          <w:szCs w:val="24"/>
        </w:rPr>
        <w:t xml:space="preserve">. La revocación de dicho acto, requería la revocación de la resolución número seis (6) de veintiuno (21) de febrero de dos mil catorce (2014) (…). En consecuencia, los dos trámites tienen objeto análogo. </w:t>
      </w:r>
    </w:p>
    <w:p w14:paraId="799E8695" w14:textId="77777777" w:rsidR="000B4B50" w:rsidRPr="001B712C" w:rsidRDefault="000B4B50" w:rsidP="0046202D">
      <w:pPr>
        <w:ind w:left="397"/>
        <w:rPr>
          <w:rFonts w:ascii="Arial" w:eastAsia="Verdana" w:hAnsi="Arial" w:cs="Arial"/>
          <w:sz w:val="22"/>
          <w:szCs w:val="24"/>
        </w:rPr>
      </w:pPr>
      <w:r w:rsidRPr="001B712C">
        <w:rPr>
          <w:rFonts w:ascii="Arial" w:eastAsia="Verdana" w:hAnsi="Arial" w:cs="Arial"/>
          <w:sz w:val="22"/>
          <w:szCs w:val="24"/>
        </w:rPr>
        <w:t>(…)</w:t>
      </w:r>
    </w:p>
    <w:p w14:paraId="519E0C39" w14:textId="77777777" w:rsidR="000B4B50" w:rsidRPr="001B712C" w:rsidRDefault="000B4B50" w:rsidP="0046202D">
      <w:pPr>
        <w:ind w:left="397"/>
        <w:rPr>
          <w:rFonts w:ascii="Arial" w:eastAsia="Verdana" w:hAnsi="Arial" w:cs="Arial"/>
          <w:sz w:val="22"/>
          <w:szCs w:val="24"/>
        </w:rPr>
      </w:pPr>
      <w:r w:rsidRPr="001B712C">
        <w:rPr>
          <w:rFonts w:ascii="Arial" w:eastAsia="Verdana" w:hAnsi="Arial" w:cs="Arial"/>
          <w:sz w:val="22"/>
          <w:szCs w:val="24"/>
          <w:u w:val="single"/>
        </w:rPr>
        <w:t>En atención a lo anterior, la Sala concluye que, en el presente caso, el requisito de procedibilidad se agotó con la conciliación extrajudicial que se efectuó el veinticinco (25) de noviembre del dos mil catorce (2014), a partir de la solicitud presentada por la Unión Temporal Rayuela el veintitrés (23) de octubre de dos mil catorce (2014)</w:t>
      </w:r>
      <w:r w:rsidRPr="001B712C">
        <w:rPr>
          <w:rFonts w:ascii="Arial" w:eastAsia="Verdana" w:hAnsi="Arial" w:cs="Arial"/>
          <w:sz w:val="22"/>
          <w:szCs w:val="24"/>
        </w:rPr>
        <w:t xml:space="preserve"> (…). </w:t>
      </w:r>
    </w:p>
    <w:p w14:paraId="3747B78E" w14:textId="77777777" w:rsidR="000B4B50" w:rsidRPr="001B712C" w:rsidRDefault="000B4B50" w:rsidP="0046202D">
      <w:pPr>
        <w:ind w:left="397"/>
        <w:rPr>
          <w:rFonts w:ascii="Arial" w:eastAsia="Verdana" w:hAnsi="Arial" w:cs="Arial"/>
          <w:sz w:val="22"/>
          <w:szCs w:val="24"/>
        </w:rPr>
      </w:pPr>
    </w:p>
    <w:p w14:paraId="55599C0D" w14:textId="77777777" w:rsidR="002C2835" w:rsidRPr="001B712C" w:rsidRDefault="000B4B50" w:rsidP="0046202D">
      <w:pPr>
        <w:ind w:left="397"/>
        <w:rPr>
          <w:rFonts w:ascii="Arial" w:eastAsia="Verdana" w:hAnsi="Arial" w:cs="Arial"/>
          <w:sz w:val="22"/>
          <w:szCs w:val="24"/>
        </w:rPr>
      </w:pPr>
      <w:r w:rsidRPr="001B712C">
        <w:rPr>
          <w:rFonts w:ascii="Arial" w:eastAsia="Verdana" w:hAnsi="Arial" w:cs="Arial"/>
          <w:sz w:val="22"/>
          <w:szCs w:val="24"/>
        </w:rPr>
        <w:t xml:space="preserve">Teniendo en cuenta que —como lo dispone el artículo 21 de la Ley 640 de 2001— </w:t>
      </w:r>
      <w:r w:rsidRPr="001B712C">
        <w:rPr>
          <w:rFonts w:ascii="Arial" w:eastAsia="Verdana" w:hAnsi="Arial" w:cs="Arial"/>
          <w:sz w:val="22"/>
          <w:szCs w:val="24"/>
          <w:u w:val="single"/>
        </w:rPr>
        <w:t>la suspensión de la caducidad por conciliación extrajudicial opera una sola vez y es improrrogable</w:t>
      </w:r>
      <w:r w:rsidRPr="001B712C">
        <w:rPr>
          <w:rFonts w:ascii="Arial" w:eastAsia="Verdana" w:hAnsi="Arial" w:cs="Arial"/>
          <w:sz w:val="22"/>
          <w:szCs w:val="24"/>
        </w:rPr>
        <w:t xml:space="preserve">, se tendrá en cuenta únicamente el lapso en el que se surtió el primer trámite conciliatorio para calcular el término de caducidad de la acción en el </w:t>
      </w:r>
      <w:proofErr w:type="gramStart"/>
      <w:r w:rsidRPr="001B712C">
        <w:rPr>
          <w:rFonts w:ascii="Arial" w:eastAsia="Verdana" w:hAnsi="Arial" w:cs="Arial"/>
          <w:sz w:val="22"/>
          <w:szCs w:val="24"/>
        </w:rPr>
        <w:t>sub lite</w:t>
      </w:r>
      <w:proofErr w:type="gramEnd"/>
      <w:r w:rsidRPr="001B712C">
        <w:rPr>
          <w:rFonts w:ascii="Arial" w:eastAsia="Verdana" w:hAnsi="Arial" w:cs="Arial"/>
          <w:sz w:val="22"/>
          <w:szCs w:val="24"/>
        </w:rPr>
        <w:t xml:space="preserve">.  </w:t>
      </w:r>
      <w:r w:rsidR="002C2835" w:rsidRPr="001B712C">
        <w:rPr>
          <w:rFonts w:ascii="Arial" w:eastAsia="Verdana" w:hAnsi="Arial" w:cs="Arial"/>
          <w:sz w:val="22"/>
          <w:szCs w:val="24"/>
        </w:rPr>
        <w:t xml:space="preserve"> </w:t>
      </w:r>
    </w:p>
    <w:p w14:paraId="69C473EA" w14:textId="77777777" w:rsidR="006319CD" w:rsidRPr="001B712C" w:rsidRDefault="006319CD" w:rsidP="00627A7E">
      <w:pPr>
        <w:tabs>
          <w:tab w:val="left" w:pos="2370"/>
          <w:tab w:val="left" w:pos="2790"/>
        </w:tabs>
        <w:rPr>
          <w:rFonts w:ascii="Arial" w:hAnsi="Arial" w:cs="Arial"/>
          <w:sz w:val="22"/>
          <w:szCs w:val="24"/>
          <w:lang w:val="es-ES_tradnl"/>
        </w:rPr>
      </w:pPr>
    </w:p>
    <w:p w14:paraId="309FC601" w14:textId="77777777" w:rsidR="00003AB6" w:rsidRPr="001B712C" w:rsidRDefault="00003AB6" w:rsidP="00627A7E">
      <w:pPr>
        <w:tabs>
          <w:tab w:val="left" w:pos="2370"/>
          <w:tab w:val="left" w:pos="2790"/>
        </w:tabs>
        <w:rPr>
          <w:rFonts w:ascii="Arial" w:hAnsi="Arial" w:cs="Arial"/>
          <w:sz w:val="24"/>
          <w:szCs w:val="24"/>
        </w:rPr>
      </w:pPr>
      <w:r w:rsidRPr="001B712C">
        <w:rPr>
          <w:rFonts w:ascii="Arial" w:hAnsi="Arial" w:cs="Arial"/>
          <w:sz w:val="24"/>
          <w:szCs w:val="24"/>
          <w:lang w:val="es-ES_tradnl"/>
        </w:rPr>
        <w:t>2.</w:t>
      </w:r>
      <w:r w:rsidR="00091FFD" w:rsidRPr="001B712C">
        <w:rPr>
          <w:rFonts w:ascii="Arial" w:hAnsi="Arial" w:cs="Arial"/>
          <w:sz w:val="24"/>
          <w:szCs w:val="24"/>
          <w:lang w:val="es-ES_tradnl"/>
        </w:rPr>
        <w:t>3.3.</w:t>
      </w:r>
      <w:r w:rsidRPr="001B712C">
        <w:rPr>
          <w:rFonts w:ascii="Arial" w:hAnsi="Arial" w:cs="Arial"/>
          <w:sz w:val="24"/>
          <w:szCs w:val="24"/>
          <w:lang w:val="es-ES_tradnl"/>
        </w:rPr>
        <w:t xml:space="preserve"> Es evidente</w:t>
      </w:r>
      <w:r w:rsidR="00627A7E" w:rsidRPr="001B712C">
        <w:rPr>
          <w:rFonts w:ascii="Arial" w:hAnsi="Arial" w:cs="Arial"/>
          <w:sz w:val="24"/>
          <w:szCs w:val="24"/>
          <w:lang w:val="es-ES_tradnl"/>
        </w:rPr>
        <w:t xml:space="preserve">, entonces, </w:t>
      </w:r>
      <w:r w:rsidRPr="001B712C">
        <w:rPr>
          <w:rFonts w:ascii="Arial" w:hAnsi="Arial" w:cs="Arial"/>
          <w:sz w:val="24"/>
          <w:szCs w:val="24"/>
          <w:lang w:val="es-ES_tradnl"/>
        </w:rPr>
        <w:t xml:space="preserve">que </w:t>
      </w:r>
      <w:r w:rsidRPr="001B712C">
        <w:rPr>
          <w:rFonts w:ascii="Arial" w:hAnsi="Arial" w:cs="Arial"/>
          <w:bCs/>
          <w:sz w:val="24"/>
          <w:szCs w:val="24"/>
          <w:lang w:val="es-CO"/>
        </w:rPr>
        <w:t>la solicitud de amparo se interpuso simplemente para revivir el debate que ya se agotó en el proceso ordinario y para obtener una opinión diversa a la que ya emitió la jurisdicción de lo contencioso administrativo</w:t>
      </w:r>
      <w:r w:rsidR="00627A7E" w:rsidRPr="001B712C">
        <w:rPr>
          <w:rFonts w:ascii="Arial" w:hAnsi="Arial" w:cs="Arial"/>
          <w:bCs/>
          <w:sz w:val="24"/>
          <w:szCs w:val="24"/>
          <w:lang w:val="es-CO"/>
        </w:rPr>
        <w:t xml:space="preserve">, finalidad para la que no es </w:t>
      </w:r>
      <w:r w:rsidRPr="001B712C">
        <w:rPr>
          <w:rFonts w:ascii="Arial" w:hAnsi="Arial" w:cs="Arial"/>
          <w:bCs/>
          <w:sz w:val="24"/>
          <w:szCs w:val="24"/>
          <w:lang w:val="es-CO"/>
        </w:rPr>
        <w:t xml:space="preserve">procedente este medio de protección excepcional. </w:t>
      </w:r>
      <w:r w:rsidR="00627A7E" w:rsidRPr="001B712C">
        <w:rPr>
          <w:rFonts w:ascii="Arial" w:hAnsi="Arial" w:cs="Arial"/>
          <w:bCs/>
          <w:sz w:val="24"/>
          <w:szCs w:val="24"/>
          <w:lang w:val="es-CO"/>
        </w:rPr>
        <w:t>L</w:t>
      </w:r>
      <w:r w:rsidRPr="001B712C">
        <w:rPr>
          <w:rFonts w:ascii="Arial" w:hAnsi="Arial" w:cs="Arial"/>
          <w:sz w:val="24"/>
          <w:szCs w:val="24"/>
        </w:rPr>
        <w:t xml:space="preserve">a </w:t>
      </w:r>
      <w:r w:rsidR="00627A7E" w:rsidRPr="001B712C">
        <w:rPr>
          <w:rFonts w:ascii="Arial" w:hAnsi="Arial" w:cs="Arial"/>
          <w:sz w:val="24"/>
          <w:szCs w:val="24"/>
        </w:rPr>
        <w:t xml:space="preserve">acción de </w:t>
      </w:r>
      <w:r w:rsidRPr="001B712C">
        <w:rPr>
          <w:rFonts w:ascii="Arial" w:hAnsi="Arial" w:cs="Arial"/>
          <w:sz w:val="24"/>
          <w:szCs w:val="24"/>
        </w:rPr>
        <w:t>tutela está prevista para la protección de derechos fundamentales y no como instancia adicional de los procesos ordinarios.</w:t>
      </w:r>
    </w:p>
    <w:p w14:paraId="7C7BE0B6" w14:textId="77777777" w:rsidR="00003AB6" w:rsidRPr="001B712C" w:rsidRDefault="00003AB6" w:rsidP="00627A7E">
      <w:pPr>
        <w:rPr>
          <w:rFonts w:ascii="Arial" w:hAnsi="Arial" w:cs="Arial"/>
          <w:sz w:val="24"/>
          <w:szCs w:val="24"/>
        </w:rPr>
      </w:pPr>
    </w:p>
    <w:p w14:paraId="3768A9D8" w14:textId="77777777" w:rsidR="00627A7E" w:rsidRPr="001B712C" w:rsidRDefault="00003AB6" w:rsidP="00627A7E">
      <w:pPr>
        <w:pStyle w:val="Sangradetextonormal"/>
        <w:widowControl w:val="0"/>
        <w:spacing w:line="240" w:lineRule="auto"/>
        <w:rPr>
          <w:rFonts w:cs="Arial"/>
          <w:b w:val="0"/>
          <w:sz w:val="24"/>
          <w:szCs w:val="24"/>
        </w:rPr>
      </w:pPr>
      <w:r w:rsidRPr="001B712C">
        <w:rPr>
          <w:rFonts w:cs="Arial"/>
          <w:b w:val="0"/>
          <w:sz w:val="24"/>
          <w:szCs w:val="24"/>
        </w:rPr>
        <w:t>2.</w:t>
      </w:r>
      <w:r w:rsidR="00627A7E" w:rsidRPr="001B712C">
        <w:rPr>
          <w:rFonts w:cs="Arial"/>
          <w:b w:val="0"/>
          <w:sz w:val="24"/>
          <w:szCs w:val="24"/>
          <w:lang w:val="es-CO"/>
        </w:rPr>
        <w:t>3.3.1</w:t>
      </w:r>
      <w:r w:rsidRPr="001B712C">
        <w:rPr>
          <w:rFonts w:cs="Arial"/>
          <w:b w:val="0"/>
          <w:sz w:val="24"/>
          <w:szCs w:val="24"/>
        </w:rPr>
        <w:t xml:space="preserve">. Por más informal que sea la tutela, y aunque sus objetivos sean la salvaguarda de derechos fundamentales, el interesado está en la obligación de ejercer adecuadamente el derecho de acción, es decir, de interponer la demanda con serios y fuertes argumentos para derribar las decisiones de los jueces, que se dictan previo agotamiento de los procedimientos reglados y conforme con una sólida razonabilidad. No se debe insistir en los argumentos que se ofrecieron en el proceso ordinario, pues ya fueron decididos por los jueces competentes. </w:t>
      </w:r>
      <w:r w:rsidR="00627A7E" w:rsidRPr="001B712C">
        <w:rPr>
          <w:rFonts w:cs="Arial"/>
          <w:b w:val="0"/>
          <w:sz w:val="24"/>
          <w:szCs w:val="24"/>
        </w:rPr>
        <w:t xml:space="preserve">Por ejemplo, los cargos de violación que se alegan en el proceso contencioso administrativo se dirigen a cuestionar los actos administrativos, los contratos, los hechos, las acciones o las omisiones de la administración. Por ende, no pueden servir para luego cuestionar las providencias judiciales que justamente resolvieron tales cargos, como lo pretendió la parte actora.   </w:t>
      </w:r>
    </w:p>
    <w:p w14:paraId="45488388" w14:textId="77777777" w:rsidR="00003AB6" w:rsidRPr="001B712C" w:rsidRDefault="00003AB6" w:rsidP="0046202D">
      <w:pPr>
        <w:pStyle w:val="Sangradetextonormal"/>
        <w:widowControl w:val="0"/>
        <w:spacing w:line="240" w:lineRule="auto"/>
        <w:rPr>
          <w:rFonts w:cs="Arial"/>
          <w:b w:val="0"/>
          <w:sz w:val="24"/>
          <w:szCs w:val="24"/>
        </w:rPr>
      </w:pPr>
    </w:p>
    <w:p w14:paraId="09EADDDD" w14:textId="77777777" w:rsidR="00DA4659" w:rsidRPr="001B712C" w:rsidRDefault="00DA4659" w:rsidP="0046202D">
      <w:pPr>
        <w:rPr>
          <w:rFonts w:ascii="Arial" w:eastAsia="Verdana" w:hAnsi="Arial" w:cs="Arial"/>
          <w:sz w:val="24"/>
          <w:szCs w:val="24"/>
          <w:lang w:val="es-ES_tradnl"/>
        </w:rPr>
      </w:pPr>
      <w:r w:rsidRPr="001B712C">
        <w:rPr>
          <w:rFonts w:ascii="Arial" w:eastAsia="Verdana" w:hAnsi="Arial" w:cs="Arial"/>
          <w:sz w:val="24"/>
          <w:szCs w:val="24"/>
          <w:lang w:val="es-ES_tradnl"/>
        </w:rPr>
        <w:t xml:space="preserve">2.4. Conforme con lo anterior, la solicitud de amparo no cumple el requisito general de la relevancia constitucional y, por lo tanto, según la metodología anunciada, corresponde a la Sala declarar improcedente la acción de tutela presentada por la </w:t>
      </w:r>
      <w:r w:rsidR="00627A7E" w:rsidRPr="001B712C">
        <w:rPr>
          <w:rFonts w:ascii="Arial" w:eastAsia="Verdana" w:hAnsi="Arial" w:cs="Arial"/>
          <w:sz w:val="24"/>
          <w:szCs w:val="24"/>
          <w:lang w:val="es-ES_tradnl"/>
        </w:rPr>
        <w:t xml:space="preserve">Unión Temporal Rayuela. </w:t>
      </w:r>
    </w:p>
    <w:p w14:paraId="124E1884" w14:textId="77777777" w:rsidR="001E370C" w:rsidRPr="001B712C" w:rsidRDefault="001E370C" w:rsidP="0046202D">
      <w:pPr>
        <w:ind w:right="50"/>
        <w:rPr>
          <w:rFonts w:ascii="Arial" w:eastAsia="Verdana" w:hAnsi="Arial" w:cs="Arial"/>
          <w:sz w:val="24"/>
          <w:szCs w:val="24"/>
        </w:rPr>
      </w:pPr>
      <w:bookmarkStart w:id="1" w:name="_Hlk517685860"/>
      <w:bookmarkStart w:id="2" w:name="_Hlk517694726"/>
      <w:bookmarkStart w:id="3" w:name="_Hlk517685400"/>
    </w:p>
    <w:p w14:paraId="590F4064" w14:textId="77777777" w:rsidR="001E370C" w:rsidRPr="001B712C" w:rsidRDefault="001E370C" w:rsidP="0046202D">
      <w:pPr>
        <w:shd w:val="clear" w:color="auto" w:fill="FFFFFF"/>
        <w:rPr>
          <w:rFonts w:ascii="Arial" w:eastAsia="Verdana" w:hAnsi="Arial" w:cs="Arial"/>
          <w:sz w:val="24"/>
          <w:szCs w:val="24"/>
        </w:rPr>
      </w:pPr>
      <w:r w:rsidRPr="001B712C">
        <w:rPr>
          <w:rFonts w:ascii="Arial" w:eastAsia="Verdana" w:hAnsi="Arial" w:cs="Arial"/>
          <w:sz w:val="24"/>
          <w:szCs w:val="24"/>
        </w:rPr>
        <w:t>Por lo expuesto, el Consejo de Estado, Sala de lo Contencioso Administrativo, Sección Cuarta, administrando justicia en nombre de la República de Colombia y por autoridad de la ley,</w:t>
      </w:r>
    </w:p>
    <w:p w14:paraId="39261E43" w14:textId="77777777" w:rsidR="001E370C" w:rsidRPr="001B712C" w:rsidRDefault="001E370C" w:rsidP="0046202D">
      <w:pPr>
        <w:shd w:val="clear" w:color="auto" w:fill="FFFFFF"/>
        <w:rPr>
          <w:rFonts w:ascii="Arial" w:eastAsia="Verdana" w:hAnsi="Arial" w:cs="Arial"/>
          <w:b/>
          <w:sz w:val="24"/>
          <w:szCs w:val="24"/>
        </w:rPr>
      </w:pPr>
    </w:p>
    <w:p w14:paraId="0663B354" w14:textId="77777777" w:rsidR="001E370C" w:rsidRPr="001B712C" w:rsidRDefault="001E370C" w:rsidP="0046202D">
      <w:pPr>
        <w:shd w:val="clear" w:color="auto" w:fill="FFFFFF"/>
        <w:jc w:val="center"/>
        <w:rPr>
          <w:rFonts w:ascii="Arial" w:eastAsia="Verdana" w:hAnsi="Arial" w:cs="Arial"/>
          <w:sz w:val="24"/>
          <w:szCs w:val="24"/>
        </w:rPr>
      </w:pPr>
      <w:r w:rsidRPr="001B712C">
        <w:rPr>
          <w:rFonts w:ascii="Arial" w:eastAsia="Verdana" w:hAnsi="Arial" w:cs="Arial"/>
          <w:b/>
          <w:sz w:val="24"/>
          <w:szCs w:val="24"/>
        </w:rPr>
        <w:t>FALLA</w:t>
      </w:r>
    </w:p>
    <w:p w14:paraId="39E35FD4" w14:textId="77777777" w:rsidR="001E370C" w:rsidRPr="001B712C" w:rsidRDefault="001E370C" w:rsidP="0046202D">
      <w:pPr>
        <w:pBdr>
          <w:top w:val="none" w:sz="0" w:space="0" w:color="000000"/>
          <w:left w:val="none" w:sz="0" w:space="0" w:color="000000"/>
          <w:bottom w:val="none" w:sz="0" w:space="0" w:color="000000"/>
          <w:right w:val="none" w:sz="0" w:space="0" w:color="000000"/>
          <w:between w:val="none" w:sz="0" w:space="0" w:color="000000"/>
        </w:pBdr>
        <w:ind w:left="709"/>
        <w:rPr>
          <w:rFonts w:ascii="Arial" w:eastAsia="Verdana" w:hAnsi="Arial" w:cs="Arial"/>
          <w:sz w:val="24"/>
          <w:szCs w:val="24"/>
        </w:rPr>
      </w:pPr>
    </w:p>
    <w:p w14:paraId="62E01856" w14:textId="77777777" w:rsidR="001E370C" w:rsidRPr="001B712C" w:rsidRDefault="008A1E2D" w:rsidP="008A1E2D">
      <w:pPr>
        <w:pStyle w:val="Prrafodelista"/>
        <w:ind w:left="0"/>
        <w:rPr>
          <w:rFonts w:ascii="Arial" w:eastAsia="Verdana" w:hAnsi="Arial" w:cs="Arial"/>
          <w:b/>
          <w:sz w:val="24"/>
          <w:szCs w:val="24"/>
        </w:rPr>
      </w:pPr>
      <w:r w:rsidRPr="001B712C">
        <w:rPr>
          <w:rFonts w:ascii="Arial" w:eastAsia="Verdana" w:hAnsi="Arial" w:cs="Arial"/>
          <w:b/>
          <w:sz w:val="24"/>
          <w:szCs w:val="24"/>
        </w:rPr>
        <w:t xml:space="preserve">1. </w:t>
      </w:r>
      <w:r w:rsidR="00627A7E" w:rsidRPr="001B712C">
        <w:rPr>
          <w:rFonts w:ascii="Arial" w:eastAsia="Verdana" w:hAnsi="Arial" w:cs="Arial"/>
          <w:b/>
          <w:sz w:val="24"/>
          <w:szCs w:val="24"/>
        </w:rPr>
        <w:t xml:space="preserve">Declarar improcedente </w:t>
      </w:r>
      <w:r w:rsidR="00627A7E" w:rsidRPr="001B712C">
        <w:rPr>
          <w:rFonts w:ascii="Arial" w:eastAsia="Verdana" w:hAnsi="Arial" w:cs="Arial"/>
          <w:sz w:val="24"/>
          <w:szCs w:val="24"/>
        </w:rPr>
        <w:t>la acción de tutela presentada por la Unión Temporal Rayuela</w:t>
      </w:r>
      <w:r w:rsidR="001E370C" w:rsidRPr="001B712C">
        <w:rPr>
          <w:rFonts w:ascii="Arial" w:eastAsia="Verdana" w:hAnsi="Arial" w:cs="Arial"/>
          <w:sz w:val="24"/>
          <w:szCs w:val="24"/>
        </w:rPr>
        <w:t xml:space="preserve">, por las razones expuestas en esta providencia. </w:t>
      </w:r>
    </w:p>
    <w:p w14:paraId="4A1290A8" w14:textId="77777777" w:rsidR="001E370C" w:rsidRPr="001B712C" w:rsidRDefault="001E370C" w:rsidP="0046202D">
      <w:pPr>
        <w:pStyle w:val="Prrafodelista"/>
        <w:widowControl w:val="0"/>
        <w:rPr>
          <w:rFonts w:ascii="Arial" w:eastAsia="Verdana" w:hAnsi="Arial" w:cs="Arial"/>
          <w:sz w:val="24"/>
          <w:szCs w:val="24"/>
        </w:rPr>
      </w:pPr>
    </w:p>
    <w:p w14:paraId="454448B5" w14:textId="77777777" w:rsidR="001E370C" w:rsidRPr="001B712C" w:rsidRDefault="001E370C" w:rsidP="0046202D">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Verdana" w:hAnsi="Arial" w:cs="Arial"/>
          <w:sz w:val="24"/>
          <w:szCs w:val="24"/>
        </w:rPr>
      </w:pPr>
      <w:r w:rsidRPr="001B712C">
        <w:rPr>
          <w:rFonts w:ascii="Arial" w:eastAsia="Verdana" w:hAnsi="Arial" w:cs="Arial"/>
          <w:b/>
          <w:sz w:val="24"/>
          <w:szCs w:val="24"/>
        </w:rPr>
        <w:t>2. Notificar</w:t>
      </w:r>
      <w:r w:rsidRPr="001B712C">
        <w:rPr>
          <w:rFonts w:ascii="Arial" w:eastAsia="Verdana" w:hAnsi="Arial" w:cs="Arial"/>
          <w:sz w:val="24"/>
          <w:szCs w:val="24"/>
        </w:rPr>
        <w:t xml:space="preserve"> la presente decisión a las partes, tal y como lo dispone el artículo 30 del Decreto 2591 de 1991.</w:t>
      </w:r>
    </w:p>
    <w:p w14:paraId="67A63320" w14:textId="77777777" w:rsidR="001E370C" w:rsidRPr="001B712C" w:rsidRDefault="001E370C" w:rsidP="0046202D">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Verdana" w:hAnsi="Arial" w:cs="Arial"/>
          <w:b/>
          <w:sz w:val="24"/>
          <w:szCs w:val="24"/>
        </w:rPr>
      </w:pPr>
    </w:p>
    <w:p w14:paraId="6E0437A0" w14:textId="77777777" w:rsidR="001E370C" w:rsidRPr="001B712C" w:rsidRDefault="001E370C" w:rsidP="0046202D">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Verdana" w:hAnsi="Arial" w:cs="Arial"/>
          <w:sz w:val="24"/>
          <w:szCs w:val="24"/>
        </w:rPr>
      </w:pPr>
      <w:r w:rsidRPr="001B712C">
        <w:rPr>
          <w:rFonts w:ascii="Arial" w:eastAsia="Verdana" w:hAnsi="Arial" w:cs="Arial"/>
          <w:b/>
          <w:sz w:val="24"/>
          <w:szCs w:val="24"/>
        </w:rPr>
        <w:t xml:space="preserve">3. </w:t>
      </w:r>
      <w:r w:rsidRPr="001B712C">
        <w:rPr>
          <w:rFonts w:ascii="Arial" w:eastAsia="Verdana" w:hAnsi="Arial" w:cs="Arial"/>
          <w:sz w:val="24"/>
          <w:szCs w:val="24"/>
        </w:rPr>
        <w:t xml:space="preserve">Si no se impugna, </w:t>
      </w:r>
      <w:r w:rsidRPr="001B712C">
        <w:rPr>
          <w:rFonts w:ascii="Arial" w:eastAsia="Verdana" w:hAnsi="Arial" w:cs="Arial"/>
          <w:b/>
          <w:sz w:val="24"/>
          <w:szCs w:val="24"/>
        </w:rPr>
        <w:t>enviar</w:t>
      </w:r>
      <w:r w:rsidRPr="001B712C">
        <w:rPr>
          <w:rFonts w:ascii="Arial" w:eastAsia="Verdana" w:hAnsi="Arial" w:cs="Arial"/>
          <w:sz w:val="24"/>
          <w:szCs w:val="24"/>
        </w:rPr>
        <w:t xml:space="preserve"> el expediente de tutela a la Corte Constitucional para su </w:t>
      </w:r>
      <w:r w:rsidRPr="001B712C">
        <w:rPr>
          <w:rFonts w:ascii="Arial" w:eastAsia="Verdana" w:hAnsi="Arial" w:cs="Arial"/>
          <w:sz w:val="24"/>
          <w:szCs w:val="24"/>
        </w:rPr>
        <w:lastRenderedPageBreak/>
        <w:t>eventual revisión.</w:t>
      </w:r>
    </w:p>
    <w:p w14:paraId="32D6EFA2" w14:textId="77777777" w:rsidR="001E370C" w:rsidRPr="001B712C" w:rsidRDefault="001E370C" w:rsidP="0046202D">
      <w:pPr>
        <w:rPr>
          <w:rFonts w:ascii="Arial" w:eastAsia="Verdana" w:hAnsi="Arial" w:cs="Arial"/>
          <w:sz w:val="24"/>
          <w:szCs w:val="24"/>
        </w:rPr>
      </w:pPr>
    </w:p>
    <w:p w14:paraId="7AB3F317" w14:textId="77777777" w:rsidR="001E370C" w:rsidRPr="001B712C" w:rsidRDefault="001E370C" w:rsidP="0046202D">
      <w:pPr>
        <w:rPr>
          <w:rFonts w:ascii="Arial" w:eastAsia="Verdana" w:hAnsi="Arial" w:cs="Arial"/>
          <w:sz w:val="24"/>
          <w:szCs w:val="24"/>
        </w:rPr>
      </w:pPr>
      <w:r w:rsidRPr="001B712C">
        <w:rPr>
          <w:rFonts w:ascii="Arial" w:eastAsia="Verdana" w:hAnsi="Arial" w:cs="Arial"/>
          <w:sz w:val="24"/>
          <w:szCs w:val="24"/>
        </w:rPr>
        <w:t>Cópiese, notifíquese y cúmplase.</w:t>
      </w:r>
    </w:p>
    <w:p w14:paraId="6481A001" w14:textId="77777777" w:rsidR="001E370C" w:rsidRPr="001B712C" w:rsidRDefault="001E370C" w:rsidP="0046202D">
      <w:pPr>
        <w:rPr>
          <w:rFonts w:ascii="Arial" w:eastAsia="Verdana" w:hAnsi="Arial" w:cs="Arial"/>
          <w:sz w:val="24"/>
          <w:szCs w:val="24"/>
        </w:rPr>
      </w:pPr>
    </w:p>
    <w:p w14:paraId="5BE440DF" w14:textId="77777777" w:rsidR="001E370C" w:rsidRPr="001B712C" w:rsidRDefault="001E370C" w:rsidP="0046202D">
      <w:pPr>
        <w:rPr>
          <w:rFonts w:ascii="Arial" w:eastAsia="Verdana" w:hAnsi="Arial" w:cs="Arial"/>
          <w:sz w:val="24"/>
          <w:szCs w:val="24"/>
        </w:rPr>
      </w:pPr>
      <w:r w:rsidRPr="001B712C">
        <w:rPr>
          <w:rFonts w:ascii="Arial" w:eastAsia="Verdana" w:hAnsi="Arial" w:cs="Arial"/>
          <w:sz w:val="24"/>
          <w:szCs w:val="24"/>
        </w:rPr>
        <w:t>La anterior providencia fue discutida y aprobada en sesión de la fecha.</w:t>
      </w:r>
    </w:p>
    <w:p w14:paraId="5E99842D" w14:textId="77777777" w:rsidR="001E370C" w:rsidRPr="001B712C" w:rsidRDefault="001E370C" w:rsidP="0046202D">
      <w:pPr>
        <w:rPr>
          <w:rFonts w:ascii="Arial" w:eastAsia="Verdana" w:hAnsi="Arial" w:cs="Arial"/>
          <w:sz w:val="24"/>
          <w:szCs w:val="24"/>
        </w:rPr>
      </w:pPr>
    </w:p>
    <w:bookmarkEnd w:id="1"/>
    <w:bookmarkEnd w:id="2"/>
    <w:bookmarkEnd w:id="3"/>
    <w:p w14:paraId="42709208" w14:textId="77777777" w:rsidR="001E370C" w:rsidRPr="001B712C" w:rsidRDefault="001E370C" w:rsidP="0046202D">
      <w:pPr>
        <w:rPr>
          <w:rFonts w:ascii="Arial" w:eastAsia="Verdana" w:hAnsi="Arial" w:cs="Arial"/>
          <w:b/>
          <w:sz w:val="24"/>
          <w:szCs w:val="24"/>
        </w:rPr>
      </w:pPr>
    </w:p>
    <w:p w14:paraId="739F1505" w14:textId="77777777" w:rsidR="001E370C" w:rsidRPr="001B712C" w:rsidRDefault="001E370C" w:rsidP="0046202D">
      <w:pPr>
        <w:rPr>
          <w:rFonts w:ascii="Arial" w:eastAsia="Verdana" w:hAnsi="Arial" w:cs="Arial"/>
          <w:b/>
          <w:sz w:val="24"/>
          <w:szCs w:val="24"/>
        </w:rPr>
      </w:pPr>
    </w:p>
    <w:p w14:paraId="38F65209" w14:textId="77777777" w:rsidR="00627A7E" w:rsidRPr="001B712C" w:rsidRDefault="00627A7E" w:rsidP="00627A7E">
      <w:pPr>
        <w:rPr>
          <w:rFonts w:ascii="Arial" w:eastAsia="Verdana" w:hAnsi="Arial" w:cs="Arial"/>
          <w:b/>
          <w:sz w:val="24"/>
          <w:szCs w:val="24"/>
        </w:rPr>
      </w:pPr>
    </w:p>
    <w:p w14:paraId="5CB5E86D" w14:textId="77777777" w:rsidR="00627A7E" w:rsidRPr="001B712C" w:rsidRDefault="00627A7E" w:rsidP="00627A7E">
      <w:pPr>
        <w:widowControl w:val="0"/>
        <w:jc w:val="center"/>
        <w:rPr>
          <w:rFonts w:ascii="Arial" w:eastAsia="Verdana" w:hAnsi="Arial" w:cs="Arial"/>
          <w:b/>
          <w:sz w:val="24"/>
          <w:szCs w:val="24"/>
        </w:rPr>
      </w:pPr>
      <w:r w:rsidRPr="001B712C">
        <w:rPr>
          <w:rFonts w:ascii="Arial" w:eastAsia="Verdana" w:hAnsi="Arial" w:cs="Arial"/>
          <w:b/>
          <w:sz w:val="24"/>
          <w:szCs w:val="24"/>
        </w:rPr>
        <w:t>JULIO ROBERTO PIZA RODRÍGUEZ</w:t>
      </w:r>
    </w:p>
    <w:p w14:paraId="49A2908A" w14:textId="77777777" w:rsidR="00627A7E" w:rsidRPr="001B712C" w:rsidRDefault="00627A7E" w:rsidP="00627A7E">
      <w:pPr>
        <w:widowControl w:val="0"/>
        <w:jc w:val="center"/>
        <w:rPr>
          <w:rFonts w:ascii="Arial" w:eastAsia="Verdana" w:hAnsi="Arial" w:cs="Arial"/>
          <w:sz w:val="24"/>
          <w:szCs w:val="24"/>
        </w:rPr>
      </w:pPr>
      <w:r w:rsidRPr="001B712C">
        <w:rPr>
          <w:rFonts w:ascii="Arial" w:eastAsia="Verdana" w:hAnsi="Arial" w:cs="Arial"/>
          <w:sz w:val="24"/>
          <w:szCs w:val="24"/>
        </w:rPr>
        <w:t>Presidente de la Sección</w:t>
      </w:r>
    </w:p>
    <w:p w14:paraId="7C8FCA08" w14:textId="77777777" w:rsidR="00627A7E" w:rsidRPr="001B712C" w:rsidRDefault="00627A7E" w:rsidP="00627A7E">
      <w:pPr>
        <w:widowControl w:val="0"/>
        <w:rPr>
          <w:rFonts w:ascii="Arial" w:eastAsia="Verdana" w:hAnsi="Arial" w:cs="Arial"/>
          <w:sz w:val="24"/>
          <w:szCs w:val="24"/>
        </w:rPr>
      </w:pPr>
    </w:p>
    <w:p w14:paraId="3346952F" w14:textId="77777777" w:rsidR="00627A7E" w:rsidRPr="001B712C" w:rsidRDefault="00627A7E" w:rsidP="00627A7E">
      <w:pPr>
        <w:widowControl w:val="0"/>
        <w:rPr>
          <w:rFonts w:ascii="Arial" w:eastAsia="Verdana" w:hAnsi="Arial" w:cs="Arial"/>
          <w:sz w:val="24"/>
          <w:szCs w:val="24"/>
        </w:rPr>
      </w:pPr>
    </w:p>
    <w:p w14:paraId="35D604B7" w14:textId="77777777" w:rsidR="00627A7E" w:rsidRPr="001B712C" w:rsidRDefault="00627A7E" w:rsidP="00627A7E">
      <w:pPr>
        <w:widowControl w:val="0"/>
        <w:rPr>
          <w:rFonts w:ascii="Arial" w:eastAsia="Verdana" w:hAnsi="Arial" w:cs="Arial"/>
          <w:sz w:val="24"/>
          <w:szCs w:val="24"/>
        </w:rPr>
      </w:pPr>
    </w:p>
    <w:p w14:paraId="6E7FB5BF" w14:textId="77777777" w:rsidR="00627A7E" w:rsidRPr="001B712C" w:rsidRDefault="00627A7E" w:rsidP="00627A7E">
      <w:pPr>
        <w:widowControl w:val="0"/>
        <w:rPr>
          <w:rFonts w:ascii="Arial" w:eastAsia="Verdana" w:hAnsi="Arial" w:cs="Arial"/>
          <w:sz w:val="24"/>
          <w:szCs w:val="24"/>
        </w:rPr>
      </w:pPr>
    </w:p>
    <w:p w14:paraId="346C555A" w14:textId="77777777" w:rsidR="00627A7E" w:rsidRPr="001B712C" w:rsidRDefault="00627A7E" w:rsidP="00627A7E">
      <w:pPr>
        <w:widowControl w:val="0"/>
        <w:jc w:val="center"/>
        <w:rPr>
          <w:rFonts w:ascii="Arial" w:eastAsia="Verdana" w:hAnsi="Arial" w:cs="Arial"/>
          <w:b/>
          <w:sz w:val="24"/>
          <w:szCs w:val="24"/>
        </w:rPr>
      </w:pPr>
      <w:r w:rsidRPr="001B712C">
        <w:rPr>
          <w:rFonts w:ascii="Arial" w:eastAsia="Verdana" w:hAnsi="Arial" w:cs="Arial"/>
          <w:b/>
          <w:sz w:val="24"/>
          <w:szCs w:val="24"/>
        </w:rPr>
        <w:t>STELLA JEANNETTE CARVAJAL BASTO</w:t>
      </w:r>
    </w:p>
    <w:p w14:paraId="3B132600" w14:textId="77777777" w:rsidR="00627A7E" w:rsidRPr="001B712C" w:rsidRDefault="00627A7E" w:rsidP="00627A7E">
      <w:pPr>
        <w:widowControl w:val="0"/>
        <w:jc w:val="center"/>
        <w:rPr>
          <w:rFonts w:ascii="Arial" w:eastAsia="Verdana" w:hAnsi="Arial" w:cs="Arial"/>
          <w:sz w:val="24"/>
          <w:szCs w:val="24"/>
        </w:rPr>
      </w:pPr>
      <w:r w:rsidRPr="001B712C">
        <w:rPr>
          <w:rFonts w:ascii="Arial" w:eastAsia="Verdana" w:hAnsi="Arial" w:cs="Arial"/>
          <w:sz w:val="24"/>
          <w:szCs w:val="24"/>
        </w:rPr>
        <w:t>Magistrada</w:t>
      </w:r>
    </w:p>
    <w:p w14:paraId="68A5B2B4" w14:textId="77777777" w:rsidR="00627A7E" w:rsidRPr="001B712C" w:rsidRDefault="00627A7E" w:rsidP="00627A7E">
      <w:pPr>
        <w:widowControl w:val="0"/>
        <w:rPr>
          <w:rFonts w:ascii="Arial" w:eastAsia="Verdana" w:hAnsi="Arial" w:cs="Arial"/>
          <w:sz w:val="24"/>
          <w:szCs w:val="24"/>
        </w:rPr>
      </w:pPr>
    </w:p>
    <w:p w14:paraId="37C58207" w14:textId="77777777" w:rsidR="00627A7E" w:rsidRPr="001B712C" w:rsidRDefault="00627A7E" w:rsidP="00627A7E">
      <w:pPr>
        <w:widowControl w:val="0"/>
        <w:rPr>
          <w:rFonts w:ascii="Arial" w:eastAsia="Verdana" w:hAnsi="Arial" w:cs="Arial"/>
          <w:sz w:val="24"/>
          <w:szCs w:val="24"/>
        </w:rPr>
      </w:pPr>
    </w:p>
    <w:p w14:paraId="2F1A09D4" w14:textId="77777777" w:rsidR="00627A7E" w:rsidRPr="001B712C" w:rsidRDefault="00627A7E" w:rsidP="00627A7E">
      <w:pPr>
        <w:widowControl w:val="0"/>
        <w:jc w:val="center"/>
        <w:rPr>
          <w:rFonts w:ascii="Arial" w:eastAsia="Verdana" w:hAnsi="Arial" w:cs="Arial"/>
          <w:b/>
          <w:sz w:val="24"/>
          <w:szCs w:val="24"/>
        </w:rPr>
      </w:pPr>
    </w:p>
    <w:p w14:paraId="14F7E834" w14:textId="77777777" w:rsidR="00627A7E" w:rsidRPr="001B712C" w:rsidRDefault="00627A7E" w:rsidP="00627A7E">
      <w:pPr>
        <w:widowControl w:val="0"/>
        <w:jc w:val="center"/>
        <w:rPr>
          <w:rFonts w:ascii="Arial" w:eastAsia="Verdana" w:hAnsi="Arial" w:cs="Arial"/>
          <w:b/>
          <w:sz w:val="24"/>
          <w:szCs w:val="24"/>
        </w:rPr>
      </w:pPr>
    </w:p>
    <w:p w14:paraId="0593D2BC" w14:textId="77777777" w:rsidR="00627A7E" w:rsidRPr="001B712C" w:rsidRDefault="00627A7E" w:rsidP="00627A7E">
      <w:pPr>
        <w:widowControl w:val="0"/>
        <w:jc w:val="center"/>
        <w:rPr>
          <w:rFonts w:ascii="Arial" w:eastAsia="Verdana" w:hAnsi="Arial" w:cs="Arial"/>
          <w:b/>
          <w:sz w:val="24"/>
          <w:szCs w:val="24"/>
        </w:rPr>
      </w:pPr>
    </w:p>
    <w:p w14:paraId="1308207C" w14:textId="77777777" w:rsidR="00627A7E" w:rsidRPr="001B712C" w:rsidRDefault="00627A7E" w:rsidP="00627A7E">
      <w:pPr>
        <w:widowControl w:val="0"/>
        <w:jc w:val="center"/>
        <w:rPr>
          <w:rFonts w:ascii="Arial" w:eastAsia="Verdana" w:hAnsi="Arial" w:cs="Arial"/>
          <w:b/>
          <w:sz w:val="24"/>
          <w:szCs w:val="24"/>
        </w:rPr>
      </w:pPr>
      <w:r w:rsidRPr="001B712C">
        <w:rPr>
          <w:rFonts w:ascii="Arial" w:eastAsia="Verdana" w:hAnsi="Arial" w:cs="Arial"/>
          <w:b/>
          <w:sz w:val="24"/>
          <w:szCs w:val="24"/>
        </w:rPr>
        <w:t>MILTON CHAVES GARCÍA</w:t>
      </w:r>
    </w:p>
    <w:p w14:paraId="39D2F2A3" w14:textId="77777777" w:rsidR="00627A7E" w:rsidRPr="001B712C" w:rsidRDefault="00627A7E" w:rsidP="00627A7E">
      <w:pPr>
        <w:widowControl w:val="0"/>
        <w:jc w:val="center"/>
        <w:rPr>
          <w:rFonts w:ascii="Arial" w:eastAsia="Verdana" w:hAnsi="Arial" w:cs="Arial"/>
          <w:sz w:val="24"/>
          <w:szCs w:val="24"/>
        </w:rPr>
      </w:pPr>
      <w:r w:rsidRPr="001B712C">
        <w:rPr>
          <w:rFonts w:ascii="Arial" w:eastAsia="Verdana" w:hAnsi="Arial" w:cs="Arial"/>
          <w:sz w:val="24"/>
          <w:szCs w:val="24"/>
        </w:rPr>
        <w:t xml:space="preserve">Magistrado </w:t>
      </w:r>
    </w:p>
    <w:p w14:paraId="6CB33CE4" w14:textId="77777777" w:rsidR="00627A7E" w:rsidRPr="001B712C" w:rsidRDefault="00627A7E" w:rsidP="00627A7E">
      <w:pPr>
        <w:widowControl w:val="0"/>
        <w:rPr>
          <w:rFonts w:ascii="Arial" w:eastAsia="Verdana" w:hAnsi="Arial" w:cs="Arial"/>
          <w:sz w:val="24"/>
          <w:szCs w:val="24"/>
        </w:rPr>
      </w:pPr>
    </w:p>
    <w:p w14:paraId="3333E353" w14:textId="77777777" w:rsidR="00627A7E" w:rsidRPr="001B712C" w:rsidRDefault="00627A7E" w:rsidP="00627A7E">
      <w:pPr>
        <w:widowControl w:val="0"/>
        <w:rPr>
          <w:rFonts w:ascii="Arial" w:eastAsia="Verdana" w:hAnsi="Arial" w:cs="Arial"/>
          <w:sz w:val="24"/>
          <w:szCs w:val="24"/>
        </w:rPr>
      </w:pPr>
    </w:p>
    <w:p w14:paraId="68A4C197" w14:textId="77777777" w:rsidR="00627A7E" w:rsidRPr="001B712C" w:rsidRDefault="00627A7E" w:rsidP="00627A7E">
      <w:pPr>
        <w:widowControl w:val="0"/>
        <w:rPr>
          <w:rFonts w:ascii="Arial" w:eastAsia="Verdana" w:hAnsi="Arial" w:cs="Arial"/>
          <w:sz w:val="24"/>
          <w:szCs w:val="24"/>
        </w:rPr>
      </w:pPr>
    </w:p>
    <w:p w14:paraId="13A3A0EA" w14:textId="77777777" w:rsidR="00627A7E" w:rsidRPr="001B712C" w:rsidRDefault="00627A7E" w:rsidP="00627A7E">
      <w:pPr>
        <w:widowControl w:val="0"/>
        <w:rPr>
          <w:rFonts w:ascii="Arial" w:eastAsia="Verdana" w:hAnsi="Arial" w:cs="Arial"/>
          <w:sz w:val="24"/>
          <w:szCs w:val="24"/>
        </w:rPr>
      </w:pPr>
    </w:p>
    <w:p w14:paraId="0760E96F" w14:textId="77777777" w:rsidR="00627A7E" w:rsidRPr="001B712C" w:rsidRDefault="00627A7E" w:rsidP="00627A7E">
      <w:pPr>
        <w:widowControl w:val="0"/>
        <w:rPr>
          <w:rFonts w:ascii="Arial" w:eastAsia="Verdana" w:hAnsi="Arial" w:cs="Arial"/>
          <w:sz w:val="24"/>
          <w:szCs w:val="24"/>
        </w:rPr>
      </w:pPr>
    </w:p>
    <w:p w14:paraId="2BE7F22F" w14:textId="77777777" w:rsidR="00627A7E" w:rsidRPr="001B712C" w:rsidRDefault="00627A7E" w:rsidP="00627A7E">
      <w:pPr>
        <w:pStyle w:val="Textoindependiente"/>
        <w:widowControl w:val="0"/>
        <w:spacing w:line="240" w:lineRule="auto"/>
        <w:jc w:val="center"/>
        <w:rPr>
          <w:rFonts w:eastAsia="Verdana" w:cs="Arial"/>
          <w:b/>
          <w:sz w:val="24"/>
        </w:rPr>
      </w:pPr>
      <w:r w:rsidRPr="001B712C">
        <w:rPr>
          <w:rFonts w:eastAsia="Verdana" w:cs="Arial"/>
          <w:b/>
          <w:sz w:val="24"/>
        </w:rPr>
        <w:t xml:space="preserve">JORGE OCTAVIO RAMÍREZ </w:t>
      </w:r>
      <w:proofErr w:type="spellStart"/>
      <w:r w:rsidRPr="001B712C">
        <w:rPr>
          <w:rFonts w:eastAsia="Verdana" w:cs="Arial"/>
          <w:b/>
          <w:sz w:val="24"/>
        </w:rPr>
        <w:t>RAMÍREZ</w:t>
      </w:r>
      <w:proofErr w:type="spellEnd"/>
    </w:p>
    <w:p w14:paraId="7C42CB03" w14:textId="77777777" w:rsidR="00627A7E" w:rsidRPr="001B712C" w:rsidRDefault="00627A7E" w:rsidP="00627A7E">
      <w:pPr>
        <w:pStyle w:val="Textoindependiente"/>
        <w:widowControl w:val="0"/>
        <w:spacing w:line="240" w:lineRule="auto"/>
        <w:jc w:val="center"/>
        <w:rPr>
          <w:rFonts w:eastAsia="Calibri" w:cs="Arial"/>
          <w:sz w:val="24"/>
          <w:lang w:val="es-CO"/>
        </w:rPr>
      </w:pPr>
      <w:r w:rsidRPr="001B712C">
        <w:rPr>
          <w:rFonts w:eastAsia="Verdana" w:cs="Arial"/>
          <w:sz w:val="24"/>
        </w:rPr>
        <w:t xml:space="preserve">Magistrado </w:t>
      </w:r>
    </w:p>
    <w:p w14:paraId="29733F68" w14:textId="77777777" w:rsidR="001E370C" w:rsidRPr="001B712C" w:rsidRDefault="001E370C" w:rsidP="0046202D">
      <w:pPr>
        <w:jc w:val="center"/>
        <w:rPr>
          <w:rFonts w:ascii="Arial" w:eastAsia="Verdana" w:hAnsi="Arial" w:cs="Arial"/>
          <w:b/>
          <w:sz w:val="24"/>
          <w:szCs w:val="24"/>
        </w:rPr>
      </w:pPr>
    </w:p>
    <w:p w14:paraId="45544270" w14:textId="77777777" w:rsidR="00C01FEA" w:rsidRPr="001B712C" w:rsidRDefault="00C01FEA" w:rsidP="0046202D">
      <w:pPr>
        <w:jc w:val="center"/>
        <w:rPr>
          <w:rFonts w:ascii="Arial" w:eastAsia="Verdana" w:hAnsi="Arial" w:cs="Arial"/>
          <w:b/>
          <w:sz w:val="24"/>
          <w:szCs w:val="24"/>
        </w:rPr>
      </w:pPr>
    </w:p>
    <w:p w14:paraId="4C858B5E" w14:textId="77777777" w:rsidR="00C01FEA" w:rsidRDefault="00C01FEA" w:rsidP="0046202D">
      <w:pPr>
        <w:jc w:val="center"/>
        <w:rPr>
          <w:rFonts w:ascii="Verdana" w:eastAsia="Verdana" w:hAnsi="Verdana" w:cs="Verdana"/>
          <w:b/>
          <w:sz w:val="24"/>
          <w:szCs w:val="24"/>
        </w:rPr>
      </w:pPr>
    </w:p>
    <w:p w14:paraId="3A407655" w14:textId="77777777" w:rsidR="00C01FEA" w:rsidRDefault="00C01FEA" w:rsidP="0046202D">
      <w:pPr>
        <w:jc w:val="center"/>
        <w:rPr>
          <w:rFonts w:ascii="Verdana" w:eastAsia="Verdana" w:hAnsi="Verdana" w:cs="Verdana"/>
          <w:b/>
          <w:sz w:val="24"/>
          <w:szCs w:val="24"/>
        </w:rPr>
      </w:pPr>
    </w:p>
    <w:p w14:paraId="560864E8" w14:textId="77777777" w:rsidR="00C01FEA" w:rsidRDefault="00C01FEA" w:rsidP="0046202D">
      <w:pPr>
        <w:jc w:val="center"/>
        <w:rPr>
          <w:rFonts w:ascii="Verdana" w:eastAsia="Verdana" w:hAnsi="Verdana" w:cs="Verdana"/>
          <w:b/>
          <w:sz w:val="24"/>
          <w:szCs w:val="24"/>
        </w:rPr>
      </w:pPr>
    </w:p>
    <w:p w14:paraId="1B1403CE" w14:textId="77777777" w:rsidR="00C01FEA" w:rsidRDefault="00C01FEA" w:rsidP="0046202D">
      <w:pPr>
        <w:jc w:val="center"/>
        <w:rPr>
          <w:rFonts w:ascii="Verdana" w:eastAsia="Verdana" w:hAnsi="Verdana" w:cs="Verdana"/>
          <w:b/>
          <w:sz w:val="24"/>
          <w:szCs w:val="24"/>
        </w:rPr>
      </w:pPr>
    </w:p>
    <w:p w14:paraId="69E2C269" w14:textId="77777777" w:rsidR="00C01FEA" w:rsidRDefault="00C01FEA" w:rsidP="0046202D">
      <w:pPr>
        <w:jc w:val="center"/>
        <w:rPr>
          <w:rFonts w:ascii="Verdana" w:eastAsia="Verdana" w:hAnsi="Verdana" w:cs="Verdana"/>
          <w:b/>
          <w:sz w:val="24"/>
          <w:szCs w:val="24"/>
        </w:rPr>
      </w:pPr>
    </w:p>
    <w:p w14:paraId="3B492869" w14:textId="77777777" w:rsidR="00C01FEA" w:rsidRDefault="00C01FEA" w:rsidP="0046202D">
      <w:pPr>
        <w:jc w:val="center"/>
        <w:rPr>
          <w:rFonts w:ascii="Verdana" w:eastAsia="Verdana" w:hAnsi="Verdana" w:cs="Verdana"/>
          <w:b/>
          <w:sz w:val="24"/>
          <w:szCs w:val="24"/>
        </w:rPr>
      </w:pPr>
    </w:p>
    <w:p w14:paraId="00A01E10" w14:textId="77777777" w:rsidR="00C01FEA" w:rsidRDefault="00C01FEA" w:rsidP="0046202D">
      <w:pPr>
        <w:jc w:val="center"/>
        <w:rPr>
          <w:rFonts w:ascii="Verdana" w:eastAsia="Verdana" w:hAnsi="Verdana" w:cs="Verdana"/>
          <w:b/>
          <w:sz w:val="24"/>
          <w:szCs w:val="24"/>
        </w:rPr>
      </w:pPr>
    </w:p>
    <w:p w14:paraId="19ADFE18" w14:textId="77777777" w:rsidR="00C01FEA" w:rsidRDefault="00C01FEA" w:rsidP="0046202D">
      <w:pPr>
        <w:jc w:val="center"/>
        <w:rPr>
          <w:rFonts w:ascii="Verdana" w:eastAsia="Verdana" w:hAnsi="Verdana" w:cs="Verdana"/>
          <w:b/>
          <w:sz w:val="24"/>
          <w:szCs w:val="24"/>
        </w:rPr>
      </w:pPr>
    </w:p>
    <w:p w14:paraId="42F98DA0" w14:textId="77777777" w:rsidR="00C01FEA" w:rsidRDefault="00C01FEA" w:rsidP="0046202D">
      <w:pPr>
        <w:jc w:val="center"/>
        <w:rPr>
          <w:rFonts w:ascii="Verdana" w:eastAsia="Verdana" w:hAnsi="Verdana" w:cs="Verdana"/>
          <w:b/>
          <w:sz w:val="24"/>
          <w:szCs w:val="24"/>
        </w:rPr>
      </w:pPr>
    </w:p>
    <w:p w14:paraId="7ABB0D39" w14:textId="77777777" w:rsidR="00C01FEA" w:rsidRDefault="00C01FEA" w:rsidP="0046202D">
      <w:pPr>
        <w:jc w:val="center"/>
        <w:rPr>
          <w:rFonts w:ascii="Verdana" w:eastAsia="Verdana" w:hAnsi="Verdana" w:cs="Verdana"/>
          <w:b/>
          <w:sz w:val="24"/>
          <w:szCs w:val="24"/>
        </w:rPr>
      </w:pPr>
    </w:p>
    <w:p w14:paraId="74F740FC" w14:textId="77777777" w:rsidR="00C01FEA" w:rsidRDefault="00C01FEA" w:rsidP="0046202D">
      <w:pPr>
        <w:jc w:val="center"/>
        <w:rPr>
          <w:rFonts w:ascii="Verdana" w:eastAsia="Verdana" w:hAnsi="Verdana" w:cs="Verdana"/>
          <w:b/>
          <w:sz w:val="24"/>
          <w:szCs w:val="24"/>
        </w:rPr>
      </w:pPr>
    </w:p>
    <w:p w14:paraId="4C84F85C" w14:textId="77777777" w:rsidR="00C01FEA" w:rsidRDefault="00C01FEA" w:rsidP="0046202D">
      <w:pPr>
        <w:jc w:val="center"/>
        <w:rPr>
          <w:rFonts w:ascii="Verdana" w:eastAsia="Verdana" w:hAnsi="Verdana" w:cs="Verdana"/>
          <w:b/>
          <w:sz w:val="24"/>
          <w:szCs w:val="24"/>
        </w:rPr>
      </w:pPr>
    </w:p>
    <w:p w14:paraId="2438C228" w14:textId="77777777" w:rsidR="00C01FEA" w:rsidRDefault="00C01FEA" w:rsidP="0046202D">
      <w:pPr>
        <w:jc w:val="center"/>
        <w:rPr>
          <w:rFonts w:ascii="Verdana" w:eastAsia="Verdana" w:hAnsi="Verdana" w:cs="Verdana"/>
          <w:b/>
          <w:sz w:val="24"/>
          <w:szCs w:val="24"/>
        </w:rPr>
      </w:pPr>
    </w:p>
    <w:p w14:paraId="307D3F1D" w14:textId="77777777" w:rsidR="00C01FEA" w:rsidRDefault="00C01FEA" w:rsidP="0046202D">
      <w:pPr>
        <w:jc w:val="center"/>
        <w:rPr>
          <w:rFonts w:ascii="Verdana" w:eastAsia="Verdana" w:hAnsi="Verdana" w:cs="Verdana"/>
          <w:b/>
          <w:sz w:val="24"/>
          <w:szCs w:val="24"/>
        </w:rPr>
      </w:pPr>
    </w:p>
    <w:p w14:paraId="4FEB196B" w14:textId="77777777" w:rsidR="00C01FEA" w:rsidRDefault="00C01FEA" w:rsidP="0046202D">
      <w:pPr>
        <w:jc w:val="center"/>
        <w:rPr>
          <w:rFonts w:ascii="Verdana" w:eastAsia="Verdana" w:hAnsi="Verdana" w:cs="Verdana"/>
          <w:b/>
          <w:sz w:val="24"/>
          <w:szCs w:val="24"/>
        </w:rPr>
      </w:pPr>
    </w:p>
    <w:p w14:paraId="093B0E91" w14:textId="77777777" w:rsidR="001B712C" w:rsidRDefault="001B712C" w:rsidP="0046202D">
      <w:pPr>
        <w:jc w:val="center"/>
        <w:rPr>
          <w:rFonts w:ascii="Verdana" w:eastAsia="Verdana" w:hAnsi="Verdana" w:cs="Verdana"/>
          <w:b/>
          <w:sz w:val="24"/>
          <w:szCs w:val="24"/>
        </w:rPr>
      </w:pPr>
    </w:p>
    <w:p w14:paraId="39AA8B58" w14:textId="77777777" w:rsidR="001B712C" w:rsidRDefault="001B712C" w:rsidP="0046202D">
      <w:pPr>
        <w:jc w:val="center"/>
        <w:rPr>
          <w:rFonts w:ascii="Verdana" w:eastAsia="Verdana" w:hAnsi="Verdana" w:cs="Verdana"/>
          <w:b/>
          <w:sz w:val="24"/>
          <w:szCs w:val="24"/>
        </w:rPr>
      </w:pPr>
    </w:p>
    <w:p w14:paraId="5EB0916C" w14:textId="77777777" w:rsidR="001B712C" w:rsidRDefault="001B712C" w:rsidP="0046202D">
      <w:pPr>
        <w:jc w:val="center"/>
        <w:rPr>
          <w:rFonts w:ascii="Verdana" w:eastAsia="Verdana" w:hAnsi="Verdana" w:cs="Verdana"/>
          <w:b/>
          <w:sz w:val="24"/>
          <w:szCs w:val="24"/>
        </w:rPr>
      </w:pPr>
    </w:p>
    <w:p w14:paraId="36C7D000" w14:textId="77777777" w:rsidR="001B712C" w:rsidRDefault="001B712C" w:rsidP="0046202D">
      <w:pPr>
        <w:jc w:val="center"/>
        <w:rPr>
          <w:rFonts w:ascii="Verdana" w:eastAsia="Verdana" w:hAnsi="Verdana" w:cs="Verdana"/>
          <w:b/>
          <w:sz w:val="24"/>
          <w:szCs w:val="24"/>
        </w:rPr>
      </w:pPr>
    </w:p>
    <w:p w14:paraId="2A835BD4" w14:textId="77777777" w:rsidR="001B712C" w:rsidRDefault="001B712C" w:rsidP="0046202D">
      <w:pPr>
        <w:jc w:val="center"/>
        <w:rPr>
          <w:rFonts w:ascii="Verdana" w:eastAsia="Verdana" w:hAnsi="Verdana" w:cs="Verdana"/>
          <w:b/>
          <w:sz w:val="24"/>
          <w:szCs w:val="24"/>
        </w:rPr>
      </w:pPr>
    </w:p>
    <w:p w14:paraId="0C66A6F7" w14:textId="77777777" w:rsidR="001B712C" w:rsidRDefault="001B712C" w:rsidP="0046202D">
      <w:pPr>
        <w:jc w:val="center"/>
        <w:rPr>
          <w:rFonts w:ascii="Verdana" w:eastAsia="Verdana" w:hAnsi="Verdana" w:cs="Verdana"/>
          <w:b/>
          <w:sz w:val="24"/>
          <w:szCs w:val="24"/>
        </w:rPr>
      </w:pPr>
    </w:p>
    <w:p w14:paraId="59200821" w14:textId="77777777" w:rsidR="001B712C" w:rsidRDefault="001B712C" w:rsidP="0046202D">
      <w:pPr>
        <w:jc w:val="center"/>
        <w:rPr>
          <w:rFonts w:ascii="Verdana" w:eastAsia="Verdana" w:hAnsi="Verdana" w:cs="Verdana"/>
          <w:b/>
          <w:sz w:val="24"/>
          <w:szCs w:val="24"/>
        </w:rPr>
      </w:pPr>
    </w:p>
    <w:p w14:paraId="3CE4AEE2" w14:textId="77777777" w:rsidR="001B712C" w:rsidRDefault="001B712C" w:rsidP="0046202D">
      <w:pPr>
        <w:jc w:val="center"/>
        <w:rPr>
          <w:rFonts w:ascii="Verdana" w:eastAsia="Verdana" w:hAnsi="Verdana" w:cs="Verdana"/>
          <w:b/>
          <w:sz w:val="24"/>
          <w:szCs w:val="24"/>
        </w:rPr>
      </w:pPr>
    </w:p>
    <w:p w14:paraId="2C15E639" w14:textId="77777777" w:rsidR="001B712C" w:rsidRDefault="001B712C" w:rsidP="0046202D">
      <w:pPr>
        <w:jc w:val="center"/>
        <w:rPr>
          <w:rFonts w:ascii="Verdana" w:eastAsia="Verdana" w:hAnsi="Verdana" w:cs="Verdana"/>
          <w:b/>
          <w:sz w:val="24"/>
          <w:szCs w:val="24"/>
        </w:rPr>
      </w:pPr>
    </w:p>
    <w:p w14:paraId="5F2DF58B" w14:textId="77777777" w:rsidR="001B712C" w:rsidRDefault="001B712C" w:rsidP="0046202D">
      <w:pPr>
        <w:jc w:val="center"/>
        <w:rPr>
          <w:rFonts w:ascii="Verdana" w:eastAsia="Verdana" w:hAnsi="Verdana" w:cs="Verdana"/>
          <w:b/>
          <w:sz w:val="24"/>
          <w:szCs w:val="24"/>
        </w:rPr>
      </w:pPr>
    </w:p>
    <w:p w14:paraId="0131B15D" w14:textId="77777777" w:rsidR="001B712C" w:rsidRDefault="001B712C" w:rsidP="0046202D">
      <w:pPr>
        <w:jc w:val="center"/>
        <w:rPr>
          <w:rFonts w:ascii="Verdana" w:eastAsia="Verdana" w:hAnsi="Verdana" w:cs="Verdana"/>
          <w:b/>
          <w:sz w:val="24"/>
          <w:szCs w:val="24"/>
        </w:rPr>
      </w:pPr>
    </w:p>
    <w:p w14:paraId="6A6DE46C" w14:textId="77777777" w:rsidR="00C01FEA" w:rsidRDefault="00C01FEA" w:rsidP="0046202D">
      <w:pPr>
        <w:jc w:val="center"/>
        <w:rPr>
          <w:rFonts w:ascii="Verdana" w:eastAsia="Verdana" w:hAnsi="Verdana" w:cs="Verdana"/>
          <w:b/>
          <w:sz w:val="24"/>
          <w:szCs w:val="24"/>
        </w:rPr>
      </w:pPr>
    </w:p>
    <w:p w14:paraId="14E0E073" w14:textId="77777777" w:rsidR="00C01FEA" w:rsidRDefault="00C01FEA" w:rsidP="0046202D">
      <w:pPr>
        <w:jc w:val="center"/>
        <w:rPr>
          <w:rFonts w:ascii="Verdana" w:eastAsia="Verdana" w:hAnsi="Verdana" w:cs="Verdana"/>
          <w:b/>
          <w:sz w:val="24"/>
          <w:szCs w:val="24"/>
        </w:rPr>
      </w:pPr>
    </w:p>
    <w:p w14:paraId="120F5939" w14:textId="77777777" w:rsidR="00C01FEA" w:rsidRPr="00FB2DAE" w:rsidRDefault="00C01FEA" w:rsidP="00C01FEA">
      <w:pPr>
        <w:autoSpaceDE w:val="0"/>
        <w:autoSpaceDN w:val="0"/>
        <w:adjustRightInd w:val="0"/>
        <w:rPr>
          <w:rFonts w:ascii="Verdana" w:hAnsi="Verdana"/>
          <w:sz w:val="24"/>
          <w:szCs w:val="24"/>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7910"/>
      </w:tblGrid>
      <w:tr w:rsidR="00C01FEA" w:rsidRPr="00FB2DAE" w14:paraId="3B9D3AFD" w14:textId="77777777" w:rsidTr="00F62AC4">
        <w:tc>
          <w:tcPr>
            <w:tcW w:w="2439" w:type="dxa"/>
            <w:tcBorders>
              <w:top w:val="single" w:sz="4" w:space="0" w:color="auto"/>
              <w:left w:val="single" w:sz="4" w:space="0" w:color="auto"/>
              <w:bottom w:val="single" w:sz="4" w:space="0" w:color="auto"/>
              <w:right w:val="single" w:sz="4" w:space="0" w:color="auto"/>
            </w:tcBorders>
            <w:vAlign w:val="center"/>
            <w:hideMark/>
          </w:tcPr>
          <w:p w14:paraId="71DE9115" w14:textId="77777777" w:rsidR="00C01FEA" w:rsidRPr="00C01FEA" w:rsidRDefault="00C01FEA" w:rsidP="00F62AC4">
            <w:pPr>
              <w:autoSpaceDE w:val="0"/>
              <w:autoSpaceDN w:val="0"/>
              <w:adjustRightInd w:val="0"/>
              <w:jc w:val="center"/>
              <w:rPr>
                <w:rFonts w:ascii="Arial Narrow" w:hAnsi="Arial Narrow" w:cs="Arial"/>
                <w:b/>
                <w:bCs/>
                <w:color w:val="000000"/>
                <w:sz w:val="24"/>
                <w:szCs w:val="24"/>
                <w:lang w:eastAsia="es-CO"/>
              </w:rPr>
            </w:pPr>
            <w:r w:rsidRPr="00C01FEA">
              <w:rPr>
                <w:rFonts w:ascii="Arial Narrow" w:hAnsi="Arial Narrow" w:cs="Arial"/>
                <w:b/>
                <w:bCs/>
                <w:color w:val="000000"/>
                <w:sz w:val="24"/>
                <w:szCs w:val="24"/>
                <w:lang w:eastAsia="es-CO"/>
              </w:rPr>
              <w:t>CASO</w:t>
            </w:r>
          </w:p>
        </w:tc>
        <w:tc>
          <w:tcPr>
            <w:tcW w:w="7910" w:type="dxa"/>
            <w:tcBorders>
              <w:top w:val="single" w:sz="4" w:space="0" w:color="auto"/>
              <w:left w:val="single" w:sz="4" w:space="0" w:color="auto"/>
              <w:bottom w:val="single" w:sz="4" w:space="0" w:color="auto"/>
              <w:right w:val="single" w:sz="4" w:space="0" w:color="auto"/>
            </w:tcBorders>
            <w:vAlign w:val="center"/>
            <w:hideMark/>
          </w:tcPr>
          <w:p w14:paraId="0270C75F" w14:textId="77777777" w:rsidR="00C01FEA" w:rsidRPr="00C01FEA" w:rsidRDefault="00C01FEA" w:rsidP="00F62AC4">
            <w:pPr>
              <w:autoSpaceDE w:val="0"/>
              <w:autoSpaceDN w:val="0"/>
              <w:adjustRightInd w:val="0"/>
              <w:rPr>
                <w:rFonts w:ascii="Arial Narrow" w:hAnsi="Arial Narrow" w:cs="Arial"/>
                <w:color w:val="000000"/>
                <w:sz w:val="24"/>
                <w:szCs w:val="24"/>
                <w:lang w:eastAsia="es-CO"/>
              </w:rPr>
            </w:pPr>
            <w:r w:rsidRPr="00C01FEA">
              <w:rPr>
                <w:rFonts w:ascii="Arial Narrow" w:hAnsi="Arial Narrow" w:cs="Arial"/>
                <w:b/>
                <w:color w:val="000000"/>
                <w:sz w:val="24"/>
                <w:szCs w:val="24"/>
                <w:lang w:eastAsia="es-CO"/>
              </w:rPr>
              <w:t>Falta de relevancia constitucional</w:t>
            </w:r>
            <w:r w:rsidRPr="00C01FEA">
              <w:rPr>
                <w:rFonts w:ascii="Arial Narrow" w:hAnsi="Arial Narrow" w:cs="Arial"/>
                <w:color w:val="000000"/>
                <w:sz w:val="24"/>
                <w:szCs w:val="24"/>
                <w:lang w:eastAsia="es-CO"/>
              </w:rPr>
              <w:t xml:space="preserve">, </w:t>
            </w:r>
            <w:r w:rsidRPr="00C01FEA">
              <w:rPr>
                <w:rFonts w:ascii="Arial Narrow" w:eastAsia="Verdana" w:hAnsi="Arial Narrow" w:cs="Verdana"/>
                <w:sz w:val="24"/>
                <w:szCs w:val="24"/>
              </w:rPr>
              <w:t>por cuanto utiliza la acción de tutela a modo de instancia adicional.</w:t>
            </w:r>
          </w:p>
        </w:tc>
      </w:tr>
      <w:tr w:rsidR="00C01FEA" w:rsidRPr="00FB2DAE" w14:paraId="544E82D6" w14:textId="77777777" w:rsidTr="00F62AC4">
        <w:tc>
          <w:tcPr>
            <w:tcW w:w="2439" w:type="dxa"/>
            <w:tcBorders>
              <w:top w:val="single" w:sz="4" w:space="0" w:color="auto"/>
              <w:left w:val="single" w:sz="4" w:space="0" w:color="auto"/>
              <w:bottom w:val="single" w:sz="4" w:space="0" w:color="auto"/>
              <w:right w:val="single" w:sz="4" w:space="0" w:color="auto"/>
            </w:tcBorders>
            <w:vAlign w:val="center"/>
            <w:hideMark/>
          </w:tcPr>
          <w:p w14:paraId="19ECCD96" w14:textId="77777777" w:rsidR="00C01FEA" w:rsidRPr="00C01FEA" w:rsidRDefault="00C01FEA" w:rsidP="00F62AC4">
            <w:pPr>
              <w:autoSpaceDE w:val="0"/>
              <w:autoSpaceDN w:val="0"/>
              <w:adjustRightInd w:val="0"/>
              <w:jc w:val="center"/>
              <w:rPr>
                <w:rFonts w:ascii="Arial Narrow" w:hAnsi="Arial Narrow" w:cs="Arial"/>
                <w:b/>
                <w:bCs/>
                <w:color w:val="000000"/>
                <w:sz w:val="24"/>
                <w:szCs w:val="24"/>
                <w:lang w:eastAsia="es-CO"/>
              </w:rPr>
            </w:pPr>
            <w:r w:rsidRPr="00C01FEA">
              <w:rPr>
                <w:rFonts w:ascii="Arial Narrow" w:hAnsi="Arial Narrow" w:cs="Arial"/>
                <w:b/>
                <w:bCs/>
                <w:color w:val="000000"/>
                <w:sz w:val="24"/>
                <w:szCs w:val="24"/>
                <w:lang w:eastAsia="es-CO"/>
              </w:rPr>
              <w:t>Expediente</w:t>
            </w:r>
          </w:p>
        </w:tc>
        <w:tc>
          <w:tcPr>
            <w:tcW w:w="7910" w:type="dxa"/>
            <w:tcBorders>
              <w:top w:val="single" w:sz="4" w:space="0" w:color="auto"/>
              <w:left w:val="single" w:sz="4" w:space="0" w:color="auto"/>
              <w:bottom w:val="single" w:sz="4" w:space="0" w:color="auto"/>
              <w:right w:val="single" w:sz="4" w:space="0" w:color="auto"/>
            </w:tcBorders>
            <w:vAlign w:val="center"/>
          </w:tcPr>
          <w:p w14:paraId="2C97BD86" w14:textId="77777777" w:rsidR="00C01FEA" w:rsidRPr="00C01FEA" w:rsidRDefault="00C01FEA" w:rsidP="00F62AC4">
            <w:pPr>
              <w:autoSpaceDE w:val="0"/>
              <w:autoSpaceDN w:val="0"/>
              <w:adjustRightInd w:val="0"/>
              <w:rPr>
                <w:rFonts w:ascii="Arial Narrow" w:hAnsi="Arial Narrow" w:cs="Arial"/>
                <w:color w:val="000000"/>
                <w:sz w:val="24"/>
                <w:szCs w:val="24"/>
                <w:lang w:eastAsia="es-CO"/>
              </w:rPr>
            </w:pPr>
            <w:r w:rsidRPr="00C01FEA">
              <w:rPr>
                <w:rFonts w:ascii="Arial Narrow" w:eastAsia="Verdana" w:hAnsi="Arial Narrow" w:cs="Verdana"/>
                <w:sz w:val="24"/>
                <w:szCs w:val="24"/>
              </w:rPr>
              <w:t>11001-03-15-000-2018-04208-00</w:t>
            </w:r>
          </w:p>
        </w:tc>
      </w:tr>
      <w:tr w:rsidR="00C01FEA" w:rsidRPr="00FB2DAE" w14:paraId="726EA13B" w14:textId="77777777" w:rsidTr="00F62AC4">
        <w:tc>
          <w:tcPr>
            <w:tcW w:w="2439" w:type="dxa"/>
            <w:tcBorders>
              <w:top w:val="single" w:sz="4" w:space="0" w:color="auto"/>
              <w:left w:val="single" w:sz="4" w:space="0" w:color="auto"/>
              <w:bottom w:val="single" w:sz="4" w:space="0" w:color="auto"/>
              <w:right w:val="single" w:sz="4" w:space="0" w:color="auto"/>
            </w:tcBorders>
            <w:vAlign w:val="center"/>
            <w:hideMark/>
          </w:tcPr>
          <w:p w14:paraId="62FE3EAE" w14:textId="77777777" w:rsidR="00C01FEA" w:rsidRPr="00C01FEA" w:rsidRDefault="00C01FEA" w:rsidP="00F62AC4">
            <w:pPr>
              <w:autoSpaceDE w:val="0"/>
              <w:autoSpaceDN w:val="0"/>
              <w:adjustRightInd w:val="0"/>
              <w:jc w:val="center"/>
              <w:rPr>
                <w:rFonts w:ascii="Arial Narrow" w:hAnsi="Arial Narrow" w:cs="Arial"/>
                <w:b/>
                <w:bCs/>
                <w:color w:val="000000"/>
                <w:sz w:val="24"/>
                <w:szCs w:val="24"/>
                <w:lang w:eastAsia="es-CO"/>
              </w:rPr>
            </w:pPr>
            <w:r w:rsidRPr="00C01FEA">
              <w:rPr>
                <w:rFonts w:ascii="Arial Narrow" w:hAnsi="Arial Narrow" w:cs="Arial"/>
                <w:b/>
                <w:bCs/>
                <w:color w:val="000000"/>
                <w:sz w:val="24"/>
                <w:szCs w:val="24"/>
                <w:lang w:eastAsia="es-CO"/>
              </w:rPr>
              <w:t>Actor</w:t>
            </w:r>
          </w:p>
        </w:tc>
        <w:tc>
          <w:tcPr>
            <w:tcW w:w="7910" w:type="dxa"/>
            <w:tcBorders>
              <w:top w:val="single" w:sz="4" w:space="0" w:color="auto"/>
              <w:left w:val="single" w:sz="4" w:space="0" w:color="auto"/>
              <w:bottom w:val="single" w:sz="4" w:space="0" w:color="auto"/>
              <w:right w:val="single" w:sz="4" w:space="0" w:color="auto"/>
            </w:tcBorders>
            <w:vAlign w:val="center"/>
          </w:tcPr>
          <w:p w14:paraId="4EB78B7A" w14:textId="77777777" w:rsidR="00C01FEA" w:rsidRPr="00C01FEA" w:rsidRDefault="00C01FEA" w:rsidP="00F62AC4">
            <w:pPr>
              <w:tabs>
                <w:tab w:val="left" w:pos="1985"/>
              </w:tabs>
              <w:ind w:left="1980" w:hanging="1980"/>
              <w:rPr>
                <w:rFonts w:ascii="Arial Narrow" w:hAnsi="Arial Narrow" w:cs="Arial"/>
                <w:color w:val="000000"/>
                <w:sz w:val="24"/>
                <w:szCs w:val="24"/>
                <w:lang w:eastAsia="es-CO"/>
              </w:rPr>
            </w:pPr>
            <w:r w:rsidRPr="00C01FEA">
              <w:rPr>
                <w:rFonts w:ascii="Arial Narrow" w:eastAsia="Verdana" w:hAnsi="Arial Narrow" w:cs="Verdana"/>
                <w:sz w:val="24"/>
                <w:szCs w:val="24"/>
              </w:rPr>
              <w:t xml:space="preserve">Unión Temporal Rayuela </w:t>
            </w:r>
          </w:p>
        </w:tc>
      </w:tr>
      <w:tr w:rsidR="00C01FEA" w:rsidRPr="00FB2DAE" w14:paraId="44589979" w14:textId="77777777" w:rsidTr="00F62AC4">
        <w:tc>
          <w:tcPr>
            <w:tcW w:w="2439" w:type="dxa"/>
            <w:tcBorders>
              <w:top w:val="single" w:sz="4" w:space="0" w:color="auto"/>
              <w:left w:val="single" w:sz="4" w:space="0" w:color="auto"/>
              <w:bottom w:val="single" w:sz="4" w:space="0" w:color="auto"/>
              <w:right w:val="single" w:sz="4" w:space="0" w:color="auto"/>
            </w:tcBorders>
            <w:vAlign w:val="center"/>
            <w:hideMark/>
          </w:tcPr>
          <w:p w14:paraId="192C5371" w14:textId="77777777" w:rsidR="00C01FEA" w:rsidRPr="00C01FEA" w:rsidRDefault="00C01FEA" w:rsidP="00F62AC4">
            <w:pPr>
              <w:autoSpaceDE w:val="0"/>
              <w:autoSpaceDN w:val="0"/>
              <w:adjustRightInd w:val="0"/>
              <w:jc w:val="center"/>
              <w:rPr>
                <w:rFonts w:ascii="Arial Narrow" w:hAnsi="Arial Narrow" w:cs="Arial"/>
                <w:b/>
                <w:bCs/>
                <w:color w:val="000000"/>
                <w:sz w:val="24"/>
                <w:szCs w:val="24"/>
                <w:lang w:eastAsia="es-CO"/>
              </w:rPr>
            </w:pPr>
            <w:r w:rsidRPr="00C01FEA">
              <w:rPr>
                <w:rFonts w:ascii="Arial Narrow" w:hAnsi="Arial Narrow" w:cs="Arial"/>
                <w:b/>
                <w:bCs/>
                <w:color w:val="000000"/>
                <w:sz w:val="24"/>
                <w:szCs w:val="24"/>
                <w:lang w:eastAsia="es-CO"/>
              </w:rPr>
              <w:t>Demandado</w:t>
            </w:r>
          </w:p>
        </w:tc>
        <w:tc>
          <w:tcPr>
            <w:tcW w:w="7910" w:type="dxa"/>
            <w:tcBorders>
              <w:top w:val="single" w:sz="4" w:space="0" w:color="auto"/>
              <w:left w:val="single" w:sz="4" w:space="0" w:color="auto"/>
              <w:bottom w:val="single" w:sz="4" w:space="0" w:color="auto"/>
              <w:right w:val="single" w:sz="4" w:space="0" w:color="auto"/>
            </w:tcBorders>
            <w:vAlign w:val="center"/>
          </w:tcPr>
          <w:p w14:paraId="5489C508" w14:textId="77777777" w:rsidR="00C01FEA" w:rsidRPr="00C01FEA" w:rsidRDefault="00C01FEA" w:rsidP="00F62AC4">
            <w:pPr>
              <w:autoSpaceDE w:val="0"/>
              <w:autoSpaceDN w:val="0"/>
              <w:adjustRightInd w:val="0"/>
              <w:rPr>
                <w:rFonts w:ascii="Arial Narrow" w:hAnsi="Arial Narrow" w:cs="Arial"/>
                <w:color w:val="000000"/>
                <w:sz w:val="24"/>
                <w:szCs w:val="24"/>
                <w:lang w:eastAsia="es-CO"/>
              </w:rPr>
            </w:pPr>
            <w:r w:rsidRPr="00C01FEA">
              <w:rPr>
                <w:rFonts w:ascii="Arial Narrow" w:hAnsi="Arial Narrow" w:cs="Arial"/>
                <w:color w:val="000000"/>
                <w:sz w:val="24"/>
                <w:szCs w:val="24"/>
                <w:lang w:eastAsia="es-CO"/>
              </w:rPr>
              <w:t xml:space="preserve">Consejo de Estado, Sección Tercera, Subsección C  </w:t>
            </w:r>
          </w:p>
        </w:tc>
      </w:tr>
      <w:tr w:rsidR="00C01FEA" w:rsidRPr="00FB2DAE" w14:paraId="2394ACC6" w14:textId="77777777" w:rsidTr="00F62AC4">
        <w:tc>
          <w:tcPr>
            <w:tcW w:w="2439" w:type="dxa"/>
            <w:tcBorders>
              <w:top w:val="single" w:sz="4" w:space="0" w:color="auto"/>
              <w:left w:val="single" w:sz="4" w:space="0" w:color="auto"/>
              <w:bottom w:val="single" w:sz="4" w:space="0" w:color="auto"/>
              <w:right w:val="single" w:sz="4" w:space="0" w:color="auto"/>
            </w:tcBorders>
            <w:vAlign w:val="center"/>
          </w:tcPr>
          <w:p w14:paraId="1604A16F" w14:textId="77777777" w:rsidR="00C01FEA" w:rsidRPr="00C01FEA" w:rsidRDefault="00C01FEA" w:rsidP="00F62AC4">
            <w:pPr>
              <w:autoSpaceDE w:val="0"/>
              <w:autoSpaceDN w:val="0"/>
              <w:adjustRightInd w:val="0"/>
              <w:jc w:val="center"/>
              <w:rPr>
                <w:rFonts w:ascii="Arial Narrow" w:hAnsi="Arial Narrow" w:cs="Arial"/>
                <w:b/>
                <w:bCs/>
                <w:color w:val="000000"/>
                <w:sz w:val="24"/>
                <w:szCs w:val="24"/>
                <w:lang w:eastAsia="es-CO"/>
              </w:rPr>
            </w:pPr>
            <w:r w:rsidRPr="00C01FEA">
              <w:rPr>
                <w:rFonts w:ascii="Arial Narrow" w:hAnsi="Arial Narrow" w:cs="Arial"/>
                <w:b/>
                <w:bCs/>
                <w:color w:val="000000"/>
                <w:sz w:val="24"/>
                <w:szCs w:val="24"/>
                <w:lang w:eastAsia="es-CO"/>
              </w:rPr>
              <w:t>Apoderado</w:t>
            </w:r>
          </w:p>
        </w:tc>
        <w:tc>
          <w:tcPr>
            <w:tcW w:w="7910" w:type="dxa"/>
            <w:tcBorders>
              <w:top w:val="single" w:sz="4" w:space="0" w:color="auto"/>
              <w:left w:val="single" w:sz="4" w:space="0" w:color="auto"/>
              <w:bottom w:val="single" w:sz="4" w:space="0" w:color="auto"/>
              <w:right w:val="single" w:sz="4" w:space="0" w:color="auto"/>
            </w:tcBorders>
            <w:vAlign w:val="center"/>
          </w:tcPr>
          <w:p w14:paraId="4AB1D712" w14:textId="77777777" w:rsidR="00C01FEA" w:rsidRPr="00C01FEA" w:rsidRDefault="00C01FEA" w:rsidP="00F62AC4">
            <w:pPr>
              <w:autoSpaceDE w:val="0"/>
              <w:autoSpaceDN w:val="0"/>
              <w:adjustRightInd w:val="0"/>
              <w:rPr>
                <w:rFonts w:ascii="Arial Narrow" w:hAnsi="Arial Narrow" w:cs="Arial"/>
                <w:color w:val="000000"/>
                <w:sz w:val="24"/>
                <w:szCs w:val="24"/>
                <w:lang w:eastAsia="es-CO"/>
              </w:rPr>
            </w:pPr>
            <w:r w:rsidRPr="00C01FEA">
              <w:rPr>
                <w:rFonts w:ascii="Arial Narrow" w:hAnsi="Arial Narrow" w:cs="Arial"/>
                <w:color w:val="000000"/>
                <w:sz w:val="24"/>
                <w:szCs w:val="24"/>
                <w:lang w:eastAsia="es-CO"/>
              </w:rPr>
              <w:t xml:space="preserve">Actúa mediante representante legal, señor Luis Uriel Morales </w:t>
            </w:r>
            <w:proofErr w:type="spellStart"/>
            <w:r w:rsidRPr="00C01FEA">
              <w:rPr>
                <w:rFonts w:ascii="Arial Narrow" w:hAnsi="Arial Narrow" w:cs="Arial"/>
                <w:color w:val="000000"/>
                <w:sz w:val="24"/>
                <w:szCs w:val="24"/>
                <w:lang w:eastAsia="es-CO"/>
              </w:rPr>
              <w:t>Camenzaquira</w:t>
            </w:r>
            <w:proofErr w:type="spellEnd"/>
            <w:r w:rsidRPr="00C01FEA">
              <w:rPr>
                <w:rFonts w:ascii="Arial Narrow" w:hAnsi="Arial Narrow" w:cs="Arial"/>
                <w:color w:val="000000"/>
                <w:sz w:val="24"/>
                <w:szCs w:val="24"/>
                <w:lang w:eastAsia="es-CO"/>
              </w:rPr>
              <w:t xml:space="preserve"> </w:t>
            </w:r>
          </w:p>
        </w:tc>
      </w:tr>
      <w:tr w:rsidR="00C01FEA" w:rsidRPr="00FB2DAE" w14:paraId="1941D719" w14:textId="77777777" w:rsidTr="00F62AC4">
        <w:tc>
          <w:tcPr>
            <w:tcW w:w="2439" w:type="dxa"/>
            <w:tcBorders>
              <w:top w:val="single" w:sz="4" w:space="0" w:color="auto"/>
              <w:left w:val="single" w:sz="4" w:space="0" w:color="auto"/>
              <w:bottom w:val="single" w:sz="4" w:space="0" w:color="auto"/>
              <w:right w:val="single" w:sz="4" w:space="0" w:color="auto"/>
            </w:tcBorders>
            <w:vAlign w:val="center"/>
          </w:tcPr>
          <w:p w14:paraId="19B4FC9A" w14:textId="77777777" w:rsidR="00C01FEA" w:rsidRPr="00C01FEA" w:rsidRDefault="00C01FEA" w:rsidP="00F62AC4">
            <w:pPr>
              <w:autoSpaceDE w:val="0"/>
              <w:autoSpaceDN w:val="0"/>
              <w:adjustRightInd w:val="0"/>
              <w:jc w:val="center"/>
              <w:rPr>
                <w:rFonts w:ascii="Arial Narrow" w:hAnsi="Arial Narrow" w:cs="Arial"/>
                <w:b/>
                <w:bCs/>
                <w:color w:val="000000"/>
                <w:sz w:val="24"/>
                <w:szCs w:val="24"/>
                <w:lang w:eastAsia="es-CO"/>
              </w:rPr>
            </w:pPr>
            <w:r w:rsidRPr="00C01FEA">
              <w:rPr>
                <w:rFonts w:ascii="Arial Narrow" w:hAnsi="Arial Narrow" w:cs="Arial"/>
                <w:b/>
                <w:bCs/>
                <w:color w:val="000000"/>
                <w:sz w:val="24"/>
                <w:szCs w:val="24"/>
                <w:lang w:eastAsia="es-CO"/>
              </w:rPr>
              <w:t>Tema</w:t>
            </w:r>
          </w:p>
        </w:tc>
        <w:tc>
          <w:tcPr>
            <w:tcW w:w="7910" w:type="dxa"/>
            <w:tcBorders>
              <w:top w:val="single" w:sz="4" w:space="0" w:color="auto"/>
              <w:left w:val="single" w:sz="4" w:space="0" w:color="auto"/>
              <w:bottom w:val="single" w:sz="4" w:space="0" w:color="auto"/>
              <w:right w:val="single" w:sz="4" w:space="0" w:color="auto"/>
            </w:tcBorders>
            <w:vAlign w:val="center"/>
          </w:tcPr>
          <w:p w14:paraId="4F4B5D29" w14:textId="77777777" w:rsidR="00C01FEA" w:rsidRPr="00C01FEA" w:rsidRDefault="00C01FEA" w:rsidP="00F62AC4">
            <w:pPr>
              <w:autoSpaceDE w:val="0"/>
              <w:autoSpaceDN w:val="0"/>
              <w:adjustRightInd w:val="0"/>
              <w:rPr>
                <w:rFonts w:ascii="Arial Narrow" w:hAnsi="Arial Narrow" w:cs="Arial"/>
                <w:color w:val="000000"/>
                <w:sz w:val="24"/>
                <w:szCs w:val="24"/>
                <w:lang w:eastAsia="es-CO"/>
              </w:rPr>
            </w:pPr>
            <w:r w:rsidRPr="00C01FEA">
              <w:rPr>
                <w:rFonts w:ascii="Arial Narrow" w:hAnsi="Arial Narrow" w:cs="Arial"/>
                <w:color w:val="000000"/>
                <w:sz w:val="24"/>
                <w:szCs w:val="24"/>
                <w:lang w:eastAsia="es-CO"/>
              </w:rPr>
              <w:t xml:space="preserve">Tutela contra providencia judicial dictada en proceso de controversias contractuales que rechazó la demanda por caducidad. </w:t>
            </w:r>
          </w:p>
        </w:tc>
      </w:tr>
      <w:tr w:rsidR="00C01FEA" w:rsidRPr="00FB2DAE" w14:paraId="4C913BD7" w14:textId="77777777" w:rsidTr="00F62AC4">
        <w:tc>
          <w:tcPr>
            <w:tcW w:w="2439" w:type="dxa"/>
            <w:tcBorders>
              <w:top w:val="single" w:sz="4" w:space="0" w:color="auto"/>
              <w:left w:val="single" w:sz="4" w:space="0" w:color="auto"/>
              <w:bottom w:val="single" w:sz="4" w:space="0" w:color="auto"/>
              <w:right w:val="single" w:sz="4" w:space="0" w:color="auto"/>
            </w:tcBorders>
            <w:vAlign w:val="center"/>
          </w:tcPr>
          <w:p w14:paraId="0DE58E76" w14:textId="77777777" w:rsidR="00C01FEA" w:rsidRPr="00C01FEA" w:rsidRDefault="00C01FEA" w:rsidP="00F62AC4">
            <w:pPr>
              <w:autoSpaceDE w:val="0"/>
              <w:autoSpaceDN w:val="0"/>
              <w:adjustRightInd w:val="0"/>
              <w:jc w:val="center"/>
              <w:rPr>
                <w:rFonts w:ascii="Arial Narrow" w:hAnsi="Arial Narrow" w:cs="Arial"/>
                <w:b/>
                <w:bCs/>
                <w:color w:val="000000"/>
                <w:sz w:val="24"/>
                <w:szCs w:val="24"/>
                <w:lang w:eastAsia="es-CO"/>
              </w:rPr>
            </w:pPr>
            <w:r w:rsidRPr="00C01FEA">
              <w:rPr>
                <w:rFonts w:ascii="Arial Narrow" w:hAnsi="Arial Narrow" w:cs="Arial"/>
                <w:b/>
                <w:bCs/>
                <w:color w:val="000000"/>
                <w:sz w:val="24"/>
                <w:szCs w:val="24"/>
                <w:lang w:eastAsia="es-CO"/>
              </w:rPr>
              <w:t xml:space="preserve">Fecha de presentación de la demanda </w:t>
            </w:r>
          </w:p>
        </w:tc>
        <w:tc>
          <w:tcPr>
            <w:tcW w:w="7910" w:type="dxa"/>
            <w:tcBorders>
              <w:top w:val="single" w:sz="4" w:space="0" w:color="auto"/>
              <w:left w:val="single" w:sz="4" w:space="0" w:color="auto"/>
              <w:bottom w:val="single" w:sz="4" w:space="0" w:color="auto"/>
              <w:right w:val="single" w:sz="4" w:space="0" w:color="auto"/>
            </w:tcBorders>
            <w:vAlign w:val="center"/>
          </w:tcPr>
          <w:p w14:paraId="3A96F712" w14:textId="77777777" w:rsidR="00C01FEA" w:rsidRPr="00C01FEA" w:rsidRDefault="00C01FEA" w:rsidP="00F62AC4">
            <w:pPr>
              <w:autoSpaceDE w:val="0"/>
              <w:autoSpaceDN w:val="0"/>
              <w:adjustRightInd w:val="0"/>
              <w:rPr>
                <w:rFonts w:ascii="Arial Narrow" w:hAnsi="Arial Narrow" w:cs="Arial"/>
                <w:color w:val="000000"/>
                <w:sz w:val="24"/>
                <w:szCs w:val="24"/>
                <w:lang w:eastAsia="es-CO"/>
              </w:rPr>
            </w:pPr>
            <w:r w:rsidRPr="00C01FEA">
              <w:rPr>
                <w:rFonts w:ascii="Arial Narrow" w:hAnsi="Arial Narrow" w:cs="Arial"/>
                <w:color w:val="000000"/>
                <w:sz w:val="24"/>
                <w:szCs w:val="24"/>
                <w:lang w:eastAsia="es-CO"/>
              </w:rPr>
              <w:t>09/11/2018</w:t>
            </w:r>
          </w:p>
        </w:tc>
      </w:tr>
      <w:tr w:rsidR="00C01FEA" w:rsidRPr="00FB2DAE" w14:paraId="39D22958" w14:textId="77777777" w:rsidTr="00F62AC4">
        <w:tc>
          <w:tcPr>
            <w:tcW w:w="2439" w:type="dxa"/>
            <w:tcBorders>
              <w:top w:val="single" w:sz="4" w:space="0" w:color="auto"/>
              <w:left w:val="single" w:sz="4" w:space="0" w:color="auto"/>
              <w:bottom w:val="single" w:sz="4" w:space="0" w:color="auto"/>
              <w:right w:val="single" w:sz="4" w:space="0" w:color="auto"/>
            </w:tcBorders>
            <w:vAlign w:val="center"/>
          </w:tcPr>
          <w:p w14:paraId="7AB179D3" w14:textId="77777777" w:rsidR="00C01FEA" w:rsidRPr="00C01FEA" w:rsidRDefault="00C01FEA" w:rsidP="00F62AC4">
            <w:pPr>
              <w:autoSpaceDE w:val="0"/>
              <w:autoSpaceDN w:val="0"/>
              <w:adjustRightInd w:val="0"/>
              <w:jc w:val="center"/>
              <w:rPr>
                <w:rFonts w:ascii="Arial Narrow" w:hAnsi="Arial Narrow" w:cs="Arial"/>
                <w:b/>
                <w:bCs/>
                <w:color w:val="000000"/>
                <w:sz w:val="24"/>
                <w:szCs w:val="24"/>
                <w:lang w:eastAsia="es-CO"/>
              </w:rPr>
            </w:pPr>
            <w:r w:rsidRPr="00C01FEA">
              <w:rPr>
                <w:rFonts w:ascii="Arial Narrow" w:hAnsi="Arial Narrow" w:cs="Arial"/>
                <w:b/>
                <w:bCs/>
                <w:color w:val="000000"/>
                <w:sz w:val="24"/>
                <w:szCs w:val="24"/>
                <w:lang w:eastAsia="es-CO"/>
              </w:rPr>
              <w:t>Fecha de ingreso a Despacho</w:t>
            </w:r>
          </w:p>
        </w:tc>
        <w:tc>
          <w:tcPr>
            <w:tcW w:w="7910" w:type="dxa"/>
            <w:tcBorders>
              <w:top w:val="single" w:sz="4" w:space="0" w:color="auto"/>
              <w:left w:val="single" w:sz="4" w:space="0" w:color="auto"/>
              <w:bottom w:val="single" w:sz="4" w:space="0" w:color="auto"/>
              <w:right w:val="single" w:sz="4" w:space="0" w:color="auto"/>
            </w:tcBorders>
            <w:vAlign w:val="center"/>
          </w:tcPr>
          <w:p w14:paraId="059B81E0" w14:textId="77777777" w:rsidR="00C01FEA" w:rsidRPr="00C01FEA" w:rsidRDefault="00C01FEA" w:rsidP="00F62AC4">
            <w:pPr>
              <w:autoSpaceDE w:val="0"/>
              <w:autoSpaceDN w:val="0"/>
              <w:adjustRightInd w:val="0"/>
              <w:rPr>
                <w:rFonts w:ascii="Arial Narrow" w:hAnsi="Arial Narrow" w:cs="Arial"/>
                <w:bCs/>
                <w:color w:val="000000"/>
                <w:sz w:val="24"/>
                <w:szCs w:val="24"/>
                <w:lang w:val="es-ES_tradnl" w:eastAsia="es-CO"/>
              </w:rPr>
            </w:pPr>
            <w:r w:rsidRPr="00C01FEA">
              <w:rPr>
                <w:rFonts w:ascii="Arial Narrow" w:hAnsi="Arial Narrow" w:cs="Arial"/>
                <w:bCs/>
                <w:color w:val="000000"/>
                <w:sz w:val="24"/>
                <w:szCs w:val="24"/>
                <w:lang w:val="es-ES_tradnl" w:eastAsia="es-CO"/>
              </w:rPr>
              <w:t>3/12/2018</w:t>
            </w:r>
          </w:p>
        </w:tc>
      </w:tr>
      <w:tr w:rsidR="00C01FEA" w:rsidRPr="00FB2DAE" w14:paraId="6F3685FA" w14:textId="77777777" w:rsidTr="00F62AC4">
        <w:tc>
          <w:tcPr>
            <w:tcW w:w="2439" w:type="dxa"/>
            <w:tcBorders>
              <w:top w:val="single" w:sz="4" w:space="0" w:color="auto"/>
              <w:left w:val="single" w:sz="4" w:space="0" w:color="auto"/>
              <w:bottom w:val="single" w:sz="4" w:space="0" w:color="auto"/>
              <w:right w:val="single" w:sz="4" w:space="0" w:color="auto"/>
            </w:tcBorders>
            <w:vAlign w:val="center"/>
          </w:tcPr>
          <w:p w14:paraId="4E88ECEF" w14:textId="77777777" w:rsidR="00C01FEA" w:rsidRPr="00C01FEA" w:rsidRDefault="00C01FEA" w:rsidP="00F62AC4">
            <w:pPr>
              <w:autoSpaceDE w:val="0"/>
              <w:autoSpaceDN w:val="0"/>
              <w:adjustRightInd w:val="0"/>
              <w:jc w:val="center"/>
              <w:rPr>
                <w:rFonts w:ascii="Arial Narrow" w:hAnsi="Arial Narrow" w:cs="Arial"/>
                <w:b/>
                <w:bCs/>
                <w:color w:val="000000"/>
                <w:sz w:val="24"/>
                <w:szCs w:val="24"/>
                <w:lang w:eastAsia="es-CO"/>
              </w:rPr>
            </w:pPr>
            <w:r w:rsidRPr="00C01FEA">
              <w:rPr>
                <w:rFonts w:ascii="Arial Narrow" w:hAnsi="Arial Narrow" w:cs="Arial"/>
                <w:b/>
                <w:bCs/>
                <w:color w:val="000000"/>
                <w:sz w:val="24"/>
                <w:szCs w:val="24"/>
                <w:lang w:eastAsia="es-CO"/>
              </w:rPr>
              <w:t>Hechos y derechos presuntamente vulnerados</w:t>
            </w:r>
          </w:p>
        </w:tc>
        <w:tc>
          <w:tcPr>
            <w:tcW w:w="7910" w:type="dxa"/>
            <w:tcBorders>
              <w:top w:val="single" w:sz="4" w:space="0" w:color="auto"/>
              <w:left w:val="single" w:sz="4" w:space="0" w:color="auto"/>
              <w:bottom w:val="single" w:sz="4" w:space="0" w:color="auto"/>
              <w:right w:val="single" w:sz="4" w:space="0" w:color="auto"/>
            </w:tcBorders>
            <w:vAlign w:val="center"/>
          </w:tcPr>
          <w:p w14:paraId="75F6701A" w14:textId="77777777" w:rsidR="00C01FEA" w:rsidRPr="00C01FEA" w:rsidRDefault="00C01FEA" w:rsidP="00F62AC4">
            <w:pPr>
              <w:autoSpaceDE w:val="0"/>
              <w:autoSpaceDN w:val="0"/>
              <w:adjustRightInd w:val="0"/>
              <w:rPr>
                <w:rFonts w:ascii="Arial Narrow" w:hAnsi="Arial Narrow" w:cs="Arial"/>
                <w:bCs/>
                <w:color w:val="000000"/>
                <w:sz w:val="24"/>
                <w:szCs w:val="24"/>
                <w:lang w:val="es-ES_tradnl" w:eastAsia="es-CO"/>
              </w:rPr>
            </w:pPr>
          </w:p>
          <w:p w14:paraId="0A378923" w14:textId="77777777" w:rsidR="00C01FEA" w:rsidRPr="00C01FEA" w:rsidRDefault="00C01FEA" w:rsidP="00F62AC4">
            <w:pPr>
              <w:autoSpaceDE w:val="0"/>
              <w:autoSpaceDN w:val="0"/>
              <w:adjustRightInd w:val="0"/>
              <w:rPr>
                <w:rFonts w:ascii="Arial Narrow" w:hAnsi="Arial Narrow" w:cs="Arial"/>
                <w:bCs/>
                <w:color w:val="000000"/>
                <w:sz w:val="24"/>
                <w:szCs w:val="24"/>
                <w:lang w:val="es-ES_tradnl" w:eastAsia="es-CO"/>
              </w:rPr>
            </w:pPr>
            <w:r w:rsidRPr="00C01FEA">
              <w:rPr>
                <w:rFonts w:ascii="Arial Narrow" w:hAnsi="Arial Narrow" w:cs="Arial"/>
                <w:bCs/>
                <w:color w:val="000000"/>
                <w:sz w:val="24"/>
                <w:szCs w:val="24"/>
                <w:lang w:val="es-ES_tradnl" w:eastAsia="es-CO"/>
              </w:rPr>
              <w:t xml:space="preserve">La Unión Temporal Rayuela presentó acción de controversias contractuales contra el departamento de Casanare, por las diferencias suscitadas con ocasión del contrato de obra 0062 de 2008. </w:t>
            </w:r>
          </w:p>
          <w:p w14:paraId="0F94C894" w14:textId="77777777" w:rsidR="00C01FEA" w:rsidRPr="00C01FEA" w:rsidRDefault="00C01FEA" w:rsidP="00F62AC4">
            <w:pPr>
              <w:autoSpaceDE w:val="0"/>
              <w:autoSpaceDN w:val="0"/>
              <w:adjustRightInd w:val="0"/>
              <w:rPr>
                <w:rFonts w:ascii="Arial Narrow" w:hAnsi="Arial Narrow" w:cs="Arial"/>
                <w:bCs/>
                <w:color w:val="000000"/>
                <w:sz w:val="24"/>
                <w:szCs w:val="24"/>
                <w:lang w:val="es-ES_tradnl" w:eastAsia="es-CO"/>
              </w:rPr>
            </w:pPr>
            <w:r w:rsidRPr="00C01FEA">
              <w:rPr>
                <w:rFonts w:ascii="Arial Narrow" w:hAnsi="Arial Narrow" w:cs="Arial"/>
                <w:bCs/>
                <w:color w:val="000000"/>
                <w:sz w:val="24"/>
                <w:szCs w:val="24"/>
                <w:lang w:val="es-ES_tradnl" w:eastAsia="es-CO"/>
              </w:rPr>
              <w:t xml:space="preserve">La demanda fue rechazada por haber operado la caducidad de la acción de controversias contractuales. </w:t>
            </w:r>
          </w:p>
          <w:p w14:paraId="59DF8678" w14:textId="77777777" w:rsidR="00C01FEA" w:rsidRPr="00C01FEA" w:rsidRDefault="00C01FEA" w:rsidP="00F62AC4">
            <w:pPr>
              <w:autoSpaceDE w:val="0"/>
              <w:autoSpaceDN w:val="0"/>
              <w:adjustRightInd w:val="0"/>
              <w:rPr>
                <w:rFonts w:ascii="Arial Narrow" w:hAnsi="Arial Narrow" w:cs="Arial"/>
                <w:bCs/>
                <w:color w:val="000000"/>
                <w:sz w:val="24"/>
                <w:szCs w:val="24"/>
                <w:lang w:val="es-ES_tradnl" w:eastAsia="es-CO"/>
              </w:rPr>
            </w:pPr>
          </w:p>
        </w:tc>
      </w:tr>
      <w:tr w:rsidR="00C01FEA" w:rsidRPr="00FB2DAE" w14:paraId="118C2BAA" w14:textId="77777777" w:rsidTr="00F62AC4">
        <w:tc>
          <w:tcPr>
            <w:tcW w:w="2439" w:type="dxa"/>
            <w:tcBorders>
              <w:top w:val="single" w:sz="4" w:space="0" w:color="auto"/>
              <w:left w:val="single" w:sz="4" w:space="0" w:color="auto"/>
              <w:bottom w:val="single" w:sz="4" w:space="0" w:color="auto"/>
              <w:right w:val="single" w:sz="4" w:space="0" w:color="auto"/>
            </w:tcBorders>
            <w:vAlign w:val="center"/>
          </w:tcPr>
          <w:p w14:paraId="19BEC69A" w14:textId="77777777" w:rsidR="00C01FEA" w:rsidRPr="00C01FEA" w:rsidRDefault="00C01FEA" w:rsidP="00F62AC4">
            <w:pPr>
              <w:autoSpaceDE w:val="0"/>
              <w:autoSpaceDN w:val="0"/>
              <w:adjustRightInd w:val="0"/>
              <w:jc w:val="center"/>
              <w:rPr>
                <w:rFonts w:ascii="Arial Narrow" w:hAnsi="Arial Narrow" w:cs="Arial"/>
                <w:b/>
                <w:bCs/>
                <w:color w:val="000000"/>
                <w:sz w:val="24"/>
                <w:szCs w:val="24"/>
                <w:lang w:eastAsia="es-CO"/>
              </w:rPr>
            </w:pPr>
            <w:r w:rsidRPr="00C01FEA">
              <w:rPr>
                <w:rFonts w:ascii="Arial Narrow" w:hAnsi="Arial Narrow" w:cs="Arial"/>
                <w:b/>
                <w:bCs/>
                <w:color w:val="000000"/>
                <w:sz w:val="24"/>
                <w:szCs w:val="24"/>
                <w:lang w:eastAsia="es-CO"/>
              </w:rPr>
              <w:t xml:space="preserve">Defectos alegados </w:t>
            </w:r>
          </w:p>
        </w:tc>
        <w:tc>
          <w:tcPr>
            <w:tcW w:w="7910" w:type="dxa"/>
            <w:tcBorders>
              <w:top w:val="single" w:sz="4" w:space="0" w:color="auto"/>
              <w:left w:val="single" w:sz="4" w:space="0" w:color="auto"/>
              <w:bottom w:val="single" w:sz="4" w:space="0" w:color="auto"/>
              <w:right w:val="single" w:sz="4" w:space="0" w:color="auto"/>
            </w:tcBorders>
            <w:vAlign w:val="center"/>
          </w:tcPr>
          <w:p w14:paraId="46D5C24F" w14:textId="77777777" w:rsidR="00C01FEA" w:rsidRPr="00C01FEA" w:rsidRDefault="00C01FEA" w:rsidP="00F62AC4">
            <w:pPr>
              <w:autoSpaceDE w:val="0"/>
              <w:autoSpaceDN w:val="0"/>
              <w:adjustRightInd w:val="0"/>
              <w:rPr>
                <w:rFonts w:ascii="Arial Narrow" w:hAnsi="Arial Narrow" w:cs="Arial"/>
                <w:bCs/>
                <w:color w:val="000000"/>
                <w:sz w:val="24"/>
                <w:szCs w:val="24"/>
                <w:lang w:val="es-ES_tradnl" w:eastAsia="es-CO"/>
              </w:rPr>
            </w:pPr>
            <w:r w:rsidRPr="00C01FEA">
              <w:rPr>
                <w:rFonts w:ascii="Arial Narrow" w:hAnsi="Arial Narrow" w:cs="Arial"/>
                <w:bCs/>
                <w:color w:val="000000"/>
                <w:sz w:val="24"/>
                <w:szCs w:val="24"/>
                <w:lang w:val="es-ES_tradnl" w:eastAsia="es-CO"/>
              </w:rPr>
              <w:t xml:space="preserve">La parte actora no identificó ningún defecto o vicio de fondo. Sin embargo, alegó que la autoridad judicial demandada no tuvo en cuenta la segunda solicitud de conciliación que presentó en el año 2016 y que, a su juicio, suspendía el término de caducidad. </w:t>
            </w:r>
          </w:p>
        </w:tc>
      </w:tr>
      <w:tr w:rsidR="00C01FEA" w:rsidRPr="00FB2DAE" w14:paraId="685C9356" w14:textId="77777777" w:rsidTr="00F62AC4">
        <w:tc>
          <w:tcPr>
            <w:tcW w:w="2439" w:type="dxa"/>
            <w:tcBorders>
              <w:top w:val="single" w:sz="4" w:space="0" w:color="auto"/>
              <w:left w:val="single" w:sz="4" w:space="0" w:color="auto"/>
              <w:bottom w:val="single" w:sz="4" w:space="0" w:color="auto"/>
              <w:right w:val="single" w:sz="4" w:space="0" w:color="auto"/>
            </w:tcBorders>
            <w:vAlign w:val="center"/>
          </w:tcPr>
          <w:p w14:paraId="4973DFDD" w14:textId="77777777" w:rsidR="00C01FEA" w:rsidRPr="00C01FEA" w:rsidRDefault="00C01FEA" w:rsidP="00F62AC4">
            <w:pPr>
              <w:autoSpaceDE w:val="0"/>
              <w:autoSpaceDN w:val="0"/>
              <w:adjustRightInd w:val="0"/>
              <w:jc w:val="center"/>
              <w:rPr>
                <w:rFonts w:ascii="Arial Narrow" w:hAnsi="Arial Narrow" w:cs="Arial"/>
                <w:b/>
                <w:bCs/>
                <w:color w:val="000000"/>
                <w:sz w:val="24"/>
                <w:szCs w:val="24"/>
                <w:lang w:eastAsia="es-CO"/>
              </w:rPr>
            </w:pPr>
            <w:r w:rsidRPr="00C01FEA">
              <w:rPr>
                <w:rFonts w:ascii="Arial Narrow" w:hAnsi="Arial Narrow" w:cs="Arial"/>
                <w:b/>
                <w:bCs/>
                <w:color w:val="000000"/>
                <w:sz w:val="24"/>
                <w:szCs w:val="24"/>
                <w:lang w:eastAsia="es-CO"/>
              </w:rPr>
              <w:t>Sentencia de primera en sede de acción de (si no procede se dejan siglas NA)</w:t>
            </w:r>
          </w:p>
        </w:tc>
        <w:tc>
          <w:tcPr>
            <w:tcW w:w="7910" w:type="dxa"/>
            <w:tcBorders>
              <w:top w:val="single" w:sz="4" w:space="0" w:color="auto"/>
              <w:left w:val="single" w:sz="4" w:space="0" w:color="auto"/>
              <w:bottom w:val="single" w:sz="4" w:space="0" w:color="auto"/>
              <w:right w:val="single" w:sz="4" w:space="0" w:color="auto"/>
            </w:tcBorders>
            <w:vAlign w:val="center"/>
          </w:tcPr>
          <w:p w14:paraId="7D600995" w14:textId="77777777" w:rsidR="00C01FEA" w:rsidRPr="00C01FEA" w:rsidRDefault="00C01FEA" w:rsidP="00F62AC4">
            <w:pPr>
              <w:widowControl w:val="0"/>
              <w:rPr>
                <w:rFonts w:ascii="Arial Narrow" w:hAnsi="Arial Narrow" w:cs="Arial"/>
                <w:sz w:val="24"/>
                <w:szCs w:val="24"/>
                <w:lang w:eastAsia="es-CO"/>
              </w:rPr>
            </w:pPr>
            <w:r w:rsidRPr="00C01FEA">
              <w:rPr>
                <w:rFonts w:ascii="Arial Narrow" w:hAnsi="Arial Narrow" w:cs="Arial"/>
                <w:sz w:val="24"/>
                <w:szCs w:val="24"/>
                <w:lang w:eastAsia="es-CO"/>
              </w:rPr>
              <w:t>N/A</w:t>
            </w:r>
          </w:p>
        </w:tc>
      </w:tr>
      <w:tr w:rsidR="00C01FEA" w:rsidRPr="00FB2DAE" w14:paraId="53C7B2C6" w14:textId="77777777" w:rsidTr="00F62AC4">
        <w:tc>
          <w:tcPr>
            <w:tcW w:w="2439" w:type="dxa"/>
            <w:tcBorders>
              <w:top w:val="single" w:sz="4" w:space="0" w:color="auto"/>
              <w:left w:val="single" w:sz="4" w:space="0" w:color="auto"/>
              <w:bottom w:val="single" w:sz="4" w:space="0" w:color="auto"/>
              <w:right w:val="single" w:sz="4" w:space="0" w:color="auto"/>
            </w:tcBorders>
            <w:vAlign w:val="center"/>
          </w:tcPr>
          <w:p w14:paraId="428D2DF9" w14:textId="77777777" w:rsidR="00C01FEA" w:rsidRPr="00C01FEA" w:rsidRDefault="00C01FEA" w:rsidP="00F62AC4">
            <w:pPr>
              <w:autoSpaceDE w:val="0"/>
              <w:autoSpaceDN w:val="0"/>
              <w:adjustRightInd w:val="0"/>
              <w:jc w:val="center"/>
              <w:rPr>
                <w:rFonts w:ascii="Arial Narrow" w:hAnsi="Arial Narrow" w:cs="Arial"/>
                <w:b/>
                <w:bCs/>
                <w:color w:val="000000"/>
                <w:sz w:val="24"/>
                <w:szCs w:val="24"/>
                <w:lang w:eastAsia="es-CO"/>
              </w:rPr>
            </w:pPr>
            <w:r w:rsidRPr="00C01FEA">
              <w:rPr>
                <w:rFonts w:ascii="Arial Narrow" w:hAnsi="Arial Narrow" w:cs="Arial"/>
                <w:b/>
                <w:bCs/>
                <w:color w:val="000000"/>
                <w:sz w:val="24"/>
                <w:szCs w:val="24"/>
                <w:lang w:eastAsia="es-CO"/>
              </w:rPr>
              <w:t xml:space="preserve">Consideraciones expuestas en el proyecto </w:t>
            </w:r>
          </w:p>
        </w:tc>
        <w:tc>
          <w:tcPr>
            <w:tcW w:w="7910" w:type="dxa"/>
            <w:tcBorders>
              <w:top w:val="single" w:sz="4" w:space="0" w:color="auto"/>
              <w:left w:val="single" w:sz="4" w:space="0" w:color="auto"/>
              <w:bottom w:val="single" w:sz="4" w:space="0" w:color="auto"/>
              <w:right w:val="single" w:sz="4" w:space="0" w:color="auto"/>
            </w:tcBorders>
            <w:vAlign w:val="center"/>
          </w:tcPr>
          <w:p w14:paraId="3D297A3B" w14:textId="77777777" w:rsidR="00C01FEA" w:rsidRPr="00C01FEA" w:rsidRDefault="00C01FEA" w:rsidP="00F62AC4">
            <w:pPr>
              <w:ind w:right="51"/>
              <w:rPr>
                <w:rFonts w:ascii="Arial Narrow" w:eastAsia="Verdana" w:hAnsi="Arial Narrow" w:cs="Verdana"/>
                <w:sz w:val="24"/>
                <w:szCs w:val="24"/>
              </w:rPr>
            </w:pPr>
            <w:r w:rsidRPr="00C01FEA">
              <w:rPr>
                <w:rFonts w:ascii="Arial Narrow" w:eastAsia="Verdana" w:hAnsi="Arial Narrow" w:cs="Verdana"/>
                <w:sz w:val="24"/>
                <w:szCs w:val="24"/>
              </w:rPr>
              <w:t xml:space="preserve">Los argumentos que expuso la Unión Temporal Rayuela en el proceso ordinario son exactamente iguales a los que ahora propone en la presente acción de tutela, pues insiste en que el término de caducidad de la acción de controversias contractuales no puede contarse a partir de la constancia que se expidió con ocasión de la solicitud de conciliación del 25 de noviembre de 2014, sino con la solicitud de conciliación del año 2016. Ese asunto ya fue resuelto por la autoridad judicial demandada y, por lo tanto, no puede volver a decidirse. </w:t>
            </w:r>
          </w:p>
          <w:p w14:paraId="7B42FBED" w14:textId="77777777" w:rsidR="00C01FEA" w:rsidRPr="00C01FEA" w:rsidRDefault="00C01FEA" w:rsidP="00F62AC4">
            <w:pPr>
              <w:autoSpaceDE w:val="0"/>
              <w:autoSpaceDN w:val="0"/>
              <w:adjustRightInd w:val="0"/>
              <w:rPr>
                <w:rFonts w:ascii="Arial Narrow" w:hAnsi="Arial Narrow"/>
                <w:sz w:val="24"/>
                <w:szCs w:val="24"/>
              </w:rPr>
            </w:pPr>
          </w:p>
        </w:tc>
      </w:tr>
      <w:tr w:rsidR="00C01FEA" w:rsidRPr="00FB2DAE" w14:paraId="4A88B2AF" w14:textId="77777777" w:rsidTr="00F62AC4">
        <w:tc>
          <w:tcPr>
            <w:tcW w:w="2439" w:type="dxa"/>
            <w:tcBorders>
              <w:top w:val="single" w:sz="4" w:space="0" w:color="auto"/>
              <w:left w:val="single" w:sz="4" w:space="0" w:color="auto"/>
              <w:bottom w:val="single" w:sz="4" w:space="0" w:color="auto"/>
              <w:right w:val="single" w:sz="4" w:space="0" w:color="auto"/>
            </w:tcBorders>
            <w:vAlign w:val="center"/>
          </w:tcPr>
          <w:p w14:paraId="2F22438D" w14:textId="77777777" w:rsidR="00C01FEA" w:rsidRPr="00C01FEA" w:rsidRDefault="00C01FEA" w:rsidP="00F62AC4">
            <w:pPr>
              <w:autoSpaceDE w:val="0"/>
              <w:autoSpaceDN w:val="0"/>
              <w:adjustRightInd w:val="0"/>
              <w:jc w:val="center"/>
              <w:rPr>
                <w:rFonts w:ascii="Arial Narrow" w:hAnsi="Arial Narrow" w:cs="Arial"/>
                <w:b/>
                <w:bCs/>
                <w:color w:val="000000"/>
                <w:sz w:val="24"/>
                <w:szCs w:val="24"/>
                <w:lang w:eastAsia="es-CO"/>
              </w:rPr>
            </w:pPr>
            <w:r w:rsidRPr="00C01FEA">
              <w:rPr>
                <w:rFonts w:ascii="Arial Narrow" w:hAnsi="Arial Narrow" w:cs="Arial"/>
                <w:b/>
                <w:bCs/>
                <w:color w:val="000000"/>
                <w:sz w:val="24"/>
                <w:szCs w:val="24"/>
                <w:lang w:eastAsia="es-CO"/>
              </w:rPr>
              <w:t>DECISIÓN</w:t>
            </w:r>
          </w:p>
        </w:tc>
        <w:tc>
          <w:tcPr>
            <w:tcW w:w="7910" w:type="dxa"/>
            <w:tcBorders>
              <w:top w:val="single" w:sz="4" w:space="0" w:color="auto"/>
              <w:left w:val="single" w:sz="4" w:space="0" w:color="auto"/>
              <w:bottom w:val="single" w:sz="4" w:space="0" w:color="auto"/>
              <w:right w:val="single" w:sz="4" w:space="0" w:color="auto"/>
            </w:tcBorders>
            <w:vAlign w:val="center"/>
          </w:tcPr>
          <w:p w14:paraId="50864818" w14:textId="77777777" w:rsidR="00C01FEA" w:rsidRPr="00C01FEA" w:rsidRDefault="00C01FEA" w:rsidP="00F62AC4">
            <w:pPr>
              <w:autoSpaceDE w:val="0"/>
              <w:autoSpaceDN w:val="0"/>
              <w:adjustRightInd w:val="0"/>
              <w:rPr>
                <w:rFonts w:ascii="Arial Narrow" w:hAnsi="Arial Narrow"/>
                <w:sz w:val="24"/>
                <w:szCs w:val="24"/>
              </w:rPr>
            </w:pPr>
            <w:r w:rsidRPr="00C01FEA">
              <w:rPr>
                <w:rFonts w:ascii="Arial Narrow" w:hAnsi="Arial Narrow"/>
                <w:sz w:val="24"/>
                <w:szCs w:val="24"/>
              </w:rPr>
              <w:t xml:space="preserve">Declara improcedente. </w:t>
            </w:r>
          </w:p>
        </w:tc>
      </w:tr>
      <w:tr w:rsidR="00C01FEA" w:rsidRPr="00FB2DAE" w14:paraId="4171D9C2" w14:textId="77777777" w:rsidTr="00F62AC4">
        <w:tc>
          <w:tcPr>
            <w:tcW w:w="2439" w:type="dxa"/>
            <w:tcBorders>
              <w:top w:val="single" w:sz="4" w:space="0" w:color="auto"/>
              <w:left w:val="single" w:sz="4" w:space="0" w:color="auto"/>
              <w:bottom w:val="single" w:sz="4" w:space="0" w:color="auto"/>
              <w:right w:val="single" w:sz="4" w:space="0" w:color="auto"/>
            </w:tcBorders>
            <w:vAlign w:val="center"/>
          </w:tcPr>
          <w:p w14:paraId="793BC7FA" w14:textId="77777777" w:rsidR="00C01FEA" w:rsidRPr="00C01FEA" w:rsidRDefault="00C01FEA" w:rsidP="00F62AC4">
            <w:pPr>
              <w:autoSpaceDE w:val="0"/>
              <w:autoSpaceDN w:val="0"/>
              <w:adjustRightInd w:val="0"/>
              <w:jc w:val="center"/>
              <w:rPr>
                <w:rFonts w:ascii="Arial Narrow" w:hAnsi="Arial Narrow" w:cs="Arial"/>
                <w:b/>
                <w:bCs/>
                <w:color w:val="000000"/>
                <w:sz w:val="24"/>
                <w:szCs w:val="24"/>
                <w:lang w:eastAsia="es-CO"/>
              </w:rPr>
            </w:pPr>
            <w:r w:rsidRPr="00C01FEA">
              <w:rPr>
                <w:rFonts w:ascii="Arial Narrow" w:hAnsi="Arial Narrow" w:cs="Arial"/>
                <w:b/>
                <w:bCs/>
                <w:color w:val="000000"/>
                <w:sz w:val="24"/>
                <w:szCs w:val="24"/>
                <w:lang w:eastAsia="es-CO"/>
              </w:rPr>
              <w:t xml:space="preserve">Fecha de entrega de proyecto: </w:t>
            </w:r>
          </w:p>
        </w:tc>
        <w:tc>
          <w:tcPr>
            <w:tcW w:w="7910" w:type="dxa"/>
            <w:tcBorders>
              <w:top w:val="single" w:sz="4" w:space="0" w:color="auto"/>
              <w:left w:val="single" w:sz="4" w:space="0" w:color="auto"/>
              <w:bottom w:val="single" w:sz="4" w:space="0" w:color="auto"/>
              <w:right w:val="single" w:sz="4" w:space="0" w:color="auto"/>
            </w:tcBorders>
            <w:vAlign w:val="center"/>
          </w:tcPr>
          <w:p w14:paraId="0573AAF3" w14:textId="77777777" w:rsidR="00C01FEA" w:rsidRPr="00C01FEA" w:rsidRDefault="00C01FEA" w:rsidP="00F62AC4">
            <w:pPr>
              <w:autoSpaceDE w:val="0"/>
              <w:autoSpaceDN w:val="0"/>
              <w:adjustRightInd w:val="0"/>
              <w:rPr>
                <w:rFonts w:ascii="Arial Narrow" w:hAnsi="Arial Narrow"/>
                <w:sz w:val="24"/>
                <w:szCs w:val="24"/>
              </w:rPr>
            </w:pPr>
            <w:r w:rsidRPr="00C01FEA">
              <w:rPr>
                <w:rFonts w:ascii="Arial Narrow" w:hAnsi="Arial Narrow"/>
                <w:sz w:val="24"/>
                <w:szCs w:val="24"/>
              </w:rPr>
              <w:t>14 de febrero de 2019</w:t>
            </w:r>
          </w:p>
        </w:tc>
      </w:tr>
      <w:tr w:rsidR="00C01FEA" w14:paraId="046F5227" w14:textId="77777777" w:rsidTr="00F62AC4">
        <w:tc>
          <w:tcPr>
            <w:tcW w:w="2439" w:type="dxa"/>
            <w:tcBorders>
              <w:top w:val="single" w:sz="4" w:space="0" w:color="auto"/>
              <w:left w:val="single" w:sz="4" w:space="0" w:color="auto"/>
              <w:bottom w:val="single" w:sz="4" w:space="0" w:color="auto"/>
              <w:right w:val="single" w:sz="4" w:space="0" w:color="auto"/>
            </w:tcBorders>
            <w:vAlign w:val="center"/>
          </w:tcPr>
          <w:p w14:paraId="47BBCB22" w14:textId="77777777" w:rsidR="00C01FEA" w:rsidRPr="00C01FEA" w:rsidRDefault="00C01FEA" w:rsidP="00F62AC4">
            <w:pPr>
              <w:autoSpaceDE w:val="0"/>
              <w:autoSpaceDN w:val="0"/>
              <w:adjustRightInd w:val="0"/>
              <w:jc w:val="center"/>
              <w:rPr>
                <w:rFonts w:ascii="Arial Narrow" w:hAnsi="Arial Narrow" w:cs="Arial"/>
                <w:b/>
                <w:bCs/>
                <w:color w:val="000000"/>
                <w:sz w:val="24"/>
                <w:szCs w:val="24"/>
                <w:lang w:eastAsia="es-CO"/>
              </w:rPr>
            </w:pPr>
            <w:r w:rsidRPr="00C01FEA">
              <w:rPr>
                <w:rFonts w:ascii="Arial Narrow" w:hAnsi="Arial Narrow" w:cs="Arial"/>
                <w:b/>
                <w:bCs/>
                <w:color w:val="000000"/>
                <w:sz w:val="24"/>
                <w:szCs w:val="24"/>
                <w:lang w:eastAsia="es-CO"/>
              </w:rPr>
              <w:t xml:space="preserve">Proyectó </w:t>
            </w:r>
          </w:p>
        </w:tc>
        <w:tc>
          <w:tcPr>
            <w:tcW w:w="7910" w:type="dxa"/>
            <w:tcBorders>
              <w:top w:val="single" w:sz="4" w:space="0" w:color="auto"/>
              <w:left w:val="single" w:sz="4" w:space="0" w:color="auto"/>
              <w:bottom w:val="single" w:sz="4" w:space="0" w:color="auto"/>
              <w:right w:val="single" w:sz="4" w:space="0" w:color="auto"/>
            </w:tcBorders>
            <w:vAlign w:val="center"/>
          </w:tcPr>
          <w:p w14:paraId="0A6CA129" w14:textId="77777777" w:rsidR="00C01FEA" w:rsidRPr="00C01FEA" w:rsidRDefault="00C01FEA" w:rsidP="00F62AC4">
            <w:pPr>
              <w:autoSpaceDE w:val="0"/>
              <w:autoSpaceDN w:val="0"/>
              <w:adjustRightInd w:val="0"/>
              <w:rPr>
                <w:rFonts w:ascii="Arial Narrow" w:hAnsi="Arial Narrow"/>
                <w:sz w:val="24"/>
                <w:szCs w:val="24"/>
              </w:rPr>
            </w:pPr>
            <w:r w:rsidRPr="00C01FEA">
              <w:rPr>
                <w:rFonts w:ascii="Arial Narrow" w:hAnsi="Arial Narrow"/>
                <w:sz w:val="24"/>
                <w:szCs w:val="24"/>
              </w:rPr>
              <w:t xml:space="preserve">Gloria Domínguez Betancur </w:t>
            </w:r>
          </w:p>
        </w:tc>
      </w:tr>
    </w:tbl>
    <w:p w14:paraId="3DAF54BF" w14:textId="77777777" w:rsidR="00C01FEA" w:rsidRPr="00FB2DAE" w:rsidRDefault="00C01FEA" w:rsidP="00C01FEA">
      <w:pPr>
        <w:autoSpaceDE w:val="0"/>
        <w:autoSpaceDN w:val="0"/>
        <w:adjustRightInd w:val="0"/>
        <w:rPr>
          <w:rFonts w:ascii="Verdana" w:hAnsi="Verdana" w:cs="Arial"/>
          <w:bCs/>
          <w:color w:val="000000"/>
          <w:sz w:val="24"/>
          <w:szCs w:val="24"/>
          <w:lang w:val="es-ES_tradnl" w:eastAsia="es-CO"/>
        </w:rPr>
      </w:pPr>
    </w:p>
    <w:p w14:paraId="0A52EE2B" w14:textId="77777777" w:rsidR="00C01FEA" w:rsidRPr="00FB2DAE" w:rsidRDefault="00C01FEA" w:rsidP="00C01FEA">
      <w:pPr>
        <w:autoSpaceDE w:val="0"/>
        <w:autoSpaceDN w:val="0"/>
        <w:adjustRightInd w:val="0"/>
        <w:rPr>
          <w:rFonts w:ascii="Verdana" w:hAnsi="Verdana" w:cs="Arial"/>
          <w:bCs/>
          <w:color w:val="000000"/>
          <w:sz w:val="24"/>
          <w:szCs w:val="24"/>
          <w:lang w:val="es-ES_tradnl" w:eastAsia="es-CO"/>
        </w:rPr>
      </w:pPr>
    </w:p>
    <w:p w14:paraId="2A87A5BD" w14:textId="77777777" w:rsidR="00C01FEA" w:rsidRPr="00AF536B" w:rsidRDefault="00C01FEA" w:rsidP="0046202D">
      <w:pPr>
        <w:jc w:val="center"/>
        <w:rPr>
          <w:rFonts w:ascii="Verdana" w:eastAsia="Verdana" w:hAnsi="Verdana" w:cs="Verdana"/>
          <w:b/>
          <w:sz w:val="24"/>
          <w:szCs w:val="24"/>
        </w:rPr>
      </w:pPr>
    </w:p>
    <w:sectPr w:rsidR="00C01FEA" w:rsidRPr="00AF536B">
      <w:footerReference w:type="default" r:id="rId11"/>
      <w:pgSz w:w="12242" w:h="18722"/>
      <w:pgMar w:top="1701" w:right="1588" w:bottom="1531" w:left="158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8182F" w14:textId="77777777" w:rsidR="00191ECA" w:rsidRDefault="00191ECA" w:rsidP="001E370C">
      <w:r>
        <w:separator/>
      </w:r>
    </w:p>
  </w:endnote>
  <w:endnote w:type="continuationSeparator" w:id="0">
    <w:p w14:paraId="60FA5492" w14:textId="77777777" w:rsidR="00191ECA" w:rsidRDefault="00191ECA" w:rsidP="001E3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B2AC2" w14:textId="77777777" w:rsidR="0029350C" w:rsidRDefault="0029350C">
    <w:pPr>
      <w:pBdr>
        <w:top w:val="nil"/>
        <w:left w:val="nil"/>
        <w:bottom w:val="nil"/>
        <w:right w:val="nil"/>
        <w:between w:val="nil"/>
      </w:pBdr>
      <w:jc w:val="right"/>
      <w:rPr>
        <w:rFonts w:ascii="Verdana" w:eastAsia="Verdana" w:hAnsi="Verdana" w:cs="Verdana"/>
        <w:color w:val="000000"/>
        <w:sz w:val="20"/>
        <w:szCs w:val="20"/>
      </w:rPr>
    </w:pPr>
    <w:r>
      <w:rPr>
        <w:rFonts w:ascii="Verdana" w:eastAsia="Verdana" w:hAnsi="Verdana" w:cs="Verdana"/>
        <w:color w:val="000000"/>
        <w:sz w:val="20"/>
        <w:szCs w:val="20"/>
      </w:rPr>
      <w:fldChar w:fldCharType="begin"/>
    </w:r>
    <w:r>
      <w:rPr>
        <w:rFonts w:ascii="Verdana" w:eastAsia="Verdana" w:hAnsi="Verdana" w:cs="Verdana"/>
        <w:color w:val="000000"/>
        <w:sz w:val="20"/>
        <w:szCs w:val="20"/>
      </w:rPr>
      <w:instrText>PAGE</w:instrText>
    </w:r>
    <w:r>
      <w:rPr>
        <w:rFonts w:ascii="Verdana" w:eastAsia="Verdana" w:hAnsi="Verdana" w:cs="Verdana"/>
        <w:color w:val="000000"/>
        <w:sz w:val="20"/>
        <w:szCs w:val="20"/>
      </w:rPr>
      <w:fldChar w:fldCharType="separate"/>
    </w:r>
    <w:r w:rsidR="001B312B">
      <w:rPr>
        <w:rFonts w:ascii="Verdana" w:eastAsia="Verdana" w:hAnsi="Verdana" w:cs="Verdana"/>
        <w:noProof/>
        <w:color w:val="000000"/>
        <w:sz w:val="20"/>
        <w:szCs w:val="20"/>
      </w:rPr>
      <w:t>2</w:t>
    </w:r>
    <w:r>
      <w:rPr>
        <w:rFonts w:ascii="Verdana" w:eastAsia="Verdana" w:hAnsi="Verdana" w:cs="Verdana"/>
        <w:color w:val="000000"/>
        <w:sz w:val="20"/>
        <w:szCs w:val="20"/>
      </w:rPr>
      <w:fldChar w:fldCharType="end"/>
    </w:r>
  </w:p>
  <w:p w14:paraId="033444DF" w14:textId="77777777" w:rsidR="0029350C" w:rsidRDefault="0029350C">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6F5F8" w14:textId="77777777" w:rsidR="00191ECA" w:rsidRDefault="00191ECA" w:rsidP="001E370C">
      <w:r>
        <w:separator/>
      </w:r>
    </w:p>
  </w:footnote>
  <w:footnote w:type="continuationSeparator" w:id="0">
    <w:p w14:paraId="6DC188BC" w14:textId="77777777" w:rsidR="00191ECA" w:rsidRDefault="00191ECA" w:rsidP="001E370C">
      <w:r>
        <w:continuationSeparator/>
      </w:r>
    </w:p>
  </w:footnote>
  <w:footnote w:id="1">
    <w:p w14:paraId="03DECF36" w14:textId="77777777" w:rsidR="005A1B4D" w:rsidRPr="001B712C" w:rsidRDefault="005A1B4D" w:rsidP="00C96FF3">
      <w:pPr>
        <w:pStyle w:val="Textonotapie"/>
        <w:rPr>
          <w:rFonts w:ascii="Arial" w:hAnsi="Arial" w:cs="Arial"/>
          <w:szCs w:val="16"/>
          <w:lang w:val="es-CO"/>
        </w:rPr>
      </w:pPr>
      <w:r w:rsidRPr="001B712C">
        <w:rPr>
          <w:rStyle w:val="Refdenotaalpie"/>
          <w:rFonts w:ascii="Arial" w:hAnsi="Arial" w:cs="Arial"/>
          <w:sz w:val="18"/>
          <w:szCs w:val="16"/>
        </w:rPr>
        <w:footnoteRef/>
      </w:r>
      <w:r w:rsidRPr="001B712C">
        <w:rPr>
          <w:rFonts w:ascii="Arial" w:hAnsi="Arial" w:cs="Arial"/>
          <w:szCs w:val="16"/>
        </w:rPr>
        <w:t xml:space="preserve"> </w:t>
      </w:r>
      <w:r w:rsidR="002B4980" w:rsidRPr="001B712C">
        <w:rPr>
          <w:rFonts w:ascii="Arial" w:hAnsi="Arial" w:cs="Arial"/>
          <w:szCs w:val="16"/>
          <w:lang w:val="es-CO"/>
        </w:rPr>
        <w:t>Folio 6</w:t>
      </w:r>
      <w:r w:rsidRPr="001B712C">
        <w:rPr>
          <w:rFonts w:ascii="Arial" w:hAnsi="Arial" w:cs="Arial"/>
          <w:szCs w:val="16"/>
          <w:lang w:val="es-CO"/>
        </w:rPr>
        <w:t xml:space="preserve"> del expediente. </w:t>
      </w:r>
    </w:p>
  </w:footnote>
  <w:footnote w:id="2">
    <w:p w14:paraId="15C00C38" w14:textId="77777777" w:rsidR="00966294" w:rsidRPr="001B712C" w:rsidRDefault="00966294" w:rsidP="00C96FF3">
      <w:pPr>
        <w:pStyle w:val="Textonotapie"/>
        <w:rPr>
          <w:rFonts w:ascii="Arial" w:hAnsi="Arial" w:cs="Arial"/>
          <w:szCs w:val="16"/>
          <w:lang w:val="es-CO"/>
        </w:rPr>
      </w:pPr>
      <w:r w:rsidRPr="001B712C">
        <w:rPr>
          <w:rStyle w:val="Refdenotaalpie"/>
          <w:rFonts w:ascii="Arial" w:hAnsi="Arial" w:cs="Arial"/>
          <w:sz w:val="18"/>
          <w:szCs w:val="16"/>
        </w:rPr>
        <w:footnoteRef/>
      </w:r>
      <w:r w:rsidRPr="001B712C">
        <w:rPr>
          <w:rFonts w:ascii="Arial" w:hAnsi="Arial" w:cs="Arial"/>
          <w:szCs w:val="16"/>
        </w:rPr>
        <w:t xml:space="preserve"> </w:t>
      </w:r>
      <w:r w:rsidRPr="001B712C">
        <w:rPr>
          <w:rFonts w:ascii="Arial" w:hAnsi="Arial" w:cs="Arial"/>
          <w:szCs w:val="16"/>
          <w:lang w:val="es-CO"/>
        </w:rPr>
        <w:t xml:space="preserve">Folio 155 del cuaderno anexo. </w:t>
      </w:r>
    </w:p>
  </w:footnote>
  <w:footnote w:id="3">
    <w:p w14:paraId="03A18804" w14:textId="77777777" w:rsidR="001E370C" w:rsidRPr="001B712C" w:rsidRDefault="001E370C" w:rsidP="00C96FF3">
      <w:pPr>
        <w:pStyle w:val="Textonotapie"/>
        <w:rPr>
          <w:rFonts w:ascii="Arial" w:hAnsi="Arial" w:cs="Arial"/>
          <w:szCs w:val="16"/>
        </w:rPr>
      </w:pPr>
      <w:r w:rsidRPr="001B712C">
        <w:rPr>
          <w:rStyle w:val="Refdenotaalpie"/>
          <w:rFonts w:ascii="Arial" w:hAnsi="Arial" w:cs="Arial"/>
          <w:sz w:val="18"/>
          <w:szCs w:val="16"/>
        </w:rPr>
        <w:footnoteRef/>
      </w:r>
      <w:r w:rsidRPr="001B712C">
        <w:rPr>
          <w:rFonts w:ascii="Arial" w:hAnsi="Arial" w:cs="Arial"/>
          <w:szCs w:val="16"/>
        </w:rPr>
        <w:t xml:space="preserve"> Folios </w:t>
      </w:r>
      <w:r w:rsidR="00017F26" w:rsidRPr="001B712C">
        <w:rPr>
          <w:rFonts w:ascii="Arial" w:hAnsi="Arial" w:cs="Arial"/>
          <w:szCs w:val="16"/>
          <w:lang w:val="es-CO"/>
        </w:rPr>
        <w:t>1</w:t>
      </w:r>
      <w:r w:rsidRPr="001B712C">
        <w:rPr>
          <w:rFonts w:ascii="Arial" w:hAnsi="Arial" w:cs="Arial"/>
          <w:szCs w:val="16"/>
        </w:rPr>
        <w:t xml:space="preserve">2 a </w:t>
      </w:r>
      <w:r w:rsidR="00017F26" w:rsidRPr="001B712C">
        <w:rPr>
          <w:rFonts w:ascii="Arial" w:hAnsi="Arial" w:cs="Arial"/>
          <w:szCs w:val="16"/>
          <w:lang w:val="es-CO"/>
        </w:rPr>
        <w:t>18</w:t>
      </w:r>
      <w:r w:rsidR="00667187" w:rsidRPr="001B712C">
        <w:rPr>
          <w:rFonts w:ascii="Arial" w:hAnsi="Arial" w:cs="Arial"/>
          <w:szCs w:val="16"/>
          <w:lang w:val="es-CO"/>
        </w:rPr>
        <w:t xml:space="preserve"> </w:t>
      </w:r>
      <w:r w:rsidRPr="001B712C">
        <w:rPr>
          <w:rFonts w:ascii="Arial" w:hAnsi="Arial" w:cs="Arial"/>
          <w:szCs w:val="16"/>
        </w:rPr>
        <w:t>del expediente de tutela.</w:t>
      </w:r>
    </w:p>
  </w:footnote>
  <w:footnote w:id="4">
    <w:p w14:paraId="66EBBE1B" w14:textId="77777777" w:rsidR="009C2E9B" w:rsidRPr="001B712C" w:rsidRDefault="009C2E9B" w:rsidP="00C96FF3">
      <w:pPr>
        <w:pStyle w:val="Textonotapie"/>
        <w:rPr>
          <w:rFonts w:ascii="Arial" w:hAnsi="Arial" w:cs="Arial"/>
          <w:szCs w:val="16"/>
          <w:lang w:val="es-CO"/>
        </w:rPr>
      </w:pPr>
      <w:r w:rsidRPr="001B712C">
        <w:rPr>
          <w:rStyle w:val="Refdenotaalpie"/>
          <w:rFonts w:ascii="Arial" w:hAnsi="Arial" w:cs="Arial"/>
          <w:sz w:val="18"/>
          <w:szCs w:val="16"/>
        </w:rPr>
        <w:footnoteRef/>
      </w:r>
      <w:r w:rsidRPr="001B712C">
        <w:rPr>
          <w:rFonts w:ascii="Arial" w:hAnsi="Arial" w:cs="Arial"/>
          <w:szCs w:val="16"/>
        </w:rPr>
        <w:t xml:space="preserve"> </w:t>
      </w:r>
      <w:r w:rsidRPr="001B712C">
        <w:rPr>
          <w:rFonts w:ascii="Arial" w:hAnsi="Arial" w:cs="Arial"/>
          <w:szCs w:val="16"/>
          <w:lang w:val="es-CO"/>
        </w:rPr>
        <w:t>Folio 15 del expediente.</w:t>
      </w:r>
    </w:p>
  </w:footnote>
  <w:footnote w:id="5">
    <w:p w14:paraId="7CE90049" w14:textId="77777777" w:rsidR="001E370C" w:rsidRPr="001B712C" w:rsidRDefault="001E370C" w:rsidP="00C96FF3">
      <w:pPr>
        <w:pBdr>
          <w:top w:val="nil"/>
          <w:left w:val="nil"/>
          <w:bottom w:val="nil"/>
          <w:right w:val="nil"/>
          <w:between w:val="nil"/>
        </w:pBdr>
        <w:rPr>
          <w:rFonts w:ascii="Arial" w:hAnsi="Arial" w:cs="Arial"/>
          <w:color w:val="000000"/>
          <w:szCs w:val="16"/>
        </w:rPr>
      </w:pPr>
      <w:r w:rsidRPr="001B712C">
        <w:rPr>
          <w:rFonts w:ascii="Arial" w:hAnsi="Arial" w:cs="Arial"/>
          <w:szCs w:val="16"/>
          <w:vertAlign w:val="superscript"/>
        </w:rPr>
        <w:footnoteRef/>
      </w:r>
      <w:r w:rsidRPr="001B712C">
        <w:rPr>
          <w:rFonts w:ascii="Arial" w:hAnsi="Arial" w:cs="Arial"/>
          <w:color w:val="000000"/>
          <w:szCs w:val="16"/>
        </w:rPr>
        <w:t xml:space="preserve"> </w:t>
      </w:r>
      <w:r w:rsidR="00897D71" w:rsidRPr="001B712C">
        <w:rPr>
          <w:rFonts w:ascii="Arial" w:eastAsia="Verdana" w:hAnsi="Arial" w:cs="Arial"/>
          <w:color w:val="000000"/>
          <w:szCs w:val="16"/>
        </w:rPr>
        <w:t>Folio</w:t>
      </w:r>
      <w:r w:rsidR="0046202D" w:rsidRPr="001B712C">
        <w:rPr>
          <w:rFonts w:ascii="Arial" w:eastAsia="Verdana" w:hAnsi="Arial" w:cs="Arial"/>
          <w:color w:val="000000"/>
          <w:szCs w:val="16"/>
        </w:rPr>
        <w:t xml:space="preserve"> 28 </w:t>
      </w:r>
      <w:r w:rsidR="00897D71" w:rsidRPr="001B712C">
        <w:rPr>
          <w:rFonts w:ascii="Arial" w:eastAsia="Verdana" w:hAnsi="Arial" w:cs="Arial"/>
          <w:color w:val="000000"/>
          <w:szCs w:val="16"/>
        </w:rPr>
        <w:t xml:space="preserve">del expediente. </w:t>
      </w:r>
    </w:p>
  </w:footnote>
  <w:footnote w:id="6">
    <w:p w14:paraId="11BCFD63" w14:textId="77777777" w:rsidR="003255CF" w:rsidRPr="001B712C" w:rsidRDefault="003255CF" w:rsidP="00C96FF3">
      <w:pPr>
        <w:pStyle w:val="Textonotapie"/>
        <w:rPr>
          <w:rFonts w:ascii="Arial" w:hAnsi="Arial" w:cs="Arial"/>
          <w:szCs w:val="16"/>
          <w:lang w:val="es-CO"/>
        </w:rPr>
      </w:pPr>
      <w:r w:rsidRPr="001B712C">
        <w:rPr>
          <w:rStyle w:val="Refdenotaalpie"/>
          <w:rFonts w:ascii="Arial" w:hAnsi="Arial" w:cs="Arial"/>
          <w:sz w:val="18"/>
          <w:szCs w:val="16"/>
        </w:rPr>
        <w:footnoteRef/>
      </w:r>
      <w:r w:rsidRPr="001B712C">
        <w:rPr>
          <w:rFonts w:ascii="Arial" w:hAnsi="Arial" w:cs="Arial"/>
          <w:szCs w:val="16"/>
        </w:rPr>
        <w:t xml:space="preserve"> </w:t>
      </w:r>
      <w:r w:rsidRPr="001B712C">
        <w:rPr>
          <w:rFonts w:ascii="Arial" w:hAnsi="Arial" w:cs="Arial"/>
          <w:szCs w:val="16"/>
          <w:lang w:val="es-CO"/>
        </w:rPr>
        <w:t xml:space="preserve">Folio 30. </w:t>
      </w:r>
    </w:p>
  </w:footnote>
  <w:footnote w:id="7">
    <w:p w14:paraId="1A518507" w14:textId="77777777" w:rsidR="003255CF" w:rsidRPr="001B712C" w:rsidRDefault="003255CF" w:rsidP="00C96FF3">
      <w:pPr>
        <w:pStyle w:val="Textonotapie"/>
        <w:rPr>
          <w:rFonts w:ascii="Arial" w:hAnsi="Arial" w:cs="Arial"/>
          <w:szCs w:val="16"/>
          <w:lang w:val="es-CO"/>
        </w:rPr>
      </w:pPr>
      <w:r w:rsidRPr="001B712C">
        <w:rPr>
          <w:rStyle w:val="Refdenotaalpie"/>
          <w:rFonts w:ascii="Arial" w:hAnsi="Arial" w:cs="Arial"/>
          <w:sz w:val="18"/>
          <w:szCs w:val="16"/>
        </w:rPr>
        <w:footnoteRef/>
      </w:r>
      <w:r w:rsidRPr="001B712C">
        <w:rPr>
          <w:rFonts w:ascii="Arial" w:hAnsi="Arial" w:cs="Arial"/>
          <w:szCs w:val="16"/>
        </w:rPr>
        <w:t xml:space="preserve"> </w:t>
      </w:r>
      <w:proofErr w:type="spellStart"/>
      <w:r w:rsidRPr="001B712C">
        <w:rPr>
          <w:rFonts w:ascii="Arial" w:hAnsi="Arial" w:cs="Arial"/>
          <w:szCs w:val="16"/>
          <w:lang w:val="es-CO"/>
        </w:rPr>
        <w:t>Ibídem</w:t>
      </w:r>
      <w:proofErr w:type="spellEnd"/>
      <w:r w:rsidRPr="001B712C">
        <w:rPr>
          <w:rFonts w:ascii="Arial" w:hAnsi="Arial" w:cs="Arial"/>
          <w:szCs w:val="16"/>
          <w:lang w:val="es-CO"/>
        </w:rPr>
        <w:t xml:space="preserve">. </w:t>
      </w:r>
    </w:p>
  </w:footnote>
  <w:footnote w:id="8">
    <w:p w14:paraId="44690AA6" w14:textId="77777777" w:rsidR="00B243D7" w:rsidRPr="001B712C" w:rsidRDefault="00B243D7" w:rsidP="00C96FF3">
      <w:pPr>
        <w:pStyle w:val="Textonotapie"/>
        <w:rPr>
          <w:rFonts w:ascii="Arial" w:hAnsi="Arial" w:cs="Arial"/>
          <w:szCs w:val="16"/>
          <w:lang w:val="es-CO"/>
        </w:rPr>
      </w:pPr>
      <w:r w:rsidRPr="001B712C">
        <w:rPr>
          <w:rStyle w:val="Refdenotaalpie"/>
          <w:rFonts w:ascii="Arial" w:hAnsi="Arial" w:cs="Arial"/>
          <w:sz w:val="18"/>
          <w:szCs w:val="16"/>
        </w:rPr>
        <w:footnoteRef/>
      </w:r>
      <w:r w:rsidRPr="001B712C">
        <w:rPr>
          <w:rFonts w:ascii="Arial" w:hAnsi="Arial" w:cs="Arial"/>
          <w:szCs w:val="16"/>
        </w:rPr>
        <w:t xml:space="preserve"> </w:t>
      </w:r>
      <w:r w:rsidRPr="001B712C">
        <w:rPr>
          <w:rFonts w:ascii="Arial" w:hAnsi="Arial" w:cs="Arial"/>
          <w:szCs w:val="16"/>
          <w:lang w:val="es-CO"/>
        </w:rPr>
        <w:t xml:space="preserve">Folio 30 (vuelto). </w:t>
      </w:r>
    </w:p>
  </w:footnote>
  <w:footnote w:id="9">
    <w:p w14:paraId="0CCA697C" w14:textId="77777777" w:rsidR="001E370C" w:rsidRPr="001B712C" w:rsidRDefault="001E370C" w:rsidP="00C96FF3">
      <w:pPr>
        <w:shd w:val="clear" w:color="auto" w:fill="FFFFFF"/>
        <w:rPr>
          <w:rFonts w:ascii="Arial" w:eastAsia="Verdana" w:hAnsi="Arial" w:cs="Arial"/>
          <w:szCs w:val="16"/>
        </w:rPr>
      </w:pPr>
      <w:r w:rsidRPr="001B712C">
        <w:rPr>
          <w:rFonts w:ascii="Arial" w:hAnsi="Arial" w:cs="Arial"/>
          <w:szCs w:val="16"/>
          <w:vertAlign w:val="superscript"/>
        </w:rPr>
        <w:footnoteRef/>
      </w:r>
      <w:r w:rsidRPr="001B712C">
        <w:rPr>
          <w:rFonts w:ascii="Arial" w:eastAsia="Verdana" w:hAnsi="Arial" w:cs="Arial"/>
          <w:szCs w:val="16"/>
        </w:rPr>
        <w:t xml:space="preserve"> Ver sentencia del 31 de julio de 2012.</w:t>
      </w:r>
    </w:p>
  </w:footnote>
  <w:footnote w:id="10">
    <w:p w14:paraId="4C3D7218" w14:textId="77777777" w:rsidR="001E370C" w:rsidRPr="001B712C" w:rsidRDefault="001E370C" w:rsidP="00C96FF3">
      <w:pPr>
        <w:shd w:val="clear" w:color="auto" w:fill="FFFFFF"/>
        <w:rPr>
          <w:rFonts w:ascii="Arial" w:eastAsia="Verdana" w:hAnsi="Arial" w:cs="Arial"/>
          <w:szCs w:val="16"/>
        </w:rPr>
      </w:pPr>
      <w:r w:rsidRPr="001B712C">
        <w:rPr>
          <w:rFonts w:ascii="Arial" w:hAnsi="Arial" w:cs="Arial"/>
          <w:szCs w:val="16"/>
          <w:vertAlign w:val="superscript"/>
        </w:rPr>
        <w:footnoteRef/>
      </w:r>
      <w:r w:rsidRPr="001B712C">
        <w:rPr>
          <w:rFonts w:ascii="Arial" w:eastAsia="Verdana" w:hAnsi="Arial" w:cs="Arial"/>
          <w:szCs w:val="16"/>
        </w:rPr>
        <w:t xml:space="preserve"> Expediente (IJ) 11001-03-15-000-2012-02201-01.</w:t>
      </w:r>
    </w:p>
  </w:footnote>
  <w:footnote w:id="11">
    <w:p w14:paraId="6C4ED776" w14:textId="77777777" w:rsidR="001E370C" w:rsidRPr="001B712C" w:rsidRDefault="001E370C" w:rsidP="00C96FF3">
      <w:pPr>
        <w:rPr>
          <w:rFonts w:ascii="Arial" w:eastAsia="Verdana" w:hAnsi="Arial" w:cs="Arial"/>
          <w:szCs w:val="16"/>
        </w:rPr>
      </w:pPr>
      <w:r w:rsidRPr="001B712C">
        <w:rPr>
          <w:rFonts w:ascii="Arial" w:hAnsi="Arial" w:cs="Arial"/>
          <w:szCs w:val="16"/>
          <w:vertAlign w:val="superscript"/>
        </w:rPr>
        <w:footnoteRef/>
      </w:r>
      <w:r w:rsidRPr="001B712C">
        <w:rPr>
          <w:rFonts w:ascii="Arial" w:eastAsia="Verdana" w:hAnsi="Arial" w:cs="Arial"/>
          <w:szCs w:val="16"/>
        </w:rPr>
        <w:t xml:space="preserve"> SU-573 de 2017.</w:t>
      </w:r>
    </w:p>
  </w:footnote>
  <w:footnote w:id="12">
    <w:p w14:paraId="27ACB46B" w14:textId="77777777" w:rsidR="00DA4659" w:rsidRPr="001B712C" w:rsidRDefault="00DA4659" w:rsidP="00C96FF3">
      <w:pPr>
        <w:rPr>
          <w:rFonts w:ascii="Arial" w:eastAsia="Verdana" w:hAnsi="Arial" w:cs="Arial"/>
          <w:szCs w:val="16"/>
        </w:rPr>
      </w:pPr>
      <w:r w:rsidRPr="001B712C">
        <w:rPr>
          <w:rFonts w:ascii="Arial" w:hAnsi="Arial" w:cs="Arial"/>
          <w:szCs w:val="16"/>
          <w:vertAlign w:val="superscript"/>
        </w:rPr>
        <w:footnoteRef/>
      </w:r>
      <w:r w:rsidRPr="001B712C">
        <w:rPr>
          <w:rFonts w:ascii="Arial" w:eastAsia="Verdana" w:hAnsi="Arial" w:cs="Arial"/>
          <w:szCs w:val="16"/>
        </w:rPr>
        <w:t xml:space="preserve"> Sentencia del 5 de agosto de 2014 proferida por la Sala Plena del Consejo de Estado. Radicado número: 11001 03 15 000 2012 02201 01 (IJ). Actor: Alpina Productos Alimenticios S.A. Consejero Ponente: Jorge Octavio Ramírez </w:t>
      </w:r>
      <w:proofErr w:type="spellStart"/>
      <w:r w:rsidRPr="001B712C">
        <w:rPr>
          <w:rFonts w:ascii="Arial" w:eastAsia="Verdana" w:hAnsi="Arial" w:cs="Arial"/>
          <w:szCs w:val="16"/>
        </w:rPr>
        <w:t>Ramírez</w:t>
      </w:r>
      <w:proofErr w:type="spellEnd"/>
      <w:r w:rsidRPr="001B712C">
        <w:rPr>
          <w:rFonts w:ascii="Arial" w:eastAsia="Verdana" w:hAnsi="Arial" w:cs="Arial"/>
          <w:szCs w:val="16"/>
          <w:highlight w:val="whit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D7CDE"/>
    <w:multiLevelType w:val="multilevel"/>
    <w:tmpl w:val="3F1C9594"/>
    <w:lvl w:ilvl="0">
      <w:start w:val="1"/>
      <w:numFmt w:val="decimal"/>
      <w:lvlText w:val="%1."/>
      <w:lvlJc w:val="left"/>
      <w:pPr>
        <w:ind w:left="510" w:hanging="51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880" w:hanging="2880"/>
      </w:pPr>
      <w:rPr>
        <w:rFonts w:hint="default"/>
        <w:b/>
      </w:rPr>
    </w:lvl>
  </w:abstractNum>
  <w:abstractNum w:abstractNumId="1" w15:restartNumberingAfterBreak="0">
    <w:nsid w:val="0C6D74DF"/>
    <w:multiLevelType w:val="multilevel"/>
    <w:tmpl w:val="B720E15E"/>
    <w:lvl w:ilvl="0">
      <w:start w:val="1"/>
      <w:numFmt w:val="decimal"/>
      <w:lvlText w:val="%1."/>
      <w:lvlJc w:val="left"/>
      <w:pPr>
        <w:ind w:left="927" w:hanging="360"/>
      </w:pPr>
      <w:rPr>
        <w:rFonts w:ascii="Verdana" w:eastAsia="Verdana" w:hAnsi="Verdana" w:cs="Verdana"/>
        <w:b/>
        <w:sz w:val="24"/>
        <w:szCs w:val="24"/>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2" w15:restartNumberingAfterBreak="0">
    <w:nsid w:val="35303BF9"/>
    <w:multiLevelType w:val="hybridMultilevel"/>
    <w:tmpl w:val="D62C0E7E"/>
    <w:lvl w:ilvl="0" w:tplc="8390C0BE">
      <w:numFmt w:val="bullet"/>
      <w:lvlText w:val="-"/>
      <w:lvlJc w:val="left"/>
      <w:pPr>
        <w:ind w:left="1800" w:hanging="360"/>
      </w:pPr>
      <w:rPr>
        <w:rFonts w:ascii="Verdana" w:eastAsia="Verdana" w:hAnsi="Verdana" w:cs="Verdana" w:hint="default"/>
      </w:rPr>
    </w:lvl>
    <w:lvl w:ilvl="1" w:tplc="0C0A0003">
      <w:start w:val="1"/>
      <w:numFmt w:val="bullet"/>
      <w:lvlText w:val="o"/>
      <w:lvlJc w:val="left"/>
      <w:pPr>
        <w:ind w:left="2520" w:hanging="360"/>
      </w:pPr>
      <w:rPr>
        <w:rFonts w:ascii="Courier New" w:hAnsi="Courier New" w:cs="Courier New" w:hint="default"/>
      </w:rPr>
    </w:lvl>
    <w:lvl w:ilvl="2" w:tplc="0C0A0005">
      <w:start w:val="1"/>
      <w:numFmt w:val="bullet"/>
      <w:lvlText w:val=""/>
      <w:lvlJc w:val="left"/>
      <w:pPr>
        <w:ind w:left="3240" w:hanging="360"/>
      </w:pPr>
      <w:rPr>
        <w:rFonts w:ascii="Wingdings" w:hAnsi="Wingdings" w:hint="default"/>
      </w:rPr>
    </w:lvl>
    <w:lvl w:ilvl="3" w:tplc="0C0A0001">
      <w:start w:val="1"/>
      <w:numFmt w:val="bullet"/>
      <w:lvlText w:val=""/>
      <w:lvlJc w:val="left"/>
      <w:pPr>
        <w:ind w:left="3960" w:hanging="360"/>
      </w:pPr>
      <w:rPr>
        <w:rFonts w:ascii="Symbol" w:hAnsi="Symbol" w:hint="default"/>
      </w:rPr>
    </w:lvl>
    <w:lvl w:ilvl="4" w:tplc="0C0A0003">
      <w:start w:val="1"/>
      <w:numFmt w:val="bullet"/>
      <w:lvlText w:val="o"/>
      <w:lvlJc w:val="left"/>
      <w:pPr>
        <w:ind w:left="4680" w:hanging="360"/>
      </w:pPr>
      <w:rPr>
        <w:rFonts w:ascii="Courier New" w:hAnsi="Courier New" w:cs="Courier New" w:hint="default"/>
      </w:rPr>
    </w:lvl>
    <w:lvl w:ilvl="5" w:tplc="0C0A0005">
      <w:start w:val="1"/>
      <w:numFmt w:val="bullet"/>
      <w:lvlText w:val=""/>
      <w:lvlJc w:val="left"/>
      <w:pPr>
        <w:ind w:left="5400" w:hanging="360"/>
      </w:pPr>
      <w:rPr>
        <w:rFonts w:ascii="Wingdings" w:hAnsi="Wingdings" w:hint="default"/>
      </w:rPr>
    </w:lvl>
    <w:lvl w:ilvl="6" w:tplc="0C0A0001">
      <w:start w:val="1"/>
      <w:numFmt w:val="bullet"/>
      <w:lvlText w:val=""/>
      <w:lvlJc w:val="left"/>
      <w:pPr>
        <w:ind w:left="6120" w:hanging="360"/>
      </w:pPr>
      <w:rPr>
        <w:rFonts w:ascii="Symbol" w:hAnsi="Symbol" w:hint="default"/>
      </w:rPr>
    </w:lvl>
    <w:lvl w:ilvl="7" w:tplc="0C0A0003">
      <w:start w:val="1"/>
      <w:numFmt w:val="bullet"/>
      <w:lvlText w:val="o"/>
      <w:lvlJc w:val="left"/>
      <w:pPr>
        <w:ind w:left="6840" w:hanging="360"/>
      </w:pPr>
      <w:rPr>
        <w:rFonts w:ascii="Courier New" w:hAnsi="Courier New" w:cs="Courier New" w:hint="default"/>
      </w:rPr>
    </w:lvl>
    <w:lvl w:ilvl="8" w:tplc="0C0A0005">
      <w:start w:val="1"/>
      <w:numFmt w:val="bullet"/>
      <w:lvlText w:val=""/>
      <w:lvlJc w:val="left"/>
      <w:pPr>
        <w:ind w:left="7560" w:hanging="360"/>
      </w:pPr>
      <w:rPr>
        <w:rFonts w:ascii="Wingdings" w:hAnsi="Wingdings" w:hint="default"/>
      </w:rPr>
    </w:lvl>
  </w:abstractNum>
  <w:abstractNum w:abstractNumId="3" w15:restartNumberingAfterBreak="0">
    <w:nsid w:val="35B10BFE"/>
    <w:multiLevelType w:val="multilevel"/>
    <w:tmpl w:val="FA869F14"/>
    <w:lvl w:ilvl="0">
      <w:start w:val="1"/>
      <w:numFmt w:val="decimal"/>
      <w:lvlText w:val="%1."/>
      <w:lvlJc w:val="left"/>
      <w:pPr>
        <w:ind w:left="720" w:hanging="360"/>
      </w:pPr>
      <w:rPr>
        <w:b/>
      </w:rPr>
    </w:lvl>
    <w:lvl w:ilvl="1">
      <w:start w:val="3"/>
      <w:numFmt w:val="decimal"/>
      <w:isLgl/>
      <w:lvlText w:val="%1.%2."/>
      <w:lvlJc w:val="left"/>
      <w:pPr>
        <w:ind w:left="1080" w:hanging="720"/>
      </w:pPr>
      <w:rPr>
        <w:b w:val="0"/>
      </w:rPr>
    </w:lvl>
    <w:lvl w:ilvl="2">
      <w:start w:val="1"/>
      <w:numFmt w:val="decimal"/>
      <w:isLgl/>
      <w:lvlText w:val="%1.%2.%3."/>
      <w:lvlJc w:val="left"/>
      <w:pPr>
        <w:ind w:left="1440" w:hanging="1080"/>
      </w:pPr>
    </w:lvl>
    <w:lvl w:ilvl="3">
      <w:start w:val="1"/>
      <w:numFmt w:val="decimal"/>
      <w:isLgl/>
      <w:lvlText w:val="%1.%2.%3.%4."/>
      <w:lvlJc w:val="left"/>
      <w:pPr>
        <w:ind w:left="1800" w:hanging="144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3240" w:hanging="2880"/>
      </w:pPr>
    </w:lvl>
  </w:abstractNum>
  <w:abstractNum w:abstractNumId="4" w15:restartNumberingAfterBreak="0">
    <w:nsid w:val="3EBA3084"/>
    <w:multiLevelType w:val="multilevel"/>
    <w:tmpl w:val="897CCB34"/>
    <w:lvl w:ilvl="0">
      <w:start w:val="1"/>
      <w:numFmt w:val="decimal"/>
      <w:lvlText w:val="%1."/>
      <w:lvlJc w:val="left"/>
      <w:pPr>
        <w:ind w:left="1068" w:hanging="360"/>
      </w:pPr>
      <w:rPr>
        <w:rFonts w:ascii="Verdana" w:hAnsi="Verdana" w:hint="default"/>
        <w:b/>
        <w:vertAlign w:val="baseline"/>
      </w:rPr>
    </w:lvl>
    <w:lvl w:ilvl="1">
      <w:start w:val="2"/>
      <w:numFmt w:val="decimal"/>
      <w:lvlText w:val="%1.%2"/>
      <w:lvlJc w:val="left"/>
      <w:pPr>
        <w:ind w:left="1158" w:hanging="450"/>
      </w:pPr>
      <w:rPr>
        <w:vertAlign w:val="baseline"/>
      </w:rPr>
    </w:lvl>
    <w:lvl w:ilvl="2">
      <w:start w:val="1"/>
      <w:numFmt w:val="decimal"/>
      <w:lvlText w:val="%1.%2.%3"/>
      <w:lvlJc w:val="left"/>
      <w:pPr>
        <w:ind w:left="1428" w:hanging="719"/>
      </w:pPr>
      <w:rPr>
        <w:vertAlign w:val="baseline"/>
      </w:rPr>
    </w:lvl>
    <w:lvl w:ilvl="3">
      <w:start w:val="1"/>
      <w:numFmt w:val="decimal"/>
      <w:lvlText w:val="%1.%2.%3.%4"/>
      <w:lvlJc w:val="left"/>
      <w:pPr>
        <w:ind w:left="1788" w:hanging="1080"/>
      </w:pPr>
      <w:rPr>
        <w:vertAlign w:val="baseline"/>
      </w:rPr>
    </w:lvl>
    <w:lvl w:ilvl="4">
      <w:start w:val="1"/>
      <w:numFmt w:val="decimal"/>
      <w:lvlText w:val="%1.%2.%3.%4.%5"/>
      <w:lvlJc w:val="left"/>
      <w:pPr>
        <w:ind w:left="1788" w:hanging="1080"/>
      </w:pPr>
      <w:rPr>
        <w:vertAlign w:val="baseline"/>
      </w:rPr>
    </w:lvl>
    <w:lvl w:ilvl="5">
      <w:start w:val="1"/>
      <w:numFmt w:val="decimal"/>
      <w:lvlText w:val="%1.%2.%3.%4.%5.%6"/>
      <w:lvlJc w:val="left"/>
      <w:pPr>
        <w:ind w:left="2148" w:hanging="1440"/>
      </w:pPr>
      <w:rPr>
        <w:vertAlign w:val="baseline"/>
      </w:rPr>
    </w:lvl>
    <w:lvl w:ilvl="6">
      <w:start w:val="1"/>
      <w:numFmt w:val="decimal"/>
      <w:lvlText w:val="%1.%2.%3.%4.%5.%6.%7"/>
      <w:lvlJc w:val="left"/>
      <w:pPr>
        <w:ind w:left="2148" w:hanging="1440"/>
      </w:pPr>
      <w:rPr>
        <w:vertAlign w:val="baseline"/>
      </w:rPr>
    </w:lvl>
    <w:lvl w:ilvl="7">
      <w:start w:val="1"/>
      <w:numFmt w:val="decimal"/>
      <w:lvlText w:val="%1.%2.%3.%4.%5.%6.%7.%8"/>
      <w:lvlJc w:val="left"/>
      <w:pPr>
        <w:ind w:left="2508" w:hanging="1800"/>
      </w:pPr>
      <w:rPr>
        <w:vertAlign w:val="baseline"/>
      </w:rPr>
    </w:lvl>
    <w:lvl w:ilvl="8">
      <w:start w:val="1"/>
      <w:numFmt w:val="decimal"/>
      <w:lvlText w:val="%1.%2.%3.%4.%5.%6.%7.%8.%9"/>
      <w:lvlJc w:val="left"/>
      <w:pPr>
        <w:ind w:left="2508" w:hanging="1800"/>
      </w:pPr>
      <w:rPr>
        <w:vertAlign w:val="baseline"/>
      </w:rPr>
    </w:lvl>
  </w:abstractNum>
  <w:abstractNum w:abstractNumId="5" w15:restartNumberingAfterBreak="0">
    <w:nsid w:val="73847038"/>
    <w:multiLevelType w:val="hybridMultilevel"/>
    <w:tmpl w:val="4B8A4E64"/>
    <w:lvl w:ilvl="0" w:tplc="BAC81162">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4"/>
  </w:num>
  <w:num w:numId="2">
    <w:abstractNumId w:val="1"/>
  </w:num>
  <w:num w:numId="3">
    <w:abstractNumId w:val="0"/>
  </w:num>
  <w:num w:numId="4">
    <w:abstractNumId w:val="5"/>
  </w:num>
  <w:num w:numId="5">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70C"/>
    <w:rsid w:val="00003AB6"/>
    <w:rsid w:val="0001382A"/>
    <w:rsid w:val="00017F26"/>
    <w:rsid w:val="000402BF"/>
    <w:rsid w:val="00091FFD"/>
    <w:rsid w:val="000B4B50"/>
    <w:rsid w:val="001234BB"/>
    <w:rsid w:val="001251C5"/>
    <w:rsid w:val="00191ECA"/>
    <w:rsid w:val="00195979"/>
    <w:rsid w:val="001B312B"/>
    <w:rsid w:val="001B712C"/>
    <w:rsid w:val="001C2199"/>
    <w:rsid w:val="001D048F"/>
    <w:rsid w:val="001D792F"/>
    <w:rsid w:val="001E370C"/>
    <w:rsid w:val="00223017"/>
    <w:rsid w:val="002366AB"/>
    <w:rsid w:val="00252391"/>
    <w:rsid w:val="0029350C"/>
    <w:rsid w:val="002B4980"/>
    <w:rsid w:val="002C2835"/>
    <w:rsid w:val="002C3BFA"/>
    <w:rsid w:val="002D6E06"/>
    <w:rsid w:val="003002A3"/>
    <w:rsid w:val="003255CF"/>
    <w:rsid w:val="00333DC5"/>
    <w:rsid w:val="003363C3"/>
    <w:rsid w:val="00336920"/>
    <w:rsid w:val="00345EEE"/>
    <w:rsid w:val="00385A57"/>
    <w:rsid w:val="0042107E"/>
    <w:rsid w:val="00431349"/>
    <w:rsid w:val="004575D0"/>
    <w:rsid w:val="0046202D"/>
    <w:rsid w:val="00470C3D"/>
    <w:rsid w:val="00495EFA"/>
    <w:rsid w:val="004A60FB"/>
    <w:rsid w:val="004A7810"/>
    <w:rsid w:val="004D68A5"/>
    <w:rsid w:val="00502538"/>
    <w:rsid w:val="00503BA7"/>
    <w:rsid w:val="00507F96"/>
    <w:rsid w:val="0052091B"/>
    <w:rsid w:val="00525948"/>
    <w:rsid w:val="00556E07"/>
    <w:rsid w:val="005648F5"/>
    <w:rsid w:val="005A1B4D"/>
    <w:rsid w:val="005B0405"/>
    <w:rsid w:val="005D32B9"/>
    <w:rsid w:val="005D52B4"/>
    <w:rsid w:val="0062423F"/>
    <w:rsid w:val="0062761E"/>
    <w:rsid w:val="00627A7E"/>
    <w:rsid w:val="006319CD"/>
    <w:rsid w:val="00667187"/>
    <w:rsid w:val="006709AF"/>
    <w:rsid w:val="006C2A53"/>
    <w:rsid w:val="006C2F4C"/>
    <w:rsid w:val="006D7D11"/>
    <w:rsid w:val="006E31B8"/>
    <w:rsid w:val="006E6C93"/>
    <w:rsid w:val="007109B4"/>
    <w:rsid w:val="00770560"/>
    <w:rsid w:val="00784BC2"/>
    <w:rsid w:val="007D3445"/>
    <w:rsid w:val="007F2C65"/>
    <w:rsid w:val="00813951"/>
    <w:rsid w:val="00813E92"/>
    <w:rsid w:val="00892A3D"/>
    <w:rsid w:val="00897D71"/>
    <w:rsid w:val="008A1E2D"/>
    <w:rsid w:val="008B4D97"/>
    <w:rsid w:val="008B667A"/>
    <w:rsid w:val="009056BF"/>
    <w:rsid w:val="00966294"/>
    <w:rsid w:val="009B4C88"/>
    <w:rsid w:val="009C2E9B"/>
    <w:rsid w:val="009C742F"/>
    <w:rsid w:val="009E3420"/>
    <w:rsid w:val="00A85259"/>
    <w:rsid w:val="00AE7524"/>
    <w:rsid w:val="00B01B7B"/>
    <w:rsid w:val="00B231E1"/>
    <w:rsid w:val="00B243D7"/>
    <w:rsid w:val="00B34F58"/>
    <w:rsid w:val="00BA3F99"/>
    <w:rsid w:val="00C01FEA"/>
    <w:rsid w:val="00C14BD6"/>
    <w:rsid w:val="00C36897"/>
    <w:rsid w:val="00C46B6D"/>
    <w:rsid w:val="00C96FF3"/>
    <w:rsid w:val="00CA778D"/>
    <w:rsid w:val="00CB1EE2"/>
    <w:rsid w:val="00CC45EF"/>
    <w:rsid w:val="00D36D9A"/>
    <w:rsid w:val="00D575CE"/>
    <w:rsid w:val="00D64DB0"/>
    <w:rsid w:val="00D771B3"/>
    <w:rsid w:val="00D85146"/>
    <w:rsid w:val="00D85DBE"/>
    <w:rsid w:val="00DA4659"/>
    <w:rsid w:val="00E3036F"/>
    <w:rsid w:val="00E41784"/>
    <w:rsid w:val="00E57C5B"/>
    <w:rsid w:val="00E72D28"/>
    <w:rsid w:val="00E904D1"/>
    <w:rsid w:val="00EE6B5E"/>
    <w:rsid w:val="00EF4616"/>
    <w:rsid w:val="00F00A1C"/>
    <w:rsid w:val="00F37E80"/>
    <w:rsid w:val="00F62AC4"/>
    <w:rsid w:val="00F67EBE"/>
    <w:rsid w:val="00FB4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78723"/>
  <w15:chartTrackingRefBased/>
  <w15:docId w15:val="{E653A49E-0E90-4104-A024-DF08ADF31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Calibri" w:hAnsi="Verdan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E370C"/>
    <w:pPr>
      <w:jc w:val="both"/>
    </w:pPr>
    <w:rPr>
      <w:rFonts w:ascii="Palatino Linotype" w:eastAsia="Palatino Linotype" w:hAnsi="Palatino Linotype" w:cs="Palatino Linotype"/>
      <w:sz w:val="18"/>
      <w:szCs w:val="18"/>
      <w:lang w:val="es-ES" w:eastAsia="es-ES"/>
    </w:rPr>
  </w:style>
  <w:style w:type="paragraph" w:styleId="Ttulo1">
    <w:name w:val="heading 1"/>
    <w:basedOn w:val="Normal"/>
    <w:next w:val="Normal"/>
    <w:link w:val="Ttulo1Car"/>
    <w:qFormat/>
    <w:rsid w:val="00431349"/>
    <w:pPr>
      <w:keepNext/>
      <w:spacing w:line="360" w:lineRule="auto"/>
      <w:outlineLvl w:val="0"/>
    </w:pPr>
    <w:rPr>
      <w:rFonts w:ascii="Arial" w:hAnsi="Arial"/>
      <w:b/>
      <w:bCs/>
      <w:sz w:val="26"/>
      <w:szCs w:val="24"/>
      <w:u w:val="single"/>
      <w:lang w:val="x-none" w:eastAsia="x-none"/>
    </w:rPr>
  </w:style>
  <w:style w:type="paragraph" w:styleId="Ttulo3">
    <w:name w:val="heading 3"/>
    <w:basedOn w:val="Normal"/>
    <w:next w:val="Normal"/>
    <w:link w:val="Ttulo3Car"/>
    <w:qFormat/>
    <w:rsid w:val="00431349"/>
    <w:pPr>
      <w:keepNext/>
      <w:spacing w:before="240" w:after="60"/>
      <w:outlineLvl w:val="2"/>
    </w:pPr>
    <w:rPr>
      <w:rFonts w:ascii="Arial" w:eastAsia="Times New Roman" w:hAnsi="Arial"/>
      <w:b/>
      <w:bCs/>
      <w:sz w:val="26"/>
      <w:szCs w:val="26"/>
      <w:lang w:eastAsia="x-none"/>
    </w:rPr>
  </w:style>
  <w:style w:type="paragraph" w:styleId="Ttulo4">
    <w:name w:val="heading 4"/>
    <w:basedOn w:val="Normal"/>
    <w:next w:val="Normal"/>
    <w:link w:val="Ttulo4Car"/>
    <w:uiPriority w:val="9"/>
    <w:qFormat/>
    <w:rsid w:val="00431349"/>
    <w:pPr>
      <w:keepNext/>
      <w:spacing w:before="240" w:after="60"/>
      <w:outlineLvl w:val="3"/>
    </w:pPr>
    <w:rPr>
      <w:rFonts w:eastAsia="Times New Roman"/>
      <w:b/>
      <w:bCs/>
      <w:sz w:val="28"/>
      <w:szCs w:val="28"/>
    </w:rPr>
  </w:style>
  <w:style w:type="paragraph" w:styleId="Ttulo9">
    <w:name w:val="heading 9"/>
    <w:basedOn w:val="Normal"/>
    <w:next w:val="Normal"/>
    <w:link w:val="Ttulo9Car"/>
    <w:uiPriority w:val="9"/>
    <w:qFormat/>
    <w:rsid w:val="00431349"/>
    <w:pPr>
      <w:spacing w:before="240" w:after="60"/>
      <w:outlineLvl w:val="8"/>
    </w:pPr>
    <w:rPr>
      <w:rFonts w:ascii="Calibri Light" w:eastAsia="Times New Roman" w:hAnsi="Calibri Ligh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Texto de nota al pie,referencia nota al pie,Ref. de nota al pie 2,Pie de Página,FC,Texto de nota al pi,Appel note de bas de page,Footnotes refss,Footnote number,BVI fnr,f,4_G,16 Point,Superscript 6 Point,Texto nota al pie,Nota a pie"/>
    <w:qFormat/>
    <w:rsid w:val="00EE6B5E"/>
    <w:rPr>
      <w:rFonts w:ascii="Verdana" w:hAnsi="Verdana"/>
      <w:color w:val="auto"/>
      <w:sz w:val="24"/>
      <w:vertAlign w:val="superscript"/>
    </w:rPr>
  </w:style>
  <w:style w:type="paragraph" w:customStyle="1" w:styleId="BodyText31">
    <w:name w:val="Body Text 31"/>
    <w:basedOn w:val="Normal"/>
    <w:rsid w:val="00431349"/>
    <w:pPr>
      <w:overflowPunct w:val="0"/>
      <w:autoSpaceDE w:val="0"/>
      <w:autoSpaceDN w:val="0"/>
      <w:adjustRightInd w:val="0"/>
      <w:spacing w:line="360" w:lineRule="auto"/>
      <w:textAlignment w:val="baseline"/>
    </w:pPr>
    <w:rPr>
      <w:rFonts w:ascii="Arial" w:eastAsia="Times New Roman" w:hAnsi="Arial" w:cs="Arial"/>
      <w:sz w:val="28"/>
      <w:szCs w:val="28"/>
      <w:lang w:val="es-ES_tradnl"/>
    </w:rPr>
  </w:style>
  <w:style w:type="paragraph" w:customStyle="1" w:styleId="Sangra3detindependiente1">
    <w:name w:val="Sangría 3 de t. independiente1"/>
    <w:basedOn w:val="Normal"/>
    <w:rsid w:val="00431349"/>
    <w:pPr>
      <w:overflowPunct w:val="0"/>
      <w:autoSpaceDE w:val="0"/>
      <w:autoSpaceDN w:val="0"/>
      <w:adjustRightInd w:val="0"/>
      <w:spacing w:after="120"/>
      <w:ind w:left="283"/>
      <w:textAlignment w:val="baseline"/>
    </w:pPr>
    <w:rPr>
      <w:rFonts w:ascii="Times New Roman" w:eastAsia="Times New Roman" w:hAnsi="Times New Roman"/>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rsid w:val="00431349"/>
    <w:rPr>
      <w:lang w:eastAsia="en-US"/>
    </w:rPr>
  </w:style>
  <w:style w:type="character" w:customStyle="1" w:styleId="apple-converted-space">
    <w:name w:val="apple-converted-space"/>
    <w:rsid w:val="00431349"/>
  </w:style>
  <w:style w:type="paragraph" w:customStyle="1" w:styleId="ecxmsobodytext2">
    <w:name w:val="ecxmsobodytext2"/>
    <w:basedOn w:val="Normal"/>
    <w:rsid w:val="00431349"/>
    <w:pPr>
      <w:spacing w:before="100" w:beforeAutospacing="1" w:after="100" w:afterAutospacing="1"/>
    </w:pPr>
    <w:rPr>
      <w:rFonts w:ascii="Times New Roman" w:eastAsia="Times New Roman" w:hAnsi="Times New Roman"/>
      <w:sz w:val="24"/>
      <w:szCs w:val="24"/>
      <w:lang w:eastAsia="es-CO"/>
    </w:rPr>
  </w:style>
  <w:style w:type="paragraph" w:customStyle="1" w:styleId="Listavistosa-nfasis11">
    <w:name w:val="Lista vistosa - Énfasis 11"/>
    <w:basedOn w:val="Normal"/>
    <w:uiPriority w:val="34"/>
    <w:qFormat/>
    <w:rsid w:val="00431349"/>
    <w:pPr>
      <w:ind w:left="708"/>
    </w:pPr>
  </w:style>
  <w:style w:type="paragraph" w:customStyle="1" w:styleId="pa8">
    <w:name w:val="pa8"/>
    <w:basedOn w:val="Normal"/>
    <w:rsid w:val="00431349"/>
    <w:pPr>
      <w:spacing w:before="100" w:beforeAutospacing="1" w:after="100" w:afterAutospacing="1"/>
    </w:pPr>
    <w:rPr>
      <w:rFonts w:ascii="Times New Roman" w:eastAsia="Times New Roman" w:hAnsi="Times New Roman"/>
      <w:sz w:val="24"/>
      <w:szCs w:val="24"/>
    </w:rPr>
  </w:style>
  <w:style w:type="character" w:customStyle="1" w:styleId="a0">
    <w:name w:val="a0"/>
    <w:rsid w:val="00431349"/>
  </w:style>
  <w:style w:type="paragraph" w:customStyle="1" w:styleId="default">
    <w:name w:val="default"/>
    <w:basedOn w:val="Normal"/>
    <w:rsid w:val="00431349"/>
    <w:pPr>
      <w:spacing w:before="100" w:beforeAutospacing="1" w:after="100" w:afterAutospacing="1"/>
    </w:pPr>
    <w:rPr>
      <w:rFonts w:ascii="Times New Roman" w:eastAsia="Times New Roman" w:hAnsi="Times New Roman"/>
      <w:sz w:val="24"/>
      <w:szCs w:val="24"/>
    </w:rPr>
  </w:style>
  <w:style w:type="character" w:customStyle="1" w:styleId="textonavy">
    <w:name w:val="texto_navy"/>
    <w:rsid w:val="00431349"/>
  </w:style>
  <w:style w:type="paragraph" w:customStyle="1" w:styleId="ecxmsonormal">
    <w:name w:val="ecxmsonormal"/>
    <w:basedOn w:val="Normal"/>
    <w:rsid w:val="00431349"/>
    <w:pPr>
      <w:spacing w:before="100" w:beforeAutospacing="1" w:after="100" w:afterAutospacing="1"/>
    </w:pPr>
    <w:rPr>
      <w:rFonts w:ascii="Times New Roman" w:eastAsia="Times New Roman" w:hAnsi="Times New Roman"/>
      <w:sz w:val="24"/>
      <w:szCs w:val="24"/>
      <w:lang w:eastAsia="es-CO"/>
    </w:rPr>
  </w:style>
  <w:style w:type="paragraph" w:customStyle="1" w:styleId="Textodebloque1">
    <w:name w:val="Texto de bloque1"/>
    <w:basedOn w:val="Normal"/>
    <w:rsid w:val="00431349"/>
    <w:pPr>
      <w:widowControl w:val="0"/>
      <w:tabs>
        <w:tab w:val="left" w:pos="2160"/>
        <w:tab w:val="left" w:pos="4464"/>
        <w:tab w:val="left" w:pos="5328"/>
      </w:tabs>
      <w:suppressAutoHyphens/>
      <w:overflowPunct w:val="0"/>
      <w:autoSpaceDE w:val="0"/>
      <w:ind w:left="720" w:right="432"/>
      <w:textAlignment w:val="baseline"/>
    </w:pPr>
    <w:rPr>
      <w:rFonts w:ascii="Arial" w:eastAsia="Times New Roman" w:hAnsi="Arial" w:cs="Arial"/>
      <w:i/>
      <w:spacing w:val="-3"/>
      <w:lang w:eastAsia="zh-CN"/>
    </w:rPr>
  </w:style>
  <w:style w:type="paragraph" w:customStyle="1" w:styleId="Textodebloque2">
    <w:name w:val="Texto de bloque2"/>
    <w:basedOn w:val="Normal"/>
    <w:rsid w:val="00431349"/>
    <w:pPr>
      <w:overflowPunct w:val="0"/>
      <w:autoSpaceDE w:val="0"/>
      <w:autoSpaceDN w:val="0"/>
      <w:adjustRightInd w:val="0"/>
      <w:ind w:left="567" w:right="618"/>
      <w:textAlignment w:val="baseline"/>
    </w:pPr>
    <w:rPr>
      <w:rFonts w:ascii="Arial" w:eastAsia="Times New Roman" w:hAnsi="Arial"/>
      <w:i/>
      <w:lang w:val="es-ES_tradnl"/>
    </w:rPr>
  </w:style>
  <w:style w:type="paragraph" w:customStyle="1" w:styleId="Textoindependiente21">
    <w:name w:val="Texto independiente 21"/>
    <w:basedOn w:val="Normal"/>
    <w:rsid w:val="003363C3"/>
    <w:pPr>
      <w:overflowPunct w:val="0"/>
      <w:autoSpaceDE w:val="0"/>
      <w:autoSpaceDN w:val="0"/>
      <w:adjustRightInd w:val="0"/>
      <w:spacing w:line="360" w:lineRule="auto"/>
      <w:ind w:firstLine="709"/>
    </w:pPr>
    <w:rPr>
      <w:rFonts w:ascii="Century Gothic" w:eastAsia="Times New Roman" w:hAnsi="Century Gothic"/>
      <w:kern w:val="28"/>
      <w:lang w:val="es-ES_tradnl"/>
    </w:rPr>
  </w:style>
  <w:style w:type="character" w:customStyle="1" w:styleId="Ttulo1Car">
    <w:name w:val="Título 1 Car"/>
    <w:link w:val="Ttulo1"/>
    <w:rsid w:val="00431349"/>
    <w:rPr>
      <w:rFonts w:ascii="Arial" w:eastAsia="Calibri" w:hAnsi="Arial"/>
      <w:b/>
      <w:bCs/>
      <w:sz w:val="26"/>
      <w:szCs w:val="24"/>
      <w:u w:val="single"/>
      <w:lang w:val="x-none" w:eastAsia="x-none"/>
    </w:rPr>
  </w:style>
  <w:style w:type="character" w:customStyle="1" w:styleId="Ttulo3Car">
    <w:name w:val="Título 3 Car"/>
    <w:link w:val="Ttulo3"/>
    <w:rsid w:val="00431349"/>
    <w:rPr>
      <w:rFonts w:ascii="Arial" w:eastAsia="Times New Roman" w:hAnsi="Arial"/>
      <w:b/>
      <w:bCs/>
      <w:sz w:val="26"/>
      <w:szCs w:val="26"/>
      <w:lang w:val="es-CO" w:eastAsia="x-none"/>
    </w:rPr>
  </w:style>
  <w:style w:type="character" w:customStyle="1" w:styleId="Ttulo4Car">
    <w:name w:val="Título 4 Car"/>
    <w:link w:val="Ttulo4"/>
    <w:uiPriority w:val="9"/>
    <w:rsid w:val="00431349"/>
    <w:rPr>
      <w:rFonts w:eastAsia="Times New Roman"/>
      <w:b/>
      <w:bCs/>
      <w:sz w:val="28"/>
      <w:szCs w:val="28"/>
    </w:rPr>
  </w:style>
  <w:style w:type="character" w:customStyle="1" w:styleId="Ttulo9Car">
    <w:name w:val="Título 9 Car"/>
    <w:link w:val="Ttulo9"/>
    <w:uiPriority w:val="9"/>
    <w:rsid w:val="00431349"/>
    <w:rPr>
      <w:rFonts w:ascii="Calibri Light" w:eastAsia="Times New Roman" w:hAnsi="Calibri Light"/>
      <w:sz w:val="22"/>
      <w:szCs w:val="22"/>
    </w:rPr>
  </w:style>
  <w:style w:type="paragraph" w:styleId="Textonotapie">
    <w:name w:val="footnote text"/>
    <w:aliases w:val="Footnote Text Char Char Char Char Char,Footnote Text Char Char Char Char,Footnote reference,FA Fu,Footnote Text Char Char Char,Footnote Text Char Char Char Char Char Char Char Char,Footnote Text Char,texto de nota al pi,texto de nota al p"/>
    <w:basedOn w:val="Normal"/>
    <w:link w:val="TextonotapieCar1"/>
    <w:qFormat/>
    <w:rsid w:val="004A60FB"/>
    <w:rPr>
      <w:rFonts w:eastAsia="Times New Roman"/>
      <w:lang w:val="x-none" w:eastAsia="x-none"/>
    </w:rPr>
  </w:style>
  <w:style w:type="character" w:customStyle="1" w:styleId="TextonotapieCar1">
    <w:name w:val="Texto nota pie Car1"/>
    <w:aliases w:val="Footnote Text Char Char Char Char Char Car,Footnote Text Char Char Char Char Car,Footnote reference Car,FA Fu Car,Footnote Text Char Char Char Car,Footnote Text Char Char Char Char Char Char Char Char Car,Footnote Text Char Car"/>
    <w:link w:val="Textonotapie"/>
    <w:rsid w:val="004A60FB"/>
    <w:rPr>
      <w:rFonts w:eastAsia="Times New Roman"/>
      <w:lang w:val="x-none" w:eastAsia="x-none"/>
    </w:rPr>
  </w:style>
  <w:style w:type="paragraph" w:styleId="Textocomentario">
    <w:name w:val="annotation text"/>
    <w:basedOn w:val="Normal"/>
    <w:link w:val="TextocomentarioCar"/>
    <w:uiPriority w:val="99"/>
    <w:semiHidden/>
    <w:unhideWhenUsed/>
    <w:rsid w:val="00431349"/>
  </w:style>
  <w:style w:type="character" w:customStyle="1" w:styleId="TextocomentarioCar">
    <w:name w:val="Texto comentario Car"/>
    <w:link w:val="Textocomentario"/>
    <w:uiPriority w:val="99"/>
    <w:semiHidden/>
    <w:rsid w:val="00431349"/>
    <w:rPr>
      <w:rFonts w:eastAsia="Calibri"/>
    </w:rPr>
  </w:style>
  <w:style w:type="paragraph" w:styleId="Encabezado">
    <w:name w:val="header"/>
    <w:basedOn w:val="Normal"/>
    <w:link w:val="EncabezadoCar"/>
    <w:rsid w:val="00431349"/>
    <w:pPr>
      <w:tabs>
        <w:tab w:val="center" w:pos="4419"/>
        <w:tab w:val="right" w:pos="8838"/>
      </w:tabs>
    </w:pPr>
    <w:rPr>
      <w:rFonts w:ascii="Times New Roman" w:eastAsia="Times New Roman" w:hAnsi="Times New Roman"/>
      <w:sz w:val="24"/>
      <w:szCs w:val="24"/>
      <w:lang w:val="x-none" w:eastAsia="x-none"/>
    </w:rPr>
  </w:style>
  <w:style w:type="character" w:customStyle="1" w:styleId="EncabezadoCar">
    <w:name w:val="Encabezado Car"/>
    <w:link w:val="Encabezado"/>
    <w:qFormat/>
    <w:rsid w:val="00431349"/>
    <w:rPr>
      <w:rFonts w:ascii="Times New Roman" w:eastAsia="Times New Roman" w:hAnsi="Times New Roman"/>
      <w:sz w:val="24"/>
      <w:szCs w:val="24"/>
      <w:lang w:val="x-none" w:eastAsia="x-none"/>
    </w:rPr>
  </w:style>
  <w:style w:type="paragraph" w:styleId="Piedepgina">
    <w:name w:val="footer"/>
    <w:basedOn w:val="Normal"/>
    <w:link w:val="PiedepginaCar"/>
    <w:uiPriority w:val="99"/>
    <w:unhideWhenUsed/>
    <w:rsid w:val="00431349"/>
    <w:pPr>
      <w:tabs>
        <w:tab w:val="center" w:pos="4252"/>
        <w:tab w:val="right" w:pos="8504"/>
      </w:tabs>
    </w:pPr>
  </w:style>
  <w:style w:type="character" w:customStyle="1" w:styleId="PiedepginaCar">
    <w:name w:val="Pie de página Car"/>
    <w:link w:val="Piedepgina"/>
    <w:uiPriority w:val="99"/>
    <w:rsid w:val="00431349"/>
    <w:rPr>
      <w:rFonts w:eastAsia="Calibri"/>
      <w:sz w:val="22"/>
      <w:szCs w:val="22"/>
    </w:rPr>
  </w:style>
  <w:style w:type="character" w:styleId="Refdecomentario">
    <w:name w:val="annotation reference"/>
    <w:uiPriority w:val="99"/>
    <w:semiHidden/>
    <w:unhideWhenUsed/>
    <w:rsid w:val="00431349"/>
    <w:rPr>
      <w:sz w:val="16"/>
      <w:szCs w:val="16"/>
    </w:rPr>
  </w:style>
  <w:style w:type="character" w:styleId="Nmerodepgina">
    <w:name w:val="page number"/>
    <w:rsid w:val="00431349"/>
  </w:style>
  <w:style w:type="paragraph" w:styleId="Textoindependiente">
    <w:name w:val="Body Text"/>
    <w:aliases w:val=" Car Car, Car Car Car Car"/>
    <w:basedOn w:val="Normal"/>
    <w:link w:val="TextoindependienteCar"/>
    <w:rsid w:val="00431349"/>
    <w:pPr>
      <w:spacing w:line="360" w:lineRule="auto"/>
    </w:pPr>
    <w:rPr>
      <w:rFonts w:ascii="Arial" w:hAnsi="Arial"/>
      <w:sz w:val="26"/>
      <w:szCs w:val="24"/>
      <w:lang w:val="x-none" w:eastAsia="x-none"/>
    </w:rPr>
  </w:style>
  <w:style w:type="character" w:customStyle="1" w:styleId="TextoindependienteCar">
    <w:name w:val="Texto independiente Car"/>
    <w:aliases w:val=" Car Car Car, Car Car Car Car Car"/>
    <w:link w:val="Textoindependiente"/>
    <w:rsid w:val="00431349"/>
    <w:rPr>
      <w:rFonts w:ascii="Arial" w:eastAsia="Calibri" w:hAnsi="Arial"/>
      <w:sz w:val="26"/>
      <w:szCs w:val="24"/>
      <w:lang w:val="x-none" w:eastAsia="x-none"/>
    </w:rPr>
  </w:style>
  <w:style w:type="paragraph" w:styleId="Sangradetextonormal">
    <w:name w:val="Body Text Indent"/>
    <w:basedOn w:val="Normal"/>
    <w:link w:val="SangradetextonormalCar"/>
    <w:rsid w:val="00431349"/>
    <w:pPr>
      <w:spacing w:line="360" w:lineRule="auto"/>
    </w:pPr>
    <w:rPr>
      <w:rFonts w:ascii="Arial" w:eastAsia="Times New Roman" w:hAnsi="Arial"/>
      <w:b/>
      <w:bCs/>
      <w:sz w:val="26"/>
      <w:szCs w:val="26"/>
      <w:lang w:val="x-none" w:eastAsia="x-none"/>
    </w:rPr>
  </w:style>
  <w:style w:type="character" w:customStyle="1" w:styleId="SangradetextonormalCar">
    <w:name w:val="Sangría de texto normal Car"/>
    <w:link w:val="Sangradetextonormal"/>
    <w:rsid w:val="00431349"/>
    <w:rPr>
      <w:rFonts w:ascii="Arial" w:eastAsia="Times New Roman" w:hAnsi="Arial"/>
      <w:b/>
      <w:bCs/>
      <w:sz w:val="26"/>
      <w:szCs w:val="26"/>
      <w:lang w:val="x-none" w:eastAsia="x-none"/>
    </w:rPr>
  </w:style>
  <w:style w:type="paragraph" w:styleId="Textoindependiente2">
    <w:name w:val="Body Text 2"/>
    <w:basedOn w:val="Normal"/>
    <w:link w:val="Textoindependiente2Car"/>
    <w:rsid w:val="00431349"/>
    <w:pPr>
      <w:spacing w:after="120" w:line="480" w:lineRule="auto"/>
    </w:pPr>
    <w:rPr>
      <w:rFonts w:ascii="Times New Roman" w:eastAsia="Times New Roman" w:hAnsi="Times New Roman"/>
      <w:sz w:val="24"/>
      <w:szCs w:val="24"/>
      <w:lang w:eastAsia="x-none"/>
    </w:rPr>
  </w:style>
  <w:style w:type="character" w:customStyle="1" w:styleId="Textoindependiente2Car">
    <w:name w:val="Texto independiente 2 Car"/>
    <w:link w:val="Textoindependiente2"/>
    <w:rsid w:val="00431349"/>
    <w:rPr>
      <w:rFonts w:ascii="Times New Roman" w:eastAsia="Times New Roman" w:hAnsi="Times New Roman"/>
      <w:sz w:val="24"/>
      <w:szCs w:val="24"/>
      <w:lang w:val="es-CO" w:eastAsia="x-none"/>
    </w:rPr>
  </w:style>
  <w:style w:type="paragraph" w:styleId="Textoindependiente3">
    <w:name w:val="Body Text 3"/>
    <w:basedOn w:val="Normal"/>
    <w:link w:val="Textoindependiente3Car"/>
    <w:uiPriority w:val="99"/>
    <w:rsid w:val="00431349"/>
    <w:pPr>
      <w:spacing w:after="120"/>
    </w:pPr>
    <w:rPr>
      <w:rFonts w:ascii="Times New Roman" w:eastAsia="Times New Roman" w:hAnsi="Times New Roman"/>
      <w:lang w:val="x-none" w:eastAsia="x-none"/>
    </w:rPr>
  </w:style>
  <w:style w:type="character" w:customStyle="1" w:styleId="Textoindependiente3Car">
    <w:name w:val="Texto independiente 3 Car"/>
    <w:link w:val="Textoindependiente3"/>
    <w:uiPriority w:val="99"/>
    <w:rsid w:val="00431349"/>
    <w:rPr>
      <w:rFonts w:ascii="Times New Roman" w:eastAsia="Times New Roman" w:hAnsi="Times New Roman"/>
      <w:sz w:val="16"/>
      <w:szCs w:val="16"/>
      <w:lang w:val="x-none" w:eastAsia="x-none"/>
    </w:rPr>
  </w:style>
  <w:style w:type="paragraph" w:styleId="Sangra2detindependiente">
    <w:name w:val="Body Text Indent 2"/>
    <w:basedOn w:val="Normal"/>
    <w:link w:val="Sangra2detindependienteCar"/>
    <w:uiPriority w:val="99"/>
    <w:unhideWhenUsed/>
    <w:rsid w:val="00431349"/>
    <w:pPr>
      <w:spacing w:after="120" w:line="480" w:lineRule="auto"/>
      <w:ind w:left="283"/>
    </w:pPr>
  </w:style>
  <w:style w:type="character" w:customStyle="1" w:styleId="Sangra2detindependienteCar">
    <w:name w:val="Sangría 2 de t. independiente Car"/>
    <w:link w:val="Sangra2detindependiente"/>
    <w:uiPriority w:val="99"/>
    <w:rsid w:val="00431349"/>
    <w:rPr>
      <w:rFonts w:eastAsia="Calibri"/>
      <w:sz w:val="22"/>
      <w:szCs w:val="22"/>
      <w:lang w:val="es-CO"/>
    </w:rPr>
  </w:style>
  <w:style w:type="character" w:styleId="Hipervnculo">
    <w:name w:val="Hyperlink"/>
    <w:uiPriority w:val="99"/>
    <w:unhideWhenUsed/>
    <w:rsid w:val="00431349"/>
    <w:rPr>
      <w:color w:val="0000FF"/>
      <w:u w:val="single"/>
    </w:rPr>
  </w:style>
  <w:style w:type="character" w:styleId="Textoennegrita">
    <w:name w:val="Strong"/>
    <w:uiPriority w:val="22"/>
    <w:qFormat/>
    <w:rsid w:val="00431349"/>
    <w:rPr>
      <w:b/>
      <w:bCs/>
    </w:rPr>
  </w:style>
  <w:style w:type="paragraph" w:styleId="NormalWeb">
    <w:name w:val="Normal (Web)"/>
    <w:basedOn w:val="Normal"/>
    <w:uiPriority w:val="99"/>
    <w:unhideWhenUsed/>
    <w:rsid w:val="00431349"/>
    <w:pPr>
      <w:spacing w:before="100" w:beforeAutospacing="1" w:after="100" w:afterAutospacing="1"/>
    </w:pPr>
    <w:rPr>
      <w:rFonts w:ascii="Times New Roman" w:eastAsia="Times New Roman" w:hAnsi="Times New Roman"/>
      <w:sz w:val="24"/>
      <w:szCs w:val="24"/>
    </w:rPr>
  </w:style>
  <w:style w:type="paragraph" w:styleId="Asuntodelcomentario">
    <w:name w:val="annotation subject"/>
    <w:basedOn w:val="Textocomentario"/>
    <w:next w:val="Textocomentario"/>
    <w:link w:val="AsuntodelcomentarioCar"/>
    <w:uiPriority w:val="99"/>
    <w:semiHidden/>
    <w:unhideWhenUsed/>
    <w:rsid w:val="00431349"/>
    <w:rPr>
      <w:b/>
      <w:bCs/>
    </w:rPr>
  </w:style>
  <w:style w:type="character" w:customStyle="1" w:styleId="AsuntodelcomentarioCar">
    <w:name w:val="Asunto del comentario Car"/>
    <w:link w:val="Asuntodelcomentario"/>
    <w:uiPriority w:val="99"/>
    <w:semiHidden/>
    <w:rsid w:val="00431349"/>
    <w:rPr>
      <w:rFonts w:eastAsia="Calibri"/>
      <w:b/>
      <w:bCs/>
    </w:rPr>
  </w:style>
  <w:style w:type="paragraph" w:styleId="Textodeglobo">
    <w:name w:val="Balloon Text"/>
    <w:basedOn w:val="Normal"/>
    <w:link w:val="TextodegloboCar"/>
    <w:uiPriority w:val="99"/>
    <w:semiHidden/>
    <w:unhideWhenUsed/>
    <w:rsid w:val="00431349"/>
    <w:rPr>
      <w:rFonts w:ascii="Segoe UI" w:hAnsi="Segoe UI" w:cs="Segoe UI"/>
    </w:rPr>
  </w:style>
  <w:style w:type="character" w:customStyle="1" w:styleId="TextodegloboCar">
    <w:name w:val="Texto de globo Car"/>
    <w:link w:val="Textodeglobo"/>
    <w:uiPriority w:val="99"/>
    <w:semiHidden/>
    <w:rsid w:val="00431349"/>
    <w:rPr>
      <w:rFonts w:ascii="Segoe UI" w:eastAsia="Calibri" w:hAnsi="Segoe UI" w:cs="Segoe UI"/>
      <w:sz w:val="18"/>
      <w:szCs w:val="18"/>
    </w:rPr>
  </w:style>
  <w:style w:type="paragraph" w:styleId="Sinespaciado">
    <w:name w:val="No Spacing"/>
    <w:uiPriority w:val="1"/>
    <w:qFormat/>
    <w:rsid w:val="00431349"/>
    <w:rPr>
      <w:sz w:val="22"/>
      <w:szCs w:val="22"/>
      <w:vertAlign w:val="superscript"/>
      <w:lang w:val="es-CO"/>
    </w:rPr>
  </w:style>
  <w:style w:type="paragraph" w:styleId="Prrafodelista">
    <w:name w:val="List Paragraph"/>
    <w:basedOn w:val="Normal"/>
    <w:uiPriority w:val="34"/>
    <w:qFormat/>
    <w:rsid w:val="00431349"/>
    <w:pPr>
      <w:ind w:left="720"/>
      <w:contextualSpacing/>
    </w:pPr>
  </w:style>
  <w:style w:type="table" w:styleId="Tablaconcuadrcula">
    <w:name w:val="Table Grid"/>
    <w:basedOn w:val="Tablanormal"/>
    <w:uiPriority w:val="39"/>
    <w:rsid w:val="00013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658968">
      <w:bodyDiv w:val="1"/>
      <w:marLeft w:val="0"/>
      <w:marRight w:val="0"/>
      <w:marTop w:val="0"/>
      <w:marBottom w:val="0"/>
      <w:divBdr>
        <w:top w:val="none" w:sz="0" w:space="0" w:color="auto"/>
        <w:left w:val="none" w:sz="0" w:space="0" w:color="auto"/>
        <w:bottom w:val="none" w:sz="0" w:space="0" w:color="auto"/>
        <w:right w:val="none" w:sz="0" w:space="0" w:color="auto"/>
      </w:divBdr>
    </w:div>
    <w:div w:id="930506695">
      <w:bodyDiv w:val="1"/>
      <w:marLeft w:val="0"/>
      <w:marRight w:val="0"/>
      <w:marTop w:val="0"/>
      <w:marBottom w:val="0"/>
      <w:divBdr>
        <w:top w:val="none" w:sz="0" w:space="0" w:color="auto"/>
        <w:left w:val="none" w:sz="0" w:space="0" w:color="auto"/>
        <w:bottom w:val="none" w:sz="0" w:space="0" w:color="auto"/>
        <w:right w:val="none" w:sz="0" w:space="0" w:color="auto"/>
      </w:divBdr>
    </w:div>
    <w:div w:id="994723877">
      <w:bodyDiv w:val="1"/>
      <w:marLeft w:val="0"/>
      <w:marRight w:val="0"/>
      <w:marTop w:val="0"/>
      <w:marBottom w:val="0"/>
      <w:divBdr>
        <w:top w:val="none" w:sz="0" w:space="0" w:color="auto"/>
        <w:left w:val="none" w:sz="0" w:space="0" w:color="auto"/>
        <w:bottom w:val="none" w:sz="0" w:space="0" w:color="auto"/>
        <w:right w:val="none" w:sz="0" w:space="0" w:color="auto"/>
      </w:divBdr>
    </w:div>
    <w:div w:id="1307130959">
      <w:bodyDiv w:val="1"/>
      <w:marLeft w:val="0"/>
      <w:marRight w:val="0"/>
      <w:marTop w:val="0"/>
      <w:marBottom w:val="0"/>
      <w:divBdr>
        <w:top w:val="none" w:sz="0" w:space="0" w:color="auto"/>
        <w:left w:val="none" w:sz="0" w:space="0" w:color="auto"/>
        <w:bottom w:val="none" w:sz="0" w:space="0" w:color="auto"/>
        <w:right w:val="none" w:sz="0" w:space="0" w:color="auto"/>
      </w:divBdr>
    </w:div>
    <w:div w:id="202960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B57C05-47C7-434F-9AD6-BEF2C2330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1520BD-5211-4621-A9F3-B03A721C006A}">
  <ds:schemaRefs>
    <ds:schemaRef ds:uri="http://schemas.openxmlformats.org/officeDocument/2006/bibliography"/>
  </ds:schemaRefs>
</ds:datastoreItem>
</file>

<file path=customXml/itemProps3.xml><?xml version="1.0" encoding="utf-8"?>
<ds:datastoreItem xmlns:ds="http://schemas.openxmlformats.org/officeDocument/2006/customXml" ds:itemID="{47A28172-B069-4B9F-A7A7-8CAE9FA7F9A6}">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56E0A1-2750-44C5-942E-B545F27BFE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4843</Words>
  <Characters>26640</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EUGENIA DOMINGUEZ BETANCOUR</dc:creator>
  <cp:keywords/>
  <dc:description/>
  <cp:lastModifiedBy>Carlos Mario Castrillón Endo</cp:lastModifiedBy>
  <cp:revision>2</cp:revision>
  <cp:lastPrinted>2019-02-27T18:15:00Z</cp:lastPrinted>
  <dcterms:created xsi:type="dcterms:W3CDTF">2020-06-26T21:04:00Z</dcterms:created>
  <dcterms:modified xsi:type="dcterms:W3CDTF">2020-06-26T21:04:00Z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