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BD0FB" w14:textId="6EB49654" w:rsidR="00842BD3" w:rsidRPr="004E5369" w:rsidRDefault="00842BD3" w:rsidP="00842BD3">
      <w:pPr>
        <w:spacing w:line="240" w:lineRule="auto"/>
        <w:rPr>
          <w:rFonts w:cs="Arial"/>
          <w:b/>
          <w:sz w:val="22"/>
          <w:szCs w:val="22"/>
        </w:rPr>
      </w:pPr>
      <w:r w:rsidRPr="004E5369">
        <w:rPr>
          <w:rFonts w:cs="Arial"/>
          <w:b/>
          <w:sz w:val="22"/>
          <w:szCs w:val="22"/>
        </w:rPr>
        <w:t>ENRIQUECIMIENTO SIN CAUSA – Equilibrio económico del contrato</w:t>
      </w:r>
    </w:p>
    <w:p w14:paraId="78DD11BC" w14:textId="77777777" w:rsidR="00842BD3" w:rsidRPr="004E5369" w:rsidRDefault="00842BD3" w:rsidP="00842BD3">
      <w:pPr>
        <w:spacing w:line="240" w:lineRule="auto"/>
        <w:rPr>
          <w:rFonts w:cs="Arial"/>
          <w:sz w:val="22"/>
          <w:szCs w:val="22"/>
        </w:rPr>
      </w:pPr>
    </w:p>
    <w:p w14:paraId="53FE5082" w14:textId="77777777" w:rsidR="00842BD3" w:rsidRPr="004E5369" w:rsidRDefault="00842BD3" w:rsidP="00842BD3">
      <w:pPr>
        <w:spacing w:line="240" w:lineRule="auto"/>
        <w:rPr>
          <w:rFonts w:cs="Arial"/>
          <w:sz w:val="22"/>
          <w:szCs w:val="22"/>
        </w:rPr>
      </w:pPr>
      <w:r w:rsidRPr="004E5369">
        <w:rPr>
          <w:rFonts w:cs="Arial"/>
          <w:sz w:val="22"/>
          <w:szCs w:val="22"/>
        </w:rPr>
        <w:t>En forma previa al estudio del caso concreto, es bueno advertir que el asunto sub lite no se ubica en los supuestos del enriquecimiento sin causa, ni tiene su fuente en un evento extracontractual, toda vez que las pretensiones del demandante tienen origen en un contrato estatal debidamente formalizado. El caso en cuestión difiere de aquel en que la Sala Plena de la Sección Tercera del Consejo de Estado estudió la institución del enriquecimiento sin causa, en el conocimiento de una acción contractual referida a las prestaciones que se ejecutaron bajo un supuesto contrato verbal, en el cual se advirtió la improcedencia de la reclamación debido a la carencia de las formalidades sustanciales del contrato que se rige por la Ley 80 de 1993. En esa oportunidad la Sala Plena de la Sección Tercera del Consejo de Estado resaltó el carácter excepcional del enriquecimiento sin causa y el supuesto de que la reclamación con fundamento en dicho principio no puede configurarse contrariando una norma legal imperativa</w:t>
      </w:r>
    </w:p>
    <w:p w14:paraId="5E6364C4" w14:textId="77777777" w:rsidR="00842BD3" w:rsidRPr="004E5369" w:rsidRDefault="00842BD3" w:rsidP="00842BD3">
      <w:pPr>
        <w:spacing w:line="240" w:lineRule="auto"/>
        <w:rPr>
          <w:rFonts w:cs="Arial"/>
          <w:sz w:val="22"/>
          <w:szCs w:val="22"/>
        </w:rPr>
      </w:pPr>
    </w:p>
    <w:p w14:paraId="261D8F5E" w14:textId="783A9FA6" w:rsidR="00842BD3" w:rsidRPr="004E5369" w:rsidRDefault="00842BD3" w:rsidP="00842BD3">
      <w:pPr>
        <w:spacing w:line="240" w:lineRule="auto"/>
        <w:rPr>
          <w:rFonts w:cs="Arial"/>
          <w:b/>
          <w:sz w:val="22"/>
          <w:szCs w:val="22"/>
        </w:rPr>
      </w:pPr>
      <w:r w:rsidRPr="004E5369">
        <w:rPr>
          <w:rFonts w:cs="Arial"/>
          <w:b/>
          <w:sz w:val="22"/>
          <w:szCs w:val="22"/>
        </w:rPr>
        <w:t>ENRIQUECIMIENTO SIN CAUSA –</w:t>
      </w:r>
      <w:r w:rsidR="005128A2" w:rsidRPr="004E5369">
        <w:rPr>
          <w:rFonts w:cs="Arial"/>
          <w:b/>
          <w:sz w:val="22"/>
          <w:szCs w:val="22"/>
        </w:rPr>
        <w:t xml:space="preserve"> </w:t>
      </w:r>
      <w:proofErr w:type="spellStart"/>
      <w:r w:rsidRPr="004E5369">
        <w:rPr>
          <w:rFonts w:cs="Arial"/>
          <w:b/>
          <w:sz w:val="22"/>
          <w:szCs w:val="22"/>
        </w:rPr>
        <w:t>Actio</w:t>
      </w:r>
      <w:proofErr w:type="spellEnd"/>
      <w:r w:rsidRPr="004E5369">
        <w:rPr>
          <w:rFonts w:cs="Arial"/>
          <w:b/>
          <w:sz w:val="22"/>
          <w:szCs w:val="22"/>
        </w:rPr>
        <w:t xml:space="preserve"> in rem verso – Casos excepcionales</w:t>
      </w:r>
    </w:p>
    <w:p w14:paraId="5711CCA8" w14:textId="77777777" w:rsidR="00842BD3" w:rsidRPr="004E5369" w:rsidRDefault="00842BD3" w:rsidP="00842BD3">
      <w:pPr>
        <w:spacing w:line="240" w:lineRule="auto"/>
        <w:rPr>
          <w:rFonts w:cs="Arial"/>
          <w:sz w:val="22"/>
          <w:szCs w:val="22"/>
        </w:rPr>
      </w:pPr>
    </w:p>
    <w:p w14:paraId="60E53C1F" w14:textId="77777777" w:rsidR="00842BD3" w:rsidRPr="004E5369" w:rsidRDefault="00842BD3" w:rsidP="00842BD3">
      <w:pPr>
        <w:spacing w:line="240" w:lineRule="auto"/>
        <w:rPr>
          <w:rFonts w:cs="Arial"/>
          <w:sz w:val="22"/>
          <w:szCs w:val="22"/>
        </w:rPr>
      </w:pPr>
      <w:r w:rsidRPr="004E5369">
        <w:rPr>
          <w:rFonts w:cs="Arial"/>
          <w:sz w:val="22"/>
          <w:szCs w:val="22"/>
        </w:rPr>
        <w:t xml:space="preserve">Con otras palabras, la Sala admite hipótesis en las que resultaría procedente la </w:t>
      </w:r>
      <w:proofErr w:type="spellStart"/>
      <w:r w:rsidRPr="004E5369">
        <w:rPr>
          <w:rFonts w:cs="Arial"/>
          <w:sz w:val="22"/>
          <w:szCs w:val="22"/>
        </w:rPr>
        <w:t>actio</w:t>
      </w:r>
      <w:proofErr w:type="spellEnd"/>
      <w:r w:rsidRPr="004E5369">
        <w:rPr>
          <w:rFonts w:cs="Arial"/>
          <w:sz w:val="22"/>
          <w:szCs w:val="22"/>
        </w:rPr>
        <w:t xml:space="preserve"> de in rem verso sin que medie contrato alguno, pero, se insiste, estas posibilidades son de carácter excepcional y por consiguiente de interpretación y aplicación restrictiva, y de ninguna manera con la pretensión de encuadrar dentro de estos casos excepcionales, o al amparo de ellos, eventos que necesariamente quedan comprendidos dentro de la regla general que antes se mencionó. “Esos casos en donde, de manera excepcional y por razones de interés público o general, resultaría procedente la </w:t>
      </w:r>
      <w:proofErr w:type="spellStart"/>
      <w:r w:rsidRPr="004E5369">
        <w:rPr>
          <w:rFonts w:cs="Arial"/>
          <w:sz w:val="22"/>
          <w:szCs w:val="22"/>
        </w:rPr>
        <w:t>actio</w:t>
      </w:r>
      <w:proofErr w:type="spellEnd"/>
      <w:r w:rsidRPr="004E5369">
        <w:rPr>
          <w:rFonts w:cs="Arial"/>
          <w:sz w:val="22"/>
          <w:szCs w:val="22"/>
        </w:rPr>
        <w:t xml:space="preserve"> de in rem verso a juicio de la Sala, serían entre otros los siguientes: a) “Cuando se acredite de manera fehaciente y evidente en el proceso, que fue exclusivamente la entidad pública, sin participación y sin culpa del particular afectado, la que en virtud de su supremacía, de su autoridad o de su </w:t>
      </w:r>
      <w:proofErr w:type="spellStart"/>
      <w:r w:rsidRPr="004E5369">
        <w:rPr>
          <w:rFonts w:cs="Arial"/>
          <w:sz w:val="22"/>
          <w:szCs w:val="22"/>
        </w:rPr>
        <w:t>imperium</w:t>
      </w:r>
      <w:proofErr w:type="spellEnd"/>
      <w:r w:rsidRPr="004E5369">
        <w:rPr>
          <w:rFonts w:cs="Arial"/>
          <w:sz w:val="22"/>
          <w:szCs w:val="22"/>
        </w:rPr>
        <w:t xml:space="preserve"> constriñó o impuso al respectivo particular la ejecución de prestaciones o el suministro de bienes o servicios en su beneficio, por fuera del marco de un contrato estatal o con prescindencia del mismo. b) “En los que es urgente y necesario adquirir bienes, solicitar servicios, suministros, ordenar obras con el fin de prestar un servicio para evitar una amenaza o una lesión inminente e irreversible al derecho a la salud, derecho este que es fundamental por conexidad con los derechos a la vida y a la integridad personal,  urgencia y necesidad que deben aparecer de manera objetiva y manifiesta como consecuencia de la imposibilidad absoluta de planificar y adelantar un proceso de selección de contratistas, así como de la celebración de los correspondientes contratos, circunstancias que deben estar plenamente acreditadas en el proceso contencioso administrativo, sin que el juzgador pierda de vista el derrotero general que se ha señalado en el numeral 12.1 de la presente providencia, es decir, verificando en todo caso que la decisión de la administración frente a estas circunstancias haya sido realmente urgente, útil, necesaria y la más razonablemente ajustada a las circunstancias que la llevaron a tomar tal determinación. c) “En los que debiéndose legalmente declarar una situación de urgencia manifiesta, la administración omite tal declaratoria y procede a solicitar la ejecución de obras, prestación de servicios y suministro de bienes, sin contrato escrito alguno, en los casos en que esta exigencia imperativa del legislador no esté excepcionada conforme a lo dispuesto en el artículo 41 inciso 4º de la Ley 80 de 1993.</w:t>
      </w:r>
    </w:p>
    <w:p w14:paraId="55404B1A" w14:textId="77777777" w:rsidR="00842BD3" w:rsidRPr="004E5369" w:rsidRDefault="00842BD3" w:rsidP="00842BD3">
      <w:pPr>
        <w:spacing w:line="240" w:lineRule="auto"/>
        <w:rPr>
          <w:rFonts w:cs="Arial"/>
          <w:sz w:val="22"/>
          <w:szCs w:val="22"/>
        </w:rPr>
      </w:pPr>
    </w:p>
    <w:p w14:paraId="1E8DF61F" w14:textId="77777777" w:rsidR="00842BD3" w:rsidRPr="004E5369" w:rsidRDefault="00842BD3" w:rsidP="00842BD3">
      <w:pPr>
        <w:spacing w:line="240" w:lineRule="auto"/>
        <w:rPr>
          <w:rFonts w:cs="Arial"/>
          <w:b/>
          <w:sz w:val="22"/>
          <w:szCs w:val="22"/>
        </w:rPr>
      </w:pPr>
      <w:r w:rsidRPr="004E5369">
        <w:rPr>
          <w:rFonts w:cs="Arial"/>
          <w:b/>
          <w:sz w:val="22"/>
          <w:szCs w:val="22"/>
        </w:rPr>
        <w:t>ENRIQUECIMIENTO SIN CAUSA – Requisitos específicos – Contrato Estatal</w:t>
      </w:r>
    </w:p>
    <w:p w14:paraId="4727B64A" w14:textId="77777777" w:rsidR="00842BD3" w:rsidRPr="004E5369" w:rsidRDefault="00842BD3" w:rsidP="00842BD3">
      <w:pPr>
        <w:spacing w:line="240" w:lineRule="auto"/>
        <w:rPr>
          <w:rFonts w:cs="Arial"/>
          <w:sz w:val="22"/>
          <w:szCs w:val="22"/>
        </w:rPr>
      </w:pPr>
    </w:p>
    <w:p w14:paraId="5989031B" w14:textId="77777777" w:rsidR="00842BD3" w:rsidRPr="004E5369" w:rsidRDefault="00842BD3" w:rsidP="00842BD3">
      <w:pPr>
        <w:spacing w:line="240" w:lineRule="auto"/>
        <w:rPr>
          <w:rFonts w:cs="Arial"/>
          <w:sz w:val="22"/>
          <w:szCs w:val="22"/>
        </w:rPr>
      </w:pPr>
      <w:r w:rsidRPr="004E5369">
        <w:rPr>
          <w:rFonts w:cs="Arial"/>
          <w:sz w:val="22"/>
          <w:szCs w:val="22"/>
        </w:rPr>
        <w:t xml:space="preserve">De conformidad con la citada jurisprudencia, en el contrato que está destinado a regirse por la ley 80 de 1993 pero que no llega a formalizarse por escrito -y que por tanto no existe desde el punto de vista jurídico- cabe la reclamación orientada al reconocimiento de las prestaciones ejecutadas, empero ello es así solo acudiendo a las reglas excepcionales del enriquecimiento sin causa, aunque se haya impetrado el medio de control contractual. Desde esa perspectiva, teniendo en cuenta que i) la responsabilidad frente al supuesto del desequilibrio económico en el evento de presentarse un contrato debidamente solemnizado por escrito tiene por fuente el contrato estatal y ii) de manera concreta esa responsabilidad se puede hacer exigible con apoyo en el artículo 27 de la Ley 80 de 1993 , -fundado en la condición de equivalencia económica de las prestaciones y cargas contractuales-, resulta necesario concluir que las reclamaciones correspondientes a la ruptura del equilibrio </w:t>
      </w:r>
      <w:r w:rsidRPr="004E5369">
        <w:rPr>
          <w:rFonts w:cs="Arial"/>
          <w:sz w:val="22"/>
          <w:szCs w:val="22"/>
        </w:rPr>
        <w:lastRenderedPageBreak/>
        <w:t>económico del contrato no se deben encausar por los supuestos del enriquecimiento sin causa.</w:t>
      </w:r>
    </w:p>
    <w:p w14:paraId="784914EC" w14:textId="77777777" w:rsidR="00842BD3" w:rsidRPr="004E5369" w:rsidRDefault="00842BD3" w:rsidP="00842BD3">
      <w:pPr>
        <w:spacing w:line="240" w:lineRule="auto"/>
        <w:rPr>
          <w:rFonts w:cs="Arial"/>
          <w:sz w:val="22"/>
          <w:szCs w:val="22"/>
        </w:rPr>
      </w:pPr>
    </w:p>
    <w:p w14:paraId="26B49414" w14:textId="5DB8C17C" w:rsidR="00842BD3" w:rsidRPr="004E5369" w:rsidRDefault="00842BD3" w:rsidP="00842BD3">
      <w:pPr>
        <w:spacing w:line="240" w:lineRule="auto"/>
        <w:rPr>
          <w:rFonts w:cs="Arial"/>
          <w:b/>
          <w:sz w:val="22"/>
          <w:szCs w:val="22"/>
        </w:rPr>
      </w:pPr>
      <w:r w:rsidRPr="004E5369">
        <w:rPr>
          <w:rFonts w:cs="Arial"/>
          <w:b/>
          <w:sz w:val="22"/>
          <w:szCs w:val="22"/>
        </w:rPr>
        <w:t>EQUILIBRIO ECONÓMICO DEL CONTRATO – Supuestos – Contratista compelido</w:t>
      </w:r>
    </w:p>
    <w:p w14:paraId="78A17DEE" w14:textId="77777777" w:rsidR="00842BD3" w:rsidRPr="004E5369" w:rsidRDefault="00842BD3" w:rsidP="00842BD3">
      <w:pPr>
        <w:spacing w:line="240" w:lineRule="auto"/>
        <w:rPr>
          <w:rFonts w:cs="Arial"/>
          <w:sz w:val="22"/>
          <w:szCs w:val="22"/>
        </w:rPr>
      </w:pPr>
    </w:p>
    <w:p w14:paraId="66691C47" w14:textId="77777777" w:rsidR="00842BD3" w:rsidRPr="004E5369" w:rsidRDefault="00842BD3" w:rsidP="00842BD3">
      <w:pPr>
        <w:spacing w:line="240" w:lineRule="auto"/>
        <w:rPr>
          <w:rFonts w:cs="Arial"/>
          <w:sz w:val="22"/>
          <w:szCs w:val="22"/>
        </w:rPr>
      </w:pPr>
      <w:r w:rsidRPr="004E5369">
        <w:rPr>
          <w:rFonts w:cs="Arial"/>
          <w:sz w:val="22"/>
          <w:szCs w:val="22"/>
        </w:rPr>
        <w:t xml:space="preserve">La ruptura del equilibrio económico del contrato constituye un supuesto pasible del ejercicio del medio de control contractual, es decir, con causa en el contrato bajo el cual una parte puede reclamar a la otra el mayor valor de las prestaciones ejecutadas en desarrollo del mismo, cuando se presenta una variación material en la ejecución de la fórmula financiera que gobernó el respectivo contrato, la cual no debe ser imputable a la conducta o al riesgo asumido por la parte que presenta la reclamación.   Por ello, las pretensiones incoadas para hacer valer las reclamaciones por razón del desequilibrio contractual tienen por fuente de las obligaciones del contrato y la distribución de cargas y riesgos dentro del mismo, de manera tal que frente a ese tipo de pretensiones no es pertinente acudir a la institución del enriquecimiento sin causa.  Como conclusión, teniendo en cuenta que frente a la ruptura del equilibrio contractual no se predica la ausencia de causa, que es un elemento fundamental de la institución y principio del enriquecimiento sin causa, se advierte que para ese tipo de demandas es improcedente la acción correspondiente a la responsabilidad extracontractual del Estado – es decir la reparación directa- y la asunción del citado enriquecimiento sin causa. Es bueno reiterar que las hipótesis del enriquecimiento sin causa son excepcionales y que, según la jurisprudencia del Consejo de Estado, solo podrían configurarse en el escenario de que la parte reclamante haya sido compelida u obligada a colaborar con el Estado en la ejecución de las prestaciones sin el contrato correspondiente. Por ello, en ese orden de ideas, no resulta cierto, como parece afirmar el demandante en este proceso, que basta con demostrar la prestación ejecutada para que el estado deba pagarla, toda vez que la jurisprudencia pondera o da prevalencia al derecho del ejecutante de las obras o servicios en la reclamación frente al patrimonio público sólo cuando la conducta de la entidad estatal le impuso al demandante la ejecución de la prestación respectiva sin contrato.  </w:t>
      </w:r>
    </w:p>
    <w:p w14:paraId="696EC3B4" w14:textId="77777777" w:rsidR="00842BD3" w:rsidRPr="004E5369" w:rsidRDefault="00842BD3" w:rsidP="00842BD3">
      <w:pPr>
        <w:spacing w:line="240" w:lineRule="auto"/>
        <w:rPr>
          <w:rFonts w:cs="Arial"/>
          <w:sz w:val="22"/>
          <w:szCs w:val="22"/>
        </w:rPr>
      </w:pPr>
    </w:p>
    <w:p w14:paraId="5956D084" w14:textId="77777777" w:rsidR="00842BD3" w:rsidRPr="004E5369" w:rsidRDefault="00842BD3" w:rsidP="00842BD3">
      <w:pPr>
        <w:spacing w:line="240" w:lineRule="auto"/>
        <w:rPr>
          <w:rFonts w:cs="Arial"/>
          <w:b/>
          <w:sz w:val="22"/>
          <w:szCs w:val="22"/>
        </w:rPr>
      </w:pPr>
      <w:r w:rsidRPr="004E5369">
        <w:rPr>
          <w:rFonts w:cs="Arial"/>
          <w:b/>
          <w:sz w:val="22"/>
          <w:szCs w:val="22"/>
        </w:rPr>
        <w:t>CADUCIDAD – Procedencia – Oportunidad de ejercer la acción contractual</w:t>
      </w:r>
    </w:p>
    <w:p w14:paraId="728A4904" w14:textId="77777777" w:rsidR="00842BD3" w:rsidRPr="004E5369" w:rsidRDefault="00842BD3" w:rsidP="00842BD3">
      <w:pPr>
        <w:spacing w:line="240" w:lineRule="auto"/>
        <w:rPr>
          <w:rFonts w:cs="Arial"/>
          <w:sz w:val="22"/>
          <w:szCs w:val="22"/>
        </w:rPr>
      </w:pPr>
    </w:p>
    <w:p w14:paraId="3E202254" w14:textId="77777777" w:rsidR="00842BD3" w:rsidRPr="004E5369" w:rsidRDefault="00842BD3" w:rsidP="00842BD3">
      <w:pPr>
        <w:spacing w:line="240" w:lineRule="auto"/>
        <w:rPr>
          <w:rFonts w:cs="Arial"/>
          <w:sz w:val="22"/>
          <w:szCs w:val="22"/>
        </w:rPr>
      </w:pPr>
      <w:r w:rsidRPr="004E5369">
        <w:rPr>
          <w:rFonts w:cs="Arial"/>
          <w:sz w:val="22"/>
          <w:szCs w:val="22"/>
        </w:rPr>
        <w:t xml:space="preserve">En el caso concreto se observa que el contrato sub júdice era de tracto sucesivo, toda vez que las prestaciones pactadas se debían cumplir a través del tiempo establecido para su duración y, por tanto, se encontraba sometido a liquidación, en los términos del artículo 60 de la Ley 80 de 1993 y del ya citado artículo 136 del Código Contencioso Administrativo. Según el contrato sub júdice, existió un plazo de cuatro (4) meses para la liquidación bilateral –dado que así lo estipularon las partes- y dos (2) meses a partir del vencimiento del anterior, establecido para la liquidación unilateral del contrato. (…) En la cláusula citada se aprecia que el término de cuatro meses referido en el contrato sub júdice corrió a partir del vencimiento del plazo de ejecución del mismo, puesto que no puede interpretarse el uso de la palabra “finalización” como inclusivo de la etapa de liquidación, toda vez que el contrato no podía liquidarse antes de su terminación. En ese sentido, se entiende que a partir de la “finalización” – terminación del plazo de ejecución - procedió la etapa de liquidación cuya duración era de cuatro meses, de conformidad con lo estipulado por las partes en la cláusula vigésima. (…) Como conclusión de lo indicado, para el cómputo de la caducidad de la acción se debe establecer la fecha de terminación del contrato, en orden a realizar, a partir de allí, el conteo de los plazos para liquidar el contrato (bilateral y unilateralmente), vencidos los cuales se debe computar el término de dos años, fijado en el artículo 136 del C.C.A. (…) Tal como lo ha observado esta Subsección en varias oportunidades , la conducta consistente en demandar en forma oportuna configura una carga que le corresponde asumir a quien pretende acudir ante la Administración de Justicia para con el propósito de lograr la declaratoria de responsabilidad del Estado. Finalmente, si bien el examen de la caducidad de la acción debe efectuarse de forma oficiosa por el juez, en este caso, adicionalmente, la Sala considera que la excepción de caducidad fue objeto de argumentación suficiente en el escrito presentado por la parte demandada, en la medida en que la Secretaría de Educación acudió a invocar la jurisprudencia del Consejo de Estado, mediante la cual se advirtió que el plazo del artículo 136 del C.C.A. contaba a partir del vencimiento del plazo de liquidación del contrato. Por ello, no era necesario que </w:t>
      </w:r>
      <w:r w:rsidRPr="004E5369">
        <w:rPr>
          <w:rFonts w:cs="Arial"/>
          <w:sz w:val="22"/>
          <w:szCs w:val="22"/>
        </w:rPr>
        <w:lastRenderedPageBreak/>
        <w:t>el Tribunal a quo acudiera a una declaración oficiosa de la caducidad, sino que podía declararla como consecuencia de la excepción presentada por la entidad demandada.</w:t>
      </w:r>
    </w:p>
    <w:p w14:paraId="71D1BE5D" w14:textId="77777777" w:rsidR="00842BD3" w:rsidRPr="004E5369" w:rsidRDefault="00842BD3" w:rsidP="00842BD3">
      <w:pPr>
        <w:spacing w:line="240" w:lineRule="auto"/>
        <w:rPr>
          <w:rFonts w:cs="Arial"/>
          <w:sz w:val="22"/>
          <w:szCs w:val="22"/>
        </w:rPr>
      </w:pPr>
    </w:p>
    <w:p w14:paraId="1680EB6D" w14:textId="77777777" w:rsidR="00842BD3" w:rsidRPr="004E5369" w:rsidRDefault="00842BD3" w:rsidP="00842BD3">
      <w:pPr>
        <w:spacing w:line="240" w:lineRule="auto"/>
        <w:rPr>
          <w:rFonts w:cs="Arial"/>
          <w:b/>
          <w:sz w:val="22"/>
          <w:szCs w:val="22"/>
        </w:rPr>
      </w:pPr>
      <w:r w:rsidRPr="004E5369">
        <w:rPr>
          <w:rFonts w:cs="Arial"/>
          <w:b/>
          <w:sz w:val="22"/>
          <w:szCs w:val="22"/>
        </w:rPr>
        <w:t>IMPROCEDENCIA DE LA ACCIÓN – Enriquecimiento sin causa – Equilibrio económico del contrato – Prestaciones extracontractuales</w:t>
      </w:r>
    </w:p>
    <w:p w14:paraId="6AD46EF7" w14:textId="77777777" w:rsidR="00842BD3" w:rsidRPr="004E5369" w:rsidRDefault="00842BD3" w:rsidP="00842BD3">
      <w:pPr>
        <w:spacing w:line="240" w:lineRule="auto"/>
        <w:rPr>
          <w:rFonts w:cs="Arial"/>
          <w:sz w:val="22"/>
          <w:szCs w:val="22"/>
        </w:rPr>
      </w:pPr>
    </w:p>
    <w:p w14:paraId="72B1E6AC" w14:textId="77777777" w:rsidR="00842BD3" w:rsidRPr="004E5369" w:rsidRDefault="00842BD3" w:rsidP="00842BD3">
      <w:pPr>
        <w:spacing w:line="240" w:lineRule="auto"/>
        <w:rPr>
          <w:rFonts w:cs="Arial"/>
          <w:sz w:val="22"/>
          <w:szCs w:val="22"/>
        </w:rPr>
      </w:pPr>
      <w:r w:rsidRPr="004E5369">
        <w:rPr>
          <w:rFonts w:cs="Arial"/>
          <w:sz w:val="22"/>
          <w:szCs w:val="22"/>
        </w:rPr>
        <w:t>La Sala considera necesario adicionar a lo ya expuesto, que el análisis del acervo probatorio permite reafirmar que no hay lugar a considerar la adecuación de la presente acción a la de reparación directa, toda vez que no existen prestaciones extracontractuales acreditadas en este proceso. Las pruebas demuestran que toda la ejecución de las prestaciones se cumplió dentro del término del Contrato de Consultoría (…) teniendo en cuenta que lo que pretendió debatir en este proceso fue el supuesto desequilibrio económico en la ejecución de prestaciones contractuales, se reitera que la causa jurídica de la demanda se ubicó en la ejecución del Contrato de Consultoría 091 de 2004 y por ello se concluye que en este caso particular no procede invocar el enriquecimiento sin causa. Bueno es advertir que el argumento consistente en acudir a la acción de reparación directa tampoco resulta adecuado para el propósito de extender el término de la caducidad de la acción (…)</w:t>
      </w:r>
    </w:p>
    <w:p w14:paraId="2DEB58E2" w14:textId="77777777" w:rsidR="00842BD3" w:rsidRPr="009C765E" w:rsidRDefault="00842BD3" w:rsidP="00842BD3">
      <w:pPr>
        <w:jc w:val="right"/>
        <w:rPr>
          <w:rFonts w:cs="Arial"/>
          <w:lang w:val="es-CO"/>
        </w:rPr>
      </w:pPr>
    </w:p>
    <w:p w14:paraId="38BDAE71" w14:textId="77777777" w:rsidR="00842BD3" w:rsidRPr="00F1114B" w:rsidRDefault="00842BD3" w:rsidP="00842BD3">
      <w:pPr>
        <w:pStyle w:val="Puesto"/>
        <w:rPr>
          <w:sz w:val="24"/>
          <w:lang w:val="es-CO"/>
        </w:rPr>
      </w:pPr>
    </w:p>
    <w:p w14:paraId="5FDA04CF" w14:textId="77777777" w:rsidR="00842BD3" w:rsidRPr="00F1114B" w:rsidRDefault="00842BD3" w:rsidP="00842BD3">
      <w:pPr>
        <w:pStyle w:val="Puesto"/>
        <w:rPr>
          <w:sz w:val="24"/>
        </w:rPr>
      </w:pPr>
    </w:p>
    <w:p w14:paraId="49F75848" w14:textId="77777777" w:rsidR="00842BD3" w:rsidRPr="00F1114B" w:rsidRDefault="00842BD3" w:rsidP="00842BD3">
      <w:pPr>
        <w:pStyle w:val="Puesto"/>
        <w:rPr>
          <w:sz w:val="24"/>
        </w:rPr>
      </w:pPr>
      <w:r w:rsidRPr="00F1114B">
        <w:rPr>
          <w:sz w:val="24"/>
        </w:rPr>
        <w:t>CONSEJO DE ESTADO</w:t>
      </w:r>
    </w:p>
    <w:p w14:paraId="3102AF41" w14:textId="77777777" w:rsidR="00842BD3" w:rsidRPr="00F1114B" w:rsidRDefault="00842BD3" w:rsidP="00842BD3">
      <w:pPr>
        <w:pStyle w:val="Puesto"/>
        <w:rPr>
          <w:sz w:val="24"/>
        </w:rPr>
      </w:pPr>
    </w:p>
    <w:p w14:paraId="4F0A1612" w14:textId="77777777" w:rsidR="00842BD3" w:rsidRPr="00F1114B" w:rsidRDefault="00842BD3" w:rsidP="00842BD3">
      <w:pPr>
        <w:pStyle w:val="Puesto"/>
        <w:rPr>
          <w:sz w:val="24"/>
        </w:rPr>
      </w:pPr>
      <w:r w:rsidRPr="00F1114B">
        <w:rPr>
          <w:sz w:val="24"/>
        </w:rPr>
        <w:t>SALA DE LO CONTENCIOSO ADMINISTRATIVO</w:t>
      </w:r>
    </w:p>
    <w:p w14:paraId="50FD98FD" w14:textId="77777777" w:rsidR="00842BD3" w:rsidRPr="00F1114B" w:rsidRDefault="00842BD3" w:rsidP="00842BD3">
      <w:pPr>
        <w:pStyle w:val="Puesto"/>
        <w:rPr>
          <w:sz w:val="24"/>
        </w:rPr>
      </w:pPr>
    </w:p>
    <w:p w14:paraId="2BE303B1" w14:textId="77777777" w:rsidR="00842BD3" w:rsidRPr="00F1114B" w:rsidRDefault="00842BD3" w:rsidP="00842BD3">
      <w:pPr>
        <w:pStyle w:val="Puesto"/>
        <w:rPr>
          <w:sz w:val="24"/>
        </w:rPr>
      </w:pPr>
      <w:r w:rsidRPr="00F1114B">
        <w:rPr>
          <w:sz w:val="24"/>
        </w:rPr>
        <w:t xml:space="preserve">SECCIÓN TERCERA </w:t>
      </w:r>
    </w:p>
    <w:p w14:paraId="3F1178B7" w14:textId="77777777" w:rsidR="00842BD3" w:rsidRPr="00F1114B" w:rsidRDefault="00842BD3" w:rsidP="00842BD3">
      <w:pPr>
        <w:pStyle w:val="Puesto"/>
        <w:rPr>
          <w:sz w:val="24"/>
        </w:rPr>
      </w:pPr>
    </w:p>
    <w:p w14:paraId="1C50CF09" w14:textId="77777777" w:rsidR="00842BD3" w:rsidRPr="00F1114B" w:rsidRDefault="00842BD3" w:rsidP="00842BD3">
      <w:pPr>
        <w:pStyle w:val="Puesto"/>
        <w:rPr>
          <w:sz w:val="24"/>
        </w:rPr>
      </w:pPr>
      <w:r w:rsidRPr="00F1114B">
        <w:rPr>
          <w:sz w:val="24"/>
        </w:rPr>
        <w:t>SUBSECCIÓN A</w:t>
      </w:r>
    </w:p>
    <w:p w14:paraId="63235BD7" w14:textId="77777777" w:rsidR="00842BD3" w:rsidRPr="00F1114B" w:rsidRDefault="00842BD3" w:rsidP="00842BD3">
      <w:pPr>
        <w:pStyle w:val="Encabezado"/>
        <w:spacing w:line="240" w:lineRule="auto"/>
        <w:jc w:val="center"/>
        <w:rPr>
          <w:rFonts w:cs="Arial"/>
          <w:b/>
          <w:szCs w:val="24"/>
          <w:lang w:val="es-CO"/>
        </w:rPr>
      </w:pPr>
    </w:p>
    <w:p w14:paraId="5E87438F" w14:textId="77777777" w:rsidR="00842BD3" w:rsidRPr="00F1114B" w:rsidRDefault="00842BD3" w:rsidP="00842BD3">
      <w:pPr>
        <w:pStyle w:val="Encabezado"/>
        <w:spacing w:line="240" w:lineRule="auto"/>
        <w:jc w:val="center"/>
        <w:rPr>
          <w:rFonts w:cs="Arial"/>
          <w:spacing w:val="-3"/>
          <w:szCs w:val="24"/>
          <w:lang w:val="es-CO"/>
        </w:rPr>
      </w:pPr>
      <w:r w:rsidRPr="00F1114B">
        <w:rPr>
          <w:rFonts w:cs="Arial"/>
          <w:b/>
          <w:szCs w:val="24"/>
          <w:lang w:val="es-CO"/>
        </w:rPr>
        <w:t>Consejera ponente: MARTA NUBIA VELÁSQUEZ RICO</w:t>
      </w:r>
    </w:p>
    <w:p w14:paraId="0637B9D7" w14:textId="77777777" w:rsidR="00842BD3" w:rsidRPr="00F1114B" w:rsidRDefault="00842BD3" w:rsidP="00842BD3">
      <w:pPr>
        <w:spacing w:line="240" w:lineRule="auto"/>
        <w:rPr>
          <w:rFonts w:cs="Arial"/>
        </w:rPr>
      </w:pPr>
    </w:p>
    <w:p w14:paraId="22E12E5F" w14:textId="77777777" w:rsidR="00842BD3" w:rsidRPr="00F1114B" w:rsidRDefault="00842BD3" w:rsidP="00842BD3">
      <w:pPr>
        <w:pStyle w:val="Saludo"/>
        <w:spacing w:line="240" w:lineRule="auto"/>
        <w:rPr>
          <w:rFonts w:cs="Arial"/>
        </w:rPr>
      </w:pPr>
      <w:r w:rsidRPr="00F1114B">
        <w:rPr>
          <w:rFonts w:cs="Arial"/>
        </w:rPr>
        <w:t>Bogotá, D.C.,  veintiséis (26) de abril dos mil dieciocho  (2018)</w:t>
      </w:r>
    </w:p>
    <w:p w14:paraId="33BCAE02" w14:textId="77777777" w:rsidR="00842BD3" w:rsidRPr="00F1114B" w:rsidRDefault="00842BD3" w:rsidP="00842BD3">
      <w:pPr>
        <w:spacing w:line="240" w:lineRule="auto"/>
        <w:rPr>
          <w:rFonts w:cs="Arial"/>
          <w:b/>
        </w:rPr>
      </w:pPr>
    </w:p>
    <w:p w14:paraId="686C3EBE" w14:textId="77777777" w:rsidR="00842BD3" w:rsidRPr="00F1114B" w:rsidRDefault="00842BD3" w:rsidP="00842BD3">
      <w:pPr>
        <w:widowControl w:val="0"/>
        <w:autoSpaceDE w:val="0"/>
        <w:autoSpaceDN w:val="0"/>
        <w:adjustRightInd w:val="0"/>
        <w:spacing w:line="240" w:lineRule="auto"/>
        <w:rPr>
          <w:rFonts w:cs="Arial"/>
          <w:b/>
        </w:rPr>
      </w:pPr>
      <w:r w:rsidRPr="00F1114B">
        <w:rPr>
          <w:rFonts w:cs="Arial"/>
          <w:b/>
        </w:rPr>
        <w:t>Radicación número: 25000-23-26-000-2010-00708-01(49970)</w:t>
      </w:r>
    </w:p>
    <w:p w14:paraId="1BAFEBD2" w14:textId="77777777" w:rsidR="00842BD3" w:rsidRPr="00F1114B" w:rsidRDefault="00842BD3" w:rsidP="00842BD3">
      <w:pPr>
        <w:widowControl w:val="0"/>
        <w:autoSpaceDE w:val="0"/>
        <w:autoSpaceDN w:val="0"/>
        <w:adjustRightInd w:val="0"/>
        <w:spacing w:line="240" w:lineRule="auto"/>
        <w:rPr>
          <w:rFonts w:cs="Arial"/>
          <w:b/>
        </w:rPr>
      </w:pPr>
    </w:p>
    <w:p w14:paraId="46F6A73D" w14:textId="77777777" w:rsidR="00842BD3" w:rsidRPr="00F1114B" w:rsidRDefault="00842BD3" w:rsidP="00842BD3">
      <w:pPr>
        <w:widowControl w:val="0"/>
        <w:autoSpaceDE w:val="0"/>
        <w:autoSpaceDN w:val="0"/>
        <w:adjustRightInd w:val="0"/>
        <w:spacing w:line="240" w:lineRule="auto"/>
        <w:rPr>
          <w:rFonts w:cs="Arial"/>
          <w:b/>
        </w:rPr>
      </w:pPr>
      <w:r w:rsidRPr="00F1114B">
        <w:rPr>
          <w:rFonts w:cs="Arial"/>
          <w:b/>
        </w:rPr>
        <w:t xml:space="preserve">Actor: CONSORCIO HERMANN CAMACHO Y OTRA </w:t>
      </w:r>
    </w:p>
    <w:p w14:paraId="7F7AA1BA" w14:textId="77777777" w:rsidR="00842BD3" w:rsidRPr="00F1114B" w:rsidRDefault="00842BD3" w:rsidP="00842BD3">
      <w:pPr>
        <w:widowControl w:val="0"/>
        <w:autoSpaceDE w:val="0"/>
        <w:autoSpaceDN w:val="0"/>
        <w:adjustRightInd w:val="0"/>
        <w:spacing w:line="240" w:lineRule="auto"/>
        <w:rPr>
          <w:rFonts w:cs="Arial"/>
          <w:b/>
        </w:rPr>
      </w:pPr>
    </w:p>
    <w:p w14:paraId="1E9B6338" w14:textId="77777777" w:rsidR="00842BD3" w:rsidRPr="00F1114B" w:rsidRDefault="00842BD3" w:rsidP="00842BD3">
      <w:pPr>
        <w:widowControl w:val="0"/>
        <w:autoSpaceDE w:val="0"/>
        <w:autoSpaceDN w:val="0"/>
        <w:adjustRightInd w:val="0"/>
        <w:spacing w:line="240" w:lineRule="auto"/>
        <w:rPr>
          <w:rFonts w:cs="Arial"/>
          <w:b/>
        </w:rPr>
      </w:pPr>
      <w:r w:rsidRPr="00F1114B">
        <w:rPr>
          <w:rFonts w:cs="Arial"/>
          <w:b/>
        </w:rPr>
        <w:t>Demandado: DISTRITO CAPITAL – SECRETARÍA DE EDUCACIÓN DISTRITAL</w:t>
      </w:r>
    </w:p>
    <w:p w14:paraId="4A3A1E8E" w14:textId="77777777" w:rsidR="00842BD3" w:rsidRPr="00F1114B" w:rsidRDefault="00842BD3" w:rsidP="00842BD3">
      <w:pPr>
        <w:widowControl w:val="0"/>
        <w:autoSpaceDE w:val="0"/>
        <w:autoSpaceDN w:val="0"/>
        <w:adjustRightInd w:val="0"/>
        <w:spacing w:line="240" w:lineRule="auto"/>
        <w:rPr>
          <w:rFonts w:cs="Arial"/>
          <w:b/>
        </w:rPr>
      </w:pPr>
    </w:p>
    <w:p w14:paraId="32B304CE" w14:textId="77777777" w:rsidR="00842BD3" w:rsidRPr="00F1114B" w:rsidRDefault="00842BD3" w:rsidP="00842BD3">
      <w:pPr>
        <w:widowControl w:val="0"/>
        <w:autoSpaceDE w:val="0"/>
        <w:autoSpaceDN w:val="0"/>
        <w:adjustRightInd w:val="0"/>
        <w:spacing w:line="240" w:lineRule="auto"/>
        <w:rPr>
          <w:rFonts w:cs="Arial"/>
          <w:b/>
        </w:rPr>
      </w:pPr>
    </w:p>
    <w:p w14:paraId="18CC16CC" w14:textId="77777777" w:rsidR="00842BD3" w:rsidRPr="00F1114B" w:rsidRDefault="00842BD3" w:rsidP="00842BD3">
      <w:pPr>
        <w:widowControl w:val="0"/>
        <w:autoSpaceDE w:val="0"/>
        <w:autoSpaceDN w:val="0"/>
        <w:adjustRightInd w:val="0"/>
        <w:spacing w:line="240" w:lineRule="auto"/>
        <w:rPr>
          <w:rFonts w:cs="Arial"/>
          <w:b/>
        </w:rPr>
      </w:pPr>
    </w:p>
    <w:p w14:paraId="68936048" w14:textId="77777777" w:rsidR="00842BD3" w:rsidRPr="00F1114B" w:rsidRDefault="00842BD3" w:rsidP="00842BD3">
      <w:pPr>
        <w:widowControl w:val="0"/>
        <w:autoSpaceDE w:val="0"/>
        <w:autoSpaceDN w:val="0"/>
        <w:adjustRightInd w:val="0"/>
        <w:spacing w:line="240" w:lineRule="auto"/>
        <w:rPr>
          <w:rFonts w:cs="Arial"/>
          <w:b/>
        </w:rPr>
      </w:pPr>
      <w:r w:rsidRPr="00F1114B">
        <w:rPr>
          <w:rFonts w:cs="Arial"/>
          <w:b/>
        </w:rPr>
        <w:t xml:space="preserve">Referencia: APELACIÓN SENTENCIA - ACCIÓN DE CONTROVERSIAS CONTRACTUALES </w:t>
      </w:r>
    </w:p>
    <w:p w14:paraId="78E191A1" w14:textId="77777777" w:rsidR="00842BD3" w:rsidRPr="00F1114B" w:rsidRDefault="00842BD3" w:rsidP="00842BD3">
      <w:pPr>
        <w:widowControl w:val="0"/>
        <w:autoSpaceDE w:val="0"/>
        <w:autoSpaceDN w:val="0"/>
        <w:adjustRightInd w:val="0"/>
        <w:spacing w:line="240" w:lineRule="auto"/>
        <w:rPr>
          <w:rFonts w:cs="Arial"/>
        </w:rPr>
      </w:pPr>
    </w:p>
    <w:p w14:paraId="009CC7C7" w14:textId="77777777" w:rsidR="00842BD3" w:rsidRPr="00F1114B" w:rsidRDefault="00842BD3" w:rsidP="00842BD3">
      <w:pPr>
        <w:widowControl w:val="0"/>
        <w:autoSpaceDE w:val="0"/>
        <w:autoSpaceDN w:val="0"/>
        <w:adjustRightInd w:val="0"/>
        <w:spacing w:line="240" w:lineRule="auto"/>
        <w:rPr>
          <w:rFonts w:cs="Arial"/>
        </w:rPr>
      </w:pPr>
    </w:p>
    <w:p w14:paraId="19A8BB31" w14:textId="77777777" w:rsidR="00842BD3" w:rsidRPr="00F1114B" w:rsidRDefault="00842BD3" w:rsidP="00842BD3">
      <w:pPr>
        <w:widowControl w:val="0"/>
        <w:autoSpaceDE w:val="0"/>
        <w:autoSpaceDN w:val="0"/>
        <w:adjustRightInd w:val="0"/>
        <w:spacing w:line="240" w:lineRule="auto"/>
        <w:rPr>
          <w:rFonts w:cs="Arial"/>
        </w:rPr>
      </w:pPr>
    </w:p>
    <w:p w14:paraId="79220C7B" w14:textId="77777777" w:rsidR="00842BD3" w:rsidRPr="00F1114B" w:rsidRDefault="00842BD3" w:rsidP="00842BD3">
      <w:pPr>
        <w:widowControl w:val="0"/>
        <w:autoSpaceDE w:val="0"/>
        <w:autoSpaceDN w:val="0"/>
        <w:adjustRightInd w:val="0"/>
        <w:spacing w:line="276" w:lineRule="auto"/>
        <w:rPr>
          <w:rFonts w:cs="Arial"/>
        </w:rPr>
      </w:pPr>
      <w:r w:rsidRPr="00F1114B">
        <w:rPr>
          <w:rFonts w:cs="Arial"/>
          <w:b/>
        </w:rPr>
        <w:t>Temas</w:t>
      </w:r>
      <w:r w:rsidRPr="00F1114B">
        <w:rPr>
          <w:rFonts w:cs="Arial"/>
        </w:rPr>
        <w:t>: CADUCIDAD DE LA ACCIÓN CONTRACTUAL - cómputo del término/  DESEQUILIBRIO ECONÓMICO DEL CONTRATO – tiene como causa el contrato – no es una hipótesis de la providencia de unificación en materia de enriquecimiento sin causa.</w:t>
      </w:r>
    </w:p>
    <w:p w14:paraId="2A45D38B" w14:textId="77777777" w:rsidR="00842BD3" w:rsidRPr="00F1114B" w:rsidRDefault="00842BD3" w:rsidP="00842BD3">
      <w:pPr>
        <w:widowControl w:val="0"/>
        <w:autoSpaceDE w:val="0"/>
        <w:autoSpaceDN w:val="0"/>
        <w:adjustRightInd w:val="0"/>
        <w:spacing w:line="240" w:lineRule="auto"/>
        <w:ind w:hanging="2124"/>
        <w:rPr>
          <w:rFonts w:cs="Arial"/>
        </w:rPr>
      </w:pPr>
    </w:p>
    <w:p w14:paraId="53D13950" w14:textId="77777777" w:rsidR="00842BD3" w:rsidRPr="00F1114B" w:rsidRDefault="00842BD3" w:rsidP="00842BD3">
      <w:pPr>
        <w:widowControl w:val="0"/>
        <w:autoSpaceDE w:val="0"/>
        <w:autoSpaceDN w:val="0"/>
        <w:adjustRightInd w:val="0"/>
        <w:spacing w:line="240" w:lineRule="auto"/>
        <w:ind w:hanging="2124"/>
        <w:rPr>
          <w:rFonts w:cs="Arial"/>
        </w:rPr>
      </w:pPr>
    </w:p>
    <w:p w14:paraId="1C908649" w14:textId="77777777" w:rsidR="00842BD3" w:rsidRPr="00F1114B" w:rsidRDefault="00842BD3" w:rsidP="00842BD3">
      <w:pPr>
        <w:widowControl w:val="0"/>
        <w:autoSpaceDE w:val="0"/>
        <w:autoSpaceDN w:val="0"/>
        <w:adjustRightInd w:val="0"/>
        <w:rPr>
          <w:rFonts w:cs="Arial"/>
        </w:rPr>
      </w:pPr>
      <w:r w:rsidRPr="00F1114B">
        <w:rPr>
          <w:rFonts w:cs="Arial"/>
        </w:rPr>
        <w:t xml:space="preserve">Conoce la Sala el recurso de apelación presentado por la parte demandante - contra la sentencia proferida por el Tribunal Administrativo de Cundinamarca, el 31 de octubre de 2013, mediante la cual se dispuso (se transcribe literal incluso con </w:t>
      </w:r>
      <w:r w:rsidRPr="00F1114B">
        <w:rPr>
          <w:rFonts w:cs="Arial"/>
        </w:rPr>
        <w:lastRenderedPageBreak/>
        <w:t>posibles errores):</w:t>
      </w:r>
    </w:p>
    <w:p w14:paraId="6F7C5849" w14:textId="77777777" w:rsidR="00842BD3" w:rsidRPr="00F1114B" w:rsidRDefault="00842BD3" w:rsidP="00842BD3">
      <w:pPr>
        <w:pStyle w:val="Textoindependienteprimerasangra2"/>
        <w:ind w:left="0" w:firstLine="0"/>
        <w:jc w:val="left"/>
        <w:rPr>
          <w:rFonts w:cs="Arial"/>
          <w:b/>
          <w:i/>
        </w:rPr>
      </w:pPr>
    </w:p>
    <w:p w14:paraId="1053EA73" w14:textId="77777777" w:rsidR="00842BD3" w:rsidRPr="00F1114B" w:rsidRDefault="00842BD3" w:rsidP="00842BD3">
      <w:pPr>
        <w:pStyle w:val="Textoindependienteprimerasangra2"/>
        <w:spacing w:line="240" w:lineRule="auto"/>
        <w:ind w:left="0" w:firstLine="0"/>
        <w:rPr>
          <w:rFonts w:cs="Arial"/>
          <w:i/>
        </w:rPr>
      </w:pPr>
      <w:r w:rsidRPr="00F1114B">
        <w:rPr>
          <w:rFonts w:cs="Arial"/>
        </w:rPr>
        <w:t>“</w:t>
      </w:r>
      <w:r w:rsidRPr="00F1114B">
        <w:rPr>
          <w:rFonts w:cs="Arial"/>
          <w:b/>
          <w:i/>
        </w:rPr>
        <w:t xml:space="preserve">PRIMERO: DECLARAR </w:t>
      </w:r>
      <w:r w:rsidRPr="00F1114B">
        <w:rPr>
          <w:rFonts w:cs="Arial"/>
          <w:i/>
        </w:rPr>
        <w:t>de oficio la caducidad de la acción por las razones expuestas en antecedencia.</w:t>
      </w:r>
    </w:p>
    <w:p w14:paraId="7E55F00D" w14:textId="77777777" w:rsidR="00842BD3" w:rsidRPr="00F1114B" w:rsidRDefault="00842BD3" w:rsidP="00842BD3">
      <w:pPr>
        <w:pStyle w:val="Textoindependienteprimerasangra2"/>
        <w:spacing w:line="240" w:lineRule="auto"/>
        <w:ind w:left="0" w:firstLine="0"/>
        <w:rPr>
          <w:rFonts w:cs="Arial"/>
          <w:i/>
        </w:rPr>
      </w:pPr>
    </w:p>
    <w:p w14:paraId="41E71E5B" w14:textId="77777777" w:rsidR="00842BD3" w:rsidRPr="00F1114B" w:rsidRDefault="00842BD3" w:rsidP="00842BD3">
      <w:pPr>
        <w:pStyle w:val="Textoindependienteprimerasangra2"/>
        <w:spacing w:line="240" w:lineRule="auto"/>
        <w:ind w:left="0" w:firstLine="0"/>
        <w:rPr>
          <w:rFonts w:cs="Arial"/>
          <w:i/>
        </w:rPr>
      </w:pPr>
      <w:r w:rsidRPr="00F1114B">
        <w:rPr>
          <w:rFonts w:cs="Arial"/>
          <w:i/>
        </w:rPr>
        <w:t>”</w:t>
      </w:r>
      <w:r w:rsidRPr="00F1114B">
        <w:rPr>
          <w:rFonts w:cs="Arial"/>
          <w:b/>
          <w:i/>
        </w:rPr>
        <w:t>SEGUNDO</w:t>
      </w:r>
      <w:r w:rsidRPr="00F1114B">
        <w:rPr>
          <w:rFonts w:cs="Arial"/>
          <w:i/>
        </w:rPr>
        <w:t>: NEGAR las pretensiones de la demanda.</w:t>
      </w:r>
    </w:p>
    <w:p w14:paraId="5A8457CF" w14:textId="77777777" w:rsidR="00842BD3" w:rsidRPr="00F1114B" w:rsidRDefault="00842BD3" w:rsidP="00842BD3">
      <w:pPr>
        <w:pStyle w:val="Textoindependienteprimerasangra2"/>
        <w:spacing w:line="240" w:lineRule="auto"/>
        <w:ind w:left="0" w:firstLine="0"/>
        <w:rPr>
          <w:rFonts w:cs="Arial"/>
          <w:i/>
        </w:rPr>
      </w:pPr>
    </w:p>
    <w:p w14:paraId="2229765E" w14:textId="77777777" w:rsidR="00842BD3" w:rsidRPr="00F1114B" w:rsidRDefault="00842BD3" w:rsidP="00842BD3">
      <w:pPr>
        <w:pStyle w:val="Textoindependienteprimerasangra2"/>
        <w:spacing w:line="240" w:lineRule="auto"/>
        <w:ind w:left="0" w:firstLine="0"/>
        <w:rPr>
          <w:rFonts w:cs="Arial"/>
          <w:i/>
        </w:rPr>
      </w:pPr>
      <w:r w:rsidRPr="00F1114B">
        <w:rPr>
          <w:rFonts w:cs="Arial"/>
          <w:i/>
        </w:rPr>
        <w:t>“</w:t>
      </w:r>
      <w:r w:rsidRPr="00F1114B">
        <w:rPr>
          <w:rFonts w:cs="Arial"/>
          <w:b/>
          <w:i/>
        </w:rPr>
        <w:t>TERCERO</w:t>
      </w:r>
      <w:r w:rsidRPr="00F1114B">
        <w:rPr>
          <w:rFonts w:cs="Arial"/>
          <w:i/>
        </w:rPr>
        <w:t>: Sin condena en costas en esta instancia”</w:t>
      </w:r>
      <w:r w:rsidRPr="00F1114B">
        <w:rPr>
          <w:rStyle w:val="Refdenotaalpie"/>
          <w:rFonts w:cs="Arial"/>
          <w:i/>
        </w:rPr>
        <w:footnoteReference w:id="1"/>
      </w:r>
      <w:r w:rsidRPr="00F1114B">
        <w:rPr>
          <w:rFonts w:cs="Arial"/>
          <w:i/>
        </w:rPr>
        <w:t>.</w:t>
      </w:r>
    </w:p>
    <w:p w14:paraId="2BAEC9A5" w14:textId="77777777" w:rsidR="00842BD3" w:rsidRPr="00F1114B" w:rsidRDefault="00842BD3" w:rsidP="00842BD3">
      <w:pPr>
        <w:widowControl w:val="0"/>
        <w:autoSpaceDE w:val="0"/>
        <w:autoSpaceDN w:val="0"/>
        <w:adjustRightInd w:val="0"/>
        <w:spacing w:line="240" w:lineRule="auto"/>
        <w:jc w:val="center"/>
        <w:rPr>
          <w:rFonts w:cs="Arial"/>
          <w:b/>
        </w:rPr>
      </w:pPr>
    </w:p>
    <w:p w14:paraId="6B7A7C15" w14:textId="77777777" w:rsidR="00842BD3" w:rsidRPr="00F1114B" w:rsidRDefault="00842BD3" w:rsidP="00842BD3">
      <w:pPr>
        <w:pStyle w:val="Lista"/>
        <w:ind w:left="0"/>
        <w:jc w:val="center"/>
        <w:rPr>
          <w:rFonts w:ascii="Arial" w:hAnsi="Arial" w:cs="Arial"/>
          <w:b/>
        </w:rPr>
      </w:pPr>
      <w:r w:rsidRPr="00F1114B">
        <w:rPr>
          <w:rFonts w:ascii="Arial" w:hAnsi="Arial" w:cs="Arial"/>
          <w:b/>
        </w:rPr>
        <w:t>I.</w:t>
      </w:r>
      <w:r w:rsidRPr="00F1114B">
        <w:rPr>
          <w:rFonts w:ascii="Arial" w:hAnsi="Arial" w:cs="Arial"/>
          <w:b/>
        </w:rPr>
        <w:tab/>
        <w:t>A N T E C E D E N T E S</w:t>
      </w:r>
    </w:p>
    <w:p w14:paraId="54F713DC" w14:textId="77777777" w:rsidR="00842BD3" w:rsidRPr="00F1114B" w:rsidRDefault="00842BD3" w:rsidP="00842BD3">
      <w:pPr>
        <w:rPr>
          <w:rFonts w:cs="Arial"/>
          <w:b/>
        </w:rPr>
      </w:pPr>
    </w:p>
    <w:p w14:paraId="25C1BDDC" w14:textId="77777777" w:rsidR="00842BD3" w:rsidRPr="00F1114B" w:rsidRDefault="00842BD3" w:rsidP="00842BD3">
      <w:pPr>
        <w:pStyle w:val="Lista2"/>
        <w:ind w:left="0" w:firstLine="0"/>
        <w:rPr>
          <w:rFonts w:cs="Arial"/>
          <w:b/>
        </w:rPr>
      </w:pPr>
      <w:r w:rsidRPr="00F1114B">
        <w:rPr>
          <w:rFonts w:cs="Arial"/>
          <w:b/>
        </w:rPr>
        <w:t>1. La demanda</w:t>
      </w:r>
    </w:p>
    <w:p w14:paraId="149D59B8" w14:textId="77777777" w:rsidR="00842BD3" w:rsidRPr="00F1114B" w:rsidRDefault="00842BD3" w:rsidP="00842BD3">
      <w:pPr>
        <w:pStyle w:val="Continuarlista2"/>
        <w:spacing w:after="0"/>
        <w:ind w:left="0"/>
        <w:rPr>
          <w:rFonts w:cs="Arial"/>
        </w:rPr>
      </w:pPr>
    </w:p>
    <w:p w14:paraId="7387B58B" w14:textId="77777777" w:rsidR="00842BD3" w:rsidRPr="00F1114B" w:rsidRDefault="00842BD3" w:rsidP="00842BD3">
      <w:pPr>
        <w:pStyle w:val="Continuarlista2"/>
        <w:spacing w:after="0"/>
        <w:ind w:left="0"/>
        <w:rPr>
          <w:rFonts w:cs="Arial"/>
          <w:lang w:val="es-MX"/>
        </w:rPr>
      </w:pPr>
      <w:r w:rsidRPr="00F1114B">
        <w:rPr>
          <w:rFonts w:cs="Arial"/>
        </w:rPr>
        <w:t>Mediante demanda presentada el 5 de octubre de 2010, el consorcio Hermann Camacho y otra</w:t>
      </w:r>
      <w:r w:rsidRPr="00F1114B">
        <w:rPr>
          <w:rStyle w:val="Refdenotaalpie"/>
          <w:rFonts w:cs="Arial"/>
        </w:rPr>
        <w:footnoteReference w:id="2"/>
      </w:r>
      <w:r w:rsidRPr="00F1114B">
        <w:rPr>
          <w:rFonts w:cs="Arial"/>
        </w:rPr>
        <w:t xml:space="preserve">, en ejercicio de la acción contractual prevista en el artículo 87 del Código Contencioso Administrativo, solicitó las siguientes declaraciones y condenas contra la Secretaría de Educación de Bogotá - Distrito Capital (se transcribe literal incluso con posibles errores): </w:t>
      </w:r>
    </w:p>
    <w:p w14:paraId="384C7D33" w14:textId="77777777" w:rsidR="00842BD3" w:rsidRPr="00F1114B" w:rsidRDefault="00842BD3" w:rsidP="00842BD3">
      <w:pPr>
        <w:pStyle w:val="Continuarlista2"/>
        <w:spacing w:after="0"/>
        <w:ind w:left="0"/>
        <w:rPr>
          <w:rFonts w:cs="Arial"/>
          <w:lang w:val="es-MX"/>
        </w:rPr>
      </w:pPr>
    </w:p>
    <w:p w14:paraId="696BCFFD" w14:textId="77777777" w:rsidR="00842BD3" w:rsidRPr="00F1114B" w:rsidRDefault="00842BD3" w:rsidP="00842BD3">
      <w:pPr>
        <w:pStyle w:val="Textoindependienteprimerasangra2"/>
        <w:spacing w:line="276" w:lineRule="auto"/>
        <w:ind w:left="0" w:firstLine="0"/>
        <w:rPr>
          <w:rFonts w:cs="Arial"/>
          <w:i/>
        </w:rPr>
      </w:pPr>
      <w:r w:rsidRPr="00F1114B">
        <w:rPr>
          <w:rFonts w:cs="Arial"/>
          <w:i/>
        </w:rPr>
        <w:t>“1. Que se declare el rompimiento de la ecuación financiera del contrato de consultoría No. 091 de fecha 13 de septiembre de 2004 en perjuicio del CONSORCIO HERMANN CAMACHO Y OTRA, con ocasión de los actos y hechos de la Administración Pública que hicieron que la ejecución del contrato de la referencia fuera mucho más onerosa de lo inicialmente previsto.</w:t>
      </w:r>
    </w:p>
    <w:p w14:paraId="6816FB2B" w14:textId="77777777" w:rsidR="00842BD3" w:rsidRPr="00F1114B" w:rsidRDefault="00842BD3" w:rsidP="00842BD3">
      <w:pPr>
        <w:pStyle w:val="Textoindependienteprimerasangra2"/>
        <w:spacing w:line="276" w:lineRule="auto"/>
        <w:ind w:left="0" w:firstLine="0"/>
        <w:rPr>
          <w:rFonts w:cs="Arial"/>
          <w:i/>
        </w:rPr>
      </w:pPr>
    </w:p>
    <w:p w14:paraId="54AE8DCA" w14:textId="77777777" w:rsidR="00842BD3" w:rsidRPr="00F1114B" w:rsidRDefault="00842BD3" w:rsidP="00842BD3">
      <w:pPr>
        <w:pStyle w:val="Textoindependienteprimerasangra2"/>
        <w:spacing w:line="276" w:lineRule="auto"/>
        <w:ind w:left="0" w:firstLine="0"/>
        <w:rPr>
          <w:rFonts w:cs="Arial"/>
          <w:i/>
        </w:rPr>
      </w:pPr>
      <w:r w:rsidRPr="00F1114B">
        <w:rPr>
          <w:rFonts w:cs="Arial"/>
          <w:i/>
        </w:rPr>
        <w:t>“2. Que se declare la existencia de un nexo causal entre la actuación de la autoridad administrativa Secretaría de Educación Distrital de Bogotá y el daño antijurídico experimentado por el Consorcio contratista.</w:t>
      </w:r>
    </w:p>
    <w:p w14:paraId="4782712C" w14:textId="77777777" w:rsidR="00842BD3" w:rsidRPr="00F1114B" w:rsidRDefault="00842BD3" w:rsidP="00842BD3">
      <w:pPr>
        <w:pStyle w:val="Textoindependienteprimerasangra2"/>
        <w:spacing w:line="276" w:lineRule="auto"/>
        <w:ind w:left="0" w:firstLine="0"/>
        <w:rPr>
          <w:rFonts w:cs="Arial"/>
          <w:i/>
        </w:rPr>
      </w:pPr>
    </w:p>
    <w:p w14:paraId="723C8950" w14:textId="77777777" w:rsidR="00842BD3" w:rsidRPr="00F1114B" w:rsidRDefault="00842BD3" w:rsidP="00842BD3">
      <w:pPr>
        <w:pStyle w:val="Textoindependienteprimerasangra2"/>
        <w:spacing w:line="276" w:lineRule="auto"/>
        <w:ind w:left="0" w:firstLine="0"/>
        <w:rPr>
          <w:rFonts w:cs="Arial"/>
          <w:i/>
        </w:rPr>
      </w:pPr>
      <w:r w:rsidRPr="00F1114B">
        <w:rPr>
          <w:rFonts w:cs="Arial"/>
          <w:i/>
        </w:rPr>
        <w:t>“3. Que en virtud de tales declaraciones, se proceda a condenar a la Secretaría de Educación Distrital de Bogotá al pago de indemnización de los perjuicios en cuantía de $703’135.821 por concepto de los trabajos adicionales que el CONSORCIO HERMANN CAMACHO Y OTRA tuvo que ejecutar para efectos de dar cumplimiento a los requerimientos de la entidad contratante.</w:t>
      </w:r>
    </w:p>
    <w:p w14:paraId="176CA439" w14:textId="77777777" w:rsidR="00842BD3" w:rsidRPr="00F1114B" w:rsidRDefault="00842BD3" w:rsidP="00842BD3">
      <w:pPr>
        <w:pStyle w:val="Textoindependienteprimerasangra2"/>
        <w:spacing w:line="276" w:lineRule="auto"/>
        <w:ind w:left="0" w:firstLine="0"/>
        <w:rPr>
          <w:rFonts w:cs="Arial"/>
          <w:i/>
        </w:rPr>
      </w:pPr>
    </w:p>
    <w:p w14:paraId="3DE4D063" w14:textId="77777777" w:rsidR="00842BD3" w:rsidRPr="00F1114B" w:rsidRDefault="00842BD3" w:rsidP="00842BD3">
      <w:pPr>
        <w:pStyle w:val="Textoindependienteprimerasangra2"/>
        <w:spacing w:line="276" w:lineRule="auto"/>
        <w:ind w:left="0" w:firstLine="0"/>
        <w:rPr>
          <w:rFonts w:cs="Arial"/>
          <w:i/>
        </w:rPr>
      </w:pPr>
      <w:r w:rsidRPr="00F1114B">
        <w:rPr>
          <w:rFonts w:cs="Arial"/>
          <w:i/>
        </w:rPr>
        <w:t>“4. Que se condene en costas y agencias en derecho a la Secretaría Distrital de Educación de Bogotá, en caso de oposición.</w:t>
      </w:r>
    </w:p>
    <w:p w14:paraId="0E1B29DA" w14:textId="77777777" w:rsidR="00842BD3" w:rsidRPr="00F1114B" w:rsidRDefault="00842BD3" w:rsidP="00842BD3">
      <w:pPr>
        <w:pStyle w:val="Textoindependienteprimerasangra2"/>
        <w:spacing w:line="276" w:lineRule="auto"/>
        <w:ind w:left="0" w:firstLine="0"/>
        <w:rPr>
          <w:rFonts w:cs="Arial"/>
          <w:i/>
        </w:rPr>
      </w:pPr>
    </w:p>
    <w:p w14:paraId="43215966" w14:textId="77777777" w:rsidR="00842BD3" w:rsidRPr="00F1114B" w:rsidRDefault="00842BD3" w:rsidP="00842BD3">
      <w:pPr>
        <w:pStyle w:val="Textoindependienteprimerasangra2"/>
        <w:spacing w:line="276" w:lineRule="auto"/>
        <w:ind w:left="0" w:firstLine="0"/>
        <w:rPr>
          <w:rFonts w:cs="Arial"/>
          <w:i/>
        </w:rPr>
      </w:pPr>
      <w:r w:rsidRPr="00F1114B">
        <w:rPr>
          <w:rFonts w:cs="Arial"/>
          <w:i/>
        </w:rPr>
        <w:t>“5. Que se actualice la suma de dinero solicitada en los términos del artículo 177 del Código Contencioso Administrativo”</w:t>
      </w:r>
      <w:r w:rsidRPr="00F1114B">
        <w:rPr>
          <w:rStyle w:val="Refdenotaalpie"/>
          <w:rFonts w:cs="Arial"/>
          <w:i/>
        </w:rPr>
        <w:footnoteReference w:id="3"/>
      </w:r>
      <w:r w:rsidRPr="00F1114B">
        <w:rPr>
          <w:rFonts w:cs="Arial"/>
          <w:i/>
        </w:rPr>
        <w:t xml:space="preserve">. </w:t>
      </w:r>
    </w:p>
    <w:p w14:paraId="716F89A6" w14:textId="77777777" w:rsidR="00842BD3" w:rsidRPr="00F1114B" w:rsidRDefault="00842BD3" w:rsidP="00842BD3">
      <w:pPr>
        <w:pStyle w:val="Textoindependienteprimerasangra2"/>
        <w:spacing w:line="276" w:lineRule="auto"/>
        <w:ind w:left="0" w:firstLine="0"/>
        <w:rPr>
          <w:rFonts w:cs="Arial"/>
          <w:i/>
        </w:rPr>
      </w:pPr>
    </w:p>
    <w:p w14:paraId="5F009F36" w14:textId="77777777" w:rsidR="00842BD3" w:rsidRPr="00F1114B" w:rsidRDefault="00842BD3" w:rsidP="00842BD3">
      <w:pPr>
        <w:pStyle w:val="Lista3"/>
        <w:spacing w:line="276" w:lineRule="auto"/>
        <w:ind w:left="0" w:firstLine="0"/>
        <w:rPr>
          <w:rFonts w:cs="Arial"/>
          <w:b/>
        </w:rPr>
      </w:pPr>
    </w:p>
    <w:p w14:paraId="35E8C8D6" w14:textId="77777777" w:rsidR="00842BD3" w:rsidRPr="00F1114B" w:rsidRDefault="00842BD3" w:rsidP="00842BD3">
      <w:pPr>
        <w:pStyle w:val="Lista3"/>
        <w:ind w:left="0" w:firstLine="0"/>
        <w:rPr>
          <w:rFonts w:cs="Arial"/>
          <w:b/>
        </w:rPr>
      </w:pPr>
      <w:r w:rsidRPr="00F1114B">
        <w:rPr>
          <w:rFonts w:cs="Arial"/>
          <w:b/>
        </w:rPr>
        <w:t>2. Los hechos</w:t>
      </w:r>
    </w:p>
    <w:p w14:paraId="3E6D9B00" w14:textId="77777777" w:rsidR="00842BD3" w:rsidRPr="00F1114B" w:rsidRDefault="00842BD3" w:rsidP="00842BD3">
      <w:pPr>
        <w:widowControl w:val="0"/>
        <w:autoSpaceDE w:val="0"/>
        <w:autoSpaceDN w:val="0"/>
        <w:adjustRightInd w:val="0"/>
        <w:rPr>
          <w:rFonts w:cs="Arial"/>
          <w:lang w:val="es-MX"/>
        </w:rPr>
      </w:pPr>
    </w:p>
    <w:p w14:paraId="0DE02000" w14:textId="77777777" w:rsidR="00842BD3" w:rsidRPr="00F1114B" w:rsidRDefault="00842BD3" w:rsidP="00842BD3">
      <w:pPr>
        <w:pStyle w:val="Textoindependiente"/>
        <w:rPr>
          <w:rFonts w:cs="Arial"/>
          <w:szCs w:val="24"/>
        </w:rPr>
      </w:pPr>
      <w:r w:rsidRPr="00F1114B">
        <w:rPr>
          <w:rFonts w:cs="Arial"/>
          <w:szCs w:val="24"/>
          <w:lang w:val="es-CO"/>
        </w:rPr>
        <w:t>E</w:t>
      </w:r>
      <w:r w:rsidRPr="00F1114B">
        <w:rPr>
          <w:rFonts w:cs="Arial"/>
          <w:szCs w:val="24"/>
        </w:rPr>
        <w:t>n el escrito de demanda, la parte actora narró los siguientes hechos:</w:t>
      </w:r>
    </w:p>
    <w:p w14:paraId="6A386109" w14:textId="77777777" w:rsidR="00842BD3" w:rsidRPr="00F1114B" w:rsidRDefault="00842BD3" w:rsidP="00842BD3">
      <w:pPr>
        <w:pStyle w:val="Lista2"/>
        <w:ind w:left="0" w:firstLine="0"/>
        <w:rPr>
          <w:rFonts w:cs="Arial"/>
          <w:b/>
        </w:rPr>
      </w:pPr>
    </w:p>
    <w:p w14:paraId="0FEF8996" w14:textId="77777777" w:rsidR="00842BD3" w:rsidRPr="00F1114B" w:rsidRDefault="00842BD3" w:rsidP="00842BD3">
      <w:pPr>
        <w:pStyle w:val="Lista2"/>
        <w:ind w:left="0" w:firstLine="0"/>
        <w:rPr>
          <w:rFonts w:cs="Arial"/>
        </w:rPr>
      </w:pPr>
      <w:r w:rsidRPr="00F1114B">
        <w:rPr>
          <w:rFonts w:cs="Arial"/>
          <w:b/>
        </w:rPr>
        <w:t xml:space="preserve">2.1. </w:t>
      </w:r>
      <w:r w:rsidRPr="00F1114B">
        <w:rPr>
          <w:rFonts w:cs="Arial"/>
        </w:rPr>
        <w:t xml:space="preserve">La Secretaría de Educación del Distrito de Bogotá suscribió el contrato de consultoría 091 de 2004 con el Consorcio Hermann Camacho y otra, el cual tuvo por objeto la realización del diseño funcional y la totalidad de los diseños arquitectónicos, estructurales, eléctricos, hidráulicos, sanitarios, de gas, de voz y datos, requeridos para llevar a los estándares mínimos de reforzamiento estructural a las instituciones educativas del distrito (IED) que fueron identificadas en el respectivo contrato. </w:t>
      </w:r>
    </w:p>
    <w:p w14:paraId="737E07DF" w14:textId="77777777" w:rsidR="00842BD3" w:rsidRPr="00F1114B" w:rsidRDefault="00842BD3" w:rsidP="00842BD3">
      <w:pPr>
        <w:pStyle w:val="Lista2"/>
        <w:ind w:left="0" w:firstLine="0"/>
        <w:rPr>
          <w:rFonts w:cs="Arial"/>
          <w:b/>
        </w:rPr>
      </w:pPr>
    </w:p>
    <w:p w14:paraId="4500E1AF" w14:textId="77777777" w:rsidR="00842BD3" w:rsidRPr="00F1114B" w:rsidRDefault="00842BD3" w:rsidP="00842BD3">
      <w:pPr>
        <w:pStyle w:val="Lista2"/>
        <w:ind w:left="0" w:firstLine="0"/>
        <w:rPr>
          <w:rFonts w:cs="Arial"/>
        </w:rPr>
      </w:pPr>
      <w:r w:rsidRPr="00F1114B">
        <w:rPr>
          <w:rFonts w:cs="Arial"/>
          <w:b/>
        </w:rPr>
        <w:t xml:space="preserve">2.2. </w:t>
      </w:r>
      <w:r w:rsidRPr="00F1114B">
        <w:rPr>
          <w:rFonts w:cs="Arial"/>
        </w:rPr>
        <w:t xml:space="preserve">Según afirmó el demandante, la Secretaría de Educación varió el alcance de los diseños de la IED San Carlos, ampliándolos para los efectos de la reconstrucción o edificación total, lo que implicó para el consorcio contratista una ardua labor de rediseño y la entrega de productos adicionales. Agregó que los referidos productos eran requeridos por el distrito ante la premura de la contratación de la respectiva obra. </w:t>
      </w:r>
    </w:p>
    <w:p w14:paraId="4DDED129" w14:textId="77777777" w:rsidR="00842BD3" w:rsidRPr="00F1114B" w:rsidRDefault="00842BD3" w:rsidP="00842BD3">
      <w:pPr>
        <w:pStyle w:val="Lista2"/>
        <w:ind w:left="0" w:firstLine="0"/>
        <w:rPr>
          <w:rFonts w:cs="Arial"/>
        </w:rPr>
      </w:pPr>
    </w:p>
    <w:p w14:paraId="780B02E2" w14:textId="77777777" w:rsidR="00842BD3" w:rsidRPr="00F1114B" w:rsidRDefault="00842BD3" w:rsidP="00842BD3">
      <w:pPr>
        <w:pStyle w:val="Lista2"/>
        <w:ind w:left="0" w:firstLine="0"/>
        <w:rPr>
          <w:rFonts w:cs="Arial"/>
        </w:rPr>
      </w:pPr>
      <w:r w:rsidRPr="00F1114B">
        <w:rPr>
          <w:rFonts w:cs="Arial"/>
          <w:b/>
        </w:rPr>
        <w:t xml:space="preserve">2.3. </w:t>
      </w:r>
      <w:r w:rsidRPr="00F1114B">
        <w:rPr>
          <w:rFonts w:cs="Arial"/>
        </w:rPr>
        <w:t>El contrato de consultoría se adicionó por el 50% del valor inicial, empero, tal como lo había advertido el contratista al distrito, esa suma resultaba insuficiente.</w:t>
      </w:r>
    </w:p>
    <w:p w14:paraId="597A9501" w14:textId="77777777" w:rsidR="00842BD3" w:rsidRPr="00F1114B" w:rsidRDefault="00842BD3" w:rsidP="00842BD3">
      <w:pPr>
        <w:pStyle w:val="Lista2"/>
        <w:ind w:left="0" w:firstLine="0"/>
        <w:rPr>
          <w:rFonts w:cs="Arial"/>
          <w:b/>
        </w:rPr>
      </w:pPr>
    </w:p>
    <w:p w14:paraId="4EB33FC6" w14:textId="77777777" w:rsidR="00842BD3" w:rsidRPr="00F1114B" w:rsidRDefault="00842BD3" w:rsidP="00842BD3">
      <w:pPr>
        <w:pStyle w:val="Lista2"/>
        <w:ind w:left="0" w:firstLine="0"/>
        <w:rPr>
          <w:rFonts w:cs="Arial"/>
        </w:rPr>
      </w:pPr>
      <w:r w:rsidRPr="00F1114B">
        <w:rPr>
          <w:rFonts w:cs="Arial"/>
          <w:b/>
        </w:rPr>
        <w:t xml:space="preserve">2.3. </w:t>
      </w:r>
      <w:r w:rsidRPr="00F1114B">
        <w:rPr>
          <w:rFonts w:cs="Arial"/>
        </w:rPr>
        <w:t>Por otra parte, destacó el demandante que como consecuencia de las nuevas necesidades reportadas por la entidad contratante, el consorcio se vio obligado a intervenir mayor cantidad de área que la inicialmente estipulada, por  una extensión equivalente a 4.204, 04 M2.</w:t>
      </w:r>
    </w:p>
    <w:p w14:paraId="4DA264CC" w14:textId="77777777" w:rsidR="00842BD3" w:rsidRPr="00F1114B" w:rsidRDefault="00842BD3" w:rsidP="00842BD3">
      <w:pPr>
        <w:pStyle w:val="Lista2"/>
        <w:ind w:left="0" w:firstLine="0"/>
        <w:rPr>
          <w:rFonts w:cs="Arial"/>
          <w:b/>
        </w:rPr>
      </w:pPr>
    </w:p>
    <w:p w14:paraId="6A01C617" w14:textId="77777777" w:rsidR="00842BD3" w:rsidRPr="00F1114B" w:rsidRDefault="00842BD3" w:rsidP="00842BD3">
      <w:pPr>
        <w:pStyle w:val="Lista2"/>
        <w:ind w:left="0" w:firstLine="0"/>
        <w:rPr>
          <w:rFonts w:cs="Arial"/>
        </w:rPr>
      </w:pPr>
      <w:r w:rsidRPr="00F1114B">
        <w:rPr>
          <w:rFonts w:cs="Arial"/>
          <w:b/>
        </w:rPr>
        <w:t xml:space="preserve">2.4. </w:t>
      </w:r>
      <w:r w:rsidRPr="00F1114B">
        <w:rPr>
          <w:rFonts w:cs="Arial"/>
        </w:rPr>
        <w:t>El demandante presentó un recuento de todas las variaciones realizadas y destacó que los productos correspondientes a la modificación “</w:t>
      </w:r>
      <w:r w:rsidRPr="00F1114B">
        <w:rPr>
          <w:rFonts w:cs="Arial"/>
          <w:i/>
        </w:rPr>
        <w:t>no suscrita sino hasta el 10 de noviembre de 2005, fueron entregados en fechas de 19 de noviembre de 2004, 17 de enero de 2005 y 24 de junio de 2005”</w:t>
      </w:r>
      <w:r w:rsidRPr="00F1114B">
        <w:rPr>
          <w:rStyle w:val="Refdenotaalpie"/>
          <w:rFonts w:cs="Arial"/>
          <w:i/>
        </w:rPr>
        <w:footnoteReference w:id="4"/>
      </w:r>
      <w:r w:rsidRPr="00F1114B">
        <w:rPr>
          <w:rFonts w:cs="Arial"/>
          <w:i/>
        </w:rPr>
        <w:t>.</w:t>
      </w:r>
    </w:p>
    <w:p w14:paraId="61195458" w14:textId="77777777" w:rsidR="00842BD3" w:rsidRPr="00F1114B" w:rsidRDefault="00842BD3" w:rsidP="00842BD3">
      <w:pPr>
        <w:pStyle w:val="Lista2"/>
        <w:ind w:left="0" w:firstLine="0"/>
        <w:rPr>
          <w:rFonts w:cs="Arial"/>
          <w:b/>
        </w:rPr>
      </w:pPr>
    </w:p>
    <w:p w14:paraId="23C594B4" w14:textId="77777777" w:rsidR="00842BD3" w:rsidRPr="00F1114B" w:rsidRDefault="00842BD3" w:rsidP="00842BD3">
      <w:pPr>
        <w:pStyle w:val="Lista2"/>
        <w:ind w:left="0" w:firstLine="0"/>
        <w:rPr>
          <w:rFonts w:cs="Arial"/>
        </w:rPr>
      </w:pPr>
      <w:r w:rsidRPr="00F1114B">
        <w:rPr>
          <w:rFonts w:cs="Arial"/>
          <w:b/>
        </w:rPr>
        <w:t xml:space="preserve">2.5. </w:t>
      </w:r>
      <w:r w:rsidRPr="00F1114B">
        <w:rPr>
          <w:rFonts w:cs="Arial"/>
        </w:rPr>
        <w:t xml:space="preserve">Agregó el demandante que el 29 de mayo de 2006, luego de haber entregado los productos objeto de la consultoría, se le otorgó el recibo a satisfacción, no </w:t>
      </w:r>
      <w:r w:rsidRPr="00F1114B">
        <w:rPr>
          <w:rFonts w:cs="Arial"/>
        </w:rPr>
        <w:lastRenderedPageBreak/>
        <w:t>obstante lo cual la Secretaría de Educación siguió realizando requerimientos que fueron atendidos directamente por el consorcio contratista el 12 de junio de 2006.</w:t>
      </w:r>
    </w:p>
    <w:p w14:paraId="6DE683F8" w14:textId="77777777" w:rsidR="00842BD3" w:rsidRPr="00F1114B" w:rsidRDefault="00842BD3" w:rsidP="00842BD3">
      <w:pPr>
        <w:pStyle w:val="Lista2"/>
        <w:ind w:left="0" w:firstLine="0"/>
        <w:rPr>
          <w:rFonts w:cs="Arial"/>
          <w:b/>
        </w:rPr>
      </w:pPr>
    </w:p>
    <w:p w14:paraId="3F61C558" w14:textId="77777777" w:rsidR="00842BD3" w:rsidRPr="00F1114B" w:rsidRDefault="00842BD3" w:rsidP="00842BD3">
      <w:pPr>
        <w:pStyle w:val="Lista2"/>
        <w:ind w:left="0" w:firstLine="0"/>
        <w:rPr>
          <w:rFonts w:cs="Arial"/>
        </w:rPr>
      </w:pPr>
      <w:r w:rsidRPr="00F1114B">
        <w:rPr>
          <w:rFonts w:cs="Arial"/>
          <w:b/>
        </w:rPr>
        <w:t xml:space="preserve">2.6. </w:t>
      </w:r>
      <w:r w:rsidRPr="00F1114B">
        <w:rPr>
          <w:rFonts w:cs="Arial"/>
        </w:rPr>
        <w:t>Narró que, de acuerdo con el contrato, el 10% de su valor se pagaba una vez atendidas todas las obligaciones correspondientes al trámite de las licencias de construcción, pero debido a problemas ajenos al contratista, relacionados con las dificultades en la legalización de los predios para obtener las licencias de construcción, se firmó el modificatorio No. 2 el 20 de noviembre de 2006, en el cual se acordó que el pago del referido 10% de la consultoría procedía desde la fecha de radicación de la licencia de construcción ante la respectiva curaduría.</w:t>
      </w:r>
    </w:p>
    <w:p w14:paraId="24DC8B60" w14:textId="77777777" w:rsidR="00842BD3" w:rsidRPr="00F1114B" w:rsidRDefault="00842BD3" w:rsidP="00842BD3">
      <w:pPr>
        <w:pStyle w:val="Lista2"/>
        <w:ind w:left="0" w:firstLine="0"/>
        <w:rPr>
          <w:rFonts w:cs="Arial"/>
          <w:b/>
        </w:rPr>
      </w:pPr>
    </w:p>
    <w:p w14:paraId="3BDBA383" w14:textId="77777777" w:rsidR="00842BD3" w:rsidRPr="00F1114B" w:rsidRDefault="00842BD3" w:rsidP="00842BD3">
      <w:pPr>
        <w:pStyle w:val="Lista2"/>
        <w:ind w:left="0" w:firstLine="0"/>
        <w:rPr>
          <w:rFonts w:cs="Arial"/>
        </w:rPr>
      </w:pPr>
      <w:r w:rsidRPr="00F1114B">
        <w:rPr>
          <w:rFonts w:cs="Arial"/>
          <w:b/>
        </w:rPr>
        <w:t xml:space="preserve">2.7. </w:t>
      </w:r>
      <w:r w:rsidRPr="00F1114B">
        <w:rPr>
          <w:rFonts w:cs="Arial"/>
        </w:rPr>
        <w:t xml:space="preserve">Con fecha 4 de mayo de 2007, el consorcio respondió una comunicación de 17 de abril de 2007, suscrita por el director de plantas físicas de la Secretaría de Educación, en la cual presentó aclaraciones a algunas de las manifestaciones realizadas por el firmante y, en esa oportunidad, insistió en que estaba pendiente un pronunciamiento sobre el reconocimiento económico que venía reclamando. </w:t>
      </w:r>
    </w:p>
    <w:p w14:paraId="741CB6EC" w14:textId="77777777" w:rsidR="00842BD3" w:rsidRPr="00F1114B" w:rsidRDefault="00842BD3" w:rsidP="00842BD3">
      <w:pPr>
        <w:pStyle w:val="Lista2"/>
        <w:ind w:left="0" w:firstLine="0"/>
        <w:rPr>
          <w:rFonts w:cs="Arial"/>
        </w:rPr>
      </w:pPr>
    </w:p>
    <w:p w14:paraId="0CA26FE0" w14:textId="77777777" w:rsidR="00842BD3" w:rsidRPr="00F1114B" w:rsidRDefault="00842BD3" w:rsidP="00842BD3">
      <w:pPr>
        <w:pStyle w:val="Lista2"/>
        <w:ind w:left="0" w:firstLine="0"/>
        <w:rPr>
          <w:rFonts w:cs="Arial"/>
        </w:rPr>
      </w:pPr>
      <w:r w:rsidRPr="00F1114B">
        <w:rPr>
          <w:rFonts w:cs="Arial"/>
          <w:b/>
        </w:rPr>
        <w:t xml:space="preserve">2.8. </w:t>
      </w:r>
      <w:r w:rsidRPr="00F1114B">
        <w:rPr>
          <w:rFonts w:cs="Arial"/>
        </w:rPr>
        <w:t>Afirmó el demandante que,</w:t>
      </w:r>
      <w:r w:rsidRPr="00F1114B">
        <w:rPr>
          <w:rFonts w:cs="Arial"/>
          <w:b/>
        </w:rPr>
        <w:t xml:space="preserve"> </w:t>
      </w:r>
      <w:r w:rsidRPr="00F1114B">
        <w:rPr>
          <w:rFonts w:cs="Arial"/>
        </w:rPr>
        <w:t>pese a estar utilizando los diseños entregados por el contratista, la Secretaría de Educación solo se pronunció el 8 de abril de 2008 informando que estaba adelantando el procedimiento de liquidación.</w:t>
      </w:r>
    </w:p>
    <w:p w14:paraId="4EAAACD5" w14:textId="77777777" w:rsidR="00842BD3" w:rsidRPr="00F1114B" w:rsidRDefault="00842BD3" w:rsidP="00842BD3">
      <w:pPr>
        <w:pStyle w:val="Lista2"/>
        <w:ind w:left="0" w:firstLine="0"/>
        <w:rPr>
          <w:rFonts w:cs="Arial"/>
          <w:b/>
        </w:rPr>
      </w:pPr>
    </w:p>
    <w:p w14:paraId="04B533A9" w14:textId="77777777" w:rsidR="00842BD3" w:rsidRPr="00F1114B" w:rsidRDefault="00842BD3" w:rsidP="00842BD3">
      <w:pPr>
        <w:pStyle w:val="Lista2"/>
        <w:ind w:left="0" w:firstLine="0"/>
        <w:rPr>
          <w:rFonts w:cs="Arial"/>
        </w:rPr>
      </w:pPr>
      <w:r w:rsidRPr="00F1114B">
        <w:rPr>
          <w:rFonts w:cs="Arial"/>
          <w:b/>
        </w:rPr>
        <w:t xml:space="preserve">2.9. </w:t>
      </w:r>
      <w:r w:rsidRPr="00F1114B">
        <w:rPr>
          <w:rFonts w:cs="Arial"/>
        </w:rPr>
        <w:t>El 6 de octubre de 2008, ante las actitudes dilatorias de la Secretaría de Educación del distrito capital, el consorcio hizo uso del derecho de petición y solicitó una respuesta para la liquidación de dos contratos, el 088 y 091 de 2004.</w:t>
      </w:r>
    </w:p>
    <w:p w14:paraId="368B8A6D" w14:textId="77777777" w:rsidR="00842BD3" w:rsidRPr="00F1114B" w:rsidRDefault="00842BD3" w:rsidP="00842BD3">
      <w:pPr>
        <w:pStyle w:val="Continuarlista2"/>
        <w:spacing w:after="0"/>
        <w:ind w:left="0"/>
        <w:rPr>
          <w:rFonts w:cs="Arial"/>
          <w:b/>
        </w:rPr>
      </w:pPr>
    </w:p>
    <w:p w14:paraId="224A3BA2" w14:textId="77777777" w:rsidR="00842BD3" w:rsidRPr="00F1114B" w:rsidRDefault="00842BD3" w:rsidP="00842BD3">
      <w:pPr>
        <w:pStyle w:val="Continuarlista2"/>
        <w:spacing w:after="0"/>
        <w:ind w:left="0"/>
        <w:rPr>
          <w:rFonts w:cs="Arial"/>
        </w:rPr>
      </w:pPr>
      <w:r w:rsidRPr="00F1114B">
        <w:rPr>
          <w:rFonts w:cs="Arial"/>
          <w:b/>
        </w:rPr>
        <w:t xml:space="preserve">2.10.  </w:t>
      </w:r>
      <w:r w:rsidRPr="00F1114B">
        <w:rPr>
          <w:rFonts w:cs="Arial"/>
        </w:rPr>
        <w:t>De la misma forma, el consorcio acudió ante la Procuraduría General de la Nación y adelantó las diligencias de conciliación que resultaron fallidas, razón por la cual procedió a presentar la demanda.</w:t>
      </w:r>
    </w:p>
    <w:p w14:paraId="14DE8CFF" w14:textId="77777777" w:rsidR="00842BD3" w:rsidRPr="00F1114B" w:rsidRDefault="00842BD3" w:rsidP="00842BD3">
      <w:pPr>
        <w:pStyle w:val="Continuarlista2"/>
        <w:spacing w:after="0"/>
        <w:ind w:left="0"/>
        <w:rPr>
          <w:rFonts w:cs="Arial"/>
          <w:b/>
        </w:rPr>
      </w:pPr>
    </w:p>
    <w:p w14:paraId="38D3CFA1" w14:textId="77777777" w:rsidR="00842BD3" w:rsidRPr="00F1114B" w:rsidRDefault="00842BD3" w:rsidP="00842BD3">
      <w:pPr>
        <w:pStyle w:val="Continuarlista2"/>
        <w:spacing w:after="0"/>
        <w:ind w:left="0"/>
        <w:rPr>
          <w:rFonts w:cs="Arial"/>
          <w:b/>
        </w:rPr>
      </w:pPr>
      <w:r w:rsidRPr="00F1114B">
        <w:rPr>
          <w:rFonts w:cs="Arial"/>
          <w:b/>
        </w:rPr>
        <w:t>3. Concepto de violación</w:t>
      </w:r>
    </w:p>
    <w:p w14:paraId="30D127C9" w14:textId="77777777" w:rsidR="00842BD3" w:rsidRPr="00F1114B" w:rsidRDefault="00842BD3" w:rsidP="00842BD3">
      <w:pPr>
        <w:pStyle w:val="Continuarlista2"/>
        <w:spacing w:after="0"/>
        <w:ind w:left="0"/>
        <w:rPr>
          <w:rFonts w:cs="Arial"/>
        </w:rPr>
      </w:pPr>
    </w:p>
    <w:p w14:paraId="62F00AC1" w14:textId="77777777" w:rsidR="00842BD3" w:rsidRPr="00F1114B" w:rsidRDefault="00842BD3" w:rsidP="00842BD3">
      <w:pPr>
        <w:pStyle w:val="Continuarlista2"/>
        <w:spacing w:after="0"/>
        <w:ind w:left="0"/>
        <w:rPr>
          <w:rFonts w:cs="Arial"/>
        </w:rPr>
      </w:pPr>
      <w:r w:rsidRPr="00F1114B">
        <w:rPr>
          <w:rFonts w:cs="Arial"/>
        </w:rPr>
        <w:t xml:space="preserve">La parte actora presentó en detalle la cuantificación del desequilibrio económico e invocó la responsabilidad patrimonial del Estado consagrada en el artículo 90 de la Constitución Política y la jurisprudencia sobre el deber de reparación en el caso de la acción por enriquecimiento sin causa. </w:t>
      </w:r>
    </w:p>
    <w:p w14:paraId="2DD98BEB" w14:textId="77777777" w:rsidR="00842BD3" w:rsidRPr="00F1114B" w:rsidRDefault="00842BD3" w:rsidP="00842BD3">
      <w:pPr>
        <w:pStyle w:val="Lista3"/>
        <w:ind w:left="0" w:firstLine="0"/>
        <w:rPr>
          <w:rFonts w:cs="Arial"/>
        </w:rPr>
      </w:pPr>
    </w:p>
    <w:p w14:paraId="0DD98F3D" w14:textId="77777777" w:rsidR="00842BD3" w:rsidRPr="00F1114B" w:rsidRDefault="00842BD3" w:rsidP="00842BD3">
      <w:pPr>
        <w:pStyle w:val="Lista3"/>
        <w:ind w:left="0" w:firstLine="0"/>
        <w:rPr>
          <w:rFonts w:cs="Arial"/>
          <w:b/>
        </w:rPr>
      </w:pPr>
      <w:r w:rsidRPr="00F1114B">
        <w:rPr>
          <w:rFonts w:cs="Arial"/>
          <w:b/>
        </w:rPr>
        <w:t>4. Actuación procesal</w:t>
      </w:r>
    </w:p>
    <w:p w14:paraId="6E58DAF8" w14:textId="77777777" w:rsidR="00842BD3" w:rsidRPr="00F1114B" w:rsidRDefault="00842BD3" w:rsidP="00842BD3">
      <w:pPr>
        <w:rPr>
          <w:rFonts w:cs="Arial"/>
          <w:bCs/>
          <w:iCs/>
        </w:rPr>
      </w:pPr>
    </w:p>
    <w:p w14:paraId="61D544B1" w14:textId="77777777" w:rsidR="00842BD3" w:rsidRPr="00F1114B" w:rsidRDefault="00842BD3" w:rsidP="00842BD3">
      <w:pPr>
        <w:pStyle w:val="Lista4"/>
        <w:ind w:left="0" w:firstLine="0"/>
        <w:rPr>
          <w:rFonts w:cs="Arial"/>
        </w:rPr>
      </w:pPr>
      <w:r w:rsidRPr="00F1114B">
        <w:rPr>
          <w:rFonts w:cs="Arial"/>
          <w:b/>
        </w:rPr>
        <w:t xml:space="preserve">4.1. </w:t>
      </w:r>
      <w:r w:rsidRPr="00F1114B">
        <w:rPr>
          <w:rFonts w:cs="Arial"/>
        </w:rPr>
        <w:t xml:space="preserve">El Tribunal Administrativo de Cundinamarca inadmitió la demanda por razón de las falencias en los documentos aportados, en atención a lo cual el demandante allegó copias auténticas del acta de iniciación, las actas de suspensión, de prórroga y de reiniciación del contrato 091. De la misma forma, se allegaron las copias auténticas del contrato 091 de 2004 y de sus modificatorios. </w:t>
      </w:r>
    </w:p>
    <w:p w14:paraId="4DB92A05" w14:textId="77777777" w:rsidR="00842BD3" w:rsidRPr="00F1114B" w:rsidRDefault="00842BD3" w:rsidP="00842BD3">
      <w:pPr>
        <w:pStyle w:val="Lista4"/>
        <w:ind w:left="0" w:firstLine="0"/>
        <w:rPr>
          <w:rFonts w:cs="Arial"/>
        </w:rPr>
      </w:pPr>
    </w:p>
    <w:p w14:paraId="538DD4FC" w14:textId="77777777" w:rsidR="00842BD3" w:rsidRPr="00F1114B" w:rsidRDefault="00842BD3" w:rsidP="00842BD3">
      <w:pPr>
        <w:pStyle w:val="Lista4"/>
        <w:ind w:left="0" w:firstLine="0"/>
        <w:rPr>
          <w:rFonts w:cs="Arial"/>
        </w:rPr>
      </w:pPr>
      <w:r w:rsidRPr="00F1114B">
        <w:rPr>
          <w:rFonts w:cs="Arial"/>
          <w:b/>
        </w:rPr>
        <w:t>4.2.</w:t>
      </w:r>
      <w:r w:rsidRPr="00F1114B">
        <w:rPr>
          <w:rFonts w:cs="Arial"/>
        </w:rPr>
        <w:t xml:space="preserve"> La demanda se admitió el 3 de febrero de 2011</w:t>
      </w:r>
      <w:r w:rsidRPr="00F1114B">
        <w:rPr>
          <w:rStyle w:val="Refdenotaalpie"/>
          <w:rFonts w:cs="Arial"/>
        </w:rPr>
        <w:footnoteReference w:id="5"/>
      </w:r>
      <w:r w:rsidRPr="00F1114B">
        <w:rPr>
          <w:rFonts w:cs="Arial"/>
        </w:rPr>
        <w:t>.</w:t>
      </w:r>
    </w:p>
    <w:p w14:paraId="0330B938" w14:textId="77777777" w:rsidR="00842BD3" w:rsidRPr="00F1114B" w:rsidRDefault="00842BD3" w:rsidP="00842BD3">
      <w:pPr>
        <w:pStyle w:val="Lista2"/>
        <w:ind w:left="0" w:firstLine="0"/>
        <w:rPr>
          <w:rFonts w:cs="Arial"/>
          <w:b/>
        </w:rPr>
      </w:pPr>
    </w:p>
    <w:p w14:paraId="7F3E3B82" w14:textId="77777777" w:rsidR="00842BD3" w:rsidRPr="00F1114B" w:rsidRDefault="00842BD3" w:rsidP="00842BD3">
      <w:pPr>
        <w:pStyle w:val="Lista2"/>
        <w:ind w:left="0" w:firstLine="0"/>
        <w:rPr>
          <w:rFonts w:cs="Arial"/>
        </w:rPr>
      </w:pPr>
      <w:r w:rsidRPr="00F1114B">
        <w:rPr>
          <w:rFonts w:cs="Arial"/>
          <w:b/>
        </w:rPr>
        <w:t xml:space="preserve">4.3. </w:t>
      </w:r>
      <w:r w:rsidRPr="00F1114B">
        <w:rPr>
          <w:rFonts w:cs="Arial"/>
        </w:rPr>
        <w:t>Mediante providencia de 31 de mayo de 2012, la Magistrada del Tribunal Administrativo de Cundinamarca que obró como ponente declaró de oficio la nulidad de lo actuado, por cuanto advirtió que se había ordenado el traslado para alegar de conclusión antes de pronunciarse sobre las pruebas del proceso</w:t>
      </w:r>
      <w:r w:rsidRPr="00F1114B">
        <w:rPr>
          <w:rStyle w:val="Refdenotaalpie"/>
          <w:rFonts w:cs="Arial"/>
        </w:rPr>
        <w:footnoteReference w:id="6"/>
      </w:r>
      <w:r w:rsidRPr="00F1114B">
        <w:rPr>
          <w:rFonts w:cs="Arial"/>
        </w:rPr>
        <w:t>.</w:t>
      </w:r>
    </w:p>
    <w:p w14:paraId="117DE3D7" w14:textId="77777777" w:rsidR="00842BD3" w:rsidRPr="00F1114B" w:rsidRDefault="00842BD3" w:rsidP="00842BD3">
      <w:pPr>
        <w:pStyle w:val="Lista2"/>
        <w:ind w:left="0" w:firstLine="0"/>
        <w:rPr>
          <w:rFonts w:cs="Arial"/>
        </w:rPr>
      </w:pPr>
    </w:p>
    <w:p w14:paraId="259A7205" w14:textId="77777777" w:rsidR="00842BD3" w:rsidRPr="00F1114B" w:rsidRDefault="00842BD3" w:rsidP="00842BD3">
      <w:pPr>
        <w:rPr>
          <w:rFonts w:cs="Arial"/>
          <w:bCs/>
          <w:iCs/>
        </w:rPr>
      </w:pPr>
      <w:r w:rsidRPr="00F1114B">
        <w:rPr>
          <w:rFonts w:cs="Arial"/>
          <w:b/>
          <w:bCs/>
          <w:iCs/>
        </w:rPr>
        <w:t xml:space="preserve">4.4. </w:t>
      </w:r>
      <w:r w:rsidRPr="00F1114B">
        <w:rPr>
          <w:rFonts w:cs="Arial"/>
          <w:bCs/>
          <w:iCs/>
        </w:rPr>
        <w:t>El Tribunal Administrativo de Cundinamarca decretó las pruebas solicitadas mediante auto de 15 de agosto de 2012</w:t>
      </w:r>
      <w:r w:rsidRPr="00F1114B">
        <w:rPr>
          <w:rStyle w:val="Refdenotaalpie"/>
          <w:rFonts w:cs="Arial"/>
          <w:bCs/>
          <w:iCs/>
        </w:rPr>
        <w:footnoteReference w:id="7"/>
      </w:r>
      <w:r w:rsidRPr="00F1114B">
        <w:rPr>
          <w:rFonts w:cs="Arial"/>
          <w:bCs/>
          <w:iCs/>
        </w:rPr>
        <w:t>, modificado por providencia de 10 de octubre de 2012</w:t>
      </w:r>
      <w:r w:rsidRPr="00F1114B">
        <w:rPr>
          <w:rStyle w:val="Refdenotaalpie"/>
          <w:rFonts w:cs="Arial"/>
          <w:bCs/>
          <w:iCs/>
        </w:rPr>
        <w:footnoteReference w:id="8"/>
      </w:r>
      <w:r w:rsidRPr="00F1114B">
        <w:rPr>
          <w:rFonts w:cs="Arial"/>
          <w:bCs/>
          <w:iCs/>
        </w:rPr>
        <w:t xml:space="preserve">. </w:t>
      </w:r>
    </w:p>
    <w:p w14:paraId="3114E529" w14:textId="77777777" w:rsidR="00842BD3" w:rsidRPr="00F1114B" w:rsidRDefault="00842BD3" w:rsidP="00842BD3">
      <w:pPr>
        <w:pStyle w:val="Lista2"/>
        <w:ind w:left="0" w:firstLine="0"/>
        <w:rPr>
          <w:rFonts w:cs="Arial"/>
          <w:b/>
        </w:rPr>
      </w:pPr>
    </w:p>
    <w:p w14:paraId="09A82A58" w14:textId="77777777" w:rsidR="00842BD3" w:rsidRPr="00F1114B" w:rsidRDefault="00842BD3" w:rsidP="00842BD3">
      <w:pPr>
        <w:pStyle w:val="Lista2"/>
        <w:ind w:left="0" w:firstLine="0"/>
        <w:rPr>
          <w:rFonts w:cs="Arial"/>
          <w:b/>
        </w:rPr>
      </w:pPr>
      <w:r w:rsidRPr="00F1114B">
        <w:rPr>
          <w:rFonts w:cs="Arial"/>
          <w:b/>
        </w:rPr>
        <w:t>4.5. Contestación de la demanda</w:t>
      </w:r>
    </w:p>
    <w:p w14:paraId="136D1A49" w14:textId="77777777" w:rsidR="00842BD3" w:rsidRPr="00F1114B" w:rsidRDefault="00842BD3" w:rsidP="00842BD3">
      <w:pPr>
        <w:rPr>
          <w:rFonts w:cs="Arial"/>
          <w:b/>
          <w:bCs/>
          <w:iCs/>
        </w:rPr>
      </w:pPr>
    </w:p>
    <w:p w14:paraId="5B960B5B" w14:textId="77777777" w:rsidR="00842BD3" w:rsidRPr="00F1114B" w:rsidRDefault="00842BD3" w:rsidP="00842BD3">
      <w:pPr>
        <w:pStyle w:val="Continuarlista2"/>
        <w:spacing w:after="0"/>
        <w:ind w:left="0"/>
        <w:rPr>
          <w:rFonts w:cs="Arial"/>
        </w:rPr>
      </w:pPr>
      <w:r w:rsidRPr="00F1114B">
        <w:rPr>
          <w:rFonts w:cs="Arial"/>
        </w:rPr>
        <w:t xml:space="preserve">En la contestación de la demanda, la parte demandada se opuso a los hechos referidos a la supuesta responsabilidad de la Secretaría de Educación del distrito capital en las variaciones de los diseños de la sede San Carlos y en los trámites de las licencias de construcción. </w:t>
      </w:r>
    </w:p>
    <w:p w14:paraId="263E7BAD" w14:textId="77777777" w:rsidR="00842BD3" w:rsidRPr="00F1114B" w:rsidRDefault="00842BD3" w:rsidP="00842BD3">
      <w:pPr>
        <w:pStyle w:val="Continuarlista2"/>
        <w:spacing w:after="0"/>
        <w:ind w:left="0"/>
        <w:rPr>
          <w:rFonts w:cs="Arial"/>
        </w:rPr>
      </w:pPr>
    </w:p>
    <w:p w14:paraId="461B589D" w14:textId="77777777" w:rsidR="00842BD3" w:rsidRPr="00F1114B" w:rsidRDefault="00842BD3" w:rsidP="00842BD3">
      <w:pPr>
        <w:pStyle w:val="Continuarlista2"/>
        <w:spacing w:after="0"/>
        <w:ind w:left="0"/>
        <w:rPr>
          <w:rFonts w:cs="Arial"/>
        </w:rPr>
      </w:pPr>
      <w:r w:rsidRPr="00F1114B">
        <w:rPr>
          <w:rFonts w:cs="Arial"/>
        </w:rPr>
        <w:t xml:space="preserve">Especificó que al contratista le correspondió adelantar el diagnóstico integral (PLAN MAESTRO) y presentar la propuesta de intervención, estudio de factibilidad y viabilidad, previa consulta de la información existente en la Secretaría de Educación. </w:t>
      </w:r>
    </w:p>
    <w:p w14:paraId="222364CA" w14:textId="77777777" w:rsidR="00842BD3" w:rsidRPr="00F1114B" w:rsidRDefault="00842BD3" w:rsidP="00842BD3">
      <w:pPr>
        <w:pStyle w:val="Continuarlista2"/>
        <w:spacing w:after="0"/>
        <w:ind w:left="0"/>
        <w:rPr>
          <w:rFonts w:cs="Arial"/>
        </w:rPr>
      </w:pPr>
    </w:p>
    <w:p w14:paraId="42DE667C" w14:textId="77777777" w:rsidR="00842BD3" w:rsidRPr="00F1114B" w:rsidRDefault="00842BD3" w:rsidP="00842BD3">
      <w:pPr>
        <w:pStyle w:val="Continuarlista2"/>
        <w:spacing w:after="0"/>
        <w:ind w:left="0"/>
        <w:rPr>
          <w:rFonts w:cs="Arial"/>
        </w:rPr>
      </w:pPr>
      <w:r w:rsidRPr="00F1114B">
        <w:rPr>
          <w:rFonts w:cs="Arial"/>
        </w:rPr>
        <w:t>En las excepciones de mérito, la parte demandada expuso la ausencia de responsabilidad, la culpa del contratista, la inexistencia del rompimiento económico y la carencia del nexo causal entre la conducta y el daño.</w:t>
      </w:r>
    </w:p>
    <w:p w14:paraId="690E795D" w14:textId="77777777" w:rsidR="00842BD3" w:rsidRPr="00F1114B" w:rsidRDefault="00842BD3" w:rsidP="00842BD3">
      <w:pPr>
        <w:pStyle w:val="Continuarlista2"/>
        <w:spacing w:after="0"/>
        <w:ind w:left="0"/>
        <w:rPr>
          <w:rFonts w:cs="Arial"/>
        </w:rPr>
      </w:pPr>
    </w:p>
    <w:p w14:paraId="6B52C836" w14:textId="77777777" w:rsidR="00842BD3" w:rsidRPr="00F1114B" w:rsidRDefault="00842BD3" w:rsidP="00842BD3">
      <w:pPr>
        <w:pStyle w:val="Continuarlista2"/>
        <w:spacing w:after="0"/>
        <w:ind w:left="0"/>
        <w:rPr>
          <w:rFonts w:cs="Arial"/>
        </w:rPr>
      </w:pPr>
      <w:r w:rsidRPr="00F1114B">
        <w:rPr>
          <w:rFonts w:cs="Arial"/>
        </w:rPr>
        <w:t>Igualmente, la demandada presentó la excepción de caducidad de la acción contractual, para lo cual transcribió el literal d) del artículo 136 del CCA, y citó la jurisprudencia del Consejo de Estado en la cual se indicó que el conteo del término de caducidad de la acción contractual corre a partir de la terminación del contrato.</w:t>
      </w:r>
    </w:p>
    <w:p w14:paraId="61D7C13E" w14:textId="77777777" w:rsidR="00842BD3" w:rsidRPr="00F1114B" w:rsidRDefault="00842BD3" w:rsidP="00842BD3">
      <w:pPr>
        <w:pStyle w:val="Continuarlista2"/>
        <w:spacing w:after="0"/>
        <w:ind w:left="0"/>
        <w:rPr>
          <w:rFonts w:cs="Arial"/>
        </w:rPr>
      </w:pPr>
    </w:p>
    <w:p w14:paraId="2D1D4AA8" w14:textId="77777777" w:rsidR="00842BD3" w:rsidRPr="00F1114B" w:rsidRDefault="00842BD3" w:rsidP="00842BD3">
      <w:pPr>
        <w:pStyle w:val="Lista2"/>
        <w:ind w:left="0" w:firstLine="0"/>
        <w:rPr>
          <w:rFonts w:cs="Arial"/>
          <w:b/>
        </w:rPr>
      </w:pPr>
      <w:r w:rsidRPr="00F1114B">
        <w:rPr>
          <w:rFonts w:cs="Arial"/>
          <w:b/>
        </w:rPr>
        <w:t>4.6. La sentencia impugnada</w:t>
      </w:r>
    </w:p>
    <w:p w14:paraId="57C5CE6B" w14:textId="77777777" w:rsidR="00842BD3" w:rsidRPr="00F1114B" w:rsidRDefault="00842BD3" w:rsidP="00842BD3">
      <w:pPr>
        <w:numPr>
          <w:ilvl w:val="12"/>
          <w:numId w:val="0"/>
        </w:numPr>
        <w:rPr>
          <w:rFonts w:cs="Arial"/>
          <w:bCs/>
        </w:rPr>
      </w:pPr>
    </w:p>
    <w:p w14:paraId="5A8CD256" w14:textId="77777777" w:rsidR="00842BD3" w:rsidRPr="00F1114B" w:rsidRDefault="00842BD3" w:rsidP="00842BD3">
      <w:pPr>
        <w:pStyle w:val="Continuarlista2"/>
        <w:spacing w:after="0"/>
        <w:ind w:left="0"/>
        <w:rPr>
          <w:rFonts w:cs="Arial"/>
        </w:rPr>
      </w:pPr>
      <w:r w:rsidRPr="00F1114B">
        <w:rPr>
          <w:rFonts w:cs="Arial"/>
        </w:rPr>
        <w:t>El Tribunal Administrativo de Cundinamarca profirió sentencia el 31 de octubre de 2013, mediante la cual declaró la caducidad de la acción y denegó las pretensiones de la demanda.</w:t>
      </w:r>
    </w:p>
    <w:p w14:paraId="676E038F" w14:textId="77777777" w:rsidR="00842BD3" w:rsidRPr="00F1114B" w:rsidRDefault="00842BD3" w:rsidP="00842BD3">
      <w:pPr>
        <w:pStyle w:val="Continuarlista2"/>
        <w:spacing w:after="0"/>
        <w:ind w:left="0"/>
        <w:rPr>
          <w:rFonts w:cs="Arial"/>
        </w:rPr>
      </w:pPr>
    </w:p>
    <w:p w14:paraId="028B6862" w14:textId="77777777" w:rsidR="00842BD3" w:rsidRPr="00F1114B" w:rsidRDefault="00842BD3" w:rsidP="00842BD3">
      <w:pPr>
        <w:pStyle w:val="Continuarlista2"/>
        <w:spacing w:after="0"/>
        <w:ind w:left="0"/>
        <w:rPr>
          <w:rFonts w:cs="Arial"/>
        </w:rPr>
      </w:pPr>
      <w:r w:rsidRPr="00F1114B">
        <w:rPr>
          <w:rFonts w:cs="Arial"/>
        </w:rPr>
        <w:t xml:space="preserve">El Tribunal </w:t>
      </w:r>
      <w:r w:rsidRPr="00F1114B">
        <w:rPr>
          <w:rFonts w:cs="Arial"/>
          <w:i/>
        </w:rPr>
        <w:t>a quo</w:t>
      </w:r>
      <w:r w:rsidRPr="00F1114B">
        <w:rPr>
          <w:rFonts w:cs="Arial"/>
        </w:rPr>
        <w:t xml:space="preserve"> estimó que la sustentación de la excepción de caducidad presentada por la parte demandada era insuficiente, no obstante lo cual, por tratarse de un presupuesto procesal, asumió de oficio el análisis correspondiente y observó (se transcribe literal, incluso con errores):</w:t>
      </w:r>
    </w:p>
    <w:p w14:paraId="39302C80" w14:textId="77777777" w:rsidR="00842BD3" w:rsidRPr="00F1114B" w:rsidRDefault="00842BD3" w:rsidP="00842BD3">
      <w:pPr>
        <w:pStyle w:val="Continuarlista2"/>
        <w:spacing w:after="0"/>
        <w:ind w:left="0"/>
        <w:rPr>
          <w:rFonts w:cs="Arial"/>
        </w:rPr>
      </w:pPr>
    </w:p>
    <w:p w14:paraId="08280D7D" w14:textId="77777777" w:rsidR="00842BD3" w:rsidRPr="00F1114B" w:rsidRDefault="00842BD3" w:rsidP="00842BD3">
      <w:pPr>
        <w:pStyle w:val="Continuarlista2"/>
        <w:spacing w:after="0" w:line="276" w:lineRule="auto"/>
        <w:ind w:left="0"/>
        <w:rPr>
          <w:rFonts w:cs="Arial"/>
          <w:i/>
        </w:rPr>
      </w:pPr>
      <w:r w:rsidRPr="00F1114B">
        <w:rPr>
          <w:rFonts w:cs="Arial"/>
          <w:i/>
        </w:rPr>
        <w:t>“Es así como, de las pruebas obrantes en el expediente la sala encuentra que el contrato de consultoría No. 091 de 2004 tuvo un término contractual que finalizó el 24 de enero de 2007, de conformidad con el contrato de consultoría, el acta de iniciación, las actas de reiniciación; las actas de suspensión; las actas de prórrogas y las modificaciones al contrato suscritas por las partes, el interventor y el supervisor del mismo. así: [</w:t>
      </w:r>
      <w:r w:rsidRPr="00F1114B">
        <w:rPr>
          <w:rFonts w:cs="Arial"/>
        </w:rPr>
        <w:t>aquí insertó un cuadro detallando cada una de las extensiones del plazo].”</w:t>
      </w:r>
    </w:p>
    <w:p w14:paraId="039A1682" w14:textId="77777777" w:rsidR="00842BD3" w:rsidRPr="00F1114B" w:rsidRDefault="00842BD3" w:rsidP="00842BD3">
      <w:pPr>
        <w:pStyle w:val="Continuarlista2"/>
        <w:spacing w:after="0"/>
        <w:ind w:left="0"/>
        <w:rPr>
          <w:rFonts w:cs="Arial"/>
        </w:rPr>
      </w:pPr>
    </w:p>
    <w:p w14:paraId="495E1F24" w14:textId="77777777" w:rsidR="00842BD3" w:rsidRPr="00F1114B" w:rsidRDefault="00842BD3" w:rsidP="00842BD3">
      <w:pPr>
        <w:pStyle w:val="Continuarlista2"/>
        <w:spacing w:after="0"/>
        <w:ind w:left="0"/>
        <w:rPr>
          <w:rFonts w:cs="Arial"/>
        </w:rPr>
      </w:pPr>
      <w:r w:rsidRPr="00F1114B">
        <w:rPr>
          <w:rFonts w:cs="Arial"/>
        </w:rPr>
        <w:t>Como consecuencia, la sentencia de primera instancia observó que la caducidad de la acción ocurría, en principio, el 26 de julio de 2009. No obstante, precisó que el término se suspendió el 6 de mayo de 2009 por la solicitud de conciliación y, teniendo en cuenta que la diligencia de conciliación se realizó el 30 de agosto siguiente, advirtió que dicha suspensión solo tuvo lugar por tres meses, de acuerdo con el artículo 21 de la Ley 640 de 2001.</w:t>
      </w:r>
    </w:p>
    <w:p w14:paraId="3ADD7E79" w14:textId="77777777" w:rsidR="00842BD3" w:rsidRPr="00F1114B" w:rsidRDefault="00842BD3" w:rsidP="00842BD3">
      <w:pPr>
        <w:pStyle w:val="Continuarlista2"/>
        <w:spacing w:after="0"/>
        <w:ind w:left="0"/>
        <w:rPr>
          <w:rFonts w:cs="Arial"/>
        </w:rPr>
      </w:pPr>
    </w:p>
    <w:p w14:paraId="5E49ABFE" w14:textId="77777777" w:rsidR="00842BD3" w:rsidRPr="00F1114B" w:rsidRDefault="00842BD3" w:rsidP="00842BD3">
      <w:pPr>
        <w:pStyle w:val="Continuarlista2"/>
        <w:spacing w:after="0"/>
        <w:ind w:left="0"/>
        <w:rPr>
          <w:rFonts w:cs="Arial"/>
        </w:rPr>
      </w:pPr>
      <w:r w:rsidRPr="00F1114B">
        <w:rPr>
          <w:rFonts w:cs="Arial"/>
        </w:rPr>
        <w:t xml:space="preserve">Así las cosas, el Tribunal </w:t>
      </w:r>
      <w:r w:rsidRPr="00F1114B">
        <w:rPr>
          <w:rFonts w:cs="Arial"/>
          <w:i/>
        </w:rPr>
        <w:t>a quo</w:t>
      </w:r>
      <w:r w:rsidRPr="00F1114B">
        <w:rPr>
          <w:rFonts w:cs="Arial"/>
        </w:rPr>
        <w:t xml:space="preserve"> concluyó que el contratista tenía plazo para presentar la demanda hasta el 25 de octubre de 2009 y, por tanto, declaró que ocurrió la caducidad de la acción contractual, teniendo en cuenta que la demanda se presentó el 5 de octubre de 2010.</w:t>
      </w:r>
    </w:p>
    <w:p w14:paraId="4B58066A" w14:textId="77777777" w:rsidR="00842BD3" w:rsidRPr="00F1114B" w:rsidRDefault="00842BD3" w:rsidP="00842BD3">
      <w:pPr>
        <w:pStyle w:val="Continuarlista2"/>
        <w:spacing w:after="0"/>
        <w:ind w:left="0"/>
        <w:rPr>
          <w:rFonts w:cs="Arial"/>
        </w:rPr>
      </w:pPr>
    </w:p>
    <w:p w14:paraId="0AFAF3DE" w14:textId="77777777" w:rsidR="00842BD3" w:rsidRPr="00F1114B" w:rsidRDefault="00842BD3" w:rsidP="00842BD3">
      <w:pPr>
        <w:pStyle w:val="Continuarlista2"/>
        <w:spacing w:after="0"/>
        <w:ind w:left="0"/>
        <w:rPr>
          <w:rFonts w:cs="Arial"/>
        </w:rPr>
      </w:pPr>
      <w:r w:rsidRPr="00F1114B">
        <w:rPr>
          <w:rFonts w:cs="Arial"/>
        </w:rPr>
        <w:lastRenderedPageBreak/>
        <w:t>La sentencia de primera instancia declaró de oficio la caducidad de la acción y, sin otros análisis, agregó una resolutiva en la cual denegó las pretensiones de la demanda</w:t>
      </w:r>
      <w:r w:rsidRPr="00F1114B">
        <w:rPr>
          <w:rStyle w:val="Refdenotaalpie"/>
          <w:rFonts w:cs="Arial"/>
        </w:rPr>
        <w:footnoteReference w:id="9"/>
      </w:r>
      <w:r w:rsidRPr="00F1114B">
        <w:rPr>
          <w:rFonts w:cs="Arial"/>
        </w:rPr>
        <w:t xml:space="preserve">. </w:t>
      </w:r>
    </w:p>
    <w:p w14:paraId="586A3994" w14:textId="77777777" w:rsidR="00842BD3" w:rsidRPr="00F1114B" w:rsidRDefault="00842BD3" w:rsidP="00842BD3">
      <w:pPr>
        <w:pStyle w:val="Lista2"/>
        <w:ind w:left="0" w:firstLine="0"/>
        <w:rPr>
          <w:rFonts w:cs="Arial"/>
          <w:b/>
          <w:lang w:val="es-MX"/>
        </w:rPr>
      </w:pPr>
    </w:p>
    <w:p w14:paraId="7E2FC9DD" w14:textId="77777777" w:rsidR="00842BD3" w:rsidRPr="00F1114B" w:rsidRDefault="00842BD3" w:rsidP="00842BD3">
      <w:pPr>
        <w:pStyle w:val="Lista2"/>
        <w:ind w:left="0" w:firstLine="0"/>
        <w:rPr>
          <w:rFonts w:cs="Arial"/>
          <w:b/>
          <w:lang w:val="es-MX"/>
        </w:rPr>
      </w:pPr>
      <w:r w:rsidRPr="00F1114B">
        <w:rPr>
          <w:rFonts w:cs="Arial"/>
          <w:b/>
          <w:lang w:val="es-MX"/>
        </w:rPr>
        <w:t xml:space="preserve">4.7. El recurso de apelación </w:t>
      </w:r>
    </w:p>
    <w:p w14:paraId="0A602118" w14:textId="77777777" w:rsidR="00842BD3" w:rsidRPr="00F1114B" w:rsidRDefault="00842BD3" w:rsidP="00842BD3">
      <w:pPr>
        <w:rPr>
          <w:rFonts w:cs="Arial"/>
          <w:bCs/>
          <w:lang w:val="es-MX"/>
        </w:rPr>
      </w:pPr>
    </w:p>
    <w:p w14:paraId="24E2484C" w14:textId="77777777" w:rsidR="00842BD3" w:rsidRPr="00F1114B" w:rsidRDefault="00842BD3" w:rsidP="00842BD3">
      <w:pPr>
        <w:pStyle w:val="Textoindependiente"/>
        <w:rPr>
          <w:rFonts w:cs="Arial"/>
          <w:szCs w:val="24"/>
        </w:rPr>
      </w:pPr>
      <w:r w:rsidRPr="00F1114B">
        <w:rPr>
          <w:rFonts w:cs="Arial"/>
          <w:szCs w:val="24"/>
        </w:rPr>
        <w:t>El 28 de noviembre de 2013 la parte demandante impugnó la sentencia de primera instancia y sustentó su recurso dentro del mismo escrito.</w:t>
      </w:r>
    </w:p>
    <w:p w14:paraId="17FC5664" w14:textId="77777777" w:rsidR="00842BD3" w:rsidRPr="00F1114B" w:rsidRDefault="00842BD3" w:rsidP="00842BD3">
      <w:pPr>
        <w:pStyle w:val="Textoindependiente"/>
        <w:rPr>
          <w:rFonts w:cs="Arial"/>
          <w:szCs w:val="24"/>
        </w:rPr>
      </w:pPr>
    </w:p>
    <w:p w14:paraId="468AF872" w14:textId="77777777" w:rsidR="00842BD3" w:rsidRPr="00F1114B" w:rsidRDefault="00842BD3" w:rsidP="00842BD3">
      <w:pPr>
        <w:pStyle w:val="Textoindependiente"/>
        <w:rPr>
          <w:rFonts w:cs="Arial"/>
          <w:szCs w:val="24"/>
        </w:rPr>
      </w:pPr>
      <w:r w:rsidRPr="00F1114B">
        <w:rPr>
          <w:rFonts w:cs="Arial"/>
          <w:szCs w:val="24"/>
        </w:rPr>
        <w:t xml:space="preserve">Argumentó que de acuerdo con la jurisprudencia del Consejo de Estado el término de caducidad de la acción cuenta a partir de la fecha en que la liquidación del contrato </w:t>
      </w:r>
      <w:r w:rsidRPr="00F1114B">
        <w:rPr>
          <w:rFonts w:cs="Arial"/>
          <w:i/>
          <w:szCs w:val="24"/>
        </w:rPr>
        <w:t>“ha debido producirse”</w:t>
      </w:r>
      <w:r w:rsidRPr="00F1114B">
        <w:rPr>
          <w:rStyle w:val="Refdenotaalpie"/>
          <w:rFonts w:cs="Arial"/>
          <w:i/>
          <w:szCs w:val="24"/>
        </w:rPr>
        <w:footnoteReference w:id="10"/>
      </w:r>
      <w:r w:rsidRPr="00F1114B">
        <w:rPr>
          <w:rFonts w:cs="Arial"/>
          <w:i/>
          <w:szCs w:val="24"/>
        </w:rPr>
        <w:t>.</w:t>
      </w:r>
      <w:r w:rsidRPr="00F1114B">
        <w:rPr>
          <w:rFonts w:cs="Arial"/>
          <w:szCs w:val="24"/>
        </w:rPr>
        <w:t xml:space="preserve"> </w:t>
      </w:r>
    </w:p>
    <w:p w14:paraId="5C69F724" w14:textId="77777777" w:rsidR="00842BD3" w:rsidRPr="00F1114B" w:rsidRDefault="00842BD3" w:rsidP="00842BD3">
      <w:pPr>
        <w:pStyle w:val="Textoindependiente"/>
        <w:rPr>
          <w:rFonts w:cs="Arial"/>
          <w:szCs w:val="24"/>
        </w:rPr>
      </w:pPr>
    </w:p>
    <w:p w14:paraId="683B1617" w14:textId="77777777" w:rsidR="00842BD3" w:rsidRPr="00F1114B" w:rsidRDefault="00842BD3" w:rsidP="00842BD3">
      <w:pPr>
        <w:pStyle w:val="Textoindependiente"/>
        <w:rPr>
          <w:rFonts w:cs="Arial"/>
          <w:szCs w:val="24"/>
        </w:rPr>
      </w:pPr>
      <w:r w:rsidRPr="00F1114B">
        <w:rPr>
          <w:rFonts w:cs="Arial"/>
          <w:szCs w:val="24"/>
        </w:rPr>
        <w:t xml:space="preserve">En criterio del demandante, el término de caducidad de la acción solo empezó a correr el 8 de abril de 2008, fecha en la que </w:t>
      </w:r>
      <w:r w:rsidRPr="00F1114B">
        <w:rPr>
          <w:rFonts w:cs="Arial"/>
          <w:i/>
          <w:szCs w:val="24"/>
        </w:rPr>
        <w:t>“la Secretaría de Educación Distrital, informa al Consorcio del proceso de liquidación que está adelantando sobre los proyectos del asunto”</w:t>
      </w:r>
      <w:r w:rsidRPr="00F1114B">
        <w:rPr>
          <w:rStyle w:val="Refdenotaalpie"/>
          <w:rFonts w:cs="Arial"/>
          <w:szCs w:val="24"/>
        </w:rPr>
        <w:footnoteReference w:id="11"/>
      </w:r>
      <w:r w:rsidRPr="00F1114B">
        <w:rPr>
          <w:rFonts w:cs="Arial"/>
          <w:szCs w:val="24"/>
        </w:rPr>
        <w:t>.</w:t>
      </w:r>
    </w:p>
    <w:p w14:paraId="3DCB4D6B" w14:textId="77777777" w:rsidR="00842BD3" w:rsidRPr="00F1114B" w:rsidRDefault="00842BD3" w:rsidP="00842BD3">
      <w:pPr>
        <w:pStyle w:val="Textoindependiente"/>
        <w:rPr>
          <w:rFonts w:cs="Arial"/>
          <w:szCs w:val="24"/>
        </w:rPr>
      </w:pPr>
    </w:p>
    <w:p w14:paraId="3B65CC47" w14:textId="77777777" w:rsidR="00842BD3" w:rsidRPr="00F1114B" w:rsidRDefault="00842BD3" w:rsidP="00842BD3">
      <w:pPr>
        <w:pStyle w:val="Textoindependiente"/>
        <w:rPr>
          <w:rFonts w:cs="Arial"/>
          <w:szCs w:val="24"/>
        </w:rPr>
      </w:pPr>
      <w:r w:rsidRPr="00F1114B">
        <w:rPr>
          <w:rFonts w:cs="Arial"/>
          <w:szCs w:val="24"/>
        </w:rPr>
        <w:t xml:space="preserve">Agregó que el término para el cómputo de la caducidad se suspendió por tres meses, con ocasión de la solicitud de conciliación prejudicial. Expuso su argumento en la siguiente forma (se transcribe literal incluso con posibles errores): </w:t>
      </w:r>
    </w:p>
    <w:p w14:paraId="4B5A816E" w14:textId="77777777" w:rsidR="00842BD3" w:rsidRPr="00F1114B" w:rsidRDefault="00842BD3" w:rsidP="00842BD3">
      <w:pPr>
        <w:pStyle w:val="Textoindependiente"/>
        <w:rPr>
          <w:rFonts w:cs="Arial"/>
          <w:szCs w:val="24"/>
        </w:rPr>
      </w:pPr>
    </w:p>
    <w:p w14:paraId="6A24374B" w14:textId="77777777" w:rsidR="00842BD3" w:rsidRPr="00F1114B" w:rsidRDefault="00842BD3" w:rsidP="00842BD3">
      <w:pPr>
        <w:pStyle w:val="Textoindependiente"/>
        <w:spacing w:line="276" w:lineRule="auto"/>
        <w:rPr>
          <w:rFonts w:cs="Arial"/>
          <w:szCs w:val="24"/>
        </w:rPr>
      </w:pPr>
      <w:r w:rsidRPr="00F1114B">
        <w:rPr>
          <w:rFonts w:cs="Arial"/>
          <w:i/>
          <w:szCs w:val="24"/>
        </w:rPr>
        <w:t xml:space="preserve">“(…). Así las cosas, el término de caducidad, empezó a correr nuevamente el 6 de agosto de la misma anualidad </w:t>
      </w:r>
      <w:r w:rsidRPr="00F1114B">
        <w:rPr>
          <w:rFonts w:cs="Arial"/>
          <w:szCs w:val="24"/>
        </w:rPr>
        <w:t>[2009],</w:t>
      </w:r>
      <w:r w:rsidRPr="00F1114B">
        <w:rPr>
          <w:rFonts w:cs="Arial"/>
          <w:i/>
          <w:szCs w:val="24"/>
        </w:rPr>
        <w:t xml:space="preserve"> habida cuenta de que al momento de la presentación de la solicitud de conciliación prejudicial faltaba un término prudencial para que operara el fenómeno de la caducidad, se tendría que la presente demanda se interpone ampliamente dentro del término de caducidad previsto en el artículo 136 del C.C.A., es decir el 5 de octubre de 2010”</w:t>
      </w:r>
      <w:r w:rsidRPr="00F1114B">
        <w:rPr>
          <w:rStyle w:val="Refdenotaalpie"/>
          <w:rFonts w:cs="Arial"/>
          <w:i/>
          <w:szCs w:val="24"/>
        </w:rPr>
        <w:footnoteReference w:id="12"/>
      </w:r>
      <w:r w:rsidRPr="00F1114B">
        <w:rPr>
          <w:rFonts w:cs="Arial"/>
          <w:i/>
          <w:szCs w:val="24"/>
        </w:rPr>
        <w:t>.</w:t>
      </w:r>
    </w:p>
    <w:p w14:paraId="0A6A2C63" w14:textId="77777777" w:rsidR="00842BD3" w:rsidRPr="00F1114B" w:rsidRDefault="00842BD3" w:rsidP="00842BD3">
      <w:pPr>
        <w:pStyle w:val="Textoindependiente"/>
        <w:rPr>
          <w:rFonts w:cs="Arial"/>
          <w:szCs w:val="24"/>
        </w:rPr>
      </w:pPr>
    </w:p>
    <w:p w14:paraId="26359A46" w14:textId="77777777" w:rsidR="00842BD3" w:rsidRPr="00F1114B" w:rsidRDefault="00842BD3" w:rsidP="00842BD3">
      <w:pPr>
        <w:pStyle w:val="Textoindependiente"/>
        <w:rPr>
          <w:rFonts w:cs="Arial"/>
          <w:szCs w:val="24"/>
        </w:rPr>
      </w:pPr>
      <w:r w:rsidRPr="00F1114B">
        <w:rPr>
          <w:rFonts w:cs="Arial"/>
          <w:szCs w:val="24"/>
        </w:rPr>
        <w:t xml:space="preserve">En el escrito de apelación el demandante invocó </w:t>
      </w:r>
      <w:r w:rsidRPr="00F1114B">
        <w:rPr>
          <w:rFonts w:cs="Arial"/>
          <w:i/>
          <w:szCs w:val="24"/>
        </w:rPr>
        <w:t>“de manera analógica”</w:t>
      </w:r>
      <w:r w:rsidRPr="00F1114B">
        <w:rPr>
          <w:rFonts w:cs="Arial"/>
          <w:szCs w:val="24"/>
        </w:rPr>
        <w:t xml:space="preserve"> la tendencia jurisprudencial del cómputo de dos años previsto para la acción de reparación directa. Observó que en esos casos la jurisprudencia ha establecido que el término de caducidad empieza a correr desde que se consolida el daño.</w:t>
      </w:r>
    </w:p>
    <w:p w14:paraId="716C2DC4" w14:textId="77777777" w:rsidR="00842BD3" w:rsidRPr="00F1114B" w:rsidRDefault="00842BD3" w:rsidP="00842BD3">
      <w:pPr>
        <w:pStyle w:val="Textoindependiente"/>
        <w:rPr>
          <w:rFonts w:cs="Arial"/>
          <w:szCs w:val="24"/>
        </w:rPr>
      </w:pPr>
    </w:p>
    <w:p w14:paraId="5E24BD33" w14:textId="77777777" w:rsidR="00842BD3" w:rsidRPr="00F1114B" w:rsidRDefault="00842BD3" w:rsidP="00842BD3">
      <w:pPr>
        <w:pStyle w:val="Textoindependiente"/>
        <w:rPr>
          <w:rFonts w:cs="Arial"/>
          <w:szCs w:val="24"/>
        </w:rPr>
      </w:pPr>
      <w:r w:rsidRPr="00F1114B">
        <w:rPr>
          <w:rFonts w:cs="Arial"/>
          <w:szCs w:val="24"/>
        </w:rPr>
        <w:t xml:space="preserve">Por otra parte, se detuvo en extenso en la jurisprudencia sobre el enriquecimiento sin causa, acerca de la cual estimó que se había dado un giro en favor de la protección de los intereses del contratista y de la buena fe en las relaciones contractuales.  Afirmó que al amparo de esa jurisprudencia se deben reconocer las situaciones de </w:t>
      </w:r>
      <w:r w:rsidRPr="00F1114B">
        <w:rPr>
          <w:rFonts w:cs="Arial"/>
          <w:i/>
          <w:szCs w:val="24"/>
        </w:rPr>
        <w:t>“desequilibrio patrimonial injustas”</w:t>
      </w:r>
      <w:r w:rsidRPr="00F1114B">
        <w:rPr>
          <w:rFonts w:cs="Arial"/>
          <w:szCs w:val="24"/>
        </w:rPr>
        <w:t xml:space="preserve">, siempre que se presenten, lo cual, en su criterio, procede con fundamento en el principio de la proporcionalidad entre los intereses individuales y los públicos. </w:t>
      </w:r>
    </w:p>
    <w:p w14:paraId="427B3740" w14:textId="77777777" w:rsidR="00842BD3" w:rsidRPr="00F1114B" w:rsidRDefault="00842BD3" w:rsidP="00842BD3">
      <w:pPr>
        <w:rPr>
          <w:rFonts w:cs="Arial"/>
          <w:b/>
          <w:bCs/>
          <w:lang w:val="es-MX"/>
        </w:rPr>
      </w:pPr>
    </w:p>
    <w:p w14:paraId="0C037768" w14:textId="77777777" w:rsidR="00842BD3" w:rsidRPr="00F1114B" w:rsidRDefault="00842BD3" w:rsidP="00842BD3">
      <w:pPr>
        <w:rPr>
          <w:rFonts w:cs="Arial"/>
          <w:b/>
          <w:bCs/>
          <w:lang w:val="es-MX"/>
        </w:rPr>
      </w:pPr>
      <w:r w:rsidRPr="00F1114B">
        <w:rPr>
          <w:rFonts w:cs="Arial"/>
          <w:b/>
          <w:bCs/>
          <w:lang w:val="es-MX"/>
        </w:rPr>
        <w:t>4.8. Alegatos en segunda instancia</w:t>
      </w:r>
    </w:p>
    <w:p w14:paraId="7C088C7F" w14:textId="77777777" w:rsidR="00842BD3" w:rsidRPr="00F1114B" w:rsidRDefault="00842BD3" w:rsidP="00842BD3">
      <w:pPr>
        <w:rPr>
          <w:rFonts w:cs="Arial"/>
          <w:bCs/>
          <w:lang w:val="es-MX"/>
        </w:rPr>
      </w:pPr>
    </w:p>
    <w:p w14:paraId="6F02DB6C" w14:textId="77777777" w:rsidR="00842BD3" w:rsidRPr="00F1114B" w:rsidRDefault="00842BD3" w:rsidP="00842BD3">
      <w:pPr>
        <w:rPr>
          <w:rFonts w:cs="Arial"/>
          <w:bCs/>
          <w:lang w:val="es-MX"/>
        </w:rPr>
      </w:pPr>
      <w:r w:rsidRPr="00F1114B">
        <w:rPr>
          <w:rFonts w:cs="Arial"/>
          <w:bCs/>
          <w:lang w:val="es-MX"/>
        </w:rPr>
        <w:t xml:space="preserve">La Secretaría de Educación de Bogotá Distrito Capital, obrando como entidad demandada, presentó su alegato de conclusión el 18 de junio de 2014, en el cual insistió en la caducidad de la acción. </w:t>
      </w:r>
    </w:p>
    <w:p w14:paraId="5BA89EAA" w14:textId="77777777" w:rsidR="00842BD3" w:rsidRPr="00F1114B" w:rsidRDefault="00842BD3" w:rsidP="00842BD3">
      <w:pPr>
        <w:rPr>
          <w:rFonts w:cs="Arial"/>
          <w:bCs/>
          <w:lang w:val="es-MX"/>
        </w:rPr>
      </w:pPr>
    </w:p>
    <w:p w14:paraId="6EDBD744" w14:textId="77777777" w:rsidR="00842BD3" w:rsidRPr="00F1114B" w:rsidRDefault="00842BD3" w:rsidP="00842BD3">
      <w:pPr>
        <w:rPr>
          <w:rFonts w:cs="Arial"/>
          <w:bCs/>
          <w:lang w:val="es-MX"/>
        </w:rPr>
      </w:pPr>
      <w:r w:rsidRPr="00F1114B">
        <w:rPr>
          <w:rFonts w:cs="Arial"/>
          <w:bCs/>
          <w:lang w:val="es-MX"/>
        </w:rPr>
        <w:t>Por otra parte, en relación con el desequilibrio económico del contrato, la demandada destacó que no proceden las reclamaciones que se presentaron con posteridad a los acuerdos contractuales de modificación y adición de valor. Indicó que la oportunidad para presentar dicha reclamación era al tiempo de suscribir o celebrar el respectivo contrato adicional</w:t>
      </w:r>
      <w:r w:rsidRPr="00F1114B">
        <w:rPr>
          <w:rStyle w:val="Refdenotaalpie"/>
          <w:rFonts w:cs="Arial"/>
          <w:bCs/>
          <w:lang w:val="es-MX"/>
        </w:rPr>
        <w:footnoteReference w:id="13"/>
      </w:r>
      <w:r w:rsidRPr="00F1114B">
        <w:rPr>
          <w:rFonts w:cs="Arial"/>
          <w:bCs/>
          <w:lang w:val="es-MX"/>
        </w:rPr>
        <w:t>.</w:t>
      </w:r>
    </w:p>
    <w:p w14:paraId="02DE410B" w14:textId="77777777" w:rsidR="00842BD3" w:rsidRPr="00F1114B" w:rsidRDefault="00842BD3" w:rsidP="00842BD3">
      <w:pPr>
        <w:rPr>
          <w:rFonts w:cs="Arial"/>
          <w:bCs/>
          <w:lang w:val="es-MX"/>
        </w:rPr>
      </w:pPr>
    </w:p>
    <w:p w14:paraId="237207DB" w14:textId="77777777" w:rsidR="00842BD3" w:rsidRPr="00F1114B" w:rsidRDefault="00842BD3" w:rsidP="00842BD3">
      <w:pPr>
        <w:rPr>
          <w:rFonts w:cs="Arial"/>
          <w:bCs/>
          <w:lang w:val="es-MX"/>
        </w:rPr>
      </w:pPr>
      <w:r w:rsidRPr="00F1114B">
        <w:rPr>
          <w:rFonts w:cs="Arial"/>
          <w:bCs/>
          <w:lang w:val="es-MX"/>
        </w:rPr>
        <w:t>La parte demandante y el Ministerio Público guardaron silencio en el traslado correspondiente</w:t>
      </w:r>
      <w:r w:rsidRPr="00F1114B">
        <w:rPr>
          <w:rStyle w:val="Refdenotaalpie"/>
          <w:rFonts w:cs="Arial"/>
          <w:bCs/>
          <w:lang w:val="es-MX"/>
        </w:rPr>
        <w:footnoteReference w:id="14"/>
      </w:r>
      <w:r w:rsidRPr="00F1114B">
        <w:rPr>
          <w:rFonts w:cs="Arial"/>
          <w:bCs/>
          <w:lang w:val="es-MX"/>
        </w:rPr>
        <w:t xml:space="preserve">. </w:t>
      </w:r>
    </w:p>
    <w:p w14:paraId="68A433A0" w14:textId="77777777" w:rsidR="00842BD3" w:rsidRPr="00F1114B" w:rsidRDefault="00842BD3" w:rsidP="00842BD3">
      <w:pPr>
        <w:rPr>
          <w:rFonts w:cs="Arial"/>
          <w:bCs/>
          <w:lang w:val="es-MX"/>
        </w:rPr>
      </w:pPr>
    </w:p>
    <w:p w14:paraId="7E5D7483" w14:textId="77777777" w:rsidR="00842BD3" w:rsidRPr="00F1114B" w:rsidRDefault="00842BD3" w:rsidP="00842BD3">
      <w:pPr>
        <w:rPr>
          <w:rFonts w:cs="Arial"/>
          <w:bCs/>
          <w:lang w:val="es-MX"/>
        </w:rPr>
      </w:pPr>
      <w:r w:rsidRPr="00F1114B">
        <w:rPr>
          <w:rFonts w:cs="Arial"/>
          <w:b/>
          <w:bCs/>
          <w:lang w:val="es-MX"/>
        </w:rPr>
        <w:t>4.9.</w:t>
      </w:r>
      <w:r w:rsidRPr="00F1114B">
        <w:rPr>
          <w:rFonts w:cs="Arial"/>
          <w:bCs/>
          <w:lang w:val="es-MX"/>
        </w:rPr>
        <w:t xml:space="preserve"> </w:t>
      </w:r>
      <w:r w:rsidRPr="00F1114B">
        <w:rPr>
          <w:rFonts w:cs="Arial"/>
          <w:b/>
          <w:bCs/>
          <w:lang w:val="es-MX"/>
        </w:rPr>
        <w:t>Cláusula compromisoria</w:t>
      </w:r>
      <w:r w:rsidRPr="00F1114B">
        <w:rPr>
          <w:rFonts w:cs="Arial"/>
          <w:bCs/>
          <w:lang w:val="es-MX"/>
        </w:rPr>
        <w:t xml:space="preserve"> </w:t>
      </w:r>
    </w:p>
    <w:p w14:paraId="624BBB4D" w14:textId="77777777" w:rsidR="00842BD3" w:rsidRPr="00F1114B" w:rsidRDefault="00842BD3" w:rsidP="00842BD3">
      <w:pPr>
        <w:rPr>
          <w:rFonts w:cs="Arial"/>
          <w:bCs/>
          <w:lang w:val="es-MX"/>
        </w:rPr>
      </w:pPr>
    </w:p>
    <w:p w14:paraId="0E5D609A" w14:textId="77777777" w:rsidR="00842BD3" w:rsidRPr="00F1114B" w:rsidRDefault="00842BD3" w:rsidP="00842BD3">
      <w:pPr>
        <w:rPr>
          <w:rFonts w:cs="Arial"/>
          <w:bCs/>
          <w:lang w:val="es-MX"/>
        </w:rPr>
      </w:pPr>
      <w:r w:rsidRPr="00F1114B">
        <w:rPr>
          <w:rFonts w:cs="Arial"/>
          <w:bCs/>
          <w:lang w:val="es-MX"/>
        </w:rPr>
        <w:t>En auto de 19 de julio de 2016 se declaró la nulidad de lo actuado frente a la existencia de la cláusula compromisoria pactada en el Contrato de Consultoría No. 091 de 2004</w:t>
      </w:r>
      <w:r w:rsidRPr="00F1114B">
        <w:rPr>
          <w:rStyle w:val="Refdenotaalpie"/>
          <w:rFonts w:cs="Arial"/>
          <w:bCs/>
          <w:lang w:val="es-MX"/>
        </w:rPr>
        <w:footnoteReference w:id="15"/>
      </w:r>
      <w:r w:rsidRPr="00F1114B">
        <w:rPr>
          <w:rFonts w:cs="Arial"/>
          <w:bCs/>
          <w:lang w:val="es-MX"/>
        </w:rPr>
        <w:t xml:space="preserve">. </w:t>
      </w:r>
    </w:p>
    <w:p w14:paraId="2F4FAF71" w14:textId="77777777" w:rsidR="00842BD3" w:rsidRPr="00F1114B" w:rsidRDefault="00842BD3" w:rsidP="00842BD3">
      <w:pPr>
        <w:rPr>
          <w:rFonts w:cs="Arial"/>
          <w:bCs/>
          <w:lang w:val="es-MX"/>
        </w:rPr>
      </w:pPr>
    </w:p>
    <w:p w14:paraId="1F0A3E12" w14:textId="77777777" w:rsidR="00842BD3" w:rsidRPr="00F1114B" w:rsidRDefault="00842BD3" w:rsidP="00842BD3">
      <w:pPr>
        <w:rPr>
          <w:rFonts w:cs="Arial"/>
          <w:bCs/>
          <w:lang w:val="es-MX"/>
        </w:rPr>
      </w:pPr>
      <w:r w:rsidRPr="00F1114B">
        <w:rPr>
          <w:rFonts w:cs="Arial"/>
          <w:bCs/>
          <w:lang w:val="es-MX"/>
        </w:rPr>
        <w:t xml:space="preserve">Sin embargo, el citado auto fue revocado en la providencia de 27 de noviembre de 2017, mediante la cual se desató el recurso de súplica interpuesto por la Secretaría </w:t>
      </w:r>
      <w:r w:rsidRPr="00F1114B">
        <w:rPr>
          <w:rFonts w:cs="Arial"/>
          <w:bCs/>
          <w:lang w:val="es-MX"/>
        </w:rPr>
        <w:lastRenderedPageBreak/>
        <w:t>de Educación</w:t>
      </w:r>
      <w:r w:rsidRPr="00F1114B">
        <w:rPr>
          <w:rStyle w:val="Refdenotaalpie"/>
          <w:rFonts w:cs="Arial"/>
          <w:bCs/>
          <w:lang w:val="es-MX"/>
        </w:rPr>
        <w:footnoteReference w:id="16"/>
      </w:r>
      <w:r w:rsidRPr="00F1114B">
        <w:rPr>
          <w:rFonts w:cs="Arial"/>
          <w:bCs/>
          <w:lang w:val="es-MX"/>
        </w:rPr>
        <w:t>. La Sala integrada para conocer del asunto</w:t>
      </w:r>
      <w:r w:rsidRPr="00F1114B">
        <w:rPr>
          <w:rStyle w:val="Refdenotaalpie"/>
          <w:rFonts w:cs="Arial"/>
          <w:bCs/>
          <w:lang w:val="es-MX"/>
        </w:rPr>
        <w:footnoteReference w:id="17"/>
      </w:r>
      <w:r w:rsidRPr="00F1114B">
        <w:rPr>
          <w:rFonts w:cs="Arial"/>
          <w:bCs/>
          <w:lang w:val="es-MX"/>
        </w:rPr>
        <w:t xml:space="preserve"> consideró que en la cláusula pactada no constaba </w:t>
      </w:r>
      <w:r w:rsidRPr="00F1114B">
        <w:rPr>
          <w:rFonts w:cs="Arial"/>
          <w:bCs/>
          <w:i/>
          <w:lang w:val="es-MX"/>
        </w:rPr>
        <w:t>“de manera diáfana e indiscutible”</w:t>
      </w:r>
      <w:r w:rsidRPr="00F1114B">
        <w:rPr>
          <w:rFonts w:cs="Arial"/>
          <w:bCs/>
          <w:lang w:val="es-MX"/>
        </w:rPr>
        <w:t xml:space="preserve"> la voluntad de las partes de someter la decisión a un tribunal de arbitramento.</w:t>
      </w:r>
    </w:p>
    <w:p w14:paraId="66FBFEF8" w14:textId="77777777" w:rsidR="00842BD3" w:rsidRPr="00F1114B" w:rsidRDefault="00842BD3" w:rsidP="00842BD3">
      <w:pPr>
        <w:rPr>
          <w:rFonts w:cs="Arial"/>
          <w:bCs/>
          <w:lang w:val="es-MX"/>
        </w:rPr>
      </w:pPr>
    </w:p>
    <w:p w14:paraId="6C716667" w14:textId="77777777" w:rsidR="00842BD3" w:rsidRPr="00F1114B" w:rsidRDefault="00842BD3" w:rsidP="00842BD3">
      <w:pPr>
        <w:rPr>
          <w:rFonts w:cs="Arial"/>
          <w:bCs/>
          <w:lang w:val="es-MX"/>
        </w:rPr>
      </w:pPr>
      <w:r w:rsidRPr="00F1114B">
        <w:rPr>
          <w:rFonts w:cs="Arial"/>
          <w:bCs/>
          <w:lang w:val="es-MX"/>
        </w:rPr>
        <w:t>Como consecuencia, en este estado del proceso resulta pertinente entrar a dictar sentencia.</w:t>
      </w:r>
    </w:p>
    <w:p w14:paraId="5572765A" w14:textId="77777777" w:rsidR="00842BD3" w:rsidRPr="00F1114B" w:rsidRDefault="00842BD3" w:rsidP="00842BD3">
      <w:pPr>
        <w:jc w:val="center"/>
        <w:rPr>
          <w:rFonts w:cs="Arial"/>
          <w:b/>
        </w:rPr>
      </w:pPr>
    </w:p>
    <w:p w14:paraId="23333B21" w14:textId="77777777" w:rsidR="00842BD3" w:rsidRPr="00F1114B" w:rsidRDefault="00842BD3" w:rsidP="00842BD3">
      <w:pPr>
        <w:pStyle w:val="Lista"/>
        <w:ind w:left="0"/>
        <w:jc w:val="center"/>
        <w:rPr>
          <w:rFonts w:ascii="Arial" w:hAnsi="Arial" w:cs="Arial"/>
          <w:b/>
        </w:rPr>
      </w:pPr>
      <w:r w:rsidRPr="00F1114B">
        <w:rPr>
          <w:rFonts w:ascii="Arial" w:hAnsi="Arial" w:cs="Arial"/>
          <w:b/>
        </w:rPr>
        <w:t>II.</w:t>
      </w:r>
      <w:r w:rsidRPr="00F1114B">
        <w:rPr>
          <w:rFonts w:ascii="Arial" w:hAnsi="Arial" w:cs="Arial"/>
          <w:b/>
        </w:rPr>
        <w:tab/>
        <w:t xml:space="preserve">C O N S I D E R A C I O N E S </w:t>
      </w:r>
    </w:p>
    <w:p w14:paraId="7F70320F" w14:textId="77777777" w:rsidR="00842BD3" w:rsidRPr="00F1114B" w:rsidRDefault="00842BD3" w:rsidP="00842BD3">
      <w:pPr>
        <w:pStyle w:val="Lista"/>
        <w:ind w:left="0"/>
        <w:jc w:val="center"/>
        <w:rPr>
          <w:rFonts w:ascii="Arial" w:hAnsi="Arial" w:cs="Arial"/>
        </w:rPr>
      </w:pPr>
    </w:p>
    <w:p w14:paraId="0E3D57D2" w14:textId="77777777" w:rsidR="00842BD3" w:rsidRPr="00F1114B" w:rsidRDefault="00842BD3" w:rsidP="00842BD3">
      <w:pPr>
        <w:pStyle w:val="Lista4"/>
        <w:ind w:left="0" w:firstLine="0"/>
        <w:rPr>
          <w:rFonts w:cs="Arial"/>
        </w:rPr>
      </w:pPr>
      <w:r w:rsidRPr="00F1114B">
        <w:rPr>
          <w:rFonts w:cs="Arial"/>
        </w:rPr>
        <w:t xml:space="preserve">Para resolver la segunda instancia de la presente </w:t>
      </w:r>
      <w:r w:rsidRPr="00F1114B">
        <w:rPr>
          <w:rFonts w:cs="Arial"/>
          <w:i/>
        </w:rPr>
        <w:t>litis</w:t>
      </w:r>
      <w:r w:rsidRPr="00F1114B">
        <w:rPr>
          <w:rFonts w:cs="Arial"/>
        </w:rPr>
        <w:t xml:space="preserve">, se abordarán los siguientes temas: </w:t>
      </w:r>
      <w:r w:rsidRPr="00F1114B">
        <w:rPr>
          <w:rFonts w:cs="Arial"/>
          <w:b/>
        </w:rPr>
        <w:t>1)</w:t>
      </w:r>
      <w:r w:rsidRPr="00F1114B">
        <w:rPr>
          <w:rFonts w:cs="Arial"/>
        </w:rPr>
        <w:t xml:space="preserve"> jurisdicción y competencia del Consejo de Estado; </w:t>
      </w:r>
      <w:r w:rsidRPr="00F1114B">
        <w:rPr>
          <w:rFonts w:cs="Arial"/>
          <w:b/>
        </w:rPr>
        <w:t>2)</w:t>
      </w:r>
      <w:r w:rsidRPr="00F1114B">
        <w:rPr>
          <w:rFonts w:cs="Arial"/>
        </w:rPr>
        <w:t xml:space="preserve"> indebida invocación del enriquecimiento sin causa en la reclamación por ruptura del equilibrio contractual; </w:t>
      </w:r>
      <w:r w:rsidRPr="00F1114B">
        <w:rPr>
          <w:rFonts w:cs="Arial"/>
          <w:b/>
        </w:rPr>
        <w:t>3)</w:t>
      </w:r>
      <w:r w:rsidRPr="00F1114B">
        <w:rPr>
          <w:rFonts w:cs="Arial"/>
        </w:rPr>
        <w:t xml:space="preserve"> caducidad de la acción contractual; </w:t>
      </w:r>
      <w:r w:rsidRPr="00F1114B">
        <w:rPr>
          <w:rFonts w:cs="Arial"/>
          <w:b/>
        </w:rPr>
        <w:t>4)</w:t>
      </w:r>
      <w:r w:rsidRPr="00F1114B">
        <w:rPr>
          <w:rFonts w:cs="Arial"/>
        </w:rPr>
        <w:t xml:space="preserve"> e</w:t>
      </w:r>
      <w:r w:rsidRPr="00F1114B">
        <w:rPr>
          <w:rFonts w:cs="Arial"/>
          <w:lang w:val="es-MX"/>
        </w:rPr>
        <w:t xml:space="preserve">l cómputo de la caducidad de la acción en el caso concreto; </w:t>
      </w:r>
      <w:r w:rsidRPr="00F1114B">
        <w:rPr>
          <w:rFonts w:cs="Arial"/>
          <w:b/>
        </w:rPr>
        <w:t xml:space="preserve">5) </w:t>
      </w:r>
      <w:r w:rsidRPr="00F1114B">
        <w:rPr>
          <w:rFonts w:cs="Arial"/>
        </w:rPr>
        <w:t>inexistencia de prestaciones extra contractuales;</w:t>
      </w:r>
      <w:r w:rsidRPr="00F1114B">
        <w:rPr>
          <w:rFonts w:cs="Arial"/>
          <w:lang w:val="es-MX"/>
        </w:rPr>
        <w:t xml:space="preserve"> </w:t>
      </w:r>
      <w:r w:rsidRPr="00F1114B">
        <w:rPr>
          <w:rFonts w:cs="Arial"/>
          <w:b/>
          <w:lang w:val="es-MX"/>
        </w:rPr>
        <w:t>6</w:t>
      </w:r>
      <w:r w:rsidRPr="00F1114B">
        <w:rPr>
          <w:rFonts w:cs="Arial"/>
          <w:b/>
        </w:rPr>
        <w:t>)</w:t>
      </w:r>
      <w:r w:rsidRPr="00F1114B">
        <w:rPr>
          <w:rFonts w:cs="Arial"/>
        </w:rPr>
        <w:t xml:space="preserve"> costas.</w:t>
      </w:r>
    </w:p>
    <w:p w14:paraId="625EDC31" w14:textId="77777777" w:rsidR="00842BD3" w:rsidRPr="00F1114B" w:rsidRDefault="00842BD3" w:rsidP="00842BD3">
      <w:pPr>
        <w:pStyle w:val="NormalWeb"/>
        <w:spacing w:before="0" w:beforeAutospacing="0" w:after="0" w:afterAutospacing="0"/>
        <w:rPr>
          <w:rFonts w:cs="Arial"/>
        </w:rPr>
      </w:pPr>
    </w:p>
    <w:p w14:paraId="6C3239E3" w14:textId="77777777" w:rsidR="00842BD3" w:rsidRPr="00F1114B" w:rsidRDefault="00842BD3" w:rsidP="00842BD3">
      <w:pPr>
        <w:pStyle w:val="NormalWeb"/>
        <w:spacing w:before="0" w:beforeAutospacing="0" w:after="0" w:afterAutospacing="0"/>
        <w:rPr>
          <w:rFonts w:cs="Arial"/>
        </w:rPr>
      </w:pPr>
      <w:r w:rsidRPr="00F1114B">
        <w:rPr>
          <w:rFonts w:cs="Arial"/>
        </w:rPr>
        <w:t>En el acápite referido al caso concreto se abordará el análisis de la ejecución del contrato, la procedencia de la acción contractual y la inexistencia de prestaciones extracontractuales.</w:t>
      </w:r>
    </w:p>
    <w:p w14:paraId="5DE39D7E" w14:textId="77777777" w:rsidR="00842BD3" w:rsidRPr="00F1114B" w:rsidRDefault="00842BD3" w:rsidP="00842BD3">
      <w:pPr>
        <w:rPr>
          <w:rFonts w:cs="Arial"/>
          <w:b/>
          <w:lang w:val="es-CO"/>
        </w:rPr>
      </w:pPr>
    </w:p>
    <w:p w14:paraId="001DD780" w14:textId="77777777" w:rsidR="00842BD3" w:rsidRPr="00F1114B" w:rsidRDefault="00842BD3" w:rsidP="00842BD3">
      <w:pPr>
        <w:rPr>
          <w:rFonts w:cs="Arial"/>
          <w:b/>
          <w:lang w:val="es-CO"/>
        </w:rPr>
      </w:pPr>
      <w:r w:rsidRPr="00F1114B">
        <w:rPr>
          <w:rFonts w:cs="Arial"/>
          <w:b/>
          <w:lang w:val="es-CO"/>
        </w:rPr>
        <w:t>1. Jurisdicción y competencia del Consejo de Estado</w:t>
      </w:r>
    </w:p>
    <w:p w14:paraId="13E0EC1F" w14:textId="77777777" w:rsidR="00842BD3" w:rsidRPr="00F1114B" w:rsidRDefault="00842BD3" w:rsidP="00842BD3">
      <w:pPr>
        <w:rPr>
          <w:rFonts w:cs="Arial"/>
          <w:b/>
          <w:lang w:val="es-CO"/>
        </w:rPr>
      </w:pPr>
    </w:p>
    <w:p w14:paraId="36CF1198" w14:textId="77777777" w:rsidR="00842BD3" w:rsidRPr="00F1114B" w:rsidRDefault="00842BD3" w:rsidP="00842BD3">
      <w:pPr>
        <w:rPr>
          <w:rFonts w:cs="Arial"/>
          <w:b/>
          <w:lang w:val="es-CO"/>
        </w:rPr>
      </w:pPr>
      <w:r w:rsidRPr="00F1114B">
        <w:rPr>
          <w:rFonts w:cs="Arial"/>
          <w:b/>
          <w:lang w:val="es-CO"/>
        </w:rPr>
        <w:t>1.1. Jurisdicción competente</w:t>
      </w:r>
    </w:p>
    <w:p w14:paraId="40E2BC22" w14:textId="77777777" w:rsidR="00842BD3" w:rsidRPr="00F1114B" w:rsidRDefault="00842BD3" w:rsidP="00842BD3">
      <w:pPr>
        <w:pStyle w:val="Textoindependiente"/>
        <w:autoSpaceDE/>
        <w:adjustRightInd/>
        <w:rPr>
          <w:rFonts w:cs="Arial"/>
          <w:szCs w:val="24"/>
          <w:lang w:val="es-CO"/>
        </w:rPr>
      </w:pPr>
    </w:p>
    <w:p w14:paraId="55582E14" w14:textId="77777777" w:rsidR="00842BD3" w:rsidRPr="00F1114B" w:rsidRDefault="00842BD3" w:rsidP="00842BD3">
      <w:pPr>
        <w:rPr>
          <w:rFonts w:cs="Arial"/>
        </w:rPr>
      </w:pPr>
      <w:r w:rsidRPr="00F1114B">
        <w:rPr>
          <w:rFonts w:cs="Arial"/>
        </w:rPr>
        <w:t>Con fundamento en el criterio orgánico que se adoptó en la Ley 80 de 1993</w:t>
      </w:r>
      <w:r w:rsidRPr="00F1114B">
        <w:rPr>
          <w:rStyle w:val="Refdenotaalpie"/>
          <w:rFonts w:cs="Arial"/>
        </w:rPr>
        <w:footnoteReference w:id="18"/>
      </w:r>
      <w:r w:rsidRPr="00F1114B">
        <w:rPr>
          <w:rFonts w:cs="Arial"/>
        </w:rPr>
        <w:t>, en concordancia con el artículo 82 del Código Contencioso Administrativo</w:t>
      </w:r>
      <w:r w:rsidRPr="00F1114B">
        <w:rPr>
          <w:rStyle w:val="Refdenotaalpie"/>
          <w:rFonts w:cs="Arial"/>
        </w:rPr>
        <w:footnoteReference w:id="19"/>
      </w:r>
      <w:r w:rsidRPr="00F1114B">
        <w:rPr>
          <w:rFonts w:cs="Arial"/>
        </w:rPr>
        <w:t xml:space="preserve">, siendo en este caso una de las partes del Contrato de Consultoría No. 091 de 2004, Bogotá </w:t>
      </w:r>
      <w:r w:rsidRPr="00F1114B">
        <w:rPr>
          <w:rFonts w:cs="Arial"/>
        </w:rPr>
        <w:lastRenderedPageBreak/>
        <w:t>Distrito Capital– Secretaría de Educación, entidad estatal de carácter territorial</w:t>
      </w:r>
      <w:r w:rsidRPr="00F1114B">
        <w:rPr>
          <w:rStyle w:val="Refdenotaalpie"/>
          <w:rFonts w:cs="Arial"/>
        </w:rPr>
        <w:footnoteReference w:id="20"/>
      </w:r>
      <w:r w:rsidRPr="00F1114B">
        <w:rPr>
          <w:rFonts w:cs="Arial"/>
        </w:rPr>
        <w:t>, se confirma la competencia de la Jurisdicción de lo Contencioso Administrativo, para conocer del presente litigio.</w:t>
      </w:r>
    </w:p>
    <w:p w14:paraId="32ECAB47" w14:textId="77777777" w:rsidR="00842BD3" w:rsidRPr="00F1114B" w:rsidRDefault="00842BD3" w:rsidP="00842BD3">
      <w:pPr>
        <w:rPr>
          <w:rFonts w:cs="Arial"/>
        </w:rPr>
      </w:pPr>
    </w:p>
    <w:p w14:paraId="3C739FDB" w14:textId="77777777" w:rsidR="00842BD3" w:rsidRPr="00F1114B" w:rsidRDefault="00842BD3" w:rsidP="00842BD3">
      <w:pPr>
        <w:rPr>
          <w:rFonts w:cs="Arial"/>
        </w:rPr>
      </w:pPr>
    </w:p>
    <w:p w14:paraId="3AC85EF7" w14:textId="77777777" w:rsidR="00842BD3" w:rsidRPr="00F1114B" w:rsidRDefault="00842BD3" w:rsidP="00842BD3">
      <w:pPr>
        <w:rPr>
          <w:rFonts w:cs="Arial"/>
          <w:b/>
          <w:color w:val="000000"/>
        </w:rPr>
      </w:pPr>
      <w:r w:rsidRPr="00F1114B">
        <w:rPr>
          <w:rFonts w:cs="Arial"/>
          <w:b/>
          <w:color w:val="000000"/>
        </w:rPr>
        <w:t>1.2. Cuantía</w:t>
      </w:r>
    </w:p>
    <w:p w14:paraId="33EFEB5E" w14:textId="77777777" w:rsidR="00842BD3" w:rsidRPr="00F1114B" w:rsidRDefault="00842BD3" w:rsidP="00842BD3">
      <w:pPr>
        <w:rPr>
          <w:rFonts w:cs="Arial"/>
          <w:color w:val="000000"/>
        </w:rPr>
      </w:pPr>
    </w:p>
    <w:p w14:paraId="1625537C" w14:textId="77777777" w:rsidR="00842BD3" w:rsidRPr="00F1114B" w:rsidRDefault="00842BD3" w:rsidP="00842BD3">
      <w:pPr>
        <w:rPr>
          <w:rFonts w:cs="Arial"/>
        </w:rPr>
      </w:pPr>
      <w:r w:rsidRPr="00F1114B">
        <w:rPr>
          <w:rFonts w:cs="Arial"/>
          <w:color w:val="000000"/>
        </w:rPr>
        <w:t>P</w:t>
      </w:r>
      <w:r w:rsidRPr="00F1114B">
        <w:rPr>
          <w:rFonts w:cs="Arial"/>
        </w:rPr>
        <w:t>recisa la Sala que le asiste competencia para conocer del presente proceso en segunda instancia, toda vez que la pretensión mayor se determinó en $728’745.600</w:t>
      </w:r>
      <w:r w:rsidRPr="00F1114B">
        <w:rPr>
          <w:rStyle w:val="Refdenotaalpie"/>
          <w:rFonts w:cs="Arial"/>
        </w:rPr>
        <w:footnoteReference w:id="21"/>
      </w:r>
      <w:r w:rsidRPr="00F1114B">
        <w:rPr>
          <w:rFonts w:cs="Arial"/>
        </w:rPr>
        <w:t>, valor que resulta superior a la suma equivalente a 500 S.M.L.M.V ($515.000 x 500 = $257’500.000)</w:t>
      </w:r>
      <w:r w:rsidRPr="00F1114B">
        <w:rPr>
          <w:rStyle w:val="Refdenotaalpie"/>
          <w:rFonts w:cs="Arial"/>
        </w:rPr>
        <w:footnoteReference w:id="22"/>
      </w:r>
      <w:r w:rsidRPr="00F1114B">
        <w:rPr>
          <w:rFonts w:cs="Arial"/>
        </w:rPr>
        <w:t xml:space="preserve">, exigida de conformidad con la Ley 1450 de 2011, para que un proceso contractual tenga vocación de doble instancia. </w:t>
      </w:r>
    </w:p>
    <w:p w14:paraId="310089D3" w14:textId="77777777" w:rsidR="00842BD3" w:rsidRPr="00F1114B" w:rsidRDefault="00842BD3" w:rsidP="00842BD3">
      <w:pPr>
        <w:rPr>
          <w:rFonts w:cs="Arial"/>
        </w:rPr>
      </w:pPr>
    </w:p>
    <w:p w14:paraId="7CB42BF4" w14:textId="77777777" w:rsidR="00842BD3" w:rsidRPr="00F1114B" w:rsidRDefault="00842BD3" w:rsidP="00842BD3">
      <w:pPr>
        <w:spacing w:line="240" w:lineRule="auto"/>
        <w:rPr>
          <w:rFonts w:cs="Arial"/>
          <w:b/>
        </w:rPr>
      </w:pPr>
      <w:r w:rsidRPr="00F1114B">
        <w:rPr>
          <w:rFonts w:cs="Arial"/>
          <w:b/>
        </w:rPr>
        <w:t>2. Indebida invocación del enriquecimiento sin causa en la reclamación por ruptura del equilibrio contractual</w:t>
      </w:r>
    </w:p>
    <w:p w14:paraId="27073AB6" w14:textId="77777777" w:rsidR="00842BD3" w:rsidRPr="00F1114B" w:rsidRDefault="00842BD3" w:rsidP="00842BD3">
      <w:pPr>
        <w:rPr>
          <w:rFonts w:cs="Arial"/>
          <w:b/>
        </w:rPr>
      </w:pPr>
    </w:p>
    <w:p w14:paraId="5B641063" w14:textId="77777777" w:rsidR="00842BD3" w:rsidRPr="00F1114B" w:rsidRDefault="00842BD3" w:rsidP="00842BD3">
      <w:pPr>
        <w:rPr>
          <w:rFonts w:cs="Arial"/>
        </w:rPr>
      </w:pPr>
      <w:r w:rsidRPr="00F1114B">
        <w:rPr>
          <w:rFonts w:cs="Arial"/>
        </w:rPr>
        <w:t xml:space="preserve">En forma previa al estudio del caso concreto, es bueno advertir que el asunto </w:t>
      </w:r>
      <w:r w:rsidRPr="00F1114B">
        <w:rPr>
          <w:rFonts w:cs="Arial"/>
          <w:i/>
        </w:rPr>
        <w:t>sub lite</w:t>
      </w:r>
      <w:r w:rsidRPr="00F1114B">
        <w:rPr>
          <w:rFonts w:cs="Arial"/>
        </w:rPr>
        <w:t xml:space="preserve"> no se ubica en los supuestos del enriquecimiento sin causa, ni tiene su fuente en un evento extracontractual, toda vez que las pretensiones del demandante tienen origen en un contrato estatal debidamente formalizado.</w:t>
      </w:r>
    </w:p>
    <w:p w14:paraId="28D58F9E" w14:textId="77777777" w:rsidR="00842BD3" w:rsidRPr="00F1114B" w:rsidRDefault="00842BD3" w:rsidP="00842BD3">
      <w:pPr>
        <w:rPr>
          <w:rFonts w:cs="Arial"/>
        </w:rPr>
      </w:pPr>
    </w:p>
    <w:p w14:paraId="23F35839" w14:textId="77777777" w:rsidR="00842BD3" w:rsidRPr="00F1114B" w:rsidRDefault="00842BD3" w:rsidP="00842BD3">
      <w:pPr>
        <w:rPr>
          <w:rFonts w:cs="Arial"/>
        </w:rPr>
      </w:pPr>
      <w:r w:rsidRPr="00F1114B">
        <w:rPr>
          <w:rFonts w:cs="Arial"/>
        </w:rPr>
        <w:t>El caso en cuestión difiere de aquel en que la Sala Plena de la Sección Tercera del Consejo de Estado</w:t>
      </w:r>
      <w:r w:rsidRPr="00F1114B">
        <w:rPr>
          <w:rStyle w:val="Refdenotaalpie"/>
          <w:rFonts w:cs="Arial"/>
        </w:rPr>
        <w:footnoteReference w:id="23"/>
      </w:r>
      <w:r w:rsidRPr="00F1114B">
        <w:rPr>
          <w:rFonts w:cs="Arial"/>
        </w:rPr>
        <w:t xml:space="preserve"> estudió la institución del enriquecimiento sin causa, en el </w:t>
      </w:r>
      <w:r w:rsidRPr="00F1114B">
        <w:rPr>
          <w:rFonts w:cs="Arial"/>
        </w:rPr>
        <w:lastRenderedPageBreak/>
        <w:t>conocimiento de una acción contractual referida a las prestaciones que se ejecutaron bajo un supuesto contrato verbal, en el cual se advirtió la improcedencia de la reclamación debido a la carencia de las formalidades sustanciales del contrato que se rige por la Ley 80 de 1993.</w:t>
      </w:r>
    </w:p>
    <w:p w14:paraId="498C428C" w14:textId="77777777" w:rsidR="00842BD3" w:rsidRPr="00F1114B" w:rsidRDefault="00842BD3" w:rsidP="00842BD3">
      <w:pPr>
        <w:rPr>
          <w:rFonts w:cs="Arial"/>
        </w:rPr>
      </w:pPr>
    </w:p>
    <w:p w14:paraId="24E1C569" w14:textId="77777777" w:rsidR="00842BD3" w:rsidRPr="00F1114B" w:rsidRDefault="00842BD3" w:rsidP="00842BD3">
      <w:pPr>
        <w:rPr>
          <w:rFonts w:cs="Arial"/>
        </w:rPr>
      </w:pPr>
      <w:r w:rsidRPr="00F1114B">
        <w:rPr>
          <w:rFonts w:cs="Arial"/>
        </w:rPr>
        <w:t xml:space="preserve">En esa oportunidad la Sala Plena de la Sección Tercera del Consejo de Estado resaltó el carácter excepcional del enriquecimiento sin causa y el supuesto de que la reclamación con fundamento en dicho principio no puede configurarse contrariando una norma legal imperativa, asunto que se expuso en la siguiente forma: </w:t>
      </w:r>
    </w:p>
    <w:p w14:paraId="045F0ABD" w14:textId="77777777" w:rsidR="00842BD3" w:rsidRPr="00F1114B" w:rsidRDefault="00842BD3" w:rsidP="00842BD3">
      <w:pPr>
        <w:overflowPunct w:val="0"/>
        <w:autoSpaceDE w:val="0"/>
        <w:autoSpaceDN w:val="0"/>
        <w:adjustRightInd w:val="0"/>
        <w:spacing w:line="240" w:lineRule="auto"/>
        <w:textAlignment w:val="baseline"/>
        <w:rPr>
          <w:rFonts w:cs="Arial"/>
          <w:i/>
        </w:rPr>
      </w:pPr>
    </w:p>
    <w:p w14:paraId="4D2BB3F9" w14:textId="77777777" w:rsidR="00842BD3" w:rsidRPr="00F1114B" w:rsidRDefault="00842BD3" w:rsidP="00842BD3">
      <w:pPr>
        <w:overflowPunct w:val="0"/>
        <w:autoSpaceDE w:val="0"/>
        <w:autoSpaceDN w:val="0"/>
        <w:adjustRightInd w:val="0"/>
        <w:spacing w:line="276" w:lineRule="auto"/>
        <w:textAlignment w:val="baseline"/>
        <w:rPr>
          <w:rFonts w:cs="Arial"/>
          <w:i/>
        </w:rPr>
      </w:pPr>
      <w:r w:rsidRPr="00F1114B">
        <w:rPr>
          <w:rFonts w:cs="Arial"/>
          <w:i/>
        </w:rPr>
        <w:t xml:space="preserve">“La Sala empieza por precisar que, por regla general, el enriquecimiento sin causa, y en consecuencia la </w:t>
      </w:r>
      <w:proofErr w:type="spellStart"/>
      <w:r w:rsidRPr="00F1114B">
        <w:rPr>
          <w:rFonts w:cs="Arial"/>
          <w:i/>
        </w:rPr>
        <w:t>actio</w:t>
      </w:r>
      <w:proofErr w:type="spellEnd"/>
      <w:r w:rsidRPr="00F1114B">
        <w:rPr>
          <w:rFonts w:cs="Arial"/>
          <w:i/>
        </w:rPr>
        <w:t xml:space="preserve"> de in rem verso, que en nuestro derecho es un principio general, tal como lo dedujo la Corte Suprema de Justicia a partir del artículo 8º de la ley 153 de 1887, y ahora consagrado de manera expresa en el artículo 831 del Código de Comercio, no pueden ser invocados para reclamar el pago de obras, entrega de bienes o servicios ejecutados sin la previa celebración de un contrato estatal que los justifique por la elemental pero suficiente razón consistente en que la </w:t>
      </w:r>
      <w:proofErr w:type="spellStart"/>
      <w:r w:rsidRPr="00F1114B">
        <w:rPr>
          <w:rFonts w:cs="Arial"/>
          <w:i/>
        </w:rPr>
        <w:t>actio</w:t>
      </w:r>
      <w:proofErr w:type="spellEnd"/>
      <w:r w:rsidRPr="00F1114B">
        <w:rPr>
          <w:rFonts w:cs="Arial"/>
          <w:i/>
        </w:rPr>
        <w:t xml:space="preserve"> de in rem verso requiere para su procedencia, entre otros requisitos, que con ella no se pretenda desconocer o contrariar una norma imperativa o </w:t>
      </w:r>
      <w:proofErr w:type="spellStart"/>
      <w:r w:rsidRPr="00F1114B">
        <w:rPr>
          <w:rFonts w:cs="Arial"/>
          <w:i/>
        </w:rPr>
        <w:t>cogente</w:t>
      </w:r>
      <w:proofErr w:type="spellEnd"/>
      <w:r w:rsidRPr="00F1114B">
        <w:rPr>
          <w:rFonts w:cs="Arial"/>
          <w:i/>
        </w:rPr>
        <w:t>. (…) de acuerdo con lo dispuesto en los artículos 39 y 41 de la Ley 80 de 1993 los contratos estatales son solemnes puesto que su perfeccionamiento exige la solemnidad del escrito, excepción hecha de ciertos eventos de urgencia manifiesta en que el contrato se torna consensual ante la imposibilidad de cumplir con la exigencia de la solemnidad del escrito (Ley 80 de 1993 artículo 41 inciso 4º). En los demás casos de urgencia manifiesta, que no queden comprendidos en ésta hipótesis, la solemnidad del escrito se sujeta a la regla general expuesta. No se olvide que las normas que exigen solemnidades constitutivas son de orden público e imperativas, y por lo tanto inmodificables e inderogables por el querer de sus destinatarios. En consecuencia, sus destinatarios, es decir todos los que pretendan intervenir en la celebración de un contrato estatal, tienen el deber de acatar la exigencia legal del escrito para perfeccionar un negocio jurídico de esa estirpe sin que sea admisible la ignorancia del precepto como excusa para su inobservancia”.</w:t>
      </w:r>
    </w:p>
    <w:p w14:paraId="20A443F5" w14:textId="77777777" w:rsidR="00842BD3" w:rsidRPr="00F1114B" w:rsidRDefault="00842BD3" w:rsidP="00842BD3">
      <w:pPr>
        <w:spacing w:line="276" w:lineRule="auto"/>
        <w:rPr>
          <w:rFonts w:cs="Arial"/>
        </w:rPr>
      </w:pPr>
    </w:p>
    <w:p w14:paraId="58CFC214" w14:textId="77777777" w:rsidR="00842BD3" w:rsidRPr="00F1114B" w:rsidRDefault="00842BD3" w:rsidP="00842BD3">
      <w:pPr>
        <w:rPr>
          <w:rFonts w:cs="Arial"/>
        </w:rPr>
      </w:pPr>
      <w:r w:rsidRPr="00F1114B">
        <w:rPr>
          <w:rFonts w:cs="Arial"/>
        </w:rPr>
        <w:t>En la citada sentencia de unificación se acotó el posible reconocimiento de las prestaciones ejecutadas con el fundamento excepcional del enriquecimiento sin causa, a tres hipótesis, entre otras, de acuerdo con la descripción que se presentó en la forma que se transcribe a continuación:</w:t>
      </w:r>
    </w:p>
    <w:p w14:paraId="35555C52" w14:textId="77777777" w:rsidR="00842BD3" w:rsidRPr="00F1114B" w:rsidRDefault="00842BD3" w:rsidP="00842BD3">
      <w:pPr>
        <w:rPr>
          <w:rFonts w:cs="Arial"/>
        </w:rPr>
      </w:pPr>
    </w:p>
    <w:p w14:paraId="26C39493" w14:textId="77777777" w:rsidR="00842BD3" w:rsidRPr="00F1114B" w:rsidRDefault="00842BD3" w:rsidP="00842BD3">
      <w:pPr>
        <w:spacing w:line="276" w:lineRule="auto"/>
        <w:rPr>
          <w:rFonts w:cs="Arial"/>
          <w:bCs/>
          <w:i/>
        </w:rPr>
      </w:pPr>
      <w:r w:rsidRPr="00F1114B">
        <w:rPr>
          <w:rFonts w:cs="Arial"/>
          <w:bCs/>
          <w:i/>
        </w:rPr>
        <w:t>“</w:t>
      </w:r>
      <w:r w:rsidRPr="00F1114B">
        <w:rPr>
          <w:rFonts w:cs="Arial"/>
          <w:b/>
          <w:bCs/>
          <w:i/>
        </w:rPr>
        <w:t xml:space="preserve">12.2. </w:t>
      </w:r>
      <w:r w:rsidRPr="00F1114B">
        <w:rPr>
          <w:rFonts w:cs="Arial"/>
          <w:bCs/>
          <w:i/>
        </w:rPr>
        <w:t xml:space="preserve">Con otras palabras, la Sala admite hipótesis en las que resultaría procedente la </w:t>
      </w:r>
      <w:proofErr w:type="spellStart"/>
      <w:r w:rsidRPr="00F1114B">
        <w:rPr>
          <w:rFonts w:cs="Arial"/>
          <w:bCs/>
          <w:i/>
        </w:rPr>
        <w:t>actio</w:t>
      </w:r>
      <w:proofErr w:type="spellEnd"/>
      <w:r w:rsidRPr="00F1114B">
        <w:rPr>
          <w:rFonts w:cs="Arial"/>
          <w:bCs/>
          <w:i/>
        </w:rPr>
        <w:t xml:space="preserve"> de in rem verso sin que medie contrato alguno pero, se insiste, estas posibilidades son de carácter excepcional y por consiguiente de interpretación y aplicación restrictiva, y de ninguna manera con la pretensión de encuadrar dentro </w:t>
      </w:r>
      <w:r w:rsidRPr="00F1114B">
        <w:rPr>
          <w:rFonts w:cs="Arial"/>
          <w:bCs/>
          <w:i/>
        </w:rPr>
        <w:lastRenderedPageBreak/>
        <w:t xml:space="preserve">de estos casos excepcionales, o al amparo de ellos, eventos que necesariamente quedan comprendidos dentro de la regla general que antes se mencionó. </w:t>
      </w:r>
    </w:p>
    <w:p w14:paraId="38279CA0" w14:textId="77777777" w:rsidR="00842BD3" w:rsidRPr="00F1114B" w:rsidRDefault="00842BD3" w:rsidP="00842BD3">
      <w:pPr>
        <w:spacing w:line="276" w:lineRule="auto"/>
        <w:rPr>
          <w:rFonts w:cs="Arial"/>
          <w:bCs/>
          <w:i/>
        </w:rPr>
      </w:pPr>
    </w:p>
    <w:p w14:paraId="62B07C11" w14:textId="77777777" w:rsidR="00842BD3" w:rsidRPr="00F1114B" w:rsidRDefault="00842BD3" w:rsidP="00842BD3">
      <w:pPr>
        <w:spacing w:line="276" w:lineRule="auto"/>
        <w:rPr>
          <w:rFonts w:cs="Arial"/>
          <w:bCs/>
          <w:i/>
        </w:rPr>
      </w:pPr>
      <w:r w:rsidRPr="00F1114B">
        <w:rPr>
          <w:rFonts w:cs="Arial"/>
          <w:bCs/>
          <w:i/>
        </w:rPr>
        <w:t xml:space="preserve">“Esos casos en donde, de manera excepcional y por razones de interés público o general, resultaría procedente la </w:t>
      </w:r>
      <w:proofErr w:type="spellStart"/>
      <w:r w:rsidRPr="00F1114B">
        <w:rPr>
          <w:rFonts w:cs="Arial"/>
          <w:bCs/>
          <w:i/>
        </w:rPr>
        <w:t>actio</w:t>
      </w:r>
      <w:proofErr w:type="spellEnd"/>
      <w:r w:rsidRPr="00F1114B">
        <w:rPr>
          <w:rFonts w:cs="Arial"/>
          <w:bCs/>
          <w:i/>
        </w:rPr>
        <w:t xml:space="preserve"> de in rem verso a juicio de la Sala, serían entre otros los siguientes:</w:t>
      </w:r>
    </w:p>
    <w:p w14:paraId="27947F21" w14:textId="77777777" w:rsidR="00842BD3" w:rsidRPr="00F1114B" w:rsidRDefault="00842BD3" w:rsidP="00842BD3">
      <w:pPr>
        <w:spacing w:line="276" w:lineRule="auto"/>
        <w:rPr>
          <w:rFonts w:cs="Arial"/>
          <w:bCs/>
          <w:i/>
        </w:rPr>
      </w:pPr>
    </w:p>
    <w:p w14:paraId="06DDDE7F" w14:textId="77777777" w:rsidR="00842BD3" w:rsidRPr="00F1114B" w:rsidRDefault="00842BD3" w:rsidP="00842BD3">
      <w:pPr>
        <w:numPr>
          <w:ilvl w:val="0"/>
          <w:numId w:val="31"/>
        </w:numPr>
        <w:spacing w:line="276" w:lineRule="auto"/>
        <w:ind w:left="0" w:firstLine="0"/>
        <w:rPr>
          <w:rFonts w:cs="Arial"/>
          <w:bCs/>
          <w:i/>
        </w:rPr>
      </w:pPr>
      <w:r w:rsidRPr="00F1114B">
        <w:rPr>
          <w:rFonts w:cs="Arial"/>
          <w:bCs/>
          <w:i/>
        </w:rPr>
        <w:t xml:space="preserve">“Cuando se acredite de manera fehaciente y evidente en el proceso, que fue exclusivamente la entidad pública, sin participación y sin culpa del particular afectado, la que en virtud de su supremacía, de su autoridad o de su </w:t>
      </w:r>
      <w:proofErr w:type="spellStart"/>
      <w:r w:rsidRPr="00F1114B">
        <w:rPr>
          <w:rFonts w:cs="Arial"/>
          <w:bCs/>
          <w:i/>
        </w:rPr>
        <w:t>imperium</w:t>
      </w:r>
      <w:proofErr w:type="spellEnd"/>
      <w:r w:rsidRPr="00F1114B">
        <w:rPr>
          <w:rFonts w:cs="Arial"/>
          <w:bCs/>
          <w:i/>
        </w:rPr>
        <w:t xml:space="preserve"> constriñó o impuso al respectivo particular la ejecución de prestaciones o el suministro de bienes o servicios en su beneficio, por fuera del marco de un contrato estatal o con prescindencia del mismo.</w:t>
      </w:r>
    </w:p>
    <w:p w14:paraId="08AD68E2" w14:textId="77777777" w:rsidR="00842BD3" w:rsidRPr="00F1114B" w:rsidRDefault="00842BD3" w:rsidP="00842BD3">
      <w:pPr>
        <w:spacing w:line="276" w:lineRule="auto"/>
        <w:rPr>
          <w:rFonts w:cs="Arial"/>
          <w:bCs/>
          <w:i/>
        </w:rPr>
      </w:pPr>
    </w:p>
    <w:p w14:paraId="7F9D6929" w14:textId="77777777" w:rsidR="00842BD3" w:rsidRPr="00F1114B" w:rsidRDefault="00842BD3" w:rsidP="00842BD3">
      <w:pPr>
        <w:numPr>
          <w:ilvl w:val="0"/>
          <w:numId w:val="31"/>
        </w:numPr>
        <w:spacing w:line="276" w:lineRule="auto"/>
        <w:ind w:left="0" w:firstLine="0"/>
        <w:rPr>
          <w:rFonts w:cs="Arial"/>
          <w:bCs/>
          <w:i/>
        </w:rPr>
      </w:pPr>
      <w:r w:rsidRPr="00F1114B">
        <w:rPr>
          <w:rFonts w:cs="Arial"/>
          <w:bCs/>
          <w:i/>
        </w:rPr>
        <w:t>“En los que es urgente y necesario adquirir bienes, solicitar servicios, suministros, ordenar obras con el fin de prestar un servicio para evitar una amenaza o una lesión inminente e irreversible al derecho a la salud, derecho este que es fundamental por conexidad con los derechos a la vida y a la integridad personal,  urgencia y necesidad que deben aparecer de manera objetiva y manifiesta como consecuencia de la imposibilidad absoluta de planificar y adelantar un proceso de selección de contratistas, así como de la celebración de los correspondientes contratos, circunstancias que deben estar plenamente acreditadas en el proceso contencioso administrativo, sin que el juzgador pierda de vista el derrotero general que se ha señalado en el numeral 12.1 de la presente providencia, es decir, verificando en todo caso que la decisión de la administración frente a estas circunstancias haya sido realmente urgente, útil, necesaria y la más razonablemente ajustada a las circunstancias que la llevaron a tomar tal determinación.</w:t>
      </w:r>
    </w:p>
    <w:p w14:paraId="54D83989" w14:textId="77777777" w:rsidR="00842BD3" w:rsidRPr="00F1114B" w:rsidRDefault="00842BD3" w:rsidP="00842BD3">
      <w:pPr>
        <w:spacing w:line="276" w:lineRule="auto"/>
        <w:rPr>
          <w:rFonts w:cs="Arial"/>
          <w:bCs/>
          <w:i/>
        </w:rPr>
      </w:pPr>
    </w:p>
    <w:p w14:paraId="06242F7D" w14:textId="77777777" w:rsidR="00842BD3" w:rsidRPr="00F1114B" w:rsidRDefault="00842BD3" w:rsidP="00842BD3">
      <w:pPr>
        <w:numPr>
          <w:ilvl w:val="0"/>
          <w:numId w:val="31"/>
        </w:numPr>
        <w:spacing w:line="276" w:lineRule="auto"/>
        <w:ind w:left="0" w:firstLine="0"/>
        <w:rPr>
          <w:rFonts w:cs="Arial"/>
          <w:bCs/>
          <w:i/>
        </w:rPr>
      </w:pPr>
      <w:r w:rsidRPr="00F1114B">
        <w:rPr>
          <w:rFonts w:cs="Arial"/>
          <w:bCs/>
          <w:i/>
        </w:rPr>
        <w:t>“En los que debiéndose legalmente declarar una situación de urgencia manifiesta, la administración omite tal declaratoria y procede a solicitar la ejecución de obras, prestación de servicios y suministro de bienes, sin contrato escrito alguno, en los casos en que esta exigencia imperativa del legislador no esté excepcionada conforme a lo dispuesto en el artículo 41 inciso 4º de la Ley 80 de 1993.</w:t>
      </w:r>
    </w:p>
    <w:p w14:paraId="353E8569" w14:textId="77777777" w:rsidR="00842BD3" w:rsidRPr="00F1114B" w:rsidRDefault="00842BD3" w:rsidP="00842BD3">
      <w:pPr>
        <w:spacing w:line="276" w:lineRule="auto"/>
        <w:rPr>
          <w:rFonts w:cs="Arial"/>
          <w:bCs/>
          <w:i/>
        </w:rPr>
      </w:pPr>
    </w:p>
    <w:p w14:paraId="3A90CD0F" w14:textId="77777777" w:rsidR="00842BD3" w:rsidRPr="00F1114B" w:rsidRDefault="00842BD3" w:rsidP="00842BD3">
      <w:pPr>
        <w:spacing w:line="276" w:lineRule="auto"/>
        <w:rPr>
          <w:rFonts w:cs="Arial"/>
          <w:b/>
          <w:i/>
        </w:rPr>
      </w:pPr>
      <w:r w:rsidRPr="00F1114B">
        <w:rPr>
          <w:rFonts w:cs="Arial"/>
          <w:bCs/>
          <w:i/>
        </w:rPr>
        <w:t>“</w:t>
      </w:r>
      <w:r w:rsidRPr="00F1114B">
        <w:rPr>
          <w:rFonts w:cs="Arial"/>
          <w:b/>
          <w:bCs/>
          <w:i/>
        </w:rPr>
        <w:t>12.3.</w:t>
      </w:r>
      <w:r w:rsidRPr="00F1114B">
        <w:rPr>
          <w:rFonts w:cs="Arial"/>
          <w:bCs/>
          <w:i/>
        </w:rPr>
        <w:t xml:space="preserve"> El reconocimiento judicial del enriquecimiento sin causa y de la </w:t>
      </w:r>
      <w:proofErr w:type="spellStart"/>
      <w:r w:rsidRPr="00F1114B">
        <w:rPr>
          <w:rFonts w:cs="Arial"/>
          <w:bCs/>
          <w:i/>
        </w:rPr>
        <w:t>actio</w:t>
      </w:r>
      <w:proofErr w:type="spellEnd"/>
      <w:r w:rsidRPr="00F1114B">
        <w:rPr>
          <w:rFonts w:cs="Arial"/>
          <w:bCs/>
          <w:i/>
        </w:rPr>
        <w:t xml:space="preserve"> de in rem verso, en estos casos excepcionales deberá ir acompañada de la regla según la cual, el enriquecimiento sin causa es esencialmente compensatorio y por consiguiente el demandante, de prosperarle sus pretensiones, sólo tendrá derecho al monto del enriquecimiento. Ahora, de advertirse la comisión de algún ilícito, falta disciplinaria o fiscal, el juzgador, en la misma providencia que resuelva el asunto, deberá cumplir con la obligación de compulsar copias para las respectivas investigaciones penales, disciplinarias y/o fiscales”</w:t>
      </w:r>
      <w:r w:rsidRPr="00F1114B">
        <w:rPr>
          <w:rStyle w:val="Refdenotaalpie"/>
          <w:rFonts w:cs="Arial"/>
        </w:rPr>
        <w:footnoteReference w:id="24"/>
      </w:r>
      <w:r w:rsidRPr="00F1114B">
        <w:rPr>
          <w:rFonts w:cs="Arial"/>
          <w:bCs/>
          <w:i/>
        </w:rPr>
        <w:t>.</w:t>
      </w:r>
    </w:p>
    <w:p w14:paraId="60178FF7" w14:textId="77777777" w:rsidR="00842BD3" w:rsidRPr="00F1114B" w:rsidRDefault="00842BD3" w:rsidP="00842BD3">
      <w:pPr>
        <w:spacing w:line="276" w:lineRule="auto"/>
        <w:rPr>
          <w:rFonts w:cs="Arial"/>
        </w:rPr>
      </w:pPr>
    </w:p>
    <w:p w14:paraId="02FAD691" w14:textId="77777777" w:rsidR="00842BD3" w:rsidRPr="00F1114B" w:rsidRDefault="00842BD3" w:rsidP="00842BD3">
      <w:pPr>
        <w:rPr>
          <w:rFonts w:cs="Arial"/>
        </w:rPr>
      </w:pPr>
      <w:r w:rsidRPr="00F1114B">
        <w:rPr>
          <w:rFonts w:cs="Arial"/>
        </w:rPr>
        <w:lastRenderedPageBreak/>
        <w:t>De conformidad con la citada jurisprudencia, en el contrato que está destinado a regirse por la ley 80 de 1993 pero que no llega a formalizarse por escrito -y que por tanto no existe desde el punto de vista jurídico- cabe la reclamación orientada al reconocimiento de las prestaciones ejecutadas, empero ello es así solo acudiendo a las reglas excepcionales del enriquecimiento sin causa, aunque se haya impetrado el medio de control contractual.</w:t>
      </w:r>
    </w:p>
    <w:p w14:paraId="6C06385D" w14:textId="77777777" w:rsidR="00842BD3" w:rsidRPr="00F1114B" w:rsidRDefault="00842BD3" w:rsidP="00842BD3">
      <w:pPr>
        <w:rPr>
          <w:rFonts w:cs="Arial"/>
        </w:rPr>
      </w:pPr>
    </w:p>
    <w:p w14:paraId="45AD30C3" w14:textId="77777777" w:rsidR="00842BD3" w:rsidRPr="00F1114B" w:rsidRDefault="00842BD3" w:rsidP="00842BD3">
      <w:pPr>
        <w:rPr>
          <w:rFonts w:cs="Arial"/>
        </w:rPr>
      </w:pPr>
      <w:r w:rsidRPr="00F1114B">
        <w:rPr>
          <w:rFonts w:cs="Arial"/>
        </w:rPr>
        <w:t xml:space="preserve">Desde esa perspectiva, teniendo en cuenta que </w:t>
      </w:r>
      <w:r w:rsidRPr="00F1114B">
        <w:rPr>
          <w:rFonts w:cs="Arial"/>
          <w:b/>
        </w:rPr>
        <w:t>i)</w:t>
      </w:r>
      <w:r w:rsidRPr="00F1114B">
        <w:rPr>
          <w:rFonts w:cs="Arial"/>
        </w:rPr>
        <w:t xml:space="preserve"> la responsabilidad frente al supuesto del desequilibrio económico en el evento de presentarse un contrato debidamente solemnizado por escrito tiene por fuente el contrato estatal y </w:t>
      </w:r>
      <w:r w:rsidRPr="00F1114B">
        <w:rPr>
          <w:rFonts w:cs="Arial"/>
          <w:b/>
        </w:rPr>
        <w:t>ii)</w:t>
      </w:r>
      <w:r w:rsidRPr="00F1114B">
        <w:rPr>
          <w:rFonts w:cs="Arial"/>
        </w:rPr>
        <w:t xml:space="preserve"> de manera concreta esa responsabilidad se puede hacer exigible con apoyo en el artículo 27 de la Ley 80 de 1993</w:t>
      </w:r>
      <w:r w:rsidRPr="00F1114B">
        <w:rPr>
          <w:rStyle w:val="Refdenotaalpie"/>
          <w:rFonts w:cs="Arial"/>
        </w:rPr>
        <w:footnoteReference w:id="25"/>
      </w:r>
      <w:r w:rsidRPr="00F1114B">
        <w:rPr>
          <w:rFonts w:cs="Arial"/>
        </w:rPr>
        <w:t xml:space="preserve">, -fundado en la condición de equivalencia económica de las prestaciones y cargas contractuales-, resulta necesario concluir que las reclamaciones correspondientes a la ruptura del equilibrio económico del contrato no se deben encausar por los supuestos del enriquecimiento sin causa. </w:t>
      </w:r>
    </w:p>
    <w:p w14:paraId="203485AE" w14:textId="77777777" w:rsidR="00842BD3" w:rsidRPr="00F1114B" w:rsidRDefault="00842BD3" w:rsidP="00842BD3">
      <w:pPr>
        <w:rPr>
          <w:rFonts w:cs="Arial"/>
        </w:rPr>
      </w:pPr>
    </w:p>
    <w:p w14:paraId="19F919B6" w14:textId="77777777" w:rsidR="00842BD3" w:rsidRPr="00F1114B" w:rsidRDefault="00842BD3" w:rsidP="00842BD3">
      <w:pPr>
        <w:rPr>
          <w:rFonts w:cs="Arial"/>
        </w:rPr>
      </w:pPr>
      <w:r w:rsidRPr="00F1114B">
        <w:rPr>
          <w:rFonts w:cs="Arial"/>
        </w:rPr>
        <w:t xml:space="preserve">La ruptura del equilibrio económico del contrato constituye un supuesto pasible del ejercicio del medio de control contractual, es decir, con causa en el contrato bajo el cual una parte puede reclamar a la otra el mayor valor de las prestaciones ejecutadas en desarrollo del mismo, cuando se presenta una variación material en la ejecución de la fórmula financiera que gobernó el respectivo contrato, la cual no debe ser imputable a la conducta o al riesgo asumido por la parte que presenta la reclamación.  </w:t>
      </w:r>
    </w:p>
    <w:p w14:paraId="045C291F" w14:textId="77777777" w:rsidR="00842BD3" w:rsidRPr="00F1114B" w:rsidRDefault="00842BD3" w:rsidP="00842BD3">
      <w:pPr>
        <w:rPr>
          <w:rFonts w:cs="Arial"/>
        </w:rPr>
      </w:pPr>
    </w:p>
    <w:p w14:paraId="5EA2411C" w14:textId="77777777" w:rsidR="00842BD3" w:rsidRPr="00F1114B" w:rsidRDefault="00842BD3" w:rsidP="00842BD3">
      <w:pPr>
        <w:rPr>
          <w:rFonts w:cs="Arial"/>
        </w:rPr>
      </w:pPr>
      <w:r w:rsidRPr="00F1114B">
        <w:rPr>
          <w:rFonts w:cs="Arial"/>
        </w:rPr>
        <w:t xml:space="preserve">Por ello, las pretensiones incoadas para hacer valer las reclamaciones por razón del desequilibrio contractual tienen por fuente de las obligaciones del contrato y la distribución de cargas y riesgos dentro del mismo, de manera tal que frente a ese </w:t>
      </w:r>
      <w:r w:rsidRPr="00F1114B">
        <w:rPr>
          <w:rFonts w:cs="Arial"/>
        </w:rPr>
        <w:lastRenderedPageBreak/>
        <w:t xml:space="preserve">tipo de pretensiones no es pertinente acudir a la institución del enriquecimiento sin causa. </w:t>
      </w:r>
    </w:p>
    <w:p w14:paraId="11A8A784" w14:textId="77777777" w:rsidR="00842BD3" w:rsidRPr="00F1114B" w:rsidRDefault="00842BD3" w:rsidP="00842BD3">
      <w:pPr>
        <w:rPr>
          <w:rFonts w:cs="Arial"/>
        </w:rPr>
      </w:pPr>
    </w:p>
    <w:p w14:paraId="0E2F2C5A" w14:textId="77777777" w:rsidR="00842BD3" w:rsidRPr="00F1114B" w:rsidRDefault="00842BD3" w:rsidP="00842BD3">
      <w:pPr>
        <w:rPr>
          <w:rFonts w:cs="Arial"/>
        </w:rPr>
      </w:pPr>
      <w:r w:rsidRPr="00F1114B">
        <w:rPr>
          <w:rFonts w:cs="Arial"/>
        </w:rPr>
        <w:t>Como conclusión, teniendo en cuenta que frente a la ruptura del equilibrio contractual no se predica la ausencia de causa, que es un elemento fundamental de la institución y principio del enriquecimiento sin causa</w:t>
      </w:r>
      <w:r w:rsidRPr="00F1114B">
        <w:rPr>
          <w:rStyle w:val="Refdenotaalpie"/>
          <w:rFonts w:cs="Arial"/>
        </w:rPr>
        <w:footnoteReference w:id="26"/>
      </w:r>
      <w:r w:rsidRPr="00F1114B">
        <w:rPr>
          <w:rFonts w:cs="Arial"/>
        </w:rPr>
        <w:t>, se advierte que para ese tipo de demandas es improcedente la acción correspondiente a la responsabilidad extracontractual del Estado – es decir la reparación directa- y la asunción del citado enriquecimiento sin causa.</w:t>
      </w:r>
    </w:p>
    <w:p w14:paraId="42C5316B" w14:textId="77777777" w:rsidR="00842BD3" w:rsidRPr="00F1114B" w:rsidRDefault="00842BD3" w:rsidP="00842BD3">
      <w:pPr>
        <w:rPr>
          <w:rFonts w:cs="Arial"/>
          <w:b/>
        </w:rPr>
      </w:pPr>
    </w:p>
    <w:p w14:paraId="22059C9B" w14:textId="77777777" w:rsidR="00842BD3" w:rsidRPr="00F1114B" w:rsidRDefault="00842BD3" w:rsidP="00842BD3">
      <w:pPr>
        <w:rPr>
          <w:rFonts w:cs="Arial"/>
        </w:rPr>
      </w:pPr>
      <w:r w:rsidRPr="00F1114B">
        <w:rPr>
          <w:rFonts w:cs="Arial"/>
        </w:rPr>
        <w:t xml:space="preserve">Es bueno reiterar que las hipótesis del enriquecimiento sin causa son excepcionales y que, según la jurisprudencia del Consejo de Estado, solo podrían configurarse en el escenario de que la parte reclamante haya sido compelida u obligada a colaborar con el Estado en la ejecución de las prestaciones sin el contrato correspondiente. </w:t>
      </w:r>
    </w:p>
    <w:p w14:paraId="4C55ABC4" w14:textId="77777777" w:rsidR="00842BD3" w:rsidRPr="00F1114B" w:rsidRDefault="00842BD3" w:rsidP="00842BD3">
      <w:pPr>
        <w:rPr>
          <w:rFonts w:cs="Arial"/>
        </w:rPr>
      </w:pPr>
    </w:p>
    <w:p w14:paraId="0DAB66A8" w14:textId="77777777" w:rsidR="00842BD3" w:rsidRPr="00F1114B" w:rsidRDefault="00842BD3" w:rsidP="00842BD3">
      <w:pPr>
        <w:rPr>
          <w:rFonts w:cs="Arial"/>
        </w:rPr>
      </w:pPr>
      <w:r w:rsidRPr="00F1114B">
        <w:rPr>
          <w:rFonts w:cs="Arial"/>
        </w:rPr>
        <w:t xml:space="preserve">Por ello, en ese orden de ideas, no resulta cierto, como parece afirmar el demandante en este proceso, que basta con demostrar la prestación ejecutada para que el estado deba pagarla, toda vez que la jurisprudencia pondera o da prevalencia al derecho del ejecutante de las obras o servicios en la reclamación frente al patrimonio público sólo cuando la conducta de la entidad estatal le impuso al demandante la ejecución de la prestación respectiva sin contrato.  </w:t>
      </w:r>
    </w:p>
    <w:p w14:paraId="038DF674" w14:textId="77777777" w:rsidR="00842BD3" w:rsidRPr="00F1114B" w:rsidRDefault="00842BD3" w:rsidP="00842BD3">
      <w:pPr>
        <w:rPr>
          <w:rFonts w:cs="Arial"/>
        </w:rPr>
      </w:pPr>
    </w:p>
    <w:p w14:paraId="78347530" w14:textId="77777777" w:rsidR="00842BD3" w:rsidRPr="00F1114B" w:rsidRDefault="00842BD3" w:rsidP="00842BD3">
      <w:pPr>
        <w:rPr>
          <w:rFonts w:cs="Arial"/>
        </w:rPr>
      </w:pPr>
      <w:r w:rsidRPr="00F1114B">
        <w:rPr>
          <w:rFonts w:cs="Arial"/>
        </w:rPr>
        <w:t xml:space="preserve">Las reflexiones anteriores llevan a corroborar que el asunto litigioso materia de este proceso debe ser apreciado de acuerdo con las reglas de la acción contractual. </w:t>
      </w:r>
    </w:p>
    <w:p w14:paraId="0F80A35C" w14:textId="77777777" w:rsidR="00842BD3" w:rsidRPr="00F1114B" w:rsidRDefault="00842BD3" w:rsidP="00842BD3">
      <w:pPr>
        <w:rPr>
          <w:rFonts w:cs="Arial"/>
          <w:b/>
        </w:rPr>
      </w:pPr>
    </w:p>
    <w:p w14:paraId="5507A9B5" w14:textId="77777777" w:rsidR="00842BD3" w:rsidRPr="00F1114B" w:rsidRDefault="00842BD3" w:rsidP="00842BD3">
      <w:pPr>
        <w:rPr>
          <w:rFonts w:cs="Arial"/>
          <w:b/>
        </w:rPr>
      </w:pPr>
      <w:r w:rsidRPr="00F1114B">
        <w:rPr>
          <w:rFonts w:cs="Arial"/>
          <w:b/>
        </w:rPr>
        <w:t xml:space="preserve">3. Caducidad de la acción contractual </w:t>
      </w:r>
    </w:p>
    <w:p w14:paraId="220661D1" w14:textId="77777777" w:rsidR="00842BD3" w:rsidRPr="00F1114B" w:rsidRDefault="00842BD3" w:rsidP="00842BD3">
      <w:pPr>
        <w:rPr>
          <w:rFonts w:cs="Arial"/>
          <w:b/>
        </w:rPr>
      </w:pPr>
    </w:p>
    <w:p w14:paraId="69E35954" w14:textId="77777777" w:rsidR="00842BD3" w:rsidRPr="00F1114B" w:rsidRDefault="00842BD3" w:rsidP="00842BD3">
      <w:pPr>
        <w:rPr>
          <w:rFonts w:cs="Arial"/>
          <w:color w:val="000000"/>
          <w:shd w:val="clear" w:color="auto" w:fill="FFFFFF"/>
        </w:rPr>
      </w:pPr>
      <w:r w:rsidRPr="00F1114B">
        <w:rPr>
          <w:rFonts w:cs="Arial"/>
          <w:bCs/>
          <w:color w:val="000000"/>
          <w:shd w:val="clear" w:color="auto" w:fill="FFFFFF"/>
        </w:rPr>
        <w:t>El artículo 136 del Código Contencioso Administrativo</w:t>
      </w:r>
      <w:r w:rsidRPr="00F1114B">
        <w:rPr>
          <w:rFonts w:cs="Arial"/>
          <w:b/>
          <w:bCs/>
          <w:color w:val="000000"/>
          <w:shd w:val="clear" w:color="auto" w:fill="FFFFFF"/>
        </w:rPr>
        <w:t xml:space="preserve">, </w:t>
      </w:r>
      <w:r w:rsidRPr="00F1114B">
        <w:rPr>
          <w:rFonts w:cs="Arial"/>
          <w:color w:val="000000"/>
          <w:shd w:val="clear" w:color="auto" w:fill="FFFFFF"/>
        </w:rPr>
        <w:t>modificado por el artículo 44 de la Ley 446 de 1998, estableció la siguiente regla para la caducidad de la acción contractual, en relación con los contratos sometidos a la liquidación:</w:t>
      </w:r>
    </w:p>
    <w:p w14:paraId="51E6D384" w14:textId="77777777" w:rsidR="00842BD3" w:rsidRPr="00F1114B" w:rsidRDefault="00842BD3" w:rsidP="00842BD3">
      <w:pPr>
        <w:shd w:val="clear" w:color="auto" w:fill="FFFFFF"/>
        <w:spacing w:line="276" w:lineRule="auto"/>
        <w:rPr>
          <w:rFonts w:cs="Arial"/>
          <w:i/>
          <w:color w:val="000000"/>
        </w:rPr>
      </w:pPr>
      <w:r w:rsidRPr="00F1114B">
        <w:rPr>
          <w:rFonts w:cs="Arial"/>
          <w:i/>
          <w:color w:val="000000"/>
        </w:rPr>
        <w:lastRenderedPageBreak/>
        <w:t>“10. En las relativas a contratos, el término de caducidad será de dos (2) años que se contará a partir del día siguiente a la ocurrencia de los motivos de hecho o de derecho que les sirvan de fundamento.</w:t>
      </w:r>
    </w:p>
    <w:p w14:paraId="1F4D4D4A" w14:textId="77777777" w:rsidR="00842BD3" w:rsidRPr="00F1114B" w:rsidRDefault="00842BD3" w:rsidP="00842BD3">
      <w:pPr>
        <w:shd w:val="clear" w:color="auto" w:fill="FFFFFF"/>
        <w:spacing w:line="276" w:lineRule="auto"/>
        <w:rPr>
          <w:rFonts w:cs="Arial"/>
          <w:i/>
          <w:color w:val="000000"/>
        </w:rPr>
      </w:pPr>
      <w:r w:rsidRPr="00F1114B">
        <w:rPr>
          <w:rFonts w:cs="Arial"/>
          <w:i/>
          <w:color w:val="000000"/>
        </w:rPr>
        <w:t>“En los siguientes contratos, el término de caducidad se contará así:</w:t>
      </w:r>
    </w:p>
    <w:p w14:paraId="739ADDA8" w14:textId="77777777" w:rsidR="00842BD3" w:rsidRPr="00F1114B" w:rsidRDefault="00842BD3" w:rsidP="00842BD3">
      <w:pPr>
        <w:shd w:val="clear" w:color="auto" w:fill="FFFFFF"/>
        <w:spacing w:line="276" w:lineRule="auto"/>
        <w:rPr>
          <w:rFonts w:cs="Arial"/>
          <w:color w:val="000000"/>
          <w:shd w:val="clear" w:color="auto" w:fill="FFFFFF"/>
        </w:rPr>
      </w:pPr>
      <w:r w:rsidRPr="00F1114B">
        <w:rPr>
          <w:rFonts w:cs="Arial"/>
          <w:color w:val="000000"/>
          <w:shd w:val="clear" w:color="auto" w:fill="FFFFFF"/>
        </w:rPr>
        <w:t>“(…).</w:t>
      </w:r>
    </w:p>
    <w:p w14:paraId="173664B4" w14:textId="77777777" w:rsidR="00842BD3" w:rsidRPr="00F1114B" w:rsidRDefault="00842BD3" w:rsidP="00842BD3">
      <w:pPr>
        <w:shd w:val="clear" w:color="auto" w:fill="FFFFFF"/>
        <w:spacing w:line="276" w:lineRule="auto"/>
        <w:rPr>
          <w:rFonts w:cs="Arial"/>
          <w:i/>
          <w:color w:val="000000"/>
        </w:rPr>
      </w:pPr>
      <w:r w:rsidRPr="00F1114B">
        <w:rPr>
          <w:rFonts w:cs="Arial"/>
          <w:color w:val="000000"/>
          <w:shd w:val="clear" w:color="auto" w:fill="FFFFFF"/>
        </w:rPr>
        <w:t>“</w:t>
      </w:r>
      <w:r w:rsidRPr="00F1114B">
        <w:rPr>
          <w:rFonts w:cs="Arial"/>
          <w:i/>
          <w:color w:val="000000"/>
          <w:shd w:val="clear" w:color="auto" w:fill="FFFFFF"/>
        </w:rPr>
        <w:t>d) En los que requieran de liquidación y ésta sea efectuada unilateralmente por la administración, a más tardar dentro de los dos (2) años, contados desde la ejecutoria del acto que la apruebe. 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w:t>
      </w:r>
    </w:p>
    <w:p w14:paraId="1CC20BCF" w14:textId="77777777" w:rsidR="00842BD3" w:rsidRPr="00F1114B" w:rsidRDefault="00842BD3" w:rsidP="00842BD3">
      <w:pPr>
        <w:rPr>
          <w:rFonts w:cs="Arial"/>
          <w:color w:val="000000"/>
          <w:shd w:val="clear" w:color="auto" w:fill="FFFFFF"/>
        </w:rPr>
      </w:pPr>
    </w:p>
    <w:p w14:paraId="5B4BC370" w14:textId="77777777" w:rsidR="00842BD3" w:rsidRPr="00F1114B" w:rsidRDefault="00842BD3" w:rsidP="00842BD3">
      <w:pPr>
        <w:rPr>
          <w:rFonts w:cs="Arial"/>
          <w:lang w:val="es-CO"/>
        </w:rPr>
      </w:pPr>
      <w:r w:rsidRPr="00F1114B">
        <w:rPr>
          <w:rFonts w:cs="Arial"/>
          <w:lang w:val="es-CO"/>
        </w:rPr>
        <w:t xml:space="preserve">En vigencia de la Ley 80 de 1993, la interpretación de la jurisprudencia sobre la anterior disposición ha sido reiterada en el sentido de que la caducidad de la acción contractual prevista en el numeral 10, literal d), del artículo 136 del Código Contencioso Administrativo, tratándose de contratos sometidos a liquidación, ocurre en el término de dos años contado a partir del vencimiento del plazo establecido contractual o legalmente para liquidar el contrato, escenario en el cual se agrega que el lapso para realizar dicha liquidación es: </w:t>
      </w:r>
      <w:r w:rsidRPr="00F1114B">
        <w:rPr>
          <w:rFonts w:cs="Arial"/>
          <w:b/>
          <w:lang w:val="es-CO"/>
        </w:rPr>
        <w:t>i)</w:t>
      </w:r>
      <w:r w:rsidRPr="00F1114B">
        <w:rPr>
          <w:rFonts w:cs="Arial"/>
          <w:lang w:val="es-CO"/>
        </w:rPr>
        <w:t xml:space="preserve"> para la liquidación bilateral, el que hubieran pactado las partes o, en su defecto, cuatro (4) meses, norma vigente por virtud del artículo 60 de la ley 80 de 1993 y </w:t>
      </w:r>
      <w:r w:rsidRPr="00F1114B">
        <w:rPr>
          <w:rFonts w:cs="Arial"/>
          <w:b/>
          <w:lang w:val="es-CO"/>
        </w:rPr>
        <w:t>ii)</w:t>
      </w:r>
      <w:r w:rsidRPr="00F1114B">
        <w:rPr>
          <w:rFonts w:cs="Arial"/>
          <w:lang w:val="es-CO"/>
        </w:rPr>
        <w:t xml:space="preserve"> para la liquidación unilateral, dos (2) meses siguientes al vencimiento del plazo anterior, de acuerdo con lo dispuesto por el citado artículo 136.</w:t>
      </w:r>
    </w:p>
    <w:p w14:paraId="04958538" w14:textId="77777777" w:rsidR="00842BD3" w:rsidRPr="00F1114B" w:rsidRDefault="00842BD3" w:rsidP="00842BD3">
      <w:pPr>
        <w:tabs>
          <w:tab w:val="left" w:pos="7797"/>
        </w:tabs>
        <w:rPr>
          <w:rFonts w:cs="Arial"/>
          <w:lang w:val="es-MX"/>
        </w:rPr>
      </w:pPr>
    </w:p>
    <w:p w14:paraId="77246D89" w14:textId="77777777" w:rsidR="00842BD3" w:rsidRPr="00F1114B" w:rsidRDefault="00842BD3" w:rsidP="00842BD3">
      <w:pPr>
        <w:tabs>
          <w:tab w:val="left" w:pos="7797"/>
        </w:tabs>
        <w:rPr>
          <w:rFonts w:cs="Arial"/>
          <w:lang w:val="es-MX"/>
        </w:rPr>
      </w:pPr>
      <w:r w:rsidRPr="00F1114B">
        <w:rPr>
          <w:rFonts w:cs="Arial"/>
          <w:lang w:val="es-MX"/>
        </w:rPr>
        <w:t xml:space="preserve">En el caso concreto se observa que el contrato </w:t>
      </w:r>
      <w:r w:rsidRPr="00F1114B">
        <w:rPr>
          <w:rFonts w:cs="Arial"/>
          <w:i/>
          <w:lang w:val="es-MX"/>
        </w:rPr>
        <w:t>sub júdice</w:t>
      </w:r>
      <w:r w:rsidRPr="00F1114B">
        <w:rPr>
          <w:rFonts w:cs="Arial"/>
          <w:lang w:val="es-MX"/>
        </w:rPr>
        <w:t xml:space="preserve"> era de tracto sucesivo, toda vez que las prestaciones pactadas se debían cumplir a través del tiempo establecido para su duración y, por  tanto, se encontraba sometido a liquidación, en los términos del artículo 60 de la Ley 80 de 1993</w:t>
      </w:r>
      <w:r w:rsidRPr="00F1114B">
        <w:rPr>
          <w:rStyle w:val="Refdenotaalpie"/>
          <w:rFonts w:cs="Arial"/>
          <w:lang w:val="es-MX"/>
        </w:rPr>
        <w:footnoteReference w:id="27"/>
      </w:r>
      <w:r w:rsidRPr="00F1114B">
        <w:rPr>
          <w:rFonts w:cs="Arial"/>
          <w:lang w:val="es-MX"/>
        </w:rPr>
        <w:t xml:space="preserve"> y del ya citado artículo 136 del Código Contencioso Administrativo.  </w:t>
      </w:r>
    </w:p>
    <w:p w14:paraId="4B8B29D0" w14:textId="77777777" w:rsidR="00842BD3" w:rsidRPr="00F1114B" w:rsidRDefault="00842BD3" w:rsidP="00842BD3">
      <w:pPr>
        <w:tabs>
          <w:tab w:val="left" w:pos="7797"/>
        </w:tabs>
        <w:rPr>
          <w:rFonts w:cs="Arial"/>
          <w:lang w:val="es-MX"/>
        </w:rPr>
      </w:pPr>
    </w:p>
    <w:p w14:paraId="34CFF2F2" w14:textId="77777777" w:rsidR="00842BD3" w:rsidRPr="00F1114B" w:rsidRDefault="00842BD3" w:rsidP="00842BD3">
      <w:pPr>
        <w:tabs>
          <w:tab w:val="left" w:pos="7797"/>
        </w:tabs>
        <w:rPr>
          <w:rFonts w:cs="Arial"/>
          <w:lang w:val="es-MX"/>
        </w:rPr>
      </w:pPr>
      <w:r w:rsidRPr="00F1114B">
        <w:rPr>
          <w:rFonts w:cs="Arial"/>
          <w:lang w:val="es-MX"/>
        </w:rPr>
        <w:t xml:space="preserve">Según el contrato </w:t>
      </w:r>
      <w:r w:rsidRPr="00F1114B">
        <w:rPr>
          <w:rFonts w:cs="Arial"/>
          <w:i/>
          <w:lang w:val="es-MX"/>
        </w:rPr>
        <w:t>sub júdice</w:t>
      </w:r>
      <w:r w:rsidRPr="00F1114B">
        <w:rPr>
          <w:rFonts w:cs="Arial"/>
          <w:lang w:val="es-MX"/>
        </w:rPr>
        <w:t xml:space="preserve">, existió un plazo de cuatro (4) meses para la liquidación bilateral –dado que así lo estipularon las partes- y dos (2) meses a partir del vencimiento del anterior, establecido para la liquidación unilateral del contrato. </w:t>
      </w:r>
    </w:p>
    <w:p w14:paraId="28A7F459" w14:textId="77777777" w:rsidR="00842BD3" w:rsidRPr="00F1114B" w:rsidRDefault="00842BD3" w:rsidP="00842BD3">
      <w:pPr>
        <w:tabs>
          <w:tab w:val="left" w:pos="7797"/>
        </w:tabs>
        <w:rPr>
          <w:rFonts w:cs="Arial"/>
          <w:lang w:val="es-MX"/>
        </w:rPr>
      </w:pPr>
    </w:p>
    <w:p w14:paraId="4E55CA48" w14:textId="77777777" w:rsidR="00842BD3" w:rsidRPr="00F1114B" w:rsidRDefault="00842BD3" w:rsidP="00842BD3">
      <w:pPr>
        <w:tabs>
          <w:tab w:val="left" w:pos="7797"/>
        </w:tabs>
        <w:rPr>
          <w:rFonts w:cs="Arial"/>
          <w:lang w:val="es-MX"/>
        </w:rPr>
      </w:pPr>
      <w:r w:rsidRPr="00F1114B">
        <w:rPr>
          <w:rFonts w:cs="Arial"/>
          <w:lang w:val="es-MX"/>
        </w:rPr>
        <w:t>En efecto, en la cláusula vigésima del Contrato de Consultoría No. 091 de 2004 se estipuló el plazo para la liquidación del contrato, en la siguiente forma:</w:t>
      </w:r>
    </w:p>
    <w:p w14:paraId="4C3DFEBA" w14:textId="77777777" w:rsidR="00842BD3" w:rsidRPr="00F1114B" w:rsidRDefault="00842BD3" w:rsidP="00842BD3">
      <w:pPr>
        <w:tabs>
          <w:tab w:val="left" w:pos="7797"/>
        </w:tabs>
        <w:rPr>
          <w:rFonts w:cs="Arial"/>
          <w:lang w:val="es-MX"/>
        </w:rPr>
      </w:pPr>
    </w:p>
    <w:p w14:paraId="016205DB" w14:textId="77777777" w:rsidR="00842BD3" w:rsidRPr="00F1114B" w:rsidRDefault="00842BD3" w:rsidP="00842BD3">
      <w:pPr>
        <w:tabs>
          <w:tab w:val="left" w:pos="7797"/>
        </w:tabs>
        <w:spacing w:line="276" w:lineRule="auto"/>
        <w:rPr>
          <w:rFonts w:cs="Arial"/>
          <w:i/>
          <w:lang w:val="es-MX"/>
        </w:rPr>
      </w:pPr>
      <w:r w:rsidRPr="00F1114B">
        <w:rPr>
          <w:rFonts w:cs="Arial"/>
          <w:lang w:val="es-MX"/>
        </w:rPr>
        <w:t>“</w:t>
      </w:r>
      <w:r w:rsidRPr="00F1114B">
        <w:rPr>
          <w:rFonts w:cs="Arial"/>
          <w:i/>
          <w:lang w:val="es-MX"/>
        </w:rPr>
        <w:t xml:space="preserve">VIGÉSIMA: LIQUIDACIÓN DEL CONTRATO: Dentro </w:t>
      </w:r>
      <w:r w:rsidRPr="00F1114B">
        <w:rPr>
          <w:rFonts w:cs="Arial"/>
          <w:b/>
          <w:i/>
          <w:lang w:val="es-MX"/>
        </w:rPr>
        <w:t>del término de cuatro (4) meses contados desde la fecha de finalización del contrato</w:t>
      </w:r>
      <w:r w:rsidRPr="00F1114B">
        <w:rPr>
          <w:rFonts w:cs="Arial"/>
          <w:i/>
          <w:lang w:val="es-MX"/>
        </w:rPr>
        <w:t xml:space="preserve">, o de la fecha de expedición del acto que ordene la terminación </w:t>
      </w:r>
      <w:r w:rsidRPr="00F1114B">
        <w:rPr>
          <w:rFonts w:cs="Arial"/>
          <w:b/>
          <w:i/>
          <w:lang w:val="es-MX"/>
        </w:rPr>
        <w:t>o de la fecha del acuerdo que lo disponga</w:t>
      </w:r>
      <w:r w:rsidRPr="00F1114B">
        <w:rPr>
          <w:rFonts w:cs="Arial"/>
          <w:i/>
          <w:lang w:val="es-MX"/>
        </w:rPr>
        <w:t xml:space="preserve">, el contratista y el interventor suscribirán un acta de liquidación en donde se incluirá el estado contable del contrato, el valor final del mismo, los datos de la garantía única con sus respectivos amparos y vigencias, así como la certificación del cumplimiento  por parte del contratista de las obligaciones adquiridas por el” </w:t>
      </w:r>
      <w:r w:rsidRPr="00F1114B">
        <w:rPr>
          <w:rFonts w:cs="Arial"/>
          <w:lang w:val="es-MX"/>
        </w:rPr>
        <w:t>(la negrilla no es del texto).</w:t>
      </w:r>
    </w:p>
    <w:p w14:paraId="288765B2" w14:textId="77777777" w:rsidR="00842BD3" w:rsidRPr="00F1114B" w:rsidRDefault="00842BD3" w:rsidP="00842BD3">
      <w:pPr>
        <w:tabs>
          <w:tab w:val="left" w:pos="7797"/>
        </w:tabs>
        <w:rPr>
          <w:rFonts w:cs="Arial"/>
          <w:lang w:val="es-MX"/>
        </w:rPr>
      </w:pPr>
    </w:p>
    <w:p w14:paraId="6D552DE9" w14:textId="77777777" w:rsidR="00842BD3" w:rsidRPr="00F1114B" w:rsidRDefault="00842BD3" w:rsidP="00842BD3">
      <w:pPr>
        <w:tabs>
          <w:tab w:val="left" w:pos="7797"/>
        </w:tabs>
        <w:rPr>
          <w:rFonts w:cs="Arial"/>
          <w:lang w:val="es-MX"/>
        </w:rPr>
      </w:pPr>
      <w:r w:rsidRPr="00F1114B">
        <w:rPr>
          <w:rFonts w:cs="Arial"/>
          <w:lang w:val="es-MX"/>
        </w:rPr>
        <w:t xml:space="preserve">En la cláusula citada se aprecia que el término de cuatro meses referido en el contrato </w:t>
      </w:r>
      <w:r w:rsidRPr="00F1114B">
        <w:rPr>
          <w:rFonts w:cs="Arial"/>
          <w:i/>
          <w:lang w:val="es-MX"/>
        </w:rPr>
        <w:t>sub júdice</w:t>
      </w:r>
      <w:r w:rsidRPr="00F1114B">
        <w:rPr>
          <w:rFonts w:cs="Arial"/>
          <w:lang w:val="es-MX"/>
        </w:rPr>
        <w:t xml:space="preserve"> corrió a partir del vencimiento del plazo de ejecución del mismo, puesto que no puede interpretarse el uso de la palabra </w:t>
      </w:r>
      <w:r w:rsidRPr="00F1114B">
        <w:rPr>
          <w:rFonts w:cs="Arial"/>
          <w:i/>
          <w:lang w:val="es-MX"/>
        </w:rPr>
        <w:t>“finalización”</w:t>
      </w:r>
      <w:r w:rsidRPr="00F1114B">
        <w:rPr>
          <w:rFonts w:cs="Arial"/>
          <w:lang w:val="es-MX"/>
        </w:rPr>
        <w:t xml:space="preserve"> como inclusivo de la etapa de liquidación, toda vez que el contrato no podía liquidarse antes de su terminación. En ese sentido, se entiende que a partir de la </w:t>
      </w:r>
      <w:r w:rsidRPr="00F1114B">
        <w:rPr>
          <w:rFonts w:cs="Arial"/>
          <w:i/>
          <w:lang w:val="es-MX"/>
        </w:rPr>
        <w:t xml:space="preserve">“finalización” </w:t>
      </w:r>
      <w:r w:rsidRPr="00F1114B">
        <w:rPr>
          <w:rFonts w:cs="Arial"/>
          <w:lang w:val="es-MX"/>
        </w:rPr>
        <w:t xml:space="preserve">– terminación del plazo de ejecución - procedió la etapa de liquidación cuya duración era de cuatro meses, de conformidad con lo estipulado por las partes en la cláusula vigésima. </w:t>
      </w:r>
    </w:p>
    <w:p w14:paraId="77CF3D96" w14:textId="77777777" w:rsidR="00842BD3" w:rsidRPr="00F1114B" w:rsidRDefault="00842BD3" w:rsidP="00842BD3">
      <w:pPr>
        <w:tabs>
          <w:tab w:val="left" w:pos="7797"/>
        </w:tabs>
        <w:rPr>
          <w:rFonts w:cs="Arial"/>
          <w:lang w:val="es-MX"/>
        </w:rPr>
      </w:pPr>
    </w:p>
    <w:p w14:paraId="647AA857" w14:textId="77777777" w:rsidR="00842BD3" w:rsidRPr="00F1114B" w:rsidRDefault="00842BD3" w:rsidP="00842BD3">
      <w:pPr>
        <w:tabs>
          <w:tab w:val="left" w:pos="7797"/>
        </w:tabs>
        <w:rPr>
          <w:rFonts w:cs="Arial"/>
          <w:lang w:val="es-MX"/>
        </w:rPr>
      </w:pPr>
      <w:r w:rsidRPr="00F1114B">
        <w:rPr>
          <w:rFonts w:cs="Arial"/>
          <w:lang w:val="es-MX"/>
        </w:rPr>
        <w:t>Para reafirmar esta interpretación puede traerse a colación el análisis de cláusulas similares a la citada, realizado por la jurisprudencia de la Sección Tercera del Consejo de Estado, en el cual se ha considerado que es factible distinguir entre el término de ejecución del contrato y el de su vigencia</w:t>
      </w:r>
      <w:r w:rsidRPr="00F1114B">
        <w:rPr>
          <w:rStyle w:val="Refdenotaalpie"/>
          <w:rFonts w:cs="Arial"/>
          <w:lang w:val="es-MX"/>
        </w:rPr>
        <w:footnoteReference w:id="28"/>
      </w:r>
      <w:r w:rsidRPr="00F1114B">
        <w:rPr>
          <w:rFonts w:cs="Arial"/>
          <w:lang w:val="es-MX"/>
        </w:rPr>
        <w:t>.</w:t>
      </w:r>
    </w:p>
    <w:p w14:paraId="5098ED64" w14:textId="77777777" w:rsidR="00842BD3" w:rsidRPr="00F1114B" w:rsidRDefault="00842BD3" w:rsidP="00842BD3">
      <w:pPr>
        <w:tabs>
          <w:tab w:val="left" w:pos="7797"/>
        </w:tabs>
        <w:rPr>
          <w:rFonts w:cs="Arial"/>
          <w:lang w:val="es-MX"/>
        </w:rPr>
      </w:pPr>
    </w:p>
    <w:p w14:paraId="15D802BA" w14:textId="77777777" w:rsidR="00842BD3" w:rsidRPr="00F1114B" w:rsidRDefault="00842BD3" w:rsidP="00842BD3">
      <w:pPr>
        <w:tabs>
          <w:tab w:val="left" w:pos="7797"/>
        </w:tabs>
        <w:rPr>
          <w:rFonts w:cs="Arial"/>
          <w:lang w:val="es-MX"/>
        </w:rPr>
      </w:pPr>
      <w:r w:rsidRPr="00F1114B">
        <w:rPr>
          <w:rFonts w:cs="Arial"/>
          <w:lang w:val="es-MX"/>
        </w:rPr>
        <w:t>Como conclusión de lo indicado, para el cómputo de la caducidad de la acción se debe establecer la fecha de terminación del contrato, en orden a realizar, a partir de allí, el conteo de los plazos para liquidar el contrato (bilateral y unilateralmente), vencidos los cuales se debe computar el término de dos años, fijado en el artículo 136 del C.C.A.</w:t>
      </w:r>
    </w:p>
    <w:p w14:paraId="1AED548B" w14:textId="77777777" w:rsidR="00842BD3" w:rsidRPr="00F1114B" w:rsidRDefault="00842BD3" w:rsidP="00842BD3">
      <w:pPr>
        <w:tabs>
          <w:tab w:val="left" w:pos="7797"/>
        </w:tabs>
        <w:rPr>
          <w:rFonts w:cs="Arial"/>
          <w:b/>
          <w:lang w:val="es-MX"/>
        </w:rPr>
      </w:pPr>
    </w:p>
    <w:p w14:paraId="1DD10A1A" w14:textId="77777777" w:rsidR="00842BD3" w:rsidRPr="00F1114B" w:rsidRDefault="00842BD3" w:rsidP="00842BD3">
      <w:pPr>
        <w:tabs>
          <w:tab w:val="left" w:pos="7797"/>
        </w:tabs>
        <w:rPr>
          <w:rFonts w:cs="Arial"/>
          <w:b/>
          <w:lang w:val="es-MX"/>
        </w:rPr>
      </w:pPr>
      <w:r w:rsidRPr="00F1114B">
        <w:rPr>
          <w:rFonts w:cs="Arial"/>
          <w:b/>
          <w:lang w:val="es-MX"/>
        </w:rPr>
        <w:t>4. El cómputo de la caducidad de la acción en el caso concreto</w:t>
      </w:r>
    </w:p>
    <w:p w14:paraId="777D445C" w14:textId="77777777" w:rsidR="00842BD3" w:rsidRPr="00F1114B" w:rsidRDefault="00842BD3" w:rsidP="00842BD3">
      <w:pPr>
        <w:tabs>
          <w:tab w:val="left" w:pos="7797"/>
        </w:tabs>
        <w:rPr>
          <w:rFonts w:cs="Arial"/>
          <w:lang w:val="es-MX"/>
        </w:rPr>
      </w:pPr>
    </w:p>
    <w:p w14:paraId="1BB4711D" w14:textId="77777777" w:rsidR="00842BD3" w:rsidRPr="00F1114B" w:rsidRDefault="00842BD3" w:rsidP="00842BD3">
      <w:pPr>
        <w:pStyle w:val="Lista4"/>
        <w:ind w:left="0" w:firstLine="0"/>
        <w:rPr>
          <w:rFonts w:cs="Arial"/>
        </w:rPr>
      </w:pPr>
      <w:r w:rsidRPr="00F1114B">
        <w:rPr>
          <w:rFonts w:cs="Arial"/>
        </w:rPr>
        <w:lastRenderedPageBreak/>
        <w:t>El demandante allegó copia auténtica de los siguientes documentos que resultan básicos para el cómputo de la caducidad de la acción, dado que allí se observa con claridad que la fecha final de ejecución del Contrato 091 se prolongó hasta el 24 de enero de 2007, según se aprecia en la siguiente relación de documentos:</w:t>
      </w:r>
    </w:p>
    <w:p w14:paraId="74642A64" w14:textId="77777777" w:rsidR="00842BD3" w:rsidRPr="00F1114B" w:rsidRDefault="00842BD3" w:rsidP="00842BD3">
      <w:pPr>
        <w:pStyle w:val="Lista4"/>
        <w:ind w:left="0" w:firstLine="0"/>
        <w:rPr>
          <w:rFonts w:cs="Arial"/>
          <w:b/>
        </w:rPr>
      </w:pPr>
    </w:p>
    <w:p w14:paraId="41BB3BC2" w14:textId="77777777" w:rsidR="00842BD3" w:rsidRPr="00F1114B" w:rsidRDefault="00842BD3" w:rsidP="00842BD3">
      <w:pPr>
        <w:pStyle w:val="Lista4"/>
        <w:ind w:left="0" w:firstLine="0"/>
        <w:rPr>
          <w:rFonts w:cs="Arial"/>
        </w:rPr>
      </w:pPr>
      <w:r w:rsidRPr="00F1114B">
        <w:rPr>
          <w:rFonts w:cs="Arial"/>
          <w:b/>
        </w:rPr>
        <w:t>4.1.</w:t>
      </w:r>
      <w:r w:rsidRPr="00F1114B">
        <w:rPr>
          <w:rFonts w:cs="Arial"/>
        </w:rPr>
        <w:t xml:space="preserve"> Contrato de Consultoría 091 de 13 de septiembre de 2004, el cual tuvo por objeto la </w:t>
      </w:r>
      <w:r w:rsidRPr="00F1114B">
        <w:rPr>
          <w:rFonts w:cs="Arial"/>
          <w:i/>
        </w:rPr>
        <w:t>“realización de la consultoría del diseño de reforzamiento estructural, ajustando la sede a los estándares mínimos de la SECRETARÍA DE EDUCACIÓN en las edificaciones existentes como de las nuevas que se requieran para la siguientes instituciones educativas</w:t>
      </w:r>
      <w:r w:rsidRPr="00F1114B">
        <w:rPr>
          <w:rFonts w:cs="Arial"/>
        </w:rPr>
        <w:t>”</w:t>
      </w:r>
      <w:r w:rsidRPr="00F1114B">
        <w:rPr>
          <w:rStyle w:val="Refdenotaalpie"/>
          <w:rFonts w:cs="Arial"/>
        </w:rPr>
        <w:footnoteReference w:id="29"/>
      </w:r>
      <w:r w:rsidRPr="00F1114B">
        <w:rPr>
          <w:rFonts w:cs="Arial"/>
        </w:rPr>
        <w:t xml:space="preserve">: Puerta de Teja, Versalles, Antonio Nariño, Palestina, La Candelaria, San Carlos y Nuevo Tunjuelito. </w:t>
      </w:r>
    </w:p>
    <w:p w14:paraId="46F05E03" w14:textId="77777777" w:rsidR="00842BD3" w:rsidRPr="00F1114B" w:rsidRDefault="00842BD3" w:rsidP="00842BD3">
      <w:pPr>
        <w:pStyle w:val="Lista4"/>
        <w:ind w:left="0" w:firstLine="0"/>
        <w:rPr>
          <w:rFonts w:cs="Arial"/>
        </w:rPr>
      </w:pPr>
    </w:p>
    <w:p w14:paraId="0E537F72" w14:textId="77777777" w:rsidR="00842BD3" w:rsidRPr="00F1114B" w:rsidRDefault="00842BD3" w:rsidP="00842BD3">
      <w:pPr>
        <w:pStyle w:val="Lista4"/>
        <w:ind w:left="0" w:firstLine="0"/>
        <w:rPr>
          <w:rFonts w:cs="Arial"/>
        </w:rPr>
      </w:pPr>
      <w:r w:rsidRPr="00F1114B">
        <w:rPr>
          <w:rFonts w:cs="Arial"/>
        </w:rPr>
        <w:t xml:space="preserve">El plazo de ejecución del contrato se fijó inicialmente en ciento ochenta (180) días, de acuerdo con la cláusula sexta, en la cual se dispuso: </w:t>
      </w:r>
    </w:p>
    <w:p w14:paraId="344CF089" w14:textId="77777777" w:rsidR="00842BD3" w:rsidRPr="00F1114B" w:rsidRDefault="00842BD3" w:rsidP="00842BD3">
      <w:pPr>
        <w:pStyle w:val="Lista4"/>
        <w:spacing w:line="276" w:lineRule="auto"/>
        <w:ind w:left="0" w:firstLine="0"/>
        <w:rPr>
          <w:rFonts w:cs="Arial"/>
        </w:rPr>
      </w:pPr>
    </w:p>
    <w:p w14:paraId="06B4937C" w14:textId="77777777" w:rsidR="00842BD3" w:rsidRPr="00F1114B" w:rsidRDefault="00842BD3" w:rsidP="00842BD3">
      <w:pPr>
        <w:pStyle w:val="Lista4"/>
        <w:spacing w:line="276" w:lineRule="auto"/>
        <w:ind w:left="0" w:firstLine="0"/>
        <w:rPr>
          <w:rFonts w:cs="Arial"/>
          <w:i/>
        </w:rPr>
      </w:pPr>
      <w:r w:rsidRPr="00F1114B">
        <w:rPr>
          <w:rFonts w:cs="Arial"/>
          <w:i/>
        </w:rPr>
        <w:t>“CLÁUSULA SEXTA. PLAZO DE EJECUCIÓN: El plazo de ejecución del contrato será de 180 días calendario, contados a ´partir de la fecha de suscripción del acta de inicio suscrita entre el contratista y el interventor designado por la Secretaría de Educación, desglosado de la siguiente manera (…)” (</w:t>
      </w:r>
      <w:r w:rsidRPr="00F1114B">
        <w:rPr>
          <w:rFonts w:cs="Arial"/>
        </w:rPr>
        <w:t>aquí se insertó el cuadro con la relación de áreas de cada una de las IED, en el cual se destacan las columnas de “</w:t>
      </w:r>
      <w:r w:rsidRPr="00F1114B">
        <w:rPr>
          <w:rFonts w:cs="Arial"/>
          <w:i/>
        </w:rPr>
        <w:t>PLAZO DISEÑOS 90 días calendario y TRÁMITE LICENCIAS: 90 días calendario</w:t>
      </w:r>
      <w:r w:rsidRPr="00F1114B">
        <w:rPr>
          <w:rFonts w:cs="Arial"/>
        </w:rPr>
        <w:t>”)</w:t>
      </w:r>
      <w:r w:rsidRPr="00F1114B">
        <w:rPr>
          <w:rStyle w:val="Refdenotaalpie"/>
          <w:rFonts w:cs="Arial"/>
        </w:rPr>
        <w:footnoteReference w:id="30"/>
      </w:r>
      <w:r w:rsidRPr="00F1114B">
        <w:rPr>
          <w:rFonts w:cs="Arial"/>
        </w:rPr>
        <w:t>.</w:t>
      </w:r>
    </w:p>
    <w:p w14:paraId="588ABC1C" w14:textId="77777777" w:rsidR="00842BD3" w:rsidRPr="00F1114B" w:rsidRDefault="00842BD3" w:rsidP="00842BD3">
      <w:pPr>
        <w:pStyle w:val="Lista4"/>
        <w:ind w:left="0" w:firstLine="0"/>
        <w:rPr>
          <w:rFonts w:cs="Arial"/>
        </w:rPr>
      </w:pPr>
      <w:r w:rsidRPr="00F1114B">
        <w:rPr>
          <w:rFonts w:cs="Arial"/>
        </w:rPr>
        <w:t xml:space="preserve"> </w:t>
      </w:r>
    </w:p>
    <w:p w14:paraId="5D5F63A0" w14:textId="77777777" w:rsidR="00842BD3" w:rsidRPr="00F1114B" w:rsidRDefault="00842BD3" w:rsidP="00842BD3">
      <w:pPr>
        <w:pStyle w:val="Lista4"/>
        <w:ind w:left="0" w:firstLine="0"/>
        <w:rPr>
          <w:rFonts w:cs="Arial"/>
        </w:rPr>
      </w:pPr>
      <w:r w:rsidRPr="00F1114B">
        <w:rPr>
          <w:rFonts w:cs="Arial"/>
          <w:b/>
        </w:rPr>
        <w:t>4.2.</w:t>
      </w:r>
      <w:r w:rsidRPr="00F1114B">
        <w:rPr>
          <w:rFonts w:cs="Arial"/>
        </w:rPr>
        <w:t xml:space="preserve"> El acta de iniciación suscrita el de 23 de septiembre de 2004</w:t>
      </w:r>
      <w:r w:rsidRPr="00F1114B">
        <w:rPr>
          <w:rStyle w:val="Refdenotaalpie"/>
          <w:rFonts w:cs="Arial"/>
        </w:rPr>
        <w:footnoteReference w:id="31"/>
      </w:r>
      <w:r w:rsidRPr="00F1114B">
        <w:rPr>
          <w:rFonts w:cs="Arial"/>
        </w:rPr>
        <w:t>.</w:t>
      </w:r>
    </w:p>
    <w:p w14:paraId="2F7DC8B8" w14:textId="77777777" w:rsidR="00842BD3" w:rsidRPr="00F1114B" w:rsidRDefault="00842BD3" w:rsidP="00842BD3">
      <w:pPr>
        <w:pStyle w:val="Lista4"/>
        <w:ind w:left="0" w:firstLine="0"/>
        <w:rPr>
          <w:rFonts w:cs="Arial"/>
        </w:rPr>
      </w:pPr>
    </w:p>
    <w:p w14:paraId="0789FB49" w14:textId="77777777" w:rsidR="00842BD3" w:rsidRPr="00F1114B" w:rsidRDefault="00842BD3" w:rsidP="00842BD3">
      <w:pPr>
        <w:pStyle w:val="Lista4"/>
        <w:ind w:left="0" w:firstLine="0"/>
        <w:rPr>
          <w:rFonts w:cs="Arial"/>
        </w:rPr>
      </w:pPr>
      <w:r w:rsidRPr="00F1114B">
        <w:rPr>
          <w:rFonts w:cs="Arial"/>
          <w:b/>
        </w:rPr>
        <w:t>4.3.</w:t>
      </w:r>
      <w:r w:rsidRPr="00F1114B">
        <w:rPr>
          <w:rFonts w:cs="Arial"/>
        </w:rPr>
        <w:t xml:space="preserve"> Acta de suspensión No. 1, por 60 días calendario, correspondiente al </w:t>
      </w:r>
      <w:r w:rsidRPr="00F1114B">
        <w:rPr>
          <w:rFonts w:cs="Arial"/>
          <w:i/>
        </w:rPr>
        <w:t>“FRENTE DE TRABAJO IED SAN CARLOS”</w:t>
      </w:r>
      <w:r w:rsidRPr="00F1114B">
        <w:rPr>
          <w:rFonts w:cs="Arial"/>
        </w:rPr>
        <w:t>, suscrita el 20 de diciembre de 2004.</w:t>
      </w:r>
    </w:p>
    <w:p w14:paraId="5379DB16" w14:textId="77777777" w:rsidR="00842BD3" w:rsidRPr="00F1114B" w:rsidRDefault="00842BD3" w:rsidP="00842BD3">
      <w:pPr>
        <w:pStyle w:val="Lista4"/>
        <w:ind w:left="0" w:firstLine="0"/>
        <w:rPr>
          <w:rFonts w:cs="Arial"/>
        </w:rPr>
      </w:pPr>
    </w:p>
    <w:p w14:paraId="04D6C458" w14:textId="77777777" w:rsidR="00842BD3" w:rsidRPr="00F1114B" w:rsidRDefault="00842BD3" w:rsidP="00842BD3">
      <w:pPr>
        <w:pStyle w:val="Lista4"/>
        <w:ind w:left="0" w:firstLine="0"/>
        <w:rPr>
          <w:rFonts w:cs="Arial"/>
        </w:rPr>
      </w:pPr>
      <w:r w:rsidRPr="00F1114B">
        <w:rPr>
          <w:rFonts w:cs="Arial"/>
          <w:b/>
        </w:rPr>
        <w:t>4.4.</w:t>
      </w:r>
      <w:r w:rsidRPr="00F1114B">
        <w:rPr>
          <w:rFonts w:cs="Arial"/>
        </w:rPr>
        <w:t xml:space="preserve"> Prórroga del acta de suspensión suscrita el 17 de febrero de 2005</w:t>
      </w:r>
      <w:r w:rsidRPr="00F1114B">
        <w:rPr>
          <w:rStyle w:val="Refdenotaalpie"/>
          <w:rFonts w:cs="Arial"/>
        </w:rPr>
        <w:footnoteReference w:id="32"/>
      </w:r>
      <w:r w:rsidRPr="00F1114B">
        <w:rPr>
          <w:rFonts w:cs="Arial"/>
        </w:rPr>
        <w:t>.</w:t>
      </w:r>
    </w:p>
    <w:p w14:paraId="3E372648" w14:textId="77777777" w:rsidR="00842BD3" w:rsidRPr="00F1114B" w:rsidRDefault="00842BD3" w:rsidP="00842BD3">
      <w:pPr>
        <w:pStyle w:val="Lista4"/>
        <w:ind w:left="0" w:firstLine="0"/>
        <w:rPr>
          <w:rFonts w:cs="Arial"/>
        </w:rPr>
      </w:pPr>
    </w:p>
    <w:p w14:paraId="64C4687A" w14:textId="77777777" w:rsidR="00842BD3" w:rsidRPr="00F1114B" w:rsidRDefault="00842BD3" w:rsidP="00842BD3">
      <w:pPr>
        <w:pStyle w:val="Lista4"/>
        <w:ind w:left="0" w:firstLine="0"/>
        <w:rPr>
          <w:rFonts w:cs="Arial"/>
        </w:rPr>
      </w:pPr>
      <w:r w:rsidRPr="00F1114B">
        <w:rPr>
          <w:rFonts w:cs="Arial"/>
          <w:b/>
        </w:rPr>
        <w:t>4.5.</w:t>
      </w:r>
      <w:r w:rsidRPr="00F1114B">
        <w:rPr>
          <w:rFonts w:cs="Arial"/>
        </w:rPr>
        <w:t xml:space="preserve"> Acta de suspensión No. 2 de 18 de marzo de 2005, referida a los frentes de Puerta de Teja, Versalles, Antonio Nariño, Palestina, La Candelaria y Nuevo Tunjuelito</w:t>
      </w:r>
      <w:r w:rsidRPr="00F1114B">
        <w:rPr>
          <w:rStyle w:val="Refdenotaalpie"/>
          <w:rFonts w:cs="Arial"/>
        </w:rPr>
        <w:footnoteReference w:id="33"/>
      </w:r>
      <w:r w:rsidRPr="00F1114B">
        <w:rPr>
          <w:rFonts w:cs="Arial"/>
        </w:rPr>
        <w:t xml:space="preserve">. </w:t>
      </w:r>
    </w:p>
    <w:p w14:paraId="5DE905BB" w14:textId="77777777" w:rsidR="00842BD3" w:rsidRPr="00F1114B" w:rsidRDefault="00842BD3" w:rsidP="00842BD3">
      <w:pPr>
        <w:pStyle w:val="Lista4"/>
        <w:ind w:left="0" w:firstLine="0"/>
        <w:rPr>
          <w:rFonts w:cs="Arial"/>
        </w:rPr>
      </w:pPr>
    </w:p>
    <w:p w14:paraId="4F8DC8F9" w14:textId="77777777" w:rsidR="00842BD3" w:rsidRPr="00F1114B" w:rsidRDefault="00842BD3" w:rsidP="00842BD3">
      <w:pPr>
        <w:pStyle w:val="Lista4"/>
        <w:ind w:left="0" w:firstLine="0"/>
        <w:rPr>
          <w:rFonts w:cs="Arial"/>
        </w:rPr>
      </w:pPr>
      <w:r w:rsidRPr="00F1114B">
        <w:rPr>
          <w:rFonts w:cs="Arial"/>
          <w:b/>
        </w:rPr>
        <w:t>4.6.</w:t>
      </w:r>
      <w:r w:rsidRPr="00F1114B">
        <w:rPr>
          <w:rFonts w:cs="Arial"/>
        </w:rPr>
        <w:t xml:space="preserve"> Acta de reiniciación No. 2 de 18 de abril de 2005, referida al </w:t>
      </w:r>
      <w:r w:rsidRPr="00F1114B">
        <w:rPr>
          <w:rFonts w:cs="Arial"/>
          <w:i/>
        </w:rPr>
        <w:t>“frente de trabajo IED SAN CARLOS”</w:t>
      </w:r>
      <w:r w:rsidRPr="00F1114B">
        <w:rPr>
          <w:rFonts w:cs="Arial"/>
        </w:rPr>
        <w:t>, en la cual se dejó constancia de un tiempo de suspensión de 120 días calendario y se indicó como fecha de terminación del contrato, en la casilla correspondiente, el 19 de julio de 2005.</w:t>
      </w:r>
    </w:p>
    <w:p w14:paraId="0D63E3D5" w14:textId="77777777" w:rsidR="00842BD3" w:rsidRPr="00F1114B" w:rsidRDefault="00842BD3" w:rsidP="00842BD3">
      <w:pPr>
        <w:pStyle w:val="Lista4"/>
        <w:ind w:left="0" w:firstLine="0"/>
        <w:rPr>
          <w:rFonts w:cs="Arial"/>
        </w:rPr>
      </w:pPr>
    </w:p>
    <w:p w14:paraId="4C282105" w14:textId="77777777" w:rsidR="00842BD3" w:rsidRPr="00F1114B" w:rsidRDefault="00842BD3" w:rsidP="00842BD3">
      <w:pPr>
        <w:pStyle w:val="Lista4"/>
        <w:ind w:left="0" w:firstLine="0"/>
        <w:rPr>
          <w:rFonts w:cs="Arial"/>
        </w:rPr>
      </w:pPr>
      <w:r w:rsidRPr="00F1114B">
        <w:rPr>
          <w:rFonts w:cs="Arial"/>
          <w:b/>
        </w:rPr>
        <w:t>4.7.</w:t>
      </w:r>
      <w:r w:rsidRPr="00F1114B">
        <w:rPr>
          <w:rFonts w:cs="Arial"/>
        </w:rPr>
        <w:t xml:space="preserve"> Acta de suspensión No. 2 de 20 de abril de 2005, relativa a los frentes de Puerta de Teja, Versalles, Antonio Nariño, Palestina, La Candelaria, San Carlos, Nuevo Tunjuelito, en la cual se fijó como nueva fecha de terminación final el 17 de septiembre de 2005</w:t>
      </w:r>
      <w:r w:rsidRPr="00F1114B">
        <w:rPr>
          <w:rStyle w:val="Refdenotaalpie"/>
          <w:rFonts w:cs="Arial"/>
        </w:rPr>
        <w:footnoteReference w:id="34"/>
      </w:r>
      <w:r w:rsidRPr="00F1114B">
        <w:rPr>
          <w:rFonts w:cs="Arial"/>
        </w:rPr>
        <w:t>.</w:t>
      </w:r>
    </w:p>
    <w:p w14:paraId="3A8790F6" w14:textId="77777777" w:rsidR="00842BD3" w:rsidRPr="00F1114B" w:rsidRDefault="00842BD3" w:rsidP="00842BD3">
      <w:pPr>
        <w:pStyle w:val="Lista4"/>
        <w:ind w:left="0" w:firstLine="0"/>
        <w:rPr>
          <w:rFonts w:cs="Arial"/>
        </w:rPr>
      </w:pPr>
      <w:r w:rsidRPr="00F1114B">
        <w:rPr>
          <w:rFonts w:cs="Arial"/>
        </w:rPr>
        <w:t xml:space="preserve"> </w:t>
      </w:r>
    </w:p>
    <w:p w14:paraId="7DD10687" w14:textId="77777777" w:rsidR="00842BD3" w:rsidRPr="00F1114B" w:rsidRDefault="00842BD3" w:rsidP="00842BD3">
      <w:pPr>
        <w:pStyle w:val="Lista4"/>
        <w:ind w:left="0" w:firstLine="0"/>
        <w:rPr>
          <w:rFonts w:cs="Arial"/>
        </w:rPr>
      </w:pPr>
      <w:r w:rsidRPr="00F1114B">
        <w:rPr>
          <w:rFonts w:cs="Arial"/>
          <w:b/>
        </w:rPr>
        <w:t>4.8.</w:t>
      </w:r>
      <w:r w:rsidRPr="00F1114B">
        <w:rPr>
          <w:rFonts w:cs="Arial"/>
        </w:rPr>
        <w:t xml:space="preserve"> Acta de reiniciación de la suspensión No.2, en la cual se reiteró como fecha de terminación final el 17 de septiembre de 2005</w:t>
      </w:r>
      <w:r w:rsidRPr="00F1114B">
        <w:rPr>
          <w:rStyle w:val="Refdenotaalpie"/>
          <w:rFonts w:cs="Arial"/>
        </w:rPr>
        <w:footnoteReference w:id="35"/>
      </w:r>
      <w:r w:rsidRPr="00F1114B">
        <w:rPr>
          <w:rFonts w:cs="Arial"/>
        </w:rPr>
        <w:t>.</w:t>
      </w:r>
    </w:p>
    <w:p w14:paraId="56F46F17" w14:textId="77777777" w:rsidR="00842BD3" w:rsidRPr="00F1114B" w:rsidRDefault="00842BD3" w:rsidP="00842BD3">
      <w:pPr>
        <w:pStyle w:val="Lista4"/>
        <w:ind w:left="0" w:firstLine="0"/>
        <w:rPr>
          <w:rFonts w:cs="Arial"/>
        </w:rPr>
      </w:pPr>
    </w:p>
    <w:p w14:paraId="7A569D8B" w14:textId="77777777" w:rsidR="00842BD3" w:rsidRPr="00F1114B" w:rsidRDefault="00842BD3" w:rsidP="00842BD3">
      <w:pPr>
        <w:pStyle w:val="Lista4"/>
        <w:ind w:left="0" w:firstLine="0"/>
        <w:rPr>
          <w:rFonts w:cs="Arial"/>
        </w:rPr>
      </w:pPr>
      <w:r w:rsidRPr="00F1114B">
        <w:rPr>
          <w:rFonts w:cs="Arial"/>
          <w:b/>
        </w:rPr>
        <w:t>4.9.</w:t>
      </w:r>
      <w:r w:rsidRPr="00F1114B">
        <w:rPr>
          <w:rFonts w:cs="Arial"/>
        </w:rPr>
        <w:t xml:space="preserve"> Acta de suspensión No. 3 de 18 de julio de 2005, en la que se reiteró como fecha de terminación final el 17 de septiembre de 2005</w:t>
      </w:r>
      <w:r w:rsidRPr="00F1114B">
        <w:rPr>
          <w:rStyle w:val="Refdenotaalpie"/>
          <w:rFonts w:cs="Arial"/>
        </w:rPr>
        <w:footnoteReference w:id="36"/>
      </w:r>
      <w:r w:rsidRPr="00F1114B">
        <w:rPr>
          <w:rFonts w:cs="Arial"/>
        </w:rPr>
        <w:t>.</w:t>
      </w:r>
    </w:p>
    <w:p w14:paraId="67E6D5AE" w14:textId="77777777" w:rsidR="00842BD3" w:rsidRPr="00F1114B" w:rsidRDefault="00842BD3" w:rsidP="00842BD3">
      <w:pPr>
        <w:pStyle w:val="Lista4"/>
        <w:ind w:left="0" w:firstLine="0"/>
        <w:rPr>
          <w:rFonts w:cs="Arial"/>
        </w:rPr>
      </w:pPr>
    </w:p>
    <w:p w14:paraId="1DA05B8A" w14:textId="77777777" w:rsidR="00842BD3" w:rsidRPr="00F1114B" w:rsidRDefault="00842BD3" w:rsidP="00842BD3">
      <w:pPr>
        <w:pStyle w:val="Lista4"/>
        <w:ind w:left="0" w:firstLine="0"/>
        <w:rPr>
          <w:rFonts w:cs="Arial"/>
        </w:rPr>
      </w:pPr>
      <w:r w:rsidRPr="00F1114B">
        <w:rPr>
          <w:rFonts w:cs="Arial"/>
          <w:b/>
        </w:rPr>
        <w:t>4.10.</w:t>
      </w:r>
      <w:r w:rsidRPr="00F1114B">
        <w:rPr>
          <w:rFonts w:cs="Arial"/>
        </w:rPr>
        <w:t xml:space="preserve"> Prórroga al acta de suspensión No. 3 de 16 de septiembre de 2005, la cual se refirió a todos los frentes de trabajo (Puerta de Teja, Versalles, Antonio Nariño, Palestina, La Candelaria, San Carlos y Nuevo Tunjuelito) y se relacionó como nueva fecha de terminación final el 31 de diciembre de 2005</w:t>
      </w:r>
      <w:r w:rsidRPr="00F1114B">
        <w:rPr>
          <w:rStyle w:val="Refdenotaalpie"/>
          <w:rFonts w:cs="Arial"/>
        </w:rPr>
        <w:footnoteReference w:id="37"/>
      </w:r>
      <w:r w:rsidRPr="00F1114B">
        <w:rPr>
          <w:rFonts w:cs="Arial"/>
        </w:rPr>
        <w:t>.</w:t>
      </w:r>
    </w:p>
    <w:p w14:paraId="2BE4831E" w14:textId="77777777" w:rsidR="00842BD3" w:rsidRPr="00F1114B" w:rsidRDefault="00842BD3" w:rsidP="00842BD3">
      <w:pPr>
        <w:pStyle w:val="Lista4"/>
        <w:ind w:left="0" w:firstLine="0"/>
        <w:rPr>
          <w:rFonts w:cs="Arial"/>
        </w:rPr>
      </w:pPr>
    </w:p>
    <w:p w14:paraId="7886E266" w14:textId="77777777" w:rsidR="00842BD3" w:rsidRPr="00F1114B" w:rsidRDefault="00842BD3" w:rsidP="00842BD3">
      <w:pPr>
        <w:pStyle w:val="Lista4"/>
        <w:ind w:left="0" w:firstLine="0"/>
        <w:rPr>
          <w:rFonts w:cs="Arial"/>
        </w:rPr>
      </w:pPr>
      <w:r w:rsidRPr="00F1114B">
        <w:rPr>
          <w:rFonts w:cs="Arial"/>
          <w:b/>
        </w:rPr>
        <w:t>4.11.</w:t>
      </w:r>
      <w:r w:rsidRPr="00F1114B">
        <w:rPr>
          <w:rFonts w:cs="Arial"/>
        </w:rPr>
        <w:t xml:space="preserve"> El documento modificatorio 1, contentivo del acuerdo que adicionó el valor y el plazo del contrato 091, suscrito el 10 de noviembre de 2005, mediante el cual se amplió la vigencia del citado contrato, en </w:t>
      </w:r>
      <w:r w:rsidRPr="00F1114B">
        <w:rPr>
          <w:rFonts w:cs="Arial"/>
          <w:i/>
        </w:rPr>
        <w:t>“60 días calendario</w:t>
      </w:r>
      <w:r w:rsidRPr="00F1114B">
        <w:rPr>
          <w:rFonts w:cs="Arial"/>
        </w:rPr>
        <w:t>”</w:t>
      </w:r>
      <w:r w:rsidRPr="00F1114B">
        <w:rPr>
          <w:rStyle w:val="Refdenotaalpie"/>
          <w:rFonts w:cs="Arial"/>
        </w:rPr>
        <w:footnoteReference w:id="38"/>
      </w:r>
      <w:r w:rsidRPr="00F1114B">
        <w:rPr>
          <w:rFonts w:cs="Arial"/>
        </w:rPr>
        <w:t>.</w:t>
      </w:r>
    </w:p>
    <w:p w14:paraId="69A84E5A" w14:textId="77777777" w:rsidR="00842BD3" w:rsidRPr="00F1114B" w:rsidRDefault="00842BD3" w:rsidP="00842BD3">
      <w:pPr>
        <w:pStyle w:val="Lista4"/>
        <w:ind w:left="0" w:firstLine="0"/>
        <w:rPr>
          <w:rFonts w:cs="Arial"/>
        </w:rPr>
      </w:pPr>
    </w:p>
    <w:p w14:paraId="78D2B0BA" w14:textId="77777777" w:rsidR="00842BD3" w:rsidRPr="00F1114B" w:rsidRDefault="00842BD3" w:rsidP="00842BD3">
      <w:pPr>
        <w:pStyle w:val="Lista4"/>
        <w:ind w:left="0" w:firstLine="0"/>
        <w:rPr>
          <w:rFonts w:cs="Arial"/>
        </w:rPr>
      </w:pPr>
      <w:r w:rsidRPr="00F1114B">
        <w:rPr>
          <w:rFonts w:cs="Arial"/>
          <w:b/>
        </w:rPr>
        <w:t>4.12.</w:t>
      </w:r>
      <w:r w:rsidRPr="00F1114B">
        <w:rPr>
          <w:rFonts w:cs="Arial"/>
        </w:rPr>
        <w:t xml:space="preserve"> Acta de suspensión No. 4 de 11 de enero de 2006, en la cual se relacionó como nueva fecha de terminación final del contrato el 30 de marzo de 2006</w:t>
      </w:r>
      <w:r w:rsidRPr="00F1114B">
        <w:rPr>
          <w:rStyle w:val="Refdenotaalpie"/>
          <w:rFonts w:cs="Arial"/>
        </w:rPr>
        <w:footnoteReference w:id="39"/>
      </w:r>
      <w:r w:rsidRPr="00F1114B">
        <w:rPr>
          <w:rFonts w:cs="Arial"/>
        </w:rPr>
        <w:t xml:space="preserve">. </w:t>
      </w:r>
    </w:p>
    <w:p w14:paraId="45D2CE33" w14:textId="77777777" w:rsidR="00842BD3" w:rsidRPr="00F1114B" w:rsidRDefault="00842BD3" w:rsidP="00842BD3">
      <w:pPr>
        <w:pStyle w:val="Lista4"/>
        <w:ind w:left="0" w:firstLine="0"/>
        <w:rPr>
          <w:rFonts w:cs="Arial"/>
        </w:rPr>
      </w:pPr>
    </w:p>
    <w:p w14:paraId="433D5378" w14:textId="77777777" w:rsidR="00842BD3" w:rsidRPr="00F1114B" w:rsidRDefault="00842BD3" w:rsidP="00842BD3">
      <w:pPr>
        <w:pStyle w:val="Lista4"/>
        <w:ind w:left="0" w:firstLine="0"/>
        <w:rPr>
          <w:rFonts w:cs="Arial"/>
        </w:rPr>
      </w:pPr>
      <w:r w:rsidRPr="00F1114B">
        <w:rPr>
          <w:rFonts w:cs="Arial"/>
          <w:b/>
        </w:rPr>
        <w:lastRenderedPageBreak/>
        <w:t>4.13.</w:t>
      </w:r>
      <w:r w:rsidRPr="00F1114B">
        <w:rPr>
          <w:rFonts w:cs="Arial"/>
        </w:rPr>
        <w:t xml:space="preserve"> Prórroga al acta de suspensión No. 4 de 10 de febrero de 2006, en la que se relacionó como nueva fecha de terminación final el 10 de febrero de 2006</w:t>
      </w:r>
      <w:r w:rsidRPr="00F1114B">
        <w:rPr>
          <w:rStyle w:val="Refdenotaalpie"/>
          <w:rFonts w:cs="Arial"/>
        </w:rPr>
        <w:footnoteReference w:id="40"/>
      </w:r>
      <w:r w:rsidRPr="00F1114B">
        <w:rPr>
          <w:rFonts w:cs="Arial"/>
        </w:rPr>
        <w:t>.</w:t>
      </w:r>
    </w:p>
    <w:p w14:paraId="22B7ED60" w14:textId="77777777" w:rsidR="00842BD3" w:rsidRPr="00F1114B" w:rsidRDefault="00842BD3" w:rsidP="00842BD3">
      <w:pPr>
        <w:pStyle w:val="Lista4"/>
        <w:ind w:left="0" w:firstLine="0"/>
        <w:rPr>
          <w:rFonts w:cs="Arial"/>
        </w:rPr>
      </w:pPr>
    </w:p>
    <w:p w14:paraId="051A39FF" w14:textId="77777777" w:rsidR="00842BD3" w:rsidRPr="00F1114B" w:rsidRDefault="00842BD3" w:rsidP="00842BD3">
      <w:pPr>
        <w:pStyle w:val="Lista4"/>
        <w:ind w:left="0" w:firstLine="0"/>
        <w:rPr>
          <w:rFonts w:cs="Arial"/>
        </w:rPr>
      </w:pPr>
      <w:r w:rsidRPr="00F1114B">
        <w:rPr>
          <w:rFonts w:cs="Arial"/>
          <w:b/>
        </w:rPr>
        <w:t>4.14.</w:t>
      </w:r>
      <w:r w:rsidRPr="00F1114B">
        <w:rPr>
          <w:rFonts w:cs="Arial"/>
        </w:rPr>
        <w:t xml:space="preserve"> El modificatorio 2, en relación con la forma de pago, suscrito el 20 de noviembre 2006</w:t>
      </w:r>
      <w:r w:rsidRPr="00F1114B">
        <w:rPr>
          <w:rStyle w:val="Refdenotaalpie"/>
          <w:rFonts w:cs="Arial"/>
        </w:rPr>
        <w:footnoteReference w:id="41"/>
      </w:r>
      <w:r w:rsidRPr="00F1114B">
        <w:rPr>
          <w:rFonts w:cs="Arial"/>
        </w:rPr>
        <w:t>, en el cual no se hizo mención a la fecha de terminación del contrato.</w:t>
      </w:r>
    </w:p>
    <w:p w14:paraId="5A2F8F00" w14:textId="77777777" w:rsidR="00842BD3" w:rsidRPr="00F1114B" w:rsidRDefault="00842BD3" w:rsidP="00842BD3">
      <w:pPr>
        <w:pStyle w:val="Lista4"/>
        <w:ind w:left="0" w:firstLine="0"/>
        <w:rPr>
          <w:rFonts w:cs="Arial"/>
        </w:rPr>
      </w:pPr>
    </w:p>
    <w:p w14:paraId="6D8DE902" w14:textId="77777777" w:rsidR="00842BD3" w:rsidRPr="00F1114B" w:rsidRDefault="00842BD3" w:rsidP="00842BD3">
      <w:pPr>
        <w:pStyle w:val="Lista4"/>
        <w:ind w:left="0" w:firstLine="0"/>
        <w:rPr>
          <w:rFonts w:cs="Arial"/>
        </w:rPr>
      </w:pPr>
      <w:r w:rsidRPr="00F1114B">
        <w:rPr>
          <w:rFonts w:cs="Arial"/>
          <w:b/>
        </w:rPr>
        <w:t>4.15.</w:t>
      </w:r>
      <w:r w:rsidRPr="00F1114B">
        <w:rPr>
          <w:rFonts w:cs="Arial"/>
        </w:rPr>
        <w:t xml:space="preserve"> Dentro de los documentos allegados, se destaca el contentivo de la última prórroga, distinguida con el  No. 4 – acta de suspensión No. 4 de 8 de octubre de 2006, suscrito por el representante legal del contratista, el supervisor y el interventor, en el cual consta como última “</w:t>
      </w:r>
      <w:r w:rsidRPr="00F1114B">
        <w:rPr>
          <w:rFonts w:cs="Arial"/>
          <w:i/>
        </w:rPr>
        <w:t>fecha de terminación final”</w:t>
      </w:r>
      <w:r w:rsidRPr="00F1114B">
        <w:rPr>
          <w:rFonts w:cs="Arial"/>
        </w:rPr>
        <w:t xml:space="preserve"> del contrato 091, el </w:t>
      </w:r>
      <w:r w:rsidRPr="00F1114B">
        <w:rPr>
          <w:rFonts w:cs="Arial"/>
          <w:i/>
        </w:rPr>
        <w:t>“24 de enero de 2007”</w:t>
      </w:r>
      <w:r w:rsidRPr="00F1114B">
        <w:rPr>
          <w:rFonts w:cs="Arial"/>
        </w:rPr>
        <w:t xml:space="preserve">. </w:t>
      </w:r>
    </w:p>
    <w:p w14:paraId="7830F526" w14:textId="77777777" w:rsidR="00842BD3" w:rsidRPr="00F1114B" w:rsidRDefault="00842BD3" w:rsidP="00842BD3">
      <w:pPr>
        <w:pStyle w:val="Lista4"/>
        <w:ind w:left="0" w:firstLine="0"/>
        <w:rPr>
          <w:rFonts w:cs="Arial"/>
        </w:rPr>
      </w:pPr>
    </w:p>
    <w:p w14:paraId="0939A3BA" w14:textId="77777777" w:rsidR="00842BD3" w:rsidRPr="00F1114B" w:rsidRDefault="00842BD3" w:rsidP="00842BD3">
      <w:pPr>
        <w:pStyle w:val="Lista4"/>
        <w:ind w:left="0" w:firstLine="0"/>
        <w:rPr>
          <w:rFonts w:cs="Arial"/>
        </w:rPr>
      </w:pPr>
      <w:r w:rsidRPr="00F1114B">
        <w:rPr>
          <w:rFonts w:cs="Arial"/>
        </w:rPr>
        <w:t xml:space="preserve">Esta última fecha de terminación coincide con la que estableció el Tribunal </w:t>
      </w:r>
      <w:r w:rsidRPr="00F1114B">
        <w:rPr>
          <w:rFonts w:cs="Arial"/>
          <w:i/>
        </w:rPr>
        <w:t>a quo</w:t>
      </w:r>
      <w:r w:rsidRPr="00F1114B">
        <w:rPr>
          <w:rFonts w:cs="Arial"/>
        </w:rPr>
        <w:t xml:space="preserve"> en la sentencia de primera instancia mediante un recuento de las cuatro actas de suspensión y prórroga. </w:t>
      </w:r>
    </w:p>
    <w:p w14:paraId="034ABFDC" w14:textId="77777777" w:rsidR="00842BD3" w:rsidRPr="00F1114B" w:rsidRDefault="00842BD3" w:rsidP="00842BD3">
      <w:pPr>
        <w:pStyle w:val="Lista4"/>
        <w:ind w:left="0" w:firstLine="0"/>
        <w:rPr>
          <w:rFonts w:cs="Arial"/>
        </w:rPr>
      </w:pPr>
    </w:p>
    <w:p w14:paraId="65AF119E" w14:textId="77777777" w:rsidR="00842BD3" w:rsidRPr="00F1114B" w:rsidRDefault="00842BD3" w:rsidP="00842BD3">
      <w:pPr>
        <w:pStyle w:val="Lista4"/>
        <w:ind w:left="0" w:firstLine="0"/>
        <w:rPr>
          <w:rFonts w:cs="Arial"/>
        </w:rPr>
      </w:pPr>
      <w:r w:rsidRPr="00F1114B">
        <w:rPr>
          <w:rFonts w:cs="Arial"/>
        </w:rPr>
        <w:t>Se advierte que el apelante no discutió la citada fecha de terminación final del contrato, sino que orientó su recurso a indicar que el término de la caducidad de la acción se contaba desde el 8 de abril de 2008, fecha en la cual la Secretaría de Educación le habría informado que adelantaría la liquidación del contrato.</w:t>
      </w:r>
    </w:p>
    <w:p w14:paraId="0843CB2C" w14:textId="77777777" w:rsidR="00842BD3" w:rsidRPr="00F1114B" w:rsidRDefault="00842BD3" w:rsidP="00842BD3">
      <w:pPr>
        <w:pStyle w:val="Lista4"/>
        <w:ind w:left="0" w:firstLine="0"/>
        <w:rPr>
          <w:rFonts w:cs="Arial"/>
        </w:rPr>
      </w:pPr>
    </w:p>
    <w:p w14:paraId="2BD60943" w14:textId="77777777" w:rsidR="00842BD3" w:rsidRPr="00F1114B" w:rsidRDefault="00842BD3" w:rsidP="00842BD3">
      <w:pPr>
        <w:pStyle w:val="Lista4"/>
        <w:ind w:left="0" w:firstLine="0"/>
        <w:rPr>
          <w:rFonts w:cs="Arial"/>
        </w:rPr>
      </w:pPr>
      <w:r w:rsidRPr="00F1114B">
        <w:rPr>
          <w:rFonts w:cs="Arial"/>
        </w:rPr>
        <w:t>Este último argumento no es de recibo, dado que de acuerdo con el artículo 60 de la Ley 80 de 1993 y con el acuerdo contractual contenido en la cláusula vigésima del Contrato de Consultoría 091 de 2004, el plazo para liquidar bilateralmente el contrato empezó a correr una vez finalizada la ejecución, esto es, el 25 de enero de 2007, de acuerdo con la anterior relación de pruebas.</w:t>
      </w:r>
    </w:p>
    <w:p w14:paraId="4D2E249C" w14:textId="77777777" w:rsidR="00842BD3" w:rsidRPr="00F1114B" w:rsidRDefault="00842BD3" w:rsidP="00842BD3">
      <w:pPr>
        <w:pStyle w:val="Lista4"/>
        <w:ind w:left="0" w:firstLine="0"/>
        <w:rPr>
          <w:rFonts w:cs="Arial"/>
        </w:rPr>
      </w:pPr>
    </w:p>
    <w:p w14:paraId="7E3F4345" w14:textId="77777777" w:rsidR="00842BD3" w:rsidRPr="00F1114B" w:rsidRDefault="00842BD3" w:rsidP="00842BD3">
      <w:pPr>
        <w:pStyle w:val="Lista4"/>
        <w:ind w:left="0" w:firstLine="0"/>
        <w:rPr>
          <w:rFonts w:cs="Arial"/>
        </w:rPr>
      </w:pPr>
      <w:r w:rsidRPr="00F1114B">
        <w:rPr>
          <w:rFonts w:cs="Arial"/>
        </w:rPr>
        <w:t xml:space="preserve">Como consecuencia, el plazo para la liquidación bilateral del contrato, que era de cuatro meses, venció el 25 de mayo de 2007.  A su turno, de acuerdo con el numeral 10, literal d) del artículo 136 del CCA, el  plazo para liquidar unilateralmente el contrato corrió por dos meses, entre el 26 de mayo de 2007 y el 26 de julio de 2007 y, a partir de allí, el contratista contaba con dos años para interponer la acción contractual. </w:t>
      </w:r>
    </w:p>
    <w:p w14:paraId="5C049CA9" w14:textId="77777777" w:rsidR="00842BD3" w:rsidRPr="00F1114B" w:rsidRDefault="00842BD3" w:rsidP="00842BD3">
      <w:pPr>
        <w:pStyle w:val="Lista4"/>
        <w:ind w:left="0" w:firstLine="0"/>
        <w:rPr>
          <w:rFonts w:cs="Arial"/>
        </w:rPr>
      </w:pPr>
    </w:p>
    <w:p w14:paraId="37FADD21" w14:textId="77777777" w:rsidR="00842BD3" w:rsidRPr="00F1114B" w:rsidRDefault="00842BD3" w:rsidP="00842BD3">
      <w:pPr>
        <w:pStyle w:val="Lista4"/>
        <w:ind w:left="0" w:firstLine="0"/>
        <w:rPr>
          <w:rFonts w:cs="Arial"/>
        </w:rPr>
      </w:pPr>
      <w:r w:rsidRPr="00F1114B">
        <w:rPr>
          <w:rFonts w:cs="Arial"/>
        </w:rPr>
        <w:t>Es decir, que la caducidad de la acción ocurría, en principio, el 27 de julio de 2009, al paso que la demanda se presentó el 5 de octubre de 2010.</w:t>
      </w:r>
    </w:p>
    <w:p w14:paraId="2E021DBF" w14:textId="77777777" w:rsidR="00842BD3" w:rsidRPr="00F1114B" w:rsidRDefault="00842BD3" w:rsidP="00842BD3">
      <w:pPr>
        <w:pStyle w:val="Lista4"/>
        <w:ind w:left="0" w:firstLine="0"/>
        <w:rPr>
          <w:rFonts w:cs="Arial"/>
        </w:rPr>
      </w:pPr>
    </w:p>
    <w:p w14:paraId="223BEB4D" w14:textId="77777777" w:rsidR="00842BD3" w:rsidRPr="00F1114B" w:rsidRDefault="00842BD3" w:rsidP="00842BD3">
      <w:pPr>
        <w:pStyle w:val="Lista4"/>
        <w:ind w:left="0" w:firstLine="0"/>
        <w:rPr>
          <w:rFonts w:cs="Arial"/>
        </w:rPr>
      </w:pPr>
      <w:r w:rsidRPr="00F1114B">
        <w:rPr>
          <w:rFonts w:cs="Arial"/>
        </w:rPr>
        <w:t>Debe agregarse que, según consta en el acta de 20 de agosto de 2009</w:t>
      </w:r>
      <w:r w:rsidRPr="00F1114B">
        <w:rPr>
          <w:rStyle w:val="Refdenotaalpie"/>
          <w:rFonts w:cs="Arial"/>
        </w:rPr>
        <w:footnoteReference w:id="42"/>
      </w:r>
      <w:r w:rsidRPr="00F1114B">
        <w:rPr>
          <w:rFonts w:cs="Arial"/>
        </w:rPr>
        <w:t xml:space="preserve"> suscrita por la Procuradora Tercera Judicial Administrativa, los apoderados de las partes y el apoderado de la Contraloría General de la República, el contratista acudió a solicitar la conciliación administrativa el 6 de mayo de 2009, faltando dos meses y veintiún días para el vencimiento del término de caducidad de la acción contractual. </w:t>
      </w:r>
    </w:p>
    <w:p w14:paraId="6FBEA450" w14:textId="77777777" w:rsidR="00842BD3" w:rsidRPr="00F1114B" w:rsidRDefault="00842BD3" w:rsidP="00842BD3">
      <w:pPr>
        <w:pStyle w:val="Lista4"/>
        <w:ind w:left="0" w:firstLine="0"/>
        <w:rPr>
          <w:rFonts w:cs="Arial"/>
        </w:rPr>
      </w:pPr>
    </w:p>
    <w:p w14:paraId="7FB28BDE" w14:textId="77777777" w:rsidR="00842BD3" w:rsidRPr="00F1114B" w:rsidRDefault="00842BD3" w:rsidP="00842BD3">
      <w:pPr>
        <w:pStyle w:val="Lista4"/>
        <w:ind w:left="0" w:firstLine="0"/>
        <w:rPr>
          <w:rFonts w:cs="Arial"/>
        </w:rPr>
      </w:pPr>
      <w:r w:rsidRPr="00F1114B">
        <w:rPr>
          <w:rFonts w:cs="Arial"/>
        </w:rPr>
        <w:t>De conformidad con el artículo 21 de la Ley 640 de 2001, el término se suspendió por tres meses, contados a partir de la solicitud de conciliación, esto es, entre el 7 de mayo de 2009 y el 7 de agosto de 2009</w:t>
      </w:r>
      <w:r w:rsidRPr="00F1114B">
        <w:rPr>
          <w:rStyle w:val="Refdenotaalpie"/>
          <w:rFonts w:cs="Arial"/>
        </w:rPr>
        <w:footnoteReference w:id="43"/>
      </w:r>
      <w:r w:rsidRPr="00F1114B">
        <w:rPr>
          <w:rFonts w:cs="Arial"/>
        </w:rPr>
        <w:t>,  y reinició el 8 de agosto de 2009, por dos meses y 21 días, hasta el 30 de octubre de 2009.</w:t>
      </w:r>
    </w:p>
    <w:p w14:paraId="7FACB8C2" w14:textId="77777777" w:rsidR="00842BD3" w:rsidRPr="00F1114B" w:rsidRDefault="00842BD3" w:rsidP="00842BD3">
      <w:pPr>
        <w:pStyle w:val="Lista4"/>
        <w:ind w:left="0" w:firstLine="0"/>
        <w:rPr>
          <w:rFonts w:cs="Arial"/>
        </w:rPr>
      </w:pPr>
    </w:p>
    <w:p w14:paraId="2038E716" w14:textId="77777777" w:rsidR="00842BD3" w:rsidRPr="00F1114B" w:rsidRDefault="00842BD3" w:rsidP="00842BD3">
      <w:pPr>
        <w:pStyle w:val="Lista4"/>
        <w:ind w:left="0" w:firstLine="0"/>
        <w:rPr>
          <w:rFonts w:cs="Arial"/>
        </w:rPr>
      </w:pPr>
      <w:r w:rsidRPr="00F1114B">
        <w:rPr>
          <w:rFonts w:cs="Arial"/>
        </w:rPr>
        <w:t xml:space="preserve">Como conclusión, teniendo en cuenta que la demanda se presentó el 5 de octubre de 2010, para esa fecha el término de caducidad de la acción contractual ya había transcurrido. </w:t>
      </w:r>
    </w:p>
    <w:p w14:paraId="4205ED2A" w14:textId="77777777" w:rsidR="00842BD3" w:rsidRPr="00F1114B" w:rsidRDefault="00842BD3" w:rsidP="00842BD3">
      <w:pPr>
        <w:pStyle w:val="Lista4"/>
        <w:ind w:left="0" w:firstLine="0"/>
        <w:rPr>
          <w:rFonts w:cs="Arial"/>
        </w:rPr>
      </w:pPr>
    </w:p>
    <w:p w14:paraId="78684A9B" w14:textId="77777777" w:rsidR="00842BD3" w:rsidRPr="00F1114B" w:rsidRDefault="00842BD3" w:rsidP="00842BD3">
      <w:pPr>
        <w:pStyle w:val="Lista4"/>
        <w:ind w:left="0" w:firstLine="0"/>
        <w:rPr>
          <w:rFonts w:cs="Arial"/>
        </w:rPr>
      </w:pPr>
      <w:r w:rsidRPr="00F1114B">
        <w:rPr>
          <w:rFonts w:cs="Arial"/>
        </w:rPr>
        <w:t>Se agrega que la suspensión del término de caducidad prevista en la Ley 640 de 2001 no era indefinida sino que operaba por tres meses o hasta la fecha de la conciliación, lo que ocurriera primero. Por ello, se advierte que de acuerdo con lo dispuesto en el artículo 21 de la Ley 640 de 2001, la caducidad no estaba abierta a un término prudencial, como indicó el apelante.</w:t>
      </w:r>
    </w:p>
    <w:p w14:paraId="54032128" w14:textId="77777777" w:rsidR="00842BD3" w:rsidRPr="00F1114B" w:rsidRDefault="00842BD3" w:rsidP="00842BD3">
      <w:pPr>
        <w:pStyle w:val="Lista4"/>
        <w:ind w:left="0" w:firstLine="0"/>
        <w:rPr>
          <w:rFonts w:cs="Arial"/>
        </w:rPr>
      </w:pPr>
    </w:p>
    <w:p w14:paraId="171BD752" w14:textId="77777777" w:rsidR="00842BD3" w:rsidRPr="00F1114B" w:rsidRDefault="00842BD3" w:rsidP="00842BD3">
      <w:pPr>
        <w:pStyle w:val="Lista4"/>
        <w:ind w:left="0" w:firstLine="0"/>
        <w:rPr>
          <w:rFonts w:cs="Arial"/>
        </w:rPr>
      </w:pPr>
      <w:r w:rsidRPr="00F1114B">
        <w:rPr>
          <w:rFonts w:cs="Arial"/>
        </w:rPr>
        <w:t>Por lo anterior, no se acepta el siguiente argumento del demandante, según el cual:</w:t>
      </w:r>
    </w:p>
    <w:p w14:paraId="22202BD3" w14:textId="77777777" w:rsidR="00842BD3" w:rsidRPr="00F1114B" w:rsidRDefault="00842BD3" w:rsidP="00842BD3">
      <w:pPr>
        <w:pStyle w:val="Lista4"/>
        <w:ind w:left="0" w:firstLine="0"/>
        <w:rPr>
          <w:rFonts w:cs="Arial"/>
        </w:rPr>
      </w:pPr>
    </w:p>
    <w:p w14:paraId="473DF89F" w14:textId="77777777" w:rsidR="00842BD3" w:rsidRPr="00F1114B" w:rsidRDefault="00842BD3" w:rsidP="00842BD3">
      <w:pPr>
        <w:pStyle w:val="Textoindependiente"/>
        <w:rPr>
          <w:rFonts w:cs="Arial"/>
          <w:szCs w:val="24"/>
        </w:rPr>
      </w:pPr>
      <w:r w:rsidRPr="00F1114B">
        <w:rPr>
          <w:rFonts w:cs="Arial"/>
          <w:i/>
          <w:szCs w:val="24"/>
        </w:rPr>
        <w:lastRenderedPageBreak/>
        <w:t>“(…) al momento de la presentación de la solicitud de conciliación prejudicial faltaba un término prudencial para que operara el fenómeno de la caducidad, se tendría que la presente demanda se interpone ampliamente dentro del término de caducidad previsto en el artículo 136 del C.C.A., es decir el 5 de octubre de 2010”</w:t>
      </w:r>
      <w:r w:rsidRPr="00F1114B">
        <w:rPr>
          <w:rStyle w:val="Refdenotaalpie"/>
          <w:rFonts w:cs="Arial"/>
          <w:i/>
          <w:szCs w:val="24"/>
        </w:rPr>
        <w:footnoteReference w:id="44"/>
      </w:r>
      <w:r w:rsidRPr="00F1114B">
        <w:rPr>
          <w:rFonts w:cs="Arial"/>
          <w:i/>
          <w:szCs w:val="24"/>
        </w:rPr>
        <w:t>.</w:t>
      </w:r>
    </w:p>
    <w:p w14:paraId="2F77C3BB" w14:textId="77777777" w:rsidR="00842BD3" w:rsidRPr="00F1114B" w:rsidRDefault="00842BD3" w:rsidP="00842BD3">
      <w:pPr>
        <w:pStyle w:val="Lista4"/>
        <w:ind w:left="0" w:firstLine="0"/>
        <w:rPr>
          <w:rFonts w:cs="Arial"/>
        </w:rPr>
      </w:pPr>
    </w:p>
    <w:p w14:paraId="209C99DA" w14:textId="77777777" w:rsidR="00842BD3" w:rsidRPr="00F1114B" w:rsidRDefault="00842BD3" w:rsidP="00842BD3">
      <w:pPr>
        <w:pStyle w:val="Lista4"/>
        <w:ind w:left="0" w:firstLine="0"/>
        <w:rPr>
          <w:rFonts w:cs="Arial"/>
        </w:rPr>
      </w:pPr>
      <w:r w:rsidRPr="00F1114B">
        <w:rPr>
          <w:rFonts w:cs="Arial"/>
        </w:rPr>
        <w:t>Contrario a lo que sostuvo el demandante, de conformidad con las pruebas obrantes en el proceso, se concluye que para el 5 de octubre de 2010, día en que se presentó la demanda, había trascurrido casi un año desde la fecha en que se configuró la caducidad de la acción contractual (30 de octubre de 2009).</w:t>
      </w:r>
    </w:p>
    <w:p w14:paraId="32C70D86" w14:textId="77777777" w:rsidR="00842BD3" w:rsidRPr="00F1114B" w:rsidRDefault="00842BD3" w:rsidP="00842BD3">
      <w:pPr>
        <w:pStyle w:val="Textoindependiente"/>
        <w:rPr>
          <w:rFonts w:cs="Arial"/>
          <w:szCs w:val="24"/>
        </w:rPr>
      </w:pPr>
    </w:p>
    <w:p w14:paraId="195E928B" w14:textId="77777777" w:rsidR="00842BD3" w:rsidRPr="00F1114B" w:rsidRDefault="00842BD3" w:rsidP="00842BD3">
      <w:pPr>
        <w:pStyle w:val="Textoindependiente"/>
        <w:rPr>
          <w:rFonts w:cs="Arial"/>
          <w:szCs w:val="24"/>
        </w:rPr>
      </w:pPr>
      <w:r w:rsidRPr="00F1114B">
        <w:rPr>
          <w:rFonts w:cs="Arial"/>
          <w:szCs w:val="24"/>
        </w:rPr>
        <w:t>Tal como lo ha observado esta Subsección en varias oportunidades</w:t>
      </w:r>
      <w:r w:rsidRPr="00F1114B">
        <w:rPr>
          <w:rStyle w:val="Refdenotaalpie"/>
          <w:rFonts w:cs="Arial"/>
          <w:szCs w:val="24"/>
        </w:rPr>
        <w:footnoteReference w:id="45"/>
      </w:r>
      <w:r w:rsidRPr="00F1114B">
        <w:rPr>
          <w:rFonts w:cs="Arial"/>
          <w:szCs w:val="24"/>
        </w:rPr>
        <w:t>, la conducta consistente en demandar en forma oportuna configura una carga que le corresponde asumir a quien pretende acudir ante la Administración de Justicia para con el propósito de lograr la declaratoria de responsabilidad del Estado</w:t>
      </w:r>
      <w:r w:rsidRPr="00F1114B">
        <w:rPr>
          <w:rStyle w:val="Refdenotaalpie"/>
          <w:rFonts w:cs="Arial"/>
          <w:color w:val="000000"/>
          <w:szCs w:val="24"/>
        </w:rPr>
        <w:footnoteReference w:id="46"/>
      </w:r>
      <w:r w:rsidRPr="00F1114B">
        <w:rPr>
          <w:rFonts w:cs="Arial"/>
          <w:szCs w:val="24"/>
        </w:rPr>
        <w:t>, de acuerdo con lo que se infiere de los deberes constitucionalmente impuestos con arreglo a los artículos 2 y 228 de la Constitución Política</w:t>
      </w:r>
      <w:r w:rsidRPr="00F1114B">
        <w:rPr>
          <w:rStyle w:val="Refdenotaalpie"/>
          <w:rFonts w:cs="Arial"/>
          <w:color w:val="000000"/>
          <w:szCs w:val="24"/>
        </w:rPr>
        <w:footnoteReference w:id="47"/>
      </w:r>
      <w:r w:rsidRPr="00F1114B">
        <w:rPr>
          <w:rFonts w:cs="Arial"/>
          <w:szCs w:val="24"/>
        </w:rPr>
        <w:t xml:space="preserve">. La consecuencia jurídica </w:t>
      </w:r>
      <w:r w:rsidRPr="00F1114B">
        <w:rPr>
          <w:rFonts w:cs="Arial"/>
          <w:szCs w:val="24"/>
        </w:rPr>
        <w:lastRenderedPageBreak/>
        <w:t>que sobreviene por la conducta pasiva  consistente en no demandar en tiempo, es la negación al análisis de las pretensiones extemporáneas, como consecuencia de la declaración judicial de la caducidad que se impone como regla de derecho imperativa.</w:t>
      </w:r>
    </w:p>
    <w:p w14:paraId="5C288F33" w14:textId="77777777" w:rsidR="00842BD3" w:rsidRPr="00F1114B" w:rsidRDefault="00842BD3" w:rsidP="00842BD3">
      <w:pPr>
        <w:pStyle w:val="Textoindependiente"/>
        <w:rPr>
          <w:rFonts w:cs="Arial"/>
          <w:szCs w:val="24"/>
        </w:rPr>
      </w:pPr>
    </w:p>
    <w:p w14:paraId="1B0A73EB" w14:textId="77777777" w:rsidR="00842BD3" w:rsidRPr="00F1114B" w:rsidRDefault="00842BD3" w:rsidP="00842BD3">
      <w:pPr>
        <w:pStyle w:val="Textoindependiente"/>
        <w:rPr>
          <w:rFonts w:cs="Arial"/>
          <w:szCs w:val="24"/>
        </w:rPr>
      </w:pPr>
      <w:r w:rsidRPr="00F1114B">
        <w:rPr>
          <w:rFonts w:cs="Arial"/>
          <w:szCs w:val="24"/>
        </w:rPr>
        <w:t>La declaratoria de caducidad constituye un deber del juez, una forma de impartir justicia. Ello es así en atención a la regla legal que consiste en no acceder a lo que se demanda por fuera del plazo y, por tanto, en no admitir el debate procesal frente a una situación jurídica que no ha sido objeto de demanda oportuna</w:t>
      </w:r>
      <w:r w:rsidRPr="00F1114B">
        <w:rPr>
          <w:rStyle w:val="Refdenotaalpie"/>
          <w:rFonts w:cs="Arial"/>
          <w:szCs w:val="24"/>
        </w:rPr>
        <w:footnoteReference w:id="48"/>
      </w:r>
      <w:r w:rsidRPr="00F1114B">
        <w:rPr>
          <w:rFonts w:cs="Arial"/>
          <w:szCs w:val="24"/>
        </w:rPr>
        <w:t>.</w:t>
      </w:r>
    </w:p>
    <w:p w14:paraId="7B0DB06B" w14:textId="77777777" w:rsidR="00842BD3" w:rsidRPr="00F1114B" w:rsidRDefault="00842BD3" w:rsidP="00842BD3">
      <w:pPr>
        <w:pStyle w:val="Textoindependiente"/>
        <w:rPr>
          <w:rFonts w:cs="Arial"/>
          <w:szCs w:val="24"/>
        </w:rPr>
      </w:pPr>
    </w:p>
    <w:p w14:paraId="573605F6" w14:textId="77777777" w:rsidR="00842BD3" w:rsidRPr="00F1114B" w:rsidRDefault="00842BD3" w:rsidP="00842BD3">
      <w:pPr>
        <w:pStyle w:val="Lista4"/>
        <w:ind w:left="0" w:firstLine="0"/>
        <w:rPr>
          <w:rFonts w:cs="Arial"/>
        </w:rPr>
      </w:pPr>
      <w:r w:rsidRPr="00F1114B">
        <w:rPr>
          <w:rFonts w:cs="Arial"/>
        </w:rPr>
        <w:t xml:space="preserve">Finalmente, si bien el examen de la caducidad de la acción debe efectuarse de forma oficiosa por el juez, en este caso, adicionalmente, la Sala considera que la excepción de caducidad fue objeto de argumentación suficiente en el escrito presentado por la parte demandada, en la medida en que la Secretaría de Educación acudió a invocar la jurisprudencia del Consejo de Estado, mediante la cual se advirtió que el plazo del artículo 136 del C.C.A. contaba a partir del vencimiento del plazo de liquidación del contrato. Por ello, no era necesario que el Tribunal a quo acudiera a una declaración oficiosa de la caducidad, sino que podía declararla como consecuencia de la excepción presentada por la entidad demandada. </w:t>
      </w:r>
    </w:p>
    <w:p w14:paraId="4E8F8968" w14:textId="77777777" w:rsidR="00842BD3" w:rsidRPr="00F1114B" w:rsidRDefault="00842BD3" w:rsidP="00842BD3">
      <w:pPr>
        <w:pStyle w:val="Lista4"/>
        <w:ind w:left="0" w:firstLine="0"/>
        <w:rPr>
          <w:rFonts w:cs="Arial"/>
        </w:rPr>
      </w:pPr>
    </w:p>
    <w:p w14:paraId="739728DB" w14:textId="77777777" w:rsidR="00842BD3" w:rsidRPr="00F1114B" w:rsidRDefault="00842BD3" w:rsidP="00842BD3">
      <w:pPr>
        <w:pStyle w:val="Lista4"/>
        <w:ind w:left="0" w:firstLine="0"/>
        <w:rPr>
          <w:rFonts w:cs="Arial"/>
        </w:rPr>
      </w:pPr>
      <w:r w:rsidRPr="00F1114B">
        <w:rPr>
          <w:rFonts w:cs="Arial"/>
        </w:rPr>
        <w:t xml:space="preserve">Se comparten entonces las consideraciones del Tribunal a quo, se confirmará la sentencia y se declarará probada la excepción de caducidad que interpuso en su oportunidad la parte demandada. </w:t>
      </w:r>
    </w:p>
    <w:p w14:paraId="09073DBE" w14:textId="77777777" w:rsidR="00842BD3" w:rsidRPr="00F1114B" w:rsidRDefault="00842BD3" w:rsidP="00842BD3">
      <w:pPr>
        <w:pStyle w:val="Lista4"/>
        <w:ind w:left="0" w:firstLine="0"/>
        <w:rPr>
          <w:rFonts w:cs="Arial"/>
        </w:rPr>
      </w:pPr>
    </w:p>
    <w:p w14:paraId="75D84FF4" w14:textId="77777777" w:rsidR="00842BD3" w:rsidRPr="00F1114B" w:rsidRDefault="00842BD3" w:rsidP="00842BD3">
      <w:pPr>
        <w:pStyle w:val="Lista4"/>
        <w:ind w:left="0" w:firstLine="0"/>
        <w:rPr>
          <w:rFonts w:cs="Arial"/>
          <w:b/>
        </w:rPr>
      </w:pPr>
      <w:r w:rsidRPr="00F1114B">
        <w:rPr>
          <w:rFonts w:cs="Arial"/>
          <w:b/>
        </w:rPr>
        <w:t>5. Inexistencia de prestaciones extra contractuales</w:t>
      </w:r>
    </w:p>
    <w:p w14:paraId="06802ABF" w14:textId="77777777" w:rsidR="00842BD3" w:rsidRPr="00F1114B" w:rsidRDefault="00842BD3" w:rsidP="00842BD3">
      <w:pPr>
        <w:pStyle w:val="Lista4"/>
        <w:ind w:left="0" w:firstLine="0"/>
        <w:rPr>
          <w:rFonts w:cs="Arial"/>
        </w:rPr>
      </w:pPr>
    </w:p>
    <w:p w14:paraId="7DF49276" w14:textId="77777777" w:rsidR="00842BD3" w:rsidRPr="00F1114B" w:rsidRDefault="00842BD3" w:rsidP="00842BD3">
      <w:pPr>
        <w:pStyle w:val="Lista4"/>
        <w:ind w:left="0" w:firstLine="0"/>
        <w:rPr>
          <w:rFonts w:cs="Arial"/>
        </w:rPr>
      </w:pPr>
      <w:r w:rsidRPr="00F1114B">
        <w:rPr>
          <w:rFonts w:cs="Arial"/>
        </w:rPr>
        <w:lastRenderedPageBreak/>
        <w:t>La Sala considera necesario adicionar a lo ya expuesto, que el análisis del acervo probatorio permite reafirmar que no hay lugar a considerar la adecuación de la presente acción a la de reparación directa, toda vez que no existen prestaciones extracontractuales acreditadas en este proceso.</w:t>
      </w:r>
    </w:p>
    <w:p w14:paraId="2AA3B819" w14:textId="77777777" w:rsidR="00842BD3" w:rsidRPr="00F1114B" w:rsidRDefault="00842BD3" w:rsidP="00842BD3">
      <w:pPr>
        <w:pStyle w:val="Lista4"/>
        <w:ind w:left="0" w:firstLine="0"/>
        <w:rPr>
          <w:rFonts w:cs="Arial"/>
        </w:rPr>
      </w:pPr>
    </w:p>
    <w:p w14:paraId="65DA5B0A" w14:textId="77777777" w:rsidR="00842BD3" w:rsidRPr="00F1114B" w:rsidRDefault="00842BD3" w:rsidP="00842BD3">
      <w:pPr>
        <w:pStyle w:val="Lista4"/>
        <w:ind w:left="0" w:firstLine="0"/>
        <w:rPr>
          <w:rFonts w:cs="Arial"/>
        </w:rPr>
      </w:pPr>
    </w:p>
    <w:p w14:paraId="04E3852C" w14:textId="77777777" w:rsidR="00842BD3" w:rsidRPr="00F1114B" w:rsidRDefault="00842BD3" w:rsidP="00842BD3">
      <w:pPr>
        <w:pStyle w:val="Lista4"/>
        <w:ind w:left="0" w:firstLine="0"/>
        <w:rPr>
          <w:rFonts w:cs="Arial"/>
        </w:rPr>
      </w:pPr>
      <w:r w:rsidRPr="00F1114B">
        <w:rPr>
          <w:rFonts w:cs="Arial"/>
        </w:rPr>
        <w:t>Las pruebas demuestran que toda la ejecución de las prestaciones se cumplió dentro del término del Contrato de Consultoría No 091 de 2004 y que las variaciones de los requerimientos, incluso las referidas a la IED San Carlos, dieron lugar al contrato modificatorio 1 y se ejecutaron igualmente dentro del plazo de ejecución del contrato correspondiente.</w:t>
      </w:r>
    </w:p>
    <w:p w14:paraId="2778AA19" w14:textId="77777777" w:rsidR="00842BD3" w:rsidRPr="00F1114B" w:rsidRDefault="00842BD3" w:rsidP="00842BD3">
      <w:pPr>
        <w:pStyle w:val="Lista4"/>
        <w:ind w:left="0" w:firstLine="0"/>
        <w:rPr>
          <w:rFonts w:cs="Arial"/>
        </w:rPr>
      </w:pPr>
    </w:p>
    <w:p w14:paraId="5B225500" w14:textId="77777777" w:rsidR="00842BD3" w:rsidRPr="00F1114B" w:rsidRDefault="00842BD3" w:rsidP="00842BD3">
      <w:pPr>
        <w:pStyle w:val="Lista4"/>
        <w:ind w:left="0" w:firstLine="0"/>
        <w:rPr>
          <w:rFonts w:cs="Arial"/>
        </w:rPr>
      </w:pPr>
      <w:r w:rsidRPr="00F1114B">
        <w:rPr>
          <w:rFonts w:cs="Arial"/>
        </w:rPr>
        <w:t xml:space="preserve">Así las cosas, teniendo en cuenta que lo que pretendió debatir en este proceso fue el supuesto desequilibrio económico en la ejecución de prestaciones contractuales, se reitera que la causa jurídica de la demanda se ubicó en la ejecución del Contrato de Consultoría 091 de 2004 y por ello se concluye que en este caso particular no procede invocar el enriquecimiento sin causa. </w:t>
      </w:r>
    </w:p>
    <w:p w14:paraId="4F23CB9F" w14:textId="77777777" w:rsidR="00842BD3" w:rsidRPr="00F1114B" w:rsidRDefault="00842BD3" w:rsidP="00842BD3">
      <w:pPr>
        <w:pStyle w:val="Lista4"/>
        <w:ind w:left="0" w:firstLine="0"/>
        <w:rPr>
          <w:rFonts w:cs="Arial"/>
        </w:rPr>
      </w:pPr>
    </w:p>
    <w:p w14:paraId="2B477ECF" w14:textId="77777777" w:rsidR="00842BD3" w:rsidRPr="00F1114B" w:rsidRDefault="00842BD3" w:rsidP="00842BD3">
      <w:pPr>
        <w:pStyle w:val="Lista4"/>
        <w:ind w:left="0" w:firstLine="0"/>
        <w:rPr>
          <w:rFonts w:cs="Arial"/>
        </w:rPr>
      </w:pPr>
      <w:r w:rsidRPr="00F1114B">
        <w:rPr>
          <w:rFonts w:cs="Arial"/>
        </w:rPr>
        <w:t xml:space="preserve">Bueno es advertir que el argumento consistente en acudir a la acción de reparación directa tampoco resulta adecuado para el propósito de extender el término de la caducidad de la acción, toda vez que bajo las reglas de dicho tipo acción se tendría que contar el plazo desde la fecha en que el daño se consolidó y es un hecho innegable que en la comunicación del 28 de marzo de 2006 el demandante ya invocaba los hechos que reseñó como fuente del daño. </w:t>
      </w:r>
    </w:p>
    <w:p w14:paraId="70D8A230" w14:textId="77777777" w:rsidR="00842BD3" w:rsidRPr="00F1114B" w:rsidRDefault="00842BD3" w:rsidP="00842BD3">
      <w:pPr>
        <w:pStyle w:val="Lista4"/>
        <w:ind w:left="0" w:firstLine="0"/>
        <w:rPr>
          <w:rFonts w:cs="Arial"/>
        </w:rPr>
      </w:pPr>
    </w:p>
    <w:p w14:paraId="41D30738" w14:textId="77777777" w:rsidR="00842BD3" w:rsidRPr="00F1114B" w:rsidRDefault="00842BD3" w:rsidP="00842BD3">
      <w:pPr>
        <w:pStyle w:val="Lista4"/>
        <w:ind w:left="0" w:firstLine="0"/>
        <w:rPr>
          <w:rFonts w:cs="Arial"/>
        </w:rPr>
      </w:pPr>
      <w:r w:rsidRPr="00F1114B">
        <w:rPr>
          <w:rFonts w:cs="Arial"/>
        </w:rPr>
        <w:t>En ese orden de ideas, para la fecha en que presentó la demanda ya habían trascurrido los dos años previstos para la caducidad de la acción de reparación directa que –se repite-no resultaba pertinente en el presente asunto.</w:t>
      </w:r>
    </w:p>
    <w:p w14:paraId="57C8CBE1" w14:textId="77777777" w:rsidR="00842BD3" w:rsidRPr="00F1114B" w:rsidRDefault="00842BD3" w:rsidP="00842BD3">
      <w:pPr>
        <w:pStyle w:val="Lista4"/>
        <w:ind w:left="0" w:firstLine="0"/>
        <w:rPr>
          <w:rFonts w:cs="Arial"/>
        </w:rPr>
      </w:pPr>
    </w:p>
    <w:p w14:paraId="4D425D17" w14:textId="77777777" w:rsidR="00842BD3" w:rsidRPr="00F1114B" w:rsidRDefault="00842BD3" w:rsidP="00842BD3">
      <w:pPr>
        <w:pStyle w:val="Lista4"/>
        <w:ind w:left="0" w:firstLine="0"/>
        <w:rPr>
          <w:rFonts w:cs="Arial"/>
        </w:rPr>
      </w:pPr>
      <w:r w:rsidRPr="00F1114B">
        <w:rPr>
          <w:rFonts w:cs="Arial"/>
        </w:rPr>
        <w:t>Respecto de las pruebas que se refieren a los hechos posteriores al 24 de enero de 2007, fecha de terminación del plazo de ejecución del contrato, la Sala advierte que se trató de requerimientos para que se aclararan las dudas del contratista de la obra que había sido objeto de la consultoría, pero esas pruebas no acreditan que se hubiera ejecutado prestación extracontractual alguna</w:t>
      </w:r>
      <w:r w:rsidRPr="00F1114B">
        <w:rPr>
          <w:rStyle w:val="Refdenotaalpie"/>
          <w:rFonts w:cs="Arial"/>
        </w:rPr>
        <w:footnoteReference w:id="49"/>
      </w:r>
      <w:r w:rsidRPr="00F1114B">
        <w:rPr>
          <w:rFonts w:cs="Arial"/>
        </w:rPr>
        <w:t>.</w:t>
      </w:r>
    </w:p>
    <w:p w14:paraId="05FA19D8" w14:textId="77777777" w:rsidR="00842BD3" w:rsidRPr="00F1114B" w:rsidRDefault="00842BD3" w:rsidP="00842BD3">
      <w:pPr>
        <w:pStyle w:val="Lista2"/>
        <w:ind w:left="0" w:firstLine="0"/>
        <w:rPr>
          <w:rFonts w:cs="Arial"/>
          <w:b/>
        </w:rPr>
      </w:pPr>
    </w:p>
    <w:p w14:paraId="66BE28D1" w14:textId="77777777" w:rsidR="00842BD3" w:rsidRPr="00F1114B" w:rsidRDefault="00842BD3" w:rsidP="00842BD3">
      <w:pPr>
        <w:pStyle w:val="Lista2"/>
        <w:ind w:left="0" w:firstLine="0"/>
        <w:rPr>
          <w:rFonts w:cs="Arial"/>
          <w:b/>
        </w:rPr>
      </w:pPr>
      <w:r w:rsidRPr="00F1114B">
        <w:rPr>
          <w:rFonts w:cs="Arial"/>
          <w:b/>
        </w:rPr>
        <w:lastRenderedPageBreak/>
        <w:t>6.</w:t>
      </w:r>
      <w:r w:rsidRPr="00F1114B">
        <w:rPr>
          <w:rFonts w:cs="Arial"/>
          <w:b/>
        </w:rPr>
        <w:tab/>
        <w:t>Costas</w:t>
      </w:r>
    </w:p>
    <w:p w14:paraId="2830C05B" w14:textId="77777777" w:rsidR="00842BD3" w:rsidRPr="00F1114B" w:rsidRDefault="00842BD3" w:rsidP="00842BD3">
      <w:pPr>
        <w:rPr>
          <w:rFonts w:cs="Arial"/>
        </w:rPr>
      </w:pPr>
    </w:p>
    <w:p w14:paraId="71502225" w14:textId="77777777" w:rsidR="00842BD3" w:rsidRPr="00F1114B" w:rsidRDefault="00842BD3" w:rsidP="00842BD3">
      <w:pPr>
        <w:pStyle w:val="Continuarlista2"/>
        <w:spacing w:after="0"/>
        <w:ind w:left="0"/>
        <w:rPr>
          <w:rFonts w:cs="Arial"/>
        </w:rPr>
      </w:pPr>
      <w:r w:rsidRPr="00F1114B">
        <w:rPr>
          <w:rFonts w:cs="Arial"/>
        </w:rPr>
        <w:t xml:space="preserve">Habida cuenta de que para el proceso en que se dicta este fallo resulta aplicable el artículo 55 de la Ley 446 de 1998, el cual indica que sólo hay lugar a la imposición de costas cuando alguna de las partes hubiere actuado temerariamente y, en el </w:t>
      </w:r>
      <w:r w:rsidRPr="00F1114B">
        <w:rPr>
          <w:rFonts w:cs="Arial"/>
          <w:i/>
          <w:iCs/>
        </w:rPr>
        <w:t>sub lite</w:t>
      </w:r>
      <w:r w:rsidRPr="00F1114B">
        <w:rPr>
          <w:rFonts w:cs="Arial"/>
        </w:rPr>
        <w:t>, ninguna actuó de esa forma se concluye que en el presente asunto no habrá lugar a condena en costas.</w:t>
      </w:r>
    </w:p>
    <w:p w14:paraId="2A3AE366" w14:textId="77777777" w:rsidR="00842BD3" w:rsidRPr="00F1114B" w:rsidRDefault="00842BD3" w:rsidP="00842BD3">
      <w:pPr>
        <w:pStyle w:val="Textoindependiente22"/>
        <w:numPr>
          <w:ilvl w:val="12"/>
          <w:numId w:val="0"/>
        </w:numPr>
        <w:overflowPunct/>
        <w:autoSpaceDE/>
        <w:autoSpaceDN/>
        <w:adjustRightInd/>
        <w:textAlignment w:val="auto"/>
        <w:rPr>
          <w:rFonts w:cs="Arial"/>
          <w:szCs w:val="24"/>
        </w:rPr>
      </w:pPr>
    </w:p>
    <w:p w14:paraId="30328092" w14:textId="77777777" w:rsidR="00842BD3" w:rsidRPr="00F1114B" w:rsidRDefault="00842BD3" w:rsidP="00842BD3">
      <w:pPr>
        <w:pStyle w:val="Textoindependiente22"/>
        <w:numPr>
          <w:ilvl w:val="12"/>
          <w:numId w:val="0"/>
        </w:numPr>
        <w:overflowPunct/>
        <w:autoSpaceDE/>
        <w:autoSpaceDN/>
        <w:adjustRightInd/>
        <w:textAlignment w:val="auto"/>
        <w:rPr>
          <w:rFonts w:cs="Arial"/>
          <w:szCs w:val="24"/>
        </w:rPr>
      </w:pPr>
    </w:p>
    <w:p w14:paraId="1C7B2394" w14:textId="77777777" w:rsidR="00842BD3" w:rsidRPr="00F1114B" w:rsidRDefault="00842BD3" w:rsidP="00842BD3">
      <w:pPr>
        <w:pStyle w:val="Textoindependiente22"/>
        <w:numPr>
          <w:ilvl w:val="12"/>
          <w:numId w:val="0"/>
        </w:numPr>
        <w:overflowPunct/>
        <w:autoSpaceDE/>
        <w:autoSpaceDN/>
        <w:adjustRightInd/>
        <w:textAlignment w:val="auto"/>
        <w:rPr>
          <w:rFonts w:cs="Arial"/>
          <w:szCs w:val="24"/>
        </w:rPr>
      </w:pPr>
      <w:r w:rsidRPr="00F1114B">
        <w:rPr>
          <w:rFonts w:cs="Arial"/>
          <w:szCs w:val="24"/>
        </w:rPr>
        <w:t>En mérito de lo expuesto, el Consejo de Estado, en Sala de lo Contencioso Administrativo, Sección Tercera, Subsección A, administrando justicia en nombre de la República de Colombia y por autoridad de la ley,</w:t>
      </w:r>
    </w:p>
    <w:p w14:paraId="3B10A3A2" w14:textId="77777777" w:rsidR="00842BD3" w:rsidRPr="00F1114B" w:rsidRDefault="00842BD3" w:rsidP="00842BD3">
      <w:pPr>
        <w:rPr>
          <w:rFonts w:cs="Arial"/>
        </w:rPr>
      </w:pPr>
    </w:p>
    <w:p w14:paraId="0862408B" w14:textId="77777777" w:rsidR="00842BD3" w:rsidRPr="00F1114B" w:rsidRDefault="00842BD3" w:rsidP="00842BD3">
      <w:pPr>
        <w:rPr>
          <w:rFonts w:cs="Arial"/>
        </w:rPr>
      </w:pPr>
    </w:p>
    <w:p w14:paraId="3C52BAEF" w14:textId="77777777" w:rsidR="00842BD3" w:rsidRPr="00F1114B" w:rsidRDefault="00842BD3" w:rsidP="00842BD3">
      <w:pPr>
        <w:pStyle w:val="Ttulo5"/>
        <w:rPr>
          <w:rFonts w:cs="Arial"/>
          <w:bCs/>
          <w:sz w:val="24"/>
          <w:szCs w:val="24"/>
        </w:rPr>
      </w:pPr>
      <w:r w:rsidRPr="00F1114B">
        <w:rPr>
          <w:rFonts w:cs="Arial"/>
          <w:bCs/>
          <w:sz w:val="24"/>
          <w:szCs w:val="24"/>
        </w:rPr>
        <w:t xml:space="preserve">F A L </w:t>
      </w:r>
      <w:proofErr w:type="spellStart"/>
      <w:r w:rsidRPr="00F1114B">
        <w:rPr>
          <w:rFonts w:cs="Arial"/>
          <w:bCs/>
          <w:sz w:val="24"/>
          <w:szCs w:val="24"/>
        </w:rPr>
        <w:t>L</w:t>
      </w:r>
      <w:proofErr w:type="spellEnd"/>
      <w:r w:rsidRPr="00F1114B">
        <w:rPr>
          <w:rFonts w:cs="Arial"/>
          <w:bCs/>
          <w:sz w:val="24"/>
          <w:szCs w:val="24"/>
        </w:rPr>
        <w:t xml:space="preserve"> A</w:t>
      </w:r>
    </w:p>
    <w:p w14:paraId="4CDA43A2" w14:textId="77777777" w:rsidR="00842BD3" w:rsidRPr="00F1114B" w:rsidRDefault="00842BD3" w:rsidP="00842BD3">
      <w:pPr>
        <w:widowControl w:val="0"/>
        <w:autoSpaceDE w:val="0"/>
        <w:autoSpaceDN w:val="0"/>
        <w:adjustRightInd w:val="0"/>
        <w:rPr>
          <w:rFonts w:cs="Arial"/>
          <w:b/>
        </w:rPr>
      </w:pPr>
    </w:p>
    <w:p w14:paraId="6C616B66" w14:textId="77777777" w:rsidR="00842BD3" w:rsidRPr="00F1114B" w:rsidRDefault="00842BD3" w:rsidP="00842BD3">
      <w:pPr>
        <w:widowControl w:val="0"/>
        <w:autoSpaceDE w:val="0"/>
        <w:autoSpaceDN w:val="0"/>
        <w:adjustRightInd w:val="0"/>
        <w:rPr>
          <w:rFonts w:cs="Arial"/>
          <w:b/>
        </w:rPr>
      </w:pPr>
    </w:p>
    <w:p w14:paraId="7062282E" w14:textId="77777777" w:rsidR="00842BD3" w:rsidRPr="00F1114B" w:rsidRDefault="00842BD3" w:rsidP="00842BD3">
      <w:pPr>
        <w:widowControl w:val="0"/>
        <w:autoSpaceDE w:val="0"/>
        <w:autoSpaceDN w:val="0"/>
        <w:adjustRightInd w:val="0"/>
        <w:rPr>
          <w:rFonts w:cs="Arial"/>
          <w:lang w:val="es-CO"/>
        </w:rPr>
      </w:pPr>
      <w:r w:rsidRPr="00F1114B">
        <w:rPr>
          <w:rFonts w:cs="Arial"/>
          <w:b/>
        </w:rPr>
        <w:t xml:space="preserve">PRIMERO: CONFIRMAR </w:t>
      </w:r>
      <w:r w:rsidRPr="00F1114B">
        <w:rPr>
          <w:rFonts w:cs="Arial"/>
          <w:lang w:val="es-CO"/>
        </w:rPr>
        <w:t>la sentencia  proferida por el Tribunal Administrativo de Cundinamarca el 31 de octubre de 2013.</w:t>
      </w:r>
    </w:p>
    <w:p w14:paraId="00AC5DEF" w14:textId="77777777" w:rsidR="00842BD3" w:rsidRPr="00F1114B" w:rsidRDefault="00842BD3" w:rsidP="00842BD3">
      <w:pPr>
        <w:widowControl w:val="0"/>
        <w:autoSpaceDE w:val="0"/>
        <w:autoSpaceDN w:val="0"/>
        <w:adjustRightInd w:val="0"/>
        <w:rPr>
          <w:rFonts w:cs="Arial"/>
          <w:lang w:val="es-CO"/>
        </w:rPr>
      </w:pPr>
      <w:r w:rsidRPr="00F1114B">
        <w:rPr>
          <w:rFonts w:cs="Arial"/>
          <w:lang w:val="es-CO"/>
        </w:rPr>
        <w:t xml:space="preserve"> </w:t>
      </w:r>
    </w:p>
    <w:p w14:paraId="6F9C389E" w14:textId="77777777" w:rsidR="00842BD3" w:rsidRPr="00F1114B" w:rsidRDefault="00842BD3" w:rsidP="00842BD3">
      <w:pPr>
        <w:widowControl w:val="0"/>
        <w:autoSpaceDE w:val="0"/>
        <w:autoSpaceDN w:val="0"/>
        <w:adjustRightInd w:val="0"/>
        <w:rPr>
          <w:rFonts w:cs="Arial"/>
        </w:rPr>
      </w:pPr>
      <w:r w:rsidRPr="00F1114B">
        <w:rPr>
          <w:rFonts w:cs="Arial"/>
          <w:b/>
          <w:lang w:val="es-CO"/>
        </w:rPr>
        <w:t>SEGUNDO: DECLARAR</w:t>
      </w:r>
      <w:r w:rsidRPr="00F1114B">
        <w:rPr>
          <w:rFonts w:cs="Arial"/>
          <w:lang w:val="es-CO"/>
        </w:rPr>
        <w:t xml:space="preserve"> probada la </w:t>
      </w:r>
      <w:r w:rsidRPr="00F1114B">
        <w:rPr>
          <w:rFonts w:cs="Arial"/>
          <w:b/>
          <w:lang w:val="es-CO"/>
        </w:rPr>
        <w:t>excepción de caducidad de la acción.</w:t>
      </w:r>
    </w:p>
    <w:p w14:paraId="5734F857" w14:textId="77777777" w:rsidR="00842BD3" w:rsidRPr="00F1114B" w:rsidRDefault="00842BD3" w:rsidP="00842BD3">
      <w:pPr>
        <w:widowControl w:val="0"/>
        <w:autoSpaceDE w:val="0"/>
        <w:autoSpaceDN w:val="0"/>
        <w:adjustRightInd w:val="0"/>
        <w:rPr>
          <w:rFonts w:cs="Arial"/>
          <w:b/>
        </w:rPr>
      </w:pPr>
    </w:p>
    <w:p w14:paraId="2627F90C" w14:textId="77777777" w:rsidR="00842BD3" w:rsidRPr="00F1114B" w:rsidRDefault="00842BD3" w:rsidP="00842BD3">
      <w:pPr>
        <w:widowControl w:val="0"/>
        <w:autoSpaceDE w:val="0"/>
        <w:autoSpaceDN w:val="0"/>
        <w:adjustRightInd w:val="0"/>
        <w:rPr>
          <w:rFonts w:cs="Arial"/>
        </w:rPr>
      </w:pPr>
      <w:r w:rsidRPr="00F1114B">
        <w:rPr>
          <w:rFonts w:cs="Arial"/>
          <w:b/>
        </w:rPr>
        <w:t xml:space="preserve">TERCERO: </w:t>
      </w:r>
      <w:r w:rsidRPr="00F1114B">
        <w:rPr>
          <w:rFonts w:cs="Arial"/>
        </w:rPr>
        <w:t>Sin condena en costas.</w:t>
      </w:r>
    </w:p>
    <w:p w14:paraId="668A1A39" w14:textId="77777777" w:rsidR="00842BD3" w:rsidRPr="00F1114B" w:rsidRDefault="00842BD3" w:rsidP="00842BD3">
      <w:pPr>
        <w:widowControl w:val="0"/>
        <w:autoSpaceDE w:val="0"/>
        <w:autoSpaceDN w:val="0"/>
        <w:adjustRightInd w:val="0"/>
        <w:rPr>
          <w:rFonts w:cs="Arial"/>
        </w:rPr>
      </w:pPr>
    </w:p>
    <w:p w14:paraId="5B1CE6E1" w14:textId="77777777" w:rsidR="00842BD3" w:rsidRPr="00F1114B" w:rsidRDefault="00842BD3" w:rsidP="00842BD3">
      <w:pPr>
        <w:widowControl w:val="0"/>
        <w:autoSpaceDE w:val="0"/>
        <w:autoSpaceDN w:val="0"/>
        <w:adjustRightInd w:val="0"/>
        <w:rPr>
          <w:rFonts w:cs="Arial"/>
          <w:b/>
        </w:rPr>
      </w:pPr>
    </w:p>
    <w:p w14:paraId="7ED22E56" w14:textId="77777777" w:rsidR="00842BD3" w:rsidRPr="00F1114B" w:rsidRDefault="00842BD3" w:rsidP="00842BD3">
      <w:pPr>
        <w:widowControl w:val="0"/>
        <w:autoSpaceDE w:val="0"/>
        <w:autoSpaceDN w:val="0"/>
        <w:adjustRightInd w:val="0"/>
        <w:rPr>
          <w:rFonts w:cs="Arial"/>
          <w:b/>
        </w:rPr>
      </w:pPr>
    </w:p>
    <w:p w14:paraId="604888F5" w14:textId="77777777" w:rsidR="00842BD3" w:rsidRPr="00F1114B" w:rsidRDefault="00842BD3" w:rsidP="00842BD3">
      <w:pPr>
        <w:widowControl w:val="0"/>
        <w:autoSpaceDE w:val="0"/>
        <w:autoSpaceDN w:val="0"/>
        <w:adjustRightInd w:val="0"/>
        <w:rPr>
          <w:rFonts w:cs="Arial"/>
        </w:rPr>
      </w:pPr>
      <w:r w:rsidRPr="00F1114B">
        <w:rPr>
          <w:rFonts w:cs="Arial"/>
          <w:b/>
        </w:rPr>
        <w:t xml:space="preserve">CUARTO: </w:t>
      </w:r>
      <w:r w:rsidRPr="00F1114B">
        <w:rPr>
          <w:rFonts w:cs="Arial"/>
        </w:rPr>
        <w:t>En firme esta providencia, devuélvase el expediente al Tribunal de origen.</w:t>
      </w:r>
    </w:p>
    <w:p w14:paraId="59BB189C" w14:textId="77777777" w:rsidR="00842BD3" w:rsidRDefault="00842BD3" w:rsidP="00842BD3">
      <w:pPr>
        <w:spacing w:line="240" w:lineRule="auto"/>
        <w:jc w:val="center"/>
        <w:rPr>
          <w:rFonts w:cs="Arial"/>
          <w:b/>
          <w:bCs/>
          <w:noProof/>
        </w:rPr>
      </w:pPr>
    </w:p>
    <w:p w14:paraId="79AC114E" w14:textId="77777777" w:rsidR="00842BD3" w:rsidRDefault="00842BD3" w:rsidP="00842BD3">
      <w:pPr>
        <w:spacing w:line="240" w:lineRule="auto"/>
        <w:jc w:val="center"/>
        <w:rPr>
          <w:rFonts w:cs="Arial"/>
          <w:b/>
          <w:bCs/>
          <w:noProof/>
        </w:rPr>
      </w:pPr>
    </w:p>
    <w:p w14:paraId="5920C81C" w14:textId="77777777" w:rsidR="00842BD3" w:rsidRDefault="00842BD3" w:rsidP="00842BD3">
      <w:pPr>
        <w:spacing w:line="240" w:lineRule="auto"/>
        <w:jc w:val="center"/>
        <w:rPr>
          <w:rFonts w:cs="Arial"/>
          <w:b/>
          <w:bCs/>
          <w:noProof/>
        </w:rPr>
      </w:pPr>
    </w:p>
    <w:p w14:paraId="59A9ADDE" w14:textId="77777777" w:rsidR="00842BD3" w:rsidRPr="00F1114B" w:rsidRDefault="00842BD3" w:rsidP="00842BD3">
      <w:pPr>
        <w:spacing w:line="240" w:lineRule="auto"/>
        <w:jc w:val="center"/>
        <w:rPr>
          <w:rFonts w:cs="Arial"/>
          <w:b/>
          <w:bCs/>
          <w:noProof/>
        </w:rPr>
      </w:pPr>
    </w:p>
    <w:p w14:paraId="5D7FF35D" w14:textId="77777777" w:rsidR="00842BD3" w:rsidRPr="00F1114B" w:rsidRDefault="00842BD3" w:rsidP="00842BD3">
      <w:pPr>
        <w:spacing w:line="240" w:lineRule="auto"/>
        <w:jc w:val="center"/>
        <w:rPr>
          <w:rFonts w:cs="Arial"/>
          <w:b/>
          <w:bCs/>
          <w:noProof/>
        </w:rPr>
      </w:pPr>
      <w:r w:rsidRPr="00F1114B">
        <w:rPr>
          <w:rFonts w:cs="Arial"/>
          <w:b/>
          <w:bCs/>
          <w:noProof/>
        </w:rPr>
        <w:t>CÓPIESE, NOTIFÍQUESE Y CÚMPLASE</w:t>
      </w:r>
    </w:p>
    <w:p w14:paraId="10A82F33" w14:textId="77777777" w:rsidR="00842BD3" w:rsidRPr="00F1114B" w:rsidRDefault="00842BD3" w:rsidP="00842BD3">
      <w:pPr>
        <w:spacing w:line="240" w:lineRule="auto"/>
        <w:jc w:val="center"/>
        <w:rPr>
          <w:rFonts w:cs="Arial"/>
        </w:rPr>
      </w:pPr>
    </w:p>
    <w:p w14:paraId="1F276709" w14:textId="77777777" w:rsidR="00842BD3" w:rsidRPr="00F1114B" w:rsidRDefault="00842BD3" w:rsidP="00842BD3">
      <w:pPr>
        <w:spacing w:line="240" w:lineRule="auto"/>
        <w:jc w:val="center"/>
        <w:rPr>
          <w:rFonts w:cs="Arial"/>
        </w:rPr>
      </w:pPr>
    </w:p>
    <w:p w14:paraId="45A87DE4" w14:textId="77777777" w:rsidR="00842BD3" w:rsidRPr="00F1114B" w:rsidRDefault="00842BD3" w:rsidP="00842BD3">
      <w:pPr>
        <w:spacing w:line="240" w:lineRule="auto"/>
        <w:jc w:val="center"/>
        <w:rPr>
          <w:rFonts w:cs="Arial"/>
        </w:rPr>
      </w:pPr>
    </w:p>
    <w:p w14:paraId="6BF26174" w14:textId="77777777" w:rsidR="00842BD3" w:rsidRPr="00F1114B" w:rsidRDefault="00842BD3" w:rsidP="00842BD3">
      <w:pPr>
        <w:spacing w:line="240" w:lineRule="auto"/>
        <w:jc w:val="center"/>
        <w:rPr>
          <w:rFonts w:cs="Arial"/>
        </w:rPr>
      </w:pPr>
    </w:p>
    <w:p w14:paraId="4C917FDF" w14:textId="77777777" w:rsidR="00842BD3" w:rsidRDefault="00842BD3" w:rsidP="00842BD3">
      <w:pPr>
        <w:spacing w:line="240" w:lineRule="auto"/>
        <w:jc w:val="center"/>
        <w:rPr>
          <w:rFonts w:cs="Arial"/>
        </w:rPr>
      </w:pPr>
      <w:r w:rsidRPr="00F1114B">
        <w:rPr>
          <w:rFonts w:cs="Arial"/>
          <w:b/>
        </w:rPr>
        <w:t>MARIA ADRIANA MARIN</w:t>
      </w:r>
    </w:p>
    <w:p w14:paraId="04E37B09" w14:textId="77777777" w:rsidR="00842BD3" w:rsidRDefault="00842BD3" w:rsidP="00842BD3">
      <w:pPr>
        <w:spacing w:line="240" w:lineRule="auto"/>
        <w:jc w:val="center"/>
        <w:rPr>
          <w:rFonts w:cs="Arial"/>
        </w:rPr>
      </w:pPr>
    </w:p>
    <w:p w14:paraId="25F3C6C3" w14:textId="77777777" w:rsidR="00842BD3" w:rsidRDefault="00842BD3" w:rsidP="00842BD3">
      <w:pPr>
        <w:spacing w:line="240" w:lineRule="auto"/>
        <w:jc w:val="center"/>
        <w:rPr>
          <w:rFonts w:cs="Arial"/>
        </w:rPr>
      </w:pPr>
    </w:p>
    <w:p w14:paraId="141CED0D" w14:textId="77777777" w:rsidR="00842BD3" w:rsidRDefault="00842BD3" w:rsidP="00842BD3">
      <w:pPr>
        <w:spacing w:line="240" w:lineRule="auto"/>
        <w:jc w:val="center"/>
        <w:rPr>
          <w:rFonts w:cs="Arial"/>
        </w:rPr>
      </w:pPr>
    </w:p>
    <w:p w14:paraId="34BEC6C4" w14:textId="77777777" w:rsidR="00842BD3" w:rsidRDefault="00842BD3" w:rsidP="00842BD3">
      <w:pPr>
        <w:spacing w:line="240" w:lineRule="auto"/>
        <w:jc w:val="center"/>
        <w:rPr>
          <w:rFonts w:cs="Arial"/>
        </w:rPr>
      </w:pPr>
    </w:p>
    <w:p w14:paraId="15DC2C24" w14:textId="77777777" w:rsidR="00842BD3" w:rsidRPr="00F1114B" w:rsidRDefault="00842BD3" w:rsidP="00842BD3">
      <w:pPr>
        <w:spacing w:line="240" w:lineRule="auto"/>
        <w:jc w:val="center"/>
        <w:rPr>
          <w:rFonts w:cs="Arial"/>
          <w:b/>
          <w:lang w:val="es-CO"/>
        </w:rPr>
      </w:pPr>
      <w:r w:rsidRPr="00F1114B">
        <w:rPr>
          <w:rFonts w:cs="Arial"/>
          <w:b/>
          <w:lang w:val="es-CO"/>
        </w:rPr>
        <w:t>MARTA NUBIA VELÁSQUEZ RICO</w:t>
      </w:r>
    </w:p>
    <w:p w14:paraId="3A9619E0" w14:textId="77777777" w:rsidR="00842BD3" w:rsidRPr="003B5239" w:rsidRDefault="00842BD3" w:rsidP="00842BD3">
      <w:pPr>
        <w:widowControl w:val="0"/>
        <w:autoSpaceDE w:val="0"/>
        <w:autoSpaceDN w:val="0"/>
        <w:adjustRightInd w:val="0"/>
        <w:spacing w:line="240" w:lineRule="auto"/>
        <w:jc w:val="center"/>
        <w:rPr>
          <w:rFonts w:cs="Arial"/>
          <w:b/>
          <w:lang w:val="es-CO"/>
        </w:rPr>
      </w:pPr>
    </w:p>
    <w:p w14:paraId="2B6B7414" w14:textId="77777777" w:rsidR="00842BD3" w:rsidRPr="00F1114B" w:rsidRDefault="00842BD3" w:rsidP="00842BD3">
      <w:pPr>
        <w:widowControl w:val="0"/>
        <w:autoSpaceDE w:val="0"/>
        <w:autoSpaceDN w:val="0"/>
        <w:adjustRightInd w:val="0"/>
        <w:spacing w:line="240" w:lineRule="auto"/>
        <w:jc w:val="center"/>
        <w:rPr>
          <w:rFonts w:cs="Arial"/>
          <w:b/>
        </w:rPr>
      </w:pPr>
    </w:p>
    <w:p w14:paraId="5450E49A" w14:textId="77777777" w:rsidR="00842BD3" w:rsidRPr="00F1114B" w:rsidRDefault="00842BD3" w:rsidP="00842BD3">
      <w:pPr>
        <w:widowControl w:val="0"/>
        <w:autoSpaceDE w:val="0"/>
        <w:autoSpaceDN w:val="0"/>
        <w:adjustRightInd w:val="0"/>
        <w:spacing w:line="240" w:lineRule="auto"/>
        <w:jc w:val="center"/>
        <w:rPr>
          <w:rFonts w:cs="Arial"/>
          <w:b/>
        </w:rPr>
      </w:pPr>
    </w:p>
    <w:p w14:paraId="3E5ED0C5" w14:textId="77777777" w:rsidR="00842BD3" w:rsidRPr="00F1114B" w:rsidRDefault="00842BD3" w:rsidP="00842BD3">
      <w:pPr>
        <w:widowControl w:val="0"/>
        <w:autoSpaceDE w:val="0"/>
        <w:autoSpaceDN w:val="0"/>
        <w:adjustRightInd w:val="0"/>
        <w:spacing w:line="240" w:lineRule="auto"/>
        <w:jc w:val="center"/>
        <w:rPr>
          <w:rFonts w:cs="Arial"/>
          <w:b/>
        </w:rPr>
      </w:pPr>
    </w:p>
    <w:p w14:paraId="567BF3D3" w14:textId="77777777" w:rsidR="00842BD3" w:rsidRPr="002D337A" w:rsidRDefault="00842BD3" w:rsidP="00842BD3">
      <w:pPr>
        <w:widowControl w:val="0"/>
        <w:autoSpaceDE w:val="0"/>
        <w:autoSpaceDN w:val="0"/>
        <w:adjustRightInd w:val="0"/>
        <w:spacing w:line="240" w:lineRule="auto"/>
        <w:jc w:val="center"/>
        <w:rPr>
          <w:rFonts w:cs="Arial"/>
          <w:b/>
        </w:rPr>
      </w:pPr>
      <w:r w:rsidRPr="00F1114B">
        <w:rPr>
          <w:rFonts w:cs="Arial"/>
          <w:b/>
        </w:rPr>
        <w:t>CARLOS ALBERTO ZAMBRANO BARRERA</w:t>
      </w:r>
    </w:p>
    <w:p w14:paraId="6C45D2D2" w14:textId="77777777" w:rsidR="00842BD3" w:rsidRPr="008C2604" w:rsidRDefault="00842BD3" w:rsidP="00842BD3"/>
    <w:p w14:paraId="6ED1826B" w14:textId="7785CC5D" w:rsidR="00C870D7" w:rsidRPr="00842BD3" w:rsidRDefault="00C870D7" w:rsidP="00842BD3"/>
    <w:sectPr w:rsidR="00C870D7" w:rsidRPr="00842BD3" w:rsidSect="009A6C2B">
      <w:headerReference w:type="even" r:id="rId11"/>
      <w:headerReference w:type="default" r:id="rId12"/>
      <w:footerReference w:type="even" r:id="rId13"/>
      <w:footerReference w:type="default" r:id="rId14"/>
      <w:pgSz w:w="12242" w:h="18722" w:code="14"/>
      <w:pgMar w:top="1701" w:right="1701" w:bottom="1701" w:left="1701" w:header="0" w:footer="0"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DCEE2" w14:textId="77777777" w:rsidR="008E58E3" w:rsidRDefault="008E58E3" w:rsidP="00C85395">
      <w:r>
        <w:separator/>
      </w:r>
    </w:p>
  </w:endnote>
  <w:endnote w:type="continuationSeparator" w:id="0">
    <w:p w14:paraId="2DCDC4BB" w14:textId="77777777" w:rsidR="008E58E3" w:rsidRDefault="008E58E3" w:rsidP="00C8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8FE2D" w14:textId="77777777" w:rsidR="00EE62C4" w:rsidRDefault="00EE62C4" w:rsidP="0064345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93BDE43" w14:textId="77777777" w:rsidR="00EE62C4" w:rsidRDefault="00EE62C4" w:rsidP="0064345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5DA75" w14:textId="77777777" w:rsidR="00EE62C4" w:rsidRDefault="00EE62C4" w:rsidP="0064345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8C79D" w14:textId="77777777" w:rsidR="008E58E3" w:rsidRDefault="008E58E3" w:rsidP="00C85395">
      <w:r>
        <w:separator/>
      </w:r>
    </w:p>
  </w:footnote>
  <w:footnote w:type="continuationSeparator" w:id="0">
    <w:p w14:paraId="68249D00" w14:textId="77777777" w:rsidR="008E58E3" w:rsidRDefault="008E58E3" w:rsidP="00C85395">
      <w:r>
        <w:continuationSeparator/>
      </w:r>
    </w:p>
  </w:footnote>
  <w:footnote w:id="1">
    <w:p w14:paraId="4DB5B514" w14:textId="77777777" w:rsidR="00842BD3" w:rsidRPr="004E6EAC" w:rsidRDefault="00842BD3" w:rsidP="00842BD3">
      <w:pPr>
        <w:pStyle w:val="Textonotapie"/>
        <w:rPr>
          <w:lang w:val="es-CO"/>
        </w:rPr>
      </w:pPr>
      <w:r>
        <w:rPr>
          <w:rStyle w:val="Refdenotaalpie"/>
        </w:rPr>
        <w:footnoteRef/>
      </w:r>
      <w:r>
        <w:t xml:space="preserve"> </w:t>
      </w:r>
      <w:r>
        <w:rPr>
          <w:lang w:val="es-CO"/>
        </w:rPr>
        <w:t>Folio 480, cuaderno principal segunda instancia.</w:t>
      </w:r>
    </w:p>
  </w:footnote>
  <w:footnote w:id="2">
    <w:p w14:paraId="4EF0A498" w14:textId="77777777" w:rsidR="00842BD3" w:rsidRPr="00A96EF8" w:rsidRDefault="00842BD3" w:rsidP="00842BD3">
      <w:pPr>
        <w:pStyle w:val="Textonotapie"/>
        <w:rPr>
          <w:lang w:val="es-CO"/>
        </w:rPr>
      </w:pPr>
      <w:r>
        <w:rPr>
          <w:rStyle w:val="Refdenotaalpie"/>
        </w:rPr>
        <w:footnoteRef/>
      </w:r>
      <w:r>
        <w:t xml:space="preserve"> </w:t>
      </w:r>
      <w:r>
        <w:rPr>
          <w:lang w:val="es-CO"/>
        </w:rPr>
        <w:t xml:space="preserve">Integrado por Hermann Camacho Torres y María Esperanza Rodríguez Benavides. </w:t>
      </w:r>
    </w:p>
  </w:footnote>
  <w:footnote w:id="3">
    <w:p w14:paraId="00E73D61" w14:textId="77777777" w:rsidR="00842BD3" w:rsidRPr="00446085" w:rsidRDefault="00842BD3" w:rsidP="00842BD3">
      <w:pPr>
        <w:pStyle w:val="Textonotapie"/>
        <w:rPr>
          <w:lang w:val="es-CO"/>
        </w:rPr>
      </w:pPr>
      <w:r>
        <w:rPr>
          <w:rStyle w:val="Refdenotaalpie"/>
        </w:rPr>
        <w:footnoteRef/>
      </w:r>
      <w:r>
        <w:t xml:space="preserve"> </w:t>
      </w:r>
      <w:r>
        <w:rPr>
          <w:lang w:val="es-CO"/>
        </w:rPr>
        <w:t>Folio 10, cuaderno 1.</w:t>
      </w:r>
    </w:p>
  </w:footnote>
  <w:footnote w:id="4">
    <w:p w14:paraId="422A63C4" w14:textId="77777777" w:rsidR="00842BD3" w:rsidRPr="00280E13" w:rsidRDefault="00842BD3" w:rsidP="00842BD3">
      <w:pPr>
        <w:pStyle w:val="Textonotapie"/>
        <w:rPr>
          <w:lang w:val="es-CO"/>
        </w:rPr>
      </w:pPr>
      <w:r>
        <w:rPr>
          <w:rStyle w:val="Refdenotaalpie"/>
        </w:rPr>
        <w:footnoteRef/>
      </w:r>
      <w:r>
        <w:t xml:space="preserve"> </w:t>
      </w:r>
      <w:r>
        <w:rPr>
          <w:lang w:val="es-CO"/>
        </w:rPr>
        <w:t>Folio 28, cuaderno 1.</w:t>
      </w:r>
    </w:p>
  </w:footnote>
  <w:footnote w:id="5">
    <w:p w14:paraId="6F423283" w14:textId="77777777" w:rsidR="00842BD3" w:rsidRPr="002E4DCD" w:rsidRDefault="00842BD3" w:rsidP="00842BD3">
      <w:pPr>
        <w:pStyle w:val="Textonotapie"/>
        <w:rPr>
          <w:lang w:val="es-CO"/>
        </w:rPr>
      </w:pPr>
      <w:r>
        <w:rPr>
          <w:rStyle w:val="Refdenotaalpie"/>
        </w:rPr>
        <w:footnoteRef/>
      </w:r>
      <w:r>
        <w:t xml:space="preserve"> </w:t>
      </w:r>
      <w:r>
        <w:rPr>
          <w:lang w:val="es-CO"/>
        </w:rPr>
        <w:t>Folio 73, cuaderno 1.</w:t>
      </w:r>
    </w:p>
  </w:footnote>
  <w:footnote w:id="6">
    <w:p w14:paraId="5998CEDD" w14:textId="77777777" w:rsidR="00842BD3" w:rsidRPr="00D22DF1" w:rsidRDefault="00842BD3" w:rsidP="00842BD3">
      <w:pPr>
        <w:pStyle w:val="Textonotapie"/>
        <w:rPr>
          <w:lang w:val="es-CO"/>
        </w:rPr>
      </w:pPr>
      <w:r>
        <w:rPr>
          <w:rStyle w:val="Refdenotaalpie"/>
        </w:rPr>
        <w:footnoteRef/>
      </w:r>
      <w:r>
        <w:t xml:space="preserve"> </w:t>
      </w:r>
      <w:r>
        <w:rPr>
          <w:lang w:val="es-CO"/>
        </w:rPr>
        <w:t xml:space="preserve">Folios 182 y 183, cuaderno 1. </w:t>
      </w:r>
    </w:p>
  </w:footnote>
  <w:footnote w:id="7">
    <w:p w14:paraId="5644D71D" w14:textId="77777777" w:rsidR="00842BD3" w:rsidRPr="00076404" w:rsidRDefault="00842BD3" w:rsidP="00842BD3">
      <w:pPr>
        <w:pStyle w:val="Textonotapie"/>
        <w:rPr>
          <w:lang w:val="es-CO"/>
        </w:rPr>
      </w:pPr>
      <w:r>
        <w:rPr>
          <w:rStyle w:val="Refdenotaalpie"/>
        </w:rPr>
        <w:footnoteRef/>
      </w:r>
      <w:r>
        <w:t xml:space="preserve"> </w:t>
      </w:r>
      <w:r>
        <w:rPr>
          <w:lang w:val="es-CO"/>
        </w:rPr>
        <w:t>Folio 186, cuaderno 1.</w:t>
      </w:r>
    </w:p>
  </w:footnote>
  <w:footnote w:id="8">
    <w:p w14:paraId="29FD63C8" w14:textId="77777777" w:rsidR="00842BD3" w:rsidRPr="006F3DDD" w:rsidRDefault="00842BD3" w:rsidP="00842BD3">
      <w:pPr>
        <w:pStyle w:val="Textonotapie"/>
        <w:rPr>
          <w:lang w:val="es-CO"/>
        </w:rPr>
      </w:pPr>
      <w:r>
        <w:rPr>
          <w:rStyle w:val="Refdenotaalpie"/>
        </w:rPr>
        <w:footnoteRef/>
      </w:r>
      <w:r>
        <w:t xml:space="preserve"> </w:t>
      </w:r>
      <w:r>
        <w:rPr>
          <w:lang w:val="es-CO"/>
        </w:rPr>
        <w:t xml:space="preserve">Folio 199 a 201, cuaderno 1. </w:t>
      </w:r>
    </w:p>
  </w:footnote>
  <w:footnote w:id="9">
    <w:p w14:paraId="78E9A6E0" w14:textId="77777777" w:rsidR="00842BD3" w:rsidRPr="00846FBA" w:rsidRDefault="00842BD3" w:rsidP="00842BD3">
      <w:pPr>
        <w:pStyle w:val="Textonotapie"/>
        <w:rPr>
          <w:lang w:val="es-CO"/>
        </w:rPr>
      </w:pPr>
      <w:r>
        <w:rPr>
          <w:rStyle w:val="Refdenotaalpie"/>
        </w:rPr>
        <w:footnoteRef/>
      </w:r>
      <w:r>
        <w:t xml:space="preserve"> </w:t>
      </w:r>
      <w:r>
        <w:rPr>
          <w:lang w:val="es-CO"/>
        </w:rPr>
        <w:t>Folio 9, cuaderno principal segunda instancia.</w:t>
      </w:r>
    </w:p>
  </w:footnote>
  <w:footnote w:id="10">
    <w:p w14:paraId="36B3DA8F" w14:textId="77777777" w:rsidR="00842BD3" w:rsidRDefault="00842BD3" w:rsidP="00842BD3">
      <w:pPr>
        <w:pStyle w:val="Textonotapie"/>
        <w:spacing w:line="240" w:lineRule="auto"/>
      </w:pPr>
      <w:r>
        <w:rPr>
          <w:rStyle w:val="Refdenotaalpie"/>
        </w:rPr>
        <w:footnoteRef/>
      </w:r>
      <w:r>
        <w:t xml:space="preserve"> Invocó la sentencia de diciembre 1º de 2008, expediente 33990, Consejero ponente: Enrique Gil.</w:t>
      </w:r>
    </w:p>
    <w:p w14:paraId="2CD46B1B" w14:textId="77777777" w:rsidR="00842BD3" w:rsidRPr="004C45B7" w:rsidRDefault="00842BD3" w:rsidP="00842BD3">
      <w:pPr>
        <w:pStyle w:val="Textonotapie"/>
        <w:spacing w:line="240" w:lineRule="auto"/>
        <w:rPr>
          <w:lang w:val="es-CO"/>
        </w:rPr>
      </w:pPr>
    </w:p>
  </w:footnote>
  <w:footnote w:id="11">
    <w:p w14:paraId="6C1DA566" w14:textId="77777777" w:rsidR="00842BD3" w:rsidRPr="00E255F2" w:rsidRDefault="00842BD3" w:rsidP="00842BD3">
      <w:pPr>
        <w:pStyle w:val="Textonotapie"/>
        <w:rPr>
          <w:lang w:val="es-CO"/>
        </w:rPr>
      </w:pPr>
      <w:r>
        <w:rPr>
          <w:rStyle w:val="Refdenotaalpie"/>
        </w:rPr>
        <w:footnoteRef/>
      </w:r>
      <w:r>
        <w:t xml:space="preserve"> </w:t>
      </w:r>
      <w:r>
        <w:rPr>
          <w:lang w:val="es-CO"/>
        </w:rPr>
        <w:t>Página 4 del escrito de apelación, cuaderno principal segunda instancia.</w:t>
      </w:r>
    </w:p>
  </w:footnote>
  <w:footnote w:id="12">
    <w:p w14:paraId="485F3BE8" w14:textId="77777777" w:rsidR="00842BD3" w:rsidRPr="00533B71" w:rsidRDefault="00842BD3" w:rsidP="00842BD3">
      <w:pPr>
        <w:pStyle w:val="Textonotapie"/>
        <w:rPr>
          <w:lang w:val="es-CO"/>
        </w:rPr>
      </w:pPr>
      <w:r>
        <w:rPr>
          <w:rStyle w:val="Refdenotaalpie"/>
        </w:rPr>
        <w:footnoteRef/>
      </w:r>
      <w:r>
        <w:t xml:space="preserve"> Página 4 del escrito de apelación, último párrafo, cuaderno principal segunda instancia.</w:t>
      </w:r>
    </w:p>
  </w:footnote>
  <w:footnote w:id="13">
    <w:p w14:paraId="088A04E2" w14:textId="77777777" w:rsidR="00842BD3" w:rsidRPr="005D5D86" w:rsidRDefault="00842BD3" w:rsidP="00842BD3">
      <w:pPr>
        <w:pStyle w:val="Textonotapie"/>
        <w:rPr>
          <w:lang w:val="es-CO"/>
        </w:rPr>
      </w:pPr>
      <w:r>
        <w:rPr>
          <w:rStyle w:val="Refdenotaalpie"/>
        </w:rPr>
        <w:footnoteRef/>
      </w:r>
      <w:r>
        <w:t xml:space="preserve"> </w:t>
      </w:r>
      <w:r>
        <w:rPr>
          <w:lang w:val="es-CO"/>
        </w:rPr>
        <w:t>Folios 517 a 523, cuaderno principal segunda instancia.</w:t>
      </w:r>
    </w:p>
  </w:footnote>
  <w:footnote w:id="14">
    <w:p w14:paraId="31E9FE29" w14:textId="77777777" w:rsidR="00842BD3" w:rsidRPr="000E209F" w:rsidRDefault="00842BD3" w:rsidP="00842BD3">
      <w:pPr>
        <w:pStyle w:val="Textonotapie"/>
        <w:rPr>
          <w:lang w:val="es-CO"/>
        </w:rPr>
      </w:pPr>
      <w:r>
        <w:rPr>
          <w:rStyle w:val="Refdenotaalpie"/>
        </w:rPr>
        <w:footnoteRef/>
      </w:r>
      <w:r>
        <w:t xml:space="preserve"> </w:t>
      </w:r>
      <w:r>
        <w:rPr>
          <w:lang w:val="es-CO"/>
        </w:rPr>
        <w:t>Folio 524, cuaderno principal segunda instancia.</w:t>
      </w:r>
    </w:p>
  </w:footnote>
  <w:footnote w:id="15">
    <w:p w14:paraId="78C83D3D" w14:textId="77777777" w:rsidR="00842BD3" w:rsidRPr="008E2E62" w:rsidRDefault="00842BD3" w:rsidP="00842BD3">
      <w:pPr>
        <w:pStyle w:val="Textonotapie"/>
        <w:rPr>
          <w:lang w:val="es-CO"/>
        </w:rPr>
      </w:pPr>
      <w:r>
        <w:rPr>
          <w:rStyle w:val="Refdenotaalpie"/>
        </w:rPr>
        <w:footnoteRef/>
      </w:r>
      <w:r>
        <w:t xml:space="preserve"> </w:t>
      </w:r>
      <w:r>
        <w:rPr>
          <w:lang w:val="es-CO"/>
        </w:rPr>
        <w:t>Folios 567 a 573, cuaderno principal segunda instancia.</w:t>
      </w:r>
    </w:p>
  </w:footnote>
  <w:footnote w:id="16">
    <w:p w14:paraId="34E23EE7" w14:textId="77777777" w:rsidR="00842BD3" w:rsidRPr="009E65BC" w:rsidRDefault="00842BD3" w:rsidP="00842BD3">
      <w:pPr>
        <w:pStyle w:val="Textonotapie"/>
        <w:rPr>
          <w:lang w:val="es-CO"/>
        </w:rPr>
      </w:pPr>
      <w:r>
        <w:rPr>
          <w:rStyle w:val="Refdenotaalpie"/>
        </w:rPr>
        <w:footnoteRef/>
      </w:r>
      <w:r>
        <w:t xml:space="preserve"> </w:t>
      </w:r>
      <w:r>
        <w:rPr>
          <w:lang w:val="es-CO"/>
        </w:rPr>
        <w:t>Folios 598 a 600, cuaderno principal segunda instancia.</w:t>
      </w:r>
    </w:p>
  </w:footnote>
  <w:footnote w:id="17">
    <w:p w14:paraId="6693F391" w14:textId="77777777" w:rsidR="00842BD3" w:rsidRPr="008E52BE" w:rsidRDefault="00842BD3" w:rsidP="00842BD3">
      <w:pPr>
        <w:pStyle w:val="Textonotapie"/>
        <w:rPr>
          <w:lang w:val="es-CO"/>
        </w:rPr>
      </w:pPr>
      <w:r>
        <w:rPr>
          <w:rStyle w:val="Refdenotaalpie"/>
        </w:rPr>
        <w:footnoteRef/>
      </w:r>
      <w:r>
        <w:t xml:space="preserve"> </w:t>
      </w:r>
      <w:r>
        <w:rPr>
          <w:lang w:val="es-CO"/>
        </w:rPr>
        <w:t xml:space="preserve">Se designaron dos conjueces que integraron la Sala ad hoc para proferir el respectivo auto. </w:t>
      </w:r>
    </w:p>
  </w:footnote>
  <w:footnote w:id="18">
    <w:p w14:paraId="54F3DEBC" w14:textId="77777777" w:rsidR="00842BD3" w:rsidRPr="00CF1943" w:rsidRDefault="00842BD3" w:rsidP="00842BD3">
      <w:pPr>
        <w:pStyle w:val="Textonotapie"/>
        <w:rPr>
          <w:lang w:val="es-CO"/>
        </w:rPr>
      </w:pPr>
      <w:r>
        <w:rPr>
          <w:rStyle w:val="Refdenotaalpie"/>
        </w:rPr>
        <w:footnoteRef/>
      </w:r>
      <w:r>
        <w:t xml:space="preserve"> </w:t>
      </w:r>
      <w:r>
        <w:rPr>
          <w:lang w:val="es-CO"/>
        </w:rPr>
        <w:t>Artículos 2 y 75 de la Ley 80 de 1993.</w:t>
      </w:r>
    </w:p>
  </w:footnote>
  <w:footnote w:id="19">
    <w:p w14:paraId="2AB4C311" w14:textId="77777777" w:rsidR="00842BD3" w:rsidRDefault="00842BD3" w:rsidP="00842BD3">
      <w:pPr>
        <w:pStyle w:val="Textonotapie"/>
        <w:spacing w:line="240" w:lineRule="auto"/>
        <w:rPr>
          <w:lang w:val="es-CO"/>
        </w:rPr>
      </w:pPr>
      <w:r>
        <w:rPr>
          <w:rStyle w:val="Refdenotaalpie"/>
        </w:rPr>
        <w:footnoteRef/>
      </w:r>
      <w:r>
        <w:t xml:space="preserve"> El criterio orgánico se refiere a la asignación de jurisdicción competente para conocer de las controversias contractuales con base en naturaleza de entidad pública de una de las partes del contrato, de acuerdo con la enumeración del artículo 2º de la Ley 80 de 1993. Este criterio fue corroborado como regla general de la determinación de la jurisdicción competente, de acuerdo con las modificaciones introducidas por el artículo 30 de </w:t>
      </w:r>
      <w:r>
        <w:rPr>
          <w:lang w:val="es-CO"/>
        </w:rPr>
        <w:t>la Ley 446 de 1998, la cual entró a regir el 8 de julio de 1998 y por el artículo 1º de la Ley 1106 de 27 de diciembre 2007.  Igualmente constituye la regla general de jurisdicción y competencia en el medio de control de controversias contractuales previsto en el artículo 103 del Código de Procedimiento Administrativo y Contencioso Administrativo (C.P.A.C.A.) el cual entró a regir el 2 de julio de 2012.</w:t>
      </w:r>
    </w:p>
    <w:p w14:paraId="73AC24CF" w14:textId="77777777" w:rsidR="00842BD3" w:rsidRPr="00C045C1" w:rsidRDefault="00842BD3" w:rsidP="00842BD3">
      <w:pPr>
        <w:pStyle w:val="Textonotapie"/>
        <w:spacing w:line="240" w:lineRule="auto"/>
        <w:rPr>
          <w:lang w:val="es-CO"/>
        </w:rPr>
      </w:pPr>
    </w:p>
  </w:footnote>
  <w:footnote w:id="20">
    <w:p w14:paraId="2E0D1DE6" w14:textId="77777777" w:rsidR="00842BD3" w:rsidRPr="000577C6" w:rsidRDefault="00842BD3" w:rsidP="00842BD3">
      <w:pPr>
        <w:pStyle w:val="NormalWeb"/>
        <w:shd w:val="clear" w:color="auto" w:fill="FFFFFF"/>
        <w:spacing w:before="0" w:beforeAutospacing="0" w:after="0" w:afterAutospacing="0" w:line="240" w:lineRule="auto"/>
        <w:rPr>
          <w:rFonts w:cs="Arial"/>
          <w:color w:val="000000"/>
          <w:sz w:val="20"/>
          <w:szCs w:val="20"/>
        </w:rPr>
      </w:pPr>
      <w:r>
        <w:rPr>
          <w:rStyle w:val="Refdenotaalpie"/>
        </w:rPr>
        <w:footnoteRef/>
      </w:r>
      <w:r>
        <w:t xml:space="preserve"> </w:t>
      </w:r>
      <w:r w:rsidRPr="001D7819">
        <w:t>“</w:t>
      </w:r>
      <w:r w:rsidRPr="0021362A">
        <w:rPr>
          <w:rFonts w:cs="Arial"/>
          <w:bCs/>
          <w:i/>
          <w:color w:val="000000"/>
          <w:sz w:val="20"/>
          <w:szCs w:val="20"/>
        </w:rPr>
        <w:t>Artículo 322 Constitución Política. </w:t>
      </w:r>
      <w:hyperlink r:id="rId1" w:anchor="1" w:history="1">
        <w:r w:rsidRPr="0021362A">
          <w:rPr>
            <w:rStyle w:val="Hipervnculo"/>
            <w:rFonts w:cs="Arial"/>
            <w:i/>
            <w:sz w:val="20"/>
            <w:szCs w:val="20"/>
          </w:rPr>
          <w:t>Modificado por el Acto Legislativo No. 01 de 2000</w:t>
        </w:r>
      </w:hyperlink>
      <w:r w:rsidRPr="0021362A">
        <w:rPr>
          <w:rFonts w:cs="Arial"/>
          <w:i/>
          <w:color w:val="000000"/>
          <w:sz w:val="20"/>
          <w:szCs w:val="20"/>
        </w:rPr>
        <w:t>.</w:t>
      </w:r>
      <w:r w:rsidRPr="0021362A">
        <w:rPr>
          <w:rFonts w:cs="Arial"/>
          <w:bCs/>
          <w:i/>
          <w:color w:val="000000"/>
          <w:sz w:val="20"/>
          <w:szCs w:val="20"/>
        </w:rPr>
        <w:t> </w:t>
      </w:r>
      <w:r w:rsidRPr="0021362A">
        <w:rPr>
          <w:rFonts w:cs="Arial"/>
          <w:b/>
          <w:i/>
          <w:color w:val="000000"/>
          <w:sz w:val="20"/>
          <w:szCs w:val="20"/>
        </w:rPr>
        <w:t>Bogotá, Capital de la República y el Departamento de Cundinamarca, se organiza como Distrito Capital</w:t>
      </w:r>
      <w:r w:rsidRPr="0021362A">
        <w:rPr>
          <w:rFonts w:cs="Arial"/>
          <w:i/>
          <w:color w:val="000000"/>
          <w:sz w:val="20"/>
          <w:szCs w:val="20"/>
        </w:rPr>
        <w:t>”</w:t>
      </w:r>
      <w:r w:rsidRPr="000577C6">
        <w:rPr>
          <w:rFonts w:cs="Arial"/>
          <w:color w:val="000000"/>
          <w:sz w:val="20"/>
          <w:szCs w:val="20"/>
        </w:rPr>
        <w:t xml:space="preserve"> (la negrilla no es del texto).</w:t>
      </w:r>
    </w:p>
    <w:p w14:paraId="4840CE68" w14:textId="77777777" w:rsidR="00842BD3" w:rsidRPr="00E000F7" w:rsidRDefault="00842BD3" w:rsidP="00842BD3">
      <w:pPr>
        <w:pStyle w:val="NormalWeb"/>
        <w:shd w:val="clear" w:color="auto" w:fill="FFFFFF"/>
        <w:spacing w:before="0" w:beforeAutospacing="0" w:after="0" w:afterAutospacing="0" w:line="240" w:lineRule="auto"/>
        <w:rPr>
          <w:rFonts w:cs="Arial"/>
          <w:color w:val="000000"/>
          <w:sz w:val="20"/>
          <w:szCs w:val="20"/>
        </w:rPr>
      </w:pPr>
    </w:p>
    <w:p w14:paraId="793B3B0D" w14:textId="77777777" w:rsidR="00842BD3" w:rsidRDefault="00842BD3" w:rsidP="00842BD3">
      <w:pPr>
        <w:pStyle w:val="NormalWeb"/>
        <w:shd w:val="clear" w:color="auto" w:fill="FFFFFF"/>
        <w:spacing w:before="0" w:beforeAutospacing="0" w:after="0" w:afterAutospacing="0" w:line="240" w:lineRule="auto"/>
        <w:rPr>
          <w:rFonts w:cs="Arial"/>
          <w:color w:val="000000"/>
          <w:sz w:val="20"/>
          <w:szCs w:val="20"/>
          <w:shd w:val="clear" w:color="auto" w:fill="FFFFFF"/>
        </w:rPr>
      </w:pPr>
      <w:r w:rsidRPr="000577C6">
        <w:rPr>
          <w:rFonts w:cs="Arial"/>
          <w:bCs/>
          <w:color w:val="000000"/>
          <w:sz w:val="20"/>
          <w:szCs w:val="20"/>
          <w:shd w:val="clear" w:color="auto" w:fill="FFFFFF"/>
        </w:rPr>
        <w:t>“</w:t>
      </w:r>
      <w:r w:rsidRPr="000577C6">
        <w:rPr>
          <w:rFonts w:cs="Arial"/>
          <w:bCs/>
          <w:i/>
          <w:color w:val="000000"/>
          <w:sz w:val="20"/>
          <w:szCs w:val="20"/>
          <w:shd w:val="clear" w:color="auto" w:fill="FFFFFF"/>
        </w:rPr>
        <w:t>Artículo 38 Decreto Ley 1421 de 1993. Atribuciones.</w:t>
      </w:r>
      <w:r w:rsidRPr="00E000F7">
        <w:rPr>
          <w:rFonts w:cs="Arial"/>
          <w:b/>
          <w:bCs/>
          <w:i/>
          <w:color w:val="000000"/>
          <w:sz w:val="20"/>
          <w:szCs w:val="20"/>
          <w:shd w:val="clear" w:color="auto" w:fill="FFFFFF"/>
        </w:rPr>
        <w:t> </w:t>
      </w:r>
      <w:r w:rsidRPr="00E000F7">
        <w:rPr>
          <w:rFonts w:cs="Arial"/>
          <w:i/>
          <w:color w:val="000000"/>
          <w:sz w:val="20"/>
          <w:szCs w:val="20"/>
          <w:shd w:val="clear" w:color="auto" w:fill="FFFFFF"/>
        </w:rPr>
        <w:t>Son atribuciones del Alcalde Mayor: (…). 15. Adjudicar y celebrar los contratos de la administración central, de conformidad con la ley y los acuerdos del Concejo. Tales facultades podrán ser delegadas en los secretarios y Jefes de Departamento Administrativo</w:t>
      </w:r>
      <w:r w:rsidRPr="000577C6">
        <w:rPr>
          <w:rFonts w:cs="Arial"/>
          <w:color w:val="000000"/>
          <w:sz w:val="20"/>
          <w:szCs w:val="20"/>
          <w:shd w:val="clear" w:color="auto" w:fill="FFFFFF"/>
        </w:rPr>
        <w:t xml:space="preserve">”. En este proceso, el Secretario de Educación allegó el Decreto 581 de 18 de diciembre de 2007, </w:t>
      </w:r>
      <w:r>
        <w:rPr>
          <w:rFonts w:cs="Arial"/>
          <w:color w:val="000000"/>
          <w:sz w:val="20"/>
          <w:szCs w:val="20"/>
          <w:shd w:val="clear" w:color="auto" w:fill="FFFFFF"/>
        </w:rPr>
        <w:t xml:space="preserve">mediante el cual </w:t>
      </w:r>
      <w:r w:rsidRPr="000577C6">
        <w:rPr>
          <w:rFonts w:cs="Arial"/>
          <w:color w:val="000000"/>
          <w:sz w:val="20"/>
          <w:szCs w:val="20"/>
          <w:shd w:val="clear" w:color="auto" w:fill="FFFFFF"/>
        </w:rPr>
        <w:t xml:space="preserve"> </w:t>
      </w:r>
      <w:r w:rsidRPr="00034940">
        <w:rPr>
          <w:rFonts w:cs="Arial"/>
          <w:i/>
          <w:color w:val="000000"/>
          <w:sz w:val="20"/>
          <w:szCs w:val="20"/>
          <w:shd w:val="clear" w:color="auto" w:fill="FFFFFF"/>
        </w:rPr>
        <w:t>“efectúan unas delegaciones y asignaciones de funciones”,</w:t>
      </w:r>
      <w:r w:rsidRPr="000577C6">
        <w:rPr>
          <w:rFonts w:cs="Arial"/>
          <w:color w:val="000000"/>
          <w:sz w:val="20"/>
          <w:szCs w:val="20"/>
          <w:shd w:val="clear" w:color="auto" w:fill="FFFFFF"/>
        </w:rPr>
        <w:t xml:space="preserve"> entre otras, para  la representación judicial. Folios 93 a 105, cuaderno 1.</w:t>
      </w:r>
    </w:p>
    <w:p w14:paraId="705568AA" w14:textId="77777777" w:rsidR="00842BD3" w:rsidRPr="00E000F7" w:rsidRDefault="00842BD3" w:rsidP="00842BD3">
      <w:pPr>
        <w:pStyle w:val="NormalWeb"/>
        <w:shd w:val="clear" w:color="auto" w:fill="FFFFFF"/>
        <w:spacing w:before="0" w:beforeAutospacing="0" w:after="0" w:afterAutospacing="0" w:line="240" w:lineRule="auto"/>
        <w:rPr>
          <w:i/>
          <w:lang w:val="es-CO"/>
        </w:rPr>
      </w:pPr>
    </w:p>
  </w:footnote>
  <w:footnote w:id="21">
    <w:p w14:paraId="179D4735" w14:textId="77777777" w:rsidR="00842BD3" w:rsidRDefault="00842BD3" w:rsidP="00842BD3">
      <w:pPr>
        <w:pStyle w:val="Textonotapie"/>
        <w:spacing w:line="240" w:lineRule="auto"/>
        <w:rPr>
          <w:lang w:val="es-CO"/>
        </w:rPr>
      </w:pPr>
      <w:r>
        <w:rPr>
          <w:rStyle w:val="Refdenotaalpie"/>
        </w:rPr>
        <w:footnoteRef/>
      </w:r>
      <w:r>
        <w:t xml:space="preserve"> </w:t>
      </w:r>
      <w:r>
        <w:rPr>
          <w:lang w:val="es-CO"/>
        </w:rPr>
        <w:t>Folio 11, cuaderno 1.</w:t>
      </w:r>
    </w:p>
    <w:p w14:paraId="07C18311" w14:textId="77777777" w:rsidR="00842BD3" w:rsidRPr="00FD427A" w:rsidRDefault="00842BD3" w:rsidP="00842BD3">
      <w:pPr>
        <w:pStyle w:val="Textonotapie"/>
        <w:spacing w:line="240" w:lineRule="auto"/>
        <w:rPr>
          <w:lang w:val="es-CO"/>
        </w:rPr>
      </w:pPr>
    </w:p>
  </w:footnote>
  <w:footnote w:id="22">
    <w:p w14:paraId="25CDC93E" w14:textId="77777777" w:rsidR="00842BD3" w:rsidRDefault="00842BD3" w:rsidP="00842BD3">
      <w:pPr>
        <w:pStyle w:val="Textonotapie"/>
        <w:spacing w:line="240" w:lineRule="auto"/>
        <w:rPr>
          <w:i/>
          <w:lang w:val="es-CO"/>
        </w:rPr>
      </w:pPr>
      <w:r w:rsidRPr="00C31B32">
        <w:rPr>
          <w:rStyle w:val="Refdenotaalpie"/>
        </w:rPr>
        <w:footnoteRef/>
      </w:r>
      <w:r w:rsidRPr="00C31B32">
        <w:t xml:space="preserve"> De acuerdo con el salario mínimo mensual legal vigente para el año 20</w:t>
      </w:r>
      <w:r>
        <w:t>10</w:t>
      </w:r>
      <w:r w:rsidRPr="00C31B32">
        <w:t xml:space="preserve">, toda vez que la demanda se presentó el </w:t>
      </w:r>
      <w:r>
        <w:t>5</w:t>
      </w:r>
      <w:r w:rsidRPr="00C31B32">
        <w:t xml:space="preserve"> de </w:t>
      </w:r>
      <w:r>
        <w:t xml:space="preserve">octubre </w:t>
      </w:r>
      <w:r w:rsidRPr="00C31B32">
        <w:t>de 20</w:t>
      </w:r>
      <w:r>
        <w:t>10</w:t>
      </w:r>
      <w:r w:rsidRPr="00C31B32">
        <w:t xml:space="preserve"> y el recurso de apelación se interpuso el </w:t>
      </w:r>
      <w:r>
        <w:t xml:space="preserve">28 de noviembre de 2013, </w:t>
      </w:r>
      <w:r>
        <w:rPr>
          <w:lang w:val="es-CO"/>
        </w:rPr>
        <w:t xml:space="preserve">habiendo entrado a regir la Ley 1450 de 2011 – 16 de junio de 2011- de conformidad con la cual se permitió la aplicación del artículo 57 de la Ley 1437 de 2011, para las demandas presentadas antes del 2 de julio de 2012 </w:t>
      </w:r>
      <w:r w:rsidRPr="00720EE7">
        <w:rPr>
          <w:i/>
          <w:lang w:val="es-CO"/>
        </w:rPr>
        <w:t>“con el propósito de evitar la congestión de los Tribunales Administrativos y del Consejo de Estado”.</w:t>
      </w:r>
    </w:p>
    <w:p w14:paraId="62AE0D7D" w14:textId="77777777" w:rsidR="00842BD3" w:rsidRPr="0021362A" w:rsidRDefault="00842BD3" w:rsidP="00842BD3">
      <w:pPr>
        <w:pStyle w:val="Textonotapie"/>
        <w:spacing w:line="240" w:lineRule="auto"/>
        <w:rPr>
          <w:lang w:val="es-CO"/>
        </w:rPr>
      </w:pPr>
    </w:p>
  </w:footnote>
  <w:footnote w:id="23">
    <w:p w14:paraId="4A485691" w14:textId="77777777" w:rsidR="00842BD3" w:rsidRPr="00040232" w:rsidRDefault="00842BD3" w:rsidP="00842BD3">
      <w:pPr>
        <w:pStyle w:val="Puesto"/>
        <w:jc w:val="both"/>
        <w:rPr>
          <w:lang w:val="es-CO"/>
        </w:rPr>
      </w:pPr>
      <w:r w:rsidRPr="0021362A">
        <w:rPr>
          <w:rStyle w:val="Refdenotaalpie"/>
          <w:sz w:val="20"/>
          <w:szCs w:val="20"/>
        </w:rPr>
        <w:footnoteRef/>
      </w:r>
      <w:r w:rsidRPr="0021362A">
        <w:rPr>
          <w:sz w:val="20"/>
          <w:szCs w:val="20"/>
        </w:rPr>
        <w:t xml:space="preserve"> </w:t>
      </w:r>
      <w:r w:rsidRPr="0021362A">
        <w:rPr>
          <w:b w:val="0"/>
          <w:sz w:val="20"/>
          <w:szCs w:val="20"/>
        </w:rPr>
        <w:t xml:space="preserve">Consejo </w:t>
      </w:r>
      <w:r>
        <w:rPr>
          <w:b w:val="0"/>
          <w:sz w:val="20"/>
          <w:szCs w:val="20"/>
        </w:rPr>
        <w:t>d</w:t>
      </w:r>
      <w:r w:rsidRPr="0021362A">
        <w:rPr>
          <w:b w:val="0"/>
          <w:sz w:val="20"/>
          <w:szCs w:val="20"/>
        </w:rPr>
        <w:t>e Estado</w:t>
      </w:r>
      <w:r w:rsidRPr="0021362A">
        <w:rPr>
          <w:sz w:val="20"/>
          <w:szCs w:val="20"/>
        </w:rPr>
        <w:t xml:space="preserve">, </w:t>
      </w:r>
      <w:r w:rsidRPr="0021362A">
        <w:rPr>
          <w:b w:val="0"/>
          <w:bCs w:val="0"/>
          <w:sz w:val="20"/>
          <w:szCs w:val="20"/>
        </w:rPr>
        <w:t xml:space="preserve">Sala de lo Contencioso Administrativo, </w:t>
      </w:r>
      <w:r w:rsidRPr="0021362A">
        <w:rPr>
          <w:b w:val="0"/>
          <w:sz w:val="20"/>
          <w:szCs w:val="20"/>
        </w:rPr>
        <w:t xml:space="preserve">Sala Plena, </w:t>
      </w:r>
      <w:r w:rsidRPr="0021362A">
        <w:rPr>
          <w:b w:val="0"/>
          <w:bCs w:val="0"/>
          <w:sz w:val="20"/>
          <w:szCs w:val="20"/>
        </w:rPr>
        <w:t xml:space="preserve">Sección Tercera, </w:t>
      </w:r>
      <w:r w:rsidRPr="0021362A">
        <w:rPr>
          <w:b w:val="0"/>
          <w:sz w:val="20"/>
          <w:szCs w:val="20"/>
        </w:rPr>
        <w:t xml:space="preserve">Consejero ponente: </w:t>
      </w:r>
      <w:r w:rsidRPr="0021362A">
        <w:rPr>
          <w:b w:val="0"/>
          <w:bCs w:val="0"/>
          <w:spacing w:val="-3"/>
          <w:sz w:val="20"/>
          <w:szCs w:val="20"/>
        </w:rPr>
        <w:t>Jaime Orlando Santofimio Gamboa, sentencia de</w:t>
      </w:r>
      <w:r>
        <w:rPr>
          <w:b w:val="0"/>
          <w:bCs w:val="0"/>
          <w:spacing w:val="-3"/>
          <w:sz w:val="20"/>
          <w:szCs w:val="20"/>
        </w:rPr>
        <w:t xml:space="preserve"> </w:t>
      </w:r>
      <w:r w:rsidRPr="0021362A">
        <w:rPr>
          <w:b w:val="0"/>
          <w:sz w:val="20"/>
          <w:szCs w:val="20"/>
        </w:rPr>
        <w:t>19 de noviembre de 2012,</w:t>
      </w:r>
      <w:r w:rsidRPr="0021362A">
        <w:rPr>
          <w:sz w:val="20"/>
          <w:szCs w:val="20"/>
        </w:rPr>
        <w:t xml:space="preserve"> </w:t>
      </w:r>
      <w:r w:rsidRPr="00FE42AF">
        <w:rPr>
          <w:b w:val="0"/>
          <w:sz w:val="20"/>
          <w:szCs w:val="20"/>
        </w:rPr>
        <w:t>r</w:t>
      </w:r>
      <w:r w:rsidRPr="0021362A">
        <w:rPr>
          <w:b w:val="0"/>
          <w:sz w:val="20"/>
          <w:szCs w:val="20"/>
        </w:rPr>
        <w:t>adicación número: 73001-23-31-000-2000-03075-01(24897), actor: Manuel Ricardo P</w:t>
      </w:r>
      <w:r>
        <w:rPr>
          <w:b w:val="0"/>
          <w:sz w:val="20"/>
          <w:szCs w:val="20"/>
        </w:rPr>
        <w:t>é</w:t>
      </w:r>
      <w:r w:rsidRPr="0021362A">
        <w:rPr>
          <w:b w:val="0"/>
          <w:sz w:val="20"/>
          <w:szCs w:val="20"/>
        </w:rPr>
        <w:t>rez Posada, demandado: municipio de Melgar, referencia: acci</w:t>
      </w:r>
      <w:r>
        <w:rPr>
          <w:b w:val="0"/>
          <w:sz w:val="20"/>
          <w:szCs w:val="20"/>
        </w:rPr>
        <w:t>ó</w:t>
      </w:r>
      <w:r w:rsidRPr="0021362A">
        <w:rPr>
          <w:b w:val="0"/>
          <w:sz w:val="20"/>
          <w:szCs w:val="20"/>
        </w:rPr>
        <w:t>n de controversias contractuales (sentencia)</w:t>
      </w:r>
      <w:r>
        <w:rPr>
          <w:b w:val="0"/>
          <w:sz w:val="20"/>
          <w:szCs w:val="20"/>
        </w:rPr>
        <w:t>.</w:t>
      </w:r>
    </w:p>
  </w:footnote>
  <w:footnote w:id="24">
    <w:p w14:paraId="542DD091" w14:textId="77777777" w:rsidR="00842BD3" w:rsidRPr="004C76C4" w:rsidRDefault="00842BD3" w:rsidP="00842BD3">
      <w:pPr>
        <w:pStyle w:val="Puesto"/>
        <w:jc w:val="both"/>
        <w:rPr>
          <w:sz w:val="20"/>
          <w:szCs w:val="20"/>
          <w:lang w:val="es-CO"/>
        </w:rPr>
      </w:pPr>
      <w:r w:rsidRPr="000733E9">
        <w:rPr>
          <w:rStyle w:val="Refdenotaalpie"/>
          <w:b w:val="0"/>
          <w:sz w:val="20"/>
          <w:szCs w:val="20"/>
        </w:rPr>
        <w:footnoteRef/>
      </w:r>
      <w:r w:rsidRPr="000733E9">
        <w:rPr>
          <w:b w:val="0"/>
          <w:sz w:val="20"/>
          <w:szCs w:val="20"/>
        </w:rPr>
        <w:t xml:space="preserve"> C</w:t>
      </w:r>
      <w:r w:rsidRPr="004C76C4">
        <w:rPr>
          <w:b w:val="0"/>
          <w:sz w:val="20"/>
          <w:szCs w:val="20"/>
        </w:rPr>
        <w:t>onsejo de Estado</w:t>
      </w:r>
      <w:r w:rsidRPr="004C76C4">
        <w:rPr>
          <w:sz w:val="20"/>
          <w:szCs w:val="20"/>
        </w:rPr>
        <w:t xml:space="preserve">, </w:t>
      </w:r>
      <w:r w:rsidRPr="004C76C4">
        <w:rPr>
          <w:b w:val="0"/>
          <w:bCs w:val="0"/>
          <w:sz w:val="20"/>
          <w:szCs w:val="20"/>
        </w:rPr>
        <w:t xml:space="preserve">Sala de lo Contencioso Administrativo, </w:t>
      </w:r>
      <w:r w:rsidRPr="004C76C4">
        <w:rPr>
          <w:b w:val="0"/>
          <w:sz w:val="20"/>
          <w:szCs w:val="20"/>
        </w:rPr>
        <w:t xml:space="preserve">Sala Plena, </w:t>
      </w:r>
      <w:r w:rsidRPr="004C76C4">
        <w:rPr>
          <w:b w:val="0"/>
          <w:bCs w:val="0"/>
          <w:sz w:val="20"/>
          <w:szCs w:val="20"/>
        </w:rPr>
        <w:t xml:space="preserve">Sección Tercera, </w:t>
      </w:r>
      <w:r w:rsidRPr="004C76C4">
        <w:rPr>
          <w:b w:val="0"/>
          <w:sz w:val="20"/>
          <w:szCs w:val="20"/>
        </w:rPr>
        <w:t xml:space="preserve">Consejero ponente: </w:t>
      </w:r>
      <w:r w:rsidRPr="004C76C4">
        <w:rPr>
          <w:b w:val="0"/>
          <w:bCs w:val="0"/>
          <w:spacing w:val="-3"/>
          <w:sz w:val="20"/>
          <w:szCs w:val="20"/>
        </w:rPr>
        <w:t>Jaime Orlando Santofimio Gamboa, sentencia de</w:t>
      </w:r>
      <w:r w:rsidRPr="004C76C4">
        <w:rPr>
          <w:b w:val="0"/>
          <w:sz w:val="20"/>
          <w:szCs w:val="20"/>
        </w:rPr>
        <w:t>19 de noviembre de 2012,</w:t>
      </w:r>
      <w:r w:rsidRPr="004C76C4">
        <w:rPr>
          <w:sz w:val="20"/>
          <w:szCs w:val="20"/>
        </w:rPr>
        <w:t xml:space="preserve">  r</w:t>
      </w:r>
      <w:r w:rsidRPr="004C76C4">
        <w:rPr>
          <w:b w:val="0"/>
          <w:sz w:val="20"/>
          <w:szCs w:val="20"/>
        </w:rPr>
        <w:t>adicación número: 73001-23-31-000-2000-03075-01(24897), actor: Manuel Ricardo P</w:t>
      </w:r>
      <w:r>
        <w:rPr>
          <w:b w:val="0"/>
          <w:sz w:val="20"/>
          <w:szCs w:val="20"/>
        </w:rPr>
        <w:t>é</w:t>
      </w:r>
      <w:r w:rsidRPr="004C76C4">
        <w:rPr>
          <w:b w:val="0"/>
          <w:sz w:val="20"/>
          <w:szCs w:val="20"/>
        </w:rPr>
        <w:t>rez Posada, demandado: municipio de Melgar, referencia: acción de controversias contractuales (sentencia).</w:t>
      </w:r>
    </w:p>
  </w:footnote>
  <w:footnote w:id="25">
    <w:p w14:paraId="7CA726FC" w14:textId="77777777" w:rsidR="00842BD3" w:rsidRPr="00AA2F0B" w:rsidRDefault="00842BD3" w:rsidP="00842BD3">
      <w:pPr>
        <w:pStyle w:val="NormalWeb"/>
        <w:shd w:val="clear" w:color="auto" w:fill="FFFFFF"/>
        <w:spacing w:line="240" w:lineRule="auto"/>
        <w:rPr>
          <w:rFonts w:cs="Arial"/>
          <w:i/>
          <w:color w:val="000000"/>
          <w:sz w:val="20"/>
          <w:szCs w:val="20"/>
        </w:rPr>
      </w:pPr>
      <w:r w:rsidRPr="00AA2F0B">
        <w:rPr>
          <w:rStyle w:val="Refdenotaalpie"/>
          <w:i/>
          <w:sz w:val="20"/>
          <w:szCs w:val="20"/>
        </w:rPr>
        <w:footnoteRef/>
      </w:r>
      <w:r w:rsidRPr="00AA2F0B">
        <w:rPr>
          <w:i/>
          <w:sz w:val="20"/>
          <w:szCs w:val="20"/>
        </w:rPr>
        <w:t xml:space="preserve"> “Ley 80 de 1993. </w:t>
      </w:r>
      <w:r w:rsidRPr="00AA2F0B">
        <w:rPr>
          <w:rFonts w:cs="Arial"/>
          <w:bCs/>
          <w:i/>
          <w:color w:val="000000"/>
          <w:sz w:val="20"/>
          <w:szCs w:val="20"/>
        </w:rPr>
        <w:t>Artículo 27º.-</w:t>
      </w:r>
      <w:r w:rsidRPr="00AA2F0B">
        <w:rPr>
          <w:rFonts w:cs="Arial"/>
          <w:b/>
          <w:bCs/>
          <w:i/>
          <w:color w:val="000000"/>
          <w:sz w:val="20"/>
          <w:szCs w:val="20"/>
        </w:rPr>
        <w:t> </w:t>
      </w:r>
      <w:r w:rsidRPr="00AA2F0B">
        <w:rPr>
          <w:rFonts w:cs="Arial"/>
          <w:i/>
          <w:iCs/>
          <w:color w:val="000000"/>
          <w:sz w:val="20"/>
          <w:szCs w:val="20"/>
        </w:rPr>
        <w:t>De la Ecuación Contractual</w:t>
      </w:r>
      <w:r w:rsidRPr="00AA2F0B">
        <w:rPr>
          <w:rFonts w:cs="Arial"/>
          <w:i/>
          <w:color w:val="000000"/>
          <w:sz w:val="20"/>
          <w:szCs w:val="20"/>
        </w:rPr>
        <w:t>. En los contratos estatales se mantendrá la igualdad o equivalencia entre derechos y obligaciones surgidos al momento de proponer o de contratar, según el caso. Si dicha igualdad o equivalencia se rompe por causas no imputables a quien resulte afectado, las partes adoptarán en el menor tiempo posible las medidas necesarias para su restablecimiento.</w:t>
      </w:r>
    </w:p>
    <w:p w14:paraId="338F895C" w14:textId="77777777" w:rsidR="00842BD3" w:rsidRPr="00036A99" w:rsidRDefault="00842BD3" w:rsidP="00842BD3">
      <w:pPr>
        <w:shd w:val="clear" w:color="auto" w:fill="FFFFFF"/>
        <w:spacing w:before="100" w:beforeAutospacing="1" w:after="100" w:afterAutospacing="1" w:line="240" w:lineRule="auto"/>
        <w:rPr>
          <w:lang w:val="es-CO"/>
        </w:rPr>
      </w:pPr>
      <w:r>
        <w:rPr>
          <w:rFonts w:cs="Arial"/>
          <w:i/>
          <w:color w:val="000000"/>
          <w:sz w:val="20"/>
          <w:szCs w:val="20"/>
        </w:rPr>
        <w:t>“</w:t>
      </w:r>
      <w:r w:rsidRPr="00036A99">
        <w:rPr>
          <w:rFonts w:cs="Arial"/>
          <w:i/>
          <w:color w:val="000000"/>
          <w:sz w:val="20"/>
          <w:szCs w:val="20"/>
        </w:rPr>
        <w:t>Para tales efectos, las partes suscribirán los acuerdos y pactos necesarios sobre cuantías, condiciones y forma de pago de gastos adicionales, reconocimiento de costos financieros e intereses, si a ello hubiere lugar, ajustando la cancelación a las disponibilidades de la apropiación de que trata el numeral 14 del artículo 25. En todo caso, las entidades deberán adoptar las medidas necesarias que aseguren la efectividad de estos pagos y reconocimientos al contratista en la misma o en la siguiente vigencia de que se trate</w:t>
      </w:r>
      <w:r w:rsidRPr="00AA2F0B">
        <w:rPr>
          <w:rFonts w:cs="Arial"/>
          <w:i/>
          <w:color w:val="000000"/>
          <w:sz w:val="20"/>
          <w:szCs w:val="20"/>
        </w:rPr>
        <w:t>”</w:t>
      </w:r>
      <w:r w:rsidRPr="00036A99">
        <w:rPr>
          <w:rFonts w:cs="Arial"/>
          <w:b/>
          <w:bCs/>
          <w:i/>
          <w:color w:val="000000"/>
          <w:sz w:val="20"/>
          <w:szCs w:val="20"/>
        </w:rPr>
        <w:t>.</w:t>
      </w:r>
    </w:p>
  </w:footnote>
  <w:footnote w:id="26">
    <w:p w14:paraId="249552FC" w14:textId="77777777" w:rsidR="00842BD3" w:rsidRDefault="00842BD3" w:rsidP="00842BD3">
      <w:pPr>
        <w:pStyle w:val="Textonotapie"/>
        <w:spacing w:line="240" w:lineRule="auto"/>
      </w:pPr>
      <w:r>
        <w:rPr>
          <w:rStyle w:val="Refdenotaalpie"/>
        </w:rPr>
        <w:footnoteRef/>
      </w:r>
      <w:r>
        <w:t xml:space="preserve"> Después de un estudio sobre las distintas concepciones de la “causa”, analizando las diferentes vertientes, desde la perspectiva de los doctrinantes se identifica el siguiente elemento constitutivo del enriquecimiento sin causa: </w:t>
      </w:r>
    </w:p>
    <w:p w14:paraId="0F9D48BE" w14:textId="77777777" w:rsidR="00842BD3" w:rsidRDefault="00842BD3" w:rsidP="00842BD3">
      <w:pPr>
        <w:pStyle w:val="Textonotapie"/>
        <w:spacing w:line="240" w:lineRule="auto"/>
      </w:pPr>
    </w:p>
    <w:p w14:paraId="1FFC6789" w14:textId="77777777" w:rsidR="00842BD3" w:rsidRDefault="00842BD3" w:rsidP="00842BD3">
      <w:pPr>
        <w:pStyle w:val="Textonotapie"/>
        <w:spacing w:line="240" w:lineRule="auto"/>
      </w:pPr>
      <w:r w:rsidRPr="007D73CA">
        <w:rPr>
          <w:i/>
        </w:rPr>
        <w:t>“c) La ausencia de causa o falta de justificación o legitimación. Este es el elemento fundamental, es lo que legitima la acción para pedir la restitución; de él surge el deber de justicia. La equidad se vulnera por la falta de causa, ya que si la hubiera, se estaría frente a un pago”.</w:t>
      </w:r>
      <w:r>
        <w:t xml:space="preserve"> Derecho de las Obligaciones, Tomo I, Universidad de los Andes, Facultad de Derecho, Capítulo XXII, escrito presentado por la profesora Yolima Prada Márquez, página 847, Bogotá, 2009.</w:t>
      </w:r>
    </w:p>
    <w:p w14:paraId="311CA353" w14:textId="77777777" w:rsidR="00842BD3" w:rsidRPr="00D0123A" w:rsidRDefault="00842BD3" w:rsidP="00842BD3">
      <w:pPr>
        <w:pStyle w:val="Textonotapie"/>
        <w:rPr>
          <w:lang w:val="es-CO"/>
        </w:rPr>
      </w:pPr>
    </w:p>
  </w:footnote>
  <w:footnote w:id="27">
    <w:p w14:paraId="32B2759A" w14:textId="77777777" w:rsidR="00842BD3" w:rsidRPr="003150AB" w:rsidRDefault="00842BD3" w:rsidP="00842BD3">
      <w:pPr>
        <w:spacing w:line="240" w:lineRule="auto"/>
        <w:ind w:right="-284"/>
        <w:rPr>
          <w:i/>
          <w:sz w:val="20"/>
          <w:szCs w:val="20"/>
          <w:lang w:val="es-CO"/>
        </w:rPr>
      </w:pPr>
      <w:r w:rsidRPr="003150AB">
        <w:rPr>
          <w:rStyle w:val="Refdenotaalpie"/>
          <w:sz w:val="20"/>
          <w:szCs w:val="20"/>
        </w:rPr>
        <w:footnoteRef/>
      </w:r>
      <w:r w:rsidRPr="003150AB">
        <w:rPr>
          <w:sz w:val="20"/>
          <w:szCs w:val="20"/>
        </w:rPr>
        <w:t xml:space="preserve"> S</w:t>
      </w:r>
      <w:r w:rsidRPr="003150AB">
        <w:rPr>
          <w:sz w:val="20"/>
          <w:szCs w:val="20"/>
          <w:lang w:val="es-CO"/>
        </w:rPr>
        <w:t xml:space="preserve">ustituido por el artículo 11 de la Ley 1150 de 2007, en concordancia con el artículo 136 del Código Contencioso Administrativo, por manera que el cómputo de caducidad de la acción contractual, empieza a correr </w:t>
      </w:r>
      <w:r w:rsidRPr="003150AB">
        <w:rPr>
          <w:i/>
          <w:sz w:val="20"/>
          <w:szCs w:val="20"/>
          <w:lang w:val="es-CO"/>
        </w:rPr>
        <w:t xml:space="preserve">a partir del vencimiento del término contractual o legalmente establecido para liquidar el contrato estatal, </w:t>
      </w:r>
      <w:r w:rsidRPr="003150AB">
        <w:rPr>
          <w:sz w:val="20"/>
          <w:szCs w:val="20"/>
          <w:lang w:val="es-CO"/>
        </w:rPr>
        <w:t>lo cual vino a confirmarse y consolidarse con la norma legal que invocó explícitamente tales plazos para efectos de la oportunidad de ejercer la acción, aplicable</w:t>
      </w:r>
      <w:r w:rsidRPr="003150AB">
        <w:rPr>
          <w:i/>
          <w:sz w:val="20"/>
          <w:szCs w:val="20"/>
          <w:lang w:val="es-CO"/>
        </w:rPr>
        <w:t xml:space="preserve"> </w:t>
      </w:r>
      <w:r w:rsidRPr="003150AB">
        <w:rPr>
          <w:sz w:val="20"/>
          <w:szCs w:val="20"/>
          <w:lang w:val="es-CO"/>
        </w:rPr>
        <w:t xml:space="preserve">para los procesos iniciados a partir del 2 de julio de 2012, cual es el artículo 164 de la Ley 1437 de 2011. </w:t>
      </w:r>
    </w:p>
    <w:p w14:paraId="0356759B" w14:textId="77777777" w:rsidR="00842BD3" w:rsidRPr="003150AB" w:rsidRDefault="00842BD3" w:rsidP="00842BD3">
      <w:pPr>
        <w:pStyle w:val="Textonotapie"/>
        <w:rPr>
          <w:lang w:val="es-CO"/>
        </w:rPr>
      </w:pPr>
    </w:p>
  </w:footnote>
  <w:footnote w:id="28">
    <w:p w14:paraId="26EA7AED" w14:textId="77777777" w:rsidR="00842BD3" w:rsidRDefault="00842BD3" w:rsidP="00842BD3">
      <w:pPr>
        <w:pStyle w:val="Textonotapie"/>
        <w:spacing w:line="240" w:lineRule="auto"/>
        <w:rPr>
          <w:rFonts w:cs="Arial"/>
        </w:rPr>
      </w:pPr>
      <w:r>
        <w:rPr>
          <w:rStyle w:val="Refdenotaalpie"/>
        </w:rPr>
        <w:footnoteRef/>
      </w:r>
      <w:r>
        <w:t xml:space="preserve"> </w:t>
      </w:r>
      <w:r w:rsidRPr="00BF5241">
        <w:t>Véase</w:t>
      </w:r>
      <w:r>
        <w:t xml:space="preserve"> </w:t>
      </w:r>
      <w:r w:rsidRPr="00F34871">
        <w:t xml:space="preserve">un recuento </w:t>
      </w:r>
      <w:r>
        <w:t xml:space="preserve">de la jurisprudencia </w:t>
      </w:r>
      <w:r w:rsidRPr="00F34871">
        <w:t xml:space="preserve">en la siguiente sentencia: </w:t>
      </w:r>
      <w:r w:rsidRPr="00F34871">
        <w:rPr>
          <w:rFonts w:cs="Arial"/>
        </w:rPr>
        <w:t>Consejo de Estado, Sala de lo Contencioso Administrativo, Sección Tercera - Subsección B, Consejero Ponente: Ramiro Pazos Guerrero,</w:t>
      </w:r>
      <w:r w:rsidRPr="00F34871">
        <w:rPr>
          <w:rFonts w:cs="Arial"/>
          <w:b/>
        </w:rPr>
        <w:t xml:space="preserve"> </w:t>
      </w:r>
      <w:r w:rsidRPr="00F34871">
        <w:rPr>
          <w:rFonts w:cs="Arial"/>
        </w:rPr>
        <w:t>sentencia de 7 de febrero de 2018, Proceso número: 41001233100020040165202 (38.858), A</w:t>
      </w:r>
      <w:r w:rsidRPr="00F34871">
        <w:rPr>
          <w:rFonts w:cs="Arial"/>
          <w:spacing w:val="-3"/>
        </w:rPr>
        <w:t>ctor: Palacio Mahecha y Cía. Ltda, d</w:t>
      </w:r>
      <w:r w:rsidRPr="00F34871">
        <w:rPr>
          <w:rFonts w:cs="Arial"/>
        </w:rPr>
        <w:t xml:space="preserve">emandado: municipio de Neiva, acción: contractual. </w:t>
      </w:r>
    </w:p>
    <w:p w14:paraId="0C7A91BE" w14:textId="77777777" w:rsidR="00842BD3" w:rsidRPr="00A506A3" w:rsidRDefault="00842BD3" w:rsidP="00842BD3">
      <w:pPr>
        <w:pStyle w:val="Textonotapie"/>
        <w:spacing w:line="240" w:lineRule="auto"/>
        <w:rPr>
          <w:lang w:val="es-CO"/>
        </w:rPr>
      </w:pPr>
    </w:p>
  </w:footnote>
  <w:footnote w:id="29">
    <w:p w14:paraId="5535EFFA" w14:textId="77777777" w:rsidR="00842BD3" w:rsidRPr="00025C64" w:rsidRDefault="00842BD3" w:rsidP="00842BD3">
      <w:pPr>
        <w:pStyle w:val="Textonotapie"/>
        <w:rPr>
          <w:lang w:val="es-CO"/>
        </w:rPr>
      </w:pPr>
      <w:r>
        <w:rPr>
          <w:rStyle w:val="Refdenotaalpie"/>
        </w:rPr>
        <w:footnoteRef/>
      </w:r>
      <w:r>
        <w:t xml:space="preserve"> </w:t>
      </w:r>
      <w:r>
        <w:rPr>
          <w:lang w:val="es-CO"/>
        </w:rPr>
        <w:t xml:space="preserve">Folio 43, cuaderno 1. Se transcribe literal incluso con posibles errores. </w:t>
      </w:r>
    </w:p>
  </w:footnote>
  <w:footnote w:id="30">
    <w:p w14:paraId="11442E61" w14:textId="77777777" w:rsidR="00842BD3" w:rsidRPr="000E1C36" w:rsidRDefault="00842BD3" w:rsidP="00842BD3">
      <w:pPr>
        <w:pStyle w:val="Textonotapie"/>
        <w:rPr>
          <w:lang w:val="es-CO"/>
        </w:rPr>
      </w:pPr>
      <w:r>
        <w:rPr>
          <w:rStyle w:val="Refdenotaalpie"/>
        </w:rPr>
        <w:footnoteRef/>
      </w:r>
      <w:r>
        <w:t xml:space="preserve"> </w:t>
      </w:r>
      <w:r>
        <w:rPr>
          <w:lang w:val="es-CO"/>
        </w:rPr>
        <w:t>Folio 47, cuaderno 1.</w:t>
      </w:r>
    </w:p>
  </w:footnote>
  <w:footnote w:id="31">
    <w:p w14:paraId="7FB3E992" w14:textId="77777777" w:rsidR="00842BD3" w:rsidRPr="00123E6D" w:rsidRDefault="00842BD3" w:rsidP="00842BD3">
      <w:pPr>
        <w:pStyle w:val="Textonotapie"/>
        <w:rPr>
          <w:lang w:val="es-CO"/>
        </w:rPr>
      </w:pPr>
      <w:r>
        <w:rPr>
          <w:rStyle w:val="Refdenotaalpie"/>
        </w:rPr>
        <w:footnoteRef/>
      </w:r>
      <w:r>
        <w:t xml:space="preserve"> </w:t>
      </w:r>
      <w:r>
        <w:rPr>
          <w:lang w:val="es-CO"/>
        </w:rPr>
        <w:t xml:space="preserve">Folio 51, cuaderno 1. </w:t>
      </w:r>
    </w:p>
  </w:footnote>
  <w:footnote w:id="32">
    <w:p w14:paraId="341477EE" w14:textId="77777777" w:rsidR="00842BD3" w:rsidRPr="003E365B" w:rsidRDefault="00842BD3" w:rsidP="00842BD3">
      <w:pPr>
        <w:pStyle w:val="Textonotapie"/>
        <w:rPr>
          <w:lang w:val="es-CO"/>
        </w:rPr>
      </w:pPr>
      <w:r>
        <w:rPr>
          <w:rStyle w:val="Refdenotaalpie"/>
        </w:rPr>
        <w:footnoteRef/>
      </w:r>
      <w:r>
        <w:t xml:space="preserve"> </w:t>
      </w:r>
      <w:r>
        <w:rPr>
          <w:lang w:val="es-CO"/>
        </w:rPr>
        <w:t xml:space="preserve">Folio 53, cuaderno 1. </w:t>
      </w:r>
    </w:p>
  </w:footnote>
  <w:footnote w:id="33">
    <w:p w14:paraId="1049C2E6" w14:textId="77777777" w:rsidR="00842BD3" w:rsidRPr="003E365B" w:rsidRDefault="00842BD3" w:rsidP="00842BD3">
      <w:pPr>
        <w:pStyle w:val="Textonotapie"/>
        <w:rPr>
          <w:lang w:val="es-CO"/>
        </w:rPr>
      </w:pPr>
      <w:r>
        <w:rPr>
          <w:rStyle w:val="Refdenotaalpie"/>
        </w:rPr>
        <w:footnoteRef/>
      </w:r>
      <w:r>
        <w:t xml:space="preserve"> </w:t>
      </w:r>
      <w:r>
        <w:rPr>
          <w:lang w:val="es-CO"/>
        </w:rPr>
        <w:t>Folio 54, cuaderno 1.</w:t>
      </w:r>
    </w:p>
  </w:footnote>
  <w:footnote w:id="34">
    <w:p w14:paraId="78C6B86F" w14:textId="77777777" w:rsidR="00842BD3" w:rsidRPr="004529F4" w:rsidRDefault="00842BD3" w:rsidP="00842BD3">
      <w:pPr>
        <w:pStyle w:val="Textonotapie"/>
        <w:rPr>
          <w:lang w:val="es-CO"/>
        </w:rPr>
      </w:pPr>
      <w:r>
        <w:rPr>
          <w:rStyle w:val="Refdenotaalpie"/>
        </w:rPr>
        <w:footnoteRef/>
      </w:r>
      <w:r>
        <w:t xml:space="preserve"> </w:t>
      </w:r>
      <w:r>
        <w:rPr>
          <w:lang w:val="es-CO"/>
        </w:rPr>
        <w:t xml:space="preserve">Folio 57, cuaderno 1. </w:t>
      </w:r>
    </w:p>
  </w:footnote>
  <w:footnote w:id="35">
    <w:p w14:paraId="7A9E7414" w14:textId="77777777" w:rsidR="00842BD3" w:rsidRPr="007D58A4" w:rsidRDefault="00842BD3" w:rsidP="00842BD3">
      <w:pPr>
        <w:pStyle w:val="Textonotapie"/>
        <w:rPr>
          <w:lang w:val="es-CO"/>
        </w:rPr>
      </w:pPr>
      <w:r>
        <w:rPr>
          <w:rStyle w:val="Refdenotaalpie"/>
        </w:rPr>
        <w:footnoteRef/>
      </w:r>
      <w:r>
        <w:t xml:space="preserve"> </w:t>
      </w:r>
      <w:r>
        <w:rPr>
          <w:lang w:val="es-CO"/>
        </w:rPr>
        <w:t xml:space="preserve">Folio 56, cuaderno 1. </w:t>
      </w:r>
    </w:p>
  </w:footnote>
  <w:footnote w:id="36">
    <w:p w14:paraId="2BD829EA" w14:textId="77777777" w:rsidR="00842BD3" w:rsidRPr="007D58A4" w:rsidRDefault="00842BD3" w:rsidP="00842BD3">
      <w:pPr>
        <w:pStyle w:val="Textonotapie"/>
        <w:rPr>
          <w:lang w:val="es-CO"/>
        </w:rPr>
      </w:pPr>
      <w:r>
        <w:rPr>
          <w:rStyle w:val="Refdenotaalpie"/>
        </w:rPr>
        <w:footnoteRef/>
      </w:r>
      <w:r>
        <w:t xml:space="preserve"> </w:t>
      </w:r>
      <w:r>
        <w:rPr>
          <w:lang w:val="es-CO"/>
        </w:rPr>
        <w:t xml:space="preserve">Folio 59, cuaderno 1. </w:t>
      </w:r>
    </w:p>
  </w:footnote>
  <w:footnote w:id="37">
    <w:p w14:paraId="1ECCB939" w14:textId="77777777" w:rsidR="00842BD3" w:rsidRPr="00C21B8D" w:rsidRDefault="00842BD3" w:rsidP="00842BD3">
      <w:pPr>
        <w:pStyle w:val="Textonotapie"/>
        <w:rPr>
          <w:lang w:val="es-CO"/>
        </w:rPr>
      </w:pPr>
      <w:r>
        <w:rPr>
          <w:rStyle w:val="Refdenotaalpie"/>
        </w:rPr>
        <w:footnoteRef/>
      </w:r>
      <w:r>
        <w:t xml:space="preserve"> </w:t>
      </w:r>
      <w:r>
        <w:rPr>
          <w:lang w:val="es-CO"/>
        </w:rPr>
        <w:t>Folio 60, cuaderno 1.</w:t>
      </w:r>
    </w:p>
  </w:footnote>
  <w:footnote w:id="38">
    <w:p w14:paraId="2EEA7090" w14:textId="77777777" w:rsidR="00842BD3" w:rsidRPr="008375DE" w:rsidRDefault="00842BD3" w:rsidP="00842BD3">
      <w:pPr>
        <w:pStyle w:val="Textonotapie"/>
        <w:rPr>
          <w:lang w:val="es-CO"/>
        </w:rPr>
      </w:pPr>
      <w:r>
        <w:rPr>
          <w:rStyle w:val="Refdenotaalpie"/>
        </w:rPr>
        <w:footnoteRef/>
      </w:r>
      <w:r>
        <w:t xml:space="preserve"> </w:t>
      </w:r>
      <w:r>
        <w:rPr>
          <w:lang w:val="es-CO"/>
        </w:rPr>
        <w:t>Folios 394 y 395, cuaderno 3.</w:t>
      </w:r>
    </w:p>
  </w:footnote>
  <w:footnote w:id="39">
    <w:p w14:paraId="72ED0845" w14:textId="77777777" w:rsidR="00842BD3" w:rsidRPr="00C21B8D" w:rsidRDefault="00842BD3" w:rsidP="00842BD3">
      <w:pPr>
        <w:pStyle w:val="Textonotapie"/>
        <w:rPr>
          <w:lang w:val="es-CO"/>
        </w:rPr>
      </w:pPr>
      <w:r>
        <w:rPr>
          <w:rStyle w:val="Refdenotaalpie"/>
        </w:rPr>
        <w:footnoteRef/>
      </w:r>
      <w:r>
        <w:t xml:space="preserve"> </w:t>
      </w:r>
      <w:r>
        <w:rPr>
          <w:lang w:val="es-CO"/>
        </w:rPr>
        <w:t xml:space="preserve">Folio 62, cuaderno 1. </w:t>
      </w:r>
    </w:p>
  </w:footnote>
  <w:footnote w:id="40">
    <w:p w14:paraId="0A63359B" w14:textId="77777777" w:rsidR="00842BD3" w:rsidRPr="00237CDD" w:rsidRDefault="00842BD3" w:rsidP="00842BD3">
      <w:pPr>
        <w:pStyle w:val="Textonotapie"/>
        <w:rPr>
          <w:lang w:val="es-CO"/>
        </w:rPr>
      </w:pPr>
      <w:r>
        <w:rPr>
          <w:rStyle w:val="Refdenotaalpie"/>
        </w:rPr>
        <w:footnoteRef/>
      </w:r>
      <w:r>
        <w:t xml:space="preserve"> </w:t>
      </w:r>
      <w:r>
        <w:rPr>
          <w:lang w:val="es-CO"/>
        </w:rPr>
        <w:t>Folio 63, cuaderno 1.</w:t>
      </w:r>
    </w:p>
  </w:footnote>
  <w:footnote w:id="41">
    <w:p w14:paraId="1B0C3C93" w14:textId="77777777" w:rsidR="00842BD3" w:rsidRPr="00A84B56" w:rsidRDefault="00842BD3" w:rsidP="00842BD3">
      <w:pPr>
        <w:pStyle w:val="Textonotapie"/>
        <w:rPr>
          <w:lang w:val="es-CO"/>
        </w:rPr>
      </w:pPr>
      <w:r>
        <w:rPr>
          <w:rStyle w:val="Refdenotaalpie"/>
        </w:rPr>
        <w:footnoteRef/>
      </w:r>
      <w:r>
        <w:t xml:space="preserve"> </w:t>
      </w:r>
      <w:r>
        <w:rPr>
          <w:lang w:val="es-CO"/>
        </w:rPr>
        <w:t>Folios 78 a 71 cuaderno 2</w:t>
      </w:r>
    </w:p>
  </w:footnote>
  <w:footnote w:id="42">
    <w:p w14:paraId="3F7C8EE5" w14:textId="77777777" w:rsidR="00842BD3" w:rsidRDefault="00842BD3" w:rsidP="00842BD3">
      <w:pPr>
        <w:pStyle w:val="Textonotapie"/>
        <w:spacing w:line="240" w:lineRule="auto"/>
      </w:pPr>
      <w:r>
        <w:rPr>
          <w:rStyle w:val="Refdenotaalpie"/>
        </w:rPr>
        <w:footnoteRef/>
      </w:r>
      <w:r>
        <w:t xml:space="preserve"> “En Bogotá D.C. siendo la hora de las dos y treinta de la tarde del día 20 de agosto de 2009, día y hora señalados para llevar a cabo la audiencia de conciliación,  presentada a la Procuraduría el 6 de mayo de 2009 y repartida a este despacho para la celebración de la audiencia concurrieron las personas que se relacionan a continuación (…)”. Tomado del original del acta, obrante en los folios 40, 41 y 42 del cuaderno 1.</w:t>
      </w:r>
    </w:p>
    <w:p w14:paraId="2882C993" w14:textId="77777777" w:rsidR="00842BD3" w:rsidRDefault="00842BD3" w:rsidP="00842BD3">
      <w:pPr>
        <w:pStyle w:val="Textonotapie"/>
      </w:pPr>
    </w:p>
    <w:p w14:paraId="3C7BD2D6" w14:textId="77777777" w:rsidR="00842BD3" w:rsidRPr="00BD2D8E" w:rsidRDefault="00842BD3" w:rsidP="00842BD3">
      <w:pPr>
        <w:pStyle w:val="Textonotapie"/>
        <w:rPr>
          <w:lang w:val="es-CO"/>
        </w:rPr>
      </w:pPr>
      <w:r>
        <w:rPr>
          <w:lang w:val="es-CO"/>
        </w:rPr>
        <w:t xml:space="preserve">Folios 40, 41 y 42 del cuaderno1.  </w:t>
      </w:r>
    </w:p>
  </w:footnote>
  <w:footnote w:id="43">
    <w:p w14:paraId="75542BB0" w14:textId="77777777" w:rsidR="00842BD3" w:rsidRPr="008C019A" w:rsidRDefault="00842BD3" w:rsidP="00842BD3">
      <w:pPr>
        <w:pStyle w:val="Textonotapie"/>
        <w:spacing w:line="240" w:lineRule="auto"/>
        <w:rPr>
          <w:rFonts w:cs="Arial"/>
          <w:i/>
        </w:rPr>
      </w:pPr>
      <w:r w:rsidRPr="008C019A">
        <w:rPr>
          <w:rStyle w:val="Refdenotaalpie"/>
        </w:rPr>
        <w:footnoteRef/>
      </w:r>
      <w:r w:rsidRPr="008C019A">
        <w:t xml:space="preserve"> </w:t>
      </w:r>
      <w:bookmarkStart w:id="0" w:name="21"/>
      <w:r w:rsidRPr="008C019A">
        <w:t>“</w:t>
      </w:r>
      <w:r>
        <w:rPr>
          <w:rFonts w:cs="Arial"/>
          <w:bCs/>
          <w:i/>
        </w:rPr>
        <w:t>Ar</w:t>
      </w:r>
      <w:r w:rsidRPr="008B2593">
        <w:rPr>
          <w:rFonts w:cs="Arial"/>
          <w:bCs/>
          <w:i/>
        </w:rPr>
        <w:t>tículo 21.</w:t>
      </w:r>
      <w:r w:rsidRPr="008C019A">
        <w:rPr>
          <w:rFonts w:cs="Arial"/>
          <w:b/>
          <w:bCs/>
          <w:i/>
        </w:rPr>
        <w:t xml:space="preserve"> </w:t>
      </w:r>
      <w:r w:rsidRPr="008B2593">
        <w:rPr>
          <w:rFonts w:cs="Arial"/>
          <w:bCs/>
          <w:i/>
        </w:rPr>
        <w:t>S</w:t>
      </w:r>
      <w:r w:rsidRPr="008C019A">
        <w:rPr>
          <w:rFonts w:cs="Arial"/>
          <w:bCs/>
          <w:i/>
        </w:rPr>
        <w:t>uspensi</w:t>
      </w:r>
      <w:r>
        <w:rPr>
          <w:rFonts w:cs="Arial"/>
          <w:bCs/>
          <w:i/>
        </w:rPr>
        <w:t>ó</w:t>
      </w:r>
      <w:r w:rsidRPr="008C019A">
        <w:rPr>
          <w:rFonts w:cs="Arial"/>
          <w:bCs/>
          <w:i/>
        </w:rPr>
        <w:t>n de la prescripci</w:t>
      </w:r>
      <w:r>
        <w:rPr>
          <w:rFonts w:cs="Arial"/>
          <w:bCs/>
          <w:i/>
        </w:rPr>
        <w:t>ó</w:t>
      </w:r>
      <w:r w:rsidRPr="008C019A">
        <w:rPr>
          <w:rFonts w:cs="Arial"/>
          <w:bCs/>
          <w:i/>
        </w:rPr>
        <w:t>n o de la caducidad</w:t>
      </w:r>
      <w:r w:rsidRPr="008C019A">
        <w:rPr>
          <w:rFonts w:cs="Arial"/>
          <w:b/>
          <w:bCs/>
          <w:i/>
        </w:rPr>
        <w:t>.</w:t>
      </w:r>
      <w:bookmarkEnd w:id="0"/>
      <w:r w:rsidRPr="008C019A">
        <w:rPr>
          <w:rFonts w:cs="Arial"/>
          <w:i/>
        </w:rPr>
        <w:t> La presentación de la solicitud de conciliación extrajudicial en derecho ante el conciliador suspende el término de prescripción o de caducidad, según el caso, hasta que se logre el acuerdo conciliatorio o hasta que el acta de conciliación se haya registrado en los casos en que este trámite sea exigido por la ley o hasta que se expidan las constancias a que se refiere el artículo </w:t>
      </w:r>
      <w:hyperlink r:id="rId2" w:anchor="2" w:history="1">
        <w:r w:rsidRPr="008C019A">
          <w:rPr>
            <w:rStyle w:val="Hipervnculo"/>
            <w:rFonts w:cs="Arial"/>
            <w:i/>
            <w:sz w:val="20"/>
          </w:rPr>
          <w:t>2</w:t>
        </w:r>
      </w:hyperlink>
      <w:r w:rsidRPr="008C019A">
        <w:rPr>
          <w:rFonts w:cs="Arial"/>
          <w:i/>
        </w:rPr>
        <w:t>o. de la presente ley o hasta que se venza el término de tres (3) meses a que se refiere el artículo anterior, lo que ocurra primero. Esta suspensión operará por una sola vez y será improrrogable”.</w:t>
      </w:r>
    </w:p>
    <w:p w14:paraId="391CF7DF" w14:textId="77777777" w:rsidR="00842BD3" w:rsidRPr="008C019A" w:rsidRDefault="00842BD3" w:rsidP="00842BD3">
      <w:pPr>
        <w:pStyle w:val="Textonotapie"/>
        <w:spacing w:line="240" w:lineRule="auto"/>
        <w:rPr>
          <w:i/>
          <w:lang w:val="es-CO"/>
        </w:rPr>
      </w:pPr>
    </w:p>
  </w:footnote>
  <w:footnote w:id="44">
    <w:p w14:paraId="275E0672" w14:textId="77777777" w:rsidR="00842BD3" w:rsidRPr="00533B71" w:rsidRDefault="00842BD3" w:rsidP="00842BD3">
      <w:pPr>
        <w:pStyle w:val="Textonotapie"/>
        <w:rPr>
          <w:lang w:val="es-CO"/>
        </w:rPr>
      </w:pPr>
      <w:r>
        <w:rPr>
          <w:rStyle w:val="Refdenotaalpie"/>
        </w:rPr>
        <w:footnoteRef/>
      </w:r>
      <w:r>
        <w:t xml:space="preserve"> Página 4 del escrito de apelación, último párrafo, cuaderno principal segunda instancia.</w:t>
      </w:r>
    </w:p>
  </w:footnote>
  <w:footnote w:id="45">
    <w:p w14:paraId="5D2A147C" w14:textId="77777777" w:rsidR="00842BD3" w:rsidRDefault="00842BD3" w:rsidP="00842BD3">
      <w:pPr>
        <w:pStyle w:val="Puesto"/>
        <w:jc w:val="both"/>
        <w:rPr>
          <w:b w:val="0"/>
          <w:sz w:val="20"/>
          <w:szCs w:val="20"/>
        </w:rPr>
      </w:pPr>
      <w:r w:rsidRPr="00364D83">
        <w:rPr>
          <w:rStyle w:val="Refdenotaalpie"/>
          <w:b w:val="0"/>
        </w:rPr>
        <w:footnoteRef/>
      </w:r>
      <w:r w:rsidRPr="00364D83">
        <w:rPr>
          <w:b w:val="0"/>
        </w:rPr>
        <w:t xml:space="preserve"> </w:t>
      </w:r>
      <w:r w:rsidRPr="00364D83">
        <w:rPr>
          <w:b w:val="0"/>
          <w:sz w:val="20"/>
          <w:szCs w:val="20"/>
        </w:rPr>
        <w:t>C</w:t>
      </w:r>
      <w:r w:rsidRPr="00362D1E">
        <w:rPr>
          <w:b w:val="0"/>
          <w:sz w:val="20"/>
          <w:szCs w:val="20"/>
        </w:rPr>
        <w:t xml:space="preserve">onsejo de Estado, Sala de lo Contencioso Administrativo, Sección Tercera – Subsección A, </w:t>
      </w:r>
      <w:r w:rsidRPr="00362D1E">
        <w:rPr>
          <w:b w:val="0"/>
          <w:sz w:val="20"/>
          <w:szCs w:val="20"/>
          <w:lang w:val="es-CO"/>
        </w:rPr>
        <w:t xml:space="preserve">sentencia de </w:t>
      </w:r>
      <w:r w:rsidRPr="00362D1E">
        <w:rPr>
          <w:b w:val="0"/>
          <w:sz w:val="20"/>
          <w:szCs w:val="20"/>
        </w:rPr>
        <w:t>8 de febrero de 2017, radicación: 25000233600020120054901 (49098), actor: Liberty Seguros S.A., demandado: Fondo de Vigilancia y Seguridad de Bogotá, naturaleza: medio de control contractual, Ley 1437 de 2011</w:t>
      </w:r>
      <w:r>
        <w:rPr>
          <w:b w:val="0"/>
          <w:sz w:val="20"/>
          <w:szCs w:val="20"/>
        </w:rPr>
        <w:t>.</w:t>
      </w:r>
    </w:p>
    <w:p w14:paraId="3260C76B" w14:textId="77777777" w:rsidR="00842BD3" w:rsidRPr="00CB4288" w:rsidRDefault="00842BD3" w:rsidP="00842BD3">
      <w:pPr>
        <w:pStyle w:val="Textonotapie"/>
        <w:rPr>
          <w:lang w:val="es-CO"/>
        </w:rPr>
      </w:pPr>
    </w:p>
  </w:footnote>
  <w:footnote w:id="46">
    <w:p w14:paraId="45CF1CB4" w14:textId="77777777" w:rsidR="00842BD3" w:rsidRDefault="00842BD3" w:rsidP="00842BD3">
      <w:pPr>
        <w:ind w:right="-232"/>
      </w:pPr>
      <w:r>
        <w:rPr>
          <w:rStyle w:val="Refdenotaalpie"/>
        </w:rPr>
        <w:footnoteRef/>
      </w:r>
      <w:r>
        <w:t xml:space="preserve"> </w:t>
      </w:r>
      <w:r w:rsidRPr="00322231">
        <w:rPr>
          <w:sz w:val="20"/>
          <w:szCs w:val="20"/>
        </w:rPr>
        <w:t>Sentencia C- 165 de 1993.</w:t>
      </w:r>
    </w:p>
    <w:p w14:paraId="358CEE26" w14:textId="77777777" w:rsidR="00842BD3" w:rsidRPr="00DC3023" w:rsidRDefault="00842BD3" w:rsidP="00842BD3">
      <w:pPr>
        <w:spacing w:line="240" w:lineRule="auto"/>
        <w:ind w:right="-232"/>
        <w:rPr>
          <w:i/>
          <w:iCs/>
          <w:sz w:val="20"/>
          <w:szCs w:val="20"/>
        </w:rPr>
      </w:pPr>
      <w:r>
        <w:rPr>
          <w:i/>
          <w:iCs/>
          <w:sz w:val="20"/>
          <w:szCs w:val="20"/>
        </w:rPr>
        <w:t>“</w:t>
      </w:r>
      <w:r w:rsidRPr="00DC3023">
        <w:rPr>
          <w:i/>
          <w:iCs/>
          <w:sz w:val="20"/>
          <w:szCs w:val="20"/>
        </w:rPr>
        <w:t xml:space="preserve">De otra parte, al examinar este cargo es del caso tener en cuenta que, como acontece con la prescripción, </w:t>
      </w:r>
      <w:r w:rsidRPr="00DC3023">
        <w:rPr>
          <w:bCs/>
          <w:i/>
          <w:iCs/>
          <w:sz w:val="20"/>
          <w:szCs w:val="20"/>
        </w:rPr>
        <w:t xml:space="preserve">la institución jurídica de la </w:t>
      </w:r>
      <w:r w:rsidRPr="00DC3023">
        <w:rPr>
          <w:b/>
          <w:bCs/>
          <w:i/>
          <w:iCs/>
          <w:sz w:val="20"/>
          <w:szCs w:val="20"/>
        </w:rPr>
        <w:t>caducidad de la acción se fundamenta en que, como al ciudadano se le imponen obligaciones relacionadas con el cumplimiento de los deberes de colaboración con la justicia</w:t>
      </w:r>
      <w:r w:rsidRPr="00DC3023">
        <w:rPr>
          <w:bCs/>
          <w:i/>
          <w:iCs/>
          <w:sz w:val="20"/>
          <w:szCs w:val="20"/>
        </w:rPr>
        <w:t xml:space="preserve"> para tener acceso a su dispensación</w:t>
      </w:r>
      <w:r w:rsidRPr="00DC3023">
        <w:rPr>
          <w:i/>
          <w:iCs/>
          <w:sz w:val="20"/>
          <w:szCs w:val="20"/>
        </w:rPr>
        <w:t xml:space="preserve">, su incumplimiento, o lo que es lo mismo, </w:t>
      </w:r>
      <w:r w:rsidRPr="00DC3023">
        <w:rPr>
          <w:bCs/>
          <w:i/>
          <w:iCs/>
          <w:sz w:val="20"/>
          <w:szCs w:val="20"/>
        </w:rPr>
        <w:t>su no ejercicio dentro de los términos señalados por las leyes procesales -con plena observancia de las garantías constitucionales que integran el debido proceso y que aseguran plenas y amplias posibilidades de ejercitar el derecho de defensa-, constituye omisión en el cumplimiento de sus obligaciones de naturaleza constitucional y, por ende, acarrea para el Estado la imposibilidad jurídica de continuar ofreciéndole mayores recursos y oportunidades, ante la inactividad del titular del derecho en reclamar el ejercicio que le corresponde.</w:t>
      </w:r>
    </w:p>
    <w:p w14:paraId="7A98E997" w14:textId="77777777" w:rsidR="00842BD3" w:rsidRPr="00DC3023" w:rsidRDefault="00842BD3" w:rsidP="00842BD3">
      <w:pPr>
        <w:spacing w:line="240" w:lineRule="auto"/>
        <w:ind w:right="-232"/>
        <w:rPr>
          <w:i/>
          <w:iCs/>
          <w:sz w:val="20"/>
          <w:szCs w:val="20"/>
        </w:rPr>
      </w:pPr>
    </w:p>
    <w:p w14:paraId="57463220" w14:textId="77777777" w:rsidR="00842BD3" w:rsidRPr="00DC3023" w:rsidRDefault="00842BD3" w:rsidP="00842BD3">
      <w:pPr>
        <w:spacing w:line="240" w:lineRule="auto"/>
        <w:ind w:right="-232"/>
        <w:rPr>
          <w:bCs/>
          <w:i/>
          <w:iCs/>
          <w:sz w:val="20"/>
          <w:szCs w:val="20"/>
        </w:rPr>
      </w:pPr>
      <w:r>
        <w:rPr>
          <w:bCs/>
          <w:i/>
          <w:iCs/>
          <w:sz w:val="20"/>
          <w:szCs w:val="20"/>
        </w:rPr>
        <w:t>“</w:t>
      </w:r>
      <w:r w:rsidRPr="00DC3023">
        <w:rPr>
          <w:b/>
          <w:bCs/>
          <w:i/>
          <w:iCs/>
          <w:sz w:val="20"/>
          <w:szCs w:val="20"/>
        </w:rPr>
        <w:t>De ahí que tampoco sea sostenible el argumento según el cual la caducidad frustra el derecho de acceso a la justicia pues, mal podría violarse este derecho respecto de quien gozando de la posibilidad de ejercerlo, opta por la vía de la inacción</w:t>
      </w:r>
      <w:r w:rsidRPr="00DC3023">
        <w:rPr>
          <w:bCs/>
          <w:i/>
          <w:iCs/>
          <w:sz w:val="20"/>
          <w:szCs w:val="20"/>
        </w:rPr>
        <w:t>. Es imposible que pueda desconocerse o vulnerarse el derecho de quien ha hecho voluntaria dejación del mismo, renunciando a su ejercicio o no empleando la vigilancia que la preservación de su integridad demanda</w:t>
      </w:r>
      <w:r>
        <w:rPr>
          <w:bCs/>
          <w:i/>
          <w:iCs/>
          <w:sz w:val="20"/>
          <w:szCs w:val="20"/>
        </w:rPr>
        <w:t>”</w:t>
      </w:r>
      <w:r w:rsidRPr="00DC3023">
        <w:rPr>
          <w:bCs/>
          <w:i/>
          <w:iCs/>
          <w:sz w:val="20"/>
          <w:szCs w:val="20"/>
        </w:rPr>
        <w:t xml:space="preserve">. </w:t>
      </w:r>
      <w:r w:rsidRPr="008D353A">
        <w:rPr>
          <w:bCs/>
          <w:iCs/>
          <w:sz w:val="20"/>
          <w:szCs w:val="20"/>
        </w:rPr>
        <w:t>(La negrilla no es del texto).</w:t>
      </w:r>
    </w:p>
    <w:p w14:paraId="3AFDE199" w14:textId="77777777" w:rsidR="00842BD3" w:rsidRPr="00E37950" w:rsidRDefault="00842BD3" w:rsidP="00842BD3">
      <w:pPr>
        <w:pStyle w:val="Textonotapie"/>
        <w:spacing w:line="240" w:lineRule="auto"/>
        <w:rPr>
          <w:lang w:val="es-CO"/>
        </w:rPr>
      </w:pPr>
    </w:p>
  </w:footnote>
  <w:footnote w:id="47">
    <w:p w14:paraId="38C47A9B" w14:textId="77777777" w:rsidR="00842BD3" w:rsidRPr="00FD2148" w:rsidRDefault="00842BD3" w:rsidP="00842BD3">
      <w:pPr>
        <w:tabs>
          <w:tab w:val="left" w:pos="1698"/>
          <w:tab w:val="left" w:pos="2418"/>
          <w:tab w:val="left" w:pos="3138"/>
          <w:tab w:val="left" w:pos="3858"/>
          <w:tab w:val="left" w:pos="4578"/>
          <w:tab w:val="left" w:pos="5244"/>
          <w:tab w:val="left" w:pos="5298"/>
          <w:tab w:val="left" w:pos="6018"/>
          <w:tab w:val="left" w:pos="6738"/>
          <w:tab w:val="left" w:pos="7458"/>
          <w:tab w:val="left" w:pos="8178"/>
        </w:tabs>
        <w:spacing w:line="240" w:lineRule="atLeast"/>
        <w:ind w:right="-232"/>
        <w:rPr>
          <w:bCs/>
          <w:sz w:val="20"/>
          <w:szCs w:val="20"/>
        </w:rPr>
      </w:pPr>
      <w:r w:rsidRPr="00FD2148">
        <w:rPr>
          <w:rStyle w:val="Refdenotaalpie"/>
          <w:sz w:val="20"/>
          <w:szCs w:val="20"/>
        </w:rPr>
        <w:footnoteRef/>
      </w:r>
      <w:r w:rsidRPr="00FD2148">
        <w:rPr>
          <w:sz w:val="20"/>
          <w:szCs w:val="20"/>
        </w:rPr>
        <w:t xml:space="preserve"> </w:t>
      </w:r>
      <w:r w:rsidRPr="00FD2148">
        <w:rPr>
          <w:bCs/>
          <w:sz w:val="20"/>
          <w:szCs w:val="20"/>
        </w:rPr>
        <w:t xml:space="preserve">Sentencia No. C-165/93. En esa oportunidad la Corte Constitucional dispuso estar a lo resuelto </w:t>
      </w:r>
      <w:r w:rsidRPr="00FD2148">
        <w:rPr>
          <w:sz w:val="20"/>
          <w:szCs w:val="20"/>
        </w:rPr>
        <w:t xml:space="preserve">en la sentencia C-592 de 1992 </w:t>
      </w:r>
      <w:r>
        <w:rPr>
          <w:sz w:val="20"/>
          <w:szCs w:val="20"/>
        </w:rPr>
        <w:t xml:space="preserve">mediante la cual </w:t>
      </w:r>
      <w:r w:rsidRPr="00FD2148">
        <w:rPr>
          <w:sz w:val="20"/>
          <w:szCs w:val="20"/>
        </w:rPr>
        <w:t>declaró exequible el artículo 10 del Decreto 2651 de 1991</w:t>
      </w:r>
      <w:r>
        <w:rPr>
          <w:sz w:val="20"/>
          <w:szCs w:val="20"/>
        </w:rPr>
        <w:t xml:space="preserve"> y afianzó  la c</w:t>
      </w:r>
      <w:r w:rsidRPr="00FD2148">
        <w:rPr>
          <w:bCs/>
          <w:sz w:val="20"/>
          <w:szCs w:val="20"/>
        </w:rPr>
        <w:t>onstitucionalidad de las sanciones impuestas a las partes por inasistencia a la audiencia</w:t>
      </w:r>
      <w:r>
        <w:rPr>
          <w:bCs/>
          <w:sz w:val="20"/>
          <w:szCs w:val="20"/>
        </w:rPr>
        <w:t xml:space="preserve"> de conciliación</w:t>
      </w:r>
      <w:r w:rsidRPr="00FD2148">
        <w:rPr>
          <w:bCs/>
          <w:sz w:val="20"/>
          <w:szCs w:val="20"/>
        </w:rPr>
        <w:t>.</w:t>
      </w:r>
    </w:p>
    <w:p w14:paraId="64A065D9" w14:textId="77777777" w:rsidR="00842BD3" w:rsidRPr="00FD2148" w:rsidRDefault="00842BD3" w:rsidP="00842BD3">
      <w:pPr>
        <w:tabs>
          <w:tab w:val="left" w:pos="720"/>
          <w:tab w:val="left" w:pos="1440"/>
          <w:tab w:val="left" w:pos="2160"/>
          <w:tab w:val="left" w:pos="2880"/>
          <w:tab w:val="left" w:pos="3600"/>
          <w:tab w:val="left" w:pos="4320"/>
          <w:tab w:val="left" w:pos="5040"/>
          <w:tab w:val="left" w:pos="5760"/>
          <w:tab w:val="left" w:pos="6480"/>
        </w:tabs>
        <w:spacing w:line="240" w:lineRule="atLeast"/>
        <w:ind w:right="-232"/>
        <w:rPr>
          <w:sz w:val="20"/>
          <w:szCs w:val="20"/>
        </w:rPr>
      </w:pPr>
    </w:p>
    <w:p w14:paraId="787011FE" w14:textId="77777777" w:rsidR="00842BD3" w:rsidRPr="00D70D46" w:rsidRDefault="00842BD3" w:rsidP="00842BD3">
      <w:pPr>
        <w:spacing w:line="240" w:lineRule="atLeast"/>
        <w:ind w:right="-232"/>
        <w:rPr>
          <w:i/>
          <w:sz w:val="20"/>
          <w:szCs w:val="20"/>
        </w:rPr>
      </w:pPr>
      <w:r w:rsidRPr="00D70D46">
        <w:rPr>
          <w:i/>
          <w:sz w:val="20"/>
          <w:szCs w:val="20"/>
        </w:rPr>
        <w:t xml:space="preserve">“d) Por lo demás, es sabido que en consonancia con el propósito de fortalecer el aparato judicial para asegurar una pronta, recta, cumplida y eficaz administración de justicia, como condición indispensable de la construcción de una sociedad pacífica, el Constituyente en el artículo 228 en términos perentorios dispuso que: </w:t>
      </w:r>
      <w:r>
        <w:rPr>
          <w:i/>
          <w:sz w:val="20"/>
          <w:szCs w:val="20"/>
        </w:rPr>
        <w:t>‘</w:t>
      </w:r>
      <w:r w:rsidRPr="00D70D46">
        <w:rPr>
          <w:i/>
          <w:sz w:val="20"/>
          <w:szCs w:val="20"/>
        </w:rPr>
        <w:t>Los términos procesales se observarán con diligencia y su incumplimiento será sancionado</w:t>
      </w:r>
      <w:r>
        <w:rPr>
          <w:i/>
          <w:sz w:val="20"/>
          <w:szCs w:val="20"/>
        </w:rPr>
        <w:t>’</w:t>
      </w:r>
      <w:r w:rsidRPr="00D70D46">
        <w:rPr>
          <w:i/>
          <w:sz w:val="20"/>
          <w:szCs w:val="20"/>
        </w:rPr>
        <w:t>.</w:t>
      </w:r>
    </w:p>
    <w:p w14:paraId="7E6F2725" w14:textId="77777777" w:rsidR="00842BD3" w:rsidRPr="00D70D46" w:rsidRDefault="00842BD3" w:rsidP="00842BD3">
      <w:pPr>
        <w:spacing w:line="240" w:lineRule="atLeast"/>
        <w:ind w:right="-232"/>
        <w:rPr>
          <w:i/>
          <w:sz w:val="20"/>
          <w:szCs w:val="20"/>
        </w:rPr>
      </w:pPr>
    </w:p>
    <w:p w14:paraId="093DA99C" w14:textId="77777777" w:rsidR="00842BD3" w:rsidRPr="00FD2148" w:rsidRDefault="00842BD3" w:rsidP="00842BD3">
      <w:pPr>
        <w:spacing w:line="240" w:lineRule="atLeast"/>
        <w:ind w:right="-232"/>
        <w:rPr>
          <w:sz w:val="20"/>
          <w:szCs w:val="20"/>
        </w:rPr>
      </w:pPr>
      <w:r w:rsidRPr="00D70D46">
        <w:rPr>
          <w:i/>
          <w:sz w:val="20"/>
          <w:szCs w:val="20"/>
        </w:rPr>
        <w:t>“Por ello, para la Corte es claro que, desde otro ángulo complementario, la constitucionalidad del aparte acusado subyace en la normativa constitucional aludida, pues no se remite a duda que el sentido que en dicho precepto tiene el vocablo ‘término’ connota el de un lapso hábil para realizar una actuación, que obliga por igual a todos los sujetos procesales</w:t>
      </w:r>
      <w:r>
        <w:rPr>
          <w:i/>
          <w:sz w:val="20"/>
          <w:szCs w:val="20"/>
        </w:rPr>
        <w:t>”</w:t>
      </w:r>
      <w:r w:rsidRPr="00FD2148">
        <w:rPr>
          <w:sz w:val="20"/>
          <w:szCs w:val="20"/>
        </w:rPr>
        <w:t>.</w:t>
      </w:r>
    </w:p>
    <w:p w14:paraId="1DA08031" w14:textId="77777777" w:rsidR="00842BD3" w:rsidRPr="00FD2148" w:rsidRDefault="00842BD3" w:rsidP="00842BD3">
      <w:pPr>
        <w:pStyle w:val="Textonotapie"/>
        <w:rPr>
          <w:lang w:val="es-CO"/>
        </w:rPr>
      </w:pPr>
    </w:p>
  </w:footnote>
  <w:footnote w:id="48">
    <w:p w14:paraId="3162AC52" w14:textId="77777777" w:rsidR="00842BD3" w:rsidRDefault="00842BD3" w:rsidP="00842BD3">
      <w:pPr>
        <w:pStyle w:val="Puesto"/>
        <w:jc w:val="both"/>
        <w:rPr>
          <w:b w:val="0"/>
          <w:sz w:val="20"/>
          <w:szCs w:val="20"/>
        </w:rPr>
      </w:pPr>
      <w:r w:rsidRPr="00364D83">
        <w:rPr>
          <w:rStyle w:val="Refdenotaalpie"/>
          <w:b w:val="0"/>
        </w:rPr>
        <w:footnoteRef/>
      </w:r>
      <w:r w:rsidRPr="00364D83">
        <w:rPr>
          <w:b w:val="0"/>
        </w:rPr>
        <w:t xml:space="preserve"> </w:t>
      </w:r>
      <w:r w:rsidRPr="00362D1E">
        <w:rPr>
          <w:b w:val="0"/>
          <w:sz w:val="20"/>
          <w:szCs w:val="20"/>
        </w:rPr>
        <w:t xml:space="preserve">Consejo de Estado, Sala de lo Contencioso Administrativo, Sección Tercera – Subsección A, </w:t>
      </w:r>
      <w:r w:rsidRPr="00362D1E">
        <w:rPr>
          <w:b w:val="0"/>
          <w:sz w:val="20"/>
          <w:szCs w:val="20"/>
          <w:lang w:val="es-CO"/>
        </w:rPr>
        <w:t xml:space="preserve"> sentencia de </w:t>
      </w:r>
      <w:r w:rsidRPr="00362D1E">
        <w:rPr>
          <w:b w:val="0"/>
          <w:sz w:val="20"/>
          <w:szCs w:val="20"/>
        </w:rPr>
        <w:t xml:space="preserve">8 de febrero de 2017, radicación: 25000233600020120054901 (49098), actor: Liberty Seguros S.A., demandado: Fondo de Vigilancia y Seguridad de Bogotá, naturaleza: medio de control contractual, Ley 1437 de 2011 </w:t>
      </w:r>
    </w:p>
    <w:p w14:paraId="31799B6F" w14:textId="77777777" w:rsidR="00842BD3" w:rsidRDefault="00842BD3" w:rsidP="00842BD3">
      <w:pPr>
        <w:pStyle w:val="Puesto"/>
        <w:jc w:val="both"/>
        <w:rPr>
          <w:b w:val="0"/>
          <w:sz w:val="20"/>
          <w:szCs w:val="20"/>
        </w:rPr>
      </w:pPr>
    </w:p>
    <w:p w14:paraId="214CBC68" w14:textId="77777777" w:rsidR="00842BD3" w:rsidRPr="00947121" w:rsidRDefault="00842BD3" w:rsidP="00842BD3">
      <w:pPr>
        <w:pStyle w:val="Textonotapie"/>
        <w:rPr>
          <w:lang w:val="es-CO"/>
        </w:rPr>
      </w:pPr>
    </w:p>
  </w:footnote>
  <w:footnote w:id="49">
    <w:p w14:paraId="17E49569" w14:textId="77777777" w:rsidR="00842BD3" w:rsidRPr="002358B8" w:rsidRDefault="00842BD3" w:rsidP="00842BD3">
      <w:pPr>
        <w:pStyle w:val="Textonotapie"/>
        <w:rPr>
          <w:lang w:val="es-CO"/>
        </w:rPr>
      </w:pPr>
      <w:r>
        <w:rPr>
          <w:rStyle w:val="Refdenotaalpie"/>
        </w:rPr>
        <w:footnoteRef/>
      </w:r>
      <w:r>
        <w:t xml:space="preserve"> </w:t>
      </w:r>
      <w:r>
        <w:rPr>
          <w:lang w:val="es-CO"/>
        </w:rPr>
        <w:t>Folios 314 a 318, cuaderno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3C3B2" w14:textId="77777777" w:rsidR="00EE62C4" w:rsidRDefault="00EE62C4" w:rsidP="0064345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D764D8" w14:textId="77777777" w:rsidR="00EE62C4" w:rsidRDefault="00EE62C4" w:rsidP="0064345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8BD71" w14:textId="77777777" w:rsidR="00EE62C4" w:rsidRDefault="00EE62C4" w:rsidP="00643457">
    <w:pPr>
      <w:widowControl w:val="0"/>
      <w:autoSpaceDE w:val="0"/>
      <w:autoSpaceDN w:val="0"/>
      <w:adjustRightInd w:val="0"/>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00547"/>
    <w:multiLevelType w:val="hybridMultilevel"/>
    <w:tmpl w:val="7EA8965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590" w:hanging="360"/>
      </w:pPr>
      <w:rPr>
        <w:rFonts w:ascii="Courier New" w:hAnsi="Courier New" w:cs="Courier New" w:hint="default"/>
      </w:rPr>
    </w:lvl>
    <w:lvl w:ilvl="2" w:tplc="0C0A0005" w:tentative="1">
      <w:start w:val="1"/>
      <w:numFmt w:val="bullet"/>
      <w:lvlText w:val=""/>
      <w:lvlJc w:val="left"/>
      <w:pPr>
        <w:ind w:left="2310" w:hanging="360"/>
      </w:pPr>
      <w:rPr>
        <w:rFonts w:ascii="Wingdings" w:hAnsi="Wingdings" w:hint="default"/>
      </w:rPr>
    </w:lvl>
    <w:lvl w:ilvl="3" w:tplc="0C0A0001" w:tentative="1">
      <w:start w:val="1"/>
      <w:numFmt w:val="bullet"/>
      <w:lvlText w:val=""/>
      <w:lvlJc w:val="left"/>
      <w:pPr>
        <w:ind w:left="3030" w:hanging="360"/>
      </w:pPr>
      <w:rPr>
        <w:rFonts w:ascii="Symbol" w:hAnsi="Symbol" w:hint="default"/>
      </w:rPr>
    </w:lvl>
    <w:lvl w:ilvl="4" w:tplc="0C0A0003" w:tentative="1">
      <w:start w:val="1"/>
      <w:numFmt w:val="bullet"/>
      <w:lvlText w:val="o"/>
      <w:lvlJc w:val="left"/>
      <w:pPr>
        <w:ind w:left="3750" w:hanging="360"/>
      </w:pPr>
      <w:rPr>
        <w:rFonts w:ascii="Courier New" w:hAnsi="Courier New" w:cs="Courier New" w:hint="default"/>
      </w:rPr>
    </w:lvl>
    <w:lvl w:ilvl="5" w:tplc="0C0A0005" w:tentative="1">
      <w:start w:val="1"/>
      <w:numFmt w:val="bullet"/>
      <w:lvlText w:val=""/>
      <w:lvlJc w:val="left"/>
      <w:pPr>
        <w:ind w:left="4470" w:hanging="360"/>
      </w:pPr>
      <w:rPr>
        <w:rFonts w:ascii="Wingdings" w:hAnsi="Wingdings" w:hint="default"/>
      </w:rPr>
    </w:lvl>
    <w:lvl w:ilvl="6" w:tplc="0C0A0001" w:tentative="1">
      <w:start w:val="1"/>
      <w:numFmt w:val="bullet"/>
      <w:lvlText w:val=""/>
      <w:lvlJc w:val="left"/>
      <w:pPr>
        <w:ind w:left="5190" w:hanging="360"/>
      </w:pPr>
      <w:rPr>
        <w:rFonts w:ascii="Symbol" w:hAnsi="Symbol" w:hint="default"/>
      </w:rPr>
    </w:lvl>
    <w:lvl w:ilvl="7" w:tplc="0C0A0003" w:tentative="1">
      <w:start w:val="1"/>
      <w:numFmt w:val="bullet"/>
      <w:lvlText w:val="o"/>
      <w:lvlJc w:val="left"/>
      <w:pPr>
        <w:ind w:left="5910" w:hanging="360"/>
      </w:pPr>
      <w:rPr>
        <w:rFonts w:ascii="Courier New" w:hAnsi="Courier New" w:cs="Courier New" w:hint="default"/>
      </w:rPr>
    </w:lvl>
    <w:lvl w:ilvl="8" w:tplc="0C0A0005" w:tentative="1">
      <w:start w:val="1"/>
      <w:numFmt w:val="bullet"/>
      <w:lvlText w:val=""/>
      <w:lvlJc w:val="left"/>
      <w:pPr>
        <w:ind w:left="6630" w:hanging="360"/>
      </w:pPr>
      <w:rPr>
        <w:rFonts w:ascii="Wingdings" w:hAnsi="Wingdings" w:hint="default"/>
      </w:rPr>
    </w:lvl>
  </w:abstractNum>
  <w:abstractNum w:abstractNumId="1" w15:restartNumberingAfterBreak="0">
    <w:nsid w:val="06947C2B"/>
    <w:multiLevelType w:val="hybridMultilevel"/>
    <w:tmpl w:val="B95C99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737DCE"/>
    <w:multiLevelType w:val="hybridMultilevel"/>
    <w:tmpl w:val="5972CD9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0C281A55"/>
    <w:multiLevelType w:val="hybridMultilevel"/>
    <w:tmpl w:val="BB6E18A4"/>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4"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3F724E"/>
    <w:multiLevelType w:val="hybridMultilevel"/>
    <w:tmpl w:val="0BB8EEF4"/>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18582982"/>
    <w:multiLevelType w:val="hybridMultilevel"/>
    <w:tmpl w:val="3D9C1894"/>
    <w:lvl w:ilvl="0" w:tplc="0C0A0001">
      <w:start w:val="1"/>
      <w:numFmt w:val="bullet"/>
      <w:lvlText w:val=""/>
      <w:lvlJc w:val="left"/>
      <w:pPr>
        <w:ind w:left="2007" w:hanging="360"/>
      </w:pPr>
      <w:rPr>
        <w:rFonts w:ascii="Symbol" w:hAnsi="Symbol"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7" w15:restartNumberingAfterBreak="0">
    <w:nsid w:val="19ED53C0"/>
    <w:multiLevelType w:val="multilevel"/>
    <w:tmpl w:val="C9066EBC"/>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D89442E"/>
    <w:multiLevelType w:val="hybridMultilevel"/>
    <w:tmpl w:val="9D34530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261E49"/>
    <w:multiLevelType w:val="hybridMultilevel"/>
    <w:tmpl w:val="75D4C5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FB345B7"/>
    <w:multiLevelType w:val="hybridMultilevel"/>
    <w:tmpl w:val="CC9036BA"/>
    <w:lvl w:ilvl="0" w:tplc="F6281016">
      <w:start w:val="1"/>
      <w:numFmt w:val="lowerLetter"/>
      <w:lvlText w:val="%1)"/>
      <w:lvlJc w:val="left"/>
      <w:pPr>
        <w:ind w:left="360" w:hanging="360"/>
      </w:pPr>
      <w:rPr>
        <w:rFonts w:ascii="Arial" w:eastAsia="Times New Roman"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27645DF7"/>
    <w:multiLevelType w:val="hybridMultilevel"/>
    <w:tmpl w:val="1AD0F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13" w15:restartNumberingAfterBreak="0">
    <w:nsid w:val="28447A58"/>
    <w:multiLevelType w:val="hybridMultilevel"/>
    <w:tmpl w:val="C040F5C0"/>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14" w15:restartNumberingAfterBreak="0">
    <w:nsid w:val="293E771A"/>
    <w:multiLevelType w:val="hybridMultilevel"/>
    <w:tmpl w:val="D92CFBF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5"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F7E3314"/>
    <w:multiLevelType w:val="hybridMultilevel"/>
    <w:tmpl w:val="893EB3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8D17B47"/>
    <w:multiLevelType w:val="hybridMultilevel"/>
    <w:tmpl w:val="93BAAAF8"/>
    <w:lvl w:ilvl="0" w:tplc="9364FE8C">
      <w:start w:val="1"/>
      <w:numFmt w:val="low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9" w15:restartNumberingAfterBreak="0">
    <w:nsid w:val="3BA44302"/>
    <w:multiLevelType w:val="multilevel"/>
    <w:tmpl w:val="DFA2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785D89"/>
    <w:multiLevelType w:val="hybridMultilevel"/>
    <w:tmpl w:val="4E22FE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E283DC0"/>
    <w:multiLevelType w:val="hybridMultilevel"/>
    <w:tmpl w:val="41E8CDC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2" w15:restartNumberingAfterBreak="0">
    <w:nsid w:val="4A596EEA"/>
    <w:multiLevelType w:val="hybridMultilevel"/>
    <w:tmpl w:val="AABA10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B890B2A"/>
    <w:multiLevelType w:val="hybridMultilevel"/>
    <w:tmpl w:val="F4BA21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0F45CF7"/>
    <w:multiLevelType w:val="hybridMultilevel"/>
    <w:tmpl w:val="00981258"/>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7027534"/>
    <w:multiLevelType w:val="hybridMultilevel"/>
    <w:tmpl w:val="1ABE5F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BD9070F"/>
    <w:multiLevelType w:val="multilevel"/>
    <w:tmpl w:val="32A433B4"/>
    <w:lvl w:ilvl="0">
      <w:start w:val="4"/>
      <w:numFmt w:val="decimal"/>
      <w:lvlText w:val="%1."/>
      <w:lvlJc w:val="left"/>
      <w:pPr>
        <w:ind w:left="390" w:hanging="390"/>
      </w:pPr>
      <w:rPr>
        <w:sz w:val="24"/>
      </w:rPr>
    </w:lvl>
    <w:lvl w:ilvl="1">
      <w:start w:val="6"/>
      <w:numFmt w:val="decimal"/>
      <w:lvlText w:val="%1.%2."/>
      <w:lvlJc w:val="left"/>
      <w:pPr>
        <w:ind w:left="1004" w:hanging="720"/>
      </w:pPr>
      <w:rPr>
        <w:b/>
        <w:sz w:val="24"/>
      </w:rPr>
    </w:lvl>
    <w:lvl w:ilvl="2">
      <w:start w:val="1"/>
      <w:numFmt w:val="decimal"/>
      <w:lvlText w:val="%1.%2.%3."/>
      <w:lvlJc w:val="left"/>
      <w:pPr>
        <w:ind w:left="1288" w:hanging="720"/>
      </w:pPr>
      <w:rPr>
        <w:b/>
        <w:sz w:val="24"/>
      </w:rPr>
    </w:lvl>
    <w:lvl w:ilvl="3">
      <w:start w:val="1"/>
      <w:numFmt w:val="decimal"/>
      <w:lvlText w:val="%1.%2.%3.%4."/>
      <w:lvlJc w:val="left"/>
      <w:pPr>
        <w:ind w:left="1932" w:hanging="1080"/>
      </w:pPr>
      <w:rPr>
        <w:sz w:val="24"/>
      </w:rPr>
    </w:lvl>
    <w:lvl w:ilvl="4">
      <w:start w:val="1"/>
      <w:numFmt w:val="decimal"/>
      <w:lvlText w:val="%1.%2.%3.%4.%5."/>
      <w:lvlJc w:val="left"/>
      <w:pPr>
        <w:ind w:left="2216" w:hanging="1080"/>
      </w:pPr>
      <w:rPr>
        <w:sz w:val="24"/>
      </w:rPr>
    </w:lvl>
    <w:lvl w:ilvl="5">
      <w:start w:val="1"/>
      <w:numFmt w:val="decimal"/>
      <w:lvlText w:val="%1.%2.%3.%4.%5.%6."/>
      <w:lvlJc w:val="left"/>
      <w:pPr>
        <w:ind w:left="2860" w:hanging="1440"/>
      </w:pPr>
      <w:rPr>
        <w:sz w:val="24"/>
      </w:rPr>
    </w:lvl>
    <w:lvl w:ilvl="6">
      <w:start w:val="1"/>
      <w:numFmt w:val="decimal"/>
      <w:lvlText w:val="%1.%2.%3.%4.%5.%6.%7."/>
      <w:lvlJc w:val="left"/>
      <w:pPr>
        <w:ind w:left="3144" w:hanging="1440"/>
      </w:pPr>
      <w:rPr>
        <w:sz w:val="24"/>
      </w:rPr>
    </w:lvl>
    <w:lvl w:ilvl="7">
      <w:start w:val="1"/>
      <w:numFmt w:val="decimal"/>
      <w:lvlText w:val="%1.%2.%3.%4.%5.%6.%7.%8."/>
      <w:lvlJc w:val="left"/>
      <w:pPr>
        <w:ind w:left="3788" w:hanging="1800"/>
      </w:pPr>
      <w:rPr>
        <w:sz w:val="24"/>
      </w:rPr>
    </w:lvl>
    <w:lvl w:ilvl="8">
      <w:start w:val="1"/>
      <w:numFmt w:val="decimal"/>
      <w:lvlText w:val="%1.%2.%3.%4.%5.%6.%7.%8.%9."/>
      <w:lvlJc w:val="left"/>
      <w:pPr>
        <w:ind w:left="4072" w:hanging="1800"/>
      </w:pPr>
      <w:rPr>
        <w:sz w:val="24"/>
      </w:rPr>
    </w:lvl>
  </w:abstractNum>
  <w:num w:numId="1">
    <w:abstractNumId w:val="16"/>
  </w:num>
  <w:num w:numId="2">
    <w:abstractNumId w:val="27"/>
  </w:num>
  <w:num w:numId="3">
    <w:abstractNumId w:val="25"/>
  </w:num>
  <w:num w:numId="4">
    <w:abstractNumId w:val="12"/>
  </w:num>
  <w:num w:numId="5">
    <w:abstractNumId w:val="15"/>
  </w:num>
  <w:num w:numId="6">
    <w:abstractNumId w:val="4"/>
  </w:num>
  <w:num w:numId="7">
    <w:abstractNumId w:val="26"/>
  </w:num>
  <w:num w:numId="8">
    <w:abstractNumId w:val="5"/>
  </w:num>
  <w:num w:numId="9">
    <w:abstractNumId w:val="29"/>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9"/>
  </w:num>
  <w:num w:numId="12">
    <w:abstractNumId w:val="9"/>
  </w:num>
  <w:num w:numId="13">
    <w:abstractNumId w:val="5"/>
  </w:num>
  <w:num w:numId="14">
    <w:abstractNumId w:val="24"/>
  </w:num>
  <w:num w:numId="15">
    <w:abstractNumId w:val="3"/>
  </w:num>
  <w:num w:numId="16">
    <w:abstractNumId w:val="13"/>
  </w:num>
  <w:num w:numId="17">
    <w:abstractNumId w:val="7"/>
  </w:num>
  <w:num w:numId="18">
    <w:abstractNumId w:val="17"/>
  </w:num>
  <w:num w:numId="19">
    <w:abstractNumId w:val="23"/>
  </w:num>
  <w:num w:numId="20">
    <w:abstractNumId w:val="28"/>
  </w:num>
  <w:num w:numId="21">
    <w:abstractNumId w:val="20"/>
  </w:num>
  <w:num w:numId="22">
    <w:abstractNumId w:val="1"/>
  </w:num>
  <w:num w:numId="23">
    <w:abstractNumId w:val="21"/>
  </w:num>
  <w:num w:numId="24">
    <w:abstractNumId w:val="2"/>
  </w:num>
  <w:num w:numId="25">
    <w:abstractNumId w:val="6"/>
  </w:num>
  <w:num w:numId="26">
    <w:abstractNumId w:val="8"/>
  </w:num>
  <w:num w:numId="27">
    <w:abstractNumId w:val="18"/>
  </w:num>
  <w:num w:numId="28">
    <w:abstractNumId w:val="14"/>
  </w:num>
  <w:num w:numId="29">
    <w:abstractNumId w:val="11"/>
  </w:num>
  <w:num w:numId="30">
    <w:abstractNumId w:val="0"/>
  </w:num>
  <w:num w:numId="3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95"/>
    <w:rsid w:val="000004FE"/>
    <w:rsid w:val="0000071A"/>
    <w:rsid w:val="0000092F"/>
    <w:rsid w:val="00000F07"/>
    <w:rsid w:val="000012E0"/>
    <w:rsid w:val="00001570"/>
    <w:rsid w:val="00001579"/>
    <w:rsid w:val="00001679"/>
    <w:rsid w:val="0000193E"/>
    <w:rsid w:val="00001C09"/>
    <w:rsid w:val="00001C23"/>
    <w:rsid w:val="00001F90"/>
    <w:rsid w:val="00002764"/>
    <w:rsid w:val="00002E38"/>
    <w:rsid w:val="00003330"/>
    <w:rsid w:val="00003649"/>
    <w:rsid w:val="000036B8"/>
    <w:rsid w:val="000039FF"/>
    <w:rsid w:val="00003C47"/>
    <w:rsid w:val="000041F0"/>
    <w:rsid w:val="00004240"/>
    <w:rsid w:val="00004616"/>
    <w:rsid w:val="0000484E"/>
    <w:rsid w:val="000049E1"/>
    <w:rsid w:val="0000511F"/>
    <w:rsid w:val="00006466"/>
    <w:rsid w:val="00006BE4"/>
    <w:rsid w:val="000072F1"/>
    <w:rsid w:val="00007C4A"/>
    <w:rsid w:val="00007CAE"/>
    <w:rsid w:val="00010098"/>
    <w:rsid w:val="00010466"/>
    <w:rsid w:val="000104E1"/>
    <w:rsid w:val="0001067B"/>
    <w:rsid w:val="000107A5"/>
    <w:rsid w:val="00010DB5"/>
    <w:rsid w:val="00012DB3"/>
    <w:rsid w:val="00013063"/>
    <w:rsid w:val="00013615"/>
    <w:rsid w:val="00013A55"/>
    <w:rsid w:val="00013C26"/>
    <w:rsid w:val="00013E02"/>
    <w:rsid w:val="00013EC4"/>
    <w:rsid w:val="00014013"/>
    <w:rsid w:val="00014595"/>
    <w:rsid w:val="000148A2"/>
    <w:rsid w:val="0001495C"/>
    <w:rsid w:val="000150BD"/>
    <w:rsid w:val="000151C6"/>
    <w:rsid w:val="000152A8"/>
    <w:rsid w:val="0001539B"/>
    <w:rsid w:val="0001540B"/>
    <w:rsid w:val="000155C2"/>
    <w:rsid w:val="00015C11"/>
    <w:rsid w:val="00016B27"/>
    <w:rsid w:val="00016B62"/>
    <w:rsid w:val="0001706A"/>
    <w:rsid w:val="000170A9"/>
    <w:rsid w:val="00017F4B"/>
    <w:rsid w:val="000203FE"/>
    <w:rsid w:val="00020845"/>
    <w:rsid w:val="00020AE9"/>
    <w:rsid w:val="00020F82"/>
    <w:rsid w:val="00021148"/>
    <w:rsid w:val="00021342"/>
    <w:rsid w:val="00021A58"/>
    <w:rsid w:val="00021B44"/>
    <w:rsid w:val="000223BC"/>
    <w:rsid w:val="0002287B"/>
    <w:rsid w:val="0002326F"/>
    <w:rsid w:val="000232F7"/>
    <w:rsid w:val="0002353C"/>
    <w:rsid w:val="00023675"/>
    <w:rsid w:val="00023933"/>
    <w:rsid w:val="00023CEC"/>
    <w:rsid w:val="0002425A"/>
    <w:rsid w:val="00024457"/>
    <w:rsid w:val="000247CD"/>
    <w:rsid w:val="0002571A"/>
    <w:rsid w:val="00025A21"/>
    <w:rsid w:val="00025C0C"/>
    <w:rsid w:val="00025C64"/>
    <w:rsid w:val="00025C7D"/>
    <w:rsid w:val="000260FB"/>
    <w:rsid w:val="000262BF"/>
    <w:rsid w:val="000263A9"/>
    <w:rsid w:val="000264FE"/>
    <w:rsid w:val="00027837"/>
    <w:rsid w:val="00027A49"/>
    <w:rsid w:val="0003004D"/>
    <w:rsid w:val="00030283"/>
    <w:rsid w:val="000302C0"/>
    <w:rsid w:val="00030B1A"/>
    <w:rsid w:val="00030C95"/>
    <w:rsid w:val="00031144"/>
    <w:rsid w:val="0003119F"/>
    <w:rsid w:val="00031536"/>
    <w:rsid w:val="00031646"/>
    <w:rsid w:val="0003177A"/>
    <w:rsid w:val="00031F50"/>
    <w:rsid w:val="00031FB0"/>
    <w:rsid w:val="000320EB"/>
    <w:rsid w:val="000321D5"/>
    <w:rsid w:val="000323EA"/>
    <w:rsid w:val="00032C85"/>
    <w:rsid w:val="0003316F"/>
    <w:rsid w:val="00033185"/>
    <w:rsid w:val="000335CC"/>
    <w:rsid w:val="00033A87"/>
    <w:rsid w:val="00033E47"/>
    <w:rsid w:val="00033E59"/>
    <w:rsid w:val="00034270"/>
    <w:rsid w:val="00034796"/>
    <w:rsid w:val="00034940"/>
    <w:rsid w:val="000353CD"/>
    <w:rsid w:val="00035DEC"/>
    <w:rsid w:val="0003632B"/>
    <w:rsid w:val="0003635B"/>
    <w:rsid w:val="000363FD"/>
    <w:rsid w:val="00036A99"/>
    <w:rsid w:val="00036F1E"/>
    <w:rsid w:val="000400F3"/>
    <w:rsid w:val="00040232"/>
    <w:rsid w:val="00040808"/>
    <w:rsid w:val="000409FD"/>
    <w:rsid w:val="00040A0A"/>
    <w:rsid w:val="00041150"/>
    <w:rsid w:val="00041167"/>
    <w:rsid w:val="000411C9"/>
    <w:rsid w:val="00041BC1"/>
    <w:rsid w:val="00041D8F"/>
    <w:rsid w:val="00041DA7"/>
    <w:rsid w:val="00042364"/>
    <w:rsid w:val="0004266C"/>
    <w:rsid w:val="00042AFC"/>
    <w:rsid w:val="000439A7"/>
    <w:rsid w:val="00043C20"/>
    <w:rsid w:val="000442CE"/>
    <w:rsid w:val="00044360"/>
    <w:rsid w:val="00044ABB"/>
    <w:rsid w:val="00044F75"/>
    <w:rsid w:val="0004539B"/>
    <w:rsid w:val="00045C62"/>
    <w:rsid w:val="00045C63"/>
    <w:rsid w:val="00045DCF"/>
    <w:rsid w:val="00045FCB"/>
    <w:rsid w:val="000460C4"/>
    <w:rsid w:val="0004636C"/>
    <w:rsid w:val="0004675A"/>
    <w:rsid w:val="00047466"/>
    <w:rsid w:val="00047AFA"/>
    <w:rsid w:val="00050A3E"/>
    <w:rsid w:val="00050CA0"/>
    <w:rsid w:val="00050E71"/>
    <w:rsid w:val="00050EC2"/>
    <w:rsid w:val="00051050"/>
    <w:rsid w:val="0005134F"/>
    <w:rsid w:val="0005135E"/>
    <w:rsid w:val="000513DA"/>
    <w:rsid w:val="000519A7"/>
    <w:rsid w:val="00051B2B"/>
    <w:rsid w:val="000527C6"/>
    <w:rsid w:val="00052B55"/>
    <w:rsid w:val="00053041"/>
    <w:rsid w:val="00053417"/>
    <w:rsid w:val="00053778"/>
    <w:rsid w:val="00054130"/>
    <w:rsid w:val="0005420C"/>
    <w:rsid w:val="00054863"/>
    <w:rsid w:val="00054E45"/>
    <w:rsid w:val="00055411"/>
    <w:rsid w:val="00055A2C"/>
    <w:rsid w:val="00056023"/>
    <w:rsid w:val="00056F8F"/>
    <w:rsid w:val="000570EE"/>
    <w:rsid w:val="0005739B"/>
    <w:rsid w:val="00057514"/>
    <w:rsid w:val="000577C6"/>
    <w:rsid w:val="000601CF"/>
    <w:rsid w:val="0006047E"/>
    <w:rsid w:val="0006071E"/>
    <w:rsid w:val="00060962"/>
    <w:rsid w:val="00060A10"/>
    <w:rsid w:val="00060D51"/>
    <w:rsid w:val="00061160"/>
    <w:rsid w:val="00061169"/>
    <w:rsid w:val="00061758"/>
    <w:rsid w:val="000619AB"/>
    <w:rsid w:val="00062A8C"/>
    <w:rsid w:val="00062AE2"/>
    <w:rsid w:val="00062EC8"/>
    <w:rsid w:val="0006314A"/>
    <w:rsid w:val="00063601"/>
    <w:rsid w:val="00063833"/>
    <w:rsid w:val="00063FDB"/>
    <w:rsid w:val="00064173"/>
    <w:rsid w:val="000641E1"/>
    <w:rsid w:val="00064582"/>
    <w:rsid w:val="0006488A"/>
    <w:rsid w:val="00064D83"/>
    <w:rsid w:val="00064FE5"/>
    <w:rsid w:val="000657C5"/>
    <w:rsid w:val="00065E78"/>
    <w:rsid w:val="00066448"/>
    <w:rsid w:val="00066626"/>
    <w:rsid w:val="000701BA"/>
    <w:rsid w:val="000705E6"/>
    <w:rsid w:val="000708AE"/>
    <w:rsid w:val="00070FC0"/>
    <w:rsid w:val="00071336"/>
    <w:rsid w:val="00071BC7"/>
    <w:rsid w:val="00071DAB"/>
    <w:rsid w:val="000722F8"/>
    <w:rsid w:val="0007265F"/>
    <w:rsid w:val="00072F61"/>
    <w:rsid w:val="00073360"/>
    <w:rsid w:val="000733E9"/>
    <w:rsid w:val="0007367B"/>
    <w:rsid w:val="000739F5"/>
    <w:rsid w:val="00073C49"/>
    <w:rsid w:val="00073DB3"/>
    <w:rsid w:val="000745CE"/>
    <w:rsid w:val="00074C0F"/>
    <w:rsid w:val="00074C56"/>
    <w:rsid w:val="0007558A"/>
    <w:rsid w:val="00075779"/>
    <w:rsid w:val="00075DF6"/>
    <w:rsid w:val="00075F28"/>
    <w:rsid w:val="0007608D"/>
    <w:rsid w:val="00076404"/>
    <w:rsid w:val="00076548"/>
    <w:rsid w:val="00076631"/>
    <w:rsid w:val="0007667D"/>
    <w:rsid w:val="00076AFF"/>
    <w:rsid w:val="000775AE"/>
    <w:rsid w:val="0007792C"/>
    <w:rsid w:val="00077B4B"/>
    <w:rsid w:val="00077B7D"/>
    <w:rsid w:val="00077DF1"/>
    <w:rsid w:val="00077E42"/>
    <w:rsid w:val="00077F0F"/>
    <w:rsid w:val="00080157"/>
    <w:rsid w:val="0008074F"/>
    <w:rsid w:val="000813E9"/>
    <w:rsid w:val="00081E4F"/>
    <w:rsid w:val="00081F74"/>
    <w:rsid w:val="00082852"/>
    <w:rsid w:val="00082D93"/>
    <w:rsid w:val="00082FB7"/>
    <w:rsid w:val="0008343C"/>
    <w:rsid w:val="00083912"/>
    <w:rsid w:val="00083AEA"/>
    <w:rsid w:val="00083BB5"/>
    <w:rsid w:val="00083C1D"/>
    <w:rsid w:val="00084000"/>
    <w:rsid w:val="000843C9"/>
    <w:rsid w:val="00084419"/>
    <w:rsid w:val="0008441D"/>
    <w:rsid w:val="00084943"/>
    <w:rsid w:val="0008509A"/>
    <w:rsid w:val="00085283"/>
    <w:rsid w:val="00085297"/>
    <w:rsid w:val="00085443"/>
    <w:rsid w:val="0008559E"/>
    <w:rsid w:val="000865D7"/>
    <w:rsid w:val="00086ABF"/>
    <w:rsid w:val="00086D58"/>
    <w:rsid w:val="0008752D"/>
    <w:rsid w:val="0008798C"/>
    <w:rsid w:val="00087A3E"/>
    <w:rsid w:val="00087B20"/>
    <w:rsid w:val="00087B3A"/>
    <w:rsid w:val="00087C29"/>
    <w:rsid w:val="0009017C"/>
    <w:rsid w:val="000902CC"/>
    <w:rsid w:val="000903DB"/>
    <w:rsid w:val="0009054D"/>
    <w:rsid w:val="00090865"/>
    <w:rsid w:val="00090A63"/>
    <w:rsid w:val="00090C49"/>
    <w:rsid w:val="00090F3F"/>
    <w:rsid w:val="00091462"/>
    <w:rsid w:val="000923E9"/>
    <w:rsid w:val="00092A06"/>
    <w:rsid w:val="00093234"/>
    <w:rsid w:val="000935A8"/>
    <w:rsid w:val="00093655"/>
    <w:rsid w:val="00093953"/>
    <w:rsid w:val="00093CE2"/>
    <w:rsid w:val="00093FAE"/>
    <w:rsid w:val="000940E5"/>
    <w:rsid w:val="0009429B"/>
    <w:rsid w:val="000946D8"/>
    <w:rsid w:val="00094990"/>
    <w:rsid w:val="000949AA"/>
    <w:rsid w:val="000954D9"/>
    <w:rsid w:val="000957FE"/>
    <w:rsid w:val="000958F8"/>
    <w:rsid w:val="00095DC4"/>
    <w:rsid w:val="00095DE2"/>
    <w:rsid w:val="00096035"/>
    <w:rsid w:val="0009606A"/>
    <w:rsid w:val="0009634B"/>
    <w:rsid w:val="000964A2"/>
    <w:rsid w:val="0009687C"/>
    <w:rsid w:val="00097392"/>
    <w:rsid w:val="00097454"/>
    <w:rsid w:val="00097E28"/>
    <w:rsid w:val="00097FFE"/>
    <w:rsid w:val="000A024C"/>
    <w:rsid w:val="000A0632"/>
    <w:rsid w:val="000A10EB"/>
    <w:rsid w:val="000A15C5"/>
    <w:rsid w:val="000A1C44"/>
    <w:rsid w:val="000A2287"/>
    <w:rsid w:val="000A263C"/>
    <w:rsid w:val="000A2EF8"/>
    <w:rsid w:val="000A2F71"/>
    <w:rsid w:val="000A2F9E"/>
    <w:rsid w:val="000A3282"/>
    <w:rsid w:val="000A344C"/>
    <w:rsid w:val="000A3D13"/>
    <w:rsid w:val="000A3E64"/>
    <w:rsid w:val="000A3F4D"/>
    <w:rsid w:val="000A3FE8"/>
    <w:rsid w:val="000A40EA"/>
    <w:rsid w:val="000A43A4"/>
    <w:rsid w:val="000A4AC6"/>
    <w:rsid w:val="000A551F"/>
    <w:rsid w:val="000A5AB6"/>
    <w:rsid w:val="000A5CC8"/>
    <w:rsid w:val="000A5F64"/>
    <w:rsid w:val="000A6106"/>
    <w:rsid w:val="000A6383"/>
    <w:rsid w:val="000A6819"/>
    <w:rsid w:val="000A6E70"/>
    <w:rsid w:val="000A700C"/>
    <w:rsid w:val="000A7443"/>
    <w:rsid w:val="000A7800"/>
    <w:rsid w:val="000A79D1"/>
    <w:rsid w:val="000A7F66"/>
    <w:rsid w:val="000B00FB"/>
    <w:rsid w:val="000B0BFA"/>
    <w:rsid w:val="000B1216"/>
    <w:rsid w:val="000B194A"/>
    <w:rsid w:val="000B1BC1"/>
    <w:rsid w:val="000B1CB3"/>
    <w:rsid w:val="000B1E8C"/>
    <w:rsid w:val="000B2B5A"/>
    <w:rsid w:val="000B3002"/>
    <w:rsid w:val="000B3773"/>
    <w:rsid w:val="000B380C"/>
    <w:rsid w:val="000B393A"/>
    <w:rsid w:val="000B3DED"/>
    <w:rsid w:val="000B42EC"/>
    <w:rsid w:val="000B4594"/>
    <w:rsid w:val="000B45E5"/>
    <w:rsid w:val="000B48A9"/>
    <w:rsid w:val="000B4DDE"/>
    <w:rsid w:val="000B517B"/>
    <w:rsid w:val="000B572D"/>
    <w:rsid w:val="000B5AC9"/>
    <w:rsid w:val="000B5B53"/>
    <w:rsid w:val="000B5BD6"/>
    <w:rsid w:val="000B5D70"/>
    <w:rsid w:val="000B5DB0"/>
    <w:rsid w:val="000B5F09"/>
    <w:rsid w:val="000B60B3"/>
    <w:rsid w:val="000B6230"/>
    <w:rsid w:val="000B6431"/>
    <w:rsid w:val="000B697D"/>
    <w:rsid w:val="000B6FE1"/>
    <w:rsid w:val="000B7705"/>
    <w:rsid w:val="000B7709"/>
    <w:rsid w:val="000B771B"/>
    <w:rsid w:val="000C0124"/>
    <w:rsid w:val="000C0613"/>
    <w:rsid w:val="000C0E6F"/>
    <w:rsid w:val="000C160D"/>
    <w:rsid w:val="000C1611"/>
    <w:rsid w:val="000C189E"/>
    <w:rsid w:val="000C1CDB"/>
    <w:rsid w:val="000C1EB8"/>
    <w:rsid w:val="000C2328"/>
    <w:rsid w:val="000C26D8"/>
    <w:rsid w:val="000C2852"/>
    <w:rsid w:val="000C29B5"/>
    <w:rsid w:val="000C3490"/>
    <w:rsid w:val="000C3C31"/>
    <w:rsid w:val="000C4289"/>
    <w:rsid w:val="000C4728"/>
    <w:rsid w:val="000C4C7A"/>
    <w:rsid w:val="000C55C9"/>
    <w:rsid w:val="000C62FD"/>
    <w:rsid w:val="000C6608"/>
    <w:rsid w:val="000C6624"/>
    <w:rsid w:val="000C695F"/>
    <w:rsid w:val="000C6A28"/>
    <w:rsid w:val="000C7086"/>
    <w:rsid w:val="000C74FA"/>
    <w:rsid w:val="000C7A5D"/>
    <w:rsid w:val="000C7AAF"/>
    <w:rsid w:val="000C7D37"/>
    <w:rsid w:val="000C7F42"/>
    <w:rsid w:val="000C7FA2"/>
    <w:rsid w:val="000D094E"/>
    <w:rsid w:val="000D099B"/>
    <w:rsid w:val="000D0AB6"/>
    <w:rsid w:val="000D0BCC"/>
    <w:rsid w:val="000D12CC"/>
    <w:rsid w:val="000D13B1"/>
    <w:rsid w:val="000D1504"/>
    <w:rsid w:val="000D1C7D"/>
    <w:rsid w:val="000D1F94"/>
    <w:rsid w:val="000D24AB"/>
    <w:rsid w:val="000D25BF"/>
    <w:rsid w:val="000D27BB"/>
    <w:rsid w:val="000D2D7B"/>
    <w:rsid w:val="000D2E0D"/>
    <w:rsid w:val="000D30CA"/>
    <w:rsid w:val="000D31B5"/>
    <w:rsid w:val="000D32C3"/>
    <w:rsid w:val="000D331B"/>
    <w:rsid w:val="000D36F4"/>
    <w:rsid w:val="000D3769"/>
    <w:rsid w:val="000D3852"/>
    <w:rsid w:val="000D39E6"/>
    <w:rsid w:val="000D44D5"/>
    <w:rsid w:val="000D47FA"/>
    <w:rsid w:val="000D4DED"/>
    <w:rsid w:val="000D501B"/>
    <w:rsid w:val="000D5033"/>
    <w:rsid w:val="000D503E"/>
    <w:rsid w:val="000D6865"/>
    <w:rsid w:val="000D69A6"/>
    <w:rsid w:val="000D7488"/>
    <w:rsid w:val="000D7509"/>
    <w:rsid w:val="000E0D85"/>
    <w:rsid w:val="000E0D94"/>
    <w:rsid w:val="000E17DE"/>
    <w:rsid w:val="000E1A1B"/>
    <w:rsid w:val="000E1C36"/>
    <w:rsid w:val="000E1F75"/>
    <w:rsid w:val="000E209F"/>
    <w:rsid w:val="000E20DD"/>
    <w:rsid w:val="000E2AD6"/>
    <w:rsid w:val="000E2CB1"/>
    <w:rsid w:val="000E2CF7"/>
    <w:rsid w:val="000E325E"/>
    <w:rsid w:val="000E3283"/>
    <w:rsid w:val="000E334F"/>
    <w:rsid w:val="000E353A"/>
    <w:rsid w:val="000E35AE"/>
    <w:rsid w:val="000E363C"/>
    <w:rsid w:val="000E388E"/>
    <w:rsid w:val="000E3BA3"/>
    <w:rsid w:val="000E3FCB"/>
    <w:rsid w:val="000E41A9"/>
    <w:rsid w:val="000E4216"/>
    <w:rsid w:val="000E426D"/>
    <w:rsid w:val="000E4364"/>
    <w:rsid w:val="000E4683"/>
    <w:rsid w:val="000E4DCC"/>
    <w:rsid w:val="000E4E92"/>
    <w:rsid w:val="000E52CC"/>
    <w:rsid w:val="000E61D2"/>
    <w:rsid w:val="000E6697"/>
    <w:rsid w:val="000E6AEE"/>
    <w:rsid w:val="000E6B36"/>
    <w:rsid w:val="000E6C2F"/>
    <w:rsid w:val="000E76A0"/>
    <w:rsid w:val="000E7986"/>
    <w:rsid w:val="000F03E0"/>
    <w:rsid w:val="000F05E1"/>
    <w:rsid w:val="000F0AC2"/>
    <w:rsid w:val="000F0C2F"/>
    <w:rsid w:val="000F0C94"/>
    <w:rsid w:val="000F180A"/>
    <w:rsid w:val="000F22FF"/>
    <w:rsid w:val="000F265A"/>
    <w:rsid w:val="000F26E1"/>
    <w:rsid w:val="000F2F49"/>
    <w:rsid w:val="000F3037"/>
    <w:rsid w:val="000F3042"/>
    <w:rsid w:val="000F3104"/>
    <w:rsid w:val="000F31B2"/>
    <w:rsid w:val="000F34A9"/>
    <w:rsid w:val="000F35ED"/>
    <w:rsid w:val="000F3716"/>
    <w:rsid w:val="000F3BDF"/>
    <w:rsid w:val="000F3DF5"/>
    <w:rsid w:val="000F48E0"/>
    <w:rsid w:val="000F494D"/>
    <w:rsid w:val="000F4D86"/>
    <w:rsid w:val="000F55D2"/>
    <w:rsid w:val="000F59B3"/>
    <w:rsid w:val="000F5B4E"/>
    <w:rsid w:val="000F61E7"/>
    <w:rsid w:val="000F6382"/>
    <w:rsid w:val="000F65E7"/>
    <w:rsid w:val="000F7158"/>
    <w:rsid w:val="000F7BB7"/>
    <w:rsid w:val="000F7F26"/>
    <w:rsid w:val="001002CF"/>
    <w:rsid w:val="00100AD0"/>
    <w:rsid w:val="00100AD9"/>
    <w:rsid w:val="00100C07"/>
    <w:rsid w:val="00100E68"/>
    <w:rsid w:val="001011E1"/>
    <w:rsid w:val="001011E7"/>
    <w:rsid w:val="0010130B"/>
    <w:rsid w:val="00101519"/>
    <w:rsid w:val="00101534"/>
    <w:rsid w:val="0010169B"/>
    <w:rsid w:val="001017D8"/>
    <w:rsid w:val="00101D9F"/>
    <w:rsid w:val="00101FD2"/>
    <w:rsid w:val="0010218A"/>
    <w:rsid w:val="00102224"/>
    <w:rsid w:val="00102331"/>
    <w:rsid w:val="00102510"/>
    <w:rsid w:val="00102685"/>
    <w:rsid w:val="00102D36"/>
    <w:rsid w:val="0010300A"/>
    <w:rsid w:val="001031B3"/>
    <w:rsid w:val="001031B7"/>
    <w:rsid w:val="001036A6"/>
    <w:rsid w:val="00103A87"/>
    <w:rsid w:val="00103DD6"/>
    <w:rsid w:val="00103E88"/>
    <w:rsid w:val="00103ED3"/>
    <w:rsid w:val="00103EEF"/>
    <w:rsid w:val="001048BA"/>
    <w:rsid w:val="0010497F"/>
    <w:rsid w:val="00104C98"/>
    <w:rsid w:val="00104DE5"/>
    <w:rsid w:val="0010526A"/>
    <w:rsid w:val="001055E6"/>
    <w:rsid w:val="0010587D"/>
    <w:rsid w:val="00105AB1"/>
    <w:rsid w:val="00105C2B"/>
    <w:rsid w:val="00106711"/>
    <w:rsid w:val="00106CCD"/>
    <w:rsid w:val="0010721D"/>
    <w:rsid w:val="001072BE"/>
    <w:rsid w:val="00107852"/>
    <w:rsid w:val="00107FB9"/>
    <w:rsid w:val="0011024D"/>
    <w:rsid w:val="0011056D"/>
    <w:rsid w:val="00110674"/>
    <w:rsid w:val="00110AF3"/>
    <w:rsid w:val="00110C75"/>
    <w:rsid w:val="00111056"/>
    <w:rsid w:val="0011113C"/>
    <w:rsid w:val="00111357"/>
    <w:rsid w:val="001116E5"/>
    <w:rsid w:val="001118A8"/>
    <w:rsid w:val="00111F1F"/>
    <w:rsid w:val="0011227D"/>
    <w:rsid w:val="001126A8"/>
    <w:rsid w:val="001127A4"/>
    <w:rsid w:val="001128E0"/>
    <w:rsid w:val="001128FC"/>
    <w:rsid w:val="0011390B"/>
    <w:rsid w:val="00113E4F"/>
    <w:rsid w:val="00113F61"/>
    <w:rsid w:val="001141DE"/>
    <w:rsid w:val="00114348"/>
    <w:rsid w:val="001143E9"/>
    <w:rsid w:val="0011467E"/>
    <w:rsid w:val="001146DB"/>
    <w:rsid w:val="00114BD0"/>
    <w:rsid w:val="00114CA2"/>
    <w:rsid w:val="00115037"/>
    <w:rsid w:val="00115723"/>
    <w:rsid w:val="001158A2"/>
    <w:rsid w:val="001160A0"/>
    <w:rsid w:val="0011628F"/>
    <w:rsid w:val="001168FB"/>
    <w:rsid w:val="00116C60"/>
    <w:rsid w:val="00116CBD"/>
    <w:rsid w:val="00117245"/>
    <w:rsid w:val="0011727E"/>
    <w:rsid w:val="0011743F"/>
    <w:rsid w:val="00117A4A"/>
    <w:rsid w:val="00117B56"/>
    <w:rsid w:val="00117B6F"/>
    <w:rsid w:val="00117C54"/>
    <w:rsid w:val="00117F62"/>
    <w:rsid w:val="001201FB"/>
    <w:rsid w:val="00120249"/>
    <w:rsid w:val="0012045C"/>
    <w:rsid w:val="001204EE"/>
    <w:rsid w:val="001206FC"/>
    <w:rsid w:val="00120A14"/>
    <w:rsid w:val="00120E8F"/>
    <w:rsid w:val="00120EA7"/>
    <w:rsid w:val="00120EDB"/>
    <w:rsid w:val="00120F4B"/>
    <w:rsid w:val="0012136D"/>
    <w:rsid w:val="001216ED"/>
    <w:rsid w:val="00121D61"/>
    <w:rsid w:val="00122629"/>
    <w:rsid w:val="00122682"/>
    <w:rsid w:val="001229B1"/>
    <w:rsid w:val="00122FBE"/>
    <w:rsid w:val="00123510"/>
    <w:rsid w:val="001235E1"/>
    <w:rsid w:val="001239DC"/>
    <w:rsid w:val="00123C45"/>
    <w:rsid w:val="00123D2C"/>
    <w:rsid w:val="00123E03"/>
    <w:rsid w:val="00123E6D"/>
    <w:rsid w:val="00124221"/>
    <w:rsid w:val="0012473C"/>
    <w:rsid w:val="00124B07"/>
    <w:rsid w:val="00124BCC"/>
    <w:rsid w:val="001250FD"/>
    <w:rsid w:val="00125331"/>
    <w:rsid w:val="00125551"/>
    <w:rsid w:val="0012558D"/>
    <w:rsid w:val="00125C69"/>
    <w:rsid w:val="001263EB"/>
    <w:rsid w:val="0012681B"/>
    <w:rsid w:val="00126933"/>
    <w:rsid w:val="00126EFE"/>
    <w:rsid w:val="00127103"/>
    <w:rsid w:val="001273CB"/>
    <w:rsid w:val="00127748"/>
    <w:rsid w:val="00127B3D"/>
    <w:rsid w:val="00127E59"/>
    <w:rsid w:val="001302AE"/>
    <w:rsid w:val="001306FC"/>
    <w:rsid w:val="00130EAA"/>
    <w:rsid w:val="00130FC6"/>
    <w:rsid w:val="00131311"/>
    <w:rsid w:val="0013144C"/>
    <w:rsid w:val="0013154C"/>
    <w:rsid w:val="001316F1"/>
    <w:rsid w:val="0013204A"/>
    <w:rsid w:val="00132875"/>
    <w:rsid w:val="001329D5"/>
    <w:rsid w:val="00132A98"/>
    <w:rsid w:val="00132BAD"/>
    <w:rsid w:val="0013334F"/>
    <w:rsid w:val="001333B1"/>
    <w:rsid w:val="00133490"/>
    <w:rsid w:val="00134B7A"/>
    <w:rsid w:val="0013568A"/>
    <w:rsid w:val="00135CC1"/>
    <w:rsid w:val="00135EF2"/>
    <w:rsid w:val="001361E1"/>
    <w:rsid w:val="00136487"/>
    <w:rsid w:val="001365E1"/>
    <w:rsid w:val="0013679B"/>
    <w:rsid w:val="0013687B"/>
    <w:rsid w:val="00136A61"/>
    <w:rsid w:val="001371BA"/>
    <w:rsid w:val="0013754B"/>
    <w:rsid w:val="00137C26"/>
    <w:rsid w:val="00140307"/>
    <w:rsid w:val="0014059F"/>
    <w:rsid w:val="001407A0"/>
    <w:rsid w:val="00140D45"/>
    <w:rsid w:val="00141037"/>
    <w:rsid w:val="001414A3"/>
    <w:rsid w:val="001415A6"/>
    <w:rsid w:val="001416DF"/>
    <w:rsid w:val="00142212"/>
    <w:rsid w:val="0014233F"/>
    <w:rsid w:val="00143396"/>
    <w:rsid w:val="0014375D"/>
    <w:rsid w:val="00143B6E"/>
    <w:rsid w:val="00143CB4"/>
    <w:rsid w:val="00143D0D"/>
    <w:rsid w:val="00143DEC"/>
    <w:rsid w:val="00143E4D"/>
    <w:rsid w:val="00143E64"/>
    <w:rsid w:val="001449DF"/>
    <w:rsid w:val="00144D5C"/>
    <w:rsid w:val="00145AB1"/>
    <w:rsid w:val="00146202"/>
    <w:rsid w:val="0014688F"/>
    <w:rsid w:val="00146993"/>
    <w:rsid w:val="00146AFC"/>
    <w:rsid w:val="00146C5F"/>
    <w:rsid w:val="00147456"/>
    <w:rsid w:val="00147CA9"/>
    <w:rsid w:val="00147F6D"/>
    <w:rsid w:val="00147F79"/>
    <w:rsid w:val="0015002B"/>
    <w:rsid w:val="00150215"/>
    <w:rsid w:val="001502AE"/>
    <w:rsid w:val="001504CA"/>
    <w:rsid w:val="00150B9F"/>
    <w:rsid w:val="00150BC8"/>
    <w:rsid w:val="00150D74"/>
    <w:rsid w:val="00150FB5"/>
    <w:rsid w:val="00151664"/>
    <w:rsid w:val="001524DF"/>
    <w:rsid w:val="0015263D"/>
    <w:rsid w:val="00152DDD"/>
    <w:rsid w:val="00152F97"/>
    <w:rsid w:val="00153240"/>
    <w:rsid w:val="001535AA"/>
    <w:rsid w:val="001539DF"/>
    <w:rsid w:val="00153A2E"/>
    <w:rsid w:val="00153B22"/>
    <w:rsid w:val="00153CED"/>
    <w:rsid w:val="001540C2"/>
    <w:rsid w:val="00154172"/>
    <w:rsid w:val="0015437A"/>
    <w:rsid w:val="00154F12"/>
    <w:rsid w:val="00155915"/>
    <w:rsid w:val="00155D82"/>
    <w:rsid w:val="0015683C"/>
    <w:rsid w:val="00156D10"/>
    <w:rsid w:val="00156D2B"/>
    <w:rsid w:val="001571FF"/>
    <w:rsid w:val="0015721D"/>
    <w:rsid w:val="00157224"/>
    <w:rsid w:val="0015741E"/>
    <w:rsid w:val="001579E6"/>
    <w:rsid w:val="00157AEB"/>
    <w:rsid w:val="00157F93"/>
    <w:rsid w:val="00160378"/>
    <w:rsid w:val="001603D6"/>
    <w:rsid w:val="0016164C"/>
    <w:rsid w:val="00161891"/>
    <w:rsid w:val="00161AF9"/>
    <w:rsid w:val="0016213E"/>
    <w:rsid w:val="001621B3"/>
    <w:rsid w:val="00162248"/>
    <w:rsid w:val="001629CA"/>
    <w:rsid w:val="00162B64"/>
    <w:rsid w:val="0016305C"/>
    <w:rsid w:val="001631E3"/>
    <w:rsid w:val="0016353A"/>
    <w:rsid w:val="00163E82"/>
    <w:rsid w:val="00163FD6"/>
    <w:rsid w:val="0016412E"/>
    <w:rsid w:val="001642C0"/>
    <w:rsid w:val="001642D5"/>
    <w:rsid w:val="00164819"/>
    <w:rsid w:val="00164C0A"/>
    <w:rsid w:val="00164F12"/>
    <w:rsid w:val="00165085"/>
    <w:rsid w:val="00165A48"/>
    <w:rsid w:val="00166260"/>
    <w:rsid w:val="0016681E"/>
    <w:rsid w:val="00167243"/>
    <w:rsid w:val="001672A4"/>
    <w:rsid w:val="001674C0"/>
    <w:rsid w:val="0016750F"/>
    <w:rsid w:val="00167F39"/>
    <w:rsid w:val="001702DD"/>
    <w:rsid w:val="00170494"/>
    <w:rsid w:val="00170BDE"/>
    <w:rsid w:val="001711CC"/>
    <w:rsid w:val="0017137C"/>
    <w:rsid w:val="00171503"/>
    <w:rsid w:val="001717BC"/>
    <w:rsid w:val="001718D9"/>
    <w:rsid w:val="00171AD6"/>
    <w:rsid w:val="00171E82"/>
    <w:rsid w:val="00171F50"/>
    <w:rsid w:val="001721EC"/>
    <w:rsid w:val="00172414"/>
    <w:rsid w:val="00172746"/>
    <w:rsid w:val="00172979"/>
    <w:rsid w:val="00172F16"/>
    <w:rsid w:val="00173A1D"/>
    <w:rsid w:val="00173DD1"/>
    <w:rsid w:val="00174312"/>
    <w:rsid w:val="001749C7"/>
    <w:rsid w:val="00175220"/>
    <w:rsid w:val="0017535F"/>
    <w:rsid w:val="001753C3"/>
    <w:rsid w:val="001758E1"/>
    <w:rsid w:val="001759D7"/>
    <w:rsid w:val="00175A7E"/>
    <w:rsid w:val="00175E8E"/>
    <w:rsid w:val="00176100"/>
    <w:rsid w:val="00176402"/>
    <w:rsid w:val="00176469"/>
    <w:rsid w:val="001767F3"/>
    <w:rsid w:val="00176B30"/>
    <w:rsid w:val="00176CF1"/>
    <w:rsid w:val="00176E12"/>
    <w:rsid w:val="00177780"/>
    <w:rsid w:val="00177B46"/>
    <w:rsid w:val="00177DB2"/>
    <w:rsid w:val="0018002C"/>
    <w:rsid w:val="001807D9"/>
    <w:rsid w:val="00180BA3"/>
    <w:rsid w:val="00180EA4"/>
    <w:rsid w:val="00181451"/>
    <w:rsid w:val="00181636"/>
    <w:rsid w:val="00181F73"/>
    <w:rsid w:val="00181F94"/>
    <w:rsid w:val="00182253"/>
    <w:rsid w:val="001826B1"/>
    <w:rsid w:val="0018271C"/>
    <w:rsid w:val="00182860"/>
    <w:rsid w:val="00182930"/>
    <w:rsid w:val="001829ED"/>
    <w:rsid w:val="00182E44"/>
    <w:rsid w:val="0018328F"/>
    <w:rsid w:val="00183325"/>
    <w:rsid w:val="0018347F"/>
    <w:rsid w:val="00183754"/>
    <w:rsid w:val="00183B36"/>
    <w:rsid w:val="00183B89"/>
    <w:rsid w:val="00183C8E"/>
    <w:rsid w:val="001840AD"/>
    <w:rsid w:val="00184268"/>
    <w:rsid w:val="00184384"/>
    <w:rsid w:val="001843EA"/>
    <w:rsid w:val="00184BCB"/>
    <w:rsid w:val="00184F7D"/>
    <w:rsid w:val="001852A9"/>
    <w:rsid w:val="00185455"/>
    <w:rsid w:val="00185DF2"/>
    <w:rsid w:val="00186AC5"/>
    <w:rsid w:val="00186F26"/>
    <w:rsid w:val="00186F53"/>
    <w:rsid w:val="00186FCD"/>
    <w:rsid w:val="00187208"/>
    <w:rsid w:val="0018721E"/>
    <w:rsid w:val="00187254"/>
    <w:rsid w:val="0018754D"/>
    <w:rsid w:val="00187564"/>
    <w:rsid w:val="001900B1"/>
    <w:rsid w:val="001905C0"/>
    <w:rsid w:val="00190B67"/>
    <w:rsid w:val="00190BBE"/>
    <w:rsid w:val="00190BDA"/>
    <w:rsid w:val="00191284"/>
    <w:rsid w:val="00191329"/>
    <w:rsid w:val="00191445"/>
    <w:rsid w:val="00191712"/>
    <w:rsid w:val="0019190A"/>
    <w:rsid w:val="00191C4E"/>
    <w:rsid w:val="00192133"/>
    <w:rsid w:val="0019265A"/>
    <w:rsid w:val="00192934"/>
    <w:rsid w:val="001931C4"/>
    <w:rsid w:val="00193652"/>
    <w:rsid w:val="001937A3"/>
    <w:rsid w:val="001946DE"/>
    <w:rsid w:val="00194AAF"/>
    <w:rsid w:val="001957C6"/>
    <w:rsid w:val="001957C8"/>
    <w:rsid w:val="00195920"/>
    <w:rsid w:val="001959D7"/>
    <w:rsid w:val="00195F15"/>
    <w:rsid w:val="00196B97"/>
    <w:rsid w:val="00196EE5"/>
    <w:rsid w:val="00197000"/>
    <w:rsid w:val="0019721F"/>
    <w:rsid w:val="00197FE9"/>
    <w:rsid w:val="001A0DD9"/>
    <w:rsid w:val="001A1538"/>
    <w:rsid w:val="001A1942"/>
    <w:rsid w:val="001A2665"/>
    <w:rsid w:val="001A3250"/>
    <w:rsid w:val="001A332C"/>
    <w:rsid w:val="001A3504"/>
    <w:rsid w:val="001A3F9A"/>
    <w:rsid w:val="001A4082"/>
    <w:rsid w:val="001A41AC"/>
    <w:rsid w:val="001A45EE"/>
    <w:rsid w:val="001A52B2"/>
    <w:rsid w:val="001A5C66"/>
    <w:rsid w:val="001A5D20"/>
    <w:rsid w:val="001A604A"/>
    <w:rsid w:val="001A73A4"/>
    <w:rsid w:val="001A77F6"/>
    <w:rsid w:val="001B08DC"/>
    <w:rsid w:val="001B09CA"/>
    <w:rsid w:val="001B0F84"/>
    <w:rsid w:val="001B1497"/>
    <w:rsid w:val="001B15F6"/>
    <w:rsid w:val="001B1C4A"/>
    <w:rsid w:val="001B1D26"/>
    <w:rsid w:val="001B2089"/>
    <w:rsid w:val="001B22E6"/>
    <w:rsid w:val="001B26A4"/>
    <w:rsid w:val="001B26CD"/>
    <w:rsid w:val="001B28D2"/>
    <w:rsid w:val="001B2F11"/>
    <w:rsid w:val="001B3038"/>
    <w:rsid w:val="001B332A"/>
    <w:rsid w:val="001B3436"/>
    <w:rsid w:val="001B36E3"/>
    <w:rsid w:val="001B3D0C"/>
    <w:rsid w:val="001B4C5E"/>
    <w:rsid w:val="001B5156"/>
    <w:rsid w:val="001B523A"/>
    <w:rsid w:val="001B54C5"/>
    <w:rsid w:val="001B590D"/>
    <w:rsid w:val="001B5E36"/>
    <w:rsid w:val="001B60FB"/>
    <w:rsid w:val="001B6109"/>
    <w:rsid w:val="001B6A1E"/>
    <w:rsid w:val="001B7012"/>
    <w:rsid w:val="001B7AEB"/>
    <w:rsid w:val="001C02F6"/>
    <w:rsid w:val="001C08EB"/>
    <w:rsid w:val="001C0CE2"/>
    <w:rsid w:val="001C0F3C"/>
    <w:rsid w:val="001C10C6"/>
    <w:rsid w:val="001C11DD"/>
    <w:rsid w:val="001C1419"/>
    <w:rsid w:val="001C1747"/>
    <w:rsid w:val="001C181C"/>
    <w:rsid w:val="001C1BD5"/>
    <w:rsid w:val="001C20EC"/>
    <w:rsid w:val="001C2A4B"/>
    <w:rsid w:val="001C2C4F"/>
    <w:rsid w:val="001C2C99"/>
    <w:rsid w:val="001C3642"/>
    <w:rsid w:val="001C3851"/>
    <w:rsid w:val="001C47A1"/>
    <w:rsid w:val="001C4863"/>
    <w:rsid w:val="001C5898"/>
    <w:rsid w:val="001C59EF"/>
    <w:rsid w:val="001C5E87"/>
    <w:rsid w:val="001C6080"/>
    <w:rsid w:val="001C69E1"/>
    <w:rsid w:val="001C6D0F"/>
    <w:rsid w:val="001C7217"/>
    <w:rsid w:val="001C795F"/>
    <w:rsid w:val="001C7CBF"/>
    <w:rsid w:val="001D01DA"/>
    <w:rsid w:val="001D01E0"/>
    <w:rsid w:val="001D04B3"/>
    <w:rsid w:val="001D07EF"/>
    <w:rsid w:val="001D0D8E"/>
    <w:rsid w:val="001D10FB"/>
    <w:rsid w:val="001D11D4"/>
    <w:rsid w:val="001D176C"/>
    <w:rsid w:val="001D186F"/>
    <w:rsid w:val="001D1D8A"/>
    <w:rsid w:val="001D1E1B"/>
    <w:rsid w:val="001D22F7"/>
    <w:rsid w:val="001D29F0"/>
    <w:rsid w:val="001D2F1E"/>
    <w:rsid w:val="001D370C"/>
    <w:rsid w:val="001D3841"/>
    <w:rsid w:val="001D3A14"/>
    <w:rsid w:val="001D3DEB"/>
    <w:rsid w:val="001D3EBA"/>
    <w:rsid w:val="001D45B7"/>
    <w:rsid w:val="001D469F"/>
    <w:rsid w:val="001D4F2A"/>
    <w:rsid w:val="001D52E5"/>
    <w:rsid w:val="001D5BBA"/>
    <w:rsid w:val="001D6366"/>
    <w:rsid w:val="001D641E"/>
    <w:rsid w:val="001D6B91"/>
    <w:rsid w:val="001D6FE4"/>
    <w:rsid w:val="001D735C"/>
    <w:rsid w:val="001D7819"/>
    <w:rsid w:val="001D7B51"/>
    <w:rsid w:val="001E0457"/>
    <w:rsid w:val="001E056A"/>
    <w:rsid w:val="001E0757"/>
    <w:rsid w:val="001E13FB"/>
    <w:rsid w:val="001E26A9"/>
    <w:rsid w:val="001E2A0B"/>
    <w:rsid w:val="001E2CCD"/>
    <w:rsid w:val="001E32C6"/>
    <w:rsid w:val="001E37CD"/>
    <w:rsid w:val="001E3B25"/>
    <w:rsid w:val="001E4055"/>
    <w:rsid w:val="001E4547"/>
    <w:rsid w:val="001E4FCD"/>
    <w:rsid w:val="001E5018"/>
    <w:rsid w:val="001E5619"/>
    <w:rsid w:val="001E5708"/>
    <w:rsid w:val="001E57FC"/>
    <w:rsid w:val="001E5BA6"/>
    <w:rsid w:val="001E5E54"/>
    <w:rsid w:val="001E643F"/>
    <w:rsid w:val="001E6A84"/>
    <w:rsid w:val="001E7059"/>
    <w:rsid w:val="001E7166"/>
    <w:rsid w:val="001E71EC"/>
    <w:rsid w:val="001E730E"/>
    <w:rsid w:val="001E739D"/>
    <w:rsid w:val="001E742E"/>
    <w:rsid w:val="001E7632"/>
    <w:rsid w:val="001E78C1"/>
    <w:rsid w:val="001E7A1C"/>
    <w:rsid w:val="001E7B8F"/>
    <w:rsid w:val="001E7E82"/>
    <w:rsid w:val="001E7E8B"/>
    <w:rsid w:val="001E7F63"/>
    <w:rsid w:val="001F0064"/>
    <w:rsid w:val="001F02F1"/>
    <w:rsid w:val="001F0525"/>
    <w:rsid w:val="001F05AB"/>
    <w:rsid w:val="001F0996"/>
    <w:rsid w:val="001F09F2"/>
    <w:rsid w:val="001F0B7A"/>
    <w:rsid w:val="001F0D0F"/>
    <w:rsid w:val="001F0F10"/>
    <w:rsid w:val="001F1071"/>
    <w:rsid w:val="001F17DB"/>
    <w:rsid w:val="001F1B6A"/>
    <w:rsid w:val="001F278D"/>
    <w:rsid w:val="001F2F82"/>
    <w:rsid w:val="001F3870"/>
    <w:rsid w:val="001F3B44"/>
    <w:rsid w:val="001F3E21"/>
    <w:rsid w:val="001F4664"/>
    <w:rsid w:val="001F48D2"/>
    <w:rsid w:val="001F495C"/>
    <w:rsid w:val="001F4A51"/>
    <w:rsid w:val="001F4BD7"/>
    <w:rsid w:val="001F5566"/>
    <w:rsid w:val="001F57DC"/>
    <w:rsid w:val="001F597A"/>
    <w:rsid w:val="001F5AA1"/>
    <w:rsid w:val="001F6597"/>
    <w:rsid w:val="001F6B09"/>
    <w:rsid w:val="001F72C1"/>
    <w:rsid w:val="001F75A8"/>
    <w:rsid w:val="002001B2"/>
    <w:rsid w:val="0020045A"/>
    <w:rsid w:val="00200792"/>
    <w:rsid w:val="00200C9E"/>
    <w:rsid w:val="00200D1D"/>
    <w:rsid w:val="0020130B"/>
    <w:rsid w:val="00201352"/>
    <w:rsid w:val="0020160A"/>
    <w:rsid w:val="00201AF5"/>
    <w:rsid w:val="00201B92"/>
    <w:rsid w:val="00202244"/>
    <w:rsid w:val="002025B2"/>
    <w:rsid w:val="002028B9"/>
    <w:rsid w:val="00202E63"/>
    <w:rsid w:val="00202E7C"/>
    <w:rsid w:val="002031E2"/>
    <w:rsid w:val="00203279"/>
    <w:rsid w:val="00203392"/>
    <w:rsid w:val="002034FF"/>
    <w:rsid w:val="002037DD"/>
    <w:rsid w:val="00204316"/>
    <w:rsid w:val="00204534"/>
    <w:rsid w:val="00204628"/>
    <w:rsid w:val="0020506A"/>
    <w:rsid w:val="0020578A"/>
    <w:rsid w:val="00205871"/>
    <w:rsid w:val="00205B0C"/>
    <w:rsid w:val="00205D5C"/>
    <w:rsid w:val="002062C4"/>
    <w:rsid w:val="00206350"/>
    <w:rsid w:val="002106E1"/>
    <w:rsid w:val="00210801"/>
    <w:rsid w:val="00210A27"/>
    <w:rsid w:val="0021125D"/>
    <w:rsid w:val="002114CA"/>
    <w:rsid w:val="002116A2"/>
    <w:rsid w:val="00212A33"/>
    <w:rsid w:val="00212D7A"/>
    <w:rsid w:val="0021362A"/>
    <w:rsid w:val="00213686"/>
    <w:rsid w:val="00213F54"/>
    <w:rsid w:val="0021466C"/>
    <w:rsid w:val="00214B0C"/>
    <w:rsid w:val="00215026"/>
    <w:rsid w:val="00215250"/>
    <w:rsid w:val="0021540C"/>
    <w:rsid w:val="0021593F"/>
    <w:rsid w:val="002163F4"/>
    <w:rsid w:val="002168EA"/>
    <w:rsid w:val="00216962"/>
    <w:rsid w:val="00216E20"/>
    <w:rsid w:val="00217BA1"/>
    <w:rsid w:val="0022009C"/>
    <w:rsid w:val="002200AD"/>
    <w:rsid w:val="002203AE"/>
    <w:rsid w:val="002204A4"/>
    <w:rsid w:val="00220976"/>
    <w:rsid w:val="00220BA7"/>
    <w:rsid w:val="00220DE1"/>
    <w:rsid w:val="00221732"/>
    <w:rsid w:val="00221A92"/>
    <w:rsid w:val="00221DCA"/>
    <w:rsid w:val="00221E02"/>
    <w:rsid w:val="002227B4"/>
    <w:rsid w:val="00223036"/>
    <w:rsid w:val="00223AB3"/>
    <w:rsid w:val="00223F9C"/>
    <w:rsid w:val="00224546"/>
    <w:rsid w:val="00225217"/>
    <w:rsid w:val="0022528E"/>
    <w:rsid w:val="002255C6"/>
    <w:rsid w:val="002256F7"/>
    <w:rsid w:val="00225ECA"/>
    <w:rsid w:val="002261AE"/>
    <w:rsid w:val="00226410"/>
    <w:rsid w:val="002265BE"/>
    <w:rsid w:val="002266BC"/>
    <w:rsid w:val="00226776"/>
    <w:rsid w:val="00226B31"/>
    <w:rsid w:val="002272ED"/>
    <w:rsid w:val="002275C2"/>
    <w:rsid w:val="002276F5"/>
    <w:rsid w:val="002277E4"/>
    <w:rsid w:val="00227C2C"/>
    <w:rsid w:val="00227DAF"/>
    <w:rsid w:val="002302F7"/>
    <w:rsid w:val="002302F9"/>
    <w:rsid w:val="0023051E"/>
    <w:rsid w:val="002307B9"/>
    <w:rsid w:val="00231315"/>
    <w:rsid w:val="00231799"/>
    <w:rsid w:val="0023220D"/>
    <w:rsid w:val="002324A0"/>
    <w:rsid w:val="0023287D"/>
    <w:rsid w:val="00232908"/>
    <w:rsid w:val="002329C2"/>
    <w:rsid w:val="00232BD9"/>
    <w:rsid w:val="00232DE0"/>
    <w:rsid w:val="0023311E"/>
    <w:rsid w:val="002332F2"/>
    <w:rsid w:val="00233346"/>
    <w:rsid w:val="00233A07"/>
    <w:rsid w:val="00233AE7"/>
    <w:rsid w:val="002342B7"/>
    <w:rsid w:val="00234489"/>
    <w:rsid w:val="00234644"/>
    <w:rsid w:val="002348DC"/>
    <w:rsid w:val="00235167"/>
    <w:rsid w:val="00235279"/>
    <w:rsid w:val="0023538B"/>
    <w:rsid w:val="0023539B"/>
    <w:rsid w:val="002358B8"/>
    <w:rsid w:val="00235F3E"/>
    <w:rsid w:val="00236353"/>
    <w:rsid w:val="00236684"/>
    <w:rsid w:val="00236782"/>
    <w:rsid w:val="002369BE"/>
    <w:rsid w:val="00236B13"/>
    <w:rsid w:val="00236B7D"/>
    <w:rsid w:val="00236DA3"/>
    <w:rsid w:val="00237896"/>
    <w:rsid w:val="00237CDD"/>
    <w:rsid w:val="002403DB"/>
    <w:rsid w:val="0024050D"/>
    <w:rsid w:val="002406D6"/>
    <w:rsid w:val="00240752"/>
    <w:rsid w:val="002408FE"/>
    <w:rsid w:val="00240DAF"/>
    <w:rsid w:val="00240E5A"/>
    <w:rsid w:val="00241255"/>
    <w:rsid w:val="0024164C"/>
    <w:rsid w:val="0024168A"/>
    <w:rsid w:val="0024190F"/>
    <w:rsid w:val="002420FF"/>
    <w:rsid w:val="002423FD"/>
    <w:rsid w:val="002424FE"/>
    <w:rsid w:val="002426F4"/>
    <w:rsid w:val="00242D65"/>
    <w:rsid w:val="00243105"/>
    <w:rsid w:val="002432E8"/>
    <w:rsid w:val="002436C7"/>
    <w:rsid w:val="00243C72"/>
    <w:rsid w:val="00243F2B"/>
    <w:rsid w:val="002446B5"/>
    <w:rsid w:val="00245C45"/>
    <w:rsid w:val="00245DAE"/>
    <w:rsid w:val="0024630C"/>
    <w:rsid w:val="002464B7"/>
    <w:rsid w:val="00246749"/>
    <w:rsid w:val="00246BDB"/>
    <w:rsid w:val="00247FE6"/>
    <w:rsid w:val="00250035"/>
    <w:rsid w:val="002504A7"/>
    <w:rsid w:val="0025072E"/>
    <w:rsid w:val="002507D5"/>
    <w:rsid w:val="00250D86"/>
    <w:rsid w:val="00251132"/>
    <w:rsid w:val="00251351"/>
    <w:rsid w:val="00251826"/>
    <w:rsid w:val="00251B6D"/>
    <w:rsid w:val="00251DAB"/>
    <w:rsid w:val="002522C2"/>
    <w:rsid w:val="00252527"/>
    <w:rsid w:val="00252B5E"/>
    <w:rsid w:val="00252BA5"/>
    <w:rsid w:val="00252BC4"/>
    <w:rsid w:val="0025303C"/>
    <w:rsid w:val="002532CD"/>
    <w:rsid w:val="002537E4"/>
    <w:rsid w:val="00253A56"/>
    <w:rsid w:val="00253AB7"/>
    <w:rsid w:val="0025419D"/>
    <w:rsid w:val="00254286"/>
    <w:rsid w:val="002542F6"/>
    <w:rsid w:val="002547E7"/>
    <w:rsid w:val="00254A92"/>
    <w:rsid w:val="00254BB6"/>
    <w:rsid w:val="00254FF7"/>
    <w:rsid w:val="002552CF"/>
    <w:rsid w:val="0025532D"/>
    <w:rsid w:val="002558C1"/>
    <w:rsid w:val="00255ED6"/>
    <w:rsid w:val="00256067"/>
    <w:rsid w:val="0025686C"/>
    <w:rsid w:val="00256BC5"/>
    <w:rsid w:val="002571B8"/>
    <w:rsid w:val="00257805"/>
    <w:rsid w:val="00257B4D"/>
    <w:rsid w:val="00257CD1"/>
    <w:rsid w:val="00257CDE"/>
    <w:rsid w:val="00257E22"/>
    <w:rsid w:val="00257F1A"/>
    <w:rsid w:val="00260EC7"/>
    <w:rsid w:val="00262450"/>
    <w:rsid w:val="002625B1"/>
    <w:rsid w:val="0026267C"/>
    <w:rsid w:val="002629D6"/>
    <w:rsid w:val="00262C70"/>
    <w:rsid w:val="00262FB9"/>
    <w:rsid w:val="002636B7"/>
    <w:rsid w:val="002639F9"/>
    <w:rsid w:val="00263CBC"/>
    <w:rsid w:val="00263F56"/>
    <w:rsid w:val="00263F5E"/>
    <w:rsid w:val="00263FA2"/>
    <w:rsid w:val="002643F7"/>
    <w:rsid w:val="002647C3"/>
    <w:rsid w:val="00264DF5"/>
    <w:rsid w:val="002652D6"/>
    <w:rsid w:val="0026563D"/>
    <w:rsid w:val="002657BA"/>
    <w:rsid w:val="00265AB0"/>
    <w:rsid w:val="00265D85"/>
    <w:rsid w:val="00266100"/>
    <w:rsid w:val="002661CD"/>
    <w:rsid w:val="0026623F"/>
    <w:rsid w:val="00266472"/>
    <w:rsid w:val="002665F3"/>
    <w:rsid w:val="00266A3D"/>
    <w:rsid w:val="00266CB6"/>
    <w:rsid w:val="00267437"/>
    <w:rsid w:val="0027012B"/>
    <w:rsid w:val="0027040D"/>
    <w:rsid w:val="00270A3D"/>
    <w:rsid w:val="00271675"/>
    <w:rsid w:val="00271AC8"/>
    <w:rsid w:val="0027215F"/>
    <w:rsid w:val="00272594"/>
    <w:rsid w:val="002728AF"/>
    <w:rsid w:val="00272C46"/>
    <w:rsid w:val="00273A64"/>
    <w:rsid w:val="00273C8B"/>
    <w:rsid w:val="00273EC6"/>
    <w:rsid w:val="00274A86"/>
    <w:rsid w:val="00274BD0"/>
    <w:rsid w:val="00275125"/>
    <w:rsid w:val="002752EE"/>
    <w:rsid w:val="002753DC"/>
    <w:rsid w:val="002756BE"/>
    <w:rsid w:val="00275819"/>
    <w:rsid w:val="00275A30"/>
    <w:rsid w:val="00275A73"/>
    <w:rsid w:val="00275E16"/>
    <w:rsid w:val="00275F08"/>
    <w:rsid w:val="00276074"/>
    <w:rsid w:val="002767D6"/>
    <w:rsid w:val="00277145"/>
    <w:rsid w:val="002800AE"/>
    <w:rsid w:val="00280108"/>
    <w:rsid w:val="002801A0"/>
    <w:rsid w:val="002804FA"/>
    <w:rsid w:val="002806F1"/>
    <w:rsid w:val="00280A5B"/>
    <w:rsid w:val="00280BBE"/>
    <w:rsid w:val="00280C95"/>
    <w:rsid w:val="00280E13"/>
    <w:rsid w:val="00280F23"/>
    <w:rsid w:val="00281262"/>
    <w:rsid w:val="002812AE"/>
    <w:rsid w:val="002812FE"/>
    <w:rsid w:val="00281CE6"/>
    <w:rsid w:val="00281FE6"/>
    <w:rsid w:val="00283192"/>
    <w:rsid w:val="00283254"/>
    <w:rsid w:val="00283A2B"/>
    <w:rsid w:val="00284571"/>
    <w:rsid w:val="0028487F"/>
    <w:rsid w:val="00284B77"/>
    <w:rsid w:val="00284E7D"/>
    <w:rsid w:val="00285144"/>
    <w:rsid w:val="00285331"/>
    <w:rsid w:val="002854DE"/>
    <w:rsid w:val="0028580D"/>
    <w:rsid w:val="00285A0C"/>
    <w:rsid w:val="002862F4"/>
    <w:rsid w:val="00286525"/>
    <w:rsid w:val="00286DC0"/>
    <w:rsid w:val="002878B7"/>
    <w:rsid w:val="00290523"/>
    <w:rsid w:val="00290AE9"/>
    <w:rsid w:val="00290C4F"/>
    <w:rsid w:val="00290EAA"/>
    <w:rsid w:val="002911B5"/>
    <w:rsid w:val="002912B8"/>
    <w:rsid w:val="00291C94"/>
    <w:rsid w:val="00292500"/>
    <w:rsid w:val="00292C17"/>
    <w:rsid w:val="00292E39"/>
    <w:rsid w:val="00293449"/>
    <w:rsid w:val="00293488"/>
    <w:rsid w:val="00293661"/>
    <w:rsid w:val="00293EA2"/>
    <w:rsid w:val="00294062"/>
    <w:rsid w:val="0029411C"/>
    <w:rsid w:val="002949F2"/>
    <w:rsid w:val="002951D3"/>
    <w:rsid w:val="002956BD"/>
    <w:rsid w:val="002957D5"/>
    <w:rsid w:val="00295DBC"/>
    <w:rsid w:val="00295FFC"/>
    <w:rsid w:val="002966C1"/>
    <w:rsid w:val="0029712D"/>
    <w:rsid w:val="0029732D"/>
    <w:rsid w:val="0029772C"/>
    <w:rsid w:val="002977A9"/>
    <w:rsid w:val="00297F59"/>
    <w:rsid w:val="00297F73"/>
    <w:rsid w:val="00297FF0"/>
    <w:rsid w:val="002A014F"/>
    <w:rsid w:val="002A094E"/>
    <w:rsid w:val="002A0D0B"/>
    <w:rsid w:val="002A0DC1"/>
    <w:rsid w:val="002A0DC8"/>
    <w:rsid w:val="002A0F75"/>
    <w:rsid w:val="002A10CB"/>
    <w:rsid w:val="002A1626"/>
    <w:rsid w:val="002A1A21"/>
    <w:rsid w:val="002A1E9F"/>
    <w:rsid w:val="002A20E0"/>
    <w:rsid w:val="002A2123"/>
    <w:rsid w:val="002A216E"/>
    <w:rsid w:val="002A249C"/>
    <w:rsid w:val="002A3299"/>
    <w:rsid w:val="002A351A"/>
    <w:rsid w:val="002A39E7"/>
    <w:rsid w:val="002A40F4"/>
    <w:rsid w:val="002A452D"/>
    <w:rsid w:val="002A477D"/>
    <w:rsid w:val="002A496D"/>
    <w:rsid w:val="002A4AED"/>
    <w:rsid w:val="002A4C62"/>
    <w:rsid w:val="002A5DA1"/>
    <w:rsid w:val="002A5DA2"/>
    <w:rsid w:val="002A5F66"/>
    <w:rsid w:val="002A5FB0"/>
    <w:rsid w:val="002A6236"/>
    <w:rsid w:val="002A6841"/>
    <w:rsid w:val="002A69BD"/>
    <w:rsid w:val="002A6D09"/>
    <w:rsid w:val="002A7168"/>
    <w:rsid w:val="002A747D"/>
    <w:rsid w:val="002A76A7"/>
    <w:rsid w:val="002A78D6"/>
    <w:rsid w:val="002A7AB1"/>
    <w:rsid w:val="002A7E8A"/>
    <w:rsid w:val="002A7F9B"/>
    <w:rsid w:val="002B042F"/>
    <w:rsid w:val="002B0CBE"/>
    <w:rsid w:val="002B0D30"/>
    <w:rsid w:val="002B13A9"/>
    <w:rsid w:val="002B142B"/>
    <w:rsid w:val="002B1792"/>
    <w:rsid w:val="002B18FC"/>
    <w:rsid w:val="002B212D"/>
    <w:rsid w:val="002B2D32"/>
    <w:rsid w:val="002B2E2B"/>
    <w:rsid w:val="002B32EC"/>
    <w:rsid w:val="002B35E5"/>
    <w:rsid w:val="002B3844"/>
    <w:rsid w:val="002B4081"/>
    <w:rsid w:val="002B42E0"/>
    <w:rsid w:val="002B4427"/>
    <w:rsid w:val="002B4FE1"/>
    <w:rsid w:val="002B5548"/>
    <w:rsid w:val="002B5767"/>
    <w:rsid w:val="002B58EC"/>
    <w:rsid w:val="002B5979"/>
    <w:rsid w:val="002B5AF6"/>
    <w:rsid w:val="002B5B51"/>
    <w:rsid w:val="002B5EAB"/>
    <w:rsid w:val="002B5F3D"/>
    <w:rsid w:val="002B6248"/>
    <w:rsid w:val="002B64D4"/>
    <w:rsid w:val="002B6536"/>
    <w:rsid w:val="002B6579"/>
    <w:rsid w:val="002B6A76"/>
    <w:rsid w:val="002B6A96"/>
    <w:rsid w:val="002B6B08"/>
    <w:rsid w:val="002B749B"/>
    <w:rsid w:val="002B7DFB"/>
    <w:rsid w:val="002B7E65"/>
    <w:rsid w:val="002B7F95"/>
    <w:rsid w:val="002C0328"/>
    <w:rsid w:val="002C0CA0"/>
    <w:rsid w:val="002C0D5B"/>
    <w:rsid w:val="002C109F"/>
    <w:rsid w:val="002C11EE"/>
    <w:rsid w:val="002C1221"/>
    <w:rsid w:val="002C1DCF"/>
    <w:rsid w:val="002C24E6"/>
    <w:rsid w:val="002C254E"/>
    <w:rsid w:val="002C256F"/>
    <w:rsid w:val="002C284C"/>
    <w:rsid w:val="002C30EE"/>
    <w:rsid w:val="002C329E"/>
    <w:rsid w:val="002C336C"/>
    <w:rsid w:val="002C35E4"/>
    <w:rsid w:val="002C37C1"/>
    <w:rsid w:val="002C3C8F"/>
    <w:rsid w:val="002C3F82"/>
    <w:rsid w:val="002C428D"/>
    <w:rsid w:val="002C45D0"/>
    <w:rsid w:val="002C4749"/>
    <w:rsid w:val="002C492B"/>
    <w:rsid w:val="002C4B26"/>
    <w:rsid w:val="002C4DFB"/>
    <w:rsid w:val="002C4E93"/>
    <w:rsid w:val="002C4FD7"/>
    <w:rsid w:val="002C4FE8"/>
    <w:rsid w:val="002C520F"/>
    <w:rsid w:val="002C5418"/>
    <w:rsid w:val="002C544D"/>
    <w:rsid w:val="002C5DA3"/>
    <w:rsid w:val="002C6EA1"/>
    <w:rsid w:val="002C75F0"/>
    <w:rsid w:val="002C774C"/>
    <w:rsid w:val="002C798C"/>
    <w:rsid w:val="002C7C7E"/>
    <w:rsid w:val="002C7C95"/>
    <w:rsid w:val="002C7E38"/>
    <w:rsid w:val="002D06C7"/>
    <w:rsid w:val="002D0DAD"/>
    <w:rsid w:val="002D0DB5"/>
    <w:rsid w:val="002D1D9B"/>
    <w:rsid w:val="002D2A78"/>
    <w:rsid w:val="002D31E4"/>
    <w:rsid w:val="002D326F"/>
    <w:rsid w:val="002D337A"/>
    <w:rsid w:val="002D339F"/>
    <w:rsid w:val="002D3B99"/>
    <w:rsid w:val="002D41DE"/>
    <w:rsid w:val="002D423B"/>
    <w:rsid w:val="002D4371"/>
    <w:rsid w:val="002D494C"/>
    <w:rsid w:val="002D4DBB"/>
    <w:rsid w:val="002D55BA"/>
    <w:rsid w:val="002D593B"/>
    <w:rsid w:val="002D5E88"/>
    <w:rsid w:val="002D61B7"/>
    <w:rsid w:val="002D6703"/>
    <w:rsid w:val="002D6D54"/>
    <w:rsid w:val="002D6EAA"/>
    <w:rsid w:val="002D7265"/>
    <w:rsid w:val="002E012E"/>
    <w:rsid w:val="002E0228"/>
    <w:rsid w:val="002E07A2"/>
    <w:rsid w:val="002E08CD"/>
    <w:rsid w:val="002E0E48"/>
    <w:rsid w:val="002E133B"/>
    <w:rsid w:val="002E22D0"/>
    <w:rsid w:val="002E23F5"/>
    <w:rsid w:val="002E2418"/>
    <w:rsid w:val="002E2935"/>
    <w:rsid w:val="002E29BD"/>
    <w:rsid w:val="002E3228"/>
    <w:rsid w:val="002E37B1"/>
    <w:rsid w:val="002E43E0"/>
    <w:rsid w:val="002E454F"/>
    <w:rsid w:val="002E4DCD"/>
    <w:rsid w:val="002E50D4"/>
    <w:rsid w:val="002E52D3"/>
    <w:rsid w:val="002E5983"/>
    <w:rsid w:val="002E5CBD"/>
    <w:rsid w:val="002E6029"/>
    <w:rsid w:val="002E6392"/>
    <w:rsid w:val="002E63E4"/>
    <w:rsid w:val="002E64C5"/>
    <w:rsid w:val="002E68CF"/>
    <w:rsid w:val="002E6DFF"/>
    <w:rsid w:val="002E6F6B"/>
    <w:rsid w:val="002E7086"/>
    <w:rsid w:val="002E760D"/>
    <w:rsid w:val="002E784C"/>
    <w:rsid w:val="002E798D"/>
    <w:rsid w:val="002F04F2"/>
    <w:rsid w:val="002F07A8"/>
    <w:rsid w:val="002F07B2"/>
    <w:rsid w:val="002F0AFA"/>
    <w:rsid w:val="002F0F27"/>
    <w:rsid w:val="002F10B7"/>
    <w:rsid w:val="002F1EE5"/>
    <w:rsid w:val="002F2165"/>
    <w:rsid w:val="002F2CB7"/>
    <w:rsid w:val="002F2D8B"/>
    <w:rsid w:val="002F2EDC"/>
    <w:rsid w:val="002F2F89"/>
    <w:rsid w:val="002F34A7"/>
    <w:rsid w:val="002F3D1B"/>
    <w:rsid w:val="002F42B5"/>
    <w:rsid w:val="002F4A61"/>
    <w:rsid w:val="002F4A73"/>
    <w:rsid w:val="002F513A"/>
    <w:rsid w:val="002F5868"/>
    <w:rsid w:val="002F59D3"/>
    <w:rsid w:val="002F5A66"/>
    <w:rsid w:val="002F6165"/>
    <w:rsid w:val="002F61F3"/>
    <w:rsid w:val="002F6FA4"/>
    <w:rsid w:val="002F720A"/>
    <w:rsid w:val="002F7320"/>
    <w:rsid w:val="002F79A2"/>
    <w:rsid w:val="002F79B0"/>
    <w:rsid w:val="002F7A71"/>
    <w:rsid w:val="002F7D0C"/>
    <w:rsid w:val="003002F1"/>
    <w:rsid w:val="0030033D"/>
    <w:rsid w:val="003006D5"/>
    <w:rsid w:val="00300761"/>
    <w:rsid w:val="00300893"/>
    <w:rsid w:val="003013CA"/>
    <w:rsid w:val="003013DC"/>
    <w:rsid w:val="00301814"/>
    <w:rsid w:val="00301A21"/>
    <w:rsid w:val="00302139"/>
    <w:rsid w:val="003021D8"/>
    <w:rsid w:val="00302582"/>
    <w:rsid w:val="003028EA"/>
    <w:rsid w:val="00302A0B"/>
    <w:rsid w:val="00302A9A"/>
    <w:rsid w:val="00302BC7"/>
    <w:rsid w:val="00302CA8"/>
    <w:rsid w:val="00302E4A"/>
    <w:rsid w:val="00302E6C"/>
    <w:rsid w:val="00303092"/>
    <w:rsid w:val="003034A0"/>
    <w:rsid w:val="00303592"/>
    <w:rsid w:val="003036CF"/>
    <w:rsid w:val="003036E6"/>
    <w:rsid w:val="00303965"/>
    <w:rsid w:val="003039D9"/>
    <w:rsid w:val="00303E1A"/>
    <w:rsid w:val="003043C5"/>
    <w:rsid w:val="0030485C"/>
    <w:rsid w:val="00304F03"/>
    <w:rsid w:val="00304FB2"/>
    <w:rsid w:val="00305567"/>
    <w:rsid w:val="00305689"/>
    <w:rsid w:val="003057D3"/>
    <w:rsid w:val="003058B0"/>
    <w:rsid w:val="003067FF"/>
    <w:rsid w:val="0030684A"/>
    <w:rsid w:val="0030685B"/>
    <w:rsid w:val="0030696C"/>
    <w:rsid w:val="003073E8"/>
    <w:rsid w:val="00307674"/>
    <w:rsid w:val="003076F9"/>
    <w:rsid w:val="00307A9F"/>
    <w:rsid w:val="00307DC8"/>
    <w:rsid w:val="00307FCC"/>
    <w:rsid w:val="003117AC"/>
    <w:rsid w:val="003117BE"/>
    <w:rsid w:val="003117FE"/>
    <w:rsid w:val="00312187"/>
    <w:rsid w:val="0031298C"/>
    <w:rsid w:val="00312A7A"/>
    <w:rsid w:val="00312D07"/>
    <w:rsid w:val="00312E2A"/>
    <w:rsid w:val="00313735"/>
    <w:rsid w:val="00313DA5"/>
    <w:rsid w:val="00313EC4"/>
    <w:rsid w:val="00314347"/>
    <w:rsid w:val="00314376"/>
    <w:rsid w:val="00314C04"/>
    <w:rsid w:val="00314C3A"/>
    <w:rsid w:val="00314D45"/>
    <w:rsid w:val="003150AB"/>
    <w:rsid w:val="00315316"/>
    <w:rsid w:val="003155F2"/>
    <w:rsid w:val="00315645"/>
    <w:rsid w:val="00315CBF"/>
    <w:rsid w:val="0031657D"/>
    <w:rsid w:val="00316628"/>
    <w:rsid w:val="00316713"/>
    <w:rsid w:val="00317346"/>
    <w:rsid w:val="003200BE"/>
    <w:rsid w:val="00320451"/>
    <w:rsid w:val="00320862"/>
    <w:rsid w:val="00320998"/>
    <w:rsid w:val="00320A42"/>
    <w:rsid w:val="00321512"/>
    <w:rsid w:val="00321DB8"/>
    <w:rsid w:val="00322199"/>
    <w:rsid w:val="003225A7"/>
    <w:rsid w:val="00322EB1"/>
    <w:rsid w:val="00322F6B"/>
    <w:rsid w:val="00323032"/>
    <w:rsid w:val="003231D6"/>
    <w:rsid w:val="00323369"/>
    <w:rsid w:val="00323492"/>
    <w:rsid w:val="00323DE4"/>
    <w:rsid w:val="00324961"/>
    <w:rsid w:val="0032511B"/>
    <w:rsid w:val="003255C6"/>
    <w:rsid w:val="003256DB"/>
    <w:rsid w:val="00325EE5"/>
    <w:rsid w:val="003263A9"/>
    <w:rsid w:val="003269EA"/>
    <w:rsid w:val="00326B68"/>
    <w:rsid w:val="00326BF6"/>
    <w:rsid w:val="0032714E"/>
    <w:rsid w:val="00327181"/>
    <w:rsid w:val="003274AC"/>
    <w:rsid w:val="003300B2"/>
    <w:rsid w:val="00330134"/>
    <w:rsid w:val="003301C9"/>
    <w:rsid w:val="003301CF"/>
    <w:rsid w:val="003301D9"/>
    <w:rsid w:val="003306B0"/>
    <w:rsid w:val="003311B9"/>
    <w:rsid w:val="0033132A"/>
    <w:rsid w:val="003315CD"/>
    <w:rsid w:val="003320FA"/>
    <w:rsid w:val="00332219"/>
    <w:rsid w:val="00332CAF"/>
    <w:rsid w:val="00332D87"/>
    <w:rsid w:val="00332DCC"/>
    <w:rsid w:val="0033319E"/>
    <w:rsid w:val="00333536"/>
    <w:rsid w:val="0033354E"/>
    <w:rsid w:val="003335B9"/>
    <w:rsid w:val="00333EDE"/>
    <w:rsid w:val="00334E06"/>
    <w:rsid w:val="00334E6C"/>
    <w:rsid w:val="00334F5C"/>
    <w:rsid w:val="0033510A"/>
    <w:rsid w:val="003353E9"/>
    <w:rsid w:val="00335B9F"/>
    <w:rsid w:val="00335FED"/>
    <w:rsid w:val="0033603F"/>
    <w:rsid w:val="003360F4"/>
    <w:rsid w:val="00336183"/>
    <w:rsid w:val="00336A59"/>
    <w:rsid w:val="00336C78"/>
    <w:rsid w:val="00336F21"/>
    <w:rsid w:val="00336F89"/>
    <w:rsid w:val="0033755D"/>
    <w:rsid w:val="00337B19"/>
    <w:rsid w:val="00340286"/>
    <w:rsid w:val="00340754"/>
    <w:rsid w:val="00340CAB"/>
    <w:rsid w:val="00340F69"/>
    <w:rsid w:val="0034161F"/>
    <w:rsid w:val="0034197D"/>
    <w:rsid w:val="00341A9C"/>
    <w:rsid w:val="00341BC4"/>
    <w:rsid w:val="00341DA2"/>
    <w:rsid w:val="00341EFB"/>
    <w:rsid w:val="00341FAC"/>
    <w:rsid w:val="0034274C"/>
    <w:rsid w:val="00342976"/>
    <w:rsid w:val="00342D98"/>
    <w:rsid w:val="0034305A"/>
    <w:rsid w:val="00343824"/>
    <w:rsid w:val="00343C66"/>
    <w:rsid w:val="003441BC"/>
    <w:rsid w:val="00344797"/>
    <w:rsid w:val="00344AF4"/>
    <w:rsid w:val="00344BA0"/>
    <w:rsid w:val="0034598C"/>
    <w:rsid w:val="00345CF7"/>
    <w:rsid w:val="0034604F"/>
    <w:rsid w:val="003460F6"/>
    <w:rsid w:val="003462E7"/>
    <w:rsid w:val="00346464"/>
    <w:rsid w:val="003466DC"/>
    <w:rsid w:val="0034695C"/>
    <w:rsid w:val="00346B74"/>
    <w:rsid w:val="00346E8A"/>
    <w:rsid w:val="00346F7D"/>
    <w:rsid w:val="00346FF5"/>
    <w:rsid w:val="0034765D"/>
    <w:rsid w:val="00347AC3"/>
    <w:rsid w:val="003501D4"/>
    <w:rsid w:val="00350314"/>
    <w:rsid w:val="00350430"/>
    <w:rsid w:val="0035060B"/>
    <w:rsid w:val="0035084D"/>
    <w:rsid w:val="003509F2"/>
    <w:rsid w:val="00350D2D"/>
    <w:rsid w:val="00350E83"/>
    <w:rsid w:val="00350FAB"/>
    <w:rsid w:val="00351577"/>
    <w:rsid w:val="003518DB"/>
    <w:rsid w:val="0035202F"/>
    <w:rsid w:val="0035212A"/>
    <w:rsid w:val="00352389"/>
    <w:rsid w:val="003525C9"/>
    <w:rsid w:val="003526AF"/>
    <w:rsid w:val="003527DF"/>
    <w:rsid w:val="00353572"/>
    <w:rsid w:val="00353E99"/>
    <w:rsid w:val="003540F3"/>
    <w:rsid w:val="00354389"/>
    <w:rsid w:val="0035462D"/>
    <w:rsid w:val="003550AA"/>
    <w:rsid w:val="00355664"/>
    <w:rsid w:val="0035574F"/>
    <w:rsid w:val="003557A8"/>
    <w:rsid w:val="003557AC"/>
    <w:rsid w:val="0035706D"/>
    <w:rsid w:val="00357082"/>
    <w:rsid w:val="003576E2"/>
    <w:rsid w:val="00357777"/>
    <w:rsid w:val="003578A6"/>
    <w:rsid w:val="00357AC2"/>
    <w:rsid w:val="0036009F"/>
    <w:rsid w:val="0036024B"/>
    <w:rsid w:val="003607B3"/>
    <w:rsid w:val="00360DDE"/>
    <w:rsid w:val="003615A0"/>
    <w:rsid w:val="0036194C"/>
    <w:rsid w:val="00361C55"/>
    <w:rsid w:val="00361F13"/>
    <w:rsid w:val="0036264B"/>
    <w:rsid w:val="00362735"/>
    <w:rsid w:val="00362925"/>
    <w:rsid w:val="003636A7"/>
    <w:rsid w:val="003636F5"/>
    <w:rsid w:val="00364520"/>
    <w:rsid w:val="00364D83"/>
    <w:rsid w:val="0036502C"/>
    <w:rsid w:val="0036514F"/>
    <w:rsid w:val="003651FD"/>
    <w:rsid w:val="00365293"/>
    <w:rsid w:val="003654DD"/>
    <w:rsid w:val="00365BA3"/>
    <w:rsid w:val="00365E02"/>
    <w:rsid w:val="00366431"/>
    <w:rsid w:val="00366AB8"/>
    <w:rsid w:val="00366DEC"/>
    <w:rsid w:val="0036705C"/>
    <w:rsid w:val="00367535"/>
    <w:rsid w:val="00367B03"/>
    <w:rsid w:val="00370132"/>
    <w:rsid w:val="003708C7"/>
    <w:rsid w:val="00370C14"/>
    <w:rsid w:val="00371089"/>
    <w:rsid w:val="0037159A"/>
    <w:rsid w:val="00371CA4"/>
    <w:rsid w:val="00372635"/>
    <w:rsid w:val="003728AB"/>
    <w:rsid w:val="003728FC"/>
    <w:rsid w:val="00372D1F"/>
    <w:rsid w:val="0037352E"/>
    <w:rsid w:val="00373820"/>
    <w:rsid w:val="00373F22"/>
    <w:rsid w:val="00373FF0"/>
    <w:rsid w:val="00374161"/>
    <w:rsid w:val="0037467B"/>
    <w:rsid w:val="00374689"/>
    <w:rsid w:val="00374778"/>
    <w:rsid w:val="003749C4"/>
    <w:rsid w:val="003756FA"/>
    <w:rsid w:val="00375BCB"/>
    <w:rsid w:val="00376B13"/>
    <w:rsid w:val="00376F4A"/>
    <w:rsid w:val="003773AC"/>
    <w:rsid w:val="003773C4"/>
    <w:rsid w:val="00377656"/>
    <w:rsid w:val="00377B26"/>
    <w:rsid w:val="003802C8"/>
    <w:rsid w:val="00380430"/>
    <w:rsid w:val="0038069C"/>
    <w:rsid w:val="003806AC"/>
    <w:rsid w:val="00380755"/>
    <w:rsid w:val="003815D5"/>
    <w:rsid w:val="00381878"/>
    <w:rsid w:val="003818DC"/>
    <w:rsid w:val="00381981"/>
    <w:rsid w:val="00381AD6"/>
    <w:rsid w:val="00381BF4"/>
    <w:rsid w:val="00381CA6"/>
    <w:rsid w:val="003821E2"/>
    <w:rsid w:val="003827BD"/>
    <w:rsid w:val="003829B7"/>
    <w:rsid w:val="003829E8"/>
    <w:rsid w:val="00383012"/>
    <w:rsid w:val="00383080"/>
    <w:rsid w:val="003834BA"/>
    <w:rsid w:val="003835F9"/>
    <w:rsid w:val="00383C34"/>
    <w:rsid w:val="00384468"/>
    <w:rsid w:val="003846CB"/>
    <w:rsid w:val="00384B85"/>
    <w:rsid w:val="00384C72"/>
    <w:rsid w:val="0038510D"/>
    <w:rsid w:val="00385448"/>
    <w:rsid w:val="00385741"/>
    <w:rsid w:val="0038585C"/>
    <w:rsid w:val="003858FC"/>
    <w:rsid w:val="00385A78"/>
    <w:rsid w:val="00385B37"/>
    <w:rsid w:val="00385E41"/>
    <w:rsid w:val="00385E4A"/>
    <w:rsid w:val="00385F63"/>
    <w:rsid w:val="00386006"/>
    <w:rsid w:val="003865B6"/>
    <w:rsid w:val="00386991"/>
    <w:rsid w:val="00386A3E"/>
    <w:rsid w:val="00386CE1"/>
    <w:rsid w:val="00387033"/>
    <w:rsid w:val="00387114"/>
    <w:rsid w:val="00387367"/>
    <w:rsid w:val="00387748"/>
    <w:rsid w:val="0039006A"/>
    <w:rsid w:val="00390449"/>
    <w:rsid w:val="00390CE7"/>
    <w:rsid w:val="00391B14"/>
    <w:rsid w:val="00391B76"/>
    <w:rsid w:val="00391EDE"/>
    <w:rsid w:val="0039201C"/>
    <w:rsid w:val="00392CA5"/>
    <w:rsid w:val="00392CF9"/>
    <w:rsid w:val="00393040"/>
    <w:rsid w:val="00393203"/>
    <w:rsid w:val="003939D6"/>
    <w:rsid w:val="00393B17"/>
    <w:rsid w:val="00394284"/>
    <w:rsid w:val="00394839"/>
    <w:rsid w:val="00395CBD"/>
    <w:rsid w:val="003961BA"/>
    <w:rsid w:val="00396226"/>
    <w:rsid w:val="00396CFF"/>
    <w:rsid w:val="00396D0A"/>
    <w:rsid w:val="00396D6A"/>
    <w:rsid w:val="00396E27"/>
    <w:rsid w:val="00396F5E"/>
    <w:rsid w:val="00397D10"/>
    <w:rsid w:val="00397EAC"/>
    <w:rsid w:val="00397F26"/>
    <w:rsid w:val="00397F52"/>
    <w:rsid w:val="003A00AA"/>
    <w:rsid w:val="003A06A2"/>
    <w:rsid w:val="003A0767"/>
    <w:rsid w:val="003A0C0C"/>
    <w:rsid w:val="003A1EA2"/>
    <w:rsid w:val="003A2786"/>
    <w:rsid w:val="003A2C38"/>
    <w:rsid w:val="003A2C6A"/>
    <w:rsid w:val="003A2D52"/>
    <w:rsid w:val="003A3003"/>
    <w:rsid w:val="003A3104"/>
    <w:rsid w:val="003A3111"/>
    <w:rsid w:val="003A3408"/>
    <w:rsid w:val="003A36EB"/>
    <w:rsid w:val="003A3955"/>
    <w:rsid w:val="003A4362"/>
    <w:rsid w:val="003A4979"/>
    <w:rsid w:val="003A54A2"/>
    <w:rsid w:val="003A559E"/>
    <w:rsid w:val="003A59D6"/>
    <w:rsid w:val="003A66C0"/>
    <w:rsid w:val="003A6C61"/>
    <w:rsid w:val="003A7311"/>
    <w:rsid w:val="003A745F"/>
    <w:rsid w:val="003A746B"/>
    <w:rsid w:val="003A76A2"/>
    <w:rsid w:val="003B00EE"/>
    <w:rsid w:val="003B01C0"/>
    <w:rsid w:val="003B0D5D"/>
    <w:rsid w:val="003B1033"/>
    <w:rsid w:val="003B10EC"/>
    <w:rsid w:val="003B1291"/>
    <w:rsid w:val="003B1347"/>
    <w:rsid w:val="003B148D"/>
    <w:rsid w:val="003B1977"/>
    <w:rsid w:val="003B1C58"/>
    <w:rsid w:val="003B264B"/>
    <w:rsid w:val="003B2738"/>
    <w:rsid w:val="003B2A11"/>
    <w:rsid w:val="003B2A8F"/>
    <w:rsid w:val="003B2E34"/>
    <w:rsid w:val="003B34A9"/>
    <w:rsid w:val="003B3931"/>
    <w:rsid w:val="003B3F95"/>
    <w:rsid w:val="003B42B5"/>
    <w:rsid w:val="003B4B46"/>
    <w:rsid w:val="003B4F61"/>
    <w:rsid w:val="003B5239"/>
    <w:rsid w:val="003B55B5"/>
    <w:rsid w:val="003B60A8"/>
    <w:rsid w:val="003B61E5"/>
    <w:rsid w:val="003B669A"/>
    <w:rsid w:val="003B67FC"/>
    <w:rsid w:val="003B7284"/>
    <w:rsid w:val="003B7984"/>
    <w:rsid w:val="003B7AC4"/>
    <w:rsid w:val="003B7B8A"/>
    <w:rsid w:val="003C00AD"/>
    <w:rsid w:val="003C02F8"/>
    <w:rsid w:val="003C057F"/>
    <w:rsid w:val="003C0A9F"/>
    <w:rsid w:val="003C13A4"/>
    <w:rsid w:val="003C1975"/>
    <w:rsid w:val="003C1C06"/>
    <w:rsid w:val="003C1CCD"/>
    <w:rsid w:val="003C1E02"/>
    <w:rsid w:val="003C1FB0"/>
    <w:rsid w:val="003C2299"/>
    <w:rsid w:val="003C2652"/>
    <w:rsid w:val="003C2B0F"/>
    <w:rsid w:val="003C2C8E"/>
    <w:rsid w:val="003C2E5E"/>
    <w:rsid w:val="003C32EF"/>
    <w:rsid w:val="003C3C76"/>
    <w:rsid w:val="003C400E"/>
    <w:rsid w:val="003C40F2"/>
    <w:rsid w:val="003C4224"/>
    <w:rsid w:val="003C4435"/>
    <w:rsid w:val="003C49BF"/>
    <w:rsid w:val="003C4ABB"/>
    <w:rsid w:val="003C519C"/>
    <w:rsid w:val="003C55B8"/>
    <w:rsid w:val="003C584C"/>
    <w:rsid w:val="003C5A32"/>
    <w:rsid w:val="003C6067"/>
    <w:rsid w:val="003C6089"/>
    <w:rsid w:val="003C632F"/>
    <w:rsid w:val="003C63FD"/>
    <w:rsid w:val="003C6487"/>
    <w:rsid w:val="003C6495"/>
    <w:rsid w:val="003C69EF"/>
    <w:rsid w:val="003C6AE4"/>
    <w:rsid w:val="003C6D0A"/>
    <w:rsid w:val="003C6F0A"/>
    <w:rsid w:val="003D0124"/>
    <w:rsid w:val="003D07F9"/>
    <w:rsid w:val="003D08D1"/>
    <w:rsid w:val="003D15F7"/>
    <w:rsid w:val="003D178D"/>
    <w:rsid w:val="003D1863"/>
    <w:rsid w:val="003D1B0D"/>
    <w:rsid w:val="003D1CAD"/>
    <w:rsid w:val="003D1E49"/>
    <w:rsid w:val="003D1F91"/>
    <w:rsid w:val="003D2359"/>
    <w:rsid w:val="003D279C"/>
    <w:rsid w:val="003D283B"/>
    <w:rsid w:val="003D28BE"/>
    <w:rsid w:val="003D2D1E"/>
    <w:rsid w:val="003D2FD5"/>
    <w:rsid w:val="003D3074"/>
    <w:rsid w:val="003D3385"/>
    <w:rsid w:val="003D3473"/>
    <w:rsid w:val="003D3670"/>
    <w:rsid w:val="003D36B0"/>
    <w:rsid w:val="003D3945"/>
    <w:rsid w:val="003D3AB4"/>
    <w:rsid w:val="003D3B07"/>
    <w:rsid w:val="003D3C09"/>
    <w:rsid w:val="003D4403"/>
    <w:rsid w:val="003D5398"/>
    <w:rsid w:val="003D5599"/>
    <w:rsid w:val="003D5654"/>
    <w:rsid w:val="003D5E15"/>
    <w:rsid w:val="003D5F05"/>
    <w:rsid w:val="003D61BE"/>
    <w:rsid w:val="003D6258"/>
    <w:rsid w:val="003D6383"/>
    <w:rsid w:val="003D6625"/>
    <w:rsid w:val="003D6731"/>
    <w:rsid w:val="003D682A"/>
    <w:rsid w:val="003D69A1"/>
    <w:rsid w:val="003D6BD8"/>
    <w:rsid w:val="003D7C66"/>
    <w:rsid w:val="003D7F77"/>
    <w:rsid w:val="003E027E"/>
    <w:rsid w:val="003E02DC"/>
    <w:rsid w:val="003E0421"/>
    <w:rsid w:val="003E05AF"/>
    <w:rsid w:val="003E0B80"/>
    <w:rsid w:val="003E0CD2"/>
    <w:rsid w:val="003E0E40"/>
    <w:rsid w:val="003E1E71"/>
    <w:rsid w:val="003E209B"/>
    <w:rsid w:val="003E25A3"/>
    <w:rsid w:val="003E2ADF"/>
    <w:rsid w:val="003E2FA8"/>
    <w:rsid w:val="003E3029"/>
    <w:rsid w:val="003E31D4"/>
    <w:rsid w:val="003E343D"/>
    <w:rsid w:val="003E365B"/>
    <w:rsid w:val="003E37A2"/>
    <w:rsid w:val="003E38F6"/>
    <w:rsid w:val="003E3D5C"/>
    <w:rsid w:val="003E44B8"/>
    <w:rsid w:val="003E4910"/>
    <w:rsid w:val="003E51BD"/>
    <w:rsid w:val="003E55F2"/>
    <w:rsid w:val="003E5890"/>
    <w:rsid w:val="003E598A"/>
    <w:rsid w:val="003E5D5F"/>
    <w:rsid w:val="003E5EE1"/>
    <w:rsid w:val="003E609D"/>
    <w:rsid w:val="003E60F8"/>
    <w:rsid w:val="003E60FC"/>
    <w:rsid w:val="003E637A"/>
    <w:rsid w:val="003E661E"/>
    <w:rsid w:val="003E66EA"/>
    <w:rsid w:val="003E6CE9"/>
    <w:rsid w:val="003E73B5"/>
    <w:rsid w:val="003E768F"/>
    <w:rsid w:val="003E7C5E"/>
    <w:rsid w:val="003F02C4"/>
    <w:rsid w:val="003F0457"/>
    <w:rsid w:val="003F0746"/>
    <w:rsid w:val="003F086A"/>
    <w:rsid w:val="003F0E64"/>
    <w:rsid w:val="003F104A"/>
    <w:rsid w:val="003F2208"/>
    <w:rsid w:val="003F22B5"/>
    <w:rsid w:val="003F2643"/>
    <w:rsid w:val="003F2F8B"/>
    <w:rsid w:val="003F45A4"/>
    <w:rsid w:val="003F505D"/>
    <w:rsid w:val="003F56B8"/>
    <w:rsid w:val="003F58B3"/>
    <w:rsid w:val="003F5D88"/>
    <w:rsid w:val="003F5DA9"/>
    <w:rsid w:val="003F6130"/>
    <w:rsid w:val="003F63C9"/>
    <w:rsid w:val="003F6825"/>
    <w:rsid w:val="003F7753"/>
    <w:rsid w:val="003F78B7"/>
    <w:rsid w:val="003F7AF2"/>
    <w:rsid w:val="003F7BB3"/>
    <w:rsid w:val="004003C1"/>
    <w:rsid w:val="00400836"/>
    <w:rsid w:val="00400B67"/>
    <w:rsid w:val="00401E91"/>
    <w:rsid w:val="004028FC"/>
    <w:rsid w:val="00402D19"/>
    <w:rsid w:val="00402DE6"/>
    <w:rsid w:val="00402E8C"/>
    <w:rsid w:val="00402F72"/>
    <w:rsid w:val="0040329A"/>
    <w:rsid w:val="004033D1"/>
    <w:rsid w:val="004033DC"/>
    <w:rsid w:val="00403752"/>
    <w:rsid w:val="004039DF"/>
    <w:rsid w:val="00403A5A"/>
    <w:rsid w:val="00403D69"/>
    <w:rsid w:val="00403E0A"/>
    <w:rsid w:val="004041CA"/>
    <w:rsid w:val="0040433E"/>
    <w:rsid w:val="00404542"/>
    <w:rsid w:val="00404B3E"/>
    <w:rsid w:val="00404EC6"/>
    <w:rsid w:val="00405156"/>
    <w:rsid w:val="00405244"/>
    <w:rsid w:val="004052A3"/>
    <w:rsid w:val="0040545B"/>
    <w:rsid w:val="00405499"/>
    <w:rsid w:val="0040564C"/>
    <w:rsid w:val="004056BB"/>
    <w:rsid w:val="00405A0B"/>
    <w:rsid w:val="00405C53"/>
    <w:rsid w:val="0040605D"/>
    <w:rsid w:val="00406883"/>
    <w:rsid w:val="00406B17"/>
    <w:rsid w:val="00406B37"/>
    <w:rsid w:val="004071F0"/>
    <w:rsid w:val="0040728D"/>
    <w:rsid w:val="00407346"/>
    <w:rsid w:val="00407934"/>
    <w:rsid w:val="00407E75"/>
    <w:rsid w:val="00407EA2"/>
    <w:rsid w:val="004105D1"/>
    <w:rsid w:val="00410D24"/>
    <w:rsid w:val="004111B9"/>
    <w:rsid w:val="0041156A"/>
    <w:rsid w:val="00411BD1"/>
    <w:rsid w:val="00411D06"/>
    <w:rsid w:val="00412182"/>
    <w:rsid w:val="004128E3"/>
    <w:rsid w:val="004129E2"/>
    <w:rsid w:val="00414361"/>
    <w:rsid w:val="00414521"/>
    <w:rsid w:val="004145B2"/>
    <w:rsid w:val="00414640"/>
    <w:rsid w:val="00414DAB"/>
    <w:rsid w:val="004159B2"/>
    <w:rsid w:val="00415FE3"/>
    <w:rsid w:val="004164D9"/>
    <w:rsid w:val="00416729"/>
    <w:rsid w:val="00416B59"/>
    <w:rsid w:val="00416BC1"/>
    <w:rsid w:val="00416FA1"/>
    <w:rsid w:val="00416FBB"/>
    <w:rsid w:val="00417396"/>
    <w:rsid w:val="004175E4"/>
    <w:rsid w:val="004177F3"/>
    <w:rsid w:val="00420024"/>
    <w:rsid w:val="004204F5"/>
    <w:rsid w:val="00420581"/>
    <w:rsid w:val="004205F7"/>
    <w:rsid w:val="00420A36"/>
    <w:rsid w:val="00420EE2"/>
    <w:rsid w:val="004210D7"/>
    <w:rsid w:val="0042112B"/>
    <w:rsid w:val="0042116F"/>
    <w:rsid w:val="0042193F"/>
    <w:rsid w:val="004219B0"/>
    <w:rsid w:val="00421B59"/>
    <w:rsid w:val="00421EA7"/>
    <w:rsid w:val="00422545"/>
    <w:rsid w:val="004226E0"/>
    <w:rsid w:val="00422752"/>
    <w:rsid w:val="00422B0C"/>
    <w:rsid w:val="00422CD1"/>
    <w:rsid w:val="00422D28"/>
    <w:rsid w:val="004236A8"/>
    <w:rsid w:val="004239F6"/>
    <w:rsid w:val="00423C4E"/>
    <w:rsid w:val="00423DF6"/>
    <w:rsid w:val="00423EC8"/>
    <w:rsid w:val="0042428F"/>
    <w:rsid w:val="00424634"/>
    <w:rsid w:val="004250D8"/>
    <w:rsid w:val="0042541A"/>
    <w:rsid w:val="004254CB"/>
    <w:rsid w:val="004259E2"/>
    <w:rsid w:val="00425FB1"/>
    <w:rsid w:val="00426165"/>
    <w:rsid w:val="0042654B"/>
    <w:rsid w:val="004269CA"/>
    <w:rsid w:val="00426AC4"/>
    <w:rsid w:val="00426D1C"/>
    <w:rsid w:val="00426E70"/>
    <w:rsid w:val="00427509"/>
    <w:rsid w:val="004279C2"/>
    <w:rsid w:val="00427A4A"/>
    <w:rsid w:val="004300C8"/>
    <w:rsid w:val="00430650"/>
    <w:rsid w:val="00430A90"/>
    <w:rsid w:val="004318E7"/>
    <w:rsid w:val="00431A3B"/>
    <w:rsid w:val="00431DC9"/>
    <w:rsid w:val="004323C6"/>
    <w:rsid w:val="0043258F"/>
    <w:rsid w:val="00432602"/>
    <w:rsid w:val="00432816"/>
    <w:rsid w:val="004328A8"/>
    <w:rsid w:val="00432DEA"/>
    <w:rsid w:val="0043338F"/>
    <w:rsid w:val="004333F8"/>
    <w:rsid w:val="004337E4"/>
    <w:rsid w:val="004337F0"/>
    <w:rsid w:val="0043399D"/>
    <w:rsid w:val="00433B9B"/>
    <w:rsid w:val="00433FD9"/>
    <w:rsid w:val="0043453E"/>
    <w:rsid w:val="004345D5"/>
    <w:rsid w:val="00434DE1"/>
    <w:rsid w:val="00434FB7"/>
    <w:rsid w:val="00435553"/>
    <w:rsid w:val="00435C78"/>
    <w:rsid w:val="00436400"/>
    <w:rsid w:val="004378B3"/>
    <w:rsid w:val="00437958"/>
    <w:rsid w:val="00440786"/>
    <w:rsid w:val="004407B2"/>
    <w:rsid w:val="004408BD"/>
    <w:rsid w:val="00440D49"/>
    <w:rsid w:val="00441125"/>
    <w:rsid w:val="00441A8C"/>
    <w:rsid w:val="00441C05"/>
    <w:rsid w:val="00441C82"/>
    <w:rsid w:val="00442344"/>
    <w:rsid w:val="00442483"/>
    <w:rsid w:val="004425FA"/>
    <w:rsid w:val="00443966"/>
    <w:rsid w:val="00443B39"/>
    <w:rsid w:val="00443CF5"/>
    <w:rsid w:val="004442A0"/>
    <w:rsid w:val="004449A2"/>
    <w:rsid w:val="00445009"/>
    <w:rsid w:val="0044564D"/>
    <w:rsid w:val="00445973"/>
    <w:rsid w:val="00445A76"/>
    <w:rsid w:val="00445DF3"/>
    <w:rsid w:val="00445E0C"/>
    <w:rsid w:val="00446085"/>
    <w:rsid w:val="004462F0"/>
    <w:rsid w:val="0044654D"/>
    <w:rsid w:val="0044672C"/>
    <w:rsid w:val="00446834"/>
    <w:rsid w:val="00446E91"/>
    <w:rsid w:val="00446F74"/>
    <w:rsid w:val="004474F8"/>
    <w:rsid w:val="00447922"/>
    <w:rsid w:val="004479A4"/>
    <w:rsid w:val="004479AF"/>
    <w:rsid w:val="004502E7"/>
    <w:rsid w:val="0045050A"/>
    <w:rsid w:val="00450528"/>
    <w:rsid w:val="00450A50"/>
    <w:rsid w:val="0045101C"/>
    <w:rsid w:val="00451469"/>
    <w:rsid w:val="004519F8"/>
    <w:rsid w:val="00452085"/>
    <w:rsid w:val="00452461"/>
    <w:rsid w:val="004529F4"/>
    <w:rsid w:val="00452CCF"/>
    <w:rsid w:val="004532D7"/>
    <w:rsid w:val="004533EA"/>
    <w:rsid w:val="0045365B"/>
    <w:rsid w:val="004537FA"/>
    <w:rsid w:val="00453BEE"/>
    <w:rsid w:val="00454A42"/>
    <w:rsid w:val="00455E1A"/>
    <w:rsid w:val="0045629D"/>
    <w:rsid w:val="00456344"/>
    <w:rsid w:val="0045671B"/>
    <w:rsid w:val="00456969"/>
    <w:rsid w:val="00456E50"/>
    <w:rsid w:val="00457612"/>
    <w:rsid w:val="00457AD3"/>
    <w:rsid w:val="00460860"/>
    <w:rsid w:val="00460A20"/>
    <w:rsid w:val="00460D69"/>
    <w:rsid w:val="004610E9"/>
    <w:rsid w:val="0046111E"/>
    <w:rsid w:val="00461308"/>
    <w:rsid w:val="00461326"/>
    <w:rsid w:val="00461893"/>
    <w:rsid w:val="00461F2A"/>
    <w:rsid w:val="00461F8B"/>
    <w:rsid w:val="0046266B"/>
    <w:rsid w:val="00462B0A"/>
    <w:rsid w:val="0046340E"/>
    <w:rsid w:val="004645B5"/>
    <w:rsid w:val="004645BE"/>
    <w:rsid w:val="00464C91"/>
    <w:rsid w:val="00464E7A"/>
    <w:rsid w:val="00464FFC"/>
    <w:rsid w:val="0046527B"/>
    <w:rsid w:val="00465D91"/>
    <w:rsid w:val="0046630C"/>
    <w:rsid w:val="00466B86"/>
    <w:rsid w:val="00466C21"/>
    <w:rsid w:val="00466D73"/>
    <w:rsid w:val="004672FB"/>
    <w:rsid w:val="00467A8C"/>
    <w:rsid w:val="00467BCD"/>
    <w:rsid w:val="004707A9"/>
    <w:rsid w:val="00471353"/>
    <w:rsid w:val="004713A8"/>
    <w:rsid w:val="0047153F"/>
    <w:rsid w:val="00471727"/>
    <w:rsid w:val="0047180E"/>
    <w:rsid w:val="004718F8"/>
    <w:rsid w:val="00471959"/>
    <w:rsid w:val="00471D30"/>
    <w:rsid w:val="00471FF3"/>
    <w:rsid w:val="00472C38"/>
    <w:rsid w:val="00472EB7"/>
    <w:rsid w:val="00473008"/>
    <w:rsid w:val="004731B8"/>
    <w:rsid w:val="00473353"/>
    <w:rsid w:val="00473431"/>
    <w:rsid w:val="00473596"/>
    <w:rsid w:val="00473617"/>
    <w:rsid w:val="00473CC9"/>
    <w:rsid w:val="00473F85"/>
    <w:rsid w:val="0047431E"/>
    <w:rsid w:val="00474381"/>
    <w:rsid w:val="004743DE"/>
    <w:rsid w:val="00474545"/>
    <w:rsid w:val="00474858"/>
    <w:rsid w:val="00474CBA"/>
    <w:rsid w:val="0047541B"/>
    <w:rsid w:val="004757C0"/>
    <w:rsid w:val="00475823"/>
    <w:rsid w:val="00475FE0"/>
    <w:rsid w:val="004760FF"/>
    <w:rsid w:val="0047617F"/>
    <w:rsid w:val="00476915"/>
    <w:rsid w:val="00477472"/>
    <w:rsid w:val="00477595"/>
    <w:rsid w:val="004800C2"/>
    <w:rsid w:val="0048042B"/>
    <w:rsid w:val="00480828"/>
    <w:rsid w:val="0048082C"/>
    <w:rsid w:val="004808DE"/>
    <w:rsid w:val="00481155"/>
    <w:rsid w:val="00481E5E"/>
    <w:rsid w:val="00481EDD"/>
    <w:rsid w:val="004821C2"/>
    <w:rsid w:val="00482642"/>
    <w:rsid w:val="00482EFA"/>
    <w:rsid w:val="004832D9"/>
    <w:rsid w:val="0048357A"/>
    <w:rsid w:val="00483B19"/>
    <w:rsid w:val="00483DE5"/>
    <w:rsid w:val="00483E29"/>
    <w:rsid w:val="00483F76"/>
    <w:rsid w:val="00484746"/>
    <w:rsid w:val="0048477B"/>
    <w:rsid w:val="00484ECA"/>
    <w:rsid w:val="00484F35"/>
    <w:rsid w:val="00485139"/>
    <w:rsid w:val="004852EB"/>
    <w:rsid w:val="004854D4"/>
    <w:rsid w:val="004857EA"/>
    <w:rsid w:val="0048581E"/>
    <w:rsid w:val="00485832"/>
    <w:rsid w:val="004858D1"/>
    <w:rsid w:val="00485CB0"/>
    <w:rsid w:val="004860AE"/>
    <w:rsid w:val="0048662D"/>
    <w:rsid w:val="00486729"/>
    <w:rsid w:val="0048692D"/>
    <w:rsid w:val="00486DBD"/>
    <w:rsid w:val="0048739B"/>
    <w:rsid w:val="0048739F"/>
    <w:rsid w:val="00490589"/>
    <w:rsid w:val="004909A1"/>
    <w:rsid w:val="004913FE"/>
    <w:rsid w:val="0049176E"/>
    <w:rsid w:val="004918D7"/>
    <w:rsid w:val="004921C4"/>
    <w:rsid w:val="0049385E"/>
    <w:rsid w:val="00493A1E"/>
    <w:rsid w:val="00493C80"/>
    <w:rsid w:val="00494029"/>
    <w:rsid w:val="00494813"/>
    <w:rsid w:val="00495722"/>
    <w:rsid w:val="004959E1"/>
    <w:rsid w:val="00495BAC"/>
    <w:rsid w:val="004960F5"/>
    <w:rsid w:val="0049624D"/>
    <w:rsid w:val="00496BC1"/>
    <w:rsid w:val="00496DDF"/>
    <w:rsid w:val="004970DB"/>
    <w:rsid w:val="004970DC"/>
    <w:rsid w:val="00497EB1"/>
    <w:rsid w:val="004A0066"/>
    <w:rsid w:val="004A1FAE"/>
    <w:rsid w:val="004A26E0"/>
    <w:rsid w:val="004A285F"/>
    <w:rsid w:val="004A30D9"/>
    <w:rsid w:val="004A3226"/>
    <w:rsid w:val="004A3DFF"/>
    <w:rsid w:val="004A3E8A"/>
    <w:rsid w:val="004A43F5"/>
    <w:rsid w:val="004A46AC"/>
    <w:rsid w:val="004A4896"/>
    <w:rsid w:val="004A4973"/>
    <w:rsid w:val="004A49A0"/>
    <w:rsid w:val="004A50B6"/>
    <w:rsid w:val="004A59DE"/>
    <w:rsid w:val="004A5E7D"/>
    <w:rsid w:val="004A6623"/>
    <w:rsid w:val="004A67AB"/>
    <w:rsid w:val="004A6802"/>
    <w:rsid w:val="004A6EE8"/>
    <w:rsid w:val="004A71EC"/>
    <w:rsid w:val="004A74C6"/>
    <w:rsid w:val="004A7E65"/>
    <w:rsid w:val="004B00CD"/>
    <w:rsid w:val="004B05FC"/>
    <w:rsid w:val="004B0AEE"/>
    <w:rsid w:val="004B0CD5"/>
    <w:rsid w:val="004B0CDF"/>
    <w:rsid w:val="004B0F30"/>
    <w:rsid w:val="004B10D9"/>
    <w:rsid w:val="004B195F"/>
    <w:rsid w:val="004B19DD"/>
    <w:rsid w:val="004B19FB"/>
    <w:rsid w:val="004B1C4D"/>
    <w:rsid w:val="004B25F6"/>
    <w:rsid w:val="004B287C"/>
    <w:rsid w:val="004B2D34"/>
    <w:rsid w:val="004B2E84"/>
    <w:rsid w:val="004B3A33"/>
    <w:rsid w:val="004B3F14"/>
    <w:rsid w:val="004B3F63"/>
    <w:rsid w:val="004B41DF"/>
    <w:rsid w:val="004B41F5"/>
    <w:rsid w:val="004B47B4"/>
    <w:rsid w:val="004B4921"/>
    <w:rsid w:val="004B4ED7"/>
    <w:rsid w:val="004B5048"/>
    <w:rsid w:val="004B5834"/>
    <w:rsid w:val="004B596A"/>
    <w:rsid w:val="004B5BD1"/>
    <w:rsid w:val="004B5C0F"/>
    <w:rsid w:val="004B5DD7"/>
    <w:rsid w:val="004B6191"/>
    <w:rsid w:val="004B717B"/>
    <w:rsid w:val="004B723D"/>
    <w:rsid w:val="004B729C"/>
    <w:rsid w:val="004B75E0"/>
    <w:rsid w:val="004B7968"/>
    <w:rsid w:val="004C06E9"/>
    <w:rsid w:val="004C0766"/>
    <w:rsid w:val="004C098C"/>
    <w:rsid w:val="004C0EF0"/>
    <w:rsid w:val="004C13F7"/>
    <w:rsid w:val="004C1F31"/>
    <w:rsid w:val="004C21CC"/>
    <w:rsid w:val="004C2E8C"/>
    <w:rsid w:val="004C3F58"/>
    <w:rsid w:val="004C4383"/>
    <w:rsid w:val="004C45B7"/>
    <w:rsid w:val="004C47A3"/>
    <w:rsid w:val="004C5078"/>
    <w:rsid w:val="004C5447"/>
    <w:rsid w:val="004C5AD5"/>
    <w:rsid w:val="004C5FF5"/>
    <w:rsid w:val="004C6058"/>
    <w:rsid w:val="004C60A9"/>
    <w:rsid w:val="004C61C6"/>
    <w:rsid w:val="004C64BB"/>
    <w:rsid w:val="004C683D"/>
    <w:rsid w:val="004C6C95"/>
    <w:rsid w:val="004C6EED"/>
    <w:rsid w:val="004C704B"/>
    <w:rsid w:val="004C71B7"/>
    <w:rsid w:val="004C72AE"/>
    <w:rsid w:val="004C73F1"/>
    <w:rsid w:val="004C762D"/>
    <w:rsid w:val="004C76C4"/>
    <w:rsid w:val="004C7E06"/>
    <w:rsid w:val="004C7F19"/>
    <w:rsid w:val="004D038A"/>
    <w:rsid w:val="004D07CD"/>
    <w:rsid w:val="004D0CFF"/>
    <w:rsid w:val="004D101F"/>
    <w:rsid w:val="004D113B"/>
    <w:rsid w:val="004D13EE"/>
    <w:rsid w:val="004D1AD5"/>
    <w:rsid w:val="004D1B24"/>
    <w:rsid w:val="004D1E96"/>
    <w:rsid w:val="004D2045"/>
    <w:rsid w:val="004D2855"/>
    <w:rsid w:val="004D2BAE"/>
    <w:rsid w:val="004D3300"/>
    <w:rsid w:val="004D36D2"/>
    <w:rsid w:val="004D3965"/>
    <w:rsid w:val="004D3A1C"/>
    <w:rsid w:val="004D3D4B"/>
    <w:rsid w:val="004D3E47"/>
    <w:rsid w:val="004D3F1C"/>
    <w:rsid w:val="004D440D"/>
    <w:rsid w:val="004D460E"/>
    <w:rsid w:val="004D4F8B"/>
    <w:rsid w:val="004D5238"/>
    <w:rsid w:val="004D54F8"/>
    <w:rsid w:val="004D5589"/>
    <w:rsid w:val="004D561D"/>
    <w:rsid w:val="004D56AA"/>
    <w:rsid w:val="004D6118"/>
    <w:rsid w:val="004D6498"/>
    <w:rsid w:val="004D7779"/>
    <w:rsid w:val="004D7A8C"/>
    <w:rsid w:val="004D7BE9"/>
    <w:rsid w:val="004E0042"/>
    <w:rsid w:val="004E041F"/>
    <w:rsid w:val="004E0476"/>
    <w:rsid w:val="004E0AF9"/>
    <w:rsid w:val="004E0E6D"/>
    <w:rsid w:val="004E0FC2"/>
    <w:rsid w:val="004E136C"/>
    <w:rsid w:val="004E138D"/>
    <w:rsid w:val="004E1694"/>
    <w:rsid w:val="004E1A86"/>
    <w:rsid w:val="004E1FF5"/>
    <w:rsid w:val="004E20E1"/>
    <w:rsid w:val="004E2853"/>
    <w:rsid w:val="004E3C01"/>
    <w:rsid w:val="004E3C71"/>
    <w:rsid w:val="004E3D35"/>
    <w:rsid w:val="004E43BE"/>
    <w:rsid w:val="004E4416"/>
    <w:rsid w:val="004E47BA"/>
    <w:rsid w:val="004E47ED"/>
    <w:rsid w:val="004E4A38"/>
    <w:rsid w:val="004E5006"/>
    <w:rsid w:val="004E5369"/>
    <w:rsid w:val="004E53A4"/>
    <w:rsid w:val="004E5838"/>
    <w:rsid w:val="004E5BC2"/>
    <w:rsid w:val="004E5BFC"/>
    <w:rsid w:val="004E5C0A"/>
    <w:rsid w:val="004E5D24"/>
    <w:rsid w:val="004E5E3B"/>
    <w:rsid w:val="004E5E98"/>
    <w:rsid w:val="004E64F3"/>
    <w:rsid w:val="004E6704"/>
    <w:rsid w:val="004E6C4A"/>
    <w:rsid w:val="004E6E35"/>
    <w:rsid w:val="004E6EAC"/>
    <w:rsid w:val="004E6FE1"/>
    <w:rsid w:val="004E703B"/>
    <w:rsid w:val="004E73A8"/>
    <w:rsid w:val="004E76A4"/>
    <w:rsid w:val="004E7C85"/>
    <w:rsid w:val="004F0657"/>
    <w:rsid w:val="004F0988"/>
    <w:rsid w:val="004F0C34"/>
    <w:rsid w:val="004F1469"/>
    <w:rsid w:val="004F24C0"/>
    <w:rsid w:val="004F2953"/>
    <w:rsid w:val="004F2CEA"/>
    <w:rsid w:val="004F30EB"/>
    <w:rsid w:val="004F3227"/>
    <w:rsid w:val="004F3296"/>
    <w:rsid w:val="004F381C"/>
    <w:rsid w:val="004F3C9F"/>
    <w:rsid w:val="004F3CAB"/>
    <w:rsid w:val="004F3F46"/>
    <w:rsid w:val="004F404D"/>
    <w:rsid w:val="004F4DE2"/>
    <w:rsid w:val="004F4EDB"/>
    <w:rsid w:val="004F585B"/>
    <w:rsid w:val="004F5AB7"/>
    <w:rsid w:val="004F5BF0"/>
    <w:rsid w:val="004F5F0D"/>
    <w:rsid w:val="004F5FC7"/>
    <w:rsid w:val="004F64C2"/>
    <w:rsid w:val="004F64ED"/>
    <w:rsid w:val="004F6644"/>
    <w:rsid w:val="004F6C7A"/>
    <w:rsid w:val="004F703F"/>
    <w:rsid w:val="004F7174"/>
    <w:rsid w:val="004F7530"/>
    <w:rsid w:val="004F7BA8"/>
    <w:rsid w:val="004F7CCD"/>
    <w:rsid w:val="005009AF"/>
    <w:rsid w:val="005016BD"/>
    <w:rsid w:val="00501E0D"/>
    <w:rsid w:val="005020E5"/>
    <w:rsid w:val="00502232"/>
    <w:rsid w:val="0050266A"/>
    <w:rsid w:val="005026E3"/>
    <w:rsid w:val="00502800"/>
    <w:rsid w:val="00502C21"/>
    <w:rsid w:val="00502CE5"/>
    <w:rsid w:val="00502D19"/>
    <w:rsid w:val="0050351D"/>
    <w:rsid w:val="00503B1A"/>
    <w:rsid w:val="00503E4D"/>
    <w:rsid w:val="005043FD"/>
    <w:rsid w:val="0050480C"/>
    <w:rsid w:val="00505206"/>
    <w:rsid w:val="005054AD"/>
    <w:rsid w:val="00505DD5"/>
    <w:rsid w:val="00505E80"/>
    <w:rsid w:val="0050635E"/>
    <w:rsid w:val="005064F7"/>
    <w:rsid w:val="005065F1"/>
    <w:rsid w:val="00506A0A"/>
    <w:rsid w:val="00506AFC"/>
    <w:rsid w:val="00506C39"/>
    <w:rsid w:val="00506DDD"/>
    <w:rsid w:val="00507C18"/>
    <w:rsid w:val="0051097A"/>
    <w:rsid w:val="00510B76"/>
    <w:rsid w:val="00510C34"/>
    <w:rsid w:val="00510C80"/>
    <w:rsid w:val="005110F0"/>
    <w:rsid w:val="005114BC"/>
    <w:rsid w:val="005116D5"/>
    <w:rsid w:val="00511CA4"/>
    <w:rsid w:val="00511F18"/>
    <w:rsid w:val="005121E3"/>
    <w:rsid w:val="0051229D"/>
    <w:rsid w:val="00512605"/>
    <w:rsid w:val="00512666"/>
    <w:rsid w:val="00512715"/>
    <w:rsid w:val="005128A2"/>
    <w:rsid w:val="00512B04"/>
    <w:rsid w:val="00513A11"/>
    <w:rsid w:val="0051426B"/>
    <w:rsid w:val="0051448B"/>
    <w:rsid w:val="00514901"/>
    <w:rsid w:val="00514ABC"/>
    <w:rsid w:val="00514D4D"/>
    <w:rsid w:val="00514E96"/>
    <w:rsid w:val="00514EF4"/>
    <w:rsid w:val="0051505B"/>
    <w:rsid w:val="00515BB9"/>
    <w:rsid w:val="00515C6F"/>
    <w:rsid w:val="0051656F"/>
    <w:rsid w:val="00516799"/>
    <w:rsid w:val="005171E3"/>
    <w:rsid w:val="005173D2"/>
    <w:rsid w:val="005174D1"/>
    <w:rsid w:val="005179C9"/>
    <w:rsid w:val="00517FA0"/>
    <w:rsid w:val="00517FC4"/>
    <w:rsid w:val="00520076"/>
    <w:rsid w:val="00520B31"/>
    <w:rsid w:val="00521475"/>
    <w:rsid w:val="005220B2"/>
    <w:rsid w:val="005220F8"/>
    <w:rsid w:val="005221BC"/>
    <w:rsid w:val="0052220F"/>
    <w:rsid w:val="005228E8"/>
    <w:rsid w:val="005229F9"/>
    <w:rsid w:val="00522A46"/>
    <w:rsid w:val="00522D29"/>
    <w:rsid w:val="00522E69"/>
    <w:rsid w:val="00522E81"/>
    <w:rsid w:val="00522F45"/>
    <w:rsid w:val="0052386F"/>
    <w:rsid w:val="00523B2D"/>
    <w:rsid w:val="005243F4"/>
    <w:rsid w:val="00524545"/>
    <w:rsid w:val="00524928"/>
    <w:rsid w:val="005249F9"/>
    <w:rsid w:val="00524A73"/>
    <w:rsid w:val="00524DAF"/>
    <w:rsid w:val="00524FA6"/>
    <w:rsid w:val="0052500E"/>
    <w:rsid w:val="0052509D"/>
    <w:rsid w:val="0052529B"/>
    <w:rsid w:val="00525395"/>
    <w:rsid w:val="0052549C"/>
    <w:rsid w:val="005258BD"/>
    <w:rsid w:val="0052591F"/>
    <w:rsid w:val="00525A5F"/>
    <w:rsid w:val="00526286"/>
    <w:rsid w:val="0052692F"/>
    <w:rsid w:val="005269B3"/>
    <w:rsid w:val="005269B7"/>
    <w:rsid w:val="00526BB8"/>
    <w:rsid w:val="00526E68"/>
    <w:rsid w:val="0052717D"/>
    <w:rsid w:val="00527221"/>
    <w:rsid w:val="0052735B"/>
    <w:rsid w:val="00527382"/>
    <w:rsid w:val="005273C1"/>
    <w:rsid w:val="00527B79"/>
    <w:rsid w:val="00527BF9"/>
    <w:rsid w:val="00527D66"/>
    <w:rsid w:val="00527EC6"/>
    <w:rsid w:val="00527EE6"/>
    <w:rsid w:val="00527F03"/>
    <w:rsid w:val="00527F13"/>
    <w:rsid w:val="00527F5A"/>
    <w:rsid w:val="00530285"/>
    <w:rsid w:val="00530915"/>
    <w:rsid w:val="00530D4B"/>
    <w:rsid w:val="00530E44"/>
    <w:rsid w:val="0053176B"/>
    <w:rsid w:val="00531AC9"/>
    <w:rsid w:val="00531B91"/>
    <w:rsid w:val="00531FB4"/>
    <w:rsid w:val="00532390"/>
    <w:rsid w:val="0053257C"/>
    <w:rsid w:val="0053285C"/>
    <w:rsid w:val="00532936"/>
    <w:rsid w:val="00532B4A"/>
    <w:rsid w:val="005333B8"/>
    <w:rsid w:val="00533A58"/>
    <w:rsid w:val="00533B71"/>
    <w:rsid w:val="00534978"/>
    <w:rsid w:val="005349B2"/>
    <w:rsid w:val="00534A88"/>
    <w:rsid w:val="00534D4A"/>
    <w:rsid w:val="0053534C"/>
    <w:rsid w:val="00535473"/>
    <w:rsid w:val="005357BA"/>
    <w:rsid w:val="00536950"/>
    <w:rsid w:val="005369BF"/>
    <w:rsid w:val="00536A82"/>
    <w:rsid w:val="00536E00"/>
    <w:rsid w:val="005371F7"/>
    <w:rsid w:val="005377F2"/>
    <w:rsid w:val="005378C7"/>
    <w:rsid w:val="00537E80"/>
    <w:rsid w:val="005405BF"/>
    <w:rsid w:val="00540610"/>
    <w:rsid w:val="0054082A"/>
    <w:rsid w:val="00540B98"/>
    <w:rsid w:val="00540E9D"/>
    <w:rsid w:val="005412D8"/>
    <w:rsid w:val="00541B1F"/>
    <w:rsid w:val="0054244D"/>
    <w:rsid w:val="00542950"/>
    <w:rsid w:val="00542A89"/>
    <w:rsid w:val="005431B3"/>
    <w:rsid w:val="00543460"/>
    <w:rsid w:val="0054354F"/>
    <w:rsid w:val="00543619"/>
    <w:rsid w:val="00543624"/>
    <w:rsid w:val="00543CB5"/>
    <w:rsid w:val="00544273"/>
    <w:rsid w:val="0054431B"/>
    <w:rsid w:val="005445E9"/>
    <w:rsid w:val="00544750"/>
    <w:rsid w:val="00544DA9"/>
    <w:rsid w:val="00545091"/>
    <w:rsid w:val="00545CC1"/>
    <w:rsid w:val="00545E71"/>
    <w:rsid w:val="005463BF"/>
    <w:rsid w:val="0054678C"/>
    <w:rsid w:val="00546B5E"/>
    <w:rsid w:val="005472AF"/>
    <w:rsid w:val="005472FC"/>
    <w:rsid w:val="0054734B"/>
    <w:rsid w:val="005478C9"/>
    <w:rsid w:val="005478D9"/>
    <w:rsid w:val="0054793A"/>
    <w:rsid w:val="00547A0D"/>
    <w:rsid w:val="0055034E"/>
    <w:rsid w:val="00550CED"/>
    <w:rsid w:val="005514B5"/>
    <w:rsid w:val="00551580"/>
    <w:rsid w:val="00551649"/>
    <w:rsid w:val="00552016"/>
    <w:rsid w:val="00552C81"/>
    <w:rsid w:val="00552EDD"/>
    <w:rsid w:val="005533D8"/>
    <w:rsid w:val="005535E3"/>
    <w:rsid w:val="00554026"/>
    <w:rsid w:val="00554A38"/>
    <w:rsid w:val="00555051"/>
    <w:rsid w:val="0055519F"/>
    <w:rsid w:val="005551EE"/>
    <w:rsid w:val="00555A1F"/>
    <w:rsid w:val="00556047"/>
    <w:rsid w:val="005561EB"/>
    <w:rsid w:val="00556303"/>
    <w:rsid w:val="00556858"/>
    <w:rsid w:val="00556E36"/>
    <w:rsid w:val="0055773F"/>
    <w:rsid w:val="00557D18"/>
    <w:rsid w:val="00560485"/>
    <w:rsid w:val="00560568"/>
    <w:rsid w:val="00560595"/>
    <w:rsid w:val="00560606"/>
    <w:rsid w:val="00560701"/>
    <w:rsid w:val="00560DE6"/>
    <w:rsid w:val="00560E4B"/>
    <w:rsid w:val="00561378"/>
    <w:rsid w:val="00561947"/>
    <w:rsid w:val="00561AAB"/>
    <w:rsid w:val="00561B8A"/>
    <w:rsid w:val="00561E71"/>
    <w:rsid w:val="00561E93"/>
    <w:rsid w:val="00562528"/>
    <w:rsid w:val="00562E55"/>
    <w:rsid w:val="00563351"/>
    <w:rsid w:val="00563446"/>
    <w:rsid w:val="0056352B"/>
    <w:rsid w:val="00563A7E"/>
    <w:rsid w:val="00564ACF"/>
    <w:rsid w:val="00564DB8"/>
    <w:rsid w:val="00564E67"/>
    <w:rsid w:val="00565175"/>
    <w:rsid w:val="00565312"/>
    <w:rsid w:val="005654F4"/>
    <w:rsid w:val="00566293"/>
    <w:rsid w:val="00566E31"/>
    <w:rsid w:val="00566FCB"/>
    <w:rsid w:val="00567342"/>
    <w:rsid w:val="00567504"/>
    <w:rsid w:val="0056773E"/>
    <w:rsid w:val="00567871"/>
    <w:rsid w:val="00567C87"/>
    <w:rsid w:val="00567DA6"/>
    <w:rsid w:val="00570A0C"/>
    <w:rsid w:val="005711BE"/>
    <w:rsid w:val="005714EE"/>
    <w:rsid w:val="005715D5"/>
    <w:rsid w:val="00571D58"/>
    <w:rsid w:val="00571E3C"/>
    <w:rsid w:val="00572248"/>
    <w:rsid w:val="00572585"/>
    <w:rsid w:val="0057263C"/>
    <w:rsid w:val="00572AE3"/>
    <w:rsid w:val="00572C0C"/>
    <w:rsid w:val="00572CA4"/>
    <w:rsid w:val="0057326B"/>
    <w:rsid w:val="005740EE"/>
    <w:rsid w:val="00574163"/>
    <w:rsid w:val="00574271"/>
    <w:rsid w:val="0057430B"/>
    <w:rsid w:val="0057439C"/>
    <w:rsid w:val="0057449A"/>
    <w:rsid w:val="005746D6"/>
    <w:rsid w:val="00574990"/>
    <w:rsid w:val="00574995"/>
    <w:rsid w:val="00574EA9"/>
    <w:rsid w:val="0057537A"/>
    <w:rsid w:val="00575954"/>
    <w:rsid w:val="00575A4C"/>
    <w:rsid w:val="00575AC1"/>
    <w:rsid w:val="0057611F"/>
    <w:rsid w:val="0057634F"/>
    <w:rsid w:val="0057694D"/>
    <w:rsid w:val="00576CB9"/>
    <w:rsid w:val="00577651"/>
    <w:rsid w:val="00577653"/>
    <w:rsid w:val="005777E9"/>
    <w:rsid w:val="0058012D"/>
    <w:rsid w:val="005807EC"/>
    <w:rsid w:val="00580D0D"/>
    <w:rsid w:val="00581454"/>
    <w:rsid w:val="00581830"/>
    <w:rsid w:val="00581F99"/>
    <w:rsid w:val="0058216F"/>
    <w:rsid w:val="005821CB"/>
    <w:rsid w:val="00583180"/>
    <w:rsid w:val="00583231"/>
    <w:rsid w:val="005835DE"/>
    <w:rsid w:val="00583697"/>
    <w:rsid w:val="00583744"/>
    <w:rsid w:val="00584341"/>
    <w:rsid w:val="00584FB8"/>
    <w:rsid w:val="00585561"/>
    <w:rsid w:val="005859F0"/>
    <w:rsid w:val="00585B61"/>
    <w:rsid w:val="00586FD6"/>
    <w:rsid w:val="005870BD"/>
    <w:rsid w:val="005870E7"/>
    <w:rsid w:val="005871EA"/>
    <w:rsid w:val="0058758F"/>
    <w:rsid w:val="00587CE9"/>
    <w:rsid w:val="00587EAB"/>
    <w:rsid w:val="005902AE"/>
    <w:rsid w:val="005906DD"/>
    <w:rsid w:val="00590BB9"/>
    <w:rsid w:val="00590BBB"/>
    <w:rsid w:val="00590C87"/>
    <w:rsid w:val="00590DF3"/>
    <w:rsid w:val="00590FB6"/>
    <w:rsid w:val="00591908"/>
    <w:rsid w:val="00591F55"/>
    <w:rsid w:val="00592028"/>
    <w:rsid w:val="00592036"/>
    <w:rsid w:val="0059261F"/>
    <w:rsid w:val="00592980"/>
    <w:rsid w:val="00592BAD"/>
    <w:rsid w:val="00593096"/>
    <w:rsid w:val="00593208"/>
    <w:rsid w:val="0059365F"/>
    <w:rsid w:val="00593EA3"/>
    <w:rsid w:val="00594872"/>
    <w:rsid w:val="00594A0E"/>
    <w:rsid w:val="00595E09"/>
    <w:rsid w:val="005963F7"/>
    <w:rsid w:val="005969DB"/>
    <w:rsid w:val="00596E02"/>
    <w:rsid w:val="005975A2"/>
    <w:rsid w:val="00597628"/>
    <w:rsid w:val="005977B2"/>
    <w:rsid w:val="005977CF"/>
    <w:rsid w:val="005A01F7"/>
    <w:rsid w:val="005A036C"/>
    <w:rsid w:val="005A074A"/>
    <w:rsid w:val="005A08D2"/>
    <w:rsid w:val="005A0A05"/>
    <w:rsid w:val="005A0AA4"/>
    <w:rsid w:val="005A0F8E"/>
    <w:rsid w:val="005A11EF"/>
    <w:rsid w:val="005A179D"/>
    <w:rsid w:val="005A1CD6"/>
    <w:rsid w:val="005A29A0"/>
    <w:rsid w:val="005A2BFC"/>
    <w:rsid w:val="005A3C81"/>
    <w:rsid w:val="005A3E3C"/>
    <w:rsid w:val="005A4225"/>
    <w:rsid w:val="005A4E9A"/>
    <w:rsid w:val="005A50EF"/>
    <w:rsid w:val="005A514A"/>
    <w:rsid w:val="005A5197"/>
    <w:rsid w:val="005A5C5C"/>
    <w:rsid w:val="005A6612"/>
    <w:rsid w:val="005A670B"/>
    <w:rsid w:val="005A6716"/>
    <w:rsid w:val="005A67AD"/>
    <w:rsid w:val="005A6895"/>
    <w:rsid w:val="005A6C56"/>
    <w:rsid w:val="005A75E6"/>
    <w:rsid w:val="005A7732"/>
    <w:rsid w:val="005A7A7A"/>
    <w:rsid w:val="005A7B96"/>
    <w:rsid w:val="005B071D"/>
    <w:rsid w:val="005B0C6C"/>
    <w:rsid w:val="005B0D46"/>
    <w:rsid w:val="005B0F94"/>
    <w:rsid w:val="005B1816"/>
    <w:rsid w:val="005B1882"/>
    <w:rsid w:val="005B1962"/>
    <w:rsid w:val="005B1AE1"/>
    <w:rsid w:val="005B1C11"/>
    <w:rsid w:val="005B1F35"/>
    <w:rsid w:val="005B1F6E"/>
    <w:rsid w:val="005B2046"/>
    <w:rsid w:val="005B2077"/>
    <w:rsid w:val="005B217E"/>
    <w:rsid w:val="005B24D5"/>
    <w:rsid w:val="005B2597"/>
    <w:rsid w:val="005B2892"/>
    <w:rsid w:val="005B2B9F"/>
    <w:rsid w:val="005B313E"/>
    <w:rsid w:val="005B328B"/>
    <w:rsid w:val="005B35BA"/>
    <w:rsid w:val="005B3B75"/>
    <w:rsid w:val="005B3C70"/>
    <w:rsid w:val="005B3D81"/>
    <w:rsid w:val="005B441D"/>
    <w:rsid w:val="005B4D2B"/>
    <w:rsid w:val="005B4FC7"/>
    <w:rsid w:val="005B5013"/>
    <w:rsid w:val="005B532B"/>
    <w:rsid w:val="005B5750"/>
    <w:rsid w:val="005B5A36"/>
    <w:rsid w:val="005B5A37"/>
    <w:rsid w:val="005B5A71"/>
    <w:rsid w:val="005B5C3F"/>
    <w:rsid w:val="005B5CC8"/>
    <w:rsid w:val="005B5F01"/>
    <w:rsid w:val="005B5FDA"/>
    <w:rsid w:val="005B6291"/>
    <w:rsid w:val="005B6425"/>
    <w:rsid w:val="005B65F0"/>
    <w:rsid w:val="005B6AB5"/>
    <w:rsid w:val="005B76F2"/>
    <w:rsid w:val="005B7A0E"/>
    <w:rsid w:val="005B7B3B"/>
    <w:rsid w:val="005B7B41"/>
    <w:rsid w:val="005B7C60"/>
    <w:rsid w:val="005C03E7"/>
    <w:rsid w:val="005C0C13"/>
    <w:rsid w:val="005C109F"/>
    <w:rsid w:val="005C11E3"/>
    <w:rsid w:val="005C14D2"/>
    <w:rsid w:val="005C1602"/>
    <w:rsid w:val="005C1722"/>
    <w:rsid w:val="005C1921"/>
    <w:rsid w:val="005C197B"/>
    <w:rsid w:val="005C1AC2"/>
    <w:rsid w:val="005C1C12"/>
    <w:rsid w:val="005C1DED"/>
    <w:rsid w:val="005C2766"/>
    <w:rsid w:val="005C29DE"/>
    <w:rsid w:val="005C2CDA"/>
    <w:rsid w:val="005C2EC1"/>
    <w:rsid w:val="005C306B"/>
    <w:rsid w:val="005C32C4"/>
    <w:rsid w:val="005C3887"/>
    <w:rsid w:val="005C38AE"/>
    <w:rsid w:val="005C42B0"/>
    <w:rsid w:val="005C4420"/>
    <w:rsid w:val="005C4608"/>
    <w:rsid w:val="005C4614"/>
    <w:rsid w:val="005C4930"/>
    <w:rsid w:val="005C55BE"/>
    <w:rsid w:val="005C5750"/>
    <w:rsid w:val="005C5B55"/>
    <w:rsid w:val="005C5C10"/>
    <w:rsid w:val="005C5F45"/>
    <w:rsid w:val="005C5F78"/>
    <w:rsid w:val="005C66E5"/>
    <w:rsid w:val="005C68CB"/>
    <w:rsid w:val="005C69F3"/>
    <w:rsid w:val="005C6A33"/>
    <w:rsid w:val="005C6C9C"/>
    <w:rsid w:val="005C6CB3"/>
    <w:rsid w:val="005C704D"/>
    <w:rsid w:val="005C707E"/>
    <w:rsid w:val="005C70F2"/>
    <w:rsid w:val="005C7626"/>
    <w:rsid w:val="005C7722"/>
    <w:rsid w:val="005D011C"/>
    <w:rsid w:val="005D05CB"/>
    <w:rsid w:val="005D0C1C"/>
    <w:rsid w:val="005D1319"/>
    <w:rsid w:val="005D16E2"/>
    <w:rsid w:val="005D1F62"/>
    <w:rsid w:val="005D2211"/>
    <w:rsid w:val="005D2567"/>
    <w:rsid w:val="005D287C"/>
    <w:rsid w:val="005D4085"/>
    <w:rsid w:val="005D4305"/>
    <w:rsid w:val="005D4B0D"/>
    <w:rsid w:val="005D4F00"/>
    <w:rsid w:val="005D5C3D"/>
    <w:rsid w:val="005D5D86"/>
    <w:rsid w:val="005D5D8C"/>
    <w:rsid w:val="005D615B"/>
    <w:rsid w:val="005D6C55"/>
    <w:rsid w:val="005D6EBE"/>
    <w:rsid w:val="005D6F26"/>
    <w:rsid w:val="005D791C"/>
    <w:rsid w:val="005D7CD4"/>
    <w:rsid w:val="005E000B"/>
    <w:rsid w:val="005E0015"/>
    <w:rsid w:val="005E04D2"/>
    <w:rsid w:val="005E09F5"/>
    <w:rsid w:val="005E1592"/>
    <w:rsid w:val="005E15F5"/>
    <w:rsid w:val="005E1B87"/>
    <w:rsid w:val="005E1FDA"/>
    <w:rsid w:val="005E249F"/>
    <w:rsid w:val="005E299B"/>
    <w:rsid w:val="005E317F"/>
    <w:rsid w:val="005E33C9"/>
    <w:rsid w:val="005E3769"/>
    <w:rsid w:val="005E376E"/>
    <w:rsid w:val="005E37AB"/>
    <w:rsid w:val="005E39B4"/>
    <w:rsid w:val="005E3BB9"/>
    <w:rsid w:val="005E3C01"/>
    <w:rsid w:val="005E3E37"/>
    <w:rsid w:val="005E3E56"/>
    <w:rsid w:val="005E409B"/>
    <w:rsid w:val="005E41C8"/>
    <w:rsid w:val="005E5103"/>
    <w:rsid w:val="005E5199"/>
    <w:rsid w:val="005E559D"/>
    <w:rsid w:val="005E5647"/>
    <w:rsid w:val="005E595C"/>
    <w:rsid w:val="005E5BDE"/>
    <w:rsid w:val="005E5F3F"/>
    <w:rsid w:val="005E612E"/>
    <w:rsid w:val="005E616B"/>
    <w:rsid w:val="005E634C"/>
    <w:rsid w:val="005E65FE"/>
    <w:rsid w:val="005E69F5"/>
    <w:rsid w:val="005E6C38"/>
    <w:rsid w:val="005E6D56"/>
    <w:rsid w:val="005E6EA6"/>
    <w:rsid w:val="005E6FD2"/>
    <w:rsid w:val="005E709B"/>
    <w:rsid w:val="005E71B2"/>
    <w:rsid w:val="005E7744"/>
    <w:rsid w:val="005E7CB8"/>
    <w:rsid w:val="005E7EDF"/>
    <w:rsid w:val="005F0023"/>
    <w:rsid w:val="005F02F3"/>
    <w:rsid w:val="005F099D"/>
    <w:rsid w:val="005F1698"/>
    <w:rsid w:val="005F1773"/>
    <w:rsid w:val="005F1BC2"/>
    <w:rsid w:val="005F1E5F"/>
    <w:rsid w:val="005F1F82"/>
    <w:rsid w:val="005F20C7"/>
    <w:rsid w:val="005F24ED"/>
    <w:rsid w:val="005F2B2F"/>
    <w:rsid w:val="005F2C0A"/>
    <w:rsid w:val="005F2DB8"/>
    <w:rsid w:val="005F3065"/>
    <w:rsid w:val="005F30DA"/>
    <w:rsid w:val="005F3562"/>
    <w:rsid w:val="005F36CB"/>
    <w:rsid w:val="005F37E5"/>
    <w:rsid w:val="005F4984"/>
    <w:rsid w:val="005F4BD5"/>
    <w:rsid w:val="005F4C89"/>
    <w:rsid w:val="005F4F50"/>
    <w:rsid w:val="005F508F"/>
    <w:rsid w:val="005F585A"/>
    <w:rsid w:val="005F6058"/>
    <w:rsid w:val="005F64B0"/>
    <w:rsid w:val="005F69EA"/>
    <w:rsid w:val="005F729F"/>
    <w:rsid w:val="005F76B7"/>
    <w:rsid w:val="005F791C"/>
    <w:rsid w:val="005F7D19"/>
    <w:rsid w:val="005F7F46"/>
    <w:rsid w:val="006001C2"/>
    <w:rsid w:val="006003F3"/>
    <w:rsid w:val="006004F2"/>
    <w:rsid w:val="0060086E"/>
    <w:rsid w:val="0060188E"/>
    <w:rsid w:val="00601A76"/>
    <w:rsid w:val="00601BB2"/>
    <w:rsid w:val="00601D05"/>
    <w:rsid w:val="00601D07"/>
    <w:rsid w:val="00601DF5"/>
    <w:rsid w:val="00602070"/>
    <w:rsid w:val="006022A8"/>
    <w:rsid w:val="006023A5"/>
    <w:rsid w:val="006023AA"/>
    <w:rsid w:val="00602F73"/>
    <w:rsid w:val="0060326B"/>
    <w:rsid w:val="00603688"/>
    <w:rsid w:val="006039AB"/>
    <w:rsid w:val="00603D67"/>
    <w:rsid w:val="00604478"/>
    <w:rsid w:val="00604539"/>
    <w:rsid w:val="00604A77"/>
    <w:rsid w:val="00604BC9"/>
    <w:rsid w:val="006052B9"/>
    <w:rsid w:val="00605319"/>
    <w:rsid w:val="006054E1"/>
    <w:rsid w:val="00605564"/>
    <w:rsid w:val="0060558C"/>
    <w:rsid w:val="0060597F"/>
    <w:rsid w:val="006069D8"/>
    <w:rsid w:val="00606A71"/>
    <w:rsid w:val="00606B72"/>
    <w:rsid w:val="00606E77"/>
    <w:rsid w:val="006073D0"/>
    <w:rsid w:val="00607E59"/>
    <w:rsid w:val="00607E85"/>
    <w:rsid w:val="00610094"/>
    <w:rsid w:val="006103A9"/>
    <w:rsid w:val="00610487"/>
    <w:rsid w:val="0061051E"/>
    <w:rsid w:val="0061152A"/>
    <w:rsid w:val="006118F7"/>
    <w:rsid w:val="00611AA3"/>
    <w:rsid w:val="00611E8C"/>
    <w:rsid w:val="006134F7"/>
    <w:rsid w:val="00613C19"/>
    <w:rsid w:val="006144E0"/>
    <w:rsid w:val="006145CA"/>
    <w:rsid w:val="006149DF"/>
    <w:rsid w:val="00614CED"/>
    <w:rsid w:val="00614E7A"/>
    <w:rsid w:val="00615081"/>
    <w:rsid w:val="00615298"/>
    <w:rsid w:val="00615805"/>
    <w:rsid w:val="00615AB4"/>
    <w:rsid w:val="00616060"/>
    <w:rsid w:val="00616542"/>
    <w:rsid w:val="00616A1C"/>
    <w:rsid w:val="00616F53"/>
    <w:rsid w:val="00617159"/>
    <w:rsid w:val="0062005A"/>
    <w:rsid w:val="00620092"/>
    <w:rsid w:val="00620150"/>
    <w:rsid w:val="00620307"/>
    <w:rsid w:val="00620366"/>
    <w:rsid w:val="0062046F"/>
    <w:rsid w:val="0062071A"/>
    <w:rsid w:val="00620933"/>
    <w:rsid w:val="00620A51"/>
    <w:rsid w:val="00620AA4"/>
    <w:rsid w:val="00620CE4"/>
    <w:rsid w:val="00620DC9"/>
    <w:rsid w:val="006213A7"/>
    <w:rsid w:val="0062143C"/>
    <w:rsid w:val="006217F3"/>
    <w:rsid w:val="00621C7A"/>
    <w:rsid w:val="006221C6"/>
    <w:rsid w:val="00622891"/>
    <w:rsid w:val="0062320A"/>
    <w:rsid w:val="006238BB"/>
    <w:rsid w:val="00624545"/>
    <w:rsid w:val="00624830"/>
    <w:rsid w:val="006248E0"/>
    <w:rsid w:val="00624B00"/>
    <w:rsid w:val="00624D3B"/>
    <w:rsid w:val="00624E1F"/>
    <w:rsid w:val="006252DC"/>
    <w:rsid w:val="006257F3"/>
    <w:rsid w:val="0062588A"/>
    <w:rsid w:val="00625BA7"/>
    <w:rsid w:val="00625EBB"/>
    <w:rsid w:val="00625ED9"/>
    <w:rsid w:val="00626059"/>
    <w:rsid w:val="006270DA"/>
    <w:rsid w:val="00627269"/>
    <w:rsid w:val="00627659"/>
    <w:rsid w:val="006278EB"/>
    <w:rsid w:val="00627D80"/>
    <w:rsid w:val="00627FA8"/>
    <w:rsid w:val="0063059B"/>
    <w:rsid w:val="006311A7"/>
    <w:rsid w:val="006316A4"/>
    <w:rsid w:val="00631A8A"/>
    <w:rsid w:val="0063210E"/>
    <w:rsid w:val="006323F5"/>
    <w:rsid w:val="006324D8"/>
    <w:rsid w:val="00632580"/>
    <w:rsid w:val="00632F00"/>
    <w:rsid w:val="00632F04"/>
    <w:rsid w:val="0063301E"/>
    <w:rsid w:val="00633813"/>
    <w:rsid w:val="006338C3"/>
    <w:rsid w:val="00633AF1"/>
    <w:rsid w:val="00633E08"/>
    <w:rsid w:val="006344E5"/>
    <w:rsid w:val="0063497A"/>
    <w:rsid w:val="00634C6E"/>
    <w:rsid w:val="00635AA9"/>
    <w:rsid w:val="00635B65"/>
    <w:rsid w:val="00635F72"/>
    <w:rsid w:val="006364B2"/>
    <w:rsid w:val="00636853"/>
    <w:rsid w:val="006369B3"/>
    <w:rsid w:val="00636ABD"/>
    <w:rsid w:val="0063714C"/>
    <w:rsid w:val="00637409"/>
    <w:rsid w:val="00637A6B"/>
    <w:rsid w:val="00637CEB"/>
    <w:rsid w:val="006404A2"/>
    <w:rsid w:val="00640D79"/>
    <w:rsid w:val="006413E7"/>
    <w:rsid w:val="00641421"/>
    <w:rsid w:val="00641545"/>
    <w:rsid w:val="00641A19"/>
    <w:rsid w:val="00642114"/>
    <w:rsid w:val="0064263D"/>
    <w:rsid w:val="0064307B"/>
    <w:rsid w:val="00643457"/>
    <w:rsid w:val="006438D5"/>
    <w:rsid w:val="00643971"/>
    <w:rsid w:val="00643A63"/>
    <w:rsid w:val="00644A66"/>
    <w:rsid w:val="00644D3A"/>
    <w:rsid w:val="0064591E"/>
    <w:rsid w:val="00645B24"/>
    <w:rsid w:val="00645CD9"/>
    <w:rsid w:val="00645DDE"/>
    <w:rsid w:val="00646187"/>
    <w:rsid w:val="006467ED"/>
    <w:rsid w:val="00646969"/>
    <w:rsid w:val="0064722C"/>
    <w:rsid w:val="006477F8"/>
    <w:rsid w:val="00647B34"/>
    <w:rsid w:val="00647CF0"/>
    <w:rsid w:val="00647D8B"/>
    <w:rsid w:val="00647EB7"/>
    <w:rsid w:val="00647FFE"/>
    <w:rsid w:val="00650326"/>
    <w:rsid w:val="00650CFF"/>
    <w:rsid w:val="00650DE7"/>
    <w:rsid w:val="006510BB"/>
    <w:rsid w:val="006513B2"/>
    <w:rsid w:val="006515AE"/>
    <w:rsid w:val="00651B45"/>
    <w:rsid w:val="00651D72"/>
    <w:rsid w:val="006520F6"/>
    <w:rsid w:val="006523E9"/>
    <w:rsid w:val="00652676"/>
    <w:rsid w:val="00652E25"/>
    <w:rsid w:val="006531EA"/>
    <w:rsid w:val="00653209"/>
    <w:rsid w:val="00653664"/>
    <w:rsid w:val="006538E5"/>
    <w:rsid w:val="00653E55"/>
    <w:rsid w:val="00654256"/>
    <w:rsid w:val="0065433E"/>
    <w:rsid w:val="006547DA"/>
    <w:rsid w:val="00654EC5"/>
    <w:rsid w:val="006553F7"/>
    <w:rsid w:val="0065605F"/>
    <w:rsid w:val="0065649E"/>
    <w:rsid w:val="00656E06"/>
    <w:rsid w:val="00656FFD"/>
    <w:rsid w:val="006572DC"/>
    <w:rsid w:val="00657413"/>
    <w:rsid w:val="00657650"/>
    <w:rsid w:val="00657A30"/>
    <w:rsid w:val="00657FA9"/>
    <w:rsid w:val="00660B62"/>
    <w:rsid w:val="00660BF0"/>
    <w:rsid w:val="00660C52"/>
    <w:rsid w:val="00660F40"/>
    <w:rsid w:val="00661C22"/>
    <w:rsid w:val="0066224C"/>
    <w:rsid w:val="00663011"/>
    <w:rsid w:val="00663695"/>
    <w:rsid w:val="006636A8"/>
    <w:rsid w:val="0066395B"/>
    <w:rsid w:val="0066396D"/>
    <w:rsid w:val="00663A5A"/>
    <w:rsid w:val="00663ECF"/>
    <w:rsid w:val="00663F07"/>
    <w:rsid w:val="00664055"/>
    <w:rsid w:val="00664B5A"/>
    <w:rsid w:val="00664DEB"/>
    <w:rsid w:val="00664E85"/>
    <w:rsid w:val="006655CA"/>
    <w:rsid w:val="006658C6"/>
    <w:rsid w:val="00665ADB"/>
    <w:rsid w:val="006665F1"/>
    <w:rsid w:val="006678F3"/>
    <w:rsid w:val="00667994"/>
    <w:rsid w:val="00667B47"/>
    <w:rsid w:val="00670171"/>
    <w:rsid w:val="006710F9"/>
    <w:rsid w:val="0067260F"/>
    <w:rsid w:val="00672648"/>
    <w:rsid w:val="00673979"/>
    <w:rsid w:val="00673BC7"/>
    <w:rsid w:val="00673DDA"/>
    <w:rsid w:val="00674359"/>
    <w:rsid w:val="00674694"/>
    <w:rsid w:val="006746FD"/>
    <w:rsid w:val="00674826"/>
    <w:rsid w:val="00675B44"/>
    <w:rsid w:val="00675C10"/>
    <w:rsid w:val="00675C90"/>
    <w:rsid w:val="00675D8B"/>
    <w:rsid w:val="006763BD"/>
    <w:rsid w:val="006767A8"/>
    <w:rsid w:val="00676950"/>
    <w:rsid w:val="00676AFC"/>
    <w:rsid w:val="00676BA7"/>
    <w:rsid w:val="006776D6"/>
    <w:rsid w:val="00677F25"/>
    <w:rsid w:val="006802F8"/>
    <w:rsid w:val="00680380"/>
    <w:rsid w:val="00680831"/>
    <w:rsid w:val="00680ABE"/>
    <w:rsid w:val="00680ECB"/>
    <w:rsid w:val="00681758"/>
    <w:rsid w:val="0068178A"/>
    <w:rsid w:val="00681CC8"/>
    <w:rsid w:val="00681CD6"/>
    <w:rsid w:val="00681D34"/>
    <w:rsid w:val="00681F1B"/>
    <w:rsid w:val="00682115"/>
    <w:rsid w:val="006821A8"/>
    <w:rsid w:val="006822AF"/>
    <w:rsid w:val="00682333"/>
    <w:rsid w:val="006823D2"/>
    <w:rsid w:val="006823ED"/>
    <w:rsid w:val="006823F8"/>
    <w:rsid w:val="006827AB"/>
    <w:rsid w:val="00682CCB"/>
    <w:rsid w:val="00683108"/>
    <w:rsid w:val="00683214"/>
    <w:rsid w:val="006832DE"/>
    <w:rsid w:val="00683B49"/>
    <w:rsid w:val="00684135"/>
    <w:rsid w:val="00684570"/>
    <w:rsid w:val="00684D74"/>
    <w:rsid w:val="006851D6"/>
    <w:rsid w:val="00686262"/>
    <w:rsid w:val="006863DF"/>
    <w:rsid w:val="0068728B"/>
    <w:rsid w:val="0068765F"/>
    <w:rsid w:val="006879FC"/>
    <w:rsid w:val="00687CC8"/>
    <w:rsid w:val="00687EEB"/>
    <w:rsid w:val="00690057"/>
    <w:rsid w:val="006903F6"/>
    <w:rsid w:val="0069071B"/>
    <w:rsid w:val="00690A75"/>
    <w:rsid w:val="00691568"/>
    <w:rsid w:val="00691682"/>
    <w:rsid w:val="00691816"/>
    <w:rsid w:val="00691FE9"/>
    <w:rsid w:val="006925A7"/>
    <w:rsid w:val="00692F1D"/>
    <w:rsid w:val="00693480"/>
    <w:rsid w:val="006934D4"/>
    <w:rsid w:val="006938D2"/>
    <w:rsid w:val="00693A93"/>
    <w:rsid w:val="0069453B"/>
    <w:rsid w:val="0069499B"/>
    <w:rsid w:val="006949D3"/>
    <w:rsid w:val="00694AB8"/>
    <w:rsid w:val="00694CAE"/>
    <w:rsid w:val="00694F08"/>
    <w:rsid w:val="00694F89"/>
    <w:rsid w:val="00695400"/>
    <w:rsid w:val="006957EB"/>
    <w:rsid w:val="00695838"/>
    <w:rsid w:val="006961C2"/>
    <w:rsid w:val="0069636C"/>
    <w:rsid w:val="00696370"/>
    <w:rsid w:val="00696703"/>
    <w:rsid w:val="006969CD"/>
    <w:rsid w:val="00696D73"/>
    <w:rsid w:val="00697225"/>
    <w:rsid w:val="006A07AD"/>
    <w:rsid w:val="006A087D"/>
    <w:rsid w:val="006A0B8D"/>
    <w:rsid w:val="006A117B"/>
    <w:rsid w:val="006A153D"/>
    <w:rsid w:val="006A16C1"/>
    <w:rsid w:val="006A17E4"/>
    <w:rsid w:val="006A189C"/>
    <w:rsid w:val="006A18A3"/>
    <w:rsid w:val="006A18B8"/>
    <w:rsid w:val="006A1A9C"/>
    <w:rsid w:val="006A1D4A"/>
    <w:rsid w:val="006A24A2"/>
    <w:rsid w:val="006A2B1E"/>
    <w:rsid w:val="006A2E97"/>
    <w:rsid w:val="006A2FAC"/>
    <w:rsid w:val="006A32F8"/>
    <w:rsid w:val="006A3823"/>
    <w:rsid w:val="006A3B45"/>
    <w:rsid w:val="006A452A"/>
    <w:rsid w:val="006A4887"/>
    <w:rsid w:val="006A49F1"/>
    <w:rsid w:val="006A4A92"/>
    <w:rsid w:val="006A4B1D"/>
    <w:rsid w:val="006A4B3F"/>
    <w:rsid w:val="006A4D70"/>
    <w:rsid w:val="006A551E"/>
    <w:rsid w:val="006A5712"/>
    <w:rsid w:val="006A5A57"/>
    <w:rsid w:val="006A5AF6"/>
    <w:rsid w:val="006A5B9E"/>
    <w:rsid w:val="006A6101"/>
    <w:rsid w:val="006A6A69"/>
    <w:rsid w:val="006A6B66"/>
    <w:rsid w:val="006A7BB5"/>
    <w:rsid w:val="006A7F33"/>
    <w:rsid w:val="006B0164"/>
    <w:rsid w:val="006B0A2A"/>
    <w:rsid w:val="006B0BA6"/>
    <w:rsid w:val="006B0E3A"/>
    <w:rsid w:val="006B153B"/>
    <w:rsid w:val="006B1903"/>
    <w:rsid w:val="006B1989"/>
    <w:rsid w:val="006B1AD7"/>
    <w:rsid w:val="006B2004"/>
    <w:rsid w:val="006B23BE"/>
    <w:rsid w:val="006B26B6"/>
    <w:rsid w:val="006B26C4"/>
    <w:rsid w:val="006B289F"/>
    <w:rsid w:val="006B2C66"/>
    <w:rsid w:val="006B325D"/>
    <w:rsid w:val="006B3307"/>
    <w:rsid w:val="006B3552"/>
    <w:rsid w:val="006B391C"/>
    <w:rsid w:val="006B3AFC"/>
    <w:rsid w:val="006B40F4"/>
    <w:rsid w:val="006B44F9"/>
    <w:rsid w:val="006B4607"/>
    <w:rsid w:val="006B4BD9"/>
    <w:rsid w:val="006B4FD9"/>
    <w:rsid w:val="006B54A1"/>
    <w:rsid w:val="006B5B35"/>
    <w:rsid w:val="006B5C47"/>
    <w:rsid w:val="006B6234"/>
    <w:rsid w:val="006B6D7D"/>
    <w:rsid w:val="006B7495"/>
    <w:rsid w:val="006B7ADE"/>
    <w:rsid w:val="006C04E3"/>
    <w:rsid w:val="006C0521"/>
    <w:rsid w:val="006C0CCC"/>
    <w:rsid w:val="006C1003"/>
    <w:rsid w:val="006C1380"/>
    <w:rsid w:val="006C1AAC"/>
    <w:rsid w:val="006C1F59"/>
    <w:rsid w:val="006C2416"/>
    <w:rsid w:val="006C2515"/>
    <w:rsid w:val="006C3426"/>
    <w:rsid w:val="006C3ED3"/>
    <w:rsid w:val="006C4372"/>
    <w:rsid w:val="006C4508"/>
    <w:rsid w:val="006C4B97"/>
    <w:rsid w:val="006C4D36"/>
    <w:rsid w:val="006C5039"/>
    <w:rsid w:val="006C567E"/>
    <w:rsid w:val="006C59A7"/>
    <w:rsid w:val="006C5B24"/>
    <w:rsid w:val="006C5C74"/>
    <w:rsid w:val="006C643A"/>
    <w:rsid w:val="006C655B"/>
    <w:rsid w:val="006C6C09"/>
    <w:rsid w:val="006C6E74"/>
    <w:rsid w:val="006C71F5"/>
    <w:rsid w:val="006C73BC"/>
    <w:rsid w:val="006C7407"/>
    <w:rsid w:val="006C7447"/>
    <w:rsid w:val="006C74F9"/>
    <w:rsid w:val="006C7652"/>
    <w:rsid w:val="006C780F"/>
    <w:rsid w:val="006C7E46"/>
    <w:rsid w:val="006C7EDE"/>
    <w:rsid w:val="006C7FCE"/>
    <w:rsid w:val="006D06B0"/>
    <w:rsid w:val="006D16F5"/>
    <w:rsid w:val="006D1826"/>
    <w:rsid w:val="006D1F96"/>
    <w:rsid w:val="006D211D"/>
    <w:rsid w:val="006D2492"/>
    <w:rsid w:val="006D2A89"/>
    <w:rsid w:val="006D2C28"/>
    <w:rsid w:val="006D2E8D"/>
    <w:rsid w:val="006D34C9"/>
    <w:rsid w:val="006D38BE"/>
    <w:rsid w:val="006D38E6"/>
    <w:rsid w:val="006D3F6C"/>
    <w:rsid w:val="006D42F4"/>
    <w:rsid w:val="006D5136"/>
    <w:rsid w:val="006D5C59"/>
    <w:rsid w:val="006D6665"/>
    <w:rsid w:val="006D68B9"/>
    <w:rsid w:val="006D69DF"/>
    <w:rsid w:val="006D736A"/>
    <w:rsid w:val="006D765F"/>
    <w:rsid w:val="006D7845"/>
    <w:rsid w:val="006E051B"/>
    <w:rsid w:val="006E07DA"/>
    <w:rsid w:val="006E0F9A"/>
    <w:rsid w:val="006E1484"/>
    <w:rsid w:val="006E1781"/>
    <w:rsid w:val="006E195D"/>
    <w:rsid w:val="006E1DB3"/>
    <w:rsid w:val="006E1F2D"/>
    <w:rsid w:val="006E2650"/>
    <w:rsid w:val="006E2E13"/>
    <w:rsid w:val="006E3350"/>
    <w:rsid w:val="006E33B0"/>
    <w:rsid w:val="006E36DB"/>
    <w:rsid w:val="006E3D11"/>
    <w:rsid w:val="006E405D"/>
    <w:rsid w:val="006E4368"/>
    <w:rsid w:val="006E4369"/>
    <w:rsid w:val="006E4440"/>
    <w:rsid w:val="006E474D"/>
    <w:rsid w:val="006E4C15"/>
    <w:rsid w:val="006E5912"/>
    <w:rsid w:val="006E607D"/>
    <w:rsid w:val="006E6102"/>
    <w:rsid w:val="006E632C"/>
    <w:rsid w:val="006E6580"/>
    <w:rsid w:val="006E68DA"/>
    <w:rsid w:val="006E6A31"/>
    <w:rsid w:val="006E6FD2"/>
    <w:rsid w:val="006E7440"/>
    <w:rsid w:val="006E7F5D"/>
    <w:rsid w:val="006F0203"/>
    <w:rsid w:val="006F0398"/>
    <w:rsid w:val="006F04AE"/>
    <w:rsid w:val="006F0954"/>
    <w:rsid w:val="006F14E8"/>
    <w:rsid w:val="006F16CD"/>
    <w:rsid w:val="006F17E1"/>
    <w:rsid w:val="006F1E5F"/>
    <w:rsid w:val="006F2343"/>
    <w:rsid w:val="006F27C6"/>
    <w:rsid w:val="006F2810"/>
    <w:rsid w:val="006F3647"/>
    <w:rsid w:val="006F37A1"/>
    <w:rsid w:val="006F3DDD"/>
    <w:rsid w:val="006F3EC8"/>
    <w:rsid w:val="006F40A8"/>
    <w:rsid w:val="006F4820"/>
    <w:rsid w:val="006F4DA6"/>
    <w:rsid w:val="006F522F"/>
    <w:rsid w:val="006F5355"/>
    <w:rsid w:val="006F5381"/>
    <w:rsid w:val="006F58F6"/>
    <w:rsid w:val="006F5977"/>
    <w:rsid w:val="006F5DD1"/>
    <w:rsid w:val="006F62FC"/>
    <w:rsid w:val="006F77AD"/>
    <w:rsid w:val="006F79EE"/>
    <w:rsid w:val="006F7C9B"/>
    <w:rsid w:val="006F7FB9"/>
    <w:rsid w:val="007001D5"/>
    <w:rsid w:val="007006F1"/>
    <w:rsid w:val="00700A70"/>
    <w:rsid w:val="00700DD4"/>
    <w:rsid w:val="0070148B"/>
    <w:rsid w:val="00702A93"/>
    <w:rsid w:val="0070398D"/>
    <w:rsid w:val="00703CAF"/>
    <w:rsid w:val="00703E2D"/>
    <w:rsid w:val="0070454C"/>
    <w:rsid w:val="0070474A"/>
    <w:rsid w:val="0070527E"/>
    <w:rsid w:val="007055CC"/>
    <w:rsid w:val="00705999"/>
    <w:rsid w:val="00705C19"/>
    <w:rsid w:val="00706032"/>
    <w:rsid w:val="007062CE"/>
    <w:rsid w:val="00706366"/>
    <w:rsid w:val="00706368"/>
    <w:rsid w:val="00706ACD"/>
    <w:rsid w:val="00706DCB"/>
    <w:rsid w:val="00707220"/>
    <w:rsid w:val="00711019"/>
    <w:rsid w:val="0071114E"/>
    <w:rsid w:val="0071123B"/>
    <w:rsid w:val="0071145C"/>
    <w:rsid w:val="0071176E"/>
    <w:rsid w:val="0071193A"/>
    <w:rsid w:val="00711CAF"/>
    <w:rsid w:val="00711FFC"/>
    <w:rsid w:val="007126A5"/>
    <w:rsid w:val="007127A5"/>
    <w:rsid w:val="007134A1"/>
    <w:rsid w:val="00713968"/>
    <w:rsid w:val="0071457A"/>
    <w:rsid w:val="00714706"/>
    <w:rsid w:val="0071472C"/>
    <w:rsid w:val="00714813"/>
    <w:rsid w:val="00714EC6"/>
    <w:rsid w:val="007159AB"/>
    <w:rsid w:val="007159CB"/>
    <w:rsid w:val="00715B46"/>
    <w:rsid w:val="00715DD7"/>
    <w:rsid w:val="007163C2"/>
    <w:rsid w:val="00716F1D"/>
    <w:rsid w:val="0071715E"/>
    <w:rsid w:val="00717688"/>
    <w:rsid w:val="00717B6E"/>
    <w:rsid w:val="00717C78"/>
    <w:rsid w:val="00717D84"/>
    <w:rsid w:val="00720FDC"/>
    <w:rsid w:val="00721684"/>
    <w:rsid w:val="00721762"/>
    <w:rsid w:val="007219EE"/>
    <w:rsid w:val="00721A74"/>
    <w:rsid w:val="007222BC"/>
    <w:rsid w:val="007229B8"/>
    <w:rsid w:val="00723389"/>
    <w:rsid w:val="00723C2E"/>
    <w:rsid w:val="00723EF9"/>
    <w:rsid w:val="00724307"/>
    <w:rsid w:val="00724520"/>
    <w:rsid w:val="007247C9"/>
    <w:rsid w:val="00724A7D"/>
    <w:rsid w:val="007255DF"/>
    <w:rsid w:val="0072567B"/>
    <w:rsid w:val="0072570E"/>
    <w:rsid w:val="00726077"/>
    <w:rsid w:val="00726172"/>
    <w:rsid w:val="00726753"/>
    <w:rsid w:val="00726F87"/>
    <w:rsid w:val="00727197"/>
    <w:rsid w:val="00727390"/>
    <w:rsid w:val="0072777D"/>
    <w:rsid w:val="00727CD1"/>
    <w:rsid w:val="00727D4D"/>
    <w:rsid w:val="0073012B"/>
    <w:rsid w:val="00730301"/>
    <w:rsid w:val="00730462"/>
    <w:rsid w:val="0073051A"/>
    <w:rsid w:val="00730702"/>
    <w:rsid w:val="00730B7E"/>
    <w:rsid w:val="00730C38"/>
    <w:rsid w:val="00730C5B"/>
    <w:rsid w:val="007315ED"/>
    <w:rsid w:val="00731653"/>
    <w:rsid w:val="007318E5"/>
    <w:rsid w:val="00731AB5"/>
    <w:rsid w:val="0073288C"/>
    <w:rsid w:val="00732BA4"/>
    <w:rsid w:val="00732FC2"/>
    <w:rsid w:val="007337C5"/>
    <w:rsid w:val="00733A59"/>
    <w:rsid w:val="0073400F"/>
    <w:rsid w:val="00734265"/>
    <w:rsid w:val="007343D8"/>
    <w:rsid w:val="00734527"/>
    <w:rsid w:val="00735103"/>
    <w:rsid w:val="0073556E"/>
    <w:rsid w:val="0073558C"/>
    <w:rsid w:val="0073584C"/>
    <w:rsid w:val="00736498"/>
    <w:rsid w:val="00736587"/>
    <w:rsid w:val="007366F1"/>
    <w:rsid w:val="00736AC2"/>
    <w:rsid w:val="00736DA1"/>
    <w:rsid w:val="00737BBE"/>
    <w:rsid w:val="00737BFA"/>
    <w:rsid w:val="00737ED0"/>
    <w:rsid w:val="0074095D"/>
    <w:rsid w:val="00740A52"/>
    <w:rsid w:val="00740D0A"/>
    <w:rsid w:val="00740D86"/>
    <w:rsid w:val="00741091"/>
    <w:rsid w:val="007416D9"/>
    <w:rsid w:val="00741D9F"/>
    <w:rsid w:val="00741FFD"/>
    <w:rsid w:val="0074242A"/>
    <w:rsid w:val="0074248D"/>
    <w:rsid w:val="00742E08"/>
    <w:rsid w:val="00742E7C"/>
    <w:rsid w:val="00742FD6"/>
    <w:rsid w:val="0074337C"/>
    <w:rsid w:val="007441D6"/>
    <w:rsid w:val="00744274"/>
    <w:rsid w:val="0074461B"/>
    <w:rsid w:val="007448FB"/>
    <w:rsid w:val="0074490E"/>
    <w:rsid w:val="00744930"/>
    <w:rsid w:val="00744E0E"/>
    <w:rsid w:val="00745108"/>
    <w:rsid w:val="007454FE"/>
    <w:rsid w:val="00745C76"/>
    <w:rsid w:val="00745E7A"/>
    <w:rsid w:val="0074685F"/>
    <w:rsid w:val="0074692B"/>
    <w:rsid w:val="00746EE0"/>
    <w:rsid w:val="00746FD4"/>
    <w:rsid w:val="00747761"/>
    <w:rsid w:val="00747CB1"/>
    <w:rsid w:val="00750679"/>
    <w:rsid w:val="0075073C"/>
    <w:rsid w:val="00750828"/>
    <w:rsid w:val="00750AEA"/>
    <w:rsid w:val="00750E67"/>
    <w:rsid w:val="00750EDC"/>
    <w:rsid w:val="00751B7F"/>
    <w:rsid w:val="00751D35"/>
    <w:rsid w:val="007523D5"/>
    <w:rsid w:val="007528AF"/>
    <w:rsid w:val="00752B49"/>
    <w:rsid w:val="00752D2C"/>
    <w:rsid w:val="00752DAB"/>
    <w:rsid w:val="007544F4"/>
    <w:rsid w:val="00755022"/>
    <w:rsid w:val="00755183"/>
    <w:rsid w:val="0075571C"/>
    <w:rsid w:val="007559B0"/>
    <w:rsid w:val="00755B2D"/>
    <w:rsid w:val="007562A9"/>
    <w:rsid w:val="007562E9"/>
    <w:rsid w:val="00756491"/>
    <w:rsid w:val="00756698"/>
    <w:rsid w:val="00756ABC"/>
    <w:rsid w:val="00756FE3"/>
    <w:rsid w:val="00757790"/>
    <w:rsid w:val="007577F5"/>
    <w:rsid w:val="00757A5E"/>
    <w:rsid w:val="0076011B"/>
    <w:rsid w:val="0076057F"/>
    <w:rsid w:val="00760D2F"/>
    <w:rsid w:val="00761999"/>
    <w:rsid w:val="00761A7B"/>
    <w:rsid w:val="00761C0D"/>
    <w:rsid w:val="00761CCC"/>
    <w:rsid w:val="00761D13"/>
    <w:rsid w:val="00762220"/>
    <w:rsid w:val="00762490"/>
    <w:rsid w:val="00762768"/>
    <w:rsid w:val="007629A8"/>
    <w:rsid w:val="00762B2D"/>
    <w:rsid w:val="00763010"/>
    <w:rsid w:val="00763814"/>
    <w:rsid w:val="007639F9"/>
    <w:rsid w:val="0076475A"/>
    <w:rsid w:val="0076476E"/>
    <w:rsid w:val="007648D0"/>
    <w:rsid w:val="007652ED"/>
    <w:rsid w:val="0076533F"/>
    <w:rsid w:val="00765470"/>
    <w:rsid w:val="00765689"/>
    <w:rsid w:val="00765A1A"/>
    <w:rsid w:val="00765CF4"/>
    <w:rsid w:val="00765D51"/>
    <w:rsid w:val="00765F6E"/>
    <w:rsid w:val="00765F83"/>
    <w:rsid w:val="007662A6"/>
    <w:rsid w:val="00766B81"/>
    <w:rsid w:val="00766BC4"/>
    <w:rsid w:val="00767231"/>
    <w:rsid w:val="00767925"/>
    <w:rsid w:val="00767BD1"/>
    <w:rsid w:val="007707C5"/>
    <w:rsid w:val="00770A92"/>
    <w:rsid w:val="00770DC0"/>
    <w:rsid w:val="00770F0B"/>
    <w:rsid w:val="00770F3C"/>
    <w:rsid w:val="00771331"/>
    <w:rsid w:val="00771917"/>
    <w:rsid w:val="007722F4"/>
    <w:rsid w:val="0077258B"/>
    <w:rsid w:val="0077299C"/>
    <w:rsid w:val="00772AC2"/>
    <w:rsid w:val="00773817"/>
    <w:rsid w:val="00773856"/>
    <w:rsid w:val="00773FFD"/>
    <w:rsid w:val="0077434A"/>
    <w:rsid w:val="00774802"/>
    <w:rsid w:val="00774869"/>
    <w:rsid w:val="00775A4F"/>
    <w:rsid w:val="00775B45"/>
    <w:rsid w:val="00775E12"/>
    <w:rsid w:val="00776037"/>
    <w:rsid w:val="007762A6"/>
    <w:rsid w:val="007767A1"/>
    <w:rsid w:val="007768D1"/>
    <w:rsid w:val="00776CE0"/>
    <w:rsid w:val="00777040"/>
    <w:rsid w:val="007772AA"/>
    <w:rsid w:val="00777301"/>
    <w:rsid w:val="00777C6E"/>
    <w:rsid w:val="00777EA9"/>
    <w:rsid w:val="0078021A"/>
    <w:rsid w:val="0078049E"/>
    <w:rsid w:val="00780BE8"/>
    <w:rsid w:val="00780C72"/>
    <w:rsid w:val="00781015"/>
    <w:rsid w:val="007821A8"/>
    <w:rsid w:val="0078251C"/>
    <w:rsid w:val="00782D13"/>
    <w:rsid w:val="00782F6C"/>
    <w:rsid w:val="00783065"/>
    <w:rsid w:val="00783488"/>
    <w:rsid w:val="007834A4"/>
    <w:rsid w:val="007834DA"/>
    <w:rsid w:val="0078357B"/>
    <w:rsid w:val="007838A3"/>
    <w:rsid w:val="00783A58"/>
    <w:rsid w:val="00783E4E"/>
    <w:rsid w:val="0078400A"/>
    <w:rsid w:val="0078427A"/>
    <w:rsid w:val="0078435F"/>
    <w:rsid w:val="00784CEE"/>
    <w:rsid w:val="00784D65"/>
    <w:rsid w:val="00784EB4"/>
    <w:rsid w:val="007850B1"/>
    <w:rsid w:val="007854B9"/>
    <w:rsid w:val="00785567"/>
    <w:rsid w:val="007857A3"/>
    <w:rsid w:val="00785909"/>
    <w:rsid w:val="00785CCB"/>
    <w:rsid w:val="00785F06"/>
    <w:rsid w:val="007861E1"/>
    <w:rsid w:val="007862DD"/>
    <w:rsid w:val="007868E9"/>
    <w:rsid w:val="007870C8"/>
    <w:rsid w:val="007871AB"/>
    <w:rsid w:val="00787431"/>
    <w:rsid w:val="007875D0"/>
    <w:rsid w:val="00787B6C"/>
    <w:rsid w:val="00790169"/>
    <w:rsid w:val="0079020B"/>
    <w:rsid w:val="007908A3"/>
    <w:rsid w:val="00790B7A"/>
    <w:rsid w:val="00790EA6"/>
    <w:rsid w:val="00790F8F"/>
    <w:rsid w:val="00791076"/>
    <w:rsid w:val="00791140"/>
    <w:rsid w:val="007911BA"/>
    <w:rsid w:val="007914E0"/>
    <w:rsid w:val="00791549"/>
    <w:rsid w:val="00791729"/>
    <w:rsid w:val="007921EA"/>
    <w:rsid w:val="007922C7"/>
    <w:rsid w:val="007922EE"/>
    <w:rsid w:val="0079266A"/>
    <w:rsid w:val="007928B4"/>
    <w:rsid w:val="00792B5B"/>
    <w:rsid w:val="00792CC3"/>
    <w:rsid w:val="00792D80"/>
    <w:rsid w:val="00792E5B"/>
    <w:rsid w:val="00793575"/>
    <w:rsid w:val="007939DB"/>
    <w:rsid w:val="00793A09"/>
    <w:rsid w:val="007940F3"/>
    <w:rsid w:val="007940F7"/>
    <w:rsid w:val="00794AED"/>
    <w:rsid w:val="00794D4E"/>
    <w:rsid w:val="0079526E"/>
    <w:rsid w:val="00795348"/>
    <w:rsid w:val="00795C54"/>
    <w:rsid w:val="00795CC2"/>
    <w:rsid w:val="007962B6"/>
    <w:rsid w:val="007965CD"/>
    <w:rsid w:val="007968FD"/>
    <w:rsid w:val="00796E33"/>
    <w:rsid w:val="0079706D"/>
    <w:rsid w:val="0079739C"/>
    <w:rsid w:val="007975D2"/>
    <w:rsid w:val="00797C17"/>
    <w:rsid w:val="00797C49"/>
    <w:rsid w:val="00797DE5"/>
    <w:rsid w:val="00797FD7"/>
    <w:rsid w:val="007A0224"/>
    <w:rsid w:val="007A0264"/>
    <w:rsid w:val="007A030C"/>
    <w:rsid w:val="007A05B9"/>
    <w:rsid w:val="007A0E07"/>
    <w:rsid w:val="007A16C4"/>
    <w:rsid w:val="007A1B12"/>
    <w:rsid w:val="007A1E1B"/>
    <w:rsid w:val="007A1E98"/>
    <w:rsid w:val="007A1EF9"/>
    <w:rsid w:val="007A1F63"/>
    <w:rsid w:val="007A20F9"/>
    <w:rsid w:val="007A2358"/>
    <w:rsid w:val="007A23BF"/>
    <w:rsid w:val="007A2462"/>
    <w:rsid w:val="007A25B2"/>
    <w:rsid w:val="007A274B"/>
    <w:rsid w:val="007A2D1A"/>
    <w:rsid w:val="007A330C"/>
    <w:rsid w:val="007A332C"/>
    <w:rsid w:val="007A33E0"/>
    <w:rsid w:val="007A3A2E"/>
    <w:rsid w:val="007A3A6A"/>
    <w:rsid w:val="007A3CEA"/>
    <w:rsid w:val="007A3D46"/>
    <w:rsid w:val="007A3DA0"/>
    <w:rsid w:val="007A3F48"/>
    <w:rsid w:val="007A45A5"/>
    <w:rsid w:val="007A50E1"/>
    <w:rsid w:val="007A5126"/>
    <w:rsid w:val="007A52C2"/>
    <w:rsid w:val="007A53D8"/>
    <w:rsid w:val="007A5E1A"/>
    <w:rsid w:val="007A62C9"/>
    <w:rsid w:val="007A65B3"/>
    <w:rsid w:val="007A65D4"/>
    <w:rsid w:val="007A6BA3"/>
    <w:rsid w:val="007A6C8D"/>
    <w:rsid w:val="007A6CB2"/>
    <w:rsid w:val="007A7C17"/>
    <w:rsid w:val="007A7EDE"/>
    <w:rsid w:val="007A7FCD"/>
    <w:rsid w:val="007B0A94"/>
    <w:rsid w:val="007B0B28"/>
    <w:rsid w:val="007B0D07"/>
    <w:rsid w:val="007B0FB0"/>
    <w:rsid w:val="007B0FEB"/>
    <w:rsid w:val="007B141B"/>
    <w:rsid w:val="007B196B"/>
    <w:rsid w:val="007B1CB3"/>
    <w:rsid w:val="007B2008"/>
    <w:rsid w:val="007B2316"/>
    <w:rsid w:val="007B25B2"/>
    <w:rsid w:val="007B3311"/>
    <w:rsid w:val="007B338C"/>
    <w:rsid w:val="007B352B"/>
    <w:rsid w:val="007B39DB"/>
    <w:rsid w:val="007B3B39"/>
    <w:rsid w:val="007B3B61"/>
    <w:rsid w:val="007B3B9E"/>
    <w:rsid w:val="007B3E04"/>
    <w:rsid w:val="007B3EBC"/>
    <w:rsid w:val="007B3F68"/>
    <w:rsid w:val="007B413E"/>
    <w:rsid w:val="007B4785"/>
    <w:rsid w:val="007B4837"/>
    <w:rsid w:val="007B4C4F"/>
    <w:rsid w:val="007B525E"/>
    <w:rsid w:val="007B55BC"/>
    <w:rsid w:val="007B58D0"/>
    <w:rsid w:val="007B5F41"/>
    <w:rsid w:val="007B61B8"/>
    <w:rsid w:val="007B61EE"/>
    <w:rsid w:val="007B6331"/>
    <w:rsid w:val="007B669A"/>
    <w:rsid w:val="007B6A27"/>
    <w:rsid w:val="007B6AC3"/>
    <w:rsid w:val="007B6B69"/>
    <w:rsid w:val="007B7145"/>
    <w:rsid w:val="007B73F9"/>
    <w:rsid w:val="007B77F8"/>
    <w:rsid w:val="007B78D4"/>
    <w:rsid w:val="007C00F2"/>
    <w:rsid w:val="007C045B"/>
    <w:rsid w:val="007C0518"/>
    <w:rsid w:val="007C074E"/>
    <w:rsid w:val="007C08EF"/>
    <w:rsid w:val="007C0A00"/>
    <w:rsid w:val="007C0D5A"/>
    <w:rsid w:val="007C100E"/>
    <w:rsid w:val="007C11A3"/>
    <w:rsid w:val="007C1332"/>
    <w:rsid w:val="007C1398"/>
    <w:rsid w:val="007C161F"/>
    <w:rsid w:val="007C166F"/>
    <w:rsid w:val="007C1D05"/>
    <w:rsid w:val="007C1D58"/>
    <w:rsid w:val="007C2207"/>
    <w:rsid w:val="007C22F1"/>
    <w:rsid w:val="007C2AB4"/>
    <w:rsid w:val="007C3395"/>
    <w:rsid w:val="007C3B64"/>
    <w:rsid w:val="007C3C28"/>
    <w:rsid w:val="007C40F2"/>
    <w:rsid w:val="007C45A5"/>
    <w:rsid w:val="007C49BB"/>
    <w:rsid w:val="007C4C0C"/>
    <w:rsid w:val="007C4C39"/>
    <w:rsid w:val="007C5623"/>
    <w:rsid w:val="007C65FE"/>
    <w:rsid w:val="007C6828"/>
    <w:rsid w:val="007C6CD4"/>
    <w:rsid w:val="007C717B"/>
    <w:rsid w:val="007C737E"/>
    <w:rsid w:val="007D039D"/>
    <w:rsid w:val="007D0B01"/>
    <w:rsid w:val="007D0B11"/>
    <w:rsid w:val="007D120D"/>
    <w:rsid w:val="007D1531"/>
    <w:rsid w:val="007D153F"/>
    <w:rsid w:val="007D19B3"/>
    <w:rsid w:val="007D1CAC"/>
    <w:rsid w:val="007D1D04"/>
    <w:rsid w:val="007D1F35"/>
    <w:rsid w:val="007D2083"/>
    <w:rsid w:val="007D2271"/>
    <w:rsid w:val="007D2366"/>
    <w:rsid w:val="007D2BE5"/>
    <w:rsid w:val="007D2C3D"/>
    <w:rsid w:val="007D2F34"/>
    <w:rsid w:val="007D3235"/>
    <w:rsid w:val="007D3637"/>
    <w:rsid w:val="007D382F"/>
    <w:rsid w:val="007D3847"/>
    <w:rsid w:val="007D4EDB"/>
    <w:rsid w:val="007D5364"/>
    <w:rsid w:val="007D54DA"/>
    <w:rsid w:val="007D560E"/>
    <w:rsid w:val="007D56CB"/>
    <w:rsid w:val="007D58A4"/>
    <w:rsid w:val="007D5C60"/>
    <w:rsid w:val="007D6C82"/>
    <w:rsid w:val="007D6D4D"/>
    <w:rsid w:val="007D73CA"/>
    <w:rsid w:val="007D7B2C"/>
    <w:rsid w:val="007E00AA"/>
    <w:rsid w:val="007E06D5"/>
    <w:rsid w:val="007E0B27"/>
    <w:rsid w:val="007E0B49"/>
    <w:rsid w:val="007E12D5"/>
    <w:rsid w:val="007E1719"/>
    <w:rsid w:val="007E184C"/>
    <w:rsid w:val="007E1A71"/>
    <w:rsid w:val="007E1E5F"/>
    <w:rsid w:val="007E2186"/>
    <w:rsid w:val="007E2258"/>
    <w:rsid w:val="007E2762"/>
    <w:rsid w:val="007E2FA5"/>
    <w:rsid w:val="007E319A"/>
    <w:rsid w:val="007E3252"/>
    <w:rsid w:val="007E3929"/>
    <w:rsid w:val="007E40B3"/>
    <w:rsid w:val="007E4317"/>
    <w:rsid w:val="007E46A8"/>
    <w:rsid w:val="007E475A"/>
    <w:rsid w:val="007E519F"/>
    <w:rsid w:val="007E5754"/>
    <w:rsid w:val="007E5C7E"/>
    <w:rsid w:val="007E604B"/>
    <w:rsid w:val="007E62B0"/>
    <w:rsid w:val="007E6394"/>
    <w:rsid w:val="007E6851"/>
    <w:rsid w:val="007E68B4"/>
    <w:rsid w:val="007E7249"/>
    <w:rsid w:val="007E7366"/>
    <w:rsid w:val="007E73F6"/>
    <w:rsid w:val="007E7418"/>
    <w:rsid w:val="007E7783"/>
    <w:rsid w:val="007E79BC"/>
    <w:rsid w:val="007E7C50"/>
    <w:rsid w:val="007F0011"/>
    <w:rsid w:val="007F0702"/>
    <w:rsid w:val="007F0D0D"/>
    <w:rsid w:val="007F1365"/>
    <w:rsid w:val="007F168A"/>
    <w:rsid w:val="007F176C"/>
    <w:rsid w:val="007F23EA"/>
    <w:rsid w:val="007F25A5"/>
    <w:rsid w:val="007F2A4A"/>
    <w:rsid w:val="007F2A7C"/>
    <w:rsid w:val="007F3124"/>
    <w:rsid w:val="007F365E"/>
    <w:rsid w:val="007F4119"/>
    <w:rsid w:val="007F4473"/>
    <w:rsid w:val="007F46A1"/>
    <w:rsid w:val="007F48D6"/>
    <w:rsid w:val="007F4ADC"/>
    <w:rsid w:val="007F4B78"/>
    <w:rsid w:val="007F5291"/>
    <w:rsid w:val="007F585B"/>
    <w:rsid w:val="007F600F"/>
    <w:rsid w:val="007F6217"/>
    <w:rsid w:val="007F62C3"/>
    <w:rsid w:val="007F65FB"/>
    <w:rsid w:val="007F673E"/>
    <w:rsid w:val="007F6848"/>
    <w:rsid w:val="007F6C11"/>
    <w:rsid w:val="007F6D4B"/>
    <w:rsid w:val="007F6FA6"/>
    <w:rsid w:val="007F723B"/>
    <w:rsid w:val="007F7ACF"/>
    <w:rsid w:val="007F7B1F"/>
    <w:rsid w:val="00800305"/>
    <w:rsid w:val="008003CA"/>
    <w:rsid w:val="0080060A"/>
    <w:rsid w:val="008006F9"/>
    <w:rsid w:val="00800A70"/>
    <w:rsid w:val="00801036"/>
    <w:rsid w:val="00801243"/>
    <w:rsid w:val="0080151B"/>
    <w:rsid w:val="00801B70"/>
    <w:rsid w:val="00801E41"/>
    <w:rsid w:val="00801F90"/>
    <w:rsid w:val="00802153"/>
    <w:rsid w:val="008024E7"/>
    <w:rsid w:val="00802DAC"/>
    <w:rsid w:val="00803680"/>
    <w:rsid w:val="00803683"/>
    <w:rsid w:val="00803FFA"/>
    <w:rsid w:val="0080449C"/>
    <w:rsid w:val="0080485B"/>
    <w:rsid w:val="0080489D"/>
    <w:rsid w:val="00804D16"/>
    <w:rsid w:val="00805203"/>
    <w:rsid w:val="0080540F"/>
    <w:rsid w:val="00805448"/>
    <w:rsid w:val="00805481"/>
    <w:rsid w:val="00805812"/>
    <w:rsid w:val="00805893"/>
    <w:rsid w:val="00805D43"/>
    <w:rsid w:val="0080602D"/>
    <w:rsid w:val="00806086"/>
    <w:rsid w:val="0080697B"/>
    <w:rsid w:val="008069D9"/>
    <w:rsid w:val="00806A6C"/>
    <w:rsid w:val="00806C74"/>
    <w:rsid w:val="00807029"/>
    <w:rsid w:val="008073FF"/>
    <w:rsid w:val="00807646"/>
    <w:rsid w:val="00810424"/>
    <w:rsid w:val="00810624"/>
    <w:rsid w:val="00810CD3"/>
    <w:rsid w:val="00810E49"/>
    <w:rsid w:val="00811580"/>
    <w:rsid w:val="008115B7"/>
    <w:rsid w:val="00811715"/>
    <w:rsid w:val="008117D3"/>
    <w:rsid w:val="0081188A"/>
    <w:rsid w:val="00811A7E"/>
    <w:rsid w:val="00811ECF"/>
    <w:rsid w:val="0081205A"/>
    <w:rsid w:val="00812B35"/>
    <w:rsid w:val="00812BCB"/>
    <w:rsid w:val="00812D0F"/>
    <w:rsid w:val="00813165"/>
    <w:rsid w:val="0081321A"/>
    <w:rsid w:val="00813380"/>
    <w:rsid w:val="00813484"/>
    <w:rsid w:val="00813619"/>
    <w:rsid w:val="00813BFC"/>
    <w:rsid w:val="008145BA"/>
    <w:rsid w:val="00814D65"/>
    <w:rsid w:val="00814E8B"/>
    <w:rsid w:val="008154D6"/>
    <w:rsid w:val="00815527"/>
    <w:rsid w:val="00815E22"/>
    <w:rsid w:val="0081633F"/>
    <w:rsid w:val="008168B7"/>
    <w:rsid w:val="008168C7"/>
    <w:rsid w:val="00816EE6"/>
    <w:rsid w:val="008170EC"/>
    <w:rsid w:val="0081729C"/>
    <w:rsid w:val="00817476"/>
    <w:rsid w:val="00817C73"/>
    <w:rsid w:val="00817E6C"/>
    <w:rsid w:val="0082073F"/>
    <w:rsid w:val="00820D8C"/>
    <w:rsid w:val="008218C2"/>
    <w:rsid w:val="00821C07"/>
    <w:rsid w:val="00821F60"/>
    <w:rsid w:val="00822994"/>
    <w:rsid w:val="00822B54"/>
    <w:rsid w:val="008236E5"/>
    <w:rsid w:val="008248B0"/>
    <w:rsid w:val="00824A74"/>
    <w:rsid w:val="00825475"/>
    <w:rsid w:val="00825A26"/>
    <w:rsid w:val="00825E83"/>
    <w:rsid w:val="00826FBD"/>
    <w:rsid w:val="0082732F"/>
    <w:rsid w:val="00827899"/>
    <w:rsid w:val="008278D4"/>
    <w:rsid w:val="00827A08"/>
    <w:rsid w:val="00827BA1"/>
    <w:rsid w:val="00827D03"/>
    <w:rsid w:val="00827D28"/>
    <w:rsid w:val="008301C1"/>
    <w:rsid w:val="008301DB"/>
    <w:rsid w:val="0083024A"/>
    <w:rsid w:val="008308C4"/>
    <w:rsid w:val="00830FE8"/>
    <w:rsid w:val="00831E36"/>
    <w:rsid w:val="008321AA"/>
    <w:rsid w:val="0083229F"/>
    <w:rsid w:val="008325B6"/>
    <w:rsid w:val="00833220"/>
    <w:rsid w:val="00833361"/>
    <w:rsid w:val="00833809"/>
    <w:rsid w:val="00833BE6"/>
    <w:rsid w:val="00833E28"/>
    <w:rsid w:val="008341D9"/>
    <w:rsid w:val="008348D0"/>
    <w:rsid w:val="00834BF3"/>
    <w:rsid w:val="00834CF5"/>
    <w:rsid w:val="00835228"/>
    <w:rsid w:val="00835586"/>
    <w:rsid w:val="008355A8"/>
    <w:rsid w:val="0083566A"/>
    <w:rsid w:val="00835921"/>
    <w:rsid w:val="00835BF2"/>
    <w:rsid w:val="00835C93"/>
    <w:rsid w:val="00835DC2"/>
    <w:rsid w:val="008361FD"/>
    <w:rsid w:val="00836578"/>
    <w:rsid w:val="00836CC1"/>
    <w:rsid w:val="00836CD7"/>
    <w:rsid w:val="00837A87"/>
    <w:rsid w:val="00840160"/>
    <w:rsid w:val="008405BB"/>
    <w:rsid w:val="0084083E"/>
    <w:rsid w:val="00840A0D"/>
    <w:rsid w:val="00840AAD"/>
    <w:rsid w:val="00840E3E"/>
    <w:rsid w:val="00841482"/>
    <w:rsid w:val="008417EC"/>
    <w:rsid w:val="00841922"/>
    <w:rsid w:val="00841C3D"/>
    <w:rsid w:val="00841CBB"/>
    <w:rsid w:val="008420A7"/>
    <w:rsid w:val="00842BD3"/>
    <w:rsid w:val="00843058"/>
    <w:rsid w:val="0084329E"/>
    <w:rsid w:val="008435B1"/>
    <w:rsid w:val="008435EC"/>
    <w:rsid w:val="008438A7"/>
    <w:rsid w:val="00844258"/>
    <w:rsid w:val="0084426A"/>
    <w:rsid w:val="0084473D"/>
    <w:rsid w:val="00844897"/>
    <w:rsid w:val="00844AAA"/>
    <w:rsid w:val="00844FAA"/>
    <w:rsid w:val="0084523B"/>
    <w:rsid w:val="0084555D"/>
    <w:rsid w:val="00845CB5"/>
    <w:rsid w:val="008462BA"/>
    <w:rsid w:val="0084646F"/>
    <w:rsid w:val="00846FBA"/>
    <w:rsid w:val="00847056"/>
    <w:rsid w:val="0084720E"/>
    <w:rsid w:val="00847D60"/>
    <w:rsid w:val="00850264"/>
    <w:rsid w:val="008504D4"/>
    <w:rsid w:val="00850648"/>
    <w:rsid w:val="008506F9"/>
    <w:rsid w:val="00850C11"/>
    <w:rsid w:val="00850FF1"/>
    <w:rsid w:val="008512EE"/>
    <w:rsid w:val="008517EF"/>
    <w:rsid w:val="008518B0"/>
    <w:rsid w:val="008519C5"/>
    <w:rsid w:val="00851D0D"/>
    <w:rsid w:val="00851E28"/>
    <w:rsid w:val="00852782"/>
    <w:rsid w:val="008529CF"/>
    <w:rsid w:val="00853002"/>
    <w:rsid w:val="008536CC"/>
    <w:rsid w:val="00853716"/>
    <w:rsid w:val="00853961"/>
    <w:rsid w:val="008539F4"/>
    <w:rsid w:val="00853C94"/>
    <w:rsid w:val="00853CCA"/>
    <w:rsid w:val="00853D66"/>
    <w:rsid w:val="0085432E"/>
    <w:rsid w:val="008543E8"/>
    <w:rsid w:val="00854DBC"/>
    <w:rsid w:val="00855254"/>
    <w:rsid w:val="008556A8"/>
    <w:rsid w:val="00855C1B"/>
    <w:rsid w:val="00855F32"/>
    <w:rsid w:val="00856441"/>
    <w:rsid w:val="00856570"/>
    <w:rsid w:val="0085676A"/>
    <w:rsid w:val="00856CB6"/>
    <w:rsid w:val="00856EB8"/>
    <w:rsid w:val="00856F57"/>
    <w:rsid w:val="00857758"/>
    <w:rsid w:val="00857CB7"/>
    <w:rsid w:val="00860496"/>
    <w:rsid w:val="0086055D"/>
    <w:rsid w:val="008609D2"/>
    <w:rsid w:val="00860CE4"/>
    <w:rsid w:val="00860D5A"/>
    <w:rsid w:val="00860FF7"/>
    <w:rsid w:val="008620D8"/>
    <w:rsid w:val="00862D38"/>
    <w:rsid w:val="00863552"/>
    <w:rsid w:val="008635C4"/>
    <w:rsid w:val="008638CF"/>
    <w:rsid w:val="00863C73"/>
    <w:rsid w:val="00863D08"/>
    <w:rsid w:val="00863DF4"/>
    <w:rsid w:val="008641C7"/>
    <w:rsid w:val="00864467"/>
    <w:rsid w:val="00864789"/>
    <w:rsid w:val="00864AE3"/>
    <w:rsid w:val="0086611F"/>
    <w:rsid w:val="0086649B"/>
    <w:rsid w:val="00866680"/>
    <w:rsid w:val="00867C00"/>
    <w:rsid w:val="00867F1A"/>
    <w:rsid w:val="008702C8"/>
    <w:rsid w:val="0087045C"/>
    <w:rsid w:val="008704AE"/>
    <w:rsid w:val="00870516"/>
    <w:rsid w:val="008705C5"/>
    <w:rsid w:val="00870ED8"/>
    <w:rsid w:val="00871017"/>
    <w:rsid w:val="00871F2E"/>
    <w:rsid w:val="00872095"/>
    <w:rsid w:val="008720D3"/>
    <w:rsid w:val="00872C1B"/>
    <w:rsid w:val="00872D22"/>
    <w:rsid w:val="00873151"/>
    <w:rsid w:val="008733E6"/>
    <w:rsid w:val="008741C3"/>
    <w:rsid w:val="0087471D"/>
    <w:rsid w:val="00874796"/>
    <w:rsid w:val="008747D7"/>
    <w:rsid w:val="008747EC"/>
    <w:rsid w:val="00875F93"/>
    <w:rsid w:val="008768A4"/>
    <w:rsid w:val="00876917"/>
    <w:rsid w:val="00876C7F"/>
    <w:rsid w:val="00876D61"/>
    <w:rsid w:val="00876F7E"/>
    <w:rsid w:val="0087708A"/>
    <w:rsid w:val="00877443"/>
    <w:rsid w:val="008779FC"/>
    <w:rsid w:val="00877EFB"/>
    <w:rsid w:val="0088008C"/>
    <w:rsid w:val="00880B1C"/>
    <w:rsid w:val="00880BD2"/>
    <w:rsid w:val="00880EA2"/>
    <w:rsid w:val="00881BCB"/>
    <w:rsid w:val="00882012"/>
    <w:rsid w:val="00882136"/>
    <w:rsid w:val="008828BD"/>
    <w:rsid w:val="00882D51"/>
    <w:rsid w:val="00882DA6"/>
    <w:rsid w:val="008832DC"/>
    <w:rsid w:val="008833C0"/>
    <w:rsid w:val="00883990"/>
    <w:rsid w:val="00883CE1"/>
    <w:rsid w:val="0088424B"/>
    <w:rsid w:val="0088444B"/>
    <w:rsid w:val="008844FC"/>
    <w:rsid w:val="008848C7"/>
    <w:rsid w:val="00884A23"/>
    <w:rsid w:val="00884C5B"/>
    <w:rsid w:val="008856FC"/>
    <w:rsid w:val="00885781"/>
    <w:rsid w:val="00885A4A"/>
    <w:rsid w:val="00885AE0"/>
    <w:rsid w:val="00885B39"/>
    <w:rsid w:val="00885D27"/>
    <w:rsid w:val="00885FCF"/>
    <w:rsid w:val="00886064"/>
    <w:rsid w:val="008862A5"/>
    <w:rsid w:val="0088648E"/>
    <w:rsid w:val="00886542"/>
    <w:rsid w:val="008867DF"/>
    <w:rsid w:val="008869FA"/>
    <w:rsid w:val="0088721D"/>
    <w:rsid w:val="008873E2"/>
    <w:rsid w:val="00887429"/>
    <w:rsid w:val="0088761C"/>
    <w:rsid w:val="00887B80"/>
    <w:rsid w:val="00887FEB"/>
    <w:rsid w:val="008901DA"/>
    <w:rsid w:val="008906ED"/>
    <w:rsid w:val="00890FCB"/>
    <w:rsid w:val="008910E0"/>
    <w:rsid w:val="0089123E"/>
    <w:rsid w:val="008917EA"/>
    <w:rsid w:val="00891D37"/>
    <w:rsid w:val="00892095"/>
    <w:rsid w:val="0089281D"/>
    <w:rsid w:val="00892A84"/>
    <w:rsid w:val="00892C9A"/>
    <w:rsid w:val="008935CA"/>
    <w:rsid w:val="00893914"/>
    <w:rsid w:val="0089424A"/>
    <w:rsid w:val="008943CD"/>
    <w:rsid w:val="00894759"/>
    <w:rsid w:val="00894B32"/>
    <w:rsid w:val="00894BFE"/>
    <w:rsid w:val="00894E5B"/>
    <w:rsid w:val="008951E1"/>
    <w:rsid w:val="008954B2"/>
    <w:rsid w:val="00895977"/>
    <w:rsid w:val="00895B24"/>
    <w:rsid w:val="00895B30"/>
    <w:rsid w:val="00895F3B"/>
    <w:rsid w:val="0089648F"/>
    <w:rsid w:val="0089671B"/>
    <w:rsid w:val="00896C68"/>
    <w:rsid w:val="008976A0"/>
    <w:rsid w:val="008A027B"/>
    <w:rsid w:val="008A0308"/>
    <w:rsid w:val="008A048D"/>
    <w:rsid w:val="008A0B0A"/>
    <w:rsid w:val="008A0EAA"/>
    <w:rsid w:val="008A0EDF"/>
    <w:rsid w:val="008A0FC6"/>
    <w:rsid w:val="008A1200"/>
    <w:rsid w:val="008A229A"/>
    <w:rsid w:val="008A23F4"/>
    <w:rsid w:val="008A24D8"/>
    <w:rsid w:val="008A2556"/>
    <w:rsid w:val="008A25F0"/>
    <w:rsid w:val="008A2C14"/>
    <w:rsid w:val="008A2F0A"/>
    <w:rsid w:val="008A31B0"/>
    <w:rsid w:val="008A328B"/>
    <w:rsid w:val="008A352A"/>
    <w:rsid w:val="008A3C56"/>
    <w:rsid w:val="008A4461"/>
    <w:rsid w:val="008A4AD4"/>
    <w:rsid w:val="008A4D34"/>
    <w:rsid w:val="008A4DFC"/>
    <w:rsid w:val="008A5271"/>
    <w:rsid w:val="008A528A"/>
    <w:rsid w:val="008A5647"/>
    <w:rsid w:val="008A59D3"/>
    <w:rsid w:val="008A5A9E"/>
    <w:rsid w:val="008A5C37"/>
    <w:rsid w:val="008A5EA8"/>
    <w:rsid w:val="008A68B0"/>
    <w:rsid w:val="008A6964"/>
    <w:rsid w:val="008A6AA0"/>
    <w:rsid w:val="008A6C60"/>
    <w:rsid w:val="008A6EC1"/>
    <w:rsid w:val="008A7852"/>
    <w:rsid w:val="008A7A11"/>
    <w:rsid w:val="008A7A7F"/>
    <w:rsid w:val="008A7D2A"/>
    <w:rsid w:val="008B0331"/>
    <w:rsid w:val="008B03BA"/>
    <w:rsid w:val="008B05A7"/>
    <w:rsid w:val="008B0B7D"/>
    <w:rsid w:val="008B0D97"/>
    <w:rsid w:val="008B0E4F"/>
    <w:rsid w:val="008B0F7C"/>
    <w:rsid w:val="008B1989"/>
    <w:rsid w:val="008B2593"/>
    <w:rsid w:val="008B277D"/>
    <w:rsid w:val="008B2827"/>
    <w:rsid w:val="008B2B9E"/>
    <w:rsid w:val="008B2DC1"/>
    <w:rsid w:val="008B2EC5"/>
    <w:rsid w:val="008B33A5"/>
    <w:rsid w:val="008B35EC"/>
    <w:rsid w:val="008B3602"/>
    <w:rsid w:val="008B3807"/>
    <w:rsid w:val="008B3C30"/>
    <w:rsid w:val="008B4033"/>
    <w:rsid w:val="008B4051"/>
    <w:rsid w:val="008B41E8"/>
    <w:rsid w:val="008B42D3"/>
    <w:rsid w:val="008B4888"/>
    <w:rsid w:val="008B48B5"/>
    <w:rsid w:val="008B48EF"/>
    <w:rsid w:val="008B525F"/>
    <w:rsid w:val="008B5FF9"/>
    <w:rsid w:val="008B6206"/>
    <w:rsid w:val="008B6838"/>
    <w:rsid w:val="008B692B"/>
    <w:rsid w:val="008B6A19"/>
    <w:rsid w:val="008B6D1E"/>
    <w:rsid w:val="008B743E"/>
    <w:rsid w:val="008B75B2"/>
    <w:rsid w:val="008B7E4C"/>
    <w:rsid w:val="008B7FC2"/>
    <w:rsid w:val="008C0045"/>
    <w:rsid w:val="008C019A"/>
    <w:rsid w:val="008C05B1"/>
    <w:rsid w:val="008C08B2"/>
    <w:rsid w:val="008C0BE7"/>
    <w:rsid w:val="008C0C6B"/>
    <w:rsid w:val="008C10E6"/>
    <w:rsid w:val="008C11EE"/>
    <w:rsid w:val="008C1B95"/>
    <w:rsid w:val="008C2107"/>
    <w:rsid w:val="008C254A"/>
    <w:rsid w:val="008C2604"/>
    <w:rsid w:val="008C26B1"/>
    <w:rsid w:val="008C2B22"/>
    <w:rsid w:val="008C3414"/>
    <w:rsid w:val="008C3726"/>
    <w:rsid w:val="008C4479"/>
    <w:rsid w:val="008C466B"/>
    <w:rsid w:val="008C4ABA"/>
    <w:rsid w:val="008C4D1C"/>
    <w:rsid w:val="008C4F9A"/>
    <w:rsid w:val="008C567A"/>
    <w:rsid w:val="008C5A2F"/>
    <w:rsid w:val="008C5F24"/>
    <w:rsid w:val="008C6693"/>
    <w:rsid w:val="008C699A"/>
    <w:rsid w:val="008C6B82"/>
    <w:rsid w:val="008C6F2F"/>
    <w:rsid w:val="008C6F5B"/>
    <w:rsid w:val="008C70F4"/>
    <w:rsid w:val="008C7909"/>
    <w:rsid w:val="008C7968"/>
    <w:rsid w:val="008C7AB1"/>
    <w:rsid w:val="008D0A63"/>
    <w:rsid w:val="008D0EFE"/>
    <w:rsid w:val="008D11B7"/>
    <w:rsid w:val="008D142B"/>
    <w:rsid w:val="008D18E6"/>
    <w:rsid w:val="008D1A5C"/>
    <w:rsid w:val="008D1D9A"/>
    <w:rsid w:val="008D1E1D"/>
    <w:rsid w:val="008D1F7B"/>
    <w:rsid w:val="008D204C"/>
    <w:rsid w:val="008D2212"/>
    <w:rsid w:val="008D25A6"/>
    <w:rsid w:val="008D2C95"/>
    <w:rsid w:val="008D32BE"/>
    <w:rsid w:val="008D32F6"/>
    <w:rsid w:val="008D34C2"/>
    <w:rsid w:val="008D3A9E"/>
    <w:rsid w:val="008D3C0E"/>
    <w:rsid w:val="008D3E15"/>
    <w:rsid w:val="008D3E7B"/>
    <w:rsid w:val="008D3E99"/>
    <w:rsid w:val="008D450A"/>
    <w:rsid w:val="008D4656"/>
    <w:rsid w:val="008D487E"/>
    <w:rsid w:val="008D48AC"/>
    <w:rsid w:val="008D4A87"/>
    <w:rsid w:val="008D4AE7"/>
    <w:rsid w:val="008D4C96"/>
    <w:rsid w:val="008D4E6C"/>
    <w:rsid w:val="008D4F01"/>
    <w:rsid w:val="008D5203"/>
    <w:rsid w:val="008D54BE"/>
    <w:rsid w:val="008D58C8"/>
    <w:rsid w:val="008D5EE5"/>
    <w:rsid w:val="008D60C7"/>
    <w:rsid w:val="008D6267"/>
    <w:rsid w:val="008D6471"/>
    <w:rsid w:val="008D777A"/>
    <w:rsid w:val="008D7B69"/>
    <w:rsid w:val="008D7ED7"/>
    <w:rsid w:val="008E063F"/>
    <w:rsid w:val="008E08FB"/>
    <w:rsid w:val="008E098E"/>
    <w:rsid w:val="008E0995"/>
    <w:rsid w:val="008E0BAF"/>
    <w:rsid w:val="008E0CFD"/>
    <w:rsid w:val="008E1105"/>
    <w:rsid w:val="008E1B41"/>
    <w:rsid w:val="008E1BA8"/>
    <w:rsid w:val="008E1BD8"/>
    <w:rsid w:val="008E2E62"/>
    <w:rsid w:val="008E3204"/>
    <w:rsid w:val="008E34CE"/>
    <w:rsid w:val="008E3518"/>
    <w:rsid w:val="008E3BC5"/>
    <w:rsid w:val="008E40E6"/>
    <w:rsid w:val="008E4153"/>
    <w:rsid w:val="008E52BE"/>
    <w:rsid w:val="008E5331"/>
    <w:rsid w:val="008E55E9"/>
    <w:rsid w:val="008E56F2"/>
    <w:rsid w:val="008E57E9"/>
    <w:rsid w:val="008E58E3"/>
    <w:rsid w:val="008E595B"/>
    <w:rsid w:val="008E619B"/>
    <w:rsid w:val="008E6253"/>
    <w:rsid w:val="008E66E5"/>
    <w:rsid w:val="008E6ED1"/>
    <w:rsid w:val="008E711E"/>
    <w:rsid w:val="008E7D7B"/>
    <w:rsid w:val="008F09A8"/>
    <w:rsid w:val="008F0E1A"/>
    <w:rsid w:val="008F0FD4"/>
    <w:rsid w:val="008F12D8"/>
    <w:rsid w:val="008F12E3"/>
    <w:rsid w:val="008F164B"/>
    <w:rsid w:val="008F1A6E"/>
    <w:rsid w:val="008F1D9F"/>
    <w:rsid w:val="008F2333"/>
    <w:rsid w:val="008F234F"/>
    <w:rsid w:val="008F2644"/>
    <w:rsid w:val="008F2813"/>
    <w:rsid w:val="008F292E"/>
    <w:rsid w:val="008F2935"/>
    <w:rsid w:val="008F2E5B"/>
    <w:rsid w:val="008F2EA9"/>
    <w:rsid w:val="008F310F"/>
    <w:rsid w:val="008F3904"/>
    <w:rsid w:val="008F3AB8"/>
    <w:rsid w:val="008F47A3"/>
    <w:rsid w:val="008F4D08"/>
    <w:rsid w:val="008F504C"/>
    <w:rsid w:val="008F53EA"/>
    <w:rsid w:val="008F54DE"/>
    <w:rsid w:val="008F5638"/>
    <w:rsid w:val="008F56CB"/>
    <w:rsid w:val="008F5A52"/>
    <w:rsid w:val="008F5E45"/>
    <w:rsid w:val="008F5E92"/>
    <w:rsid w:val="008F60AA"/>
    <w:rsid w:val="008F60E4"/>
    <w:rsid w:val="008F635E"/>
    <w:rsid w:val="008F6A1B"/>
    <w:rsid w:val="008F6A39"/>
    <w:rsid w:val="008F6EB6"/>
    <w:rsid w:val="008F7D30"/>
    <w:rsid w:val="009002EC"/>
    <w:rsid w:val="009006DC"/>
    <w:rsid w:val="009008AE"/>
    <w:rsid w:val="00900913"/>
    <w:rsid w:val="00900A8E"/>
    <w:rsid w:val="00900C39"/>
    <w:rsid w:val="0090155D"/>
    <w:rsid w:val="0090169C"/>
    <w:rsid w:val="00901945"/>
    <w:rsid w:val="00901A1D"/>
    <w:rsid w:val="00901A4D"/>
    <w:rsid w:val="00901D16"/>
    <w:rsid w:val="0090258A"/>
    <w:rsid w:val="009025AF"/>
    <w:rsid w:val="00902696"/>
    <w:rsid w:val="009034F0"/>
    <w:rsid w:val="00903537"/>
    <w:rsid w:val="00903784"/>
    <w:rsid w:val="00903827"/>
    <w:rsid w:val="00903974"/>
    <w:rsid w:val="00903A0B"/>
    <w:rsid w:val="00904101"/>
    <w:rsid w:val="00904845"/>
    <w:rsid w:val="00904910"/>
    <w:rsid w:val="00904BBC"/>
    <w:rsid w:val="00904CF0"/>
    <w:rsid w:val="00904DCD"/>
    <w:rsid w:val="00905C28"/>
    <w:rsid w:val="009060C9"/>
    <w:rsid w:val="0090634D"/>
    <w:rsid w:val="00906B25"/>
    <w:rsid w:val="00906FBE"/>
    <w:rsid w:val="0090701A"/>
    <w:rsid w:val="009070F3"/>
    <w:rsid w:val="00907141"/>
    <w:rsid w:val="0090782C"/>
    <w:rsid w:val="00907985"/>
    <w:rsid w:val="00910107"/>
    <w:rsid w:val="0091034A"/>
    <w:rsid w:val="0091089B"/>
    <w:rsid w:val="009109C6"/>
    <w:rsid w:val="00911192"/>
    <w:rsid w:val="0091143C"/>
    <w:rsid w:val="009115C4"/>
    <w:rsid w:val="009115DD"/>
    <w:rsid w:val="0091197C"/>
    <w:rsid w:val="009121AF"/>
    <w:rsid w:val="00912B35"/>
    <w:rsid w:val="00912DAE"/>
    <w:rsid w:val="00913391"/>
    <w:rsid w:val="0091350F"/>
    <w:rsid w:val="009138AB"/>
    <w:rsid w:val="00914197"/>
    <w:rsid w:val="009142F1"/>
    <w:rsid w:val="009151D3"/>
    <w:rsid w:val="009155CE"/>
    <w:rsid w:val="00915866"/>
    <w:rsid w:val="0091597B"/>
    <w:rsid w:val="00915AC0"/>
    <w:rsid w:val="00916031"/>
    <w:rsid w:val="009163AD"/>
    <w:rsid w:val="009169FB"/>
    <w:rsid w:val="00916B68"/>
    <w:rsid w:val="00916DA1"/>
    <w:rsid w:val="00917351"/>
    <w:rsid w:val="00917941"/>
    <w:rsid w:val="00917F35"/>
    <w:rsid w:val="00917FFC"/>
    <w:rsid w:val="0092007C"/>
    <w:rsid w:val="00920284"/>
    <w:rsid w:val="009202DD"/>
    <w:rsid w:val="00920585"/>
    <w:rsid w:val="00920C00"/>
    <w:rsid w:val="00920ED7"/>
    <w:rsid w:val="00921097"/>
    <w:rsid w:val="0092109D"/>
    <w:rsid w:val="00921432"/>
    <w:rsid w:val="009218B6"/>
    <w:rsid w:val="00921946"/>
    <w:rsid w:val="00921A9E"/>
    <w:rsid w:val="00921CED"/>
    <w:rsid w:val="00921D4C"/>
    <w:rsid w:val="0092225E"/>
    <w:rsid w:val="00922ADD"/>
    <w:rsid w:val="00922BB7"/>
    <w:rsid w:val="0092314A"/>
    <w:rsid w:val="0092372A"/>
    <w:rsid w:val="00923DFA"/>
    <w:rsid w:val="00923E80"/>
    <w:rsid w:val="00923F62"/>
    <w:rsid w:val="0092434C"/>
    <w:rsid w:val="00924384"/>
    <w:rsid w:val="00924A16"/>
    <w:rsid w:val="00924B50"/>
    <w:rsid w:val="00924F9C"/>
    <w:rsid w:val="00925488"/>
    <w:rsid w:val="009255A4"/>
    <w:rsid w:val="00925D8E"/>
    <w:rsid w:val="009260F9"/>
    <w:rsid w:val="009262C6"/>
    <w:rsid w:val="009262CC"/>
    <w:rsid w:val="00926354"/>
    <w:rsid w:val="00926557"/>
    <w:rsid w:val="009265BB"/>
    <w:rsid w:val="00926E65"/>
    <w:rsid w:val="00926F25"/>
    <w:rsid w:val="00926F4F"/>
    <w:rsid w:val="0092719F"/>
    <w:rsid w:val="00927BE0"/>
    <w:rsid w:val="00927FD1"/>
    <w:rsid w:val="00930497"/>
    <w:rsid w:val="00930629"/>
    <w:rsid w:val="00930E3E"/>
    <w:rsid w:val="009312C3"/>
    <w:rsid w:val="009313E3"/>
    <w:rsid w:val="00931AF9"/>
    <w:rsid w:val="00932206"/>
    <w:rsid w:val="00932800"/>
    <w:rsid w:val="00932BA8"/>
    <w:rsid w:val="009337C1"/>
    <w:rsid w:val="009339E5"/>
    <w:rsid w:val="00933DFA"/>
    <w:rsid w:val="00933F29"/>
    <w:rsid w:val="0093445F"/>
    <w:rsid w:val="0093460D"/>
    <w:rsid w:val="0093471F"/>
    <w:rsid w:val="009347F4"/>
    <w:rsid w:val="00934B6A"/>
    <w:rsid w:val="00934C7B"/>
    <w:rsid w:val="0093535C"/>
    <w:rsid w:val="009356DD"/>
    <w:rsid w:val="00935892"/>
    <w:rsid w:val="00935F7A"/>
    <w:rsid w:val="00936204"/>
    <w:rsid w:val="009364EB"/>
    <w:rsid w:val="009374F0"/>
    <w:rsid w:val="0093786C"/>
    <w:rsid w:val="00937CC0"/>
    <w:rsid w:val="00940022"/>
    <w:rsid w:val="009406C7"/>
    <w:rsid w:val="009407FD"/>
    <w:rsid w:val="00940C0D"/>
    <w:rsid w:val="00941962"/>
    <w:rsid w:val="00941B33"/>
    <w:rsid w:val="00941C3F"/>
    <w:rsid w:val="00941EF0"/>
    <w:rsid w:val="00942482"/>
    <w:rsid w:val="009424FB"/>
    <w:rsid w:val="009426F3"/>
    <w:rsid w:val="00942AD4"/>
    <w:rsid w:val="00942FDF"/>
    <w:rsid w:val="00943181"/>
    <w:rsid w:val="00943601"/>
    <w:rsid w:val="00943691"/>
    <w:rsid w:val="009437FA"/>
    <w:rsid w:val="0094382E"/>
    <w:rsid w:val="009438EE"/>
    <w:rsid w:val="00943EDA"/>
    <w:rsid w:val="00944723"/>
    <w:rsid w:val="0094487E"/>
    <w:rsid w:val="00944AB1"/>
    <w:rsid w:val="00944E95"/>
    <w:rsid w:val="009450B2"/>
    <w:rsid w:val="0094555B"/>
    <w:rsid w:val="009465C9"/>
    <w:rsid w:val="00946A3B"/>
    <w:rsid w:val="00946B9D"/>
    <w:rsid w:val="009470DF"/>
    <w:rsid w:val="00947121"/>
    <w:rsid w:val="00947571"/>
    <w:rsid w:val="009477AC"/>
    <w:rsid w:val="009479F7"/>
    <w:rsid w:val="00947A9D"/>
    <w:rsid w:val="00947AFE"/>
    <w:rsid w:val="00950963"/>
    <w:rsid w:val="00950C9B"/>
    <w:rsid w:val="00950CD5"/>
    <w:rsid w:val="00951388"/>
    <w:rsid w:val="00951472"/>
    <w:rsid w:val="0095216D"/>
    <w:rsid w:val="00952896"/>
    <w:rsid w:val="009529D7"/>
    <w:rsid w:val="00952A71"/>
    <w:rsid w:val="00953F45"/>
    <w:rsid w:val="009540A3"/>
    <w:rsid w:val="009542D6"/>
    <w:rsid w:val="00954957"/>
    <w:rsid w:val="00954A4F"/>
    <w:rsid w:val="009552CC"/>
    <w:rsid w:val="009559C8"/>
    <w:rsid w:val="00955C3B"/>
    <w:rsid w:val="00955CBA"/>
    <w:rsid w:val="0095656E"/>
    <w:rsid w:val="009565FA"/>
    <w:rsid w:val="00956CBA"/>
    <w:rsid w:val="0095704D"/>
    <w:rsid w:val="0095733D"/>
    <w:rsid w:val="009574C8"/>
    <w:rsid w:val="009578AD"/>
    <w:rsid w:val="00957AE8"/>
    <w:rsid w:val="00957F2A"/>
    <w:rsid w:val="00957F3C"/>
    <w:rsid w:val="00960012"/>
    <w:rsid w:val="0096023D"/>
    <w:rsid w:val="00960A76"/>
    <w:rsid w:val="00960C6A"/>
    <w:rsid w:val="00960EB0"/>
    <w:rsid w:val="00960F3F"/>
    <w:rsid w:val="009611CD"/>
    <w:rsid w:val="009612E9"/>
    <w:rsid w:val="009615E3"/>
    <w:rsid w:val="009618FE"/>
    <w:rsid w:val="00961FDA"/>
    <w:rsid w:val="009622A6"/>
    <w:rsid w:val="00962520"/>
    <w:rsid w:val="009629A7"/>
    <w:rsid w:val="00962CA5"/>
    <w:rsid w:val="00962E12"/>
    <w:rsid w:val="00963207"/>
    <w:rsid w:val="009639AD"/>
    <w:rsid w:val="00963AF0"/>
    <w:rsid w:val="00963C7C"/>
    <w:rsid w:val="00964D70"/>
    <w:rsid w:val="009657C2"/>
    <w:rsid w:val="00965A2F"/>
    <w:rsid w:val="009667FE"/>
    <w:rsid w:val="009669C2"/>
    <w:rsid w:val="00966D8C"/>
    <w:rsid w:val="00966FF0"/>
    <w:rsid w:val="00967BE7"/>
    <w:rsid w:val="00967D70"/>
    <w:rsid w:val="00967F30"/>
    <w:rsid w:val="00967F73"/>
    <w:rsid w:val="00967FE3"/>
    <w:rsid w:val="0097018E"/>
    <w:rsid w:val="0097047A"/>
    <w:rsid w:val="00970766"/>
    <w:rsid w:val="00970B58"/>
    <w:rsid w:val="0097111B"/>
    <w:rsid w:val="00971435"/>
    <w:rsid w:val="0097179D"/>
    <w:rsid w:val="00971B5A"/>
    <w:rsid w:val="00972368"/>
    <w:rsid w:val="009723C6"/>
    <w:rsid w:val="00972CD9"/>
    <w:rsid w:val="00972F57"/>
    <w:rsid w:val="0097306E"/>
    <w:rsid w:val="0097306F"/>
    <w:rsid w:val="0097308F"/>
    <w:rsid w:val="0097355E"/>
    <w:rsid w:val="0097390C"/>
    <w:rsid w:val="00973AE0"/>
    <w:rsid w:val="00973D06"/>
    <w:rsid w:val="00973DE9"/>
    <w:rsid w:val="0097409A"/>
    <w:rsid w:val="0097492B"/>
    <w:rsid w:val="00974DF7"/>
    <w:rsid w:val="00974E68"/>
    <w:rsid w:val="009755CF"/>
    <w:rsid w:val="00975741"/>
    <w:rsid w:val="009757B8"/>
    <w:rsid w:val="00975902"/>
    <w:rsid w:val="00975976"/>
    <w:rsid w:val="0097630E"/>
    <w:rsid w:val="00976BF6"/>
    <w:rsid w:val="00976C76"/>
    <w:rsid w:val="00976F90"/>
    <w:rsid w:val="00977710"/>
    <w:rsid w:val="009777C9"/>
    <w:rsid w:val="00977BF2"/>
    <w:rsid w:val="00980747"/>
    <w:rsid w:val="00980D7C"/>
    <w:rsid w:val="009812F7"/>
    <w:rsid w:val="009818C5"/>
    <w:rsid w:val="0098196E"/>
    <w:rsid w:val="00981C4D"/>
    <w:rsid w:val="009823E2"/>
    <w:rsid w:val="00982615"/>
    <w:rsid w:val="00982634"/>
    <w:rsid w:val="00982BCC"/>
    <w:rsid w:val="0098368A"/>
    <w:rsid w:val="009848AA"/>
    <w:rsid w:val="00984C54"/>
    <w:rsid w:val="00984F29"/>
    <w:rsid w:val="00985270"/>
    <w:rsid w:val="00985377"/>
    <w:rsid w:val="009858FF"/>
    <w:rsid w:val="0098592E"/>
    <w:rsid w:val="00985A33"/>
    <w:rsid w:val="00985DA9"/>
    <w:rsid w:val="009861C4"/>
    <w:rsid w:val="0098623F"/>
    <w:rsid w:val="00986551"/>
    <w:rsid w:val="009866CB"/>
    <w:rsid w:val="00986B73"/>
    <w:rsid w:val="00986FF0"/>
    <w:rsid w:val="009874E5"/>
    <w:rsid w:val="0098786B"/>
    <w:rsid w:val="00987881"/>
    <w:rsid w:val="00987AEE"/>
    <w:rsid w:val="00987CAD"/>
    <w:rsid w:val="0099063B"/>
    <w:rsid w:val="00990B1A"/>
    <w:rsid w:val="00990B32"/>
    <w:rsid w:val="0099102F"/>
    <w:rsid w:val="0099126E"/>
    <w:rsid w:val="0099188D"/>
    <w:rsid w:val="009918D1"/>
    <w:rsid w:val="00992273"/>
    <w:rsid w:val="0099286B"/>
    <w:rsid w:val="00992ACA"/>
    <w:rsid w:val="00992D84"/>
    <w:rsid w:val="00992F4A"/>
    <w:rsid w:val="0099301C"/>
    <w:rsid w:val="0099367F"/>
    <w:rsid w:val="009936F4"/>
    <w:rsid w:val="00993C18"/>
    <w:rsid w:val="009942EC"/>
    <w:rsid w:val="00994761"/>
    <w:rsid w:val="00994968"/>
    <w:rsid w:val="00994A15"/>
    <w:rsid w:val="00994AD0"/>
    <w:rsid w:val="009951F0"/>
    <w:rsid w:val="009952E5"/>
    <w:rsid w:val="009954FD"/>
    <w:rsid w:val="00995B43"/>
    <w:rsid w:val="00995D4B"/>
    <w:rsid w:val="0099612A"/>
    <w:rsid w:val="0099682D"/>
    <w:rsid w:val="00997BF7"/>
    <w:rsid w:val="00997C6B"/>
    <w:rsid w:val="00997C92"/>
    <w:rsid w:val="00997FE1"/>
    <w:rsid w:val="009A0012"/>
    <w:rsid w:val="009A02B4"/>
    <w:rsid w:val="009A02F6"/>
    <w:rsid w:val="009A05E8"/>
    <w:rsid w:val="009A090D"/>
    <w:rsid w:val="009A15C9"/>
    <w:rsid w:val="009A1CF9"/>
    <w:rsid w:val="009A1E88"/>
    <w:rsid w:val="009A224B"/>
    <w:rsid w:val="009A2401"/>
    <w:rsid w:val="009A25E1"/>
    <w:rsid w:val="009A26E2"/>
    <w:rsid w:val="009A274F"/>
    <w:rsid w:val="009A280B"/>
    <w:rsid w:val="009A30FA"/>
    <w:rsid w:val="009A3250"/>
    <w:rsid w:val="009A366D"/>
    <w:rsid w:val="009A367E"/>
    <w:rsid w:val="009A3FFD"/>
    <w:rsid w:val="009A41D3"/>
    <w:rsid w:val="009A479F"/>
    <w:rsid w:val="009A4DB0"/>
    <w:rsid w:val="009A4E28"/>
    <w:rsid w:val="009A4E46"/>
    <w:rsid w:val="009A5AD2"/>
    <w:rsid w:val="009A5B50"/>
    <w:rsid w:val="009A60E5"/>
    <w:rsid w:val="009A663B"/>
    <w:rsid w:val="009A6A46"/>
    <w:rsid w:val="009A6B54"/>
    <w:rsid w:val="009A6B91"/>
    <w:rsid w:val="009A6C2B"/>
    <w:rsid w:val="009A6D72"/>
    <w:rsid w:val="009A70E8"/>
    <w:rsid w:val="009A7138"/>
    <w:rsid w:val="009A7257"/>
    <w:rsid w:val="009A7A0D"/>
    <w:rsid w:val="009A7FD9"/>
    <w:rsid w:val="009B055A"/>
    <w:rsid w:val="009B0743"/>
    <w:rsid w:val="009B0814"/>
    <w:rsid w:val="009B0FEC"/>
    <w:rsid w:val="009B106F"/>
    <w:rsid w:val="009B142D"/>
    <w:rsid w:val="009B1B3F"/>
    <w:rsid w:val="009B2364"/>
    <w:rsid w:val="009B356F"/>
    <w:rsid w:val="009B49FC"/>
    <w:rsid w:val="009B4B03"/>
    <w:rsid w:val="009B4F08"/>
    <w:rsid w:val="009B5713"/>
    <w:rsid w:val="009B5FAF"/>
    <w:rsid w:val="009B618F"/>
    <w:rsid w:val="009B67D1"/>
    <w:rsid w:val="009B681A"/>
    <w:rsid w:val="009B70C0"/>
    <w:rsid w:val="009B75F0"/>
    <w:rsid w:val="009C0180"/>
    <w:rsid w:val="009C01B6"/>
    <w:rsid w:val="009C026B"/>
    <w:rsid w:val="009C0387"/>
    <w:rsid w:val="009C05D4"/>
    <w:rsid w:val="009C0630"/>
    <w:rsid w:val="009C0915"/>
    <w:rsid w:val="009C0AA3"/>
    <w:rsid w:val="009C142F"/>
    <w:rsid w:val="009C16DA"/>
    <w:rsid w:val="009C1707"/>
    <w:rsid w:val="009C18B9"/>
    <w:rsid w:val="009C1C05"/>
    <w:rsid w:val="009C2843"/>
    <w:rsid w:val="009C31BA"/>
    <w:rsid w:val="009C34C8"/>
    <w:rsid w:val="009C36D7"/>
    <w:rsid w:val="009C3722"/>
    <w:rsid w:val="009C4EC5"/>
    <w:rsid w:val="009C5061"/>
    <w:rsid w:val="009C5B27"/>
    <w:rsid w:val="009C5EFF"/>
    <w:rsid w:val="009C611F"/>
    <w:rsid w:val="009C640F"/>
    <w:rsid w:val="009C6F6E"/>
    <w:rsid w:val="009C7477"/>
    <w:rsid w:val="009C7E1A"/>
    <w:rsid w:val="009D05EB"/>
    <w:rsid w:val="009D06B4"/>
    <w:rsid w:val="009D0836"/>
    <w:rsid w:val="009D0F27"/>
    <w:rsid w:val="009D0F31"/>
    <w:rsid w:val="009D102B"/>
    <w:rsid w:val="009D14E8"/>
    <w:rsid w:val="009D1633"/>
    <w:rsid w:val="009D1818"/>
    <w:rsid w:val="009D19F8"/>
    <w:rsid w:val="009D1A98"/>
    <w:rsid w:val="009D205B"/>
    <w:rsid w:val="009D2947"/>
    <w:rsid w:val="009D2A60"/>
    <w:rsid w:val="009D2CB7"/>
    <w:rsid w:val="009D2EBA"/>
    <w:rsid w:val="009D35D3"/>
    <w:rsid w:val="009D3A35"/>
    <w:rsid w:val="009D4524"/>
    <w:rsid w:val="009D46D5"/>
    <w:rsid w:val="009D4AD8"/>
    <w:rsid w:val="009D5817"/>
    <w:rsid w:val="009D5A8F"/>
    <w:rsid w:val="009D5BFD"/>
    <w:rsid w:val="009D66A1"/>
    <w:rsid w:val="009D6830"/>
    <w:rsid w:val="009D6B05"/>
    <w:rsid w:val="009D7414"/>
    <w:rsid w:val="009D7836"/>
    <w:rsid w:val="009D7E34"/>
    <w:rsid w:val="009E1B0A"/>
    <w:rsid w:val="009E1E3C"/>
    <w:rsid w:val="009E24F0"/>
    <w:rsid w:val="009E252F"/>
    <w:rsid w:val="009E2A37"/>
    <w:rsid w:val="009E2C44"/>
    <w:rsid w:val="009E2CF8"/>
    <w:rsid w:val="009E2FD2"/>
    <w:rsid w:val="009E315B"/>
    <w:rsid w:val="009E32C2"/>
    <w:rsid w:val="009E358C"/>
    <w:rsid w:val="009E3A7D"/>
    <w:rsid w:val="009E3A87"/>
    <w:rsid w:val="009E3AD1"/>
    <w:rsid w:val="009E3B49"/>
    <w:rsid w:val="009E3E34"/>
    <w:rsid w:val="009E4434"/>
    <w:rsid w:val="009E4AE3"/>
    <w:rsid w:val="009E4B5C"/>
    <w:rsid w:val="009E4E38"/>
    <w:rsid w:val="009E516A"/>
    <w:rsid w:val="009E57B9"/>
    <w:rsid w:val="009E5B2F"/>
    <w:rsid w:val="009E5C74"/>
    <w:rsid w:val="009E65BC"/>
    <w:rsid w:val="009E6653"/>
    <w:rsid w:val="009E69FC"/>
    <w:rsid w:val="009E6EEE"/>
    <w:rsid w:val="009E7A62"/>
    <w:rsid w:val="009E7BBE"/>
    <w:rsid w:val="009E7F7F"/>
    <w:rsid w:val="009F03DD"/>
    <w:rsid w:val="009F072F"/>
    <w:rsid w:val="009F0786"/>
    <w:rsid w:val="009F0888"/>
    <w:rsid w:val="009F1CBA"/>
    <w:rsid w:val="009F267C"/>
    <w:rsid w:val="009F28D6"/>
    <w:rsid w:val="009F2BFE"/>
    <w:rsid w:val="009F2C0B"/>
    <w:rsid w:val="009F2CDD"/>
    <w:rsid w:val="009F2E3F"/>
    <w:rsid w:val="009F2E8D"/>
    <w:rsid w:val="009F3122"/>
    <w:rsid w:val="009F3963"/>
    <w:rsid w:val="009F3D3D"/>
    <w:rsid w:val="009F4549"/>
    <w:rsid w:val="009F48DE"/>
    <w:rsid w:val="009F4A80"/>
    <w:rsid w:val="009F4EB9"/>
    <w:rsid w:val="009F5339"/>
    <w:rsid w:val="009F54C7"/>
    <w:rsid w:val="009F5A4E"/>
    <w:rsid w:val="009F5AC5"/>
    <w:rsid w:val="009F6209"/>
    <w:rsid w:val="009F73AA"/>
    <w:rsid w:val="009F7E65"/>
    <w:rsid w:val="00A0081B"/>
    <w:rsid w:val="00A00A3E"/>
    <w:rsid w:val="00A00B72"/>
    <w:rsid w:val="00A00FDA"/>
    <w:rsid w:val="00A01FF6"/>
    <w:rsid w:val="00A02569"/>
    <w:rsid w:val="00A02C85"/>
    <w:rsid w:val="00A02D0F"/>
    <w:rsid w:val="00A02E32"/>
    <w:rsid w:val="00A03090"/>
    <w:rsid w:val="00A03260"/>
    <w:rsid w:val="00A033DF"/>
    <w:rsid w:val="00A039B9"/>
    <w:rsid w:val="00A041D8"/>
    <w:rsid w:val="00A04637"/>
    <w:rsid w:val="00A0486E"/>
    <w:rsid w:val="00A05239"/>
    <w:rsid w:val="00A055DD"/>
    <w:rsid w:val="00A060E1"/>
    <w:rsid w:val="00A06475"/>
    <w:rsid w:val="00A064AC"/>
    <w:rsid w:val="00A06D06"/>
    <w:rsid w:val="00A077CA"/>
    <w:rsid w:val="00A07D52"/>
    <w:rsid w:val="00A07E5A"/>
    <w:rsid w:val="00A10418"/>
    <w:rsid w:val="00A10677"/>
    <w:rsid w:val="00A106E3"/>
    <w:rsid w:val="00A107FF"/>
    <w:rsid w:val="00A10ACC"/>
    <w:rsid w:val="00A10CCB"/>
    <w:rsid w:val="00A11170"/>
    <w:rsid w:val="00A1166E"/>
    <w:rsid w:val="00A11693"/>
    <w:rsid w:val="00A11A69"/>
    <w:rsid w:val="00A11C35"/>
    <w:rsid w:val="00A123F8"/>
    <w:rsid w:val="00A12A47"/>
    <w:rsid w:val="00A12D9B"/>
    <w:rsid w:val="00A12DA4"/>
    <w:rsid w:val="00A12E02"/>
    <w:rsid w:val="00A12E7E"/>
    <w:rsid w:val="00A12EE5"/>
    <w:rsid w:val="00A13124"/>
    <w:rsid w:val="00A13148"/>
    <w:rsid w:val="00A13193"/>
    <w:rsid w:val="00A13381"/>
    <w:rsid w:val="00A1338F"/>
    <w:rsid w:val="00A13566"/>
    <w:rsid w:val="00A13E15"/>
    <w:rsid w:val="00A13FC8"/>
    <w:rsid w:val="00A14173"/>
    <w:rsid w:val="00A145C9"/>
    <w:rsid w:val="00A14748"/>
    <w:rsid w:val="00A14892"/>
    <w:rsid w:val="00A15E12"/>
    <w:rsid w:val="00A15F2E"/>
    <w:rsid w:val="00A16119"/>
    <w:rsid w:val="00A16135"/>
    <w:rsid w:val="00A17099"/>
    <w:rsid w:val="00A171BD"/>
    <w:rsid w:val="00A174C2"/>
    <w:rsid w:val="00A17572"/>
    <w:rsid w:val="00A17826"/>
    <w:rsid w:val="00A179CD"/>
    <w:rsid w:val="00A17E98"/>
    <w:rsid w:val="00A20048"/>
    <w:rsid w:val="00A2053E"/>
    <w:rsid w:val="00A20D95"/>
    <w:rsid w:val="00A22349"/>
    <w:rsid w:val="00A225D4"/>
    <w:rsid w:val="00A23031"/>
    <w:rsid w:val="00A2362C"/>
    <w:rsid w:val="00A23BF7"/>
    <w:rsid w:val="00A23F79"/>
    <w:rsid w:val="00A2423A"/>
    <w:rsid w:val="00A24972"/>
    <w:rsid w:val="00A254E9"/>
    <w:rsid w:val="00A25554"/>
    <w:rsid w:val="00A258C2"/>
    <w:rsid w:val="00A25B5A"/>
    <w:rsid w:val="00A25D2C"/>
    <w:rsid w:val="00A25E83"/>
    <w:rsid w:val="00A263B8"/>
    <w:rsid w:val="00A26CA2"/>
    <w:rsid w:val="00A2701E"/>
    <w:rsid w:val="00A272E8"/>
    <w:rsid w:val="00A3018E"/>
    <w:rsid w:val="00A30302"/>
    <w:rsid w:val="00A30444"/>
    <w:rsid w:val="00A307E4"/>
    <w:rsid w:val="00A30B7A"/>
    <w:rsid w:val="00A30CE5"/>
    <w:rsid w:val="00A30D83"/>
    <w:rsid w:val="00A30E64"/>
    <w:rsid w:val="00A314F2"/>
    <w:rsid w:val="00A31522"/>
    <w:rsid w:val="00A3159F"/>
    <w:rsid w:val="00A31E85"/>
    <w:rsid w:val="00A31F9E"/>
    <w:rsid w:val="00A32199"/>
    <w:rsid w:val="00A323E8"/>
    <w:rsid w:val="00A324BD"/>
    <w:rsid w:val="00A32AF1"/>
    <w:rsid w:val="00A32E09"/>
    <w:rsid w:val="00A32F64"/>
    <w:rsid w:val="00A3352B"/>
    <w:rsid w:val="00A34416"/>
    <w:rsid w:val="00A34598"/>
    <w:rsid w:val="00A34A3A"/>
    <w:rsid w:val="00A351BB"/>
    <w:rsid w:val="00A3557E"/>
    <w:rsid w:val="00A355EF"/>
    <w:rsid w:val="00A358B3"/>
    <w:rsid w:val="00A35A8B"/>
    <w:rsid w:val="00A35D46"/>
    <w:rsid w:val="00A36078"/>
    <w:rsid w:val="00A3609B"/>
    <w:rsid w:val="00A36486"/>
    <w:rsid w:val="00A364B8"/>
    <w:rsid w:val="00A36875"/>
    <w:rsid w:val="00A36B05"/>
    <w:rsid w:val="00A36C9D"/>
    <w:rsid w:val="00A36D2E"/>
    <w:rsid w:val="00A37132"/>
    <w:rsid w:val="00A377EA"/>
    <w:rsid w:val="00A37B80"/>
    <w:rsid w:val="00A37CCE"/>
    <w:rsid w:val="00A37F6F"/>
    <w:rsid w:val="00A40346"/>
    <w:rsid w:val="00A40377"/>
    <w:rsid w:val="00A403E0"/>
    <w:rsid w:val="00A406A3"/>
    <w:rsid w:val="00A40A9B"/>
    <w:rsid w:val="00A40C92"/>
    <w:rsid w:val="00A40D65"/>
    <w:rsid w:val="00A416EC"/>
    <w:rsid w:val="00A41844"/>
    <w:rsid w:val="00A41AE7"/>
    <w:rsid w:val="00A41C82"/>
    <w:rsid w:val="00A420D8"/>
    <w:rsid w:val="00A42A42"/>
    <w:rsid w:val="00A42BD7"/>
    <w:rsid w:val="00A42E16"/>
    <w:rsid w:val="00A43131"/>
    <w:rsid w:val="00A4346C"/>
    <w:rsid w:val="00A43895"/>
    <w:rsid w:val="00A43898"/>
    <w:rsid w:val="00A43BAA"/>
    <w:rsid w:val="00A44123"/>
    <w:rsid w:val="00A44AAE"/>
    <w:rsid w:val="00A44F2D"/>
    <w:rsid w:val="00A453E0"/>
    <w:rsid w:val="00A45589"/>
    <w:rsid w:val="00A45AD1"/>
    <w:rsid w:val="00A46604"/>
    <w:rsid w:val="00A46799"/>
    <w:rsid w:val="00A46C4C"/>
    <w:rsid w:val="00A47866"/>
    <w:rsid w:val="00A47BD8"/>
    <w:rsid w:val="00A47D03"/>
    <w:rsid w:val="00A505AE"/>
    <w:rsid w:val="00A506A3"/>
    <w:rsid w:val="00A506E6"/>
    <w:rsid w:val="00A50912"/>
    <w:rsid w:val="00A509DC"/>
    <w:rsid w:val="00A50BE3"/>
    <w:rsid w:val="00A50DE1"/>
    <w:rsid w:val="00A50F0F"/>
    <w:rsid w:val="00A51173"/>
    <w:rsid w:val="00A5146E"/>
    <w:rsid w:val="00A5152B"/>
    <w:rsid w:val="00A51FF4"/>
    <w:rsid w:val="00A5298C"/>
    <w:rsid w:val="00A52BEA"/>
    <w:rsid w:val="00A5328C"/>
    <w:rsid w:val="00A538C9"/>
    <w:rsid w:val="00A539C4"/>
    <w:rsid w:val="00A53A4D"/>
    <w:rsid w:val="00A53CBA"/>
    <w:rsid w:val="00A53E3D"/>
    <w:rsid w:val="00A53F4C"/>
    <w:rsid w:val="00A543A1"/>
    <w:rsid w:val="00A54640"/>
    <w:rsid w:val="00A54A81"/>
    <w:rsid w:val="00A54CAE"/>
    <w:rsid w:val="00A554A9"/>
    <w:rsid w:val="00A5586C"/>
    <w:rsid w:val="00A55A6A"/>
    <w:rsid w:val="00A560A5"/>
    <w:rsid w:val="00A569FA"/>
    <w:rsid w:val="00A56EDB"/>
    <w:rsid w:val="00A57BAB"/>
    <w:rsid w:val="00A57C18"/>
    <w:rsid w:val="00A60268"/>
    <w:rsid w:val="00A602C9"/>
    <w:rsid w:val="00A60701"/>
    <w:rsid w:val="00A60BDE"/>
    <w:rsid w:val="00A61006"/>
    <w:rsid w:val="00A61337"/>
    <w:rsid w:val="00A6139A"/>
    <w:rsid w:val="00A617A9"/>
    <w:rsid w:val="00A6196E"/>
    <w:rsid w:val="00A61BD7"/>
    <w:rsid w:val="00A61CD5"/>
    <w:rsid w:val="00A61FC3"/>
    <w:rsid w:val="00A621F0"/>
    <w:rsid w:val="00A6239D"/>
    <w:rsid w:val="00A6255C"/>
    <w:rsid w:val="00A625EB"/>
    <w:rsid w:val="00A6278E"/>
    <w:rsid w:val="00A62D79"/>
    <w:rsid w:val="00A62EFC"/>
    <w:rsid w:val="00A62F38"/>
    <w:rsid w:val="00A63096"/>
    <w:rsid w:val="00A630E2"/>
    <w:rsid w:val="00A633B8"/>
    <w:rsid w:val="00A63529"/>
    <w:rsid w:val="00A63FA8"/>
    <w:rsid w:val="00A64343"/>
    <w:rsid w:val="00A6464B"/>
    <w:rsid w:val="00A6470E"/>
    <w:rsid w:val="00A649DB"/>
    <w:rsid w:val="00A64ADC"/>
    <w:rsid w:val="00A651AB"/>
    <w:rsid w:val="00A65794"/>
    <w:rsid w:val="00A65BC9"/>
    <w:rsid w:val="00A6603F"/>
    <w:rsid w:val="00A6616D"/>
    <w:rsid w:val="00A66577"/>
    <w:rsid w:val="00A665F2"/>
    <w:rsid w:val="00A667D7"/>
    <w:rsid w:val="00A67C23"/>
    <w:rsid w:val="00A67CC1"/>
    <w:rsid w:val="00A67D52"/>
    <w:rsid w:val="00A7090B"/>
    <w:rsid w:val="00A70D48"/>
    <w:rsid w:val="00A70D75"/>
    <w:rsid w:val="00A71D26"/>
    <w:rsid w:val="00A71E5F"/>
    <w:rsid w:val="00A72430"/>
    <w:rsid w:val="00A72AA6"/>
    <w:rsid w:val="00A72AE0"/>
    <w:rsid w:val="00A7341D"/>
    <w:rsid w:val="00A73EB1"/>
    <w:rsid w:val="00A74653"/>
    <w:rsid w:val="00A748D8"/>
    <w:rsid w:val="00A750BA"/>
    <w:rsid w:val="00A752CE"/>
    <w:rsid w:val="00A757C5"/>
    <w:rsid w:val="00A75A8B"/>
    <w:rsid w:val="00A766C4"/>
    <w:rsid w:val="00A7690B"/>
    <w:rsid w:val="00A76941"/>
    <w:rsid w:val="00A76D29"/>
    <w:rsid w:val="00A76DF1"/>
    <w:rsid w:val="00A778A1"/>
    <w:rsid w:val="00A779D0"/>
    <w:rsid w:val="00A80747"/>
    <w:rsid w:val="00A807F2"/>
    <w:rsid w:val="00A80990"/>
    <w:rsid w:val="00A8135A"/>
    <w:rsid w:val="00A81980"/>
    <w:rsid w:val="00A824C5"/>
    <w:rsid w:val="00A827B7"/>
    <w:rsid w:val="00A8299E"/>
    <w:rsid w:val="00A829D5"/>
    <w:rsid w:val="00A82A0C"/>
    <w:rsid w:val="00A82A8E"/>
    <w:rsid w:val="00A82CA2"/>
    <w:rsid w:val="00A82D4A"/>
    <w:rsid w:val="00A8319E"/>
    <w:rsid w:val="00A83524"/>
    <w:rsid w:val="00A838FB"/>
    <w:rsid w:val="00A83A98"/>
    <w:rsid w:val="00A83C1F"/>
    <w:rsid w:val="00A84290"/>
    <w:rsid w:val="00A84B26"/>
    <w:rsid w:val="00A84B56"/>
    <w:rsid w:val="00A854D3"/>
    <w:rsid w:val="00A8559A"/>
    <w:rsid w:val="00A85719"/>
    <w:rsid w:val="00A85854"/>
    <w:rsid w:val="00A86BF5"/>
    <w:rsid w:val="00A86EC0"/>
    <w:rsid w:val="00A87E2B"/>
    <w:rsid w:val="00A87F8E"/>
    <w:rsid w:val="00A90448"/>
    <w:rsid w:val="00A905B6"/>
    <w:rsid w:val="00A9096C"/>
    <w:rsid w:val="00A90AF3"/>
    <w:rsid w:val="00A90F95"/>
    <w:rsid w:val="00A912B5"/>
    <w:rsid w:val="00A914F8"/>
    <w:rsid w:val="00A91826"/>
    <w:rsid w:val="00A919D8"/>
    <w:rsid w:val="00A91A0D"/>
    <w:rsid w:val="00A92499"/>
    <w:rsid w:val="00A925E9"/>
    <w:rsid w:val="00A93797"/>
    <w:rsid w:val="00A94114"/>
    <w:rsid w:val="00A9440E"/>
    <w:rsid w:val="00A9470B"/>
    <w:rsid w:val="00A947C9"/>
    <w:rsid w:val="00A948B2"/>
    <w:rsid w:val="00A94B57"/>
    <w:rsid w:val="00A95647"/>
    <w:rsid w:val="00A95991"/>
    <w:rsid w:val="00A95C65"/>
    <w:rsid w:val="00A96327"/>
    <w:rsid w:val="00A96685"/>
    <w:rsid w:val="00A967BA"/>
    <w:rsid w:val="00A969FB"/>
    <w:rsid w:val="00A96EF8"/>
    <w:rsid w:val="00A97477"/>
    <w:rsid w:val="00A97615"/>
    <w:rsid w:val="00A97A96"/>
    <w:rsid w:val="00A97BEB"/>
    <w:rsid w:val="00A97E70"/>
    <w:rsid w:val="00A97FBD"/>
    <w:rsid w:val="00AA0C81"/>
    <w:rsid w:val="00AA0DBD"/>
    <w:rsid w:val="00AA0F1C"/>
    <w:rsid w:val="00AA1149"/>
    <w:rsid w:val="00AA14D3"/>
    <w:rsid w:val="00AA1F14"/>
    <w:rsid w:val="00AA2041"/>
    <w:rsid w:val="00AA2407"/>
    <w:rsid w:val="00AA2E11"/>
    <w:rsid w:val="00AA2EC8"/>
    <w:rsid w:val="00AA2F0B"/>
    <w:rsid w:val="00AA30FF"/>
    <w:rsid w:val="00AA3457"/>
    <w:rsid w:val="00AA39D8"/>
    <w:rsid w:val="00AA3B8F"/>
    <w:rsid w:val="00AA3D05"/>
    <w:rsid w:val="00AA3EBA"/>
    <w:rsid w:val="00AA3F85"/>
    <w:rsid w:val="00AA45BF"/>
    <w:rsid w:val="00AA4748"/>
    <w:rsid w:val="00AA4ACC"/>
    <w:rsid w:val="00AA5074"/>
    <w:rsid w:val="00AA5342"/>
    <w:rsid w:val="00AA54F5"/>
    <w:rsid w:val="00AA550A"/>
    <w:rsid w:val="00AA5523"/>
    <w:rsid w:val="00AA5972"/>
    <w:rsid w:val="00AA5C99"/>
    <w:rsid w:val="00AA5D97"/>
    <w:rsid w:val="00AA65E3"/>
    <w:rsid w:val="00AA66F1"/>
    <w:rsid w:val="00AA67A0"/>
    <w:rsid w:val="00AA6803"/>
    <w:rsid w:val="00AA6A25"/>
    <w:rsid w:val="00AA6BD2"/>
    <w:rsid w:val="00AA6CC3"/>
    <w:rsid w:val="00AA6E65"/>
    <w:rsid w:val="00AA7201"/>
    <w:rsid w:val="00AA7453"/>
    <w:rsid w:val="00AA79E6"/>
    <w:rsid w:val="00AA7A75"/>
    <w:rsid w:val="00AA7BB0"/>
    <w:rsid w:val="00AA7ECA"/>
    <w:rsid w:val="00AB00B4"/>
    <w:rsid w:val="00AB0384"/>
    <w:rsid w:val="00AB0E1C"/>
    <w:rsid w:val="00AB0E50"/>
    <w:rsid w:val="00AB1027"/>
    <w:rsid w:val="00AB1262"/>
    <w:rsid w:val="00AB1C78"/>
    <w:rsid w:val="00AB2C4D"/>
    <w:rsid w:val="00AB2F1E"/>
    <w:rsid w:val="00AB3522"/>
    <w:rsid w:val="00AB35D0"/>
    <w:rsid w:val="00AB36AE"/>
    <w:rsid w:val="00AB372B"/>
    <w:rsid w:val="00AB3BF4"/>
    <w:rsid w:val="00AB443E"/>
    <w:rsid w:val="00AB4F52"/>
    <w:rsid w:val="00AB5445"/>
    <w:rsid w:val="00AB5614"/>
    <w:rsid w:val="00AB56D7"/>
    <w:rsid w:val="00AB5854"/>
    <w:rsid w:val="00AB5A67"/>
    <w:rsid w:val="00AB5BC7"/>
    <w:rsid w:val="00AB61C3"/>
    <w:rsid w:val="00AB65AD"/>
    <w:rsid w:val="00AB674F"/>
    <w:rsid w:val="00AB6983"/>
    <w:rsid w:val="00AB6C88"/>
    <w:rsid w:val="00AB6D47"/>
    <w:rsid w:val="00AB70EE"/>
    <w:rsid w:val="00AB7942"/>
    <w:rsid w:val="00AB7D11"/>
    <w:rsid w:val="00AB7DCB"/>
    <w:rsid w:val="00AB7E4C"/>
    <w:rsid w:val="00AC00F6"/>
    <w:rsid w:val="00AC0260"/>
    <w:rsid w:val="00AC061A"/>
    <w:rsid w:val="00AC0866"/>
    <w:rsid w:val="00AC0D50"/>
    <w:rsid w:val="00AC0F8A"/>
    <w:rsid w:val="00AC13BB"/>
    <w:rsid w:val="00AC13D3"/>
    <w:rsid w:val="00AC1829"/>
    <w:rsid w:val="00AC1D7F"/>
    <w:rsid w:val="00AC1EC3"/>
    <w:rsid w:val="00AC28CC"/>
    <w:rsid w:val="00AC2D68"/>
    <w:rsid w:val="00AC30A1"/>
    <w:rsid w:val="00AC317C"/>
    <w:rsid w:val="00AC3891"/>
    <w:rsid w:val="00AC3900"/>
    <w:rsid w:val="00AC3AAE"/>
    <w:rsid w:val="00AC3C21"/>
    <w:rsid w:val="00AC3F90"/>
    <w:rsid w:val="00AC4222"/>
    <w:rsid w:val="00AC45B0"/>
    <w:rsid w:val="00AC4903"/>
    <w:rsid w:val="00AC4A22"/>
    <w:rsid w:val="00AC4A9F"/>
    <w:rsid w:val="00AC4AD3"/>
    <w:rsid w:val="00AC4DBF"/>
    <w:rsid w:val="00AC52BC"/>
    <w:rsid w:val="00AC54BF"/>
    <w:rsid w:val="00AC596F"/>
    <w:rsid w:val="00AC5ADC"/>
    <w:rsid w:val="00AC5F8D"/>
    <w:rsid w:val="00AC6209"/>
    <w:rsid w:val="00AC64D6"/>
    <w:rsid w:val="00AC6513"/>
    <w:rsid w:val="00AC6645"/>
    <w:rsid w:val="00AC6AD1"/>
    <w:rsid w:val="00AC6E15"/>
    <w:rsid w:val="00AC6F9A"/>
    <w:rsid w:val="00AC706E"/>
    <w:rsid w:val="00AC7142"/>
    <w:rsid w:val="00AC78E6"/>
    <w:rsid w:val="00AD102F"/>
    <w:rsid w:val="00AD12E8"/>
    <w:rsid w:val="00AD151B"/>
    <w:rsid w:val="00AD193B"/>
    <w:rsid w:val="00AD1B13"/>
    <w:rsid w:val="00AD20DF"/>
    <w:rsid w:val="00AD2296"/>
    <w:rsid w:val="00AD2B5A"/>
    <w:rsid w:val="00AD3D58"/>
    <w:rsid w:val="00AD3FD1"/>
    <w:rsid w:val="00AD40C5"/>
    <w:rsid w:val="00AD47D8"/>
    <w:rsid w:val="00AD4D82"/>
    <w:rsid w:val="00AD4DBE"/>
    <w:rsid w:val="00AD519B"/>
    <w:rsid w:val="00AD5294"/>
    <w:rsid w:val="00AD56E2"/>
    <w:rsid w:val="00AD5890"/>
    <w:rsid w:val="00AD5A9D"/>
    <w:rsid w:val="00AD5BC5"/>
    <w:rsid w:val="00AD5D74"/>
    <w:rsid w:val="00AD5DB8"/>
    <w:rsid w:val="00AD6196"/>
    <w:rsid w:val="00AD63D0"/>
    <w:rsid w:val="00AD688F"/>
    <w:rsid w:val="00AD693C"/>
    <w:rsid w:val="00AD69F4"/>
    <w:rsid w:val="00AD6E13"/>
    <w:rsid w:val="00AD74EC"/>
    <w:rsid w:val="00AD76CA"/>
    <w:rsid w:val="00AD7E95"/>
    <w:rsid w:val="00AD7EEC"/>
    <w:rsid w:val="00AE01EC"/>
    <w:rsid w:val="00AE028A"/>
    <w:rsid w:val="00AE065C"/>
    <w:rsid w:val="00AE0CC9"/>
    <w:rsid w:val="00AE172B"/>
    <w:rsid w:val="00AE1B19"/>
    <w:rsid w:val="00AE1B40"/>
    <w:rsid w:val="00AE1C9F"/>
    <w:rsid w:val="00AE2327"/>
    <w:rsid w:val="00AE2348"/>
    <w:rsid w:val="00AE2715"/>
    <w:rsid w:val="00AE2760"/>
    <w:rsid w:val="00AE2BEE"/>
    <w:rsid w:val="00AE2E18"/>
    <w:rsid w:val="00AE3873"/>
    <w:rsid w:val="00AE3D24"/>
    <w:rsid w:val="00AE3F2A"/>
    <w:rsid w:val="00AE4417"/>
    <w:rsid w:val="00AE4421"/>
    <w:rsid w:val="00AE51B8"/>
    <w:rsid w:val="00AE5355"/>
    <w:rsid w:val="00AE5573"/>
    <w:rsid w:val="00AE569D"/>
    <w:rsid w:val="00AE572F"/>
    <w:rsid w:val="00AE577A"/>
    <w:rsid w:val="00AE5C4E"/>
    <w:rsid w:val="00AE67EC"/>
    <w:rsid w:val="00AE6B4A"/>
    <w:rsid w:val="00AE6BD2"/>
    <w:rsid w:val="00AE7DDA"/>
    <w:rsid w:val="00AE7F8F"/>
    <w:rsid w:val="00AF02AA"/>
    <w:rsid w:val="00AF034F"/>
    <w:rsid w:val="00AF0CE7"/>
    <w:rsid w:val="00AF0F34"/>
    <w:rsid w:val="00AF13F9"/>
    <w:rsid w:val="00AF146F"/>
    <w:rsid w:val="00AF1889"/>
    <w:rsid w:val="00AF1CD2"/>
    <w:rsid w:val="00AF1E7A"/>
    <w:rsid w:val="00AF1F91"/>
    <w:rsid w:val="00AF2437"/>
    <w:rsid w:val="00AF2A92"/>
    <w:rsid w:val="00AF2AC4"/>
    <w:rsid w:val="00AF2BDD"/>
    <w:rsid w:val="00AF2F71"/>
    <w:rsid w:val="00AF3116"/>
    <w:rsid w:val="00AF3479"/>
    <w:rsid w:val="00AF3CA2"/>
    <w:rsid w:val="00AF3EFE"/>
    <w:rsid w:val="00AF4007"/>
    <w:rsid w:val="00AF406E"/>
    <w:rsid w:val="00AF4274"/>
    <w:rsid w:val="00AF5550"/>
    <w:rsid w:val="00AF5755"/>
    <w:rsid w:val="00AF5B68"/>
    <w:rsid w:val="00AF5E48"/>
    <w:rsid w:val="00AF714C"/>
    <w:rsid w:val="00AF788F"/>
    <w:rsid w:val="00AF795C"/>
    <w:rsid w:val="00AF7F51"/>
    <w:rsid w:val="00B00134"/>
    <w:rsid w:val="00B002F3"/>
    <w:rsid w:val="00B01C90"/>
    <w:rsid w:val="00B01D31"/>
    <w:rsid w:val="00B01F48"/>
    <w:rsid w:val="00B02021"/>
    <w:rsid w:val="00B02311"/>
    <w:rsid w:val="00B0281D"/>
    <w:rsid w:val="00B02A23"/>
    <w:rsid w:val="00B02BC3"/>
    <w:rsid w:val="00B02E35"/>
    <w:rsid w:val="00B02F5B"/>
    <w:rsid w:val="00B0344E"/>
    <w:rsid w:val="00B03B8C"/>
    <w:rsid w:val="00B03C88"/>
    <w:rsid w:val="00B03CFA"/>
    <w:rsid w:val="00B04115"/>
    <w:rsid w:val="00B04421"/>
    <w:rsid w:val="00B045B4"/>
    <w:rsid w:val="00B046B4"/>
    <w:rsid w:val="00B04A7A"/>
    <w:rsid w:val="00B04EFB"/>
    <w:rsid w:val="00B04FF9"/>
    <w:rsid w:val="00B0539B"/>
    <w:rsid w:val="00B05577"/>
    <w:rsid w:val="00B059DA"/>
    <w:rsid w:val="00B059F7"/>
    <w:rsid w:val="00B05C9D"/>
    <w:rsid w:val="00B05DB5"/>
    <w:rsid w:val="00B06D49"/>
    <w:rsid w:val="00B06F4A"/>
    <w:rsid w:val="00B07261"/>
    <w:rsid w:val="00B07467"/>
    <w:rsid w:val="00B10427"/>
    <w:rsid w:val="00B11D3F"/>
    <w:rsid w:val="00B126F7"/>
    <w:rsid w:val="00B140CE"/>
    <w:rsid w:val="00B143A4"/>
    <w:rsid w:val="00B14510"/>
    <w:rsid w:val="00B14550"/>
    <w:rsid w:val="00B147C3"/>
    <w:rsid w:val="00B15876"/>
    <w:rsid w:val="00B15A06"/>
    <w:rsid w:val="00B1616D"/>
    <w:rsid w:val="00B16211"/>
    <w:rsid w:val="00B1659A"/>
    <w:rsid w:val="00B16996"/>
    <w:rsid w:val="00B16A9B"/>
    <w:rsid w:val="00B16B17"/>
    <w:rsid w:val="00B172A3"/>
    <w:rsid w:val="00B1733A"/>
    <w:rsid w:val="00B1759E"/>
    <w:rsid w:val="00B176B8"/>
    <w:rsid w:val="00B1784C"/>
    <w:rsid w:val="00B179AF"/>
    <w:rsid w:val="00B17A8A"/>
    <w:rsid w:val="00B17B61"/>
    <w:rsid w:val="00B17BA2"/>
    <w:rsid w:val="00B17CF4"/>
    <w:rsid w:val="00B17DF6"/>
    <w:rsid w:val="00B17E7F"/>
    <w:rsid w:val="00B20BE0"/>
    <w:rsid w:val="00B21067"/>
    <w:rsid w:val="00B21262"/>
    <w:rsid w:val="00B21DA9"/>
    <w:rsid w:val="00B21F22"/>
    <w:rsid w:val="00B226C2"/>
    <w:rsid w:val="00B2270A"/>
    <w:rsid w:val="00B233BE"/>
    <w:rsid w:val="00B233E6"/>
    <w:rsid w:val="00B23617"/>
    <w:rsid w:val="00B24C4A"/>
    <w:rsid w:val="00B25162"/>
    <w:rsid w:val="00B25426"/>
    <w:rsid w:val="00B25AA2"/>
    <w:rsid w:val="00B25B82"/>
    <w:rsid w:val="00B25C9D"/>
    <w:rsid w:val="00B25CEE"/>
    <w:rsid w:val="00B2612E"/>
    <w:rsid w:val="00B26427"/>
    <w:rsid w:val="00B27308"/>
    <w:rsid w:val="00B27352"/>
    <w:rsid w:val="00B2768F"/>
    <w:rsid w:val="00B27AFF"/>
    <w:rsid w:val="00B27DD6"/>
    <w:rsid w:val="00B304E2"/>
    <w:rsid w:val="00B30861"/>
    <w:rsid w:val="00B311AF"/>
    <w:rsid w:val="00B31754"/>
    <w:rsid w:val="00B319C9"/>
    <w:rsid w:val="00B31FC9"/>
    <w:rsid w:val="00B32235"/>
    <w:rsid w:val="00B3260B"/>
    <w:rsid w:val="00B328A1"/>
    <w:rsid w:val="00B32AEA"/>
    <w:rsid w:val="00B3328F"/>
    <w:rsid w:val="00B3387E"/>
    <w:rsid w:val="00B3415C"/>
    <w:rsid w:val="00B347B3"/>
    <w:rsid w:val="00B3480D"/>
    <w:rsid w:val="00B34845"/>
    <w:rsid w:val="00B34BFF"/>
    <w:rsid w:val="00B34C62"/>
    <w:rsid w:val="00B34EF4"/>
    <w:rsid w:val="00B34F8F"/>
    <w:rsid w:val="00B351C7"/>
    <w:rsid w:val="00B35501"/>
    <w:rsid w:val="00B359AD"/>
    <w:rsid w:val="00B36710"/>
    <w:rsid w:val="00B3790F"/>
    <w:rsid w:val="00B37950"/>
    <w:rsid w:val="00B37B58"/>
    <w:rsid w:val="00B37E14"/>
    <w:rsid w:val="00B37F29"/>
    <w:rsid w:val="00B400DF"/>
    <w:rsid w:val="00B4013E"/>
    <w:rsid w:val="00B4026E"/>
    <w:rsid w:val="00B40F37"/>
    <w:rsid w:val="00B4124B"/>
    <w:rsid w:val="00B41B04"/>
    <w:rsid w:val="00B41BD2"/>
    <w:rsid w:val="00B41C3B"/>
    <w:rsid w:val="00B41DFB"/>
    <w:rsid w:val="00B4203C"/>
    <w:rsid w:val="00B420BB"/>
    <w:rsid w:val="00B4233C"/>
    <w:rsid w:val="00B423C0"/>
    <w:rsid w:val="00B42BD9"/>
    <w:rsid w:val="00B4362D"/>
    <w:rsid w:val="00B43686"/>
    <w:rsid w:val="00B43B84"/>
    <w:rsid w:val="00B448E8"/>
    <w:rsid w:val="00B44C49"/>
    <w:rsid w:val="00B44C79"/>
    <w:rsid w:val="00B44CC4"/>
    <w:rsid w:val="00B44DCD"/>
    <w:rsid w:val="00B44F4A"/>
    <w:rsid w:val="00B45A78"/>
    <w:rsid w:val="00B45A7C"/>
    <w:rsid w:val="00B45B16"/>
    <w:rsid w:val="00B45E14"/>
    <w:rsid w:val="00B46415"/>
    <w:rsid w:val="00B464AF"/>
    <w:rsid w:val="00B46A48"/>
    <w:rsid w:val="00B46BCE"/>
    <w:rsid w:val="00B46D5B"/>
    <w:rsid w:val="00B46F88"/>
    <w:rsid w:val="00B4705D"/>
    <w:rsid w:val="00B478D7"/>
    <w:rsid w:val="00B47BD8"/>
    <w:rsid w:val="00B500CE"/>
    <w:rsid w:val="00B5026B"/>
    <w:rsid w:val="00B50380"/>
    <w:rsid w:val="00B51305"/>
    <w:rsid w:val="00B51BE5"/>
    <w:rsid w:val="00B51DE9"/>
    <w:rsid w:val="00B51E5E"/>
    <w:rsid w:val="00B51F48"/>
    <w:rsid w:val="00B520BD"/>
    <w:rsid w:val="00B524B6"/>
    <w:rsid w:val="00B5287C"/>
    <w:rsid w:val="00B52A45"/>
    <w:rsid w:val="00B52C93"/>
    <w:rsid w:val="00B53BF7"/>
    <w:rsid w:val="00B53EBD"/>
    <w:rsid w:val="00B5401D"/>
    <w:rsid w:val="00B54024"/>
    <w:rsid w:val="00B54151"/>
    <w:rsid w:val="00B547B3"/>
    <w:rsid w:val="00B54C28"/>
    <w:rsid w:val="00B54E6E"/>
    <w:rsid w:val="00B55D75"/>
    <w:rsid w:val="00B55DBF"/>
    <w:rsid w:val="00B56259"/>
    <w:rsid w:val="00B5719A"/>
    <w:rsid w:val="00B5728B"/>
    <w:rsid w:val="00B57479"/>
    <w:rsid w:val="00B57B5A"/>
    <w:rsid w:val="00B57CE2"/>
    <w:rsid w:val="00B57CF0"/>
    <w:rsid w:val="00B57E79"/>
    <w:rsid w:val="00B57F84"/>
    <w:rsid w:val="00B57FEA"/>
    <w:rsid w:val="00B6061D"/>
    <w:rsid w:val="00B60E7C"/>
    <w:rsid w:val="00B615B5"/>
    <w:rsid w:val="00B616D6"/>
    <w:rsid w:val="00B6183B"/>
    <w:rsid w:val="00B61842"/>
    <w:rsid w:val="00B61947"/>
    <w:rsid w:val="00B62153"/>
    <w:rsid w:val="00B62654"/>
    <w:rsid w:val="00B63089"/>
    <w:rsid w:val="00B63212"/>
    <w:rsid w:val="00B6390D"/>
    <w:rsid w:val="00B63D25"/>
    <w:rsid w:val="00B63ED8"/>
    <w:rsid w:val="00B641EB"/>
    <w:rsid w:val="00B6487A"/>
    <w:rsid w:val="00B64A51"/>
    <w:rsid w:val="00B64B92"/>
    <w:rsid w:val="00B64CDC"/>
    <w:rsid w:val="00B653D9"/>
    <w:rsid w:val="00B654C1"/>
    <w:rsid w:val="00B655B4"/>
    <w:rsid w:val="00B65B5D"/>
    <w:rsid w:val="00B66073"/>
    <w:rsid w:val="00B660B2"/>
    <w:rsid w:val="00B6640B"/>
    <w:rsid w:val="00B66643"/>
    <w:rsid w:val="00B66BCD"/>
    <w:rsid w:val="00B66C39"/>
    <w:rsid w:val="00B6765D"/>
    <w:rsid w:val="00B6797E"/>
    <w:rsid w:val="00B679EC"/>
    <w:rsid w:val="00B67BA1"/>
    <w:rsid w:val="00B67DA1"/>
    <w:rsid w:val="00B67E7D"/>
    <w:rsid w:val="00B70411"/>
    <w:rsid w:val="00B7045F"/>
    <w:rsid w:val="00B705A4"/>
    <w:rsid w:val="00B70D13"/>
    <w:rsid w:val="00B70EF5"/>
    <w:rsid w:val="00B71276"/>
    <w:rsid w:val="00B7171D"/>
    <w:rsid w:val="00B71782"/>
    <w:rsid w:val="00B71DE5"/>
    <w:rsid w:val="00B71FD7"/>
    <w:rsid w:val="00B721AF"/>
    <w:rsid w:val="00B72305"/>
    <w:rsid w:val="00B726B9"/>
    <w:rsid w:val="00B72994"/>
    <w:rsid w:val="00B72E37"/>
    <w:rsid w:val="00B72F3B"/>
    <w:rsid w:val="00B7326B"/>
    <w:rsid w:val="00B73A31"/>
    <w:rsid w:val="00B73A7F"/>
    <w:rsid w:val="00B73E86"/>
    <w:rsid w:val="00B740C1"/>
    <w:rsid w:val="00B742B6"/>
    <w:rsid w:val="00B743E6"/>
    <w:rsid w:val="00B750D9"/>
    <w:rsid w:val="00B7516E"/>
    <w:rsid w:val="00B7529B"/>
    <w:rsid w:val="00B75542"/>
    <w:rsid w:val="00B7591D"/>
    <w:rsid w:val="00B75959"/>
    <w:rsid w:val="00B75ACC"/>
    <w:rsid w:val="00B7607C"/>
    <w:rsid w:val="00B765D2"/>
    <w:rsid w:val="00B77076"/>
    <w:rsid w:val="00B77319"/>
    <w:rsid w:val="00B774A4"/>
    <w:rsid w:val="00B77ABA"/>
    <w:rsid w:val="00B77B8C"/>
    <w:rsid w:val="00B77BEC"/>
    <w:rsid w:val="00B80502"/>
    <w:rsid w:val="00B80C34"/>
    <w:rsid w:val="00B80C36"/>
    <w:rsid w:val="00B80C45"/>
    <w:rsid w:val="00B80EBF"/>
    <w:rsid w:val="00B811A4"/>
    <w:rsid w:val="00B81580"/>
    <w:rsid w:val="00B817BF"/>
    <w:rsid w:val="00B81C84"/>
    <w:rsid w:val="00B81D4B"/>
    <w:rsid w:val="00B820EB"/>
    <w:rsid w:val="00B82202"/>
    <w:rsid w:val="00B825EC"/>
    <w:rsid w:val="00B82A0F"/>
    <w:rsid w:val="00B82A6F"/>
    <w:rsid w:val="00B82FEE"/>
    <w:rsid w:val="00B831C4"/>
    <w:rsid w:val="00B833A2"/>
    <w:rsid w:val="00B83402"/>
    <w:rsid w:val="00B8384A"/>
    <w:rsid w:val="00B839C8"/>
    <w:rsid w:val="00B83D14"/>
    <w:rsid w:val="00B83DC2"/>
    <w:rsid w:val="00B84360"/>
    <w:rsid w:val="00B84583"/>
    <w:rsid w:val="00B845B8"/>
    <w:rsid w:val="00B84659"/>
    <w:rsid w:val="00B8484F"/>
    <w:rsid w:val="00B84B45"/>
    <w:rsid w:val="00B850E1"/>
    <w:rsid w:val="00B85443"/>
    <w:rsid w:val="00B85AA4"/>
    <w:rsid w:val="00B85E43"/>
    <w:rsid w:val="00B85E58"/>
    <w:rsid w:val="00B863EE"/>
    <w:rsid w:val="00B868B1"/>
    <w:rsid w:val="00B86B46"/>
    <w:rsid w:val="00B86CF7"/>
    <w:rsid w:val="00B86E4C"/>
    <w:rsid w:val="00B87333"/>
    <w:rsid w:val="00B8777B"/>
    <w:rsid w:val="00B87BA0"/>
    <w:rsid w:val="00B87F7D"/>
    <w:rsid w:val="00B90C87"/>
    <w:rsid w:val="00B9114E"/>
    <w:rsid w:val="00B9131E"/>
    <w:rsid w:val="00B9133C"/>
    <w:rsid w:val="00B91D22"/>
    <w:rsid w:val="00B91D63"/>
    <w:rsid w:val="00B920A3"/>
    <w:rsid w:val="00B922D1"/>
    <w:rsid w:val="00B924D0"/>
    <w:rsid w:val="00B92F3A"/>
    <w:rsid w:val="00B930ED"/>
    <w:rsid w:val="00B931E1"/>
    <w:rsid w:val="00B93952"/>
    <w:rsid w:val="00B93A00"/>
    <w:rsid w:val="00B93E2B"/>
    <w:rsid w:val="00B94232"/>
    <w:rsid w:val="00B94739"/>
    <w:rsid w:val="00B947B7"/>
    <w:rsid w:val="00B94D63"/>
    <w:rsid w:val="00B9511A"/>
    <w:rsid w:val="00B9521D"/>
    <w:rsid w:val="00B96227"/>
    <w:rsid w:val="00B96484"/>
    <w:rsid w:val="00B96F3A"/>
    <w:rsid w:val="00B97448"/>
    <w:rsid w:val="00B97AB8"/>
    <w:rsid w:val="00BA0048"/>
    <w:rsid w:val="00BA0296"/>
    <w:rsid w:val="00BA0AB0"/>
    <w:rsid w:val="00BA0E2A"/>
    <w:rsid w:val="00BA1990"/>
    <w:rsid w:val="00BA1DB2"/>
    <w:rsid w:val="00BA1E70"/>
    <w:rsid w:val="00BA1FFF"/>
    <w:rsid w:val="00BA218C"/>
    <w:rsid w:val="00BA289C"/>
    <w:rsid w:val="00BA2A50"/>
    <w:rsid w:val="00BA307F"/>
    <w:rsid w:val="00BA3B30"/>
    <w:rsid w:val="00BA3B3F"/>
    <w:rsid w:val="00BA3C1A"/>
    <w:rsid w:val="00BA3F02"/>
    <w:rsid w:val="00BA3F93"/>
    <w:rsid w:val="00BA49ED"/>
    <w:rsid w:val="00BA4BFF"/>
    <w:rsid w:val="00BA4C89"/>
    <w:rsid w:val="00BA5444"/>
    <w:rsid w:val="00BA54B5"/>
    <w:rsid w:val="00BA5890"/>
    <w:rsid w:val="00BA5CF6"/>
    <w:rsid w:val="00BA6144"/>
    <w:rsid w:val="00BA671B"/>
    <w:rsid w:val="00BA6887"/>
    <w:rsid w:val="00BA6C9E"/>
    <w:rsid w:val="00BA6D32"/>
    <w:rsid w:val="00BA6EF7"/>
    <w:rsid w:val="00BA6F01"/>
    <w:rsid w:val="00BA77BD"/>
    <w:rsid w:val="00BA7A72"/>
    <w:rsid w:val="00BB0521"/>
    <w:rsid w:val="00BB077B"/>
    <w:rsid w:val="00BB089A"/>
    <w:rsid w:val="00BB092C"/>
    <w:rsid w:val="00BB0995"/>
    <w:rsid w:val="00BB0DF2"/>
    <w:rsid w:val="00BB0FF0"/>
    <w:rsid w:val="00BB13AB"/>
    <w:rsid w:val="00BB3075"/>
    <w:rsid w:val="00BB3146"/>
    <w:rsid w:val="00BB34E9"/>
    <w:rsid w:val="00BB37A1"/>
    <w:rsid w:val="00BB39C9"/>
    <w:rsid w:val="00BB3E9F"/>
    <w:rsid w:val="00BB40F6"/>
    <w:rsid w:val="00BB4205"/>
    <w:rsid w:val="00BB42FE"/>
    <w:rsid w:val="00BB45F0"/>
    <w:rsid w:val="00BB4639"/>
    <w:rsid w:val="00BB4DB9"/>
    <w:rsid w:val="00BB505A"/>
    <w:rsid w:val="00BB5AC0"/>
    <w:rsid w:val="00BB5DE0"/>
    <w:rsid w:val="00BB600E"/>
    <w:rsid w:val="00BB64AD"/>
    <w:rsid w:val="00BB659C"/>
    <w:rsid w:val="00BB6697"/>
    <w:rsid w:val="00BB67AC"/>
    <w:rsid w:val="00BB68D8"/>
    <w:rsid w:val="00BB6985"/>
    <w:rsid w:val="00BB766F"/>
    <w:rsid w:val="00BB7A0B"/>
    <w:rsid w:val="00BC0091"/>
    <w:rsid w:val="00BC0312"/>
    <w:rsid w:val="00BC0B50"/>
    <w:rsid w:val="00BC0CF7"/>
    <w:rsid w:val="00BC0EC4"/>
    <w:rsid w:val="00BC1110"/>
    <w:rsid w:val="00BC1A46"/>
    <w:rsid w:val="00BC2930"/>
    <w:rsid w:val="00BC2B8B"/>
    <w:rsid w:val="00BC2BC7"/>
    <w:rsid w:val="00BC300F"/>
    <w:rsid w:val="00BC3747"/>
    <w:rsid w:val="00BC37C0"/>
    <w:rsid w:val="00BC4149"/>
    <w:rsid w:val="00BC429F"/>
    <w:rsid w:val="00BC44A5"/>
    <w:rsid w:val="00BC4576"/>
    <w:rsid w:val="00BC46B5"/>
    <w:rsid w:val="00BC49E8"/>
    <w:rsid w:val="00BC4EF6"/>
    <w:rsid w:val="00BC5092"/>
    <w:rsid w:val="00BC5493"/>
    <w:rsid w:val="00BC597A"/>
    <w:rsid w:val="00BC6D07"/>
    <w:rsid w:val="00BC72BA"/>
    <w:rsid w:val="00BC759A"/>
    <w:rsid w:val="00BC78EC"/>
    <w:rsid w:val="00BC7A07"/>
    <w:rsid w:val="00BC7D56"/>
    <w:rsid w:val="00BC7DE8"/>
    <w:rsid w:val="00BD024A"/>
    <w:rsid w:val="00BD09B8"/>
    <w:rsid w:val="00BD0FE7"/>
    <w:rsid w:val="00BD1216"/>
    <w:rsid w:val="00BD1570"/>
    <w:rsid w:val="00BD1D01"/>
    <w:rsid w:val="00BD1E53"/>
    <w:rsid w:val="00BD2142"/>
    <w:rsid w:val="00BD2270"/>
    <w:rsid w:val="00BD2278"/>
    <w:rsid w:val="00BD2318"/>
    <w:rsid w:val="00BD23F5"/>
    <w:rsid w:val="00BD2873"/>
    <w:rsid w:val="00BD2892"/>
    <w:rsid w:val="00BD2B77"/>
    <w:rsid w:val="00BD2C79"/>
    <w:rsid w:val="00BD2D8E"/>
    <w:rsid w:val="00BD3675"/>
    <w:rsid w:val="00BD3729"/>
    <w:rsid w:val="00BD3A1C"/>
    <w:rsid w:val="00BD4730"/>
    <w:rsid w:val="00BD485E"/>
    <w:rsid w:val="00BD4C06"/>
    <w:rsid w:val="00BD534F"/>
    <w:rsid w:val="00BD5491"/>
    <w:rsid w:val="00BD562C"/>
    <w:rsid w:val="00BD56C8"/>
    <w:rsid w:val="00BD56D1"/>
    <w:rsid w:val="00BD57D3"/>
    <w:rsid w:val="00BD6E36"/>
    <w:rsid w:val="00BD6F70"/>
    <w:rsid w:val="00BD748C"/>
    <w:rsid w:val="00BD75A8"/>
    <w:rsid w:val="00BD782D"/>
    <w:rsid w:val="00BD7876"/>
    <w:rsid w:val="00BD7995"/>
    <w:rsid w:val="00BD7C53"/>
    <w:rsid w:val="00BE0084"/>
    <w:rsid w:val="00BE04D3"/>
    <w:rsid w:val="00BE0B5E"/>
    <w:rsid w:val="00BE0E48"/>
    <w:rsid w:val="00BE103E"/>
    <w:rsid w:val="00BE171D"/>
    <w:rsid w:val="00BE1CD9"/>
    <w:rsid w:val="00BE1D6E"/>
    <w:rsid w:val="00BE2759"/>
    <w:rsid w:val="00BE2EDE"/>
    <w:rsid w:val="00BE3091"/>
    <w:rsid w:val="00BE33C6"/>
    <w:rsid w:val="00BE362C"/>
    <w:rsid w:val="00BE364C"/>
    <w:rsid w:val="00BE38AA"/>
    <w:rsid w:val="00BE3F1E"/>
    <w:rsid w:val="00BE4740"/>
    <w:rsid w:val="00BE4E64"/>
    <w:rsid w:val="00BE5AA2"/>
    <w:rsid w:val="00BE5AF0"/>
    <w:rsid w:val="00BE60B8"/>
    <w:rsid w:val="00BE67C2"/>
    <w:rsid w:val="00BE68EB"/>
    <w:rsid w:val="00BE6FE8"/>
    <w:rsid w:val="00BE73D1"/>
    <w:rsid w:val="00BE73F4"/>
    <w:rsid w:val="00BE78E3"/>
    <w:rsid w:val="00BE793C"/>
    <w:rsid w:val="00BE7AA6"/>
    <w:rsid w:val="00BE7FA3"/>
    <w:rsid w:val="00BF00C8"/>
    <w:rsid w:val="00BF0435"/>
    <w:rsid w:val="00BF0719"/>
    <w:rsid w:val="00BF0B5E"/>
    <w:rsid w:val="00BF0B91"/>
    <w:rsid w:val="00BF0F57"/>
    <w:rsid w:val="00BF1182"/>
    <w:rsid w:val="00BF1502"/>
    <w:rsid w:val="00BF1F0C"/>
    <w:rsid w:val="00BF2197"/>
    <w:rsid w:val="00BF2334"/>
    <w:rsid w:val="00BF2842"/>
    <w:rsid w:val="00BF2925"/>
    <w:rsid w:val="00BF349C"/>
    <w:rsid w:val="00BF3E21"/>
    <w:rsid w:val="00BF3EEF"/>
    <w:rsid w:val="00BF3EF6"/>
    <w:rsid w:val="00BF44E8"/>
    <w:rsid w:val="00BF45D7"/>
    <w:rsid w:val="00BF464C"/>
    <w:rsid w:val="00BF466A"/>
    <w:rsid w:val="00BF4852"/>
    <w:rsid w:val="00BF4903"/>
    <w:rsid w:val="00BF4AA1"/>
    <w:rsid w:val="00BF5241"/>
    <w:rsid w:val="00BF5C59"/>
    <w:rsid w:val="00BF5F44"/>
    <w:rsid w:val="00BF603B"/>
    <w:rsid w:val="00BF6A77"/>
    <w:rsid w:val="00BF6E64"/>
    <w:rsid w:val="00BF70C1"/>
    <w:rsid w:val="00BF7197"/>
    <w:rsid w:val="00BF72A8"/>
    <w:rsid w:val="00BF72CB"/>
    <w:rsid w:val="00BF77F2"/>
    <w:rsid w:val="00BF7A62"/>
    <w:rsid w:val="00C00FEE"/>
    <w:rsid w:val="00C016CC"/>
    <w:rsid w:val="00C017AE"/>
    <w:rsid w:val="00C021DE"/>
    <w:rsid w:val="00C02379"/>
    <w:rsid w:val="00C023DA"/>
    <w:rsid w:val="00C0262D"/>
    <w:rsid w:val="00C0290E"/>
    <w:rsid w:val="00C02C88"/>
    <w:rsid w:val="00C02FC8"/>
    <w:rsid w:val="00C0389F"/>
    <w:rsid w:val="00C0407D"/>
    <w:rsid w:val="00C045C1"/>
    <w:rsid w:val="00C045C9"/>
    <w:rsid w:val="00C04A89"/>
    <w:rsid w:val="00C04C22"/>
    <w:rsid w:val="00C04C98"/>
    <w:rsid w:val="00C04CC7"/>
    <w:rsid w:val="00C05085"/>
    <w:rsid w:val="00C05477"/>
    <w:rsid w:val="00C05573"/>
    <w:rsid w:val="00C05661"/>
    <w:rsid w:val="00C05758"/>
    <w:rsid w:val="00C05C0E"/>
    <w:rsid w:val="00C060E8"/>
    <w:rsid w:val="00C06160"/>
    <w:rsid w:val="00C06543"/>
    <w:rsid w:val="00C06B28"/>
    <w:rsid w:val="00C06D84"/>
    <w:rsid w:val="00C06E43"/>
    <w:rsid w:val="00C07133"/>
    <w:rsid w:val="00C073D4"/>
    <w:rsid w:val="00C07D73"/>
    <w:rsid w:val="00C07F9E"/>
    <w:rsid w:val="00C1059A"/>
    <w:rsid w:val="00C105B8"/>
    <w:rsid w:val="00C105CE"/>
    <w:rsid w:val="00C109CA"/>
    <w:rsid w:val="00C10C2D"/>
    <w:rsid w:val="00C11444"/>
    <w:rsid w:val="00C11C72"/>
    <w:rsid w:val="00C12134"/>
    <w:rsid w:val="00C123DD"/>
    <w:rsid w:val="00C1240F"/>
    <w:rsid w:val="00C12A41"/>
    <w:rsid w:val="00C12F78"/>
    <w:rsid w:val="00C13016"/>
    <w:rsid w:val="00C13236"/>
    <w:rsid w:val="00C139F1"/>
    <w:rsid w:val="00C13F37"/>
    <w:rsid w:val="00C1429E"/>
    <w:rsid w:val="00C1443F"/>
    <w:rsid w:val="00C1495C"/>
    <w:rsid w:val="00C14D22"/>
    <w:rsid w:val="00C15267"/>
    <w:rsid w:val="00C15596"/>
    <w:rsid w:val="00C156FE"/>
    <w:rsid w:val="00C1583F"/>
    <w:rsid w:val="00C16260"/>
    <w:rsid w:val="00C1672E"/>
    <w:rsid w:val="00C16EB3"/>
    <w:rsid w:val="00C170B1"/>
    <w:rsid w:val="00C171E0"/>
    <w:rsid w:val="00C171FE"/>
    <w:rsid w:val="00C172D3"/>
    <w:rsid w:val="00C172E5"/>
    <w:rsid w:val="00C174F0"/>
    <w:rsid w:val="00C176ED"/>
    <w:rsid w:val="00C17DB5"/>
    <w:rsid w:val="00C17E0A"/>
    <w:rsid w:val="00C200BD"/>
    <w:rsid w:val="00C20128"/>
    <w:rsid w:val="00C21B8D"/>
    <w:rsid w:val="00C22027"/>
    <w:rsid w:val="00C23021"/>
    <w:rsid w:val="00C233A9"/>
    <w:rsid w:val="00C233E7"/>
    <w:rsid w:val="00C238AC"/>
    <w:rsid w:val="00C24356"/>
    <w:rsid w:val="00C24B43"/>
    <w:rsid w:val="00C24B97"/>
    <w:rsid w:val="00C255E7"/>
    <w:rsid w:val="00C258A1"/>
    <w:rsid w:val="00C25AAF"/>
    <w:rsid w:val="00C25CA1"/>
    <w:rsid w:val="00C25DA7"/>
    <w:rsid w:val="00C26B8F"/>
    <w:rsid w:val="00C26EE6"/>
    <w:rsid w:val="00C26F45"/>
    <w:rsid w:val="00C27311"/>
    <w:rsid w:val="00C27317"/>
    <w:rsid w:val="00C27542"/>
    <w:rsid w:val="00C27BBA"/>
    <w:rsid w:val="00C27FE7"/>
    <w:rsid w:val="00C30211"/>
    <w:rsid w:val="00C30B0F"/>
    <w:rsid w:val="00C30D32"/>
    <w:rsid w:val="00C30DF3"/>
    <w:rsid w:val="00C30F98"/>
    <w:rsid w:val="00C3135C"/>
    <w:rsid w:val="00C31B32"/>
    <w:rsid w:val="00C327FD"/>
    <w:rsid w:val="00C32B00"/>
    <w:rsid w:val="00C32FD1"/>
    <w:rsid w:val="00C32FF8"/>
    <w:rsid w:val="00C332A3"/>
    <w:rsid w:val="00C33526"/>
    <w:rsid w:val="00C335DF"/>
    <w:rsid w:val="00C33699"/>
    <w:rsid w:val="00C33E0C"/>
    <w:rsid w:val="00C33EA3"/>
    <w:rsid w:val="00C34399"/>
    <w:rsid w:val="00C34C23"/>
    <w:rsid w:val="00C352DB"/>
    <w:rsid w:val="00C355F6"/>
    <w:rsid w:val="00C35BFE"/>
    <w:rsid w:val="00C36356"/>
    <w:rsid w:val="00C369B5"/>
    <w:rsid w:val="00C36DC0"/>
    <w:rsid w:val="00C376BD"/>
    <w:rsid w:val="00C37AFE"/>
    <w:rsid w:val="00C37D8D"/>
    <w:rsid w:val="00C37EB2"/>
    <w:rsid w:val="00C37F5A"/>
    <w:rsid w:val="00C401B2"/>
    <w:rsid w:val="00C406F3"/>
    <w:rsid w:val="00C407D1"/>
    <w:rsid w:val="00C410B6"/>
    <w:rsid w:val="00C4119D"/>
    <w:rsid w:val="00C4122A"/>
    <w:rsid w:val="00C41F98"/>
    <w:rsid w:val="00C4201E"/>
    <w:rsid w:val="00C42A9F"/>
    <w:rsid w:val="00C42B8C"/>
    <w:rsid w:val="00C42C21"/>
    <w:rsid w:val="00C430A6"/>
    <w:rsid w:val="00C43112"/>
    <w:rsid w:val="00C432A4"/>
    <w:rsid w:val="00C43B15"/>
    <w:rsid w:val="00C43CE6"/>
    <w:rsid w:val="00C44863"/>
    <w:rsid w:val="00C44CEC"/>
    <w:rsid w:val="00C45201"/>
    <w:rsid w:val="00C4545D"/>
    <w:rsid w:val="00C4579E"/>
    <w:rsid w:val="00C45896"/>
    <w:rsid w:val="00C459A8"/>
    <w:rsid w:val="00C45B1A"/>
    <w:rsid w:val="00C46280"/>
    <w:rsid w:val="00C46289"/>
    <w:rsid w:val="00C46532"/>
    <w:rsid w:val="00C467A0"/>
    <w:rsid w:val="00C46879"/>
    <w:rsid w:val="00C469D5"/>
    <w:rsid w:val="00C46F8D"/>
    <w:rsid w:val="00C471B1"/>
    <w:rsid w:val="00C47D02"/>
    <w:rsid w:val="00C50162"/>
    <w:rsid w:val="00C50236"/>
    <w:rsid w:val="00C508FC"/>
    <w:rsid w:val="00C519DF"/>
    <w:rsid w:val="00C51AF1"/>
    <w:rsid w:val="00C51D12"/>
    <w:rsid w:val="00C51DEE"/>
    <w:rsid w:val="00C521E3"/>
    <w:rsid w:val="00C52422"/>
    <w:rsid w:val="00C52776"/>
    <w:rsid w:val="00C53418"/>
    <w:rsid w:val="00C53C60"/>
    <w:rsid w:val="00C54127"/>
    <w:rsid w:val="00C543BD"/>
    <w:rsid w:val="00C54422"/>
    <w:rsid w:val="00C548D8"/>
    <w:rsid w:val="00C54A56"/>
    <w:rsid w:val="00C550FC"/>
    <w:rsid w:val="00C552FF"/>
    <w:rsid w:val="00C558D2"/>
    <w:rsid w:val="00C5613B"/>
    <w:rsid w:val="00C567F2"/>
    <w:rsid w:val="00C56CEC"/>
    <w:rsid w:val="00C56CF1"/>
    <w:rsid w:val="00C56D81"/>
    <w:rsid w:val="00C56E5E"/>
    <w:rsid w:val="00C56FC0"/>
    <w:rsid w:val="00C575C0"/>
    <w:rsid w:val="00C6113E"/>
    <w:rsid w:val="00C61251"/>
    <w:rsid w:val="00C61390"/>
    <w:rsid w:val="00C6186F"/>
    <w:rsid w:val="00C61876"/>
    <w:rsid w:val="00C61936"/>
    <w:rsid w:val="00C61956"/>
    <w:rsid w:val="00C61A15"/>
    <w:rsid w:val="00C61A9C"/>
    <w:rsid w:val="00C61E82"/>
    <w:rsid w:val="00C6209C"/>
    <w:rsid w:val="00C622D5"/>
    <w:rsid w:val="00C6249C"/>
    <w:rsid w:val="00C62536"/>
    <w:rsid w:val="00C625D4"/>
    <w:rsid w:val="00C62A62"/>
    <w:rsid w:val="00C62D6E"/>
    <w:rsid w:val="00C62E57"/>
    <w:rsid w:val="00C62E82"/>
    <w:rsid w:val="00C62EE4"/>
    <w:rsid w:val="00C63945"/>
    <w:rsid w:val="00C6499D"/>
    <w:rsid w:val="00C64B59"/>
    <w:rsid w:val="00C651FF"/>
    <w:rsid w:val="00C6529F"/>
    <w:rsid w:val="00C65D72"/>
    <w:rsid w:val="00C65F0E"/>
    <w:rsid w:val="00C65F4B"/>
    <w:rsid w:val="00C66202"/>
    <w:rsid w:val="00C664F9"/>
    <w:rsid w:val="00C6667B"/>
    <w:rsid w:val="00C6668E"/>
    <w:rsid w:val="00C667BC"/>
    <w:rsid w:val="00C66849"/>
    <w:rsid w:val="00C66FE0"/>
    <w:rsid w:val="00C675FB"/>
    <w:rsid w:val="00C67648"/>
    <w:rsid w:val="00C67C03"/>
    <w:rsid w:val="00C709A4"/>
    <w:rsid w:val="00C70C9D"/>
    <w:rsid w:val="00C70EA8"/>
    <w:rsid w:val="00C7107A"/>
    <w:rsid w:val="00C715F0"/>
    <w:rsid w:val="00C71714"/>
    <w:rsid w:val="00C717A1"/>
    <w:rsid w:val="00C72423"/>
    <w:rsid w:val="00C7256E"/>
    <w:rsid w:val="00C72910"/>
    <w:rsid w:val="00C72A55"/>
    <w:rsid w:val="00C72C1A"/>
    <w:rsid w:val="00C73353"/>
    <w:rsid w:val="00C7355D"/>
    <w:rsid w:val="00C739B9"/>
    <w:rsid w:val="00C7441B"/>
    <w:rsid w:val="00C74B22"/>
    <w:rsid w:val="00C75319"/>
    <w:rsid w:val="00C7569E"/>
    <w:rsid w:val="00C7611A"/>
    <w:rsid w:val="00C7651D"/>
    <w:rsid w:val="00C776B6"/>
    <w:rsid w:val="00C77886"/>
    <w:rsid w:val="00C77C5F"/>
    <w:rsid w:val="00C8016B"/>
    <w:rsid w:val="00C807DD"/>
    <w:rsid w:val="00C80C3F"/>
    <w:rsid w:val="00C80C44"/>
    <w:rsid w:val="00C80D13"/>
    <w:rsid w:val="00C80FF8"/>
    <w:rsid w:val="00C810AB"/>
    <w:rsid w:val="00C818DA"/>
    <w:rsid w:val="00C81C86"/>
    <w:rsid w:val="00C81F08"/>
    <w:rsid w:val="00C8342C"/>
    <w:rsid w:val="00C83E5A"/>
    <w:rsid w:val="00C84061"/>
    <w:rsid w:val="00C8432B"/>
    <w:rsid w:val="00C845ED"/>
    <w:rsid w:val="00C84D90"/>
    <w:rsid w:val="00C850E1"/>
    <w:rsid w:val="00C8524F"/>
    <w:rsid w:val="00C85395"/>
    <w:rsid w:val="00C854AB"/>
    <w:rsid w:val="00C859A6"/>
    <w:rsid w:val="00C85A91"/>
    <w:rsid w:val="00C8608C"/>
    <w:rsid w:val="00C86543"/>
    <w:rsid w:val="00C86844"/>
    <w:rsid w:val="00C86BAC"/>
    <w:rsid w:val="00C86EEA"/>
    <w:rsid w:val="00C870D7"/>
    <w:rsid w:val="00C874B4"/>
    <w:rsid w:val="00C8781B"/>
    <w:rsid w:val="00C87887"/>
    <w:rsid w:val="00C87E5D"/>
    <w:rsid w:val="00C902A2"/>
    <w:rsid w:val="00C90332"/>
    <w:rsid w:val="00C90583"/>
    <w:rsid w:val="00C906B5"/>
    <w:rsid w:val="00C90C3E"/>
    <w:rsid w:val="00C91C0F"/>
    <w:rsid w:val="00C920A2"/>
    <w:rsid w:val="00C924F0"/>
    <w:rsid w:val="00C924F2"/>
    <w:rsid w:val="00C9336F"/>
    <w:rsid w:val="00C93DFD"/>
    <w:rsid w:val="00C940F8"/>
    <w:rsid w:val="00C94172"/>
    <w:rsid w:val="00C945C7"/>
    <w:rsid w:val="00C94C1D"/>
    <w:rsid w:val="00C94CE6"/>
    <w:rsid w:val="00C94CF4"/>
    <w:rsid w:val="00C9568F"/>
    <w:rsid w:val="00C95BB6"/>
    <w:rsid w:val="00C95DB1"/>
    <w:rsid w:val="00C95F1E"/>
    <w:rsid w:val="00C95F45"/>
    <w:rsid w:val="00C96836"/>
    <w:rsid w:val="00C969E0"/>
    <w:rsid w:val="00C96B5E"/>
    <w:rsid w:val="00C96C6A"/>
    <w:rsid w:val="00C971B9"/>
    <w:rsid w:val="00C9721A"/>
    <w:rsid w:val="00C97AE8"/>
    <w:rsid w:val="00CA00D2"/>
    <w:rsid w:val="00CA09CD"/>
    <w:rsid w:val="00CA0BB8"/>
    <w:rsid w:val="00CA0CF7"/>
    <w:rsid w:val="00CA1C2A"/>
    <w:rsid w:val="00CA1EB0"/>
    <w:rsid w:val="00CA2196"/>
    <w:rsid w:val="00CA2227"/>
    <w:rsid w:val="00CA22A6"/>
    <w:rsid w:val="00CA24EE"/>
    <w:rsid w:val="00CA2580"/>
    <w:rsid w:val="00CA2F00"/>
    <w:rsid w:val="00CA3381"/>
    <w:rsid w:val="00CA3469"/>
    <w:rsid w:val="00CA380B"/>
    <w:rsid w:val="00CA3DB6"/>
    <w:rsid w:val="00CA3E4C"/>
    <w:rsid w:val="00CA4181"/>
    <w:rsid w:val="00CA462B"/>
    <w:rsid w:val="00CA4DFF"/>
    <w:rsid w:val="00CA505D"/>
    <w:rsid w:val="00CA5188"/>
    <w:rsid w:val="00CA5487"/>
    <w:rsid w:val="00CA6044"/>
    <w:rsid w:val="00CA7654"/>
    <w:rsid w:val="00CA7950"/>
    <w:rsid w:val="00CA7A16"/>
    <w:rsid w:val="00CA7A52"/>
    <w:rsid w:val="00CB02BC"/>
    <w:rsid w:val="00CB0A90"/>
    <w:rsid w:val="00CB1066"/>
    <w:rsid w:val="00CB1309"/>
    <w:rsid w:val="00CB15FD"/>
    <w:rsid w:val="00CB2251"/>
    <w:rsid w:val="00CB2794"/>
    <w:rsid w:val="00CB2C7B"/>
    <w:rsid w:val="00CB3478"/>
    <w:rsid w:val="00CB370D"/>
    <w:rsid w:val="00CB3C74"/>
    <w:rsid w:val="00CB4288"/>
    <w:rsid w:val="00CB43BD"/>
    <w:rsid w:val="00CB4F0E"/>
    <w:rsid w:val="00CB4F9F"/>
    <w:rsid w:val="00CB5348"/>
    <w:rsid w:val="00CB5E7A"/>
    <w:rsid w:val="00CB6523"/>
    <w:rsid w:val="00CB6638"/>
    <w:rsid w:val="00CB6E1D"/>
    <w:rsid w:val="00CB6F60"/>
    <w:rsid w:val="00CB7169"/>
    <w:rsid w:val="00CC013C"/>
    <w:rsid w:val="00CC0855"/>
    <w:rsid w:val="00CC0F02"/>
    <w:rsid w:val="00CC19FA"/>
    <w:rsid w:val="00CC1EFA"/>
    <w:rsid w:val="00CC2127"/>
    <w:rsid w:val="00CC2563"/>
    <w:rsid w:val="00CC2D1C"/>
    <w:rsid w:val="00CC3933"/>
    <w:rsid w:val="00CC3AE2"/>
    <w:rsid w:val="00CC3C4B"/>
    <w:rsid w:val="00CC3D6E"/>
    <w:rsid w:val="00CC3F6F"/>
    <w:rsid w:val="00CC4910"/>
    <w:rsid w:val="00CC49DD"/>
    <w:rsid w:val="00CC4B8A"/>
    <w:rsid w:val="00CC510B"/>
    <w:rsid w:val="00CC53EF"/>
    <w:rsid w:val="00CC5486"/>
    <w:rsid w:val="00CC54E7"/>
    <w:rsid w:val="00CC5F0E"/>
    <w:rsid w:val="00CC64E7"/>
    <w:rsid w:val="00CC676D"/>
    <w:rsid w:val="00CC6901"/>
    <w:rsid w:val="00CC6C05"/>
    <w:rsid w:val="00CC72CE"/>
    <w:rsid w:val="00CC76E3"/>
    <w:rsid w:val="00CC7A01"/>
    <w:rsid w:val="00CC7A5F"/>
    <w:rsid w:val="00CC7DEB"/>
    <w:rsid w:val="00CD07B8"/>
    <w:rsid w:val="00CD0932"/>
    <w:rsid w:val="00CD1359"/>
    <w:rsid w:val="00CD1708"/>
    <w:rsid w:val="00CD1892"/>
    <w:rsid w:val="00CD1F03"/>
    <w:rsid w:val="00CD200A"/>
    <w:rsid w:val="00CD256B"/>
    <w:rsid w:val="00CD2724"/>
    <w:rsid w:val="00CD27CC"/>
    <w:rsid w:val="00CD292E"/>
    <w:rsid w:val="00CD2FE9"/>
    <w:rsid w:val="00CD336C"/>
    <w:rsid w:val="00CD4030"/>
    <w:rsid w:val="00CD419C"/>
    <w:rsid w:val="00CD461C"/>
    <w:rsid w:val="00CD4680"/>
    <w:rsid w:val="00CD4798"/>
    <w:rsid w:val="00CD49AC"/>
    <w:rsid w:val="00CD4ABF"/>
    <w:rsid w:val="00CD4B41"/>
    <w:rsid w:val="00CD4F4C"/>
    <w:rsid w:val="00CD5693"/>
    <w:rsid w:val="00CD5B28"/>
    <w:rsid w:val="00CD5F12"/>
    <w:rsid w:val="00CD6154"/>
    <w:rsid w:val="00CD620F"/>
    <w:rsid w:val="00CD6721"/>
    <w:rsid w:val="00CD69C8"/>
    <w:rsid w:val="00CD6AEC"/>
    <w:rsid w:val="00CD6CFD"/>
    <w:rsid w:val="00CD6D0A"/>
    <w:rsid w:val="00CD78F5"/>
    <w:rsid w:val="00CD7D57"/>
    <w:rsid w:val="00CD7F20"/>
    <w:rsid w:val="00CE1600"/>
    <w:rsid w:val="00CE1711"/>
    <w:rsid w:val="00CE1F6C"/>
    <w:rsid w:val="00CE279E"/>
    <w:rsid w:val="00CE28D6"/>
    <w:rsid w:val="00CE2A05"/>
    <w:rsid w:val="00CE2A56"/>
    <w:rsid w:val="00CE3488"/>
    <w:rsid w:val="00CE393F"/>
    <w:rsid w:val="00CE3A70"/>
    <w:rsid w:val="00CE3C00"/>
    <w:rsid w:val="00CE3D31"/>
    <w:rsid w:val="00CE403B"/>
    <w:rsid w:val="00CE45BA"/>
    <w:rsid w:val="00CE53C4"/>
    <w:rsid w:val="00CE54E0"/>
    <w:rsid w:val="00CE54E1"/>
    <w:rsid w:val="00CE5782"/>
    <w:rsid w:val="00CE58FA"/>
    <w:rsid w:val="00CE59CD"/>
    <w:rsid w:val="00CE5F51"/>
    <w:rsid w:val="00CE5FDA"/>
    <w:rsid w:val="00CE66C8"/>
    <w:rsid w:val="00CE76FA"/>
    <w:rsid w:val="00CE7847"/>
    <w:rsid w:val="00CE7889"/>
    <w:rsid w:val="00CE7EAC"/>
    <w:rsid w:val="00CF0047"/>
    <w:rsid w:val="00CF0303"/>
    <w:rsid w:val="00CF046D"/>
    <w:rsid w:val="00CF0675"/>
    <w:rsid w:val="00CF06B3"/>
    <w:rsid w:val="00CF0917"/>
    <w:rsid w:val="00CF101F"/>
    <w:rsid w:val="00CF11BE"/>
    <w:rsid w:val="00CF1310"/>
    <w:rsid w:val="00CF16F5"/>
    <w:rsid w:val="00CF1847"/>
    <w:rsid w:val="00CF1943"/>
    <w:rsid w:val="00CF27BF"/>
    <w:rsid w:val="00CF2B2B"/>
    <w:rsid w:val="00CF3030"/>
    <w:rsid w:val="00CF31DA"/>
    <w:rsid w:val="00CF3B2E"/>
    <w:rsid w:val="00CF42B4"/>
    <w:rsid w:val="00CF4384"/>
    <w:rsid w:val="00CF4478"/>
    <w:rsid w:val="00CF44F9"/>
    <w:rsid w:val="00CF4B33"/>
    <w:rsid w:val="00CF4BD5"/>
    <w:rsid w:val="00CF56BC"/>
    <w:rsid w:val="00CF5AD5"/>
    <w:rsid w:val="00CF5B71"/>
    <w:rsid w:val="00CF5DE2"/>
    <w:rsid w:val="00CF65F3"/>
    <w:rsid w:val="00CF6916"/>
    <w:rsid w:val="00CF6B59"/>
    <w:rsid w:val="00CF76FD"/>
    <w:rsid w:val="00CF7E2C"/>
    <w:rsid w:val="00D001C4"/>
    <w:rsid w:val="00D0045E"/>
    <w:rsid w:val="00D00478"/>
    <w:rsid w:val="00D005C3"/>
    <w:rsid w:val="00D00911"/>
    <w:rsid w:val="00D00A78"/>
    <w:rsid w:val="00D01151"/>
    <w:rsid w:val="00D0123A"/>
    <w:rsid w:val="00D012B4"/>
    <w:rsid w:val="00D01476"/>
    <w:rsid w:val="00D01627"/>
    <w:rsid w:val="00D01665"/>
    <w:rsid w:val="00D01C27"/>
    <w:rsid w:val="00D02898"/>
    <w:rsid w:val="00D02C74"/>
    <w:rsid w:val="00D02D88"/>
    <w:rsid w:val="00D03C09"/>
    <w:rsid w:val="00D03D3D"/>
    <w:rsid w:val="00D046C3"/>
    <w:rsid w:val="00D04DEA"/>
    <w:rsid w:val="00D05AEF"/>
    <w:rsid w:val="00D05B72"/>
    <w:rsid w:val="00D05E44"/>
    <w:rsid w:val="00D0618E"/>
    <w:rsid w:val="00D06201"/>
    <w:rsid w:val="00D063AC"/>
    <w:rsid w:val="00D0645D"/>
    <w:rsid w:val="00D06746"/>
    <w:rsid w:val="00D06A78"/>
    <w:rsid w:val="00D06A91"/>
    <w:rsid w:val="00D06FC3"/>
    <w:rsid w:val="00D071B2"/>
    <w:rsid w:val="00D07561"/>
    <w:rsid w:val="00D078F9"/>
    <w:rsid w:val="00D07DB4"/>
    <w:rsid w:val="00D07ED3"/>
    <w:rsid w:val="00D10258"/>
    <w:rsid w:val="00D104E0"/>
    <w:rsid w:val="00D10530"/>
    <w:rsid w:val="00D10A24"/>
    <w:rsid w:val="00D10D1B"/>
    <w:rsid w:val="00D119CF"/>
    <w:rsid w:val="00D11B39"/>
    <w:rsid w:val="00D11C4E"/>
    <w:rsid w:val="00D11C84"/>
    <w:rsid w:val="00D12059"/>
    <w:rsid w:val="00D1209D"/>
    <w:rsid w:val="00D125E5"/>
    <w:rsid w:val="00D12C2C"/>
    <w:rsid w:val="00D1308D"/>
    <w:rsid w:val="00D137FD"/>
    <w:rsid w:val="00D1408D"/>
    <w:rsid w:val="00D14239"/>
    <w:rsid w:val="00D148D4"/>
    <w:rsid w:val="00D14E0D"/>
    <w:rsid w:val="00D152B5"/>
    <w:rsid w:val="00D15D58"/>
    <w:rsid w:val="00D15F59"/>
    <w:rsid w:val="00D15FCB"/>
    <w:rsid w:val="00D165F4"/>
    <w:rsid w:val="00D16940"/>
    <w:rsid w:val="00D178D3"/>
    <w:rsid w:val="00D17AB5"/>
    <w:rsid w:val="00D17B48"/>
    <w:rsid w:val="00D20231"/>
    <w:rsid w:val="00D202A8"/>
    <w:rsid w:val="00D206FC"/>
    <w:rsid w:val="00D2092D"/>
    <w:rsid w:val="00D20DE3"/>
    <w:rsid w:val="00D210C6"/>
    <w:rsid w:val="00D2125C"/>
    <w:rsid w:val="00D21845"/>
    <w:rsid w:val="00D21D1F"/>
    <w:rsid w:val="00D2248D"/>
    <w:rsid w:val="00D22DF1"/>
    <w:rsid w:val="00D22F0C"/>
    <w:rsid w:val="00D23163"/>
    <w:rsid w:val="00D233FD"/>
    <w:rsid w:val="00D235D3"/>
    <w:rsid w:val="00D23F81"/>
    <w:rsid w:val="00D240BC"/>
    <w:rsid w:val="00D247B7"/>
    <w:rsid w:val="00D24ADA"/>
    <w:rsid w:val="00D2506C"/>
    <w:rsid w:val="00D25462"/>
    <w:rsid w:val="00D25B08"/>
    <w:rsid w:val="00D2611B"/>
    <w:rsid w:val="00D26AFB"/>
    <w:rsid w:val="00D26C56"/>
    <w:rsid w:val="00D26EB7"/>
    <w:rsid w:val="00D274D0"/>
    <w:rsid w:val="00D276E8"/>
    <w:rsid w:val="00D2787E"/>
    <w:rsid w:val="00D278C5"/>
    <w:rsid w:val="00D27BB0"/>
    <w:rsid w:val="00D27D5D"/>
    <w:rsid w:val="00D302C2"/>
    <w:rsid w:val="00D3031D"/>
    <w:rsid w:val="00D30407"/>
    <w:rsid w:val="00D30C3C"/>
    <w:rsid w:val="00D30E08"/>
    <w:rsid w:val="00D31283"/>
    <w:rsid w:val="00D31DA6"/>
    <w:rsid w:val="00D322AB"/>
    <w:rsid w:val="00D327E7"/>
    <w:rsid w:val="00D3288A"/>
    <w:rsid w:val="00D3299A"/>
    <w:rsid w:val="00D32B82"/>
    <w:rsid w:val="00D32D41"/>
    <w:rsid w:val="00D33234"/>
    <w:rsid w:val="00D336DB"/>
    <w:rsid w:val="00D339F2"/>
    <w:rsid w:val="00D33E6C"/>
    <w:rsid w:val="00D34301"/>
    <w:rsid w:val="00D34338"/>
    <w:rsid w:val="00D3477B"/>
    <w:rsid w:val="00D35476"/>
    <w:rsid w:val="00D355E3"/>
    <w:rsid w:val="00D35BB7"/>
    <w:rsid w:val="00D360A8"/>
    <w:rsid w:val="00D3620E"/>
    <w:rsid w:val="00D363DE"/>
    <w:rsid w:val="00D3653D"/>
    <w:rsid w:val="00D36E6C"/>
    <w:rsid w:val="00D371DF"/>
    <w:rsid w:val="00D37741"/>
    <w:rsid w:val="00D4011A"/>
    <w:rsid w:val="00D404CD"/>
    <w:rsid w:val="00D4101C"/>
    <w:rsid w:val="00D41218"/>
    <w:rsid w:val="00D4129C"/>
    <w:rsid w:val="00D414E8"/>
    <w:rsid w:val="00D41B85"/>
    <w:rsid w:val="00D41EBD"/>
    <w:rsid w:val="00D42F40"/>
    <w:rsid w:val="00D43162"/>
    <w:rsid w:val="00D4343B"/>
    <w:rsid w:val="00D43617"/>
    <w:rsid w:val="00D43652"/>
    <w:rsid w:val="00D436A4"/>
    <w:rsid w:val="00D43935"/>
    <w:rsid w:val="00D43AE4"/>
    <w:rsid w:val="00D44056"/>
    <w:rsid w:val="00D440B4"/>
    <w:rsid w:val="00D44207"/>
    <w:rsid w:val="00D44948"/>
    <w:rsid w:val="00D44B87"/>
    <w:rsid w:val="00D45019"/>
    <w:rsid w:val="00D4522C"/>
    <w:rsid w:val="00D45595"/>
    <w:rsid w:val="00D4562D"/>
    <w:rsid w:val="00D45945"/>
    <w:rsid w:val="00D45ABC"/>
    <w:rsid w:val="00D45B0F"/>
    <w:rsid w:val="00D45B65"/>
    <w:rsid w:val="00D461BC"/>
    <w:rsid w:val="00D46289"/>
    <w:rsid w:val="00D46743"/>
    <w:rsid w:val="00D46AA4"/>
    <w:rsid w:val="00D4761B"/>
    <w:rsid w:val="00D4764F"/>
    <w:rsid w:val="00D50682"/>
    <w:rsid w:val="00D50970"/>
    <w:rsid w:val="00D509DE"/>
    <w:rsid w:val="00D50A49"/>
    <w:rsid w:val="00D51386"/>
    <w:rsid w:val="00D51749"/>
    <w:rsid w:val="00D5184E"/>
    <w:rsid w:val="00D51ABC"/>
    <w:rsid w:val="00D51E0B"/>
    <w:rsid w:val="00D51F1F"/>
    <w:rsid w:val="00D522A8"/>
    <w:rsid w:val="00D52632"/>
    <w:rsid w:val="00D52987"/>
    <w:rsid w:val="00D52FE5"/>
    <w:rsid w:val="00D53410"/>
    <w:rsid w:val="00D53CDB"/>
    <w:rsid w:val="00D53DA3"/>
    <w:rsid w:val="00D53F1B"/>
    <w:rsid w:val="00D53F42"/>
    <w:rsid w:val="00D54136"/>
    <w:rsid w:val="00D54835"/>
    <w:rsid w:val="00D54BD4"/>
    <w:rsid w:val="00D54ED9"/>
    <w:rsid w:val="00D550F9"/>
    <w:rsid w:val="00D55D06"/>
    <w:rsid w:val="00D56298"/>
    <w:rsid w:val="00D563A2"/>
    <w:rsid w:val="00D56892"/>
    <w:rsid w:val="00D56FB6"/>
    <w:rsid w:val="00D577DF"/>
    <w:rsid w:val="00D57D66"/>
    <w:rsid w:val="00D601BE"/>
    <w:rsid w:val="00D607B7"/>
    <w:rsid w:val="00D60AA7"/>
    <w:rsid w:val="00D60B38"/>
    <w:rsid w:val="00D60BAA"/>
    <w:rsid w:val="00D61385"/>
    <w:rsid w:val="00D61640"/>
    <w:rsid w:val="00D61715"/>
    <w:rsid w:val="00D61788"/>
    <w:rsid w:val="00D61865"/>
    <w:rsid w:val="00D61896"/>
    <w:rsid w:val="00D61CBC"/>
    <w:rsid w:val="00D623A4"/>
    <w:rsid w:val="00D62C09"/>
    <w:rsid w:val="00D634CB"/>
    <w:rsid w:val="00D639BD"/>
    <w:rsid w:val="00D639EA"/>
    <w:rsid w:val="00D63FD6"/>
    <w:rsid w:val="00D6417B"/>
    <w:rsid w:val="00D641E6"/>
    <w:rsid w:val="00D6465C"/>
    <w:rsid w:val="00D64D84"/>
    <w:rsid w:val="00D651A9"/>
    <w:rsid w:val="00D65406"/>
    <w:rsid w:val="00D65A6E"/>
    <w:rsid w:val="00D65BDF"/>
    <w:rsid w:val="00D6606D"/>
    <w:rsid w:val="00D667AD"/>
    <w:rsid w:val="00D66A32"/>
    <w:rsid w:val="00D66BE9"/>
    <w:rsid w:val="00D67045"/>
    <w:rsid w:val="00D6723F"/>
    <w:rsid w:val="00D672F0"/>
    <w:rsid w:val="00D67590"/>
    <w:rsid w:val="00D6786E"/>
    <w:rsid w:val="00D67ADD"/>
    <w:rsid w:val="00D67B3B"/>
    <w:rsid w:val="00D67DE1"/>
    <w:rsid w:val="00D704CB"/>
    <w:rsid w:val="00D70853"/>
    <w:rsid w:val="00D708D0"/>
    <w:rsid w:val="00D71401"/>
    <w:rsid w:val="00D716C7"/>
    <w:rsid w:val="00D71990"/>
    <w:rsid w:val="00D71AE5"/>
    <w:rsid w:val="00D71CBC"/>
    <w:rsid w:val="00D71DCE"/>
    <w:rsid w:val="00D72008"/>
    <w:rsid w:val="00D72256"/>
    <w:rsid w:val="00D72315"/>
    <w:rsid w:val="00D72533"/>
    <w:rsid w:val="00D72ABD"/>
    <w:rsid w:val="00D72BED"/>
    <w:rsid w:val="00D72C2C"/>
    <w:rsid w:val="00D732FE"/>
    <w:rsid w:val="00D73570"/>
    <w:rsid w:val="00D7418D"/>
    <w:rsid w:val="00D7442C"/>
    <w:rsid w:val="00D74834"/>
    <w:rsid w:val="00D7502B"/>
    <w:rsid w:val="00D75292"/>
    <w:rsid w:val="00D7536B"/>
    <w:rsid w:val="00D7552B"/>
    <w:rsid w:val="00D75582"/>
    <w:rsid w:val="00D756ED"/>
    <w:rsid w:val="00D7589B"/>
    <w:rsid w:val="00D75AC2"/>
    <w:rsid w:val="00D76116"/>
    <w:rsid w:val="00D76432"/>
    <w:rsid w:val="00D766A4"/>
    <w:rsid w:val="00D7671E"/>
    <w:rsid w:val="00D76A3E"/>
    <w:rsid w:val="00D804A5"/>
    <w:rsid w:val="00D80FB9"/>
    <w:rsid w:val="00D8115A"/>
    <w:rsid w:val="00D811FB"/>
    <w:rsid w:val="00D81276"/>
    <w:rsid w:val="00D8136A"/>
    <w:rsid w:val="00D81807"/>
    <w:rsid w:val="00D81D81"/>
    <w:rsid w:val="00D81DA1"/>
    <w:rsid w:val="00D81EFA"/>
    <w:rsid w:val="00D82486"/>
    <w:rsid w:val="00D82818"/>
    <w:rsid w:val="00D83148"/>
    <w:rsid w:val="00D833DE"/>
    <w:rsid w:val="00D83638"/>
    <w:rsid w:val="00D83725"/>
    <w:rsid w:val="00D8398F"/>
    <w:rsid w:val="00D83DAE"/>
    <w:rsid w:val="00D83FF9"/>
    <w:rsid w:val="00D84432"/>
    <w:rsid w:val="00D84D60"/>
    <w:rsid w:val="00D85337"/>
    <w:rsid w:val="00D853ED"/>
    <w:rsid w:val="00D85E16"/>
    <w:rsid w:val="00D86386"/>
    <w:rsid w:val="00D864A6"/>
    <w:rsid w:val="00D86AC9"/>
    <w:rsid w:val="00D86C93"/>
    <w:rsid w:val="00D8702A"/>
    <w:rsid w:val="00D87078"/>
    <w:rsid w:val="00D87088"/>
    <w:rsid w:val="00D87459"/>
    <w:rsid w:val="00D8769A"/>
    <w:rsid w:val="00D876CD"/>
    <w:rsid w:val="00D87934"/>
    <w:rsid w:val="00D87B9E"/>
    <w:rsid w:val="00D90494"/>
    <w:rsid w:val="00D90567"/>
    <w:rsid w:val="00D907EF"/>
    <w:rsid w:val="00D90834"/>
    <w:rsid w:val="00D90C09"/>
    <w:rsid w:val="00D90C29"/>
    <w:rsid w:val="00D90CE7"/>
    <w:rsid w:val="00D90EAA"/>
    <w:rsid w:val="00D91189"/>
    <w:rsid w:val="00D925AA"/>
    <w:rsid w:val="00D92A6B"/>
    <w:rsid w:val="00D92AA2"/>
    <w:rsid w:val="00D92DB9"/>
    <w:rsid w:val="00D92F1A"/>
    <w:rsid w:val="00D92F40"/>
    <w:rsid w:val="00D93D7D"/>
    <w:rsid w:val="00D941F0"/>
    <w:rsid w:val="00D943A4"/>
    <w:rsid w:val="00D947D1"/>
    <w:rsid w:val="00D94C0B"/>
    <w:rsid w:val="00D95034"/>
    <w:rsid w:val="00D952A6"/>
    <w:rsid w:val="00D953F3"/>
    <w:rsid w:val="00D955D9"/>
    <w:rsid w:val="00D9568F"/>
    <w:rsid w:val="00D95ADE"/>
    <w:rsid w:val="00D95B78"/>
    <w:rsid w:val="00D97394"/>
    <w:rsid w:val="00D973ED"/>
    <w:rsid w:val="00D977DE"/>
    <w:rsid w:val="00D97B9D"/>
    <w:rsid w:val="00DA0016"/>
    <w:rsid w:val="00DA08B5"/>
    <w:rsid w:val="00DA08B8"/>
    <w:rsid w:val="00DA0CC8"/>
    <w:rsid w:val="00DA1C9A"/>
    <w:rsid w:val="00DA1F03"/>
    <w:rsid w:val="00DA1F7D"/>
    <w:rsid w:val="00DA25D3"/>
    <w:rsid w:val="00DA2AB1"/>
    <w:rsid w:val="00DA3495"/>
    <w:rsid w:val="00DA3D5F"/>
    <w:rsid w:val="00DA4013"/>
    <w:rsid w:val="00DA41B7"/>
    <w:rsid w:val="00DA437F"/>
    <w:rsid w:val="00DA4F55"/>
    <w:rsid w:val="00DA5276"/>
    <w:rsid w:val="00DA53A8"/>
    <w:rsid w:val="00DA543E"/>
    <w:rsid w:val="00DA568E"/>
    <w:rsid w:val="00DA5699"/>
    <w:rsid w:val="00DA5AB6"/>
    <w:rsid w:val="00DA5B39"/>
    <w:rsid w:val="00DA5CDE"/>
    <w:rsid w:val="00DA5EEC"/>
    <w:rsid w:val="00DA653E"/>
    <w:rsid w:val="00DA6564"/>
    <w:rsid w:val="00DA6659"/>
    <w:rsid w:val="00DA6E96"/>
    <w:rsid w:val="00DA6F06"/>
    <w:rsid w:val="00DA6F4B"/>
    <w:rsid w:val="00DA7530"/>
    <w:rsid w:val="00DA758D"/>
    <w:rsid w:val="00DA7754"/>
    <w:rsid w:val="00DA7979"/>
    <w:rsid w:val="00DA7ED2"/>
    <w:rsid w:val="00DB015D"/>
    <w:rsid w:val="00DB02D3"/>
    <w:rsid w:val="00DB030A"/>
    <w:rsid w:val="00DB0A6B"/>
    <w:rsid w:val="00DB0B04"/>
    <w:rsid w:val="00DB0F5E"/>
    <w:rsid w:val="00DB141E"/>
    <w:rsid w:val="00DB1A19"/>
    <w:rsid w:val="00DB1A74"/>
    <w:rsid w:val="00DB1AE7"/>
    <w:rsid w:val="00DB1E3C"/>
    <w:rsid w:val="00DB1E93"/>
    <w:rsid w:val="00DB2098"/>
    <w:rsid w:val="00DB2154"/>
    <w:rsid w:val="00DB27AE"/>
    <w:rsid w:val="00DB2A33"/>
    <w:rsid w:val="00DB2C9A"/>
    <w:rsid w:val="00DB2E06"/>
    <w:rsid w:val="00DB2FB5"/>
    <w:rsid w:val="00DB2FCD"/>
    <w:rsid w:val="00DB35BB"/>
    <w:rsid w:val="00DB3694"/>
    <w:rsid w:val="00DB37C6"/>
    <w:rsid w:val="00DB3C15"/>
    <w:rsid w:val="00DB3D89"/>
    <w:rsid w:val="00DB40D0"/>
    <w:rsid w:val="00DB4D94"/>
    <w:rsid w:val="00DB50AC"/>
    <w:rsid w:val="00DB54DF"/>
    <w:rsid w:val="00DB560F"/>
    <w:rsid w:val="00DB6019"/>
    <w:rsid w:val="00DB617F"/>
    <w:rsid w:val="00DB78BD"/>
    <w:rsid w:val="00DC049D"/>
    <w:rsid w:val="00DC0933"/>
    <w:rsid w:val="00DC0A97"/>
    <w:rsid w:val="00DC0B94"/>
    <w:rsid w:val="00DC1458"/>
    <w:rsid w:val="00DC14DC"/>
    <w:rsid w:val="00DC1726"/>
    <w:rsid w:val="00DC2515"/>
    <w:rsid w:val="00DC2528"/>
    <w:rsid w:val="00DC26B4"/>
    <w:rsid w:val="00DC2BC6"/>
    <w:rsid w:val="00DC2EB9"/>
    <w:rsid w:val="00DC2FA5"/>
    <w:rsid w:val="00DC3205"/>
    <w:rsid w:val="00DC3235"/>
    <w:rsid w:val="00DC3346"/>
    <w:rsid w:val="00DC3377"/>
    <w:rsid w:val="00DC34AF"/>
    <w:rsid w:val="00DC3519"/>
    <w:rsid w:val="00DC385D"/>
    <w:rsid w:val="00DC3A6B"/>
    <w:rsid w:val="00DC3DA6"/>
    <w:rsid w:val="00DC403D"/>
    <w:rsid w:val="00DC4882"/>
    <w:rsid w:val="00DC496F"/>
    <w:rsid w:val="00DC5324"/>
    <w:rsid w:val="00DC5743"/>
    <w:rsid w:val="00DC575B"/>
    <w:rsid w:val="00DC5892"/>
    <w:rsid w:val="00DC6072"/>
    <w:rsid w:val="00DC61A4"/>
    <w:rsid w:val="00DC641E"/>
    <w:rsid w:val="00DC6C2C"/>
    <w:rsid w:val="00DC6D48"/>
    <w:rsid w:val="00DD00A3"/>
    <w:rsid w:val="00DD070A"/>
    <w:rsid w:val="00DD086F"/>
    <w:rsid w:val="00DD13F7"/>
    <w:rsid w:val="00DD1F00"/>
    <w:rsid w:val="00DD214C"/>
    <w:rsid w:val="00DD2969"/>
    <w:rsid w:val="00DD2A87"/>
    <w:rsid w:val="00DD2B15"/>
    <w:rsid w:val="00DD2B4D"/>
    <w:rsid w:val="00DD2D30"/>
    <w:rsid w:val="00DD2EBC"/>
    <w:rsid w:val="00DD2F37"/>
    <w:rsid w:val="00DD3D85"/>
    <w:rsid w:val="00DD3E54"/>
    <w:rsid w:val="00DD42B7"/>
    <w:rsid w:val="00DD4CE9"/>
    <w:rsid w:val="00DD4F20"/>
    <w:rsid w:val="00DD550A"/>
    <w:rsid w:val="00DD560C"/>
    <w:rsid w:val="00DD5F9B"/>
    <w:rsid w:val="00DD5FF5"/>
    <w:rsid w:val="00DD60ED"/>
    <w:rsid w:val="00DD693C"/>
    <w:rsid w:val="00DD6B36"/>
    <w:rsid w:val="00DD723B"/>
    <w:rsid w:val="00DD72AC"/>
    <w:rsid w:val="00DD7335"/>
    <w:rsid w:val="00DD7895"/>
    <w:rsid w:val="00DD7E7E"/>
    <w:rsid w:val="00DE07DF"/>
    <w:rsid w:val="00DE0B15"/>
    <w:rsid w:val="00DE0BE8"/>
    <w:rsid w:val="00DE0CAD"/>
    <w:rsid w:val="00DE119E"/>
    <w:rsid w:val="00DE181C"/>
    <w:rsid w:val="00DE1BF2"/>
    <w:rsid w:val="00DE27C1"/>
    <w:rsid w:val="00DE287B"/>
    <w:rsid w:val="00DE2CAE"/>
    <w:rsid w:val="00DE2D15"/>
    <w:rsid w:val="00DE2DF3"/>
    <w:rsid w:val="00DE318B"/>
    <w:rsid w:val="00DE31B4"/>
    <w:rsid w:val="00DE3502"/>
    <w:rsid w:val="00DE3878"/>
    <w:rsid w:val="00DE3E88"/>
    <w:rsid w:val="00DE3F88"/>
    <w:rsid w:val="00DE3FE7"/>
    <w:rsid w:val="00DE42B2"/>
    <w:rsid w:val="00DE4951"/>
    <w:rsid w:val="00DE4B7C"/>
    <w:rsid w:val="00DE544D"/>
    <w:rsid w:val="00DE59B3"/>
    <w:rsid w:val="00DE5B48"/>
    <w:rsid w:val="00DE70B7"/>
    <w:rsid w:val="00DF0788"/>
    <w:rsid w:val="00DF08E4"/>
    <w:rsid w:val="00DF09F9"/>
    <w:rsid w:val="00DF0D46"/>
    <w:rsid w:val="00DF1365"/>
    <w:rsid w:val="00DF14E4"/>
    <w:rsid w:val="00DF16E7"/>
    <w:rsid w:val="00DF1C52"/>
    <w:rsid w:val="00DF2193"/>
    <w:rsid w:val="00DF219D"/>
    <w:rsid w:val="00DF2492"/>
    <w:rsid w:val="00DF2B16"/>
    <w:rsid w:val="00DF2B9E"/>
    <w:rsid w:val="00DF2D10"/>
    <w:rsid w:val="00DF2E47"/>
    <w:rsid w:val="00DF3006"/>
    <w:rsid w:val="00DF4031"/>
    <w:rsid w:val="00DF40B5"/>
    <w:rsid w:val="00DF4F51"/>
    <w:rsid w:val="00DF5431"/>
    <w:rsid w:val="00DF6A3E"/>
    <w:rsid w:val="00DF6AE8"/>
    <w:rsid w:val="00DF6BD5"/>
    <w:rsid w:val="00DF6CE0"/>
    <w:rsid w:val="00DF6E80"/>
    <w:rsid w:val="00DF7313"/>
    <w:rsid w:val="00DF7CDA"/>
    <w:rsid w:val="00E000F7"/>
    <w:rsid w:val="00E0056F"/>
    <w:rsid w:val="00E00AAD"/>
    <w:rsid w:val="00E00E90"/>
    <w:rsid w:val="00E01743"/>
    <w:rsid w:val="00E01B74"/>
    <w:rsid w:val="00E020C0"/>
    <w:rsid w:val="00E021CF"/>
    <w:rsid w:val="00E024F1"/>
    <w:rsid w:val="00E02BC7"/>
    <w:rsid w:val="00E02D0E"/>
    <w:rsid w:val="00E0323E"/>
    <w:rsid w:val="00E0345B"/>
    <w:rsid w:val="00E040C1"/>
    <w:rsid w:val="00E04144"/>
    <w:rsid w:val="00E04B6C"/>
    <w:rsid w:val="00E04BE8"/>
    <w:rsid w:val="00E04D00"/>
    <w:rsid w:val="00E05181"/>
    <w:rsid w:val="00E051C2"/>
    <w:rsid w:val="00E056CD"/>
    <w:rsid w:val="00E057C8"/>
    <w:rsid w:val="00E06381"/>
    <w:rsid w:val="00E068AD"/>
    <w:rsid w:val="00E06C03"/>
    <w:rsid w:val="00E06C1E"/>
    <w:rsid w:val="00E06E5B"/>
    <w:rsid w:val="00E06EAC"/>
    <w:rsid w:val="00E07A4A"/>
    <w:rsid w:val="00E07AF6"/>
    <w:rsid w:val="00E07CDD"/>
    <w:rsid w:val="00E07D1C"/>
    <w:rsid w:val="00E100E3"/>
    <w:rsid w:val="00E10167"/>
    <w:rsid w:val="00E101F3"/>
    <w:rsid w:val="00E10394"/>
    <w:rsid w:val="00E10B40"/>
    <w:rsid w:val="00E10F44"/>
    <w:rsid w:val="00E10FBA"/>
    <w:rsid w:val="00E11007"/>
    <w:rsid w:val="00E11055"/>
    <w:rsid w:val="00E112F7"/>
    <w:rsid w:val="00E11372"/>
    <w:rsid w:val="00E11493"/>
    <w:rsid w:val="00E117EB"/>
    <w:rsid w:val="00E119E1"/>
    <w:rsid w:val="00E11A33"/>
    <w:rsid w:val="00E11AF1"/>
    <w:rsid w:val="00E123F0"/>
    <w:rsid w:val="00E12FAB"/>
    <w:rsid w:val="00E1395F"/>
    <w:rsid w:val="00E13B2F"/>
    <w:rsid w:val="00E13E5F"/>
    <w:rsid w:val="00E14129"/>
    <w:rsid w:val="00E14476"/>
    <w:rsid w:val="00E14586"/>
    <w:rsid w:val="00E14794"/>
    <w:rsid w:val="00E15D1E"/>
    <w:rsid w:val="00E16378"/>
    <w:rsid w:val="00E16538"/>
    <w:rsid w:val="00E165DE"/>
    <w:rsid w:val="00E16CB1"/>
    <w:rsid w:val="00E1721B"/>
    <w:rsid w:val="00E177C8"/>
    <w:rsid w:val="00E177E0"/>
    <w:rsid w:val="00E17BAF"/>
    <w:rsid w:val="00E17D49"/>
    <w:rsid w:val="00E2028F"/>
    <w:rsid w:val="00E20C99"/>
    <w:rsid w:val="00E20D8A"/>
    <w:rsid w:val="00E20E19"/>
    <w:rsid w:val="00E211A4"/>
    <w:rsid w:val="00E215D8"/>
    <w:rsid w:val="00E218CA"/>
    <w:rsid w:val="00E21C1C"/>
    <w:rsid w:val="00E220FF"/>
    <w:rsid w:val="00E2211A"/>
    <w:rsid w:val="00E22527"/>
    <w:rsid w:val="00E22747"/>
    <w:rsid w:val="00E22900"/>
    <w:rsid w:val="00E22ECF"/>
    <w:rsid w:val="00E23508"/>
    <w:rsid w:val="00E236C4"/>
    <w:rsid w:val="00E23B48"/>
    <w:rsid w:val="00E23CA9"/>
    <w:rsid w:val="00E24157"/>
    <w:rsid w:val="00E24226"/>
    <w:rsid w:val="00E24F0F"/>
    <w:rsid w:val="00E255F2"/>
    <w:rsid w:val="00E259C5"/>
    <w:rsid w:val="00E25B48"/>
    <w:rsid w:val="00E25FAA"/>
    <w:rsid w:val="00E26ACE"/>
    <w:rsid w:val="00E27368"/>
    <w:rsid w:val="00E27608"/>
    <w:rsid w:val="00E27753"/>
    <w:rsid w:val="00E27898"/>
    <w:rsid w:val="00E27A87"/>
    <w:rsid w:val="00E3006A"/>
    <w:rsid w:val="00E302BB"/>
    <w:rsid w:val="00E30587"/>
    <w:rsid w:val="00E30D6E"/>
    <w:rsid w:val="00E30E09"/>
    <w:rsid w:val="00E31A21"/>
    <w:rsid w:val="00E31EBB"/>
    <w:rsid w:val="00E323E2"/>
    <w:rsid w:val="00E3247D"/>
    <w:rsid w:val="00E3287D"/>
    <w:rsid w:val="00E32C35"/>
    <w:rsid w:val="00E33045"/>
    <w:rsid w:val="00E33373"/>
    <w:rsid w:val="00E336F7"/>
    <w:rsid w:val="00E33973"/>
    <w:rsid w:val="00E33A83"/>
    <w:rsid w:val="00E33E42"/>
    <w:rsid w:val="00E3413B"/>
    <w:rsid w:val="00E3471B"/>
    <w:rsid w:val="00E3491A"/>
    <w:rsid w:val="00E34AED"/>
    <w:rsid w:val="00E34C5B"/>
    <w:rsid w:val="00E35615"/>
    <w:rsid w:val="00E36512"/>
    <w:rsid w:val="00E36658"/>
    <w:rsid w:val="00E36BBC"/>
    <w:rsid w:val="00E3705B"/>
    <w:rsid w:val="00E371BB"/>
    <w:rsid w:val="00E37594"/>
    <w:rsid w:val="00E375A5"/>
    <w:rsid w:val="00E37792"/>
    <w:rsid w:val="00E37867"/>
    <w:rsid w:val="00E37F26"/>
    <w:rsid w:val="00E37F9A"/>
    <w:rsid w:val="00E4087C"/>
    <w:rsid w:val="00E4093D"/>
    <w:rsid w:val="00E40E31"/>
    <w:rsid w:val="00E4166F"/>
    <w:rsid w:val="00E41DE5"/>
    <w:rsid w:val="00E4299E"/>
    <w:rsid w:val="00E42C70"/>
    <w:rsid w:val="00E430D1"/>
    <w:rsid w:val="00E4322A"/>
    <w:rsid w:val="00E4339D"/>
    <w:rsid w:val="00E4385F"/>
    <w:rsid w:val="00E43890"/>
    <w:rsid w:val="00E43BAB"/>
    <w:rsid w:val="00E44544"/>
    <w:rsid w:val="00E44F0C"/>
    <w:rsid w:val="00E44FDC"/>
    <w:rsid w:val="00E45325"/>
    <w:rsid w:val="00E4592D"/>
    <w:rsid w:val="00E45C87"/>
    <w:rsid w:val="00E46189"/>
    <w:rsid w:val="00E46700"/>
    <w:rsid w:val="00E46712"/>
    <w:rsid w:val="00E4688F"/>
    <w:rsid w:val="00E46DD5"/>
    <w:rsid w:val="00E477FD"/>
    <w:rsid w:val="00E47DD3"/>
    <w:rsid w:val="00E5008F"/>
    <w:rsid w:val="00E50557"/>
    <w:rsid w:val="00E513C9"/>
    <w:rsid w:val="00E51E1B"/>
    <w:rsid w:val="00E522AC"/>
    <w:rsid w:val="00E5296F"/>
    <w:rsid w:val="00E53545"/>
    <w:rsid w:val="00E5414A"/>
    <w:rsid w:val="00E54450"/>
    <w:rsid w:val="00E54FE9"/>
    <w:rsid w:val="00E550ED"/>
    <w:rsid w:val="00E5513B"/>
    <w:rsid w:val="00E5521E"/>
    <w:rsid w:val="00E55444"/>
    <w:rsid w:val="00E55D2D"/>
    <w:rsid w:val="00E562B6"/>
    <w:rsid w:val="00E566F4"/>
    <w:rsid w:val="00E566FD"/>
    <w:rsid w:val="00E569C8"/>
    <w:rsid w:val="00E56FFE"/>
    <w:rsid w:val="00E5706F"/>
    <w:rsid w:val="00E57389"/>
    <w:rsid w:val="00E576C6"/>
    <w:rsid w:val="00E60461"/>
    <w:rsid w:val="00E60487"/>
    <w:rsid w:val="00E60858"/>
    <w:rsid w:val="00E608E5"/>
    <w:rsid w:val="00E61BB2"/>
    <w:rsid w:val="00E61BC7"/>
    <w:rsid w:val="00E62142"/>
    <w:rsid w:val="00E6222F"/>
    <w:rsid w:val="00E625DE"/>
    <w:rsid w:val="00E632C0"/>
    <w:rsid w:val="00E635C6"/>
    <w:rsid w:val="00E63908"/>
    <w:rsid w:val="00E63E80"/>
    <w:rsid w:val="00E640F3"/>
    <w:rsid w:val="00E64255"/>
    <w:rsid w:val="00E643ED"/>
    <w:rsid w:val="00E64588"/>
    <w:rsid w:val="00E64DE9"/>
    <w:rsid w:val="00E64FC2"/>
    <w:rsid w:val="00E6517F"/>
    <w:rsid w:val="00E651A8"/>
    <w:rsid w:val="00E655C5"/>
    <w:rsid w:val="00E65D30"/>
    <w:rsid w:val="00E65DB0"/>
    <w:rsid w:val="00E65EB4"/>
    <w:rsid w:val="00E66291"/>
    <w:rsid w:val="00E66299"/>
    <w:rsid w:val="00E66673"/>
    <w:rsid w:val="00E670C4"/>
    <w:rsid w:val="00E67280"/>
    <w:rsid w:val="00E67570"/>
    <w:rsid w:val="00E678C9"/>
    <w:rsid w:val="00E67B35"/>
    <w:rsid w:val="00E70030"/>
    <w:rsid w:val="00E70484"/>
    <w:rsid w:val="00E7091E"/>
    <w:rsid w:val="00E710F5"/>
    <w:rsid w:val="00E71131"/>
    <w:rsid w:val="00E714FD"/>
    <w:rsid w:val="00E717F8"/>
    <w:rsid w:val="00E718E0"/>
    <w:rsid w:val="00E71F35"/>
    <w:rsid w:val="00E7236A"/>
    <w:rsid w:val="00E72584"/>
    <w:rsid w:val="00E728C4"/>
    <w:rsid w:val="00E730A9"/>
    <w:rsid w:val="00E73832"/>
    <w:rsid w:val="00E7398E"/>
    <w:rsid w:val="00E73DEA"/>
    <w:rsid w:val="00E73F52"/>
    <w:rsid w:val="00E74526"/>
    <w:rsid w:val="00E75283"/>
    <w:rsid w:val="00E752C9"/>
    <w:rsid w:val="00E7531A"/>
    <w:rsid w:val="00E7557C"/>
    <w:rsid w:val="00E75909"/>
    <w:rsid w:val="00E759BE"/>
    <w:rsid w:val="00E75E82"/>
    <w:rsid w:val="00E75FEB"/>
    <w:rsid w:val="00E76481"/>
    <w:rsid w:val="00E76553"/>
    <w:rsid w:val="00E76615"/>
    <w:rsid w:val="00E77A8B"/>
    <w:rsid w:val="00E8039D"/>
    <w:rsid w:val="00E804C6"/>
    <w:rsid w:val="00E8061F"/>
    <w:rsid w:val="00E8149C"/>
    <w:rsid w:val="00E8161D"/>
    <w:rsid w:val="00E8227B"/>
    <w:rsid w:val="00E827B5"/>
    <w:rsid w:val="00E8348B"/>
    <w:rsid w:val="00E83B39"/>
    <w:rsid w:val="00E83EB7"/>
    <w:rsid w:val="00E8408B"/>
    <w:rsid w:val="00E84152"/>
    <w:rsid w:val="00E84FE1"/>
    <w:rsid w:val="00E8504A"/>
    <w:rsid w:val="00E850F6"/>
    <w:rsid w:val="00E857BF"/>
    <w:rsid w:val="00E85BF2"/>
    <w:rsid w:val="00E85EC3"/>
    <w:rsid w:val="00E862D7"/>
    <w:rsid w:val="00E863A9"/>
    <w:rsid w:val="00E86D20"/>
    <w:rsid w:val="00E86E9C"/>
    <w:rsid w:val="00E86F81"/>
    <w:rsid w:val="00E87356"/>
    <w:rsid w:val="00E8751A"/>
    <w:rsid w:val="00E875E6"/>
    <w:rsid w:val="00E87794"/>
    <w:rsid w:val="00E8782F"/>
    <w:rsid w:val="00E87FAE"/>
    <w:rsid w:val="00E90115"/>
    <w:rsid w:val="00E90234"/>
    <w:rsid w:val="00E90537"/>
    <w:rsid w:val="00E90730"/>
    <w:rsid w:val="00E91945"/>
    <w:rsid w:val="00E91D83"/>
    <w:rsid w:val="00E921E7"/>
    <w:rsid w:val="00E9260B"/>
    <w:rsid w:val="00E928A7"/>
    <w:rsid w:val="00E92D40"/>
    <w:rsid w:val="00E92FB4"/>
    <w:rsid w:val="00E9353C"/>
    <w:rsid w:val="00E936F5"/>
    <w:rsid w:val="00E939A0"/>
    <w:rsid w:val="00E93D8F"/>
    <w:rsid w:val="00E93FA0"/>
    <w:rsid w:val="00E9418D"/>
    <w:rsid w:val="00E94469"/>
    <w:rsid w:val="00E946C3"/>
    <w:rsid w:val="00E94B00"/>
    <w:rsid w:val="00E94F4E"/>
    <w:rsid w:val="00E956A1"/>
    <w:rsid w:val="00E95A5F"/>
    <w:rsid w:val="00E95DD2"/>
    <w:rsid w:val="00E96569"/>
    <w:rsid w:val="00E966F5"/>
    <w:rsid w:val="00E96ACF"/>
    <w:rsid w:val="00E9722C"/>
    <w:rsid w:val="00E97B0A"/>
    <w:rsid w:val="00E97D54"/>
    <w:rsid w:val="00EA038B"/>
    <w:rsid w:val="00EA040A"/>
    <w:rsid w:val="00EA0A6D"/>
    <w:rsid w:val="00EA0EB1"/>
    <w:rsid w:val="00EA101A"/>
    <w:rsid w:val="00EA148C"/>
    <w:rsid w:val="00EA19C4"/>
    <w:rsid w:val="00EA1F23"/>
    <w:rsid w:val="00EA24BE"/>
    <w:rsid w:val="00EA2611"/>
    <w:rsid w:val="00EA285A"/>
    <w:rsid w:val="00EA29FD"/>
    <w:rsid w:val="00EA2A08"/>
    <w:rsid w:val="00EA2F02"/>
    <w:rsid w:val="00EA3113"/>
    <w:rsid w:val="00EA33E0"/>
    <w:rsid w:val="00EA363B"/>
    <w:rsid w:val="00EA3806"/>
    <w:rsid w:val="00EA3960"/>
    <w:rsid w:val="00EA3A5A"/>
    <w:rsid w:val="00EA4226"/>
    <w:rsid w:val="00EA4236"/>
    <w:rsid w:val="00EA4ADC"/>
    <w:rsid w:val="00EA4B61"/>
    <w:rsid w:val="00EA4B84"/>
    <w:rsid w:val="00EA4FA9"/>
    <w:rsid w:val="00EA501B"/>
    <w:rsid w:val="00EA52C7"/>
    <w:rsid w:val="00EA5882"/>
    <w:rsid w:val="00EA5953"/>
    <w:rsid w:val="00EA5CC1"/>
    <w:rsid w:val="00EA5D74"/>
    <w:rsid w:val="00EA68D8"/>
    <w:rsid w:val="00EA6A98"/>
    <w:rsid w:val="00EB0334"/>
    <w:rsid w:val="00EB11A6"/>
    <w:rsid w:val="00EB1443"/>
    <w:rsid w:val="00EB1ACE"/>
    <w:rsid w:val="00EB1B3E"/>
    <w:rsid w:val="00EB20F5"/>
    <w:rsid w:val="00EB24C5"/>
    <w:rsid w:val="00EB2710"/>
    <w:rsid w:val="00EB2C46"/>
    <w:rsid w:val="00EB3DC9"/>
    <w:rsid w:val="00EB448B"/>
    <w:rsid w:val="00EB4510"/>
    <w:rsid w:val="00EB5972"/>
    <w:rsid w:val="00EB5D4C"/>
    <w:rsid w:val="00EB61BA"/>
    <w:rsid w:val="00EB736A"/>
    <w:rsid w:val="00EC0C4A"/>
    <w:rsid w:val="00EC0E87"/>
    <w:rsid w:val="00EC187C"/>
    <w:rsid w:val="00EC1F2F"/>
    <w:rsid w:val="00EC226E"/>
    <w:rsid w:val="00EC26FC"/>
    <w:rsid w:val="00EC294E"/>
    <w:rsid w:val="00EC3479"/>
    <w:rsid w:val="00EC36AC"/>
    <w:rsid w:val="00EC37E2"/>
    <w:rsid w:val="00EC382A"/>
    <w:rsid w:val="00EC39A6"/>
    <w:rsid w:val="00EC3A0F"/>
    <w:rsid w:val="00EC4168"/>
    <w:rsid w:val="00EC4212"/>
    <w:rsid w:val="00EC43C5"/>
    <w:rsid w:val="00EC45F7"/>
    <w:rsid w:val="00EC4986"/>
    <w:rsid w:val="00EC4DEB"/>
    <w:rsid w:val="00EC4F17"/>
    <w:rsid w:val="00EC504A"/>
    <w:rsid w:val="00EC5083"/>
    <w:rsid w:val="00EC5B2D"/>
    <w:rsid w:val="00EC60DD"/>
    <w:rsid w:val="00EC6AEA"/>
    <w:rsid w:val="00EC70C7"/>
    <w:rsid w:val="00EC729E"/>
    <w:rsid w:val="00EC72E4"/>
    <w:rsid w:val="00EC75B4"/>
    <w:rsid w:val="00EC7EF1"/>
    <w:rsid w:val="00ED0160"/>
    <w:rsid w:val="00ED03AF"/>
    <w:rsid w:val="00ED03BB"/>
    <w:rsid w:val="00ED05B8"/>
    <w:rsid w:val="00ED06D7"/>
    <w:rsid w:val="00ED08EF"/>
    <w:rsid w:val="00ED0E1D"/>
    <w:rsid w:val="00ED13A5"/>
    <w:rsid w:val="00ED13AC"/>
    <w:rsid w:val="00ED13FC"/>
    <w:rsid w:val="00ED1571"/>
    <w:rsid w:val="00ED164D"/>
    <w:rsid w:val="00ED1A31"/>
    <w:rsid w:val="00ED1C06"/>
    <w:rsid w:val="00ED1D82"/>
    <w:rsid w:val="00ED1D86"/>
    <w:rsid w:val="00ED1DF3"/>
    <w:rsid w:val="00ED22A7"/>
    <w:rsid w:val="00ED2BFA"/>
    <w:rsid w:val="00ED2FDA"/>
    <w:rsid w:val="00ED3AD9"/>
    <w:rsid w:val="00ED3C21"/>
    <w:rsid w:val="00ED3D80"/>
    <w:rsid w:val="00ED3EDA"/>
    <w:rsid w:val="00ED4026"/>
    <w:rsid w:val="00ED4051"/>
    <w:rsid w:val="00ED433B"/>
    <w:rsid w:val="00ED4F33"/>
    <w:rsid w:val="00ED5008"/>
    <w:rsid w:val="00ED552B"/>
    <w:rsid w:val="00ED5723"/>
    <w:rsid w:val="00ED5C2C"/>
    <w:rsid w:val="00ED5FB4"/>
    <w:rsid w:val="00ED68FD"/>
    <w:rsid w:val="00ED6957"/>
    <w:rsid w:val="00ED69E3"/>
    <w:rsid w:val="00ED6BEF"/>
    <w:rsid w:val="00ED6D3F"/>
    <w:rsid w:val="00ED7518"/>
    <w:rsid w:val="00ED776E"/>
    <w:rsid w:val="00ED77A2"/>
    <w:rsid w:val="00EE02C7"/>
    <w:rsid w:val="00EE051F"/>
    <w:rsid w:val="00EE0C88"/>
    <w:rsid w:val="00EE0CAA"/>
    <w:rsid w:val="00EE1096"/>
    <w:rsid w:val="00EE14D8"/>
    <w:rsid w:val="00EE16D3"/>
    <w:rsid w:val="00EE20F3"/>
    <w:rsid w:val="00EE2B7E"/>
    <w:rsid w:val="00EE2C4F"/>
    <w:rsid w:val="00EE2DDA"/>
    <w:rsid w:val="00EE368E"/>
    <w:rsid w:val="00EE38A0"/>
    <w:rsid w:val="00EE3AB2"/>
    <w:rsid w:val="00EE40E9"/>
    <w:rsid w:val="00EE4344"/>
    <w:rsid w:val="00EE457B"/>
    <w:rsid w:val="00EE491E"/>
    <w:rsid w:val="00EE4EFD"/>
    <w:rsid w:val="00EE4F79"/>
    <w:rsid w:val="00EE509E"/>
    <w:rsid w:val="00EE5194"/>
    <w:rsid w:val="00EE5240"/>
    <w:rsid w:val="00EE5424"/>
    <w:rsid w:val="00EE5652"/>
    <w:rsid w:val="00EE5A01"/>
    <w:rsid w:val="00EE5FBB"/>
    <w:rsid w:val="00EE6122"/>
    <w:rsid w:val="00EE62C4"/>
    <w:rsid w:val="00EE63FD"/>
    <w:rsid w:val="00EE6461"/>
    <w:rsid w:val="00EE651A"/>
    <w:rsid w:val="00EE66BA"/>
    <w:rsid w:val="00EE69B2"/>
    <w:rsid w:val="00EE6CCA"/>
    <w:rsid w:val="00EE6DC1"/>
    <w:rsid w:val="00EE703A"/>
    <w:rsid w:val="00EE7136"/>
    <w:rsid w:val="00EE7F14"/>
    <w:rsid w:val="00EF0138"/>
    <w:rsid w:val="00EF0198"/>
    <w:rsid w:val="00EF0E69"/>
    <w:rsid w:val="00EF149D"/>
    <w:rsid w:val="00EF15AD"/>
    <w:rsid w:val="00EF17A5"/>
    <w:rsid w:val="00EF1832"/>
    <w:rsid w:val="00EF1B22"/>
    <w:rsid w:val="00EF1F43"/>
    <w:rsid w:val="00EF34A8"/>
    <w:rsid w:val="00EF35AA"/>
    <w:rsid w:val="00EF39AB"/>
    <w:rsid w:val="00EF3D8B"/>
    <w:rsid w:val="00EF3DBE"/>
    <w:rsid w:val="00EF425B"/>
    <w:rsid w:val="00EF43C5"/>
    <w:rsid w:val="00EF4751"/>
    <w:rsid w:val="00EF47F3"/>
    <w:rsid w:val="00EF4C02"/>
    <w:rsid w:val="00EF50EF"/>
    <w:rsid w:val="00EF5281"/>
    <w:rsid w:val="00EF5640"/>
    <w:rsid w:val="00EF56C9"/>
    <w:rsid w:val="00EF5BD3"/>
    <w:rsid w:val="00EF63B8"/>
    <w:rsid w:val="00EF6B09"/>
    <w:rsid w:val="00EF6B94"/>
    <w:rsid w:val="00EF7318"/>
    <w:rsid w:val="00EF7344"/>
    <w:rsid w:val="00EF7472"/>
    <w:rsid w:val="00EF7D3F"/>
    <w:rsid w:val="00EF7F59"/>
    <w:rsid w:val="00F0011A"/>
    <w:rsid w:val="00F0028F"/>
    <w:rsid w:val="00F006C6"/>
    <w:rsid w:val="00F00732"/>
    <w:rsid w:val="00F00A7F"/>
    <w:rsid w:val="00F00B55"/>
    <w:rsid w:val="00F00C50"/>
    <w:rsid w:val="00F00D63"/>
    <w:rsid w:val="00F0138F"/>
    <w:rsid w:val="00F017AA"/>
    <w:rsid w:val="00F0181F"/>
    <w:rsid w:val="00F0183B"/>
    <w:rsid w:val="00F019AD"/>
    <w:rsid w:val="00F019E6"/>
    <w:rsid w:val="00F01D8C"/>
    <w:rsid w:val="00F01E81"/>
    <w:rsid w:val="00F020AB"/>
    <w:rsid w:val="00F02507"/>
    <w:rsid w:val="00F027C1"/>
    <w:rsid w:val="00F02D08"/>
    <w:rsid w:val="00F03153"/>
    <w:rsid w:val="00F0358D"/>
    <w:rsid w:val="00F03793"/>
    <w:rsid w:val="00F03CC3"/>
    <w:rsid w:val="00F03DC2"/>
    <w:rsid w:val="00F042D3"/>
    <w:rsid w:val="00F0440E"/>
    <w:rsid w:val="00F04777"/>
    <w:rsid w:val="00F04AC0"/>
    <w:rsid w:val="00F04BDF"/>
    <w:rsid w:val="00F050CE"/>
    <w:rsid w:val="00F0537B"/>
    <w:rsid w:val="00F0537E"/>
    <w:rsid w:val="00F05689"/>
    <w:rsid w:val="00F064D2"/>
    <w:rsid w:val="00F06557"/>
    <w:rsid w:val="00F06733"/>
    <w:rsid w:val="00F06BDE"/>
    <w:rsid w:val="00F06E54"/>
    <w:rsid w:val="00F0748C"/>
    <w:rsid w:val="00F075C0"/>
    <w:rsid w:val="00F07B71"/>
    <w:rsid w:val="00F07CF4"/>
    <w:rsid w:val="00F07D2B"/>
    <w:rsid w:val="00F07E24"/>
    <w:rsid w:val="00F07E68"/>
    <w:rsid w:val="00F100BC"/>
    <w:rsid w:val="00F10421"/>
    <w:rsid w:val="00F105AD"/>
    <w:rsid w:val="00F106A9"/>
    <w:rsid w:val="00F10920"/>
    <w:rsid w:val="00F10A93"/>
    <w:rsid w:val="00F10E82"/>
    <w:rsid w:val="00F10F16"/>
    <w:rsid w:val="00F1114B"/>
    <w:rsid w:val="00F112C3"/>
    <w:rsid w:val="00F11F08"/>
    <w:rsid w:val="00F12140"/>
    <w:rsid w:val="00F12230"/>
    <w:rsid w:val="00F125A4"/>
    <w:rsid w:val="00F12724"/>
    <w:rsid w:val="00F1276E"/>
    <w:rsid w:val="00F127C6"/>
    <w:rsid w:val="00F130A4"/>
    <w:rsid w:val="00F133CD"/>
    <w:rsid w:val="00F13892"/>
    <w:rsid w:val="00F1391E"/>
    <w:rsid w:val="00F13974"/>
    <w:rsid w:val="00F13A73"/>
    <w:rsid w:val="00F13C84"/>
    <w:rsid w:val="00F1409C"/>
    <w:rsid w:val="00F14D29"/>
    <w:rsid w:val="00F1524D"/>
    <w:rsid w:val="00F1588C"/>
    <w:rsid w:val="00F15D91"/>
    <w:rsid w:val="00F15DBF"/>
    <w:rsid w:val="00F15FE0"/>
    <w:rsid w:val="00F160F3"/>
    <w:rsid w:val="00F16231"/>
    <w:rsid w:val="00F163C4"/>
    <w:rsid w:val="00F16740"/>
    <w:rsid w:val="00F16CBC"/>
    <w:rsid w:val="00F17792"/>
    <w:rsid w:val="00F17A93"/>
    <w:rsid w:val="00F17CD8"/>
    <w:rsid w:val="00F17D5C"/>
    <w:rsid w:val="00F17D87"/>
    <w:rsid w:val="00F17F85"/>
    <w:rsid w:val="00F202D1"/>
    <w:rsid w:val="00F20620"/>
    <w:rsid w:val="00F20760"/>
    <w:rsid w:val="00F2082B"/>
    <w:rsid w:val="00F20860"/>
    <w:rsid w:val="00F20C1B"/>
    <w:rsid w:val="00F21177"/>
    <w:rsid w:val="00F212BB"/>
    <w:rsid w:val="00F21484"/>
    <w:rsid w:val="00F21667"/>
    <w:rsid w:val="00F216BA"/>
    <w:rsid w:val="00F21CFE"/>
    <w:rsid w:val="00F21D7B"/>
    <w:rsid w:val="00F2220C"/>
    <w:rsid w:val="00F227B1"/>
    <w:rsid w:val="00F235BA"/>
    <w:rsid w:val="00F2376B"/>
    <w:rsid w:val="00F23D20"/>
    <w:rsid w:val="00F24105"/>
    <w:rsid w:val="00F247A1"/>
    <w:rsid w:val="00F24A0B"/>
    <w:rsid w:val="00F24C92"/>
    <w:rsid w:val="00F24E6A"/>
    <w:rsid w:val="00F25AAA"/>
    <w:rsid w:val="00F25C04"/>
    <w:rsid w:val="00F25EFD"/>
    <w:rsid w:val="00F26482"/>
    <w:rsid w:val="00F26DE6"/>
    <w:rsid w:val="00F27068"/>
    <w:rsid w:val="00F271CC"/>
    <w:rsid w:val="00F27562"/>
    <w:rsid w:val="00F276CB"/>
    <w:rsid w:val="00F27936"/>
    <w:rsid w:val="00F27F36"/>
    <w:rsid w:val="00F30437"/>
    <w:rsid w:val="00F31596"/>
    <w:rsid w:val="00F316E4"/>
    <w:rsid w:val="00F31D39"/>
    <w:rsid w:val="00F31F35"/>
    <w:rsid w:val="00F320B2"/>
    <w:rsid w:val="00F3214C"/>
    <w:rsid w:val="00F3295C"/>
    <w:rsid w:val="00F32A10"/>
    <w:rsid w:val="00F32C88"/>
    <w:rsid w:val="00F32ED0"/>
    <w:rsid w:val="00F3349F"/>
    <w:rsid w:val="00F336CC"/>
    <w:rsid w:val="00F3388E"/>
    <w:rsid w:val="00F3448A"/>
    <w:rsid w:val="00F346AC"/>
    <w:rsid w:val="00F34871"/>
    <w:rsid w:val="00F3489D"/>
    <w:rsid w:val="00F34DCB"/>
    <w:rsid w:val="00F350B2"/>
    <w:rsid w:val="00F3517E"/>
    <w:rsid w:val="00F356E9"/>
    <w:rsid w:val="00F35810"/>
    <w:rsid w:val="00F3656B"/>
    <w:rsid w:val="00F365AE"/>
    <w:rsid w:val="00F367C4"/>
    <w:rsid w:val="00F36A64"/>
    <w:rsid w:val="00F36AC1"/>
    <w:rsid w:val="00F36CF8"/>
    <w:rsid w:val="00F370AF"/>
    <w:rsid w:val="00F372CE"/>
    <w:rsid w:val="00F37490"/>
    <w:rsid w:val="00F3764A"/>
    <w:rsid w:val="00F377CB"/>
    <w:rsid w:val="00F401EC"/>
    <w:rsid w:val="00F404F0"/>
    <w:rsid w:val="00F4086D"/>
    <w:rsid w:val="00F40A82"/>
    <w:rsid w:val="00F40EEA"/>
    <w:rsid w:val="00F40F57"/>
    <w:rsid w:val="00F41006"/>
    <w:rsid w:val="00F410D0"/>
    <w:rsid w:val="00F41851"/>
    <w:rsid w:val="00F41F60"/>
    <w:rsid w:val="00F41F98"/>
    <w:rsid w:val="00F42111"/>
    <w:rsid w:val="00F4278D"/>
    <w:rsid w:val="00F4293C"/>
    <w:rsid w:val="00F437B5"/>
    <w:rsid w:val="00F43902"/>
    <w:rsid w:val="00F43908"/>
    <w:rsid w:val="00F43A2F"/>
    <w:rsid w:val="00F43A74"/>
    <w:rsid w:val="00F43D1D"/>
    <w:rsid w:val="00F44032"/>
    <w:rsid w:val="00F4424B"/>
    <w:rsid w:val="00F44CCB"/>
    <w:rsid w:val="00F452CC"/>
    <w:rsid w:val="00F455B6"/>
    <w:rsid w:val="00F45B67"/>
    <w:rsid w:val="00F45E63"/>
    <w:rsid w:val="00F461C3"/>
    <w:rsid w:val="00F461F9"/>
    <w:rsid w:val="00F4727F"/>
    <w:rsid w:val="00F47C1E"/>
    <w:rsid w:val="00F47CB8"/>
    <w:rsid w:val="00F47EA4"/>
    <w:rsid w:val="00F47F00"/>
    <w:rsid w:val="00F50042"/>
    <w:rsid w:val="00F50461"/>
    <w:rsid w:val="00F5087A"/>
    <w:rsid w:val="00F50D0C"/>
    <w:rsid w:val="00F50F0B"/>
    <w:rsid w:val="00F51372"/>
    <w:rsid w:val="00F51ABB"/>
    <w:rsid w:val="00F51B41"/>
    <w:rsid w:val="00F51D8E"/>
    <w:rsid w:val="00F5263D"/>
    <w:rsid w:val="00F52A53"/>
    <w:rsid w:val="00F5300D"/>
    <w:rsid w:val="00F53188"/>
    <w:rsid w:val="00F533BE"/>
    <w:rsid w:val="00F53424"/>
    <w:rsid w:val="00F53523"/>
    <w:rsid w:val="00F5352D"/>
    <w:rsid w:val="00F539BF"/>
    <w:rsid w:val="00F53CD4"/>
    <w:rsid w:val="00F53D8C"/>
    <w:rsid w:val="00F53E65"/>
    <w:rsid w:val="00F53FED"/>
    <w:rsid w:val="00F545D5"/>
    <w:rsid w:val="00F5477F"/>
    <w:rsid w:val="00F556DB"/>
    <w:rsid w:val="00F55DA7"/>
    <w:rsid w:val="00F55E0B"/>
    <w:rsid w:val="00F560FD"/>
    <w:rsid w:val="00F5645B"/>
    <w:rsid w:val="00F5672A"/>
    <w:rsid w:val="00F568A1"/>
    <w:rsid w:val="00F56BF1"/>
    <w:rsid w:val="00F57323"/>
    <w:rsid w:val="00F57787"/>
    <w:rsid w:val="00F57CAA"/>
    <w:rsid w:val="00F608C6"/>
    <w:rsid w:val="00F60EA8"/>
    <w:rsid w:val="00F616C1"/>
    <w:rsid w:val="00F618AC"/>
    <w:rsid w:val="00F622A1"/>
    <w:rsid w:val="00F622DF"/>
    <w:rsid w:val="00F62432"/>
    <w:rsid w:val="00F6275A"/>
    <w:rsid w:val="00F6299C"/>
    <w:rsid w:val="00F62A9B"/>
    <w:rsid w:val="00F62CED"/>
    <w:rsid w:val="00F6324B"/>
    <w:rsid w:val="00F63BC6"/>
    <w:rsid w:val="00F64138"/>
    <w:rsid w:val="00F642EF"/>
    <w:rsid w:val="00F644FB"/>
    <w:rsid w:val="00F64DDC"/>
    <w:rsid w:val="00F65244"/>
    <w:rsid w:val="00F65597"/>
    <w:rsid w:val="00F657AC"/>
    <w:rsid w:val="00F65A6F"/>
    <w:rsid w:val="00F65BAF"/>
    <w:rsid w:val="00F66497"/>
    <w:rsid w:val="00F665CB"/>
    <w:rsid w:val="00F666E9"/>
    <w:rsid w:val="00F66979"/>
    <w:rsid w:val="00F66A85"/>
    <w:rsid w:val="00F66B64"/>
    <w:rsid w:val="00F66B6B"/>
    <w:rsid w:val="00F66F21"/>
    <w:rsid w:val="00F67419"/>
    <w:rsid w:val="00F67997"/>
    <w:rsid w:val="00F702E5"/>
    <w:rsid w:val="00F70514"/>
    <w:rsid w:val="00F70AB5"/>
    <w:rsid w:val="00F7117C"/>
    <w:rsid w:val="00F71487"/>
    <w:rsid w:val="00F72007"/>
    <w:rsid w:val="00F72021"/>
    <w:rsid w:val="00F72534"/>
    <w:rsid w:val="00F72CF3"/>
    <w:rsid w:val="00F72E18"/>
    <w:rsid w:val="00F73538"/>
    <w:rsid w:val="00F73E3D"/>
    <w:rsid w:val="00F73EFB"/>
    <w:rsid w:val="00F7404D"/>
    <w:rsid w:val="00F740D2"/>
    <w:rsid w:val="00F7425C"/>
    <w:rsid w:val="00F74577"/>
    <w:rsid w:val="00F74F73"/>
    <w:rsid w:val="00F75052"/>
    <w:rsid w:val="00F754BD"/>
    <w:rsid w:val="00F75795"/>
    <w:rsid w:val="00F76319"/>
    <w:rsid w:val="00F7684E"/>
    <w:rsid w:val="00F76F69"/>
    <w:rsid w:val="00F773C8"/>
    <w:rsid w:val="00F774B1"/>
    <w:rsid w:val="00F779C8"/>
    <w:rsid w:val="00F77A8A"/>
    <w:rsid w:val="00F77DCC"/>
    <w:rsid w:val="00F80CF2"/>
    <w:rsid w:val="00F80D7F"/>
    <w:rsid w:val="00F810DD"/>
    <w:rsid w:val="00F813EB"/>
    <w:rsid w:val="00F8153A"/>
    <w:rsid w:val="00F81556"/>
    <w:rsid w:val="00F81EB2"/>
    <w:rsid w:val="00F82E49"/>
    <w:rsid w:val="00F82F8C"/>
    <w:rsid w:val="00F832F1"/>
    <w:rsid w:val="00F83C8D"/>
    <w:rsid w:val="00F84576"/>
    <w:rsid w:val="00F84FA4"/>
    <w:rsid w:val="00F8520D"/>
    <w:rsid w:val="00F855A8"/>
    <w:rsid w:val="00F85977"/>
    <w:rsid w:val="00F85D97"/>
    <w:rsid w:val="00F86316"/>
    <w:rsid w:val="00F8684A"/>
    <w:rsid w:val="00F868AF"/>
    <w:rsid w:val="00F86C23"/>
    <w:rsid w:val="00F87022"/>
    <w:rsid w:val="00F87343"/>
    <w:rsid w:val="00F87383"/>
    <w:rsid w:val="00F873DC"/>
    <w:rsid w:val="00F901AB"/>
    <w:rsid w:val="00F90790"/>
    <w:rsid w:val="00F90BF5"/>
    <w:rsid w:val="00F90F19"/>
    <w:rsid w:val="00F91B00"/>
    <w:rsid w:val="00F91E45"/>
    <w:rsid w:val="00F92084"/>
    <w:rsid w:val="00F9256F"/>
    <w:rsid w:val="00F92E6B"/>
    <w:rsid w:val="00F93B15"/>
    <w:rsid w:val="00F9477C"/>
    <w:rsid w:val="00F9493E"/>
    <w:rsid w:val="00F949E7"/>
    <w:rsid w:val="00F94F23"/>
    <w:rsid w:val="00F95131"/>
    <w:rsid w:val="00F9527D"/>
    <w:rsid w:val="00F95428"/>
    <w:rsid w:val="00F954B0"/>
    <w:rsid w:val="00F95753"/>
    <w:rsid w:val="00F95905"/>
    <w:rsid w:val="00F95CC7"/>
    <w:rsid w:val="00F961D3"/>
    <w:rsid w:val="00F962E8"/>
    <w:rsid w:val="00F96559"/>
    <w:rsid w:val="00F968C8"/>
    <w:rsid w:val="00F96959"/>
    <w:rsid w:val="00F970D8"/>
    <w:rsid w:val="00F971DB"/>
    <w:rsid w:val="00F971E0"/>
    <w:rsid w:val="00F9723E"/>
    <w:rsid w:val="00F9788F"/>
    <w:rsid w:val="00F97DD3"/>
    <w:rsid w:val="00F97DEF"/>
    <w:rsid w:val="00F97E23"/>
    <w:rsid w:val="00F97F79"/>
    <w:rsid w:val="00FA0870"/>
    <w:rsid w:val="00FA0B13"/>
    <w:rsid w:val="00FA1C42"/>
    <w:rsid w:val="00FA1C68"/>
    <w:rsid w:val="00FA1CE9"/>
    <w:rsid w:val="00FA1E79"/>
    <w:rsid w:val="00FA223B"/>
    <w:rsid w:val="00FA24CE"/>
    <w:rsid w:val="00FA2556"/>
    <w:rsid w:val="00FA2625"/>
    <w:rsid w:val="00FA288C"/>
    <w:rsid w:val="00FA2A08"/>
    <w:rsid w:val="00FA2EC7"/>
    <w:rsid w:val="00FA303C"/>
    <w:rsid w:val="00FA3445"/>
    <w:rsid w:val="00FA36BA"/>
    <w:rsid w:val="00FA3FB6"/>
    <w:rsid w:val="00FA4048"/>
    <w:rsid w:val="00FA4074"/>
    <w:rsid w:val="00FA5011"/>
    <w:rsid w:val="00FA545F"/>
    <w:rsid w:val="00FA56A2"/>
    <w:rsid w:val="00FA57B9"/>
    <w:rsid w:val="00FA587B"/>
    <w:rsid w:val="00FA5A5D"/>
    <w:rsid w:val="00FA5B5A"/>
    <w:rsid w:val="00FA5F69"/>
    <w:rsid w:val="00FA66BD"/>
    <w:rsid w:val="00FA66F1"/>
    <w:rsid w:val="00FA6EC9"/>
    <w:rsid w:val="00FA6EE8"/>
    <w:rsid w:val="00FA6FA5"/>
    <w:rsid w:val="00FA727B"/>
    <w:rsid w:val="00FA7A49"/>
    <w:rsid w:val="00FA7C43"/>
    <w:rsid w:val="00FB040D"/>
    <w:rsid w:val="00FB0549"/>
    <w:rsid w:val="00FB05AE"/>
    <w:rsid w:val="00FB08F3"/>
    <w:rsid w:val="00FB095D"/>
    <w:rsid w:val="00FB0D60"/>
    <w:rsid w:val="00FB1191"/>
    <w:rsid w:val="00FB127E"/>
    <w:rsid w:val="00FB18CA"/>
    <w:rsid w:val="00FB1A9B"/>
    <w:rsid w:val="00FB1D17"/>
    <w:rsid w:val="00FB20DC"/>
    <w:rsid w:val="00FB20F4"/>
    <w:rsid w:val="00FB23C7"/>
    <w:rsid w:val="00FB2E10"/>
    <w:rsid w:val="00FB31B3"/>
    <w:rsid w:val="00FB336A"/>
    <w:rsid w:val="00FB3520"/>
    <w:rsid w:val="00FB3DAE"/>
    <w:rsid w:val="00FB3DB2"/>
    <w:rsid w:val="00FB3FD7"/>
    <w:rsid w:val="00FB4187"/>
    <w:rsid w:val="00FB4240"/>
    <w:rsid w:val="00FB48F3"/>
    <w:rsid w:val="00FB4B10"/>
    <w:rsid w:val="00FB4C64"/>
    <w:rsid w:val="00FB4D57"/>
    <w:rsid w:val="00FB4DC5"/>
    <w:rsid w:val="00FB4E50"/>
    <w:rsid w:val="00FB5003"/>
    <w:rsid w:val="00FB53C9"/>
    <w:rsid w:val="00FB5841"/>
    <w:rsid w:val="00FB6952"/>
    <w:rsid w:val="00FB699F"/>
    <w:rsid w:val="00FB6AD8"/>
    <w:rsid w:val="00FB70DB"/>
    <w:rsid w:val="00FB73E5"/>
    <w:rsid w:val="00FB7445"/>
    <w:rsid w:val="00FB7447"/>
    <w:rsid w:val="00FB75BC"/>
    <w:rsid w:val="00FB7AAF"/>
    <w:rsid w:val="00FB7EDC"/>
    <w:rsid w:val="00FC1205"/>
    <w:rsid w:val="00FC1341"/>
    <w:rsid w:val="00FC1928"/>
    <w:rsid w:val="00FC192D"/>
    <w:rsid w:val="00FC1C91"/>
    <w:rsid w:val="00FC2817"/>
    <w:rsid w:val="00FC2EE7"/>
    <w:rsid w:val="00FC3574"/>
    <w:rsid w:val="00FC3ADF"/>
    <w:rsid w:val="00FC3D85"/>
    <w:rsid w:val="00FC3E97"/>
    <w:rsid w:val="00FC3F76"/>
    <w:rsid w:val="00FC3FBF"/>
    <w:rsid w:val="00FC4D3E"/>
    <w:rsid w:val="00FC4DDA"/>
    <w:rsid w:val="00FC534C"/>
    <w:rsid w:val="00FC5C11"/>
    <w:rsid w:val="00FC603D"/>
    <w:rsid w:val="00FC6E28"/>
    <w:rsid w:val="00FC7178"/>
    <w:rsid w:val="00FC7384"/>
    <w:rsid w:val="00FC7867"/>
    <w:rsid w:val="00FC7E2A"/>
    <w:rsid w:val="00FC7F88"/>
    <w:rsid w:val="00FD0148"/>
    <w:rsid w:val="00FD0168"/>
    <w:rsid w:val="00FD0598"/>
    <w:rsid w:val="00FD062D"/>
    <w:rsid w:val="00FD0A3A"/>
    <w:rsid w:val="00FD0B27"/>
    <w:rsid w:val="00FD11E5"/>
    <w:rsid w:val="00FD14B4"/>
    <w:rsid w:val="00FD15F4"/>
    <w:rsid w:val="00FD1E8D"/>
    <w:rsid w:val="00FD249A"/>
    <w:rsid w:val="00FD2CC7"/>
    <w:rsid w:val="00FD324B"/>
    <w:rsid w:val="00FD3455"/>
    <w:rsid w:val="00FD3858"/>
    <w:rsid w:val="00FD3A95"/>
    <w:rsid w:val="00FD3DDB"/>
    <w:rsid w:val="00FD4223"/>
    <w:rsid w:val="00FD427A"/>
    <w:rsid w:val="00FD44FB"/>
    <w:rsid w:val="00FD478D"/>
    <w:rsid w:val="00FD47A4"/>
    <w:rsid w:val="00FD5088"/>
    <w:rsid w:val="00FD50B8"/>
    <w:rsid w:val="00FD568E"/>
    <w:rsid w:val="00FD5B49"/>
    <w:rsid w:val="00FD632C"/>
    <w:rsid w:val="00FD6AD6"/>
    <w:rsid w:val="00FD6D41"/>
    <w:rsid w:val="00FD6E92"/>
    <w:rsid w:val="00FD7189"/>
    <w:rsid w:val="00FD72EE"/>
    <w:rsid w:val="00FD76C4"/>
    <w:rsid w:val="00FD7C79"/>
    <w:rsid w:val="00FE0C8A"/>
    <w:rsid w:val="00FE0E96"/>
    <w:rsid w:val="00FE17F0"/>
    <w:rsid w:val="00FE22D4"/>
    <w:rsid w:val="00FE22E6"/>
    <w:rsid w:val="00FE2BAB"/>
    <w:rsid w:val="00FE2DFE"/>
    <w:rsid w:val="00FE3128"/>
    <w:rsid w:val="00FE3C33"/>
    <w:rsid w:val="00FE3E93"/>
    <w:rsid w:val="00FE42AF"/>
    <w:rsid w:val="00FE42DF"/>
    <w:rsid w:val="00FE490F"/>
    <w:rsid w:val="00FE494F"/>
    <w:rsid w:val="00FE5761"/>
    <w:rsid w:val="00FE5EA8"/>
    <w:rsid w:val="00FE6103"/>
    <w:rsid w:val="00FE618D"/>
    <w:rsid w:val="00FE648A"/>
    <w:rsid w:val="00FE64F0"/>
    <w:rsid w:val="00FE6757"/>
    <w:rsid w:val="00FE698D"/>
    <w:rsid w:val="00FE737F"/>
    <w:rsid w:val="00FF068E"/>
    <w:rsid w:val="00FF0BE2"/>
    <w:rsid w:val="00FF0C0B"/>
    <w:rsid w:val="00FF0F68"/>
    <w:rsid w:val="00FF12AD"/>
    <w:rsid w:val="00FF131E"/>
    <w:rsid w:val="00FF14B2"/>
    <w:rsid w:val="00FF15EF"/>
    <w:rsid w:val="00FF1634"/>
    <w:rsid w:val="00FF1985"/>
    <w:rsid w:val="00FF1E67"/>
    <w:rsid w:val="00FF1F63"/>
    <w:rsid w:val="00FF276D"/>
    <w:rsid w:val="00FF27DC"/>
    <w:rsid w:val="00FF27E5"/>
    <w:rsid w:val="00FF2EFB"/>
    <w:rsid w:val="00FF3250"/>
    <w:rsid w:val="00FF3328"/>
    <w:rsid w:val="00FF3426"/>
    <w:rsid w:val="00FF34C4"/>
    <w:rsid w:val="00FF3AA9"/>
    <w:rsid w:val="00FF3F99"/>
    <w:rsid w:val="00FF474C"/>
    <w:rsid w:val="00FF49F4"/>
    <w:rsid w:val="00FF4C3A"/>
    <w:rsid w:val="00FF4E9A"/>
    <w:rsid w:val="00FF5095"/>
    <w:rsid w:val="00FF5232"/>
    <w:rsid w:val="00FF550D"/>
    <w:rsid w:val="00FF573E"/>
    <w:rsid w:val="00FF5A26"/>
    <w:rsid w:val="00FF5AD7"/>
    <w:rsid w:val="00FF652A"/>
    <w:rsid w:val="00FF659D"/>
    <w:rsid w:val="00FF66F1"/>
    <w:rsid w:val="00FF6ABB"/>
    <w:rsid w:val="00FF6B04"/>
    <w:rsid w:val="00FF6E1E"/>
    <w:rsid w:val="00FF7440"/>
    <w:rsid w:val="00FF7979"/>
    <w:rsid w:val="00FF79EA"/>
    <w:rsid w:val="00FF7AD8"/>
    <w:rsid w:val="00FF7C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B9B3A"/>
  <w15:docId w15:val="{78EE5F72-11E0-4CAE-B7AA-9394953E3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9"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CD3"/>
    <w:pPr>
      <w:spacing w:line="360" w:lineRule="auto"/>
      <w:jc w:val="both"/>
    </w:pPr>
    <w:rPr>
      <w:rFonts w:ascii="Arial" w:hAnsi="Arial" w:cs="Times New Roman"/>
      <w:sz w:val="24"/>
      <w:szCs w:val="24"/>
      <w:lang w:val="es-ES" w:eastAsia="es-ES"/>
    </w:rPr>
  </w:style>
  <w:style w:type="paragraph" w:styleId="Ttulo1">
    <w:name w:val="heading 1"/>
    <w:basedOn w:val="Normal"/>
    <w:next w:val="Normal"/>
    <w:link w:val="Ttulo1Car"/>
    <w:uiPriority w:val="9"/>
    <w:qFormat/>
    <w:rsid w:val="00C85395"/>
    <w:pPr>
      <w:keepNext/>
      <w:spacing w:before="240" w:after="60"/>
      <w:outlineLvl w:val="0"/>
    </w:pPr>
    <w:rPr>
      <w:rFonts w:ascii="Cambria" w:hAnsi="Cambria"/>
      <w:b/>
      <w:kern w:val="32"/>
      <w:sz w:val="32"/>
      <w:szCs w:val="20"/>
    </w:rPr>
  </w:style>
  <w:style w:type="paragraph" w:styleId="Ttulo3">
    <w:name w:val="heading 3"/>
    <w:basedOn w:val="Normal"/>
    <w:next w:val="Normal"/>
    <w:link w:val="Ttulo3Car"/>
    <w:uiPriority w:val="9"/>
    <w:qFormat/>
    <w:rsid w:val="00C85395"/>
    <w:pPr>
      <w:keepNext/>
      <w:spacing w:before="240" w:after="60"/>
      <w:outlineLvl w:val="2"/>
    </w:pPr>
    <w:rPr>
      <w:b/>
      <w:sz w:val="26"/>
      <w:szCs w:val="20"/>
    </w:rPr>
  </w:style>
  <w:style w:type="paragraph" w:styleId="Ttulo5">
    <w:name w:val="heading 5"/>
    <w:basedOn w:val="Normal"/>
    <w:next w:val="Normal"/>
    <w:link w:val="Ttulo5Car"/>
    <w:uiPriority w:val="9"/>
    <w:qFormat/>
    <w:rsid w:val="00C85395"/>
    <w:pPr>
      <w:keepNext/>
      <w:jc w:val="center"/>
      <w:outlineLvl w:val="4"/>
    </w:pPr>
    <w:rPr>
      <w:b/>
      <w:sz w:val="20"/>
      <w:szCs w:val="20"/>
    </w:rPr>
  </w:style>
  <w:style w:type="paragraph" w:styleId="Ttulo6">
    <w:name w:val="heading 6"/>
    <w:basedOn w:val="Normal"/>
    <w:next w:val="Normal"/>
    <w:link w:val="Ttulo6Car"/>
    <w:uiPriority w:val="9"/>
    <w:qFormat/>
    <w:rsid w:val="00C85395"/>
    <w:pPr>
      <w:spacing w:before="240" w:after="60"/>
      <w:outlineLvl w:val="5"/>
    </w:pPr>
    <w:rPr>
      <w:rFonts w:ascii="Calibri" w:hAnsi="Calibri"/>
      <w:b/>
      <w:sz w:val="20"/>
      <w:szCs w:val="20"/>
    </w:rPr>
  </w:style>
  <w:style w:type="paragraph" w:styleId="Ttulo7">
    <w:name w:val="heading 7"/>
    <w:basedOn w:val="Normal"/>
    <w:next w:val="Normal"/>
    <w:link w:val="Ttulo7Car"/>
    <w:uiPriority w:val="9"/>
    <w:qFormat/>
    <w:rsid w:val="00C85395"/>
    <w:pPr>
      <w:spacing w:before="240" w:after="60"/>
      <w:outlineLvl w:val="6"/>
    </w:pPr>
    <w:rPr>
      <w:szCs w:val="20"/>
    </w:rPr>
  </w:style>
  <w:style w:type="paragraph" w:styleId="Ttulo9">
    <w:name w:val="heading 9"/>
    <w:basedOn w:val="Normal"/>
    <w:next w:val="Normal"/>
    <w:link w:val="Ttulo9Car"/>
    <w:uiPriority w:val="9"/>
    <w:qFormat/>
    <w:rsid w:val="00C85395"/>
    <w:pPr>
      <w:spacing w:before="240" w:after="60"/>
      <w:outlineLvl w:val="8"/>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C85395"/>
    <w:rPr>
      <w:rFonts w:ascii="Cambria" w:hAnsi="Cambria"/>
      <w:b/>
      <w:kern w:val="32"/>
      <w:sz w:val="32"/>
      <w:lang w:eastAsia="es-ES"/>
    </w:rPr>
  </w:style>
  <w:style w:type="character" w:customStyle="1" w:styleId="Ttulo3Car">
    <w:name w:val="Título 3 Car"/>
    <w:link w:val="Ttulo3"/>
    <w:uiPriority w:val="9"/>
    <w:locked/>
    <w:rsid w:val="00C85395"/>
    <w:rPr>
      <w:rFonts w:ascii="Arial" w:hAnsi="Arial"/>
      <w:b/>
      <w:sz w:val="26"/>
      <w:lang w:eastAsia="es-ES"/>
    </w:rPr>
  </w:style>
  <w:style w:type="character" w:customStyle="1" w:styleId="Ttulo5Car">
    <w:name w:val="Título 5 Car"/>
    <w:link w:val="Ttulo5"/>
    <w:uiPriority w:val="9"/>
    <w:locked/>
    <w:rsid w:val="00C85395"/>
    <w:rPr>
      <w:rFonts w:ascii="Arial" w:hAnsi="Arial"/>
      <w:b/>
      <w:lang w:eastAsia="es-ES"/>
    </w:rPr>
  </w:style>
  <w:style w:type="character" w:customStyle="1" w:styleId="Ttulo6Car">
    <w:name w:val="Título 6 Car"/>
    <w:link w:val="Ttulo6"/>
    <w:uiPriority w:val="9"/>
    <w:locked/>
    <w:rsid w:val="00C85395"/>
    <w:rPr>
      <w:rFonts w:ascii="Calibri" w:hAnsi="Calibri"/>
      <w:b/>
      <w:lang w:eastAsia="es-ES"/>
    </w:rPr>
  </w:style>
  <w:style w:type="character" w:customStyle="1" w:styleId="Ttulo7Car">
    <w:name w:val="Título 7 Car"/>
    <w:link w:val="Ttulo7"/>
    <w:uiPriority w:val="9"/>
    <w:locked/>
    <w:rsid w:val="00C85395"/>
    <w:rPr>
      <w:rFonts w:ascii="Arial" w:hAnsi="Arial"/>
      <w:sz w:val="24"/>
      <w:lang w:eastAsia="es-ES"/>
    </w:rPr>
  </w:style>
  <w:style w:type="character" w:customStyle="1" w:styleId="Ttulo9Car">
    <w:name w:val="Título 9 Car"/>
    <w:link w:val="Ttulo9"/>
    <w:uiPriority w:val="9"/>
    <w:locked/>
    <w:rsid w:val="00C85395"/>
    <w:rPr>
      <w:rFonts w:ascii="Arial" w:hAnsi="Arial"/>
      <w:lang w:eastAsia="es-ES"/>
    </w:rPr>
  </w:style>
  <w:style w:type="paragraph" w:styleId="Textoindependiente2">
    <w:name w:val="Body Text 2"/>
    <w:basedOn w:val="Normal"/>
    <w:link w:val="Textoindependiente2Car"/>
    <w:uiPriority w:val="99"/>
    <w:semiHidden/>
    <w:rsid w:val="00C85395"/>
    <w:pPr>
      <w:spacing w:after="120"/>
      <w:ind w:left="283"/>
    </w:pPr>
    <w:rPr>
      <w:szCs w:val="20"/>
    </w:rPr>
  </w:style>
  <w:style w:type="character" w:customStyle="1" w:styleId="Textoindependiente2Car">
    <w:name w:val="Texto independiente 2 Car"/>
    <w:link w:val="Textoindependiente2"/>
    <w:uiPriority w:val="99"/>
    <w:semiHidden/>
    <w:locked/>
    <w:rsid w:val="00C85395"/>
    <w:rPr>
      <w:rFonts w:ascii="Arial" w:hAnsi="Arial"/>
      <w:sz w:val="24"/>
      <w:lang w:eastAsia="es-ES"/>
    </w:rPr>
  </w:style>
  <w:style w:type="paragraph" w:customStyle="1" w:styleId="Textoindependiente21">
    <w:name w:val="Texto independiente 21"/>
    <w:basedOn w:val="Normal"/>
    <w:rsid w:val="00C85395"/>
    <w:pPr>
      <w:tabs>
        <w:tab w:val="left" w:pos="3969"/>
      </w:tabs>
      <w:overflowPunct w:val="0"/>
      <w:autoSpaceDE w:val="0"/>
      <w:autoSpaceDN w:val="0"/>
      <w:adjustRightInd w:val="0"/>
      <w:textAlignment w:val="baseline"/>
    </w:pPr>
    <w:rPr>
      <w:rFonts w:cs="Arial"/>
      <w:i/>
      <w:iCs/>
      <w:sz w:val="26"/>
      <w:szCs w:val="26"/>
      <w:lang w:val="es-ES_tradnl"/>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qFormat/>
    <w:rsid w:val="00C85395"/>
    <w:rPr>
      <w:vertAlign w:val="superscript"/>
    </w:rPr>
  </w:style>
  <w:style w:type="paragraph" w:styleId="Textoindependiente">
    <w:name w:val="Body Text"/>
    <w:aliases w:val="Texto independiente Car Car Car"/>
    <w:basedOn w:val="Normal"/>
    <w:link w:val="TextoindependienteCar"/>
    <w:rsid w:val="00C85395"/>
    <w:pPr>
      <w:autoSpaceDE w:val="0"/>
      <w:autoSpaceDN w:val="0"/>
      <w:adjustRightInd w:val="0"/>
    </w:pPr>
    <w:rPr>
      <w:szCs w:val="20"/>
      <w:lang w:val="es-ES_tradnl"/>
    </w:rPr>
  </w:style>
  <w:style w:type="paragraph" w:styleId="NormalWeb">
    <w:name w:val="Normal (Web)"/>
    <w:basedOn w:val="Normal"/>
    <w:uiPriority w:val="99"/>
    <w:rsid w:val="00C85395"/>
    <w:pPr>
      <w:spacing w:before="100" w:beforeAutospacing="1" w:after="100" w:afterAutospacing="1"/>
    </w:pPr>
  </w:style>
  <w:style w:type="paragraph" w:styleId="Textoindependiente3">
    <w:name w:val="Body Text 3"/>
    <w:basedOn w:val="Normal"/>
    <w:link w:val="Textoindependiente3Car"/>
    <w:uiPriority w:val="99"/>
    <w:rsid w:val="00F0748C"/>
    <w:pPr>
      <w:overflowPunct w:val="0"/>
      <w:autoSpaceDE w:val="0"/>
      <w:autoSpaceDN w:val="0"/>
      <w:adjustRightInd w:val="0"/>
      <w:textAlignment w:val="baseline"/>
    </w:pPr>
    <w:rPr>
      <w:sz w:val="20"/>
      <w:szCs w:val="20"/>
    </w:rPr>
  </w:style>
  <w:style w:type="character" w:customStyle="1" w:styleId="Textoindependiente3Car">
    <w:name w:val="Texto independiente 3 Car"/>
    <w:link w:val="Textoindependiente3"/>
    <w:uiPriority w:val="99"/>
    <w:locked/>
    <w:rsid w:val="00C85395"/>
    <w:rPr>
      <w:rFonts w:ascii="Arial" w:hAnsi="Arial"/>
      <w:lang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locked/>
    <w:rsid w:val="00C85395"/>
    <w:rPr>
      <w:rFonts w:ascii="Arial" w:hAnsi="Arial"/>
      <w:sz w:val="20"/>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qFormat/>
    <w:rsid w:val="00C85395"/>
    <w:rPr>
      <w:sz w:val="20"/>
      <w:szCs w:val="20"/>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rsid w:val="00D7442C"/>
    <w:rPr>
      <w:rFonts w:ascii="Arial" w:hAnsi="Arial" w:cs="Times New Roman"/>
      <w:lang w:val="es-ES" w:eastAsia="es-E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D7442C"/>
    <w:rPr>
      <w:rFonts w:ascii="Arial" w:hAnsi="Arial"/>
    </w:rPr>
  </w:style>
  <w:style w:type="paragraph" w:styleId="Encabezado">
    <w:name w:val="header"/>
    <w:basedOn w:val="Normal"/>
    <w:link w:val="EncabezadoCar"/>
    <w:uiPriority w:val="99"/>
    <w:rsid w:val="00C85395"/>
    <w:pPr>
      <w:tabs>
        <w:tab w:val="center" w:pos="4419"/>
        <w:tab w:val="right" w:pos="8838"/>
      </w:tabs>
      <w:overflowPunct w:val="0"/>
      <w:autoSpaceDE w:val="0"/>
      <w:autoSpaceDN w:val="0"/>
      <w:adjustRightInd w:val="0"/>
      <w:textAlignment w:val="baseline"/>
    </w:pPr>
    <w:rPr>
      <w:szCs w:val="20"/>
      <w:lang w:val="es-ES_tradnl"/>
    </w:rPr>
  </w:style>
  <w:style w:type="character" w:customStyle="1" w:styleId="EncabezadoCar">
    <w:name w:val="Encabezado Car"/>
    <w:link w:val="Encabezado"/>
    <w:uiPriority w:val="99"/>
    <w:locked/>
    <w:rsid w:val="00C85395"/>
    <w:rPr>
      <w:rFonts w:ascii="Arial" w:hAnsi="Arial"/>
      <w:sz w:val="24"/>
      <w:lang w:val="es-ES_tradnl" w:eastAsia="es-ES"/>
    </w:rPr>
  </w:style>
  <w:style w:type="character" w:customStyle="1" w:styleId="TextoindependienteCar">
    <w:name w:val="Texto independiente Car"/>
    <w:aliases w:val="Texto independiente Car Car Car Car2"/>
    <w:link w:val="Textoindependiente"/>
    <w:locked/>
    <w:rsid w:val="00C85395"/>
    <w:rPr>
      <w:rFonts w:ascii="Arial" w:hAnsi="Arial"/>
      <w:sz w:val="24"/>
      <w:lang w:val="es-ES_tradnl" w:eastAsia="es-ES"/>
    </w:rPr>
  </w:style>
  <w:style w:type="paragraph" w:styleId="Piedepgina">
    <w:name w:val="footer"/>
    <w:basedOn w:val="Normal"/>
    <w:link w:val="PiedepginaCar"/>
    <w:uiPriority w:val="99"/>
    <w:rsid w:val="00C85395"/>
    <w:pPr>
      <w:tabs>
        <w:tab w:val="center" w:pos="4252"/>
        <w:tab w:val="right" w:pos="8504"/>
      </w:tabs>
    </w:pPr>
    <w:rPr>
      <w:szCs w:val="20"/>
    </w:rPr>
  </w:style>
  <w:style w:type="character" w:customStyle="1" w:styleId="PiedepginaCar">
    <w:name w:val="Pie de página Car"/>
    <w:link w:val="Piedepgina"/>
    <w:uiPriority w:val="99"/>
    <w:locked/>
    <w:rsid w:val="00C85395"/>
    <w:rPr>
      <w:rFonts w:ascii="Arial" w:hAnsi="Arial"/>
      <w:sz w:val="24"/>
      <w:lang w:eastAsia="es-ES"/>
    </w:rPr>
  </w:style>
  <w:style w:type="character" w:styleId="Nmerodepgina">
    <w:name w:val="page number"/>
    <w:rsid w:val="00C85395"/>
  </w:style>
  <w:style w:type="paragraph" w:styleId="Textodebloque">
    <w:name w:val="Block Text"/>
    <w:basedOn w:val="Normal"/>
    <w:rsid w:val="00C85395"/>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3" w:right="567"/>
    </w:pPr>
    <w:rPr>
      <w:rFonts w:ascii="Century Gothic" w:hAnsi="Century Gothic" w:cs="Century Gothic"/>
      <w:sz w:val="22"/>
      <w:szCs w:val="22"/>
    </w:rPr>
  </w:style>
  <w:style w:type="paragraph" w:customStyle="1" w:styleId="Estilo">
    <w:name w:val="Estilo"/>
    <w:rsid w:val="00C85395"/>
    <w:pPr>
      <w:widowControl w:val="0"/>
      <w:autoSpaceDE w:val="0"/>
      <w:autoSpaceDN w:val="0"/>
      <w:adjustRightInd w:val="0"/>
      <w:spacing w:line="360" w:lineRule="auto"/>
      <w:jc w:val="both"/>
    </w:pPr>
    <w:rPr>
      <w:rFonts w:ascii="Arial" w:hAnsi="Arial" w:cs="Arial"/>
      <w:sz w:val="24"/>
      <w:szCs w:val="24"/>
      <w:lang w:val="es-ES" w:eastAsia="es-ES"/>
    </w:rPr>
  </w:style>
  <w:style w:type="paragraph" w:customStyle="1" w:styleId="Textoindependiente22">
    <w:name w:val="Texto independiente 22"/>
    <w:basedOn w:val="Normal"/>
    <w:rsid w:val="00C85395"/>
    <w:pPr>
      <w:overflowPunct w:val="0"/>
      <w:autoSpaceDE w:val="0"/>
      <w:autoSpaceDN w:val="0"/>
      <w:adjustRightInd w:val="0"/>
      <w:ind w:firstLine="1418"/>
      <w:textAlignment w:val="baseline"/>
    </w:pPr>
    <w:rPr>
      <w:szCs w:val="20"/>
    </w:rPr>
  </w:style>
  <w:style w:type="paragraph" w:customStyle="1" w:styleId="CUERPO">
    <w:name w:val="CUERPO"/>
    <w:rsid w:val="00C85395"/>
    <w:pPr>
      <w:spacing w:before="144" w:after="144" w:line="360" w:lineRule="auto"/>
      <w:ind w:firstLine="360"/>
      <w:jc w:val="both"/>
    </w:pPr>
    <w:rPr>
      <w:rFonts w:ascii="Arial" w:hAnsi="Arial" w:cs="Times New Roman"/>
      <w:lang w:val="en-US" w:eastAsia="en-US"/>
    </w:rPr>
  </w:style>
  <w:style w:type="paragraph" w:customStyle="1" w:styleId="Textodebloque1">
    <w:name w:val="Texto de bloque1"/>
    <w:basedOn w:val="Normal"/>
    <w:qFormat/>
    <w:rsid w:val="00C85395"/>
    <w:pPr>
      <w:overflowPunct w:val="0"/>
      <w:autoSpaceDE w:val="0"/>
      <w:autoSpaceDN w:val="0"/>
      <w:adjustRightInd w:val="0"/>
      <w:ind w:left="851" w:right="851" w:firstLine="567"/>
      <w:textAlignment w:val="baseline"/>
    </w:pPr>
    <w:rPr>
      <w:rFonts w:ascii="Century Gothic" w:hAnsi="Century Gothic" w:cs="Arial"/>
      <w:sz w:val="22"/>
    </w:rPr>
  </w:style>
  <w:style w:type="paragraph" w:customStyle="1" w:styleId="Sangra3detindependiente1">
    <w:name w:val="Sangría 3 de t. independiente1"/>
    <w:basedOn w:val="Normal"/>
    <w:rsid w:val="00C85395"/>
    <w:pPr>
      <w:overflowPunct w:val="0"/>
      <w:autoSpaceDE w:val="0"/>
      <w:autoSpaceDN w:val="0"/>
      <w:adjustRightInd w:val="0"/>
      <w:ind w:firstLine="540"/>
      <w:textAlignment w:val="baseline"/>
    </w:pPr>
    <w:rPr>
      <w:b/>
      <w:szCs w:val="20"/>
    </w:rPr>
  </w:style>
  <w:style w:type="paragraph" w:customStyle="1" w:styleId="BodyText21">
    <w:name w:val="Body Text 21"/>
    <w:basedOn w:val="Normal"/>
    <w:rsid w:val="00C85395"/>
    <w:pPr>
      <w:overflowPunct w:val="0"/>
      <w:autoSpaceDE w:val="0"/>
      <w:autoSpaceDN w:val="0"/>
      <w:adjustRightInd w:val="0"/>
      <w:ind w:left="1418"/>
      <w:textAlignment w:val="baseline"/>
    </w:pPr>
    <w:rPr>
      <w:szCs w:val="20"/>
    </w:rPr>
  </w:style>
  <w:style w:type="paragraph" w:styleId="Sangra3detindependiente">
    <w:name w:val="Body Text Indent 3"/>
    <w:basedOn w:val="Normal"/>
    <w:link w:val="Sangra3detindependienteCar"/>
    <w:uiPriority w:val="99"/>
    <w:rsid w:val="00C85395"/>
    <w:pPr>
      <w:overflowPunct w:val="0"/>
      <w:autoSpaceDE w:val="0"/>
      <w:autoSpaceDN w:val="0"/>
      <w:adjustRightInd w:val="0"/>
      <w:spacing w:after="120"/>
      <w:ind w:left="283"/>
      <w:textAlignment w:val="baseline"/>
    </w:pPr>
    <w:rPr>
      <w:sz w:val="16"/>
      <w:szCs w:val="20"/>
    </w:rPr>
  </w:style>
  <w:style w:type="character" w:customStyle="1" w:styleId="Sangra3detindependienteCar">
    <w:name w:val="Sangría 3 de t. independiente Car"/>
    <w:link w:val="Sangra3detindependiente"/>
    <w:uiPriority w:val="99"/>
    <w:locked/>
    <w:rsid w:val="00C85395"/>
    <w:rPr>
      <w:rFonts w:ascii="Arial" w:hAnsi="Arial"/>
      <w:sz w:val="16"/>
      <w:lang w:eastAsia="es-ES"/>
    </w:rPr>
  </w:style>
  <w:style w:type="paragraph" w:customStyle="1" w:styleId="Textonormal">
    <w:name w:val="Texto normal"/>
    <w:basedOn w:val="Normal"/>
    <w:rsid w:val="00C85395"/>
    <w:pPr>
      <w:spacing w:line="360" w:lineRule="atLeast"/>
    </w:pPr>
    <w:rPr>
      <w:szCs w:val="20"/>
    </w:rPr>
  </w:style>
  <w:style w:type="paragraph" w:customStyle="1" w:styleId="tesis">
    <w:name w:val="tesis"/>
    <w:basedOn w:val="Cuerpotexto"/>
    <w:rsid w:val="00C85395"/>
    <w:pPr>
      <w:spacing w:before="0" w:after="170"/>
      <w:ind w:left="567" w:right="0" w:firstLine="0"/>
    </w:pPr>
    <w:rPr>
      <w:b/>
      <w:color w:val="auto"/>
    </w:rPr>
  </w:style>
  <w:style w:type="paragraph" w:customStyle="1" w:styleId="Cuerpotexto">
    <w:name w:val="Cuerpo texto"/>
    <w:rsid w:val="00C85395"/>
    <w:pPr>
      <w:overflowPunct w:val="0"/>
      <w:autoSpaceDE w:val="0"/>
      <w:autoSpaceDN w:val="0"/>
      <w:adjustRightInd w:val="0"/>
      <w:spacing w:before="1" w:after="171" w:line="360" w:lineRule="auto"/>
      <w:ind w:left="1" w:right="1" w:firstLine="397"/>
      <w:jc w:val="both"/>
      <w:textAlignment w:val="baseline"/>
    </w:pPr>
    <w:rPr>
      <w:rFonts w:ascii="Times New Roman" w:hAnsi="Times New Roman" w:cs="Times New Roman"/>
      <w:color w:val="000000"/>
      <w:sz w:val="22"/>
      <w:lang w:val="es-ES_tradnl" w:eastAsia="es-ES"/>
    </w:rPr>
  </w:style>
  <w:style w:type="character" w:customStyle="1" w:styleId="TextonotapieCarCarCar">
    <w:name w:val="Texto nota pie Car Car Car"/>
    <w:aliases w:val="Texto nota pie Car1 Car Car"/>
    <w:rsid w:val="00C85395"/>
    <w:rPr>
      <w:lang w:val="es-CO" w:eastAsia="es-ES"/>
    </w:rPr>
  </w:style>
  <w:style w:type="paragraph" w:styleId="Textonotaalfinal">
    <w:name w:val="endnote text"/>
    <w:basedOn w:val="Normal"/>
    <w:link w:val="TextonotaalfinalCar"/>
    <w:uiPriority w:val="99"/>
    <w:unhideWhenUsed/>
    <w:rsid w:val="00C85395"/>
    <w:rPr>
      <w:sz w:val="20"/>
      <w:szCs w:val="20"/>
    </w:rPr>
  </w:style>
  <w:style w:type="character" w:customStyle="1" w:styleId="TextonotaalfinalCar">
    <w:name w:val="Texto nota al final Car"/>
    <w:link w:val="Textonotaalfinal"/>
    <w:uiPriority w:val="99"/>
    <w:locked/>
    <w:rsid w:val="00C85395"/>
    <w:rPr>
      <w:rFonts w:ascii="Arial" w:hAnsi="Arial"/>
      <w:sz w:val="20"/>
      <w:lang w:eastAsia="es-ES"/>
    </w:rPr>
  </w:style>
  <w:style w:type="paragraph" w:customStyle="1" w:styleId="BodyText22">
    <w:name w:val="Body Text 22"/>
    <w:basedOn w:val="Normal"/>
    <w:rsid w:val="00C85395"/>
    <w:pPr>
      <w:autoSpaceDE w:val="0"/>
      <w:autoSpaceDN w:val="0"/>
      <w:adjustRightInd w:val="0"/>
      <w:ind w:firstLine="708"/>
    </w:pPr>
    <w:rPr>
      <w:rFonts w:ascii="Century Gothic" w:hAnsi="Century Gothic"/>
      <w:sz w:val="22"/>
      <w:szCs w:val="22"/>
    </w:rPr>
  </w:style>
  <w:style w:type="character" w:customStyle="1" w:styleId="TextoindependienteCarCarCarCar">
    <w:name w:val="Texto independiente Car Car Car Car"/>
    <w:aliases w:val="Texto independiente Car Car Car1"/>
    <w:rsid w:val="00C85395"/>
    <w:rPr>
      <w:rFonts w:ascii="Arial" w:hAnsi="Arial"/>
      <w:sz w:val="24"/>
      <w:lang w:val="es-ES_tradnl" w:eastAsia="es-ES"/>
    </w:rPr>
  </w:style>
  <w:style w:type="character" w:styleId="Hipervnculo">
    <w:name w:val="Hyperlink"/>
    <w:uiPriority w:val="99"/>
    <w:rsid w:val="00C85395"/>
    <w:rPr>
      <w:rFonts w:ascii="Arial" w:hAnsi="Arial"/>
      <w:color w:val="auto"/>
      <w:sz w:val="18"/>
      <w:u w:val="none"/>
      <w:effect w:val="none"/>
    </w:rPr>
  </w:style>
  <w:style w:type="character" w:customStyle="1" w:styleId="CarCar10">
    <w:name w:val="Car Car10"/>
    <w:rsid w:val="00C85395"/>
    <w:rPr>
      <w:rFonts w:ascii="Arial" w:hAnsi="Arial"/>
      <w:b/>
      <w:sz w:val="26"/>
      <w:lang w:eastAsia="es-ES"/>
    </w:rPr>
  </w:style>
  <w:style w:type="paragraph" w:customStyle="1" w:styleId="BodyText28">
    <w:name w:val="Body Text 28"/>
    <w:basedOn w:val="Normal"/>
    <w:rsid w:val="00C85395"/>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textAlignment w:val="baseline"/>
    </w:pPr>
    <w:rPr>
      <w:spacing w:val="-2"/>
      <w:sz w:val="22"/>
      <w:szCs w:val="20"/>
      <w:lang w:val="es-CO"/>
    </w:rPr>
  </w:style>
  <w:style w:type="character" w:customStyle="1" w:styleId="TextoindependienteCarCarCarCarCar">
    <w:name w:val="Texto independiente Car Car Car Car Car"/>
    <w:rsid w:val="00C85395"/>
    <w:rPr>
      <w:rFonts w:ascii="Arial" w:hAnsi="Arial"/>
      <w:sz w:val="24"/>
      <w:lang w:val="es-ES_tradnl" w:eastAsia="es-ES"/>
    </w:rPr>
  </w:style>
  <w:style w:type="character" w:customStyle="1" w:styleId="CarCar11">
    <w:name w:val="Car Car11"/>
    <w:rsid w:val="00C85395"/>
    <w:rPr>
      <w:rFonts w:ascii="Arial" w:hAnsi="Arial"/>
      <w:b/>
      <w:sz w:val="26"/>
      <w:lang w:val="es-ES" w:eastAsia="es-ES"/>
    </w:rPr>
  </w:style>
  <w:style w:type="paragraph" w:styleId="Sangradetextonormal">
    <w:name w:val="Body Text Indent"/>
    <w:basedOn w:val="Normal"/>
    <w:link w:val="SangradetextonormalCar"/>
    <w:uiPriority w:val="99"/>
    <w:rsid w:val="00C85395"/>
    <w:pPr>
      <w:spacing w:after="120"/>
      <w:ind w:left="283"/>
    </w:pPr>
    <w:rPr>
      <w:rFonts w:ascii="Times New Roman" w:hAnsi="Times New Roman"/>
      <w:szCs w:val="20"/>
    </w:rPr>
  </w:style>
  <w:style w:type="character" w:customStyle="1" w:styleId="SangradetextonormalCar">
    <w:name w:val="Sangría de texto normal Car"/>
    <w:link w:val="Sangradetextonormal"/>
    <w:uiPriority w:val="99"/>
    <w:locked/>
    <w:rsid w:val="00C85395"/>
    <w:rPr>
      <w:rFonts w:ascii="Times New Roman" w:hAnsi="Times New Roman"/>
      <w:sz w:val="24"/>
      <w:lang w:eastAsia="es-ES"/>
    </w:rPr>
  </w:style>
  <w:style w:type="paragraph" w:styleId="Sangra2detindependiente">
    <w:name w:val="Body Text Indent 2"/>
    <w:basedOn w:val="Normal"/>
    <w:link w:val="Sangra2detindependienteCar"/>
    <w:uiPriority w:val="99"/>
    <w:rsid w:val="00C85395"/>
    <w:pPr>
      <w:spacing w:after="120" w:line="480" w:lineRule="auto"/>
      <w:ind w:left="283"/>
    </w:pPr>
    <w:rPr>
      <w:rFonts w:ascii="Times New Roman" w:hAnsi="Times New Roman"/>
      <w:szCs w:val="20"/>
    </w:rPr>
  </w:style>
  <w:style w:type="character" w:customStyle="1" w:styleId="Sangra2detindependienteCar">
    <w:name w:val="Sangría 2 de t. independiente Car"/>
    <w:link w:val="Sangra2detindependiente"/>
    <w:uiPriority w:val="99"/>
    <w:locked/>
    <w:rsid w:val="00C85395"/>
    <w:rPr>
      <w:rFonts w:ascii="Times New Roman" w:hAnsi="Times New Roman"/>
      <w:sz w:val="24"/>
      <w:lang w:eastAsia="es-ES"/>
    </w:rPr>
  </w:style>
  <w:style w:type="paragraph" w:customStyle="1" w:styleId="Sangra3detindependiente11">
    <w:name w:val="Sangría 3 de t. independiente11"/>
    <w:basedOn w:val="Normal"/>
    <w:rsid w:val="00C85395"/>
    <w:pPr>
      <w:overflowPunct w:val="0"/>
      <w:autoSpaceDE w:val="0"/>
      <w:autoSpaceDN w:val="0"/>
      <w:adjustRightInd w:val="0"/>
      <w:ind w:firstLine="709"/>
      <w:textAlignment w:val="baseline"/>
    </w:pPr>
    <w:rPr>
      <w:szCs w:val="20"/>
    </w:rPr>
  </w:style>
  <w:style w:type="paragraph" w:customStyle="1" w:styleId="Sangra2detindependiente1">
    <w:name w:val="Sangría 2 de t. independiente1"/>
    <w:basedOn w:val="Normal"/>
    <w:rsid w:val="00C85395"/>
    <w:pPr>
      <w:overflowPunct w:val="0"/>
      <w:autoSpaceDE w:val="0"/>
      <w:autoSpaceDN w:val="0"/>
      <w:adjustRightInd w:val="0"/>
      <w:ind w:left="1418"/>
      <w:textAlignment w:val="baseline"/>
    </w:pPr>
    <w:rPr>
      <w:szCs w:val="20"/>
    </w:rPr>
  </w:style>
  <w:style w:type="paragraph" w:customStyle="1" w:styleId="03Cuerpo">
    <w:name w:val="03Cuerpo"/>
    <w:rsid w:val="00C85395"/>
    <w:pPr>
      <w:autoSpaceDE w:val="0"/>
      <w:autoSpaceDN w:val="0"/>
      <w:spacing w:line="240" w:lineRule="atLeast"/>
      <w:ind w:firstLine="454"/>
      <w:jc w:val="both"/>
    </w:pPr>
    <w:rPr>
      <w:rFonts w:ascii="Book Antiqua" w:hAnsi="Book Antiqua" w:cs="Book Antiqua"/>
      <w:sz w:val="22"/>
      <w:szCs w:val="22"/>
      <w:lang w:val="es-ES_tradnl" w:eastAsia="es-ES"/>
    </w:rPr>
  </w:style>
  <w:style w:type="paragraph" w:styleId="Sangranormal">
    <w:name w:val="Normal Indent"/>
    <w:basedOn w:val="Normal"/>
    <w:uiPriority w:val="99"/>
    <w:rsid w:val="00C85395"/>
    <w:pPr>
      <w:widowControl w:val="0"/>
      <w:adjustRightInd w:val="0"/>
      <w:spacing w:line="360" w:lineRule="atLeast"/>
      <w:ind w:left="708"/>
      <w:textAlignment w:val="baseline"/>
    </w:pPr>
    <w:rPr>
      <w:rFonts w:ascii="Times New Roman" w:hAnsi="Times New Roman"/>
    </w:rPr>
  </w:style>
  <w:style w:type="paragraph" w:styleId="Lista">
    <w:name w:val="List"/>
    <w:basedOn w:val="Normal"/>
    <w:uiPriority w:val="99"/>
    <w:rsid w:val="00C85395"/>
    <w:pPr>
      <w:widowControl w:val="0"/>
      <w:adjustRightInd w:val="0"/>
      <w:spacing w:line="360" w:lineRule="atLeast"/>
      <w:ind w:left="283" w:hanging="283"/>
      <w:textAlignment w:val="baseline"/>
    </w:pPr>
    <w:rPr>
      <w:rFonts w:ascii="Times New Roman" w:hAnsi="Times New Roman"/>
    </w:rPr>
  </w:style>
  <w:style w:type="paragraph" w:styleId="Continuarlista">
    <w:name w:val="List Continue"/>
    <w:basedOn w:val="Normal"/>
    <w:uiPriority w:val="99"/>
    <w:rsid w:val="00C85395"/>
    <w:pPr>
      <w:widowControl w:val="0"/>
      <w:adjustRightInd w:val="0"/>
      <w:spacing w:after="120" w:line="360" w:lineRule="atLeast"/>
      <w:ind w:left="283"/>
      <w:textAlignment w:val="baseline"/>
    </w:pPr>
    <w:rPr>
      <w:rFonts w:ascii="Times New Roman" w:hAnsi="Times New Roman"/>
    </w:rPr>
  </w:style>
  <w:style w:type="character" w:styleId="Hipervnculovisitado">
    <w:name w:val="FollowedHyperlink"/>
    <w:uiPriority w:val="99"/>
    <w:rsid w:val="00C85395"/>
    <w:rPr>
      <w:color w:val="800080"/>
      <w:u w:val="single"/>
    </w:rPr>
  </w:style>
  <w:style w:type="character" w:customStyle="1" w:styleId="CarCar13">
    <w:name w:val="Car Car13"/>
    <w:rsid w:val="00C85395"/>
    <w:rPr>
      <w:rFonts w:ascii="Arial" w:hAnsi="Arial"/>
      <w:sz w:val="24"/>
      <w:lang w:val="es-ES_tradnl" w:eastAsia="es-ES"/>
    </w:rPr>
  </w:style>
  <w:style w:type="paragraph" w:customStyle="1" w:styleId="07Resaltado">
    <w:name w:val="07Resaltado"/>
    <w:basedOn w:val="Normal"/>
    <w:rsid w:val="00C85395"/>
    <w:pPr>
      <w:overflowPunct w:val="0"/>
      <w:autoSpaceDE w:val="0"/>
      <w:autoSpaceDN w:val="0"/>
      <w:adjustRightInd w:val="0"/>
      <w:spacing w:line="240" w:lineRule="atLeast"/>
      <w:ind w:left="454" w:right="454"/>
      <w:textAlignment w:val="baseline"/>
    </w:pPr>
    <w:rPr>
      <w:rFonts w:ascii="Book Antiqua" w:hAnsi="Book Antiqua"/>
      <w:i/>
      <w:sz w:val="22"/>
      <w:szCs w:val="20"/>
      <w:lang w:val="es-ES_tradnl"/>
    </w:rPr>
  </w:style>
  <w:style w:type="paragraph" w:styleId="Prrafodelista">
    <w:name w:val="List Paragraph"/>
    <w:basedOn w:val="Normal"/>
    <w:uiPriority w:val="34"/>
    <w:qFormat/>
    <w:rsid w:val="00C85395"/>
    <w:pPr>
      <w:ind w:left="708"/>
    </w:pPr>
  </w:style>
  <w:style w:type="character" w:customStyle="1" w:styleId="TextoindependienteCarCarCarCar1">
    <w:name w:val="Texto independiente Car Car Car Car1"/>
    <w:aliases w:val="Texto independiente Car Car Car2"/>
    <w:rsid w:val="007D56CB"/>
    <w:rPr>
      <w:rFonts w:ascii="Arial" w:hAnsi="Arial"/>
      <w:sz w:val="24"/>
      <w:lang w:val="es-ES_tradnl" w:eastAsia="es-ES"/>
    </w:rPr>
  </w:style>
  <w:style w:type="paragraph" w:styleId="Textosinformato">
    <w:name w:val="Plain Text"/>
    <w:basedOn w:val="Normal"/>
    <w:link w:val="TextosinformatoCar"/>
    <w:uiPriority w:val="99"/>
    <w:rsid w:val="006E5912"/>
    <w:rPr>
      <w:rFonts w:ascii="Courier New" w:hAnsi="Courier New"/>
      <w:sz w:val="20"/>
      <w:szCs w:val="20"/>
    </w:rPr>
  </w:style>
  <w:style w:type="character" w:customStyle="1" w:styleId="TextosinformatoCar">
    <w:name w:val="Texto sin formato Car"/>
    <w:link w:val="Textosinformato"/>
    <w:uiPriority w:val="99"/>
    <w:semiHidden/>
    <w:locked/>
    <w:rsid w:val="00D7442C"/>
    <w:rPr>
      <w:rFonts w:ascii="Courier New"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F21484"/>
    <w:rPr>
      <w:lang w:val="es-ES" w:eastAsia="es-ES"/>
    </w:rPr>
  </w:style>
  <w:style w:type="table" w:styleId="Tablaconcuadrcula">
    <w:name w:val="Table Grid"/>
    <w:basedOn w:val="Tablanormal"/>
    <w:uiPriority w:val="59"/>
    <w:rsid w:val="000D27B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E14D8"/>
    <w:pPr>
      <w:spacing w:line="240" w:lineRule="auto"/>
    </w:pPr>
    <w:rPr>
      <w:rFonts w:ascii="Tahoma" w:hAnsi="Tahoma"/>
      <w:sz w:val="16"/>
      <w:szCs w:val="20"/>
    </w:rPr>
  </w:style>
  <w:style w:type="character" w:customStyle="1" w:styleId="TextodegloboCar">
    <w:name w:val="Texto de globo Car"/>
    <w:link w:val="Textodeglobo"/>
    <w:uiPriority w:val="99"/>
    <w:semiHidden/>
    <w:locked/>
    <w:rsid w:val="00EE14D8"/>
    <w:rPr>
      <w:rFonts w:ascii="Tahoma" w:hAnsi="Tahoma"/>
      <w:sz w:val="16"/>
      <w:lang w:val="es-ES" w:eastAsia="es-ES"/>
    </w:rPr>
  </w:style>
  <w:style w:type="paragraph" w:customStyle="1" w:styleId="Style11">
    <w:name w:val="Style11"/>
    <w:basedOn w:val="Normal"/>
    <w:rsid w:val="00D56298"/>
    <w:pPr>
      <w:widowControl w:val="0"/>
      <w:autoSpaceDE w:val="0"/>
      <w:autoSpaceDN w:val="0"/>
      <w:adjustRightInd w:val="0"/>
      <w:spacing w:line="230" w:lineRule="exact"/>
      <w:ind w:firstLine="264"/>
    </w:pPr>
  </w:style>
  <w:style w:type="character" w:customStyle="1" w:styleId="FontStyle92">
    <w:name w:val="Font Style92"/>
    <w:rsid w:val="00D56298"/>
    <w:rPr>
      <w:rFonts w:ascii="Times New Roman" w:hAnsi="Times New Roman"/>
      <w:sz w:val="18"/>
    </w:rPr>
  </w:style>
  <w:style w:type="paragraph" w:customStyle="1" w:styleId="Textodebloque2">
    <w:name w:val="Texto de bloque2"/>
    <w:basedOn w:val="Normal"/>
    <w:rsid w:val="00182253"/>
    <w:pPr>
      <w:overflowPunct w:val="0"/>
      <w:autoSpaceDE w:val="0"/>
      <w:autoSpaceDN w:val="0"/>
      <w:adjustRightInd w:val="0"/>
      <w:spacing w:line="240" w:lineRule="auto"/>
      <w:ind w:left="576" w:right="576"/>
      <w:textAlignment w:val="baseline"/>
    </w:pPr>
    <w:rPr>
      <w:i/>
      <w:sz w:val="20"/>
      <w:szCs w:val="20"/>
      <w:lang w:val="es-ES_tradnl"/>
    </w:rPr>
  </w:style>
  <w:style w:type="paragraph" w:customStyle="1" w:styleId="Sangra2detindependiente2">
    <w:name w:val="Sangría 2 de t. independiente2"/>
    <w:basedOn w:val="Normal"/>
    <w:rsid w:val="00CF76FD"/>
    <w:pPr>
      <w:overflowPunct w:val="0"/>
      <w:autoSpaceDE w:val="0"/>
      <w:autoSpaceDN w:val="0"/>
      <w:adjustRightInd w:val="0"/>
      <w:spacing w:line="240" w:lineRule="auto"/>
      <w:ind w:left="1418"/>
      <w:textAlignment w:val="baseline"/>
    </w:pPr>
    <w:rPr>
      <w:szCs w:val="20"/>
    </w:rPr>
  </w:style>
  <w:style w:type="character" w:customStyle="1" w:styleId="textonavy1">
    <w:name w:val="texto_navy1"/>
    <w:rsid w:val="004800C2"/>
    <w:rPr>
      <w:color w:val="000080"/>
    </w:rPr>
  </w:style>
  <w:style w:type="paragraph" w:customStyle="1" w:styleId="Enconsecueencia">
    <w:name w:val="En consecueencia"/>
    <w:basedOn w:val="Normal"/>
    <w:rsid w:val="001C6080"/>
    <w:pPr>
      <w:tabs>
        <w:tab w:val="left" w:pos="1276"/>
      </w:tabs>
      <w:spacing w:line="240" w:lineRule="auto"/>
    </w:pPr>
    <w:rPr>
      <w:sz w:val="22"/>
      <w:szCs w:val="20"/>
      <w:lang w:val="es-ES_tradnl"/>
    </w:rPr>
  </w:style>
  <w:style w:type="paragraph" w:customStyle="1" w:styleId="Ed">
    <w:name w:val="Ed"/>
    <w:basedOn w:val="Normal"/>
    <w:rsid w:val="00F00B55"/>
    <w:pPr>
      <w:overflowPunct w:val="0"/>
      <w:autoSpaceDE w:val="0"/>
      <w:autoSpaceDN w:val="0"/>
      <w:adjustRightInd w:val="0"/>
      <w:spacing w:line="480" w:lineRule="auto"/>
      <w:textAlignment w:val="baseline"/>
    </w:pPr>
    <w:rPr>
      <w:szCs w:val="20"/>
      <w:lang w:val="es-ES_tradnl" w:eastAsia="es-CO"/>
    </w:rPr>
  </w:style>
  <w:style w:type="character" w:styleId="Textoennegrita">
    <w:name w:val="Strong"/>
    <w:uiPriority w:val="22"/>
    <w:qFormat/>
    <w:rsid w:val="00915AC0"/>
    <w:rPr>
      <w:b/>
    </w:rPr>
  </w:style>
  <w:style w:type="character" w:customStyle="1" w:styleId="apple-converted-space">
    <w:name w:val="apple-converted-space"/>
    <w:rsid w:val="00CD1359"/>
  </w:style>
  <w:style w:type="paragraph" w:customStyle="1" w:styleId="Default">
    <w:name w:val="Default"/>
    <w:rsid w:val="00117B6F"/>
    <w:pPr>
      <w:autoSpaceDE w:val="0"/>
      <w:autoSpaceDN w:val="0"/>
      <w:adjustRightInd w:val="0"/>
    </w:pPr>
    <w:rPr>
      <w:rFonts w:ascii="NJICAK+Arial" w:hAnsi="NJICAK+Arial" w:cs="NJICAK+Arial"/>
      <w:color w:val="000000"/>
      <w:sz w:val="24"/>
      <w:szCs w:val="24"/>
    </w:rPr>
  </w:style>
  <w:style w:type="character" w:customStyle="1" w:styleId="t132">
    <w:name w:val="t132"/>
    <w:basedOn w:val="Fuentedeprrafopredeter"/>
    <w:rsid w:val="00D95B78"/>
  </w:style>
  <w:style w:type="character" w:customStyle="1" w:styleId="toctoggle">
    <w:name w:val="toctoggle"/>
    <w:basedOn w:val="Fuentedeprrafopredeter"/>
    <w:rsid w:val="00D95B78"/>
  </w:style>
  <w:style w:type="character" w:customStyle="1" w:styleId="t125">
    <w:name w:val="t125"/>
    <w:basedOn w:val="Fuentedeprrafopredeter"/>
    <w:rsid w:val="00F25C04"/>
  </w:style>
  <w:style w:type="paragraph" w:customStyle="1" w:styleId="parrafo-division">
    <w:name w:val="parrafo-division"/>
    <w:basedOn w:val="Normal"/>
    <w:rsid w:val="00747CB1"/>
    <w:pPr>
      <w:spacing w:before="100" w:beforeAutospacing="1" w:after="100" w:afterAutospacing="1" w:line="240" w:lineRule="auto"/>
      <w:jc w:val="left"/>
    </w:pPr>
    <w:rPr>
      <w:rFonts w:ascii="Times New Roman" w:hAnsi="Times New Roman"/>
    </w:rPr>
  </w:style>
  <w:style w:type="character" w:customStyle="1" w:styleId="textonavy">
    <w:name w:val="texto_navy"/>
    <w:basedOn w:val="Fuentedeprrafopredeter"/>
    <w:rsid w:val="00850264"/>
  </w:style>
  <w:style w:type="paragraph" w:customStyle="1" w:styleId="Textoindependiente23">
    <w:name w:val="Texto independiente 23"/>
    <w:basedOn w:val="Normal"/>
    <w:rsid w:val="000F05E1"/>
    <w:pPr>
      <w:overflowPunct w:val="0"/>
      <w:autoSpaceDE w:val="0"/>
      <w:autoSpaceDN w:val="0"/>
      <w:adjustRightInd w:val="0"/>
      <w:ind w:firstLine="1418"/>
      <w:textAlignment w:val="baseline"/>
    </w:pPr>
    <w:rPr>
      <w:szCs w:val="20"/>
      <w:lang w:val="es-CO"/>
    </w:rPr>
  </w:style>
  <w:style w:type="paragraph" w:customStyle="1" w:styleId="Textoindependiente24">
    <w:name w:val="Texto independiente 24"/>
    <w:basedOn w:val="Normal"/>
    <w:rsid w:val="00C81F08"/>
    <w:pPr>
      <w:overflowPunct w:val="0"/>
      <w:autoSpaceDE w:val="0"/>
      <w:autoSpaceDN w:val="0"/>
      <w:adjustRightInd w:val="0"/>
      <w:spacing w:line="480" w:lineRule="auto"/>
      <w:textAlignment w:val="baseline"/>
    </w:pPr>
    <w:rPr>
      <w:szCs w:val="20"/>
    </w:rPr>
  </w:style>
  <w:style w:type="paragraph" w:customStyle="1" w:styleId="Puesto">
    <w:name w:val="Puesto"/>
    <w:aliases w:val="Car,Nota al pié"/>
    <w:basedOn w:val="Normal"/>
    <w:link w:val="PuestoCar"/>
    <w:qFormat/>
    <w:rsid w:val="00D210C6"/>
    <w:pPr>
      <w:spacing w:line="240" w:lineRule="auto"/>
      <w:jc w:val="center"/>
    </w:pPr>
    <w:rPr>
      <w:rFonts w:eastAsia="Batang" w:cs="Arial"/>
      <w:b/>
      <w:bCs/>
      <w:sz w:val="22"/>
      <w:lang w:val="es-ES_tradnl"/>
    </w:rPr>
  </w:style>
  <w:style w:type="character" w:customStyle="1" w:styleId="PuestoCar">
    <w:name w:val="Puesto Car"/>
    <w:aliases w:val="Car Car,Nota al pié Car"/>
    <w:link w:val="Puesto"/>
    <w:rsid w:val="00D210C6"/>
    <w:rPr>
      <w:rFonts w:ascii="Arial" w:eastAsia="Batang" w:hAnsi="Arial" w:cs="Arial"/>
      <w:b/>
      <w:bCs/>
      <w:sz w:val="22"/>
      <w:szCs w:val="24"/>
      <w:lang w:val="es-ES_tradnl"/>
    </w:rPr>
  </w:style>
  <w:style w:type="paragraph" w:customStyle="1" w:styleId="Textoindependiente25">
    <w:name w:val="Texto independiente 25"/>
    <w:basedOn w:val="Normal"/>
    <w:rsid w:val="001235E1"/>
    <w:pPr>
      <w:overflowPunct w:val="0"/>
      <w:autoSpaceDE w:val="0"/>
      <w:autoSpaceDN w:val="0"/>
      <w:adjustRightInd w:val="0"/>
      <w:ind w:firstLine="710"/>
      <w:textAlignment w:val="baseline"/>
    </w:pPr>
    <w:rPr>
      <w:szCs w:val="20"/>
      <w:lang w:val="es-CO"/>
    </w:rPr>
  </w:style>
  <w:style w:type="paragraph" w:customStyle="1" w:styleId="textocaja">
    <w:name w:val="textocaja"/>
    <w:basedOn w:val="Normal"/>
    <w:rsid w:val="00C61876"/>
    <w:pPr>
      <w:spacing w:before="100" w:beforeAutospacing="1" w:after="100" w:afterAutospacing="1" w:line="240" w:lineRule="auto"/>
      <w:jc w:val="left"/>
    </w:pPr>
    <w:rPr>
      <w:rFonts w:ascii="Times New Roman" w:hAnsi="Times New Roman"/>
    </w:rPr>
  </w:style>
  <w:style w:type="paragraph" w:customStyle="1" w:styleId="Textoindependiente26">
    <w:name w:val="Texto independiente 26"/>
    <w:basedOn w:val="Normal"/>
    <w:rsid w:val="008462BA"/>
    <w:pPr>
      <w:overflowPunct w:val="0"/>
      <w:autoSpaceDE w:val="0"/>
      <w:autoSpaceDN w:val="0"/>
      <w:adjustRightInd w:val="0"/>
      <w:spacing w:line="240" w:lineRule="auto"/>
      <w:jc w:val="left"/>
      <w:textAlignment w:val="baseline"/>
    </w:pPr>
    <w:rPr>
      <w:i/>
      <w:sz w:val="22"/>
      <w:szCs w:val="20"/>
      <w:lang w:val="es-CO"/>
    </w:rPr>
  </w:style>
  <w:style w:type="paragraph" w:styleId="Lista2">
    <w:name w:val="List 2"/>
    <w:basedOn w:val="Normal"/>
    <w:uiPriority w:val="99"/>
    <w:unhideWhenUsed/>
    <w:rsid w:val="00E759BE"/>
    <w:pPr>
      <w:ind w:left="566" w:hanging="283"/>
      <w:contextualSpacing/>
    </w:pPr>
  </w:style>
  <w:style w:type="paragraph" w:styleId="Lista3">
    <w:name w:val="List 3"/>
    <w:basedOn w:val="Normal"/>
    <w:uiPriority w:val="99"/>
    <w:unhideWhenUsed/>
    <w:rsid w:val="00E759BE"/>
    <w:pPr>
      <w:ind w:left="849" w:hanging="283"/>
      <w:contextualSpacing/>
    </w:pPr>
  </w:style>
  <w:style w:type="paragraph" w:styleId="Lista4">
    <w:name w:val="List 4"/>
    <w:basedOn w:val="Normal"/>
    <w:uiPriority w:val="99"/>
    <w:unhideWhenUsed/>
    <w:rsid w:val="00E759BE"/>
    <w:pPr>
      <w:ind w:left="1132" w:hanging="283"/>
      <w:contextualSpacing/>
    </w:pPr>
  </w:style>
  <w:style w:type="paragraph" w:styleId="Lista5">
    <w:name w:val="List 5"/>
    <w:basedOn w:val="Normal"/>
    <w:uiPriority w:val="99"/>
    <w:unhideWhenUsed/>
    <w:rsid w:val="00E759BE"/>
    <w:pPr>
      <w:ind w:left="1415" w:hanging="283"/>
      <w:contextualSpacing/>
    </w:pPr>
  </w:style>
  <w:style w:type="paragraph" w:styleId="Saludo">
    <w:name w:val="Salutation"/>
    <w:basedOn w:val="Normal"/>
    <w:next w:val="Normal"/>
    <w:link w:val="SaludoCar"/>
    <w:uiPriority w:val="99"/>
    <w:unhideWhenUsed/>
    <w:rsid w:val="00E759BE"/>
  </w:style>
  <w:style w:type="character" w:customStyle="1" w:styleId="SaludoCar">
    <w:name w:val="Saludo Car"/>
    <w:link w:val="Saludo"/>
    <w:uiPriority w:val="99"/>
    <w:rsid w:val="00E759BE"/>
    <w:rPr>
      <w:rFonts w:ascii="Arial" w:hAnsi="Arial" w:cs="Times New Roman"/>
      <w:sz w:val="24"/>
      <w:szCs w:val="24"/>
    </w:rPr>
  </w:style>
  <w:style w:type="paragraph" w:styleId="Continuarlista2">
    <w:name w:val="List Continue 2"/>
    <w:basedOn w:val="Normal"/>
    <w:uiPriority w:val="99"/>
    <w:unhideWhenUsed/>
    <w:rsid w:val="00E759BE"/>
    <w:pPr>
      <w:spacing w:after="120"/>
      <w:ind w:left="566"/>
      <w:contextualSpacing/>
    </w:pPr>
  </w:style>
  <w:style w:type="paragraph" w:styleId="Continuarlista3">
    <w:name w:val="List Continue 3"/>
    <w:basedOn w:val="Normal"/>
    <w:uiPriority w:val="99"/>
    <w:unhideWhenUsed/>
    <w:rsid w:val="00E759BE"/>
    <w:pPr>
      <w:spacing w:after="120"/>
      <w:ind w:left="849"/>
      <w:contextualSpacing/>
    </w:pPr>
  </w:style>
  <w:style w:type="paragraph" w:styleId="Textoindependienteprimerasangra2">
    <w:name w:val="Body Text First Indent 2"/>
    <w:basedOn w:val="Sangradetextonormal"/>
    <w:link w:val="Textoindependienteprimerasangra2Car"/>
    <w:uiPriority w:val="99"/>
    <w:unhideWhenUsed/>
    <w:rsid w:val="00E759BE"/>
    <w:pPr>
      <w:spacing w:after="0"/>
      <w:ind w:left="360" w:firstLine="360"/>
    </w:pPr>
    <w:rPr>
      <w:rFonts w:ascii="Arial" w:hAnsi="Arial"/>
      <w:szCs w:val="24"/>
    </w:rPr>
  </w:style>
  <w:style w:type="character" w:customStyle="1" w:styleId="Textoindependienteprimerasangra2Car">
    <w:name w:val="Texto independiente primera sangría 2 Car"/>
    <w:link w:val="Textoindependienteprimerasangra2"/>
    <w:uiPriority w:val="99"/>
    <w:rsid w:val="00E759BE"/>
    <w:rPr>
      <w:rFonts w:ascii="Arial" w:hAnsi="Arial" w:cs="Times New Roman"/>
      <w:sz w:val="24"/>
      <w:szCs w:val="24"/>
      <w:lang w:eastAsia="es-ES"/>
    </w:rPr>
  </w:style>
  <w:style w:type="paragraph" w:customStyle="1" w:styleId="Cuadrculamedia1-nfasis21">
    <w:name w:val="Cuadrícula media 1 - Énfasis 21"/>
    <w:basedOn w:val="Normal"/>
    <w:qFormat/>
    <w:rsid w:val="00A307E4"/>
    <w:pPr>
      <w:spacing w:line="240" w:lineRule="auto"/>
      <w:ind w:left="851" w:right="851"/>
      <w:contextualSpacing/>
    </w:pPr>
    <w:rPr>
      <w:rFonts w:ascii="Century Gothic" w:eastAsia="Calibri" w:hAnsi="Century Gothic"/>
      <w:sz w:val="22"/>
      <w:szCs w:val="22"/>
      <w:lang w:val="es-ES_tradnl" w:eastAsia="en-US"/>
    </w:rPr>
  </w:style>
  <w:style w:type="paragraph" w:customStyle="1" w:styleId="western">
    <w:name w:val="western"/>
    <w:basedOn w:val="Normal"/>
    <w:rsid w:val="006A1D4A"/>
    <w:pPr>
      <w:spacing w:before="100" w:beforeAutospacing="1" w:after="100" w:afterAutospacing="1" w:line="240" w:lineRule="auto"/>
      <w:jc w:val="left"/>
    </w:pPr>
    <w:rPr>
      <w:rFonts w:ascii="Times New Roman" w:hAnsi="Times New Roman"/>
    </w:rPr>
  </w:style>
  <w:style w:type="character" w:styleId="Refdenotaalfinal">
    <w:name w:val="endnote reference"/>
    <w:uiPriority w:val="99"/>
    <w:semiHidden/>
    <w:unhideWhenUsed/>
    <w:rsid w:val="00AE2715"/>
    <w:rPr>
      <w:vertAlign w:val="superscript"/>
    </w:rPr>
  </w:style>
  <w:style w:type="character" w:styleId="nfasis">
    <w:name w:val="Emphasis"/>
    <w:uiPriority w:val="20"/>
    <w:qFormat/>
    <w:rsid w:val="00AF1F91"/>
    <w:rPr>
      <w:i/>
      <w:iCs/>
    </w:rPr>
  </w:style>
  <w:style w:type="character" w:customStyle="1" w:styleId="auto-style27">
    <w:name w:val="auto-style27"/>
    <w:basedOn w:val="Fuentedeprrafopredeter"/>
    <w:rsid w:val="00C72910"/>
  </w:style>
  <w:style w:type="paragraph" w:styleId="Sinespaciado">
    <w:name w:val="No Spacing"/>
    <w:link w:val="SinespaciadoCar"/>
    <w:uiPriority w:val="1"/>
    <w:qFormat/>
    <w:rsid w:val="00F461F9"/>
    <w:rPr>
      <w:rFonts w:eastAsia="Calibri" w:cs="Times New Roman"/>
      <w:sz w:val="22"/>
      <w:szCs w:val="22"/>
      <w:lang w:val="es-ES" w:eastAsia="en-US"/>
    </w:rPr>
  </w:style>
  <w:style w:type="character" w:customStyle="1" w:styleId="SinespaciadoCar">
    <w:name w:val="Sin espaciado Car"/>
    <w:link w:val="Sinespaciado"/>
    <w:uiPriority w:val="1"/>
    <w:rsid w:val="00F461F9"/>
    <w:rPr>
      <w:rFonts w:eastAsia="Calibri" w:cs="Times New Roman"/>
      <w:sz w:val="22"/>
      <w:szCs w:val="22"/>
      <w:lang w:eastAsia="en-US"/>
    </w:rPr>
  </w:style>
  <w:style w:type="paragraph" w:customStyle="1" w:styleId="Textoindependiente27">
    <w:name w:val="Texto independiente 27"/>
    <w:basedOn w:val="Normal"/>
    <w:rsid w:val="00F461F9"/>
    <w:pPr>
      <w:overflowPunct w:val="0"/>
      <w:autoSpaceDE w:val="0"/>
      <w:autoSpaceDN w:val="0"/>
      <w:adjustRightInd w:val="0"/>
      <w:spacing w:line="480" w:lineRule="auto"/>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1516">
      <w:bodyDiv w:val="1"/>
      <w:marLeft w:val="0"/>
      <w:marRight w:val="0"/>
      <w:marTop w:val="0"/>
      <w:marBottom w:val="0"/>
      <w:divBdr>
        <w:top w:val="none" w:sz="0" w:space="0" w:color="auto"/>
        <w:left w:val="none" w:sz="0" w:space="0" w:color="auto"/>
        <w:bottom w:val="none" w:sz="0" w:space="0" w:color="auto"/>
        <w:right w:val="none" w:sz="0" w:space="0" w:color="auto"/>
      </w:divBdr>
    </w:div>
    <w:div w:id="17896344">
      <w:bodyDiv w:val="1"/>
      <w:marLeft w:val="0"/>
      <w:marRight w:val="0"/>
      <w:marTop w:val="0"/>
      <w:marBottom w:val="0"/>
      <w:divBdr>
        <w:top w:val="none" w:sz="0" w:space="0" w:color="auto"/>
        <w:left w:val="none" w:sz="0" w:space="0" w:color="auto"/>
        <w:bottom w:val="none" w:sz="0" w:space="0" w:color="auto"/>
        <w:right w:val="none" w:sz="0" w:space="0" w:color="auto"/>
      </w:divBdr>
      <w:divsChild>
        <w:div w:id="353653285">
          <w:marLeft w:val="0"/>
          <w:marRight w:val="0"/>
          <w:marTop w:val="0"/>
          <w:marBottom w:val="0"/>
          <w:divBdr>
            <w:top w:val="none" w:sz="0" w:space="0" w:color="auto"/>
            <w:left w:val="none" w:sz="0" w:space="0" w:color="auto"/>
            <w:bottom w:val="none" w:sz="0" w:space="0" w:color="auto"/>
            <w:right w:val="none" w:sz="0" w:space="0" w:color="auto"/>
          </w:divBdr>
          <w:divsChild>
            <w:div w:id="51762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386">
      <w:bodyDiv w:val="1"/>
      <w:marLeft w:val="0"/>
      <w:marRight w:val="0"/>
      <w:marTop w:val="0"/>
      <w:marBottom w:val="0"/>
      <w:divBdr>
        <w:top w:val="none" w:sz="0" w:space="0" w:color="auto"/>
        <w:left w:val="none" w:sz="0" w:space="0" w:color="auto"/>
        <w:bottom w:val="none" w:sz="0" w:space="0" w:color="auto"/>
        <w:right w:val="none" w:sz="0" w:space="0" w:color="auto"/>
      </w:divBdr>
    </w:div>
    <w:div w:id="238834487">
      <w:bodyDiv w:val="1"/>
      <w:marLeft w:val="0"/>
      <w:marRight w:val="0"/>
      <w:marTop w:val="0"/>
      <w:marBottom w:val="0"/>
      <w:divBdr>
        <w:top w:val="none" w:sz="0" w:space="0" w:color="auto"/>
        <w:left w:val="none" w:sz="0" w:space="0" w:color="auto"/>
        <w:bottom w:val="none" w:sz="0" w:space="0" w:color="auto"/>
        <w:right w:val="none" w:sz="0" w:space="0" w:color="auto"/>
      </w:divBdr>
    </w:div>
    <w:div w:id="262806578">
      <w:bodyDiv w:val="1"/>
      <w:marLeft w:val="0"/>
      <w:marRight w:val="0"/>
      <w:marTop w:val="0"/>
      <w:marBottom w:val="0"/>
      <w:divBdr>
        <w:top w:val="none" w:sz="0" w:space="0" w:color="auto"/>
        <w:left w:val="none" w:sz="0" w:space="0" w:color="auto"/>
        <w:bottom w:val="none" w:sz="0" w:space="0" w:color="auto"/>
        <w:right w:val="none" w:sz="0" w:space="0" w:color="auto"/>
      </w:divBdr>
    </w:div>
    <w:div w:id="264268354">
      <w:bodyDiv w:val="1"/>
      <w:marLeft w:val="0"/>
      <w:marRight w:val="0"/>
      <w:marTop w:val="0"/>
      <w:marBottom w:val="0"/>
      <w:divBdr>
        <w:top w:val="none" w:sz="0" w:space="0" w:color="auto"/>
        <w:left w:val="none" w:sz="0" w:space="0" w:color="auto"/>
        <w:bottom w:val="none" w:sz="0" w:space="0" w:color="auto"/>
        <w:right w:val="none" w:sz="0" w:space="0" w:color="auto"/>
      </w:divBdr>
    </w:div>
    <w:div w:id="286012431">
      <w:bodyDiv w:val="1"/>
      <w:marLeft w:val="0"/>
      <w:marRight w:val="0"/>
      <w:marTop w:val="0"/>
      <w:marBottom w:val="0"/>
      <w:divBdr>
        <w:top w:val="none" w:sz="0" w:space="0" w:color="auto"/>
        <w:left w:val="none" w:sz="0" w:space="0" w:color="auto"/>
        <w:bottom w:val="none" w:sz="0" w:space="0" w:color="auto"/>
        <w:right w:val="none" w:sz="0" w:space="0" w:color="auto"/>
      </w:divBdr>
      <w:divsChild>
        <w:div w:id="1122305107">
          <w:marLeft w:val="0"/>
          <w:marRight w:val="0"/>
          <w:marTop w:val="300"/>
          <w:marBottom w:val="300"/>
          <w:divBdr>
            <w:top w:val="none" w:sz="0" w:space="0" w:color="auto"/>
            <w:left w:val="none" w:sz="0" w:space="0" w:color="auto"/>
            <w:bottom w:val="none" w:sz="0" w:space="0" w:color="auto"/>
            <w:right w:val="none" w:sz="0" w:space="0" w:color="auto"/>
          </w:divBdr>
        </w:div>
        <w:div w:id="1204555232">
          <w:marLeft w:val="0"/>
          <w:marRight w:val="0"/>
          <w:marTop w:val="300"/>
          <w:marBottom w:val="300"/>
          <w:divBdr>
            <w:top w:val="none" w:sz="0" w:space="0" w:color="auto"/>
            <w:left w:val="none" w:sz="0" w:space="0" w:color="auto"/>
            <w:bottom w:val="none" w:sz="0" w:space="0" w:color="auto"/>
            <w:right w:val="none" w:sz="0" w:space="0" w:color="auto"/>
          </w:divBdr>
        </w:div>
        <w:div w:id="1283614969">
          <w:marLeft w:val="0"/>
          <w:marRight w:val="0"/>
          <w:marTop w:val="0"/>
          <w:marBottom w:val="150"/>
          <w:divBdr>
            <w:top w:val="none" w:sz="0" w:space="0" w:color="auto"/>
            <w:left w:val="none" w:sz="0" w:space="0" w:color="auto"/>
            <w:bottom w:val="none" w:sz="0" w:space="0" w:color="auto"/>
            <w:right w:val="none" w:sz="0" w:space="0" w:color="auto"/>
          </w:divBdr>
        </w:div>
        <w:div w:id="1772973511">
          <w:marLeft w:val="0"/>
          <w:marRight w:val="0"/>
          <w:marTop w:val="0"/>
          <w:marBottom w:val="150"/>
          <w:divBdr>
            <w:top w:val="none" w:sz="0" w:space="0" w:color="auto"/>
            <w:left w:val="none" w:sz="0" w:space="0" w:color="auto"/>
            <w:bottom w:val="none" w:sz="0" w:space="0" w:color="auto"/>
            <w:right w:val="none" w:sz="0" w:space="0" w:color="auto"/>
          </w:divBdr>
        </w:div>
      </w:divsChild>
    </w:div>
    <w:div w:id="306863218">
      <w:bodyDiv w:val="1"/>
      <w:marLeft w:val="0"/>
      <w:marRight w:val="0"/>
      <w:marTop w:val="0"/>
      <w:marBottom w:val="0"/>
      <w:divBdr>
        <w:top w:val="none" w:sz="0" w:space="0" w:color="auto"/>
        <w:left w:val="none" w:sz="0" w:space="0" w:color="auto"/>
        <w:bottom w:val="none" w:sz="0" w:space="0" w:color="auto"/>
        <w:right w:val="none" w:sz="0" w:space="0" w:color="auto"/>
      </w:divBdr>
    </w:div>
    <w:div w:id="352539975">
      <w:bodyDiv w:val="1"/>
      <w:marLeft w:val="0"/>
      <w:marRight w:val="0"/>
      <w:marTop w:val="0"/>
      <w:marBottom w:val="0"/>
      <w:divBdr>
        <w:top w:val="none" w:sz="0" w:space="0" w:color="auto"/>
        <w:left w:val="none" w:sz="0" w:space="0" w:color="auto"/>
        <w:bottom w:val="none" w:sz="0" w:space="0" w:color="auto"/>
        <w:right w:val="none" w:sz="0" w:space="0" w:color="auto"/>
      </w:divBdr>
    </w:div>
    <w:div w:id="353195991">
      <w:bodyDiv w:val="1"/>
      <w:marLeft w:val="0"/>
      <w:marRight w:val="0"/>
      <w:marTop w:val="0"/>
      <w:marBottom w:val="0"/>
      <w:divBdr>
        <w:top w:val="none" w:sz="0" w:space="0" w:color="auto"/>
        <w:left w:val="none" w:sz="0" w:space="0" w:color="auto"/>
        <w:bottom w:val="none" w:sz="0" w:space="0" w:color="auto"/>
        <w:right w:val="none" w:sz="0" w:space="0" w:color="auto"/>
      </w:divBdr>
      <w:divsChild>
        <w:div w:id="637879158">
          <w:marLeft w:val="0"/>
          <w:marRight w:val="0"/>
          <w:marTop w:val="0"/>
          <w:marBottom w:val="0"/>
          <w:divBdr>
            <w:top w:val="none" w:sz="0" w:space="0" w:color="auto"/>
            <w:left w:val="none" w:sz="0" w:space="0" w:color="auto"/>
            <w:bottom w:val="none" w:sz="0" w:space="0" w:color="auto"/>
            <w:right w:val="none" w:sz="0" w:space="0" w:color="auto"/>
          </w:divBdr>
          <w:divsChild>
            <w:div w:id="979075062">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922761311">
          <w:marLeft w:val="0"/>
          <w:marRight w:val="0"/>
          <w:marTop w:val="0"/>
          <w:marBottom w:val="0"/>
          <w:divBdr>
            <w:top w:val="none" w:sz="0" w:space="0" w:color="auto"/>
            <w:left w:val="none" w:sz="0" w:space="0" w:color="auto"/>
            <w:bottom w:val="none" w:sz="0" w:space="0" w:color="auto"/>
            <w:right w:val="none" w:sz="0" w:space="0" w:color="auto"/>
          </w:divBdr>
          <w:divsChild>
            <w:div w:id="5631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9744">
      <w:bodyDiv w:val="1"/>
      <w:marLeft w:val="0"/>
      <w:marRight w:val="0"/>
      <w:marTop w:val="0"/>
      <w:marBottom w:val="0"/>
      <w:divBdr>
        <w:top w:val="none" w:sz="0" w:space="0" w:color="auto"/>
        <w:left w:val="none" w:sz="0" w:space="0" w:color="auto"/>
        <w:bottom w:val="none" w:sz="0" w:space="0" w:color="auto"/>
        <w:right w:val="none" w:sz="0" w:space="0" w:color="auto"/>
      </w:divBdr>
    </w:div>
    <w:div w:id="450173775">
      <w:bodyDiv w:val="1"/>
      <w:marLeft w:val="0"/>
      <w:marRight w:val="0"/>
      <w:marTop w:val="0"/>
      <w:marBottom w:val="0"/>
      <w:divBdr>
        <w:top w:val="none" w:sz="0" w:space="0" w:color="auto"/>
        <w:left w:val="none" w:sz="0" w:space="0" w:color="auto"/>
        <w:bottom w:val="none" w:sz="0" w:space="0" w:color="auto"/>
        <w:right w:val="none" w:sz="0" w:space="0" w:color="auto"/>
      </w:divBdr>
    </w:div>
    <w:div w:id="477918723">
      <w:bodyDiv w:val="1"/>
      <w:marLeft w:val="0"/>
      <w:marRight w:val="0"/>
      <w:marTop w:val="0"/>
      <w:marBottom w:val="0"/>
      <w:divBdr>
        <w:top w:val="none" w:sz="0" w:space="0" w:color="auto"/>
        <w:left w:val="none" w:sz="0" w:space="0" w:color="auto"/>
        <w:bottom w:val="none" w:sz="0" w:space="0" w:color="auto"/>
        <w:right w:val="none" w:sz="0" w:space="0" w:color="auto"/>
      </w:divBdr>
    </w:div>
    <w:div w:id="506096148">
      <w:bodyDiv w:val="1"/>
      <w:marLeft w:val="0"/>
      <w:marRight w:val="0"/>
      <w:marTop w:val="0"/>
      <w:marBottom w:val="0"/>
      <w:divBdr>
        <w:top w:val="none" w:sz="0" w:space="0" w:color="auto"/>
        <w:left w:val="none" w:sz="0" w:space="0" w:color="auto"/>
        <w:bottom w:val="none" w:sz="0" w:space="0" w:color="auto"/>
        <w:right w:val="none" w:sz="0" w:space="0" w:color="auto"/>
      </w:divBdr>
    </w:div>
    <w:div w:id="530609917">
      <w:bodyDiv w:val="1"/>
      <w:marLeft w:val="0"/>
      <w:marRight w:val="0"/>
      <w:marTop w:val="0"/>
      <w:marBottom w:val="0"/>
      <w:divBdr>
        <w:top w:val="none" w:sz="0" w:space="0" w:color="auto"/>
        <w:left w:val="none" w:sz="0" w:space="0" w:color="auto"/>
        <w:bottom w:val="none" w:sz="0" w:space="0" w:color="auto"/>
        <w:right w:val="none" w:sz="0" w:space="0" w:color="auto"/>
      </w:divBdr>
      <w:divsChild>
        <w:div w:id="2045863400">
          <w:marLeft w:val="0"/>
          <w:marRight w:val="0"/>
          <w:marTop w:val="0"/>
          <w:marBottom w:val="0"/>
          <w:divBdr>
            <w:top w:val="none" w:sz="0" w:space="0" w:color="auto"/>
            <w:left w:val="none" w:sz="0" w:space="0" w:color="auto"/>
            <w:bottom w:val="none" w:sz="0" w:space="0" w:color="auto"/>
            <w:right w:val="none" w:sz="0" w:space="0" w:color="auto"/>
          </w:divBdr>
          <w:divsChild>
            <w:div w:id="10902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1706">
      <w:bodyDiv w:val="1"/>
      <w:marLeft w:val="0"/>
      <w:marRight w:val="0"/>
      <w:marTop w:val="0"/>
      <w:marBottom w:val="0"/>
      <w:divBdr>
        <w:top w:val="none" w:sz="0" w:space="0" w:color="auto"/>
        <w:left w:val="none" w:sz="0" w:space="0" w:color="auto"/>
        <w:bottom w:val="none" w:sz="0" w:space="0" w:color="auto"/>
        <w:right w:val="none" w:sz="0" w:space="0" w:color="auto"/>
      </w:divBdr>
    </w:div>
    <w:div w:id="721712255">
      <w:bodyDiv w:val="1"/>
      <w:marLeft w:val="0"/>
      <w:marRight w:val="0"/>
      <w:marTop w:val="0"/>
      <w:marBottom w:val="0"/>
      <w:divBdr>
        <w:top w:val="none" w:sz="0" w:space="0" w:color="auto"/>
        <w:left w:val="none" w:sz="0" w:space="0" w:color="auto"/>
        <w:bottom w:val="none" w:sz="0" w:space="0" w:color="auto"/>
        <w:right w:val="none" w:sz="0" w:space="0" w:color="auto"/>
      </w:divBdr>
    </w:div>
    <w:div w:id="805052469">
      <w:bodyDiv w:val="1"/>
      <w:marLeft w:val="0"/>
      <w:marRight w:val="0"/>
      <w:marTop w:val="0"/>
      <w:marBottom w:val="0"/>
      <w:divBdr>
        <w:top w:val="none" w:sz="0" w:space="0" w:color="auto"/>
        <w:left w:val="none" w:sz="0" w:space="0" w:color="auto"/>
        <w:bottom w:val="none" w:sz="0" w:space="0" w:color="auto"/>
        <w:right w:val="none" w:sz="0" w:space="0" w:color="auto"/>
      </w:divBdr>
    </w:div>
    <w:div w:id="805512102">
      <w:bodyDiv w:val="1"/>
      <w:marLeft w:val="0"/>
      <w:marRight w:val="0"/>
      <w:marTop w:val="0"/>
      <w:marBottom w:val="0"/>
      <w:divBdr>
        <w:top w:val="none" w:sz="0" w:space="0" w:color="auto"/>
        <w:left w:val="none" w:sz="0" w:space="0" w:color="auto"/>
        <w:bottom w:val="none" w:sz="0" w:space="0" w:color="auto"/>
        <w:right w:val="none" w:sz="0" w:space="0" w:color="auto"/>
      </w:divBdr>
      <w:divsChild>
        <w:div w:id="156045468">
          <w:marLeft w:val="0"/>
          <w:marRight w:val="0"/>
          <w:marTop w:val="0"/>
          <w:marBottom w:val="150"/>
          <w:divBdr>
            <w:top w:val="none" w:sz="0" w:space="0" w:color="auto"/>
            <w:left w:val="none" w:sz="0" w:space="0" w:color="auto"/>
            <w:bottom w:val="none" w:sz="0" w:space="0" w:color="auto"/>
            <w:right w:val="none" w:sz="0" w:space="0" w:color="auto"/>
          </w:divBdr>
        </w:div>
        <w:div w:id="1511214518">
          <w:marLeft w:val="0"/>
          <w:marRight w:val="0"/>
          <w:marTop w:val="0"/>
          <w:marBottom w:val="150"/>
          <w:divBdr>
            <w:top w:val="none" w:sz="0" w:space="0" w:color="auto"/>
            <w:left w:val="none" w:sz="0" w:space="0" w:color="auto"/>
            <w:bottom w:val="none" w:sz="0" w:space="0" w:color="auto"/>
            <w:right w:val="none" w:sz="0" w:space="0" w:color="auto"/>
          </w:divBdr>
        </w:div>
        <w:div w:id="1525558565">
          <w:marLeft w:val="0"/>
          <w:marRight w:val="0"/>
          <w:marTop w:val="0"/>
          <w:marBottom w:val="150"/>
          <w:divBdr>
            <w:top w:val="none" w:sz="0" w:space="0" w:color="auto"/>
            <w:left w:val="none" w:sz="0" w:space="0" w:color="auto"/>
            <w:bottom w:val="none" w:sz="0" w:space="0" w:color="auto"/>
            <w:right w:val="none" w:sz="0" w:space="0" w:color="auto"/>
          </w:divBdr>
        </w:div>
      </w:divsChild>
    </w:div>
    <w:div w:id="869994694">
      <w:bodyDiv w:val="1"/>
      <w:marLeft w:val="0"/>
      <w:marRight w:val="0"/>
      <w:marTop w:val="0"/>
      <w:marBottom w:val="0"/>
      <w:divBdr>
        <w:top w:val="none" w:sz="0" w:space="0" w:color="auto"/>
        <w:left w:val="none" w:sz="0" w:space="0" w:color="auto"/>
        <w:bottom w:val="none" w:sz="0" w:space="0" w:color="auto"/>
        <w:right w:val="none" w:sz="0" w:space="0" w:color="auto"/>
      </w:divBdr>
    </w:div>
    <w:div w:id="929582115">
      <w:bodyDiv w:val="1"/>
      <w:marLeft w:val="0"/>
      <w:marRight w:val="0"/>
      <w:marTop w:val="0"/>
      <w:marBottom w:val="0"/>
      <w:divBdr>
        <w:top w:val="none" w:sz="0" w:space="0" w:color="auto"/>
        <w:left w:val="none" w:sz="0" w:space="0" w:color="auto"/>
        <w:bottom w:val="none" w:sz="0" w:space="0" w:color="auto"/>
        <w:right w:val="none" w:sz="0" w:space="0" w:color="auto"/>
      </w:divBdr>
    </w:div>
    <w:div w:id="940726732">
      <w:marLeft w:val="0"/>
      <w:marRight w:val="0"/>
      <w:marTop w:val="0"/>
      <w:marBottom w:val="0"/>
      <w:divBdr>
        <w:top w:val="none" w:sz="0" w:space="0" w:color="auto"/>
        <w:left w:val="none" w:sz="0" w:space="0" w:color="auto"/>
        <w:bottom w:val="none" w:sz="0" w:space="0" w:color="auto"/>
        <w:right w:val="none" w:sz="0" w:space="0" w:color="auto"/>
      </w:divBdr>
    </w:div>
    <w:div w:id="940726733">
      <w:marLeft w:val="150"/>
      <w:marRight w:val="150"/>
      <w:marTop w:val="150"/>
      <w:marBottom w:val="150"/>
      <w:divBdr>
        <w:top w:val="none" w:sz="0" w:space="0" w:color="auto"/>
        <w:left w:val="none" w:sz="0" w:space="0" w:color="auto"/>
        <w:bottom w:val="none" w:sz="0" w:space="0" w:color="auto"/>
        <w:right w:val="none" w:sz="0" w:space="0" w:color="auto"/>
      </w:divBdr>
      <w:divsChild>
        <w:div w:id="940726737">
          <w:marLeft w:val="0"/>
          <w:marRight w:val="0"/>
          <w:marTop w:val="0"/>
          <w:marBottom w:val="0"/>
          <w:divBdr>
            <w:top w:val="none" w:sz="0" w:space="0" w:color="auto"/>
            <w:left w:val="none" w:sz="0" w:space="0" w:color="auto"/>
            <w:bottom w:val="none" w:sz="0" w:space="0" w:color="auto"/>
            <w:right w:val="none" w:sz="0" w:space="0" w:color="auto"/>
          </w:divBdr>
        </w:div>
        <w:div w:id="940726743">
          <w:marLeft w:val="0"/>
          <w:marRight w:val="0"/>
          <w:marTop w:val="0"/>
          <w:marBottom w:val="0"/>
          <w:divBdr>
            <w:top w:val="none" w:sz="0" w:space="0" w:color="auto"/>
            <w:left w:val="none" w:sz="0" w:space="0" w:color="auto"/>
            <w:bottom w:val="none" w:sz="0" w:space="0" w:color="auto"/>
            <w:right w:val="none" w:sz="0" w:space="0" w:color="auto"/>
          </w:divBdr>
        </w:div>
        <w:div w:id="940726744">
          <w:marLeft w:val="0"/>
          <w:marRight w:val="0"/>
          <w:marTop w:val="0"/>
          <w:marBottom w:val="0"/>
          <w:divBdr>
            <w:top w:val="none" w:sz="0" w:space="0" w:color="auto"/>
            <w:left w:val="none" w:sz="0" w:space="0" w:color="auto"/>
            <w:bottom w:val="none" w:sz="0" w:space="0" w:color="auto"/>
            <w:right w:val="none" w:sz="0" w:space="0" w:color="auto"/>
          </w:divBdr>
        </w:div>
        <w:div w:id="940726749">
          <w:marLeft w:val="0"/>
          <w:marRight w:val="0"/>
          <w:marTop w:val="0"/>
          <w:marBottom w:val="0"/>
          <w:divBdr>
            <w:top w:val="none" w:sz="0" w:space="0" w:color="auto"/>
            <w:left w:val="none" w:sz="0" w:space="0" w:color="auto"/>
            <w:bottom w:val="none" w:sz="0" w:space="0" w:color="auto"/>
            <w:right w:val="none" w:sz="0" w:space="0" w:color="auto"/>
          </w:divBdr>
        </w:div>
        <w:div w:id="940726751">
          <w:marLeft w:val="0"/>
          <w:marRight w:val="0"/>
          <w:marTop w:val="0"/>
          <w:marBottom w:val="0"/>
          <w:divBdr>
            <w:top w:val="none" w:sz="0" w:space="0" w:color="auto"/>
            <w:left w:val="none" w:sz="0" w:space="0" w:color="auto"/>
            <w:bottom w:val="none" w:sz="0" w:space="0" w:color="auto"/>
            <w:right w:val="none" w:sz="0" w:space="0" w:color="auto"/>
          </w:divBdr>
        </w:div>
        <w:div w:id="940726753">
          <w:marLeft w:val="0"/>
          <w:marRight w:val="0"/>
          <w:marTop w:val="0"/>
          <w:marBottom w:val="0"/>
          <w:divBdr>
            <w:top w:val="none" w:sz="0" w:space="0" w:color="auto"/>
            <w:left w:val="none" w:sz="0" w:space="0" w:color="auto"/>
            <w:bottom w:val="none" w:sz="0" w:space="0" w:color="auto"/>
            <w:right w:val="none" w:sz="0" w:space="0" w:color="auto"/>
          </w:divBdr>
        </w:div>
        <w:div w:id="940726756">
          <w:marLeft w:val="0"/>
          <w:marRight w:val="0"/>
          <w:marTop w:val="0"/>
          <w:marBottom w:val="0"/>
          <w:divBdr>
            <w:top w:val="none" w:sz="0" w:space="0" w:color="auto"/>
            <w:left w:val="none" w:sz="0" w:space="0" w:color="auto"/>
            <w:bottom w:val="none" w:sz="0" w:space="0" w:color="auto"/>
            <w:right w:val="none" w:sz="0" w:space="0" w:color="auto"/>
          </w:divBdr>
        </w:div>
      </w:divsChild>
    </w:div>
    <w:div w:id="940726735">
      <w:marLeft w:val="0"/>
      <w:marRight w:val="0"/>
      <w:marTop w:val="0"/>
      <w:marBottom w:val="0"/>
      <w:divBdr>
        <w:top w:val="none" w:sz="0" w:space="0" w:color="auto"/>
        <w:left w:val="none" w:sz="0" w:space="0" w:color="auto"/>
        <w:bottom w:val="none" w:sz="0" w:space="0" w:color="auto"/>
        <w:right w:val="none" w:sz="0" w:space="0" w:color="auto"/>
      </w:divBdr>
      <w:divsChild>
        <w:div w:id="940726742">
          <w:marLeft w:val="0"/>
          <w:marRight w:val="0"/>
          <w:marTop w:val="0"/>
          <w:marBottom w:val="0"/>
          <w:divBdr>
            <w:top w:val="none" w:sz="0" w:space="0" w:color="auto"/>
            <w:left w:val="none" w:sz="0" w:space="0" w:color="auto"/>
            <w:bottom w:val="none" w:sz="0" w:space="0" w:color="auto"/>
            <w:right w:val="none" w:sz="0" w:space="0" w:color="auto"/>
          </w:divBdr>
          <w:divsChild>
            <w:div w:id="940726734">
              <w:marLeft w:val="0"/>
              <w:marRight w:val="0"/>
              <w:marTop w:val="0"/>
              <w:marBottom w:val="0"/>
              <w:divBdr>
                <w:top w:val="none" w:sz="0" w:space="0" w:color="auto"/>
                <w:left w:val="none" w:sz="0" w:space="0" w:color="auto"/>
                <w:bottom w:val="none" w:sz="0" w:space="0" w:color="auto"/>
                <w:right w:val="none" w:sz="0" w:space="0" w:color="auto"/>
              </w:divBdr>
              <w:divsChild>
                <w:div w:id="9407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36">
      <w:marLeft w:val="0"/>
      <w:marRight w:val="0"/>
      <w:marTop w:val="0"/>
      <w:marBottom w:val="0"/>
      <w:divBdr>
        <w:top w:val="none" w:sz="0" w:space="0" w:color="auto"/>
        <w:left w:val="none" w:sz="0" w:space="0" w:color="auto"/>
        <w:bottom w:val="none" w:sz="0" w:space="0" w:color="auto"/>
        <w:right w:val="none" w:sz="0" w:space="0" w:color="auto"/>
      </w:divBdr>
    </w:div>
    <w:div w:id="940726738">
      <w:marLeft w:val="0"/>
      <w:marRight w:val="0"/>
      <w:marTop w:val="0"/>
      <w:marBottom w:val="0"/>
      <w:divBdr>
        <w:top w:val="none" w:sz="0" w:space="0" w:color="auto"/>
        <w:left w:val="none" w:sz="0" w:space="0" w:color="auto"/>
        <w:bottom w:val="none" w:sz="0" w:space="0" w:color="auto"/>
        <w:right w:val="none" w:sz="0" w:space="0" w:color="auto"/>
      </w:divBdr>
    </w:div>
    <w:div w:id="940726739">
      <w:marLeft w:val="0"/>
      <w:marRight w:val="0"/>
      <w:marTop w:val="0"/>
      <w:marBottom w:val="0"/>
      <w:divBdr>
        <w:top w:val="none" w:sz="0" w:space="0" w:color="auto"/>
        <w:left w:val="none" w:sz="0" w:space="0" w:color="auto"/>
        <w:bottom w:val="none" w:sz="0" w:space="0" w:color="auto"/>
        <w:right w:val="none" w:sz="0" w:space="0" w:color="auto"/>
      </w:divBdr>
    </w:div>
    <w:div w:id="940726741">
      <w:marLeft w:val="0"/>
      <w:marRight w:val="0"/>
      <w:marTop w:val="0"/>
      <w:marBottom w:val="0"/>
      <w:divBdr>
        <w:top w:val="none" w:sz="0" w:space="0" w:color="auto"/>
        <w:left w:val="none" w:sz="0" w:space="0" w:color="auto"/>
        <w:bottom w:val="none" w:sz="0" w:space="0" w:color="auto"/>
        <w:right w:val="none" w:sz="0" w:space="0" w:color="auto"/>
      </w:divBdr>
    </w:div>
    <w:div w:id="940726746">
      <w:marLeft w:val="0"/>
      <w:marRight w:val="0"/>
      <w:marTop w:val="0"/>
      <w:marBottom w:val="0"/>
      <w:divBdr>
        <w:top w:val="none" w:sz="0" w:space="0" w:color="auto"/>
        <w:left w:val="none" w:sz="0" w:space="0" w:color="auto"/>
        <w:bottom w:val="none" w:sz="0" w:space="0" w:color="auto"/>
        <w:right w:val="none" w:sz="0" w:space="0" w:color="auto"/>
      </w:divBdr>
    </w:div>
    <w:div w:id="940726747">
      <w:marLeft w:val="0"/>
      <w:marRight w:val="0"/>
      <w:marTop w:val="0"/>
      <w:marBottom w:val="0"/>
      <w:divBdr>
        <w:top w:val="none" w:sz="0" w:space="0" w:color="auto"/>
        <w:left w:val="none" w:sz="0" w:space="0" w:color="auto"/>
        <w:bottom w:val="none" w:sz="0" w:space="0" w:color="auto"/>
        <w:right w:val="none" w:sz="0" w:space="0" w:color="auto"/>
      </w:divBdr>
    </w:div>
    <w:div w:id="940726748">
      <w:marLeft w:val="0"/>
      <w:marRight w:val="0"/>
      <w:marTop w:val="0"/>
      <w:marBottom w:val="0"/>
      <w:divBdr>
        <w:top w:val="none" w:sz="0" w:space="0" w:color="auto"/>
        <w:left w:val="none" w:sz="0" w:space="0" w:color="auto"/>
        <w:bottom w:val="none" w:sz="0" w:space="0" w:color="auto"/>
        <w:right w:val="none" w:sz="0" w:space="0" w:color="auto"/>
      </w:divBdr>
    </w:div>
    <w:div w:id="940726750">
      <w:marLeft w:val="0"/>
      <w:marRight w:val="0"/>
      <w:marTop w:val="0"/>
      <w:marBottom w:val="0"/>
      <w:divBdr>
        <w:top w:val="none" w:sz="0" w:space="0" w:color="auto"/>
        <w:left w:val="none" w:sz="0" w:space="0" w:color="auto"/>
        <w:bottom w:val="none" w:sz="0" w:space="0" w:color="auto"/>
        <w:right w:val="none" w:sz="0" w:space="0" w:color="auto"/>
      </w:divBdr>
    </w:div>
    <w:div w:id="940726752">
      <w:marLeft w:val="0"/>
      <w:marRight w:val="0"/>
      <w:marTop w:val="0"/>
      <w:marBottom w:val="0"/>
      <w:divBdr>
        <w:top w:val="none" w:sz="0" w:space="0" w:color="auto"/>
        <w:left w:val="none" w:sz="0" w:space="0" w:color="auto"/>
        <w:bottom w:val="none" w:sz="0" w:space="0" w:color="auto"/>
        <w:right w:val="none" w:sz="0" w:space="0" w:color="auto"/>
      </w:divBdr>
      <w:divsChild>
        <w:div w:id="940726740">
          <w:marLeft w:val="0"/>
          <w:marRight w:val="0"/>
          <w:marTop w:val="0"/>
          <w:marBottom w:val="0"/>
          <w:divBdr>
            <w:top w:val="none" w:sz="0" w:space="0" w:color="auto"/>
            <w:left w:val="none" w:sz="0" w:space="0" w:color="auto"/>
            <w:bottom w:val="none" w:sz="0" w:space="0" w:color="auto"/>
            <w:right w:val="none" w:sz="0" w:space="0" w:color="auto"/>
          </w:divBdr>
          <w:divsChild>
            <w:div w:id="940726755">
              <w:marLeft w:val="0"/>
              <w:marRight w:val="0"/>
              <w:marTop w:val="0"/>
              <w:marBottom w:val="0"/>
              <w:divBdr>
                <w:top w:val="none" w:sz="0" w:space="0" w:color="auto"/>
                <w:left w:val="none" w:sz="0" w:space="0" w:color="auto"/>
                <w:bottom w:val="none" w:sz="0" w:space="0" w:color="auto"/>
                <w:right w:val="none" w:sz="0" w:space="0" w:color="auto"/>
              </w:divBdr>
              <w:divsChild>
                <w:div w:id="9407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54">
      <w:marLeft w:val="0"/>
      <w:marRight w:val="0"/>
      <w:marTop w:val="0"/>
      <w:marBottom w:val="0"/>
      <w:divBdr>
        <w:top w:val="none" w:sz="0" w:space="0" w:color="auto"/>
        <w:left w:val="none" w:sz="0" w:space="0" w:color="auto"/>
        <w:bottom w:val="none" w:sz="0" w:space="0" w:color="auto"/>
        <w:right w:val="none" w:sz="0" w:space="0" w:color="auto"/>
      </w:divBdr>
    </w:div>
    <w:div w:id="940726758">
      <w:marLeft w:val="0"/>
      <w:marRight w:val="0"/>
      <w:marTop w:val="0"/>
      <w:marBottom w:val="0"/>
      <w:divBdr>
        <w:top w:val="none" w:sz="0" w:space="0" w:color="auto"/>
        <w:left w:val="none" w:sz="0" w:space="0" w:color="auto"/>
        <w:bottom w:val="none" w:sz="0" w:space="0" w:color="auto"/>
        <w:right w:val="none" w:sz="0" w:space="0" w:color="auto"/>
      </w:divBdr>
    </w:div>
    <w:div w:id="940726778">
      <w:marLeft w:val="0"/>
      <w:marRight w:val="0"/>
      <w:marTop w:val="0"/>
      <w:marBottom w:val="0"/>
      <w:divBdr>
        <w:top w:val="none" w:sz="0" w:space="0" w:color="auto"/>
        <w:left w:val="none" w:sz="0" w:space="0" w:color="auto"/>
        <w:bottom w:val="none" w:sz="0" w:space="0" w:color="auto"/>
        <w:right w:val="none" w:sz="0" w:space="0" w:color="auto"/>
      </w:divBdr>
    </w:div>
    <w:div w:id="940726779">
      <w:marLeft w:val="0"/>
      <w:marRight w:val="0"/>
      <w:marTop w:val="0"/>
      <w:marBottom w:val="0"/>
      <w:divBdr>
        <w:top w:val="none" w:sz="0" w:space="0" w:color="auto"/>
        <w:left w:val="none" w:sz="0" w:space="0" w:color="auto"/>
        <w:bottom w:val="none" w:sz="0" w:space="0" w:color="auto"/>
        <w:right w:val="none" w:sz="0" w:space="0" w:color="auto"/>
      </w:divBdr>
      <w:divsChild>
        <w:div w:id="940726795">
          <w:marLeft w:val="0"/>
          <w:marRight w:val="0"/>
          <w:marTop w:val="0"/>
          <w:marBottom w:val="0"/>
          <w:divBdr>
            <w:top w:val="none" w:sz="0" w:space="0" w:color="auto"/>
            <w:left w:val="none" w:sz="0" w:space="0" w:color="auto"/>
            <w:bottom w:val="none" w:sz="0" w:space="0" w:color="auto"/>
            <w:right w:val="none" w:sz="0" w:space="0" w:color="auto"/>
          </w:divBdr>
          <w:divsChild>
            <w:div w:id="94072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6785">
      <w:marLeft w:val="0"/>
      <w:marRight w:val="0"/>
      <w:marTop w:val="0"/>
      <w:marBottom w:val="0"/>
      <w:divBdr>
        <w:top w:val="none" w:sz="0" w:space="0" w:color="auto"/>
        <w:left w:val="none" w:sz="0" w:space="0" w:color="auto"/>
        <w:bottom w:val="none" w:sz="0" w:space="0" w:color="auto"/>
        <w:right w:val="none" w:sz="0" w:space="0" w:color="auto"/>
      </w:divBdr>
      <w:divsChild>
        <w:div w:id="940726784">
          <w:marLeft w:val="0"/>
          <w:marRight w:val="0"/>
          <w:marTop w:val="0"/>
          <w:marBottom w:val="0"/>
          <w:divBdr>
            <w:top w:val="none" w:sz="0" w:space="0" w:color="auto"/>
            <w:left w:val="none" w:sz="0" w:space="0" w:color="auto"/>
            <w:bottom w:val="none" w:sz="0" w:space="0" w:color="auto"/>
            <w:right w:val="none" w:sz="0" w:space="0" w:color="auto"/>
          </w:divBdr>
          <w:divsChild>
            <w:div w:id="940726759">
              <w:marLeft w:val="0"/>
              <w:marRight w:val="0"/>
              <w:marTop w:val="0"/>
              <w:marBottom w:val="0"/>
              <w:divBdr>
                <w:top w:val="none" w:sz="0" w:space="0" w:color="auto"/>
                <w:left w:val="none" w:sz="0" w:space="0" w:color="auto"/>
                <w:bottom w:val="none" w:sz="0" w:space="0" w:color="auto"/>
                <w:right w:val="none" w:sz="0" w:space="0" w:color="auto"/>
              </w:divBdr>
              <w:divsChild>
                <w:div w:id="940726773">
                  <w:marLeft w:val="0"/>
                  <w:marRight w:val="0"/>
                  <w:marTop w:val="0"/>
                  <w:marBottom w:val="0"/>
                  <w:divBdr>
                    <w:top w:val="none" w:sz="0" w:space="0" w:color="auto"/>
                    <w:left w:val="none" w:sz="0" w:space="0" w:color="auto"/>
                    <w:bottom w:val="none" w:sz="0" w:space="0" w:color="auto"/>
                    <w:right w:val="none" w:sz="0" w:space="0" w:color="auto"/>
                  </w:divBdr>
                  <w:divsChild>
                    <w:div w:id="940726788">
                      <w:marLeft w:val="0"/>
                      <w:marRight w:val="0"/>
                      <w:marTop w:val="0"/>
                      <w:marBottom w:val="0"/>
                      <w:divBdr>
                        <w:top w:val="none" w:sz="0" w:space="0" w:color="auto"/>
                        <w:left w:val="none" w:sz="0" w:space="0" w:color="auto"/>
                        <w:bottom w:val="none" w:sz="0" w:space="0" w:color="auto"/>
                        <w:right w:val="none" w:sz="0" w:space="0" w:color="auto"/>
                      </w:divBdr>
                      <w:divsChild>
                        <w:div w:id="940726787">
                          <w:marLeft w:val="0"/>
                          <w:marRight w:val="0"/>
                          <w:marTop w:val="0"/>
                          <w:marBottom w:val="0"/>
                          <w:divBdr>
                            <w:top w:val="none" w:sz="0" w:space="0" w:color="auto"/>
                            <w:left w:val="none" w:sz="0" w:space="0" w:color="auto"/>
                            <w:bottom w:val="none" w:sz="0" w:space="0" w:color="auto"/>
                            <w:right w:val="none" w:sz="0" w:space="0" w:color="auto"/>
                          </w:divBdr>
                          <w:divsChild>
                            <w:div w:id="940726790">
                              <w:marLeft w:val="0"/>
                              <w:marRight w:val="0"/>
                              <w:marTop w:val="0"/>
                              <w:marBottom w:val="0"/>
                              <w:divBdr>
                                <w:top w:val="none" w:sz="0" w:space="0" w:color="auto"/>
                                <w:left w:val="none" w:sz="0" w:space="0" w:color="auto"/>
                                <w:bottom w:val="none" w:sz="0" w:space="0" w:color="auto"/>
                                <w:right w:val="none" w:sz="0" w:space="0" w:color="auto"/>
                              </w:divBdr>
                              <w:divsChild>
                                <w:div w:id="940726781">
                                  <w:marLeft w:val="0"/>
                                  <w:marRight w:val="0"/>
                                  <w:marTop w:val="0"/>
                                  <w:marBottom w:val="0"/>
                                  <w:divBdr>
                                    <w:top w:val="none" w:sz="0" w:space="0" w:color="auto"/>
                                    <w:left w:val="none" w:sz="0" w:space="0" w:color="auto"/>
                                    <w:bottom w:val="none" w:sz="0" w:space="0" w:color="auto"/>
                                    <w:right w:val="none" w:sz="0" w:space="0" w:color="auto"/>
                                  </w:divBdr>
                                  <w:divsChild>
                                    <w:div w:id="940726760">
                                      <w:marLeft w:val="0"/>
                                      <w:marRight w:val="0"/>
                                      <w:marTop w:val="0"/>
                                      <w:marBottom w:val="0"/>
                                      <w:divBdr>
                                        <w:top w:val="none" w:sz="0" w:space="0" w:color="auto"/>
                                        <w:left w:val="none" w:sz="0" w:space="0" w:color="auto"/>
                                        <w:bottom w:val="none" w:sz="0" w:space="0" w:color="auto"/>
                                        <w:right w:val="none" w:sz="0" w:space="0" w:color="auto"/>
                                      </w:divBdr>
                                      <w:divsChild>
                                        <w:div w:id="940726729">
                                          <w:marLeft w:val="0"/>
                                          <w:marRight w:val="0"/>
                                          <w:marTop w:val="0"/>
                                          <w:marBottom w:val="0"/>
                                          <w:divBdr>
                                            <w:top w:val="none" w:sz="0" w:space="0" w:color="auto"/>
                                            <w:left w:val="none" w:sz="0" w:space="0" w:color="auto"/>
                                            <w:bottom w:val="none" w:sz="0" w:space="0" w:color="auto"/>
                                            <w:right w:val="none" w:sz="0" w:space="0" w:color="auto"/>
                                          </w:divBdr>
                                          <w:divsChild>
                                            <w:div w:id="940726725">
                                              <w:marLeft w:val="0"/>
                                              <w:marRight w:val="0"/>
                                              <w:marTop w:val="0"/>
                                              <w:marBottom w:val="0"/>
                                              <w:divBdr>
                                                <w:top w:val="none" w:sz="0" w:space="0" w:color="auto"/>
                                                <w:left w:val="none" w:sz="0" w:space="0" w:color="auto"/>
                                                <w:bottom w:val="none" w:sz="0" w:space="0" w:color="auto"/>
                                                <w:right w:val="none" w:sz="0" w:space="0" w:color="auto"/>
                                              </w:divBdr>
                                              <w:divsChild>
                                                <w:div w:id="940726724">
                                                  <w:marLeft w:val="0"/>
                                                  <w:marRight w:val="0"/>
                                                  <w:marTop w:val="0"/>
                                                  <w:marBottom w:val="0"/>
                                                  <w:divBdr>
                                                    <w:top w:val="none" w:sz="0" w:space="0" w:color="auto"/>
                                                    <w:left w:val="none" w:sz="0" w:space="0" w:color="auto"/>
                                                    <w:bottom w:val="none" w:sz="0" w:space="0" w:color="auto"/>
                                                    <w:right w:val="none" w:sz="0" w:space="0" w:color="auto"/>
                                                  </w:divBdr>
                                                  <w:divsChild>
                                                    <w:div w:id="940726765">
                                                      <w:marLeft w:val="0"/>
                                                      <w:marRight w:val="0"/>
                                                      <w:marTop w:val="0"/>
                                                      <w:marBottom w:val="0"/>
                                                      <w:divBdr>
                                                        <w:top w:val="none" w:sz="0" w:space="0" w:color="auto"/>
                                                        <w:left w:val="none" w:sz="0" w:space="0" w:color="auto"/>
                                                        <w:bottom w:val="none" w:sz="0" w:space="0" w:color="auto"/>
                                                        <w:right w:val="none" w:sz="0" w:space="0" w:color="auto"/>
                                                      </w:divBdr>
                                                      <w:divsChild>
                                                        <w:div w:id="940726726">
                                                          <w:marLeft w:val="0"/>
                                                          <w:marRight w:val="0"/>
                                                          <w:marTop w:val="0"/>
                                                          <w:marBottom w:val="0"/>
                                                          <w:divBdr>
                                                            <w:top w:val="none" w:sz="0" w:space="0" w:color="auto"/>
                                                            <w:left w:val="none" w:sz="0" w:space="0" w:color="auto"/>
                                                            <w:bottom w:val="none" w:sz="0" w:space="0" w:color="auto"/>
                                                            <w:right w:val="none" w:sz="0" w:space="0" w:color="auto"/>
                                                          </w:divBdr>
                                                        </w:div>
                                                        <w:div w:id="940726727">
                                                          <w:marLeft w:val="0"/>
                                                          <w:marRight w:val="0"/>
                                                          <w:marTop w:val="0"/>
                                                          <w:marBottom w:val="0"/>
                                                          <w:divBdr>
                                                            <w:top w:val="none" w:sz="0" w:space="0" w:color="auto"/>
                                                            <w:left w:val="none" w:sz="0" w:space="0" w:color="auto"/>
                                                            <w:bottom w:val="none" w:sz="0" w:space="0" w:color="auto"/>
                                                            <w:right w:val="none" w:sz="0" w:space="0" w:color="auto"/>
                                                          </w:divBdr>
                                                        </w:div>
                                                        <w:div w:id="940726728">
                                                          <w:marLeft w:val="0"/>
                                                          <w:marRight w:val="0"/>
                                                          <w:marTop w:val="0"/>
                                                          <w:marBottom w:val="0"/>
                                                          <w:divBdr>
                                                            <w:top w:val="none" w:sz="0" w:space="0" w:color="auto"/>
                                                            <w:left w:val="none" w:sz="0" w:space="0" w:color="auto"/>
                                                            <w:bottom w:val="none" w:sz="0" w:space="0" w:color="auto"/>
                                                            <w:right w:val="none" w:sz="0" w:space="0" w:color="auto"/>
                                                          </w:divBdr>
                                                        </w:div>
                                                        <w:div w:id="940726730">
                                                          <w:marLeft w:val="0"/>
                                                          <w:marRight w:val="0"/>
                                                          <w:marTop w:val="0"/>
                                                          <w:marBottom w:val="0"/>
                                                          <w:divBdr>
                                                            <w:top w:val="none" w:sz="0" w:space="0" w:color="auto"/>
                                                            <w:left w:val="none" w:sz="0" w:space="0" w:color="auto"/>
                                                            <w:bottom w:val="none" w:sz="0" w:space="0" w:color="auto"/>
                                                            <w:right w:val="none" w:sz="0" w:space="0" w:color="auto"/>
                                                          </w:divBdr>
                                                        </w:div>
                                                        <w:div w:id="940726731">
                                                          <w:marLeft w:val="0"/>
                                                          <w:marRight w:val="0"/>
                                                          <w:marTop w:val="0"/>
                                                          <w:marBottom w:val="0"/>
                                                          <w:divBdr>
                                                            <w:top w:val="none" w:sz="0" w:space="0" w:color="auto"/>
                                                            <w:left w:val="none" w:sz="0" w:space="0" w:color="auto"/>
                                                            <w:bottom w:val="none" w:sz="0" w:space="0" w:color="auto"/>
                                                            <w:right w:val="none" w:sz="0" w:space="0" w:color="auto"/>
                                                          </w:divBdr>
                                                        </w:div>
                                                        <w:div w:id="940726761">
                                                          <w:marLeft w:val="0"/>
                                                          <w:marRight w:val="0"/>
                                                          <w:marTop w:val="0"/>
                                                          <w:marBottom w:val="0"/>
                                                          <w:divBdr>
                                                            <w:top w:val="none" w:sz="0" w:space="0" w:color="auto"/>
                                                            <w:left w:val="none" w:sz="0" w:space="0" w:color="auto"/>
                                                            <w:bottom w:val="none" w:sz="0" w:space="0" w:color="auto"/>
                                                            <w:right w:val="none" w:sz="0" w:space="0" w:color="auto"/>
                                                          </w:divBdr>
                                                        </w:div>
                                                        <w:div w:id="940726762">
                                                          <w:marLeft w:val="0"/>
                                                          <w:marRight w:val="0"/>
                                                          <w:marTop w:val="0"/>
                                                          <w:marBottom w:val="0"/>
                                                          <w:divBdr>
                                                            <w:top w:val="none" w:sz="0" w:space="0" w:color="auto"/>
                                                            <w:left w:val="none" w:sz="0" w:space="0" w:color="auto"/>
                                                            <w:bottom w:val="none" w:sz="0" w:space="0" w:color="auto"/>
                                                            <w:right w:val="none" w:sz="0" w:space="0" w:color="auto"/>
                                                          </w:divBdr>
                                                        </w:div>
                                                        <w:div w:id="940726763">
                                                          <w:marLeft w:val="0"/>
                                                          <w:marRight w:val="0"/>
                                                          <w:marTop w:val="0"/>
                                                          <w:marBottom w:val="0"/>
                                                          <w:divBdr>
                                                            <w:top w:val="none" w:sz="0" w:space="0" w:color="auto"/>
                                                            <w:left w:val="none" w:sz="0" w:space="0" w:color="auto"/>
                                                            <w:bottom w:val="none" w:sz="0" w:space="0" w:color="auto"/>
                                                            <w:right w:val="none" w:sz="0" w:space="0" w:color="auto"/>
                                                          </w:divBdr>
                                                        </w:div>
                                                        <w:div w:id="940726764">
                                                          <w:marLeft w:val="0"/>
                                                          <w:marRight w:val="0"/>
                                                          <w:marTop w:val="0"/>
                                                          <w:marBottom w:val="0"/>
                                                          <w:divBdr>
                                                            <w:top w:val="none" w:sz="0" w:space="0" w:color="auto"/>
                                                            <w:left w:val="none" w:sz="0" w:space="0" w:color="auto"/>
                                                            <w:bottom w:val="none" w:sz="0" w:space="0" w:color="auto"/>
                                                            <w:right w:val="none" w:sz="0" w:space="0" w:color="auto"/>
                                                          </w:divBdr>
                                                        </w:div>
                                                        <w:div w:id="940726766">
                                                          <w:marLeft w:val="0"/>
                                                          <w:marRight w:val="0"/>
                                                          <w:marTop w:val="0"/>
                                                          <w:marBottom w:val="0"/>
                                                          <w:divBdr>
                                                            <w:top w:val="none" w:sz="0" w:space="0" w:color="auto"/>
                                                            <w:left w:val="none" w:sz="0" w:space="0" w:color="auto"/>
                                                            <w:bottom w:val="none" w:sz="0" w:space="0" w:color="auto"/>
                                                            <w:right w:val="none" w:sz="0" w:space="0" w:color="auto"/>
                                                          </w:divBdr>
                                                        </w:div>
                                                        <w:div w:id="940726767">
                                                          <w:marLeft w:val="0"/>
                                                          <w:marRight w:val="0"/>
                                                          <w:marTop w:val="0"/>
                                                          <w:marBottom w:val="0"/>
                                                          <w:divBdr>
                                                            <w:top w:val="none" w:sz="0" w:space="0" w:color="auto"/>
                                                            <w:left w:val="none" w:sz="0" w:space="0" w:color="auto"/>
                                                            <w:bottom w:val="none" w:sz="0" w:space="0" w:color="auto"/>
                                                            <w:right w:val="none" w:sz="0" w:space="0" w:color="auto"/>
                                                          </w:divBdr>
                                                        </w:div>
                                                        <w:div w:id="940726768">
                                                          <w:marLeft w:val="0"/>
                                                          <w:marRight w:val="0"/>
                                                          <w:marTop w:val="0"/>
                                                          <w:marBottom w:val="0"/>
                                                          <w:divBdr>
                                                            <w:top w:val="none" w:sz="0" w:space="0" w:color="auto"/>
                                                            <w:left w:val="none" w:sz="0" w:space="0" w:color="auto"/>
                                                            <w:bottom w:val="none" w:sz="0" w:space="0" w:color="auto"/>
                                                            <w:right w:val="none" w:sz="0" w:space="0" w:color="auto"/>
                                                          </w:divBdr>
                                                        </w:div>
                                                        <w:div w:id="940726769">
                                                          <w:marLeft w:val="0"/>
                                                          <w:marRight w:val="0"/>
                                                          <w:marTop w:val="0"/>
                                                          <w:marBottom w:val="0"/>
                                                          <w:divBdr>
                                                            <w:top w:val="none" w:sz="0" w:space="0" w:color="auto"/>
                                                            <w:left w:val="none" w:sz="0" w:space="0" w:color="auto"/>
                                                            <w:bottom w:val="none" w:sz="0" w:space="0" w:color="auto"/>
                                                            <w:right w:val="none" w:sz="0" w:space="0" w:color="auto"/>
                                                          </w:divBdr>
                                                        </w:div>
                                                        <w:div w:id="940726770">
                                                          <w:marLeft w:val="0"/>
                                                          <w:marRight w:val="0"/>
                                                          <w:marTop w:val="0"/>
                                                          <w:marBottom w:val="0"/>
                                                          <w:divBdr>
                                                            <w:top w:val="none" w:sz="0" w:space="0" w:color="auto"/>
                                                            <w:left w:val="none" w:sz="0" w:space="0" w:color="auto"/>
                                                            <w:bottom w:val="none" w:sz="0" w:space="0" w:color="auto"/>
                                                            <w:right w:val="none" w:sz="0" w:space="0" w:color="auto"/>
                                                          </w:divBdr>
                                                        </w:div>
                                                        <w:div w:id="940726772">
                                                          <w:marLeft w:val="0"/>
                                                          <w:marRight w:val="0"/>
                                                          <w:marTop w:val="0"/>
                                                          <w:marBottom w:val="0"/>
                                                          <w:divBdr>
                                                            <w:top w:val="none" w:sz="0" w:space="0" w:color="auto"/>
                                                            <w:left w:val="none" w:sz="0" w:space="0" w:color="auto"/>
                                                            <w:bottom w:val="none" w:sz="0" w:space="0" w:color="auto"/>
                                                            <w:right w:val="none" w:sz="0" w:space="0" w:color="auto"/>
                                                          </w:divBdr>
                                                        </w:div>
                                                        <w:div w:id="940726774">
                                                          <w:marLeft w:val="0"/>
                                                          <w:marRight w:val="0"/>
                                                          <w:marTop w:val="0"/>
                                                          <w:marBottom w:val="0"/>
                                                          <w:divBdr>
                                                            <w:top w:val="none" w:sz="0" w:space="0" w:color="auto"/>
                                                            <w:left w:val="none" w:sz="0" w:space="0" w:color="auto"/>
                                                            <w:bottom w:val="none" w:sz="0" w:space="0" w:color="auto"/>
                                                            <w:right w:val="none" w:sz="0" w:space="0" w:color="auto"/>
                                                          </w:divBdr>
                                                        </w:div>
                                                        <w:div w:id="940726775">
                                                          <w:marLeft w:val="0"/>
                                                          <w:marRight w:val="0"/>
                                                          <w:marTop w:val="0"/>
                                                          <w:marBottom w:val="0"/>
                                                          <w:divBdr>
                                                            <w:top w:val="none" w:sz="0" w:space="0" w:color="auto"/>
                                                            <w:left w:val="none" w:sz="0" w:space="0" w:color="auto"/>
                                                            <w:bottom w:val="none" w:sz="0" w:space="0" w:color="auto"/>
                                                            <w:right w:val="none" w:sz="0" w:space="0" w:color="auto"/>
                                                          </w:divBdr>
                                                        </w:div>
                                                        <w:div w:id="940726776">
                                                          <w:marLeft w:val="0"/>
                                                          <w:marRight w:val="0"/>
                                                          <w:marTop w:val="0"/>
                                                          <w:marBottom w:val="0"/>
                                                          <w:divBdr>
                                                            <w:top w:val="none" w:sz="0" w:space="0" w:color="auto"/>
                                                            <w:left w:val="none" w:sz="0" w:space="0" w:color="auto"/>
                                                            <w:bottom w:val="none" w:sz="0" w:space="0" w:color="auto"/>
                                                            <w:right w:val="none" w:sz="0" w:space="0" w:color="auto"/>
                                                          </w:divBdr>
                                                        </w:div>
                                                        <w:div w:id="940726777">
                                                          <w:marLeft w:val="0"/>
                                                          <w:marRight w:val="0"/>
                                                          <w:marTop w:val="0"/>
                                                          <w:marBottom w:val="0"/>
                                                          <w:divBdr>
                                                            <w:top w:val="none" w:sz="0" w:space="0" w:color="auto"/>
                                                            <w:left w:val="none" w:sz="0" w:space="0" w:color="auto"/>
                                                            <w:bottom w:val="none" w:sz="0" w:space="0" w:color="auto"/>
                                                            <w:right w:val="none" w:sz="0" w:space="0" w:color="auto"/>
                                                          </w:divBdr>
                                                        </w:div>
                                                        <w:div w:id="940726780">
                                                          <w:marLeft w:val="0"/>
                                                          <w:marRight w:val="0"/>
                                                          <w:marTop w:val="0"/>
                                                          <w:marBottom w:val="0"/>
                                                          <w:divBdr>
                                                            <w:top w:val="none" w:sz="0" w:space="0" w:color="auto"/>
                                                            <w:left w:val="none" w:sz="0" w:space="0" w:color="auto"/>
                                                            <w:bottom w:val="none" w:sz="0" w:space="0" w:color="auto"/>
                                                            <w:right w:val="none" w:sz="0" w:space="0" w:color="auto"/>
                                                          </w:divBdr>
                                                        </w:div>
                                                        <w:div w:id="940726782">
                                                          <w:marLeft w:val="0"/>
                                                          <w:marRight w:val="0"/>
                                                          <w:marTop w:val="0"/>
                                                          <w:marBottom w:val="0"/>
                                                          <w:divBdr>
                                                            <w:top w:val="none" w:sz="0" w:space="0" w:color="auto"/>
                                                            <w:left w:val="none" w:sz="0" w:space="0" w:color="auto"/>
                                                            <w:bottom w:val="none" w:sz="0" w:space="0" w:color="auto"/>
                                                            <w:right w:val="none" w:sz="0" w:space="0" w:color="auto"/>
                                                          </w:divBdr>
                                                        </w:div>
                                                        <w:div w:id="940726783">
                                                          <w:marLeft w:val="0"/>
                                                          <w:marRight w:val="0"/>
                                                          <w:marTop w:val="0"/>
                                                          <w:marBottom w:val="0"/>
                                                          <w:divBdr>
                                                            <w:top w:val="none" w:sz="0" w:space="0" w:color="auto"/>
                                                            <w:left w:val="none" w:sz="0" w:space="0" w:color="auto"/>
                                                            <w:bottom w:val="none" w:sz="0" w:space="0" w:color="auto"/>
                                                            <w:right w:val="none" w:sz="0" w:space="0" w:color="auto"/>
                                                          </w:divBdr>
                                                        </w:div>
                                                        <w:div w:id="940726786">
                                                          <w:marLeft w:val="0"/>
                                                          <w:marRight w:val="0"/>
                                                          <w:marTop w:val="0"/>
                                                          <w:marBottom w:val="0"/>
                                                          <w:divBdr>
                                                            <w:top w:val="none" w:sz="0" w:space="0" w:color="auto"/>
                                                            <w:left w:val="none" w:sz="0" w:space="0" w:color="auto"/>
                                                            <w:bottom w:val="none" w:sz="0" w:space="0" w:color="auto"/>
                                                            <w:right w:val="none" w:sz="0" w:space="0" w:color="auto"/>
                                                          </w:divBdr>
                                                        </w:div>
                                                        <w:div w:id="940726789">
                                                          <w:marLeft w:val="0"/>
                                                          <w:marRight w:val="0"/>
                                                          <w:marTop w:val="0"/>
                                                          <w:marBottom w:val="0"/>
                                                          <w:divBdr>
                                                            <w:top w:val="none" w:sz="0" w:space="0" w:color="auto"/>
                                                            <w:left w:val="none" w:sz="0" w:space="0" w:color="auto"/>
                                                            <w:bottom w:val="none" w:sz="0" w:space="0" w:color="auto"/>
                                                            <w:right w:val="none" w:sz="0" w:space="0" w:color="auto"/>
                                                          </w:divBdr>
                                                        </w:div>
                                                        <w:div w:id="940726791">
                                                          <w:marLeft w:val="0"/>
                                                          <w:marRight w:val="0"/>
                                                          <w:marTop w:val="0"/>
                                                          <w:marBottom w:val="0"/>
                                                          <w:divBdr>
                                                            <w:top w:val="none" w:sz="0" w:space="0" w:color="auto"/>
                                                            <w:left w:val="none" w:sz="0" w:space="0" w:color="auto"/>
                                                            <w:bottom w:val="none" w:sz="0" w:space="0" w:color="auto"/>
                                                            <w:right w:val="none" w:sz="0" w:space="0" w:color="auto"/>
                                                          </w:divBdr>
                                                        </w:div>
                                                        <w:div w:id="940726792">
                                                          <w:marLeft w:val="0"/>
                                                          <w:marRight w:val="0"/>
                                                          <w:marTop w:val="0"/>
                                                          <w:marBottom w:val="0"/>
                                                          <w:divBdr>
                                                            <w:top w:val="none" w:sz="0" w:space="0" w:color="auto"/>
                                                            <w:left w:val="none" w:sz="0" w:space="0" w:color="auto"/>
                                                            <w:bottom w:val="none" w:sz="0" w:space="0" w:color="auto"/>
                                                            <w:right w:val="none" w:sz="0" w:space="0" w:color="auto"/>
                                                          </w:divBdr>
                                                        </w:div>
                                                        <w:div w:id="940726793">
                                                          <w:marLeft w:val="0"/>
                                                          <w:marRight w:val="0"/>
                                                          <w:marTop w:val="0"/>
                                                          <w:marBottom w:val="0"/>
                                                          <w:divBdr>
                                                            <w:top w:val="none" w:sz="0" w:space="0" w:color="auto"/>
                                                            <w:left w:val="none" w:sz="0" w:space="0" w:color="auto"/>
                                                            <w:bottom w:val="none" w:sz="0" w:space="0" w:color="auto"/>
                                                            <w:right w:val="none" w:sz="0" w:space="0" w:color="auto"/>
                                                          </w:divBdr>
                                                        </w:div>
                                                        <w:div w:id="940726794">
                                                          <w:marLeft w:val="0"/>
                                                          <w:marRight w:val="0"/>
                                                          <w:marTop w:val="0"/>
                                                          <w:marBottom w:val="0"/>
                                                          <w:divBdr>
                                                            <w:top w:val="none" w:sz="0" w:space="0" w:color="auto"/>
                                                            <w:left w:val="none" w:sz="0" w:space="0" w:color="auto"/>
                                                            <w:bottom w:val="none" w:sz="0" w:space="0" w:color="auto"/>
                                                            <w:right w:val="none" w:sz="0" w:space="0" w:color="auto"/>
                                                          </w:divBdr>
                                                        </w:div>
                                                        <w:div w:id="940726796">
                                                          <w:marLeft w:val="0"/>
                                                          <w:marRight w:val="0"/>
                                                          <w:marTop w:val="0"/>
                                                          <w:marBottom w:val="0"/>
                                                          <w:divBdr>
                                                            <w:top w:val="none" w:sz="0" w:space="0" w:color="auto"/>
                                                            <w:left w:val="none" w:sz="0" w:space="0" w:color="auto"/>
                                                            <w:bottom w:val="none" w:sz="0" w:space="0" w:color="auto"/>
                                                            <w:right w:val="none" w:sz="0" w:space="0" w:color="auto"/>
                                                          </w:divBdr>
                                                        </w:div>
                                                        <w:div w:id="940726797">
                                                          <w:marLeft w:val="0"/>
                                                          <w:marRight w:val="0"/>
                                                          <w:marTop w:val="0"/>
                                                          <w:marBottom w:val="0"/>
                                                          <w:divBdr>
                                                            <w:top w:val="none" w:sz="0" w:space="0" w:color="auto"/>
                                                            <w:left w:val="none" w:sz="0" w:space="0" w:color="auto"/>
                                                            <w:bottom w:val="none" w:sz="0" w:space="0" w:color="auto"/>
                                                            <w:right w:val="none" w:sz="0" w:space="0" w:color="auto"/>
                                                          </w:divBdr>
                                                        </w:div>
                                                        <w:div w:id="940726798">
                                                          <w:marLeft w:val="0"/>
                                                          <w:marRight w:val="0"/>
                                                          <w:marTop w:val="0"/>
                                                          <w:marBottom w:val="0"/>
                                                          <w:divBdr>
                                                            <w:top w:val="none" w:sz="0" w:space="0" w:color="auto"/>
                                                            <w:left w:val="none" w:sz="0" w:space="0" w:color="auto"/>
                                                            <w:bottom w:val="none" w:sz="0" w:space="0" w:color="auto"/>
                                                            <w:right w:val="none" w:sz="0" w:space="0" w:color="auto"/>
                                                          </w:divBdr>
                                                        </w:div>
                                                        <w:div w:id="940726799">
                                                          <w:marLeft w:val="0"/>
                                                          <w:marRight w:val="0"/>
                                                          <w:marTop w:val="0"/>
                                                          <w:marBottom w:val="0"/>
                                                          <w:divBdr>
                                                            <w:top w:val="none" w:sz="0" w:space="0" w:color="auto"/>
                                                            <w:left w:val="none" w:sz="0" w:space="0" w:color="auto"/>
                                                            <w:bottom w:val="none" w:sz="0" w:space="0" w:color="auto"/>
                                                            <w:right w:val="none" w:sz="0" w:space="0" w:color="auto"/>
                                                          </w:divBdr>
                                                        </w:div>
                                                        <w:div w:id="940726800">
                                                          <w:marLeft w:val="0"/>
                                                          <w:marRight w:val="0"/>
                                                          <w:marTop w:val="0"/>
                                                          <w:marBottom w:val="0"/>
                                                          <w:divBdr>
                                                            <w:top w:val="none" w:sz="0" w:space="0" w:color="auto"/>
                                                            <w:left w:val="none" w:sz="0" w:space="0" w:color="auto"/>
                                                            <w:bottom w:val="none" w:sz="0" w:space="0" w:color="auto"/>
                                                            <w:right w:val="none" w:sz="0" w:space="0" w:color="auto"/>
                                                          </w:divBdr>
                                                        </w:div>
                                                        <w:div w:id="940726801">
                                                          <w:marLeft w:val="0"/>
                                                          <w:marRight w:val="0"/>
                                                          <w:marTop w:val="0"/>
                                                          <w:marBottom w:val="0"/>
                                                          <w:divBdr>
                                                            <w:top w:val="none" w:sz="0" w:space="0" w:color="auto"/>
                                                            <w:left w:val="none" w:sz="0" w:space="0" w:color="auto"/>
                                                            <w:bottom w:val="none" w:sz="0" w:space="0" w:color="auto"/>
                                                            <w:right w:val="none" w:sz="0" w:space="0" w:color="auto"/>
                                                          </w:divBdr>
                                                        </w:div>
                                                        <w:div w:id="940726802">
                                                          <w:marLeft w:val="0"/>
                                                          <w:marRight w:val="0"/>
                                                          <w:marTop w:val="0"/>
                                                          <w:marBottom w:val="0"/>
                                                          <w:divBdr>
                                                            <w:top w:val="none" w:sz="0" w:space="0" w:color="auto"/>
                                                            <w:left w:val="none" w:sz="0" w:space="0" w:color="auto"/>
                                                            <w:bottom w:val="none" w:sz="0" w:space="0" w:color="auto"/>
                                                            <w:right w:val="none" w:sz="0" w:space="0" w:color="auto"/>
                                                          </w:divBdr>
                                                        </w:div>
                                                        <w:div w:id="9407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2368161">
      <w:bodyDiv w:val="1"/>
      <w:marLeft w:val="0"/>
      <w:marRight w:val="0"/>
      <w:marTop w:val="0"/>
      <w:marBottom w:val="0"/>
      <w:divBdr>
        <w:top w:val="none" w:sz="0" w:space="0" w:color="auto"/>
        <w:left w:val="none" w:sz="0" w:space="0" w:color="auto"/>
        <w:bottom w:val="none" w:sz="0" w:space="0" w:color="auto"/>
        <w:right w:val="none" w:sz="0" w:space="0" w:color="auto"/>
      </w:divBdr>
    </w:div>
    <w:div w:id="1071973567">
      <w:bodyDiv w:val="1"/>
      <w:marLeft w:val="0"/>
      <w:marRight w:val="0"/>
      <w:marTop w:val="0"/>
      <w:marBottom w:val="0"/>
      <w:divBdr>
        <w:top w:val="none" w:sz="0" w:space="0" w:color="auto"/>
        <w:left w:val="none" w:sz="0" w:space="0" w:color="auto"/>
        <w:bottom w:val="none" w:sz="0" w:space="0" w:color="auto"/>
        <w:right w:val="none" w:sz="0" w:space="0" w:color="auto"/>
      </w:divBdr>
    </w:div>
    <w:div w:id="1111321302">
      <w:bodyDiv w:val="1"/>
      <w:marLeft w:val="0"/>
      <w:marRight w:val="0"/>
      <w:marTop w:val="0"/>
      <w:marBottom w:val="0"/>
      <w:divBdr>
        <w:top w:val="none" w:sz="0" w:space="0" w:color="auto"/>
        <w:left w:val="none" w:sz="0" w:space="0" w:color="auto"/>
        <w:bottom w:val="none" w:sz="0" w:space="0" w:color="auto"/>
        <w:right w:val="none" w:sz="0" w:space="0" w:color="auto"/>
      </w:divBdr>
    </w:div>
    <w:div w:id="1232160553">
      <w:bodyDiv w:val="1"/>
      <w:marLeft w:val="0"/>
      <w:marRight w:val="0"/>
      <w:marTop w:val="0"/>
      <w:marBottom w:val="0"/>
      <w:divBdr>
        <w:top w:val="none" w:sz="0" w:space="0" w:color="auto"/>
        <w:left w:val="none" w:sz="0" w:space="0" w:color="auto"/>
        <w:bottom w:val="none" w:sz="0" w:space="0" w:color="auto"/>
        <w:right w:val="none" w:sz="0" w:space="0" w:color="auto"/>
      </w:divBdr>
    </w:div>
    <w:div w:id="1292902311">
      <w:bodyDiv w:val="1"/>
      <w:marLeft w:val="0"/>
      <w:marRight w:val="0"/>
      <w:marTop w:val="0"/>
      <w:marBottom w:val="0"/>
      <w:divBdr>
        <w:top w:val="none" w:sz="0" w:space="0" w:color="auto"/>
        <w:left w:val="none" w:sz="0" w:space="0" w:color="auto"/>
        <w:bottom w:val="none" w:sz="0" w:space="0" w:color="auto"/>
        <w:right w:val="none" w:sz="0" w:space="0" w:color="auto"/>
      </w:divBdr>
    </w:div>
    <w:div w:id="1406955147">
      <w:bodyDiv w:val="1"/>
      <w:marLeft w:val="0"/>
      <w:marRight w:val="0"/>
      <w:marTop w:val="0"/>
      <w:marBottom w:val="0"/>
      <w:divBdr>
        <w:top w:val="none" w:sz="0" w:space="0" w:color="auto"/>
        <w:left w:val="none" w:sz="0" w:space="0" w:color="auto"/>
        <w:bottom w:val="none" w:sz="0" w:space="0" w:color="auto"/>
        <w:right w:val="none" w:sz="0" w:space="0" w:color="auto"/>
      </w:divBdr>
    </w:div>
    <w:div w:id="1408768237">
      <w:bodyDiv w:val="1"/>
      <w:marLeft w:val="0"/>
      <w:marRight w:val="0"/>
      <w:marTop w:val="0"/>
      <w:marBottom w:val="0"/>
      <w:divBdr>
        <w:top w:val="none" w:sz="0" w:space="0" w:color="auto"/>
        <w:left w:val="none" w:sz="0" w:space="0" w:color="auto"/>
        <w:bottom w:val="none" w:sz="0" w:space="0" w:color="auto"/>
        <w:right w:val="none" w:sz="0" w:space="0" w:color="auto"/>
      </w:divBdr>
    </w:div>
    <w:div w:id="1418751971">
      <w:bodyDiv w:val="1"/>
      <w:marLeft w:val="0"/>
      <w:marRight w:val="0"/>
      <w:marTop w:val="0"/>
      <w:marBottom w:val="0"/>
      <w:divBdr>
        <w:top w:val="none" w:sz="0" w:space="0" w:color="auto"/>
        <w:left w:val="none" w:sz="0" w:space="0" w:color="auto"/>
        <w:bottom w:val="none" w:sz="0" w:space="0" w:color="auto"/>
        <w:right w:val="none" w:sz="0" w:space="0" w:color="auto"/>
      </w:divBdr>
    </w:div>
    <w:div w:id="1429934891">
      <w:bodyDiv w:val="1"/>
      <w:marLeft w:val="0"/>
      <w:marRight w:val="0"/>
      <w:marTop w:val="0"/>
      <w:marBottom w:val="0"/>
      <w:divBdr>
        <w:top w:val="none" w:sz="0" w:space="0" w:color="auto"/>
        <w:left w:val="none" w:sz="0" w:space="0" w:color="auto"/>
        <w:bottom w:val="none" w:sz="0" w:space="0" w:color="auto"/>
        <w:right w:val="none" w:sz="0" w:space="0" w:color="auto"/>
      </w:divBdr>
    </w:div>
    <w:div w:id="1431701508">
      <w:bodyDiv w:val="1"/>
      <w:marLeft w:val="0"/>
      <w:marRight w:val="0"/>
      <w:marTop w:val="0"/>
      <w:marBottom w:val="0"/>
      <w:divBdr>
        <w:top w:val="none" w:sz="0" w:space="0" w:color="auto"/>
        <w:left w:val="none" w:sz="0" w:space="0" w:color="auto"/>
        <w:bottom w:val="none" w:sz="0" w:space="0" w:color="auto"/>
        <w:right w:val="none" w:sz="0" w:space="0" w:color="auto"/>
      </w:divBdr>
    </w:div>
    <w:div w:id="1443764315">
      <w:bodyDiv w:val="1"/>
      <w:marLeft w:val="0"/>
      <w:marRight w:val="0"/>
      <w:marTop w:val="0"/>
      <w:marBottom w:val="0"/>
      <w:divBdr>
        <w:top w:val="none" w:sz="0" w:space="0" w:color="auto"/>
        <w:left w:val="none" w:sz="0" w:space="0" w:color="auto"/>
        <w:bottom w:val="none" w:sz="0" w:space="0" w:color="auto"/>
        <w:right w:val="none" w:sz="0" w:space="0" w:color="auto"/>
      </w:divBdr>
    </w:div>
    <w:div w:id="1509059072">
      <w:bodyDiv w:val="1"/>
      <w:marLeft w:val="0"/>
      <w:marRight w:val="0"/>
      <w:marTop w:val="0"/>
      <w:marBottom w:val="0"/>
      <w:divBdr>
        <w:top w:val="none" w:sz="0" w:space="0" w:color="auto"/>
        <w:left w:val="none" w:sz="0" w:space="0" w:color="auto"/>
        <w:bottom w:val="none" w:sz="0" w:space="0" w:color="auto"/>
        <w:right w:val="none" w:sz="0" w:space="0" w:color="auto"/>
      </w:divBdr>
    </w:div>
    <w:div w:id="1593080909">
      <w:bodyDiv w:val="1"/>
      <w:marLeft w:val="0"/>
      <w:marRight w:val="0"/>
      <w:marTop w:val="0"/>
      <w:marBottom w:val="0"/>
      <w:divBdr>
        <w:top w:val="none" w:sz="0" w:space="0" w:color="auto"/>
        <w:left w:val="none" w:sz="0" w:space="0" w:color="auto"/>
        <w:bottom w:val="none" w:sz="0" w:space="0" w:color="auto"/>
        <w:right w:val="none" w:sz="0" w:space="0" w:color="auto"/>
      </w:divBdr>
    </w:div>
    <w:div w:id="1604996715">
      <w:bodyDiv w:val="1"/>
      <w:marLeft w:val="0"/>
      <w:marRight w:val="0"/>
      <w:marTop w:val="0"/>
      <w:marBottom w:val="0"/>
      <w:divBdr>
        <w:top w:val="none" w:sz="0" w:space="0" w:color="auto"/>
        <w:left w:val="none" w:sz="0" w:space="0" w:color="auto"/>
        <w:bottom w:val="none" w:sz="0" w:space="0" w:color="auto"/>
        <w:right w:val="none" w:sz="0" w:space="0" w:color="auto"/>
      </w:divBdr>
    </w:div>
    <w:div w:id="1656303362">
      <w:bodyDiv w:val="1"/>
      <w:marLeft w:val="0"/>
      <w:marRight w:val="0"/>
      <w:marTop w:val="0"/>
      <w:marBottom w:val="0"/>
      <w:divBdr>
        <w:top w:val="none" w:sz="0" w:space="0" w:color="auto"/>
        <w:left w:val="none" w:sz="0" w:space="0" w:color="auto"/>
        <w:bottom w:val="none" w:sz="0" w:space="0" w:color="auto"/>
        <w:right w:val="none" w:sz="0" w:space="0" w:color="auto"/>
      </w:divBdr>
    </w:div>
    <w:div w:id="1667127492">
      <w:bodyDiv w:val="1"/>
      <w:marLeft w:val="0"/>
      <w:marRight w:val="0"/>
      <w:marTop w:val="0"/>
      <w:marBottom w:val="0"/>
      <w:divBdr>
        <w:top w:val="none" w:sz="0" w:space="0" w:color="auto"/>
        <w:left w:val="none" w:sz="0" w:space="0" w:color="auto"/>
        <w:bottom w:val="none" w:sz="0" w:space="0" w:color="auto"/>
        <w:right w:val="none" w:sz="0" w:space="0" w:color="auto"/>
      </w:divBdr>
    </w:div>
    <w:div w:id="1678268436">
      <w:bodyDiv w:val="1"/>
      <w:marLeft w:val="0"/>
      <w:marRight w:val="0"/>
      <w:marTop w:val="0"/>
      <w:marBottom w:val="0"/>
      <w:divBdr>
        <w:top w:val="none" w:sz="0" w:space="0" w:color="auto"/>
        <w:left w:val="none" w:sz="0" w:space="0" w:color="auto"/>
        <w:bottom w:val="none" w:sz="0" w:space="0" w:color="auto"/>
        <w:right w:val="none" w:sz="0" w:space="0" w:color="auto"/>
      </w:divBdr>
    </w:div>
    <w:div w:id="1710760959">
      <w:bodyDiv w:val="1"/>
      <w:marLeft w:val="0"/>
      <w:marRight w:val="0"/>
      <w:marTop w:val="0"/>
      <w:marBottom w:val="0"/>
      <w:divBdr>
        <w:top w:val="none" w:sz="0" w:space="0" w:color="auto"/>
        <w:left w:val="none" w:sz="0" w:space="0" w:color="auto"/>
        <w:bottom w:val="none" w:sz="0" w:space="0" w:color="auto"/>
        <w:right w:val="none" w:sz="0" w:space="0" w:color="auto"/>
      </w:divBdr>
    </w:div>
    <w:div w:id="1720322706">
      <w:bodyDiv w:val="1"/>
      <w:marLeft w:val="0"/>
      <w:marRight w:val="0"/>
      <w:marTop w:val="0"/>
      <w:marBottom w:val="0"/>
      <w:divBdr>
        <w:top w:val="none" w:sz="0" w:space="0" w:color="auto"/>
        <w:left w:val="none" w:sz="0" w:space="0" w:color="auto"/>
        <w:bottom w:val="none" w:sz="0" w:space="0" w:color="auto"/>
        <w:right w:val="none" w:sz="0" w:space="0" w:color="auto"/>
      </w:divBdr>
    </w:div>
    <w:div w:id="1766878599">
      <w:bodyDiv w:val="1"/>
      <w:marLeft w:val="0"/>
      <w:marRight w:val="0"/>
      <w:marTop w:val="0"/>
      <w:marBottom w:val="0"/>
      <w:divBdr>
        <w:top w:val="none" w:sz="0" w:space="0" w:color="auto"/>
        <w:left w:val="none" w:sz="0" w:space="0" w:color="auto"/>
        <w:bottom w:val="none" w:sz="0" w:space="0" w:color="auto"/>
        <w:right w:val="none" w:sz="0" w:space="0" w:color="auto"/>
      </w:divBdr>
    </w:div>
    <w:div w:id="1780832622">
      <w:bodyDiv w:val="1"/>
      <w:marLeft w:val="0"/>
      <w:marRight w:val="0"/>
      <w:marTop w:val="0"/>
      <w:marBottom w:val="0"/>
      <w:divBdr>
        <w:top w:val="none" w:sz="0" w:space="0" w:color="auto"/>
        <w:left w:val="none" w:sz="0" w:space="0" w:color="auto"/>
        <w:bottom w:val="none" w:sz="0" w:space="0" w:color="auto"/>
        <w:right w:val="none" w:sz="0" w:space="0" w:color="auto"/>
      </w:divBdr>
    </w:div>
    <w:div w:id="1830515931">
      <w:bodyDiv w:val="1"/>
      <w:marLeft w:val="0"/>
      <w:marRight w:val="0"/>
      <w:marTop w:val="0"/>
      <w:marBottom w:val="0"/>
      <w:divBdr>
        <w:top w:val="none" w:sz="0" w:space="0" w:color="auto"/>
        <w:left w:val="none" w:sz="0" w:space="0" w:color="auto"/>
        <w:bottom w:val="none" w:sz="0" w:space="0" w:color="auto"/>
        <w:right w:val="none" w:sz="0" w:space="0" w:color="auto"/>
      </w:divBdr>
    </w:div>
    <w:div w:id="1883134409">
      <w:bodyDiv w:val="1"/>
      <w:marLeft w:val="0"/>
      <w:marRight w:val="0"/>
      <w:marTop w:val="0"/>
      <w:marBottom w:val="0"/>
      <w:divBdr>
        <w:top w:val="none" w:sz="0" w:space="0" w:color="auto"/>
        <w:left w:val="none" w:sz="0" w:space="0" w:color="auto"/>
        <w:bottom w:val="none" w:sz="0" w:space="0" w:color="auto"/>
        <w:right w:val="none" w:sz="0" w:space="0" w:color="auto"/>
      </w:divBdr>
    </w:div>
    <w:div w:id="1929925056">
      <w:bodyDiv w:val="1"/>
      <w:marLeft w:val="0"/>
      <w:marRight w:val="0"/>
      <w:marTop w:val="0"/>
      <w:marBottom w:val="0"/>
      <w:divBdr>
        <w:top w:val="none" w:sz="0" w:space="0" w:color="auto"/>
        <w:left w:val="none" w:sz="0" w:space="0" w:color="auto"/>
        <w:bottom w:val="none" w:sz="0" w:space="0" w:color="auto"/>
        <w:right w:val="none" w:sz="0" w:space="0" w:color="auto"/>
      </w:divBdr>
    </w:div>
    <w:div w:id="1941910158">
      <w:bodyDiv w:val="1"/>
      <w:marLeft w:val="0"/>
      <w:marRight w:val="0"/>
      <w:marTop w:val="0"/>
      <w:marBottom w:val="0"/>
      <w:divBdr>
        <w:top w:val="none" w:sz="0" w:space="0" w:color="auto"/>
        <w:left w:val="none" w:sz="0" w:space="0" w:color="auto"/>
        <w:bottom w:val="none" w:sz="0" w:space="0" w:color="auto"/>
        <w:right w:val="none" w:sz="0" w:space="0" w:color="auto"/>
      </w:divBdr>
    </w:div>
    <w:div w:id="1956642875">
      <w:bodyDiv w:val="1"/>
      <w:marLeft w:val="0"/>
      <w:marRight w:val="0"/>
      <w:marTop w:val="0"/>
      <w:marBottom w:val="0"/>
      <w:divBdr>
        <w:top w:val="none" w:sz="0" w:space="0" w:color="auto"/>
        <w:left w:val="none" w:sz="0" w:space="0" w:color="auto"/>
        <w:bottom w:val="none" w:sz="0" w:space="0" w:color="auto"/>
        <w:right w:val="none" w:sz="0" w:space="0" w:color="auto"/>
      </w:divBdr>
    </w:div>
    <w:div w:id="1984197253">
      <w:bodyDiv w:val="1"/>
      <w:marLeft w:val="0"/>
      <w:marRight w:val="0"/>
      <w:marTop w:val="0"/>
      <w:marBottom w:val="0"/>
      <w:divBdr>
        <w:top w:val="none" w:sz="0" w:space="0" w:color="auto"/>
        <w:left w:val="none" w:sz="0" w:space="0" w:color="auto"/>
        <w:bottom w:val="none" w:sz="0" w:space="0" w:color="auto"/>
        <w:right w:val="none" w:sz="0" w:space="0" w:color="auto"/>
      </w:divBdr>
    </w:div>
    <w:div w:id="2023508164">
      <w:bodyDiv w:val="1"/>
      <w:marLeft w:val="0"/>
      <w:marRight w:val="0"/>
      <w:marTop w:val="0"/>
      <w:marBottom w:val="0"/>
      <w:divBdr>
        <w:top w:val="none" w:sz="0" w:space="0" w:color="auto"/>
        <w:left w:val="none" w:sz="0" w:space="0" w:color="auto"/>
        <w:bottom w:val="none" w:sz="0" w:space="0" w:color="auto"/>
        <w:right w:val="none" w:sz="0" w:space="0" w:color="auto"/>
      </w:divBdr>
    </w:div>
    <w:div w:id="2051875067">
      <w:bodyDiv w:val="1"/>
      <w:marLeft w:val="0"/>
      <w:marRight w:val="0"/>
      <w:marTop w:val="0"/>
      <w:marBottom w:val="0"/>
      <w:divBdr>
        <w:top w:val="none" w:sz="0" w:space="0" w:color="auto"/>
        <w:left w:val="none" w:sz="0" w:space="0" w:color="auto"/>
        <w:bottom w:val="none" w:sz="0" w:space="0" w:color="auto"/>
        <w:right w:val="none" w:sz="0" w:space="0" w:color="auto"/>
      </w:divBdr>
    </w:div>
    <w:div w:id="2111851986">
      <w:bodyDiv w:val="1"/>
      <w:marLeft w:val="0"/>
      <w:marRight w:val="0"/>
      <w:marTop w:val="0"/>
      <w:marBottom w:val="0"/>
      <w:divBdr>
        <w:top w:val="none" w:sz="0" w:space="0" w:color="auto"/>
        <w:left w:val="none" w:sz="0" w:space="0" w:color="auto"/>
        <w:bottom w:val="none" w:sz="0" w:space="0" w:color="auto"/>
        <w:right w:val="none" w:sz="0" w:space="0" w:color="auto"/>
      </w:divBdr>
    </w:div>
    <w:div w:id="2118132632">
      <w:bodyDiv w:val="1"/>
      <w:marLeft w:val="0"/>
      <w:marRight w:val="0"/>
      <w:marTop w:val="0"/>
      <w:marBottom w:val="0"/>
      <w:divBdr>
        <w:top w:val="none" w:sz="0" w:space="0" w:color="auto"/>
        <w:left w:val="none" w:sz="0" w:space="0" w:color="auto"/>
        <w:bottom w:val="none" w:sz="0" w:space="0" w:color="auto"/>
        <w:right w:val="none" w:sz="0" w:space="0" w:color="auto"/>
      </w:divBdr>
    </w:div>
    <w:div w:id="214697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ley_0640_2001.html" TargetMode="External"/><Relationship Id="rId1" Type="http://schemas.openxmlformats.org/officeDocument/2006/relationships/hyperlink" Target="http://www.alcaldiabogota.gov.co/sisjur/normas/Norma1.jsp?i=413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6869E5-C7A6-4D8B-A766-E33C6F954284}">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0A0867EE-3F61-4213-AF9F-C06FD01D0989}">
  <ds:schemaRefs>
    <ds:schemaRef ds:uri="http://schemas.openxmlformats.org/officeDocument/2006/bibliography"/>
  </ds:schemaRefs>
</ds:datastoreItem>
</file>

<file path=customXml/itemProps3.xml><?xml version="1.0" encoding="utf-8"?>
<ds:datastoreItem xmlns:ds="http://schemas.openxmlformats.org/officeDocument/2006/customXml" ds:itemID="{54C3F3B9-7DE1-4160-A4A6-CF776B273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8F21D0-1F7B-49AD-B6C9-CA5F366BA4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8267</Words>
  <Characters>45472</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CONSEJO DE ESTADO</vt:lpstr>
    </vt:vector>
  </TitlesOfParts>
  <Company>Toshiba</Company>
  <LinksUpToDate>false</LinksUpToDate>
  <CharactersWithSpaces>53632</CharactersWithSpaces>
  <SharedDoc>false</SharedDoc>
  <HLinks>
    <vt:vector size="12" baseType="variant">
      <vt:variant>
        <vt:i4>3473427</vt:i4>
      </vt:variant>
      <vt:variant>
        <vt:i4>3</vt:i4>
      </vt:variant>
      <vt:variant>
        <vt:i4>0</vt:i4>
      </vt:variant>
      <vt:variant>
        <vt:i4>5</vt:i4>
      </vt:variant>
      <vt:variant>
        <vt:lpwstr>http://www.secretariasenado.gov.co/senado/basedoc/ley_0640_2001.html</vt:lpwstr>
      </vt:variant>
      <vt:variant>
        <vt:lpwstr>2</vt:lpwstr>
      </vt:variant>
      <vt:variant>
        <vt:i4>5636145</vt:i4>
      </vt:variant>
      <vt:variant>
        <vt:i4>0</vt:i4>
      </vt:variant>
      <vt:variant>
        <vt:i4>0</vt:i4>
      </vt:variant>
      <vt:variant>
        <vt:i4>5</vt:i4>
      </vt:variant>
      <vt:variant>
        <vt:lpwstr>http://www.alcaldiabogota.gov.co/sisjur/normas/Norma1.jsp?i=4133</vt:lpwstr>
      </vt:variant>
      <vt:variant>
        <vt:lpwstr>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Usuario Autorizado</dc:creator>
  <cp:keywords/>
  <cp:lastModifiedBy>FLOR ANGELA Aldana</cp:lastModifiedBy>
  <cp:revision>2</cp:revision>
  <cp:lastPrinted>2018-05-04T18:22:00Z</cp:lastPrinted>
  <dcterms:created xsi:type="dcterms:W3CDTF">2020-06-27T00:32:00Z</dcterms:created>
  <dcterms:modified xsi:type="dcterms:W3CDTF">2020-06-27T00:32:00Z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