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88378F3" w14:textId="77777777" w:rsidR="00A7094F" w:rsidRPr="00ED19B8" w:rsidRDefault="00A7094F" w:rsidP="00763472">
      <w:pPr>
        <w:suppressAutoHyphens w:val="0"/>
        <w:overflowPunct/>
        <w:autoSpaceDE/>
        <w:spacing w:line="240" w:lineRule="auto"/>
        <w:textAlignment w:val="auto"/>
        <w:rPr>
          <w:rFonts w:eastAsia="Calibri"/>
          <w:sz w:val="22"/>
          <w:szCs w:val="22"/>
          <w:lang w:val="es-CO" w:eastAsia="en-US"/>
        </w:rPr>
      </w:pPr>
    </w:p>
    <w:p w14:paraId="56C3C51D" w14:textId="77777777" w:rsidR="00763472" w:rsidRPr="00ED19B8" w:rsidRDefault="00D35C92" w:rsidP="00D35C92">
      <w:pPr>
        <w:tabs>
          <w:tab w:val="left" w:pos="4772"/>
        </w:tabs>
        <w:suppressAutoHyphens w:val="0"/>
        <w:overflowPunct/>
        <w:autoSpaceDE/>
        <w:spacing w:line="240" w:lineRule="auto"/>
        <w:textAlignment w:val="auto"/>
        <w:rPr>
          <w:rFonts w:eastAsia="Calibri"/>
          <w:b/>
          <w:sz w:val="22"/>
          <w:szCs w:val="22"/>
          <w:lang w:val="es-CO" w:eastAsia="en-US"/>
        </w:rPr>
      </w:pPr>
      <w:r w:rsidRPr="00ED19B8">
        <w:rPr>
          <w:rFonts w:eastAsia="Calibri"/>
          <w:sz w:val="22"/>
          <w:szCs w:val="22"/>
          <w:lang w:val="es-CO" w:eastAsia="en-US"/>
        </w:rPr>
        <w:t xml:space="preserve"> </w:t>
      </w:r>
      <w:r w:rsidR="001F3AD9">
        <w:rPr>
          <w:rFonts w:eastAsia="Calibri"/>
          <w:b/>
          <w:sz w:val="22"/>
          <w:szCs w:val="22"/>
          <w:lang w:val="es-CO" w:eastAsia="en-US"/>
        </w:rPr>
        <w:t>DICTAMEN PERICIAL - Valoración -</w:t>
      </w:r>
      <w:r w:rsidRPr="00ED19B8">
        <w:rPr>
          <w:rFonts w:eastAsia="Calibri"/>
          <w:b/>
          <w:sz w:val="22"/>
          <w:szCs w:val="22"/>
          <w:lang w:val="es-CO" w:eastAsia="en-US"/>
        </w:rPr>
        <w:t xml:space="preserve"> Eficacia probatoria </w:t>
      </w:r>
    </w:p>
    <w:p w14:paraId="2F6DDB47" w14:textId="77777777" w:rsidR="00D35C92" w:rsidRPr="00ED19B8" w:rsidRDefault="00D35C92" w:rsidP="00763472">
      <w:pPr>
        <w:suppressAutoHyphens w:val="0"/>
        <w:overflowPunct/>
        <w:autoSpaceDE/>
        <w:spacing w:line="240" w:lineRule="auto"/>
        <w:textAlignment w:val="auto"/>
        <w:rPr>
          <w:rFonts w:eastAsia="Calibri"/>
          <w:sz w:val="22"/>
          <w:szCs w:val="22"/>
          <w:lang w:val="es-CO" w:eastAsia="en-US"/>
        </w:rPr>
      </w:pPr>
    </w:p>
    <w:p w14:paraId="2482024B" w14:textId="77777777" w:rsidR="00D35C92" w:rsidRPr="00ED19B8" w:rsidRDefault="00D35C92" w:rsidP="00763472">
      <w:pPr>
        <w:suppressAutoHyphens w:val="0"/>
        <w:overflowPunct/>
        <w:autoSpaceDE/>
        <w:spacing w:line="240" w:lineRule="auto"/>
        <w:textAlignment w:val="auto"/>
        <w:rPr>
          <w:rFonts w:eastAsia="Calibri"/>
          <w:sz w:val="22"/>
          <w:szCs w:val="22"/>
          <w:lang w:val="es-CO" w:eastAsia="en-US"/>
        </w:rPr>
      </w:pPr>
      <w:r w:rsidRPr="00ED19B8">
        <w:rPr>
          <w:rFonts w:eastAsia="Calibri"/>
          <w:sz w:val="22"/>
          <w:szCs w:val="22"/>
          <w:lang w:val="es-CO" w:eastAsia="en-US"/>
        </w:rPr>
        <w:t xml:space="preserve">La valoración del dictamen pericial debe realizarse de manera armónica con los demás elementos probatorios que reposan en el expediente, en consideración a que, se reitera, algunos de los puntos que abarca, en especial, los relativos a la idoneidad de los estudios que se realizaron para la construcción de la obra y la necesidad de mantenimiento preventivo de la misma, son ambiguos. En efecto, tales aspectos carecen de claridad y precisión, por lo que la Sala se aparta de sus conclusiones. (…) que para efectos de que un dictamen pericial pueda llevarle certeza al juez sobre el objeto de estudio, debe reunir ciertas condiciones, dentro de las que se debe resaltar que sus conclusiones tienen que estar debidamente fundamentadas e igualmente, como medio probatorio que es, no puede ser desvirtuado por los demás elementos de convicción que obren en el plenario, (…) para que el dictamen pericial pueda tener eficacia probatoria se requiere que: (i) el perito informe de manera razonada lo que de acuerdo con sus conocimientos especializados sepa de los hechos; (ii) su dictamen sea personal  y contenga conceptos propios sobre las materias objeto de examen y no de otras personas por autorizadas que sean, sin perjuicio de que pueda utilizar auxiliares o solicitar por su cuenta el concurso de otros técnicos, bajo su dirección y responsabilidad; (iii) que el perito sea competente, es decir, un verdadero experto para el desempeño del cargo; (iv) que no exista un motivo serio para dudar de su imparcialidad; (v) que no se haya probado una objeción por error grave; (vi) que el dictamen esté debidamente fundamentado y sus conclusiones sean claras firmes y consecuencia de las razones expuestas; (vii) que sus conclusiones sean conducentes en relación con el hecho a probar; (viii) que se haya surtido la contradicción; (ix) que no exista retracto del mismo por parte del perito; (x) que otras pruebas no lo desvirtúen y (xi) que sea claro, preciso y detallado, es decir, que dé cuenta de los exámenes, experimentos e investigaciones efectuadas, lo mismo que de los fundamentos técnicos, científicos o artísticos de las conclusiones. </w:t>
      </w:r>
    </w:p>
    <w:p w14:paraId="2A9EC65F" w14:textId="77777777" w:rsidR="00925987" w:rsidRPr="00ED19B8" w:rsidRDefault="00925987" w:rsidP="00763472">
      <w:pPr>
        <w:suppressAutoHyphens w:val="0"/>
        <w:overflowPunct/>
        <w:autoSpaceDE/>
        <w:spacing w:line="240" w:lineRule="auto"/>
        <w:textAlignment w:val="auto"/>
        <w:rPr>
          <w:rFonts w:eastAsia="Calibri"/>
          <w:sz w:val="22"/>
          <w:szCs w:val="22"/>
          <w:lang w:val="es-CO" w:eastAsia="en-US"/>
        </w:rPr>
      </w:pPr>
    </w:p>
    <w:p w14:paraId="282CFD29" w14:textId="77777777" w:rsidR="00925987" w:rsidRDefault="001F3AD9" w:rsidP="00763472">
      <w:pPr>
        <w:suppressAutoHyphens w:val="0"/>
        <w:overflowPunct/>
        <w:autoSpaceDE/>
        <w:spacing w:line="240" w:lineRule="auto"/>
        <w:textAlignment w:val="auto"/>
        <w:rPr>
          <w:rFonts w:eastAsia="Calibri"/>
          <w:b/>
          <w:sz w:val="22"/>
          <w:szCs w:val="22"/>
          <w:lang w:val="es-CO" w:eastAsia="en-US"/>
        </w:rPr>
      </w:pPr>
      <w:r>
        <w:rPr>
          <w:rFonts w:eastAsia="Calibri"/>
          <w:b/>
          <w:sz w:val="22"/>
          <w:szCs w:val="22"/>
          <w:lang w:val="es-CO" w:eastAsia="en-US"/>
        </w:rPr>
        <w:t>GARANTÍA -</w:t>
      </w:r>
      <w:r w:rsidR="00925987" w:rsidRPr="00ED19B8">
        <w:rPr>
          <w:rFonts w:eastAsia="Calibri"/>
          <w:b/>
          <w:sz w:val="22"/>
          <w:szCs w:val="22"/>
          <w:lang w:val="es-CO" w:eastAsia="en-US"/>
        </w:rPr>
        <w:t xml:space="preserve"> </w:t>
      </w:r>
      <w:r>
        <w:rPr>
          <w:rFonts w:eastAsia="Calibri"/>
          <w:b/>
          <w:sz w:val="22"/>
          <w:szCs w:val="22"/>
          <w:lang w:val="es-CO" w:eastAsia="en-US"/>
        </w:rPr>
        <w:t>Cláusula - Regulación -</w:t>
      </w:r>
      <w:r w:rsidR="00925987" w:rsidRPr="00ED19B8">
        <w:rPr>
          <w:rFonts w:eastAsia="Calibri"/>
          <w:b/>
          <w:sz w:val="22"/>
          <w:szCs w:val="22"/>
          <w:lang w:val="es-CO" w:eastAsia="en-US"/>
        </w:rPr>
        <w:t xml:space="preserve"> Requisito </w:t>
      </w:r>
    </w:p>
    <w:p w14:paraId="60F8CEC8" w14:textId="77777777" w:rsidR="001F3AD9" w:rsidRPr="00ED19B8" w:rsidRDefault="001F3AD9" w:rsidP="00763472">
      <w:pPr>
        <w:suppressAutoHyphens w:val="0"/>
        <w:overflowPunct/>
        <w:autoSpaceDE/>
        <w:spacing w:line="240" w:lineRule="auto"/>
        <w:textAlignment w:val="auto"/>
        <w:rPr>
          <w:rFonts w:eastAsia="Calibri"/>
          <w:sz w:val="22"/>
          <w:szCs w:val="22"/>
          <w:lang w:val="es-CO" w:eastAsia="en-US"/>
        </w:rPr>
      </w:pPr>
    </w:p>
    <w:p w14:paraId="4421B409" w14:textId="77777777" w:rsidR="00925987" w:rsidRPr="00ED19B8" w:rsidRDefault="00925987" w:rsidP="00763472">
      <w:pPr>
        <w:suppressAutoHyphens w:val="0"/>
        <w:overflowPunct/>
        <w:autoSpaceDE/>
        <w:spacing w:line="240" w:lineRule="auto"/>
        <w:textAlignment w:val="auto"/>
        <w:rPr>
          <w:rFonts w:eastAsia="Calibri"/>
          <w:sz w:val="22"/>
          <w:szCs w:val="22"/>
          <w:lang w:val="es-CO" w:eastAsia="en-US"/>
        </w:rPr>
      </w:pPr>
      <w:r w:rsidRPr="00ED19B8">
        <w:rPr>
          <w:rFonts w:eastAsia="Calibri"/>
          <w:sz w:val="22"/>
          <w:szCs w:val="22"/>
          <w:lang w:val="es-CO" w:eastAsia="en-US"/>
        </w:rPr>
        <w:t>En aras de una mayor ilustración, la Sala considera pertinente precisar que la cláusula de garantía de los contratos estatales ha sido prevista por las diferentes normas y estatutos que ha regido esa actividad de la administración, los cuales han determinado que las personas naturales o jurídicas que celebren contratos con el Estado, están en la obligación de prestar una garantía única que avale el cumplimiento de las obligaciones a su cargo. (…) Este requisito es obligatorio y de orden público, dado que constituye una herramienta para salvaguardar los fines de la contratación estatal tales como la satisfacción del interés general, al asegurar la ejecución del objeto del contrato, y el correcto uso del erario, al proteger al patrimonio del Estado del perjuicio que se derivaría de un eventual incumplimiento del contratista.</w:t>
      </w:r>
    </w:p>
    <w:p w14:paraId="5C048DE4" w14:textId="77777777" w:rsidR="00925987" w:rsidRPr="00ED19B8" w:rsidRDefault="00925987" w:rsidP="00763472">
      <w:pPr>
        <w:suppressAutoHyphens w:val="0"/>
        <w:overflowPunct/>
        <w:autoSpaceDE/>
        <w:spacing w:line="240" w:lineRule="auto"/>
        <w:textAlignment w:val="auto"/>
        <w:rPr>
          <w:rFonts w:eastAsia="Calibri"/>
          <w:sz w:val="22"/>
          <w:szCs w:val="22"/>
          <w:lang w:val="es-CO" w:eastAsia="en-US"/>
        </w:rPr>
      </w:pPr>
    </w:p>
    <w:p w14:paraId="35C44EC0" w14:textId="77777777" w:rsidR="00925987" w:rsidRPr="00ED19B8" w:rsidRDefault="001F3AD9" w:rsidP="00925987">
      <w:pPr>
        <w:suppressAutoHyphens w:val="0"/>
        <w:overflowPunct/>
        <w:autoSpaceDE/>
        <w:spacing w:line="240" w:lineRule="auto"/>
        <w:textAlignment w:val="auto"/>
        <w:rPr>
          <w:rFonts w:eastAsia="Calibri"/>
          <w:b/>
          <w:sz w:val="22"/>
          <w:szCs w:val="22"/>
          <w:lang w:val="es-CO" w:eastAsia="en-US"/>
        </w:rPr>
      </w:pPr>
      <w:r>
        <w:rPr>
          <w:rFonts w:eastAsia="Calibri"/>
          <w:b/>
          <w:sz w:val="22"/>
          <w:szCs w:val="22"/>
          <w:lang w:val="es-CO" w:eastAsia="en-US"/>
        </w:rPr>
        <w:t>GARANTÍA -</w:t>
      </w:r>
      <w:r w:rsidR="00925987" w:rsidRPr="00ED19B8">
        <w:rPr>
          <w:rFonts w:eastAsia="Calibri"/>
          <w:b/>
          <w:sz w:val="22"/>
          <w:szCs w:val="22"/>
          <w:lang w:val="es-CO" w:eastAsia="en-US"/>
        </w:rPr>
        <w:t xml:space="preserve"> Desarrollo normativo</w:t>
      </w:r>
    </w:p>
    <w:p w14:paraId="470DFD4E" w14:textId="77777777" w:rsidR="00925987" w:rsidRPr="00ED19B8" w:rsidRDefault="00925987" w:rsidP="00925987">
      <w:pPr>
        <w:suppressAutoHyphens w:val="0"/>
        <w:overflowPunct/>
        <w:autoSpaceDE/>
        <w:spacing w:line="240" w:lineRule="auto"/>
        <w:textAlignment w:val="auto"/>
        <w:rPr>
          <w:rFonts w:eastAsia="Calibri"/>
          <w:sz w:val="22"/>
          <w:szCs w:val="22"/>
          <w:lang w:val="es-CO" w:eastAsia="en-US"/>
        </w:rPr>
      </w:pPr>
    </w:p>
    <w:p w14:paraId="7EBB8634" w14:textId="77777777" w:rsidR="00925987" w:rsidRPr="00ED19B8" w:rsidRDefault="00925987" w:rsidP="00925987">
      <w:pPr>
        <w:suppressAutoHyphens w:val="0"/>
        <w:overflowPunct/>
        <w:autoSpaceDE/>
        <w:spacing w:line="240" w:lineRule="auto"/>
        <w:textAlignment w:val="auto"/>
        <w:rPr>
          <w:rFonts w:eastAsia="Calibri"/>
          <w:sz w:val="22"/>
          <w:szCs w:val="22"/>
          <w:lang w:val="es-CO" w:eastAsia="en-US"/>
        </w:rPr>
      </w:pPr>
      <w:r w:rsidRPr="00ED19B8">
        <w:rPr>
          <w:rFonts w:eastAsia="Calibri"/>
          <w:sz w:val="22"/>
          <w:szCs w:val="22"/>
          <w:lang w:val="es-CO" w:eastAsia="en-US"/>
        </w:rPr>
        <w:t xml:space="preserve">Su inclusión imperativa en el clausulado contractual ha sido prevista incluso desde el Decreto Ley  222 de 1983, en sus artículos 67 a 70 para luego ser incorporado a la Ley 80 de 1993 en su artículos 25.19 y 60, así como en el artículo 7 de la Ley 1150 de 2007, y puede consistir, aunque no de manera exclusiva, en pólizas expedidas por sociedades aseguradoras autorizadas para su funcionamiento en el país. Su vigencia depende de su naturaleza y lo fijado en los diferentes reglamentos, </w:t>
      </w:r>
      <w:r w:rsidR="001F3AD9" w:rsidRPr="00ED19B8">
        <w:rPr>
          <w:rFonts w:eastAsia="Calibri"/>
          <w:sz w:val="22"/>
          <w:szCs w:val="22"/>
          <w:lang w:val="es-CO" w:eastAsia="en-US"/>
        </w:rPr>
        <w:t>pero,</w:t>
      </w:r>
      <w:r w:rsidRPr="00ED19B8">
        <w:rPr>
          <w:rFonts w:eastAsia="Calibri"/>
          <w:sz w:val="22"/>
          <w:szCs w:val="22"/>
          <w:lang w:val="es-CO" w:eastAsia="en-US"/>
        </w:rPr>
        <w:t xml:space="preserve"> en cualquier caso, no puede ser inferior al plazo de ejecución y liquidación del contrato.</w:t>
      </w:r>
    </w:p>
    <w:p w14:paraId="7B18762B" w14:textId="77777777" w:rsidR="00925987" w:rsidRPr="00ED19B8" w:rsidRDefault="00925987" w:rsidP="00925987">
      <w:pPr>
        <w:suppressAutoHyphens w:val="0"/>
        <w:overflowPunct/>
        <w:autoSpaceDE/>
        <w:spacing w:line="240" w:lineRule="auto"/>
        <w:textAlignment w:val="auto"/>
        <w:rPr>
          <w:rFonts w:eastAsia="Calibri"/>
          <w:sz w:val="22"/>
          <w:szCs w:val="22"/>
          <w:lang w:val="es-CO" w:eastAsia="en-US"/>
        </w:rPr>
      </w:pPr>
    </w:p>
    <w:p w14:paraId="747A446E" w14:textId="3316065D" w:rsidR="00925987" w:rsidRPr="00ED19B8" w:rsidRDefault="001F3AD9" w:rsidP="00925987">
      <w:pPr>
        <w:suppressAutoHyphens w:val="0"/>
        <w:overflowPunct/>
        <w:autoSpaceDE/>
        <w:spacing w:line="240" w:lineRule="auto"/>
        <w:textAlignment w:val="auto"/>
        <w:rPr>
          <w:rFonts w:eastAsia="Calibri"/>
          <w:b/>
          <w:sz w:val="22"/>
          <w:szCs w:val="22"/>
          <w:lang w:val="es-CO" w:eastAsia="en-US"/>
        </w:rPr>
      </w:pPr>
      <w:r>
        <w:rPr>
          <w:rFonts w:eastAsia="Calibri"/>
          <w:b/>
          <w:sz w:val="22"/>
          <w:szCs w:val="22"/>
          <w:lang w:val="es-CO" w:eastAsia="en-US"/>
        </w:rPr>
        <w:t>CONTRATO DE SEGURO - Elementos - Diferencias vs</w:t>
      </w:r>
      <w:r w:rsidR="00925987" w:rsidRPr="00ED19B8">
        <w:rPr>
          <w:rFonts w:eastAsia="Calibri"/>
          <w:b/>
          <w:sz w:val="22"/>
          <w:szCs w:val="22"/>
          <w:lang w:val="es-CO" w:eastAsia="en-US"/>
        </w:rPr>
        <w:t xml:space="preserve"> Acto </w:t>
      </w:r>
      <w:r w:rsidR="00D9425D">
        <w:rPr>
          <w:rFonts w:eastAsia="Calibri"/>
          <w:b/>
          <w:sz w:val="22"/>
          <w:szCs w:val="22"/>
          <w:lang w:val="es-CO" w:eastAsia="en-US"/>
        </w:rPr>
        <w:t>a</w:t>
      </w:r>
      <w:r w:rsidR="00925987" w:rsidRPr="00ED19B8">
        <w:rPr>
          <w:rFonts w:eastAsia="Calibri"/>
          <w:b/>
          <w:sz w:val="22"/>
          <w:szCs w:val="22"/>
          <w:lang w:val="es-CO" w:eastAsia="en-US"/>
        </w:rPr>
        <w:t xml:space="preserve">dministrativo </w:t>
      </w:r>
      <w:r>
        <w:rPr>
          <w:rFonts w:eastAsia="Calibri"/>
          <w:b/>
          <w:sz w:val="22"/>
          <w:szCs w:val="22"/>
          <w:lang w:val="es-CO" w:eastAsia="en-US"/>
        </w:rPr>
        <w:t>-</w:t>
      </w:r>
      <w:r w:rsidR="00925987" w:rsidRPr="00ED19B8">
        <w:rPr>
          <w:rFonts w:eastAsia="Calibri"/>
          <w:b/>
          <w:sz w:val="22"/>
          <w:szCs w:val="22"/>
          <w:lang w:val="es-CO" w:eastAsia="en-US"/>
        </w:rPr>
        <w:t xml:space="preserve"> Sini</w:t>
      </w:r>
      <w:r>
        <w:rPr>
          <w:rFonts w:eastAsia="Calibri"/>
          <w:b/>
          <w:sz w:val="22"/>
          <w:szCs w:val="22"/>
          <w:lang w:val="es-CO" w:eastAsia="en-US"/>
        </w:rPr>
        <w:t>estro - Presunción de legalidad</w:t>
      </w:r>
    </w:p>
    <w:p w14:paraId="11A0370F" w14:textId="77777777" w:rsidR="00925987" w:rsidRPr="00ED19B8" w:rsidRDefault="00925987" w:rsidP="00763472">
      <w:pPr>
        <w:suppressAutoHyphens w:val="0"/>
        <w:overflowPunct/>
        <w:autoSpaceDE/>
        <w:spacing w:line="240" w:lineRule="auto"/>
        <w:textAlignment w:val="auto"/>
        <w:rPr>
          <w:rFonts w:eastAsia="Calibri"/>
          <w:sz w:val="22"/>
          <w:szCs w:val="22"/>
          <w:lang w:val="es-CO" w:eastAsia="en-US"/>
        </w:rPr>
      </w:pPr>
    </w:p>
    <w:p w14:paraId="4A6D011B" w14:textId="77777777" w:rsidR="00925987" w:rsidRPr="00ED19B8" w:rsidRDefault="00925987" w:rsidP="00763472">
      <w:pPr>
        <w:suppressAutoHyphens w:val="0"/>
        <w:overflowPunct/>
        <w:autoSpaceDE/>
        <w:spacing w:line="240" w:lineRule="auto"/>
        <w:textAlignment w:val="auto"/>
        <w:rPr>
          <w:rFonts w:eastAsia="Calibri"/>
          <w:sz w:val="22"/>
          <w:szCs w:val="22"/>
          <w:lang w:val="es-CO" w:eastAsia="en-US"/>
        </w:rPr>
      </w:pPr>
      <w:r w:rsidRPr="00ED19B8">
        <w:rPr>
          <w:rFonts w:eastAsia="Calibri"/>
          <w:sz w:val="22"/>
          <w:szCs w:val="22"/>
          <w:lang w:val="es-CO" w:eastAsia="en-US"/>
        </w:rPr>
        <w:t xml:space="preserve">En general se rige por lo previsto en el Código de Comercio, contrario a lo que señaló la parte actora, se trata de un contrato de seguro con elementos sustancialmente diferentes a los celebrados por particulares, especialmente en lo que tiene que ver con la reclamación ante la aseguradora, dado que la administración posee la potestad de proferir un acto administrativo debidamente motivado, mediante el cual declara la ocurrencia del siniestro </w:t>
      </w:r>
      <w:r w:rsidRPr="00ED19B8">
        <w:rPr>
          <w:rFonts w:eastAsia="Calibri"/>
          <w:sz w:val="22"/>
          <w:szCs w:val="22"/>
          <w:lang w:val="es-CO" w:eastAsia="en-US"/>
        </w:rPr>
        <w:lastRenderedPageBreak/>
        <w:t>amparado. En ese sentido, se destaca que, como todo acto administrativo, la declaratoria del siniestro goza de una presunción de legalidad que puede ser impugnada en sede administrativa tanto por quien expidió el seguro, como por el contratista, quienes también tiene la potestad de demandarlo ante la jurisdicción de lo contencioso Administrativo.</w:t>
      </w:r>
    </w:p>
    <w:p w14:paraId="52D04DA9" w14:textId="77777777" w:rsidR="00925987" w:rsidRPr="00ED19B8" w:rsidRDefault="00925987" w:rsidP="00763472">
      <w:pPr>
        <w:suppressAutoHyphens w:val="0"/>
        <w:overflowPunct/>
        <w:autoSpaceDE/>
        <w:spacing w:line="240" w:lineRule="auto"/>
        <w:textAlignment w:val="auto"/>
        <w:rPr>
          <w:rFonts w:eastAsia="Calibri"/>
          <w:sz w:val="22"/>
          <w:szCs w:val="22"/>
          <w:lang w:val="es-CO" w:eastAsia="en-US"/>
        </w:rPr>
      </w:pPr>
    </w:p>
    <w:p w14:paraId="1C4038F8" w14:textId="77777777" w:rsidR="00925987" w:rsidRPr="00ED19B8" w:rsidRDefault="00925987" w:rsidP="00763472">
      <w:pPr>
        <w:suppressAutoHyphens w:val="0"/>
        <w:overflowPunct/>
        <w:autoSpaceDE/>
        <w:spacing w:line="240" w:lineRule="auto"/>
        <w:textAlignment w:val="auto"/>
        <w:rPr>
          <w:rFonts w:eastAsia="Calibri"/>
          <w:b/>
          <w:sz w:val="22"/>
          <w:szCs w:val="22"/>
          <w:lang w:val="es-CO" w:eastAsia="en-US"/>
        </w:rPr>
      </w:pPr>
      <w:r w:rsidRPr="00ED19B8">
        <w:rPr>
          <w:rFonts w:eastAsia="Calibri"/>
          <w:b/>
          <w:sz w:val="22"/>
          <w:szCs w:val="22"/>
          <w:lang w:val="es-CO" w:eastAsia="en-US"/>
        </w:rPr>
        <w:t>SINIESTRO</w:t>
      </w:r>
      <w:r w:rsidR="001F3AD9">
        <w:rPr>
          <w:rFonts w:eastAsia="Calibri"/>
          <w:b/>
          <w:sz w:val="22"/>
          <w:szCs w:val="22"/>
          <w:lang w:val="es-CO" w:eastAsia="en-US"/>
        </w:rPr>
        <w:t xml:space="preserve"> - Declaratoria - </w:t>
      </w:r>
      <w:r w:rsidRPr="00ED19B8">
        <w:rPr>
          <w:rFonts w:eastAsia="Calibri"/>
          <w:b/>
          <w:sz w:val="22"/>
          <w:szCs w:val="22"/>
          <w:lang w:val="es-CO" w:eastAsia="en-US"/>
        </w:rPr>
        <w:t xml:space="preserve">Prerrogativa de la Administración </w:t>
      </w:r>
    </w:p>
    <w:p w14:paraId="66D63D23" w14:textId="77777777" w:rsidR="00925987" w:rsidRPr="00ED19B8" w:rsidRDefault="00925987" w:rsidP="00763472">
      <w:pPr>
        <w:suppressAutoHyphens w:val="0"/>
        <w:overflowPunct/>
        <w:autoSpaceDE/>
        <w:spacing w:line="240" w:lineRule="auto"/>
        <w:textAlignment w:val="auto"/>
        <w:rPr>
          <w:rFonts w:eastAsia="Calibri"/>
          <w:sz w:val="22"/>
          <w:szCs w:val="22"/>
          <w:lang w:val="es-CO" w:eastAsia="en-US"/>
        </w:rPr>
      </w:pPr>
    </w:p>
    <w:p w14:paraId="43F446A6" w14:textId="77777777" w:rsidR="00925987" w:rsidRPr="00ED19B8" w:rsidRDefault="00925987" w:rsidP="00763472">
      <w:pPr>
        <w:suppressAutoHyphens w:val="0"/>
        <w:overflowPunct/>
        <w:autoSpaceDE/>
        <w:spacing w:line="240" w:lineRule="auto"/>
        <w:textAlignment w:val="auto"/>
        <w:rPr>
          <w:rFonts w:eastAsia="Calibri"/>
          <w:sz w:val="22"/>
          <w:szCs w:val="22"/>
          <w:lang w:val="es-CO" w:eastAsia="en-US"/>
        </w:rPr>
      </w:pPr>
      <w:r w:rsidRPr="00ED19B8">
        <w:rPr>
          <w:rFonts w:eastAsia="Calibri"/>
          <w:sz w:val="22"/>
          <w:szCs w:val="22"/>
          <w:lang w:val="es-CO" w:eastAsia="en-US"/>
        </w:rPr>
        <w:t xml:space="preserve">Una de las prerrogativas con las que cuenta la administración en el ejercicio de la actividad contractual es, precisamente, la de declarar por medio de un acto administrativo debidamente motivado la ocurrencia del siniestro o de incumplimiento de las obligaciones a cargo del contratista, el de estabilidad de la obra y el de calidad y correcto funcionamiento de los bienes suministrados, los cuales, como se dijo, deben encontrarse asegurados por las garantías del contrato. </w:t>
      </w:r>
    </w:p>
    <w:p w14:paraId="0D472D78" w14:textId="77777777" w:rsidR="00925987" w:rsidRPr="00ED19B8" w:rsidRDefault="00925987" w:rsidP="00763472">
      <w:pPr>
        <w:suppressAutoHyphens w:val="0"/>
        <w:overflowPunct/>
        <w:autoSpaceDE/>
        <w:spacing w:line="240" w:lineRule="auto"/>
        <w:textAlignment w:val="auto"/>
        <w:rPr>
          <w:rFonts w:eastAsia="Calibri"/>
          <w:sz w:val="22"/>
          <w:szCs w:val="22"/>
          <w:lang w:val="es-CO" w:eastAsia="en-US"/>
        </w:rPr>
      </w:pPr>
    </w:p>
    <w:p w14:paraId="7EA7FBED" w14:textId="456052F4" w:rsidR="00925987" w:rsidRPr="00ED19B8" w:rsidRDefault="001F3AD9" w:rsidP="00763472">
      <w:pPr>
        <w:suppressAutoHyphens w:val="0"/>
        <w:overflowPunct/>
        <w:autoSpaceDE/>
        <w:spacing w:line="240" w:lineRule="auto"/>
        <w:textAlignment w:val="auto"/>
        <w:rPr>
          <w:rFonts w:eastAsia="Calibri"/>
          <w:b/>
          <w:sz w:val="22"/>
          <w:szCs w:val="22"/>
          <w:lang w:val="es-CO" w:eastAsia="en-US"/>
        </w:rPr>
      </w:pPr>
      <w:r>
        <w:rPr>
          <w:rFonts w:eastAsia="Calibri"/>
          <w:b/>
          <w:sz w:val="22"/>
          <w:szCs w:val="22"/>
          <w:lang w:val="es-CO" w:eastAsia="en-US"/>
        </w:rPr>
        <w:t>PÓLIZA DE SEGURO - Mérito ejecutivo -</w:t>
      </w:r>
      <w:r w:rsidR="00925987" w:rsidRPr="00ED19B8">
        <w:rPr>
          <w:rFonts w:eastAsia="Calibri"/>
          <w:b/>
          <w:sz w:val="22"/>
          <w:szCs w:val="22"/>
          <w:lang w:val="es-CO" w:eastAsia="en-US"/>
        </w:rPr>
        <w:t xml:space="preserve"> Ac</w:t>
      </w:r>
      <w:r>
        <w:rPr>
          <w:rFonts w:eastAsia="Calibri"/>
          <w:b/>
          <w:sz w:val="22"/>
          <w:szCs w:val="22"/>
          <w:lang w:val="es-CO" w:eastAsia="en-US"/>
        </w:rPr>
        <w:t xml:space="preserve">to </w:t>
      </w:r>
      <w:r w:rsidR="00D9425D">
        <w:rPr>
          <w:rFonts w:eastAsia="Calibri"/>
          <w:b/>
          <w:sz w:val="22"/>
          <w:szCs w:val="22"/>
          <w:lang w:val="es-CO" w:eastAsia="en-US"/>
        </w:rPr>
        <w:t>a</w:t>
      </w:r>
      <w:r>
        <w:rPr>
          <w:rFonts w:eastAsia="Calibri"/>
          <w:b/>
          <w:sz w:val="22"/>
          <w:szCs w:val="22"/>
          <w:lang w:val="es-CO" w:eastAsia="en-US"/>
        </w:rPr>
        <w:t xml:space="preserve">dministrativo declarativo </w:t>
      </w:r>
    </w:p>
    <w:p w14:paraId="0D78C12A" w14:textId="77777777" w:rsidR="00925987" w:rsidRPr="00ED19B8" w:rsidRDefault="00925987" w:rsidP="00763472">
      <w:pPr>
        <w:suppressAutoHyphens w:val="0"/>
        <w:overflowPunct/>
        <w:autoSpaceDE/>
        <w:spacing w:line="240" w:lineRule="auto"/>
        <w:textAlignment w:val="auto"/>
        <w:rPr>
          <w:rFonts w:eastAsia="Calibri"/>
          <w:sz w:val="22"/>
          <w:szCs w:val="22"/>
          <w:lang w:val="es-CO" w:eastAsia="en-US"/>
        </w:rPr>
      </w:pPr>
    </w:p>
    <w:p w14:paraId="6C972AB8" w14:textId="77777777" w:rsidR="00925987" w:rsidRPr="00ED19B8" w:rsidRDefault="00925987" w:rsidP="00763472">
      <w:pPr>
        <w:suppressAutoHyphens w:val="0"/>
        <w:overflowPunct/>
        <w:autoSpaceDE/>
        <w:spacing w:line="240" w:lineRule="auto"/>
        <w:textAlignment w:val="auto"/>
        <w:rPr>
          <w:rFonts w:eastAsia="Calibri"/>
          <w:sz w:val="22"/>
          <w:szCs w:val="22"/>
          <w:lang w:val="es-CO" w:eastAsia="en-US"/>
        </w:rPr>
      </w:pPr>
      <w:r w:rsidRPr="00ED19B8">
        <w:rPr>
          <w:rFonts w:eastAsia="Calibri"/>
          <w:sz w:val="22"/>
          <w:szCs w:val="22"/>
          <w:lang w:val="es-CO" w:eastAsia="en-US"/>
        </w:rPr>
        <w:t>De lo previsto en el artículo 68 del Código Contencioso Administrativo, que en sus numerales 4 y 5 establece que las pólizas de seguro de las que la administración es beneficiaria prestan mérito ejecutivo junto con el acto administrativo que declara esa obligación –siempre que este se encuentre debidamente ejecutoriado-, lo cual implica la potestad de la entidad de declarar el siniestro, con la posibilidad de la aseguradora de oponerse solo mediante el uso de los recursos propios de la vía gubernativa y/o demandar la nulidad del acto judicialmente , sin que esté limitada a los eventos en los que se declara la caducidad del contrato</w:t>
      </w:r>
      <w:r w:rsidR="00B44C4A" w:rsidRPr="00ED19B8">
        <w:rPr>
          <w:rFonts w:eastAsia="Calibri"/>
          <w:sz w:val="22"/>
          <w:szCs w:val="22"/>
          <w:lang w:val="es-CO" w:eastAsia="en-US"/>
        </w:rPr>
        <w:t xml:space="preserve">. </w:t>
      </w:r>
    </w:p>
    <w:p w14:paraId="7E4EB31A" w14:textId="77777777" w:rsidR="00B44C4A" w:rsidRPr="00ED19B8" w:rsidRDefault="00B44C4A" w:rsidP="00763472">
      <w:pPr>
        <w:suppressAutoHyphens w:val="0"/>
        <w:overflowPunct/>
        <w:autoSpaceDE/>
        <w:spacing w:line="240" w:lineRule="auto"/>
        <w:textAlignment w:val="auto"/>
        <w:rPr>
          <w:rFonts w:eastAsia="Calibri"/>
          <w:sz w:val="22"/>
          <w:szCs w:val="22"/>
          <w:lang w:val="es-CO" w:eastAsia="en-US"/>
        </w:rPr>
      </w:pPr>
    </w:p>
    <w:p w14:paraId="2C39D9C4" w14:textId="77777777" w:rsidR="00B44C4A" w:rsidRPr="00ED19B8" w:rsidRDefault="001F3AD9" w:rsidP="00763472">
      <w:pPr>
        <w:suppressAutoHyphens w:val="0"/>
        <w:overflowPunct/>
        <w:autoSpaceDE/>
        <w:spacing w:line="240" w:lineRule="auto"/>
        <w:textAlignment w:val="auto"/>
        <w:rPr>
          <w:rFonts w:eastAsia="Calibri"/>
          <w:sz w:val="22"/>
          <w:szCs w:val="22"/>
          <w:lang w:val="es-CO" w:eastAsia="en-US"/>
        </w:rPr>
      </w:pPr>
      <w:r>
        <w:rPr>
          <w:rFonts w:eastAsia="Calibri"/>
          <w:b/>
          <w:sz w:val="22"/>
          <w:szCs w:val="22"/>
          <w:lang w:val="es-CO" w:eastAsia="en-US"/>
        </w:rPr>
        <w:t>GARANTÍA -</w:t>
      </w:r>
      <w:r w:rsidR="00B44C4A" w:rsidRPr="00ED19B8">
        <w:rPr>
          <w:rFonts w:eastAsia="Calibri"/>
          <w:b/>
          <w:sz w:val="22"/>
          <w:szCs w:val="22"/>
          <w:lang w:val="es-CO" w:eastAsia="en-US"/>
        </w:rPr>
        <w:t xml:space="preserve"> </w:t>
      </w:r>
      <w:r>
        <w:rPr>
          <w:rFonts w:eastAsia="Calibri"/>
          <w:b/>
          <w:sz w:val="22"/>
          <w:szCs w:val="22"/>
          <w:lang w:val="es-CO" w:eastAsia="en-US"/>
        </w:rPr>
        <w:t xml:space="preserve">Estabilidad de la obra - </w:t>
      </w:r>
      <w:r w:rsidR="00B44C4A" w:rsidRPr="00ED19B8">
        <w:rPr>
          <w:rFonts w:eastAsia="Calibri"/>
          <w:b/>
          <w:sz w:val="22"/>
          <w:szCs w:val="22"/>
          <w:lang w:val="es-CO" w:eastAsia="en-US"/>
        </w:rPr>
        <w:t>Efectos</w:t>
      </w:r>
    </w:p>
    <w:p w14:paraId="42640EA4" w14:textId="77777777" w:rsidR="00B44C4A" w:rsidRPr="00ED19B8" w:rsidRDefault="00B44C4A" w:rsidP="00763472">
      <w:pPr>
        <w:suppressAutoHyphens w:val="0"/>
        <w:overflowPunct/>
        <w:autoSpaceDE/>
        <w:spacing w:line="240" w:lineRule="auto"/>
        <w:textAlignment w:val="auto"/>
        <w:rPr>
          <w:rFonts w:eastAsia="Calibri"/>
          <w:sz w:val="22"/>
          <w:szCs w:val="22"/>
          <w:lang w:val="es-CO" w:eastAsia="en-US"/>
        </w:rPr>
      </w:pPr>
    </w:p>
    <w:p w14:paraId="13928CA3" w14:textId="77777777" w:rsidR="00B44C4A" w:rsidRPr="00ED19B8" w:rsidRDefault="00B44C4A" w:rsidP="00763472">
      <w:pPr>
        <w:suppressAutoHyphens w:val="0"/>
        <w:overflowPunct/>
        <w:autoSpaceDE/>
        <w:spacing w:line="240" w:lineRule="auto"/>
        <w:textAlignment w:val="auto"/>
        <w:rPr>
          <w:rFonts w:eastAsia="Calibri"/>
          <w:sz w:val="22"/>
          <w:szCs w:val="22"/>
          <w:lang w:val="es-CO" w:eastAsia="en-US"/>
        </w:rPr>
      </w:pPr>
      <w:r w:rsidRPr="00ED19B8">
        <w:rPr>
          <w:rFonts w:eastAsia="Calibri"/>
          <w:sz w:val="22"/>
          <w:szCs w:val="22"/>
          <w:lang w:val="es-CO" w:eastAsia="en-US"/>
        </w:rPr>
        <w:t>La garantía de estabilidad de la obra, despliega sus efectos una vez se ha finalizado el contrato, no durante su ejecución; con ella, se busca cubrir los perjuicios que se llegaren a presentar por causas imputables al contratista, esto es, el deterioro de la obra en condiciones normales de uso y que no permitan la prestación del servicio para el cual se ejecutó.</w:t>
      </w:r>
    </w:p>
    <w:p w14:paraId="782A01A2" w14:textId="77777777" w:rsidR="00B44C4A" w:rsidRPr="00ED19B8" w:rsidRDefault="00B44C4A" w:rsidP="00763472">
      <w:pPr>
        <w:suppressAutoHyphens w:val="0"/>
        <w:overflowPunct/>
        <w:autoSpaceDE/>
        <w:spacing w:line="240" w:lineRule="auto"/>
        <w:textAlignment w:val="auto"/>
        <w:rPr>
          <w:rFonts w:eastAsia="Calibri"/>
          <w:sz w:val="22"/>
          <w:szCs w:val="22"/>
          <w:lang w:val="es-CO" w:eastAsia="en-US"/>
        </w:rPr>
      </w:pPr>
    </w:p>
    <w:p w14:paraId="7E8D9B6F" w14:textId="77777777" w:rsidR="00B44C4A" w:rsidRPr="00ED19B8" w:rsidRDefault="001F3AD9" w:rsidP="00763472">
      <w:pPr>
        <w:suppressAutoHyphens w:val="0"/>
        <w:overflowPunct/>
        <w:autoSpaceDE/>
        <w:spacing w:line="240" w:lineRule="auto"/>
        <w:textAlignment w:val="auto"/>
        <w:rPr>
          <w:rFonts w:eastAsia="Calibri"/>
          <w:b/>
          <w:sz w:val="22"/>
          <w:szCs w:val="22"/>
          <w:lang w:val="es-CO" w:eastAsia="en-US"/>
        </w:rPr>
      </w:pPr>
      <w:r>
        <w:rPr>
          <w:rFonts w:eastAsia="Calibri"/>
          <w:b/>
          <w:sz w:val="22"/>
          <w:szCs w:val="22"/>
          <w:lang w:val="es-CO" w:eastAsia="en-US"/>
        </w:rPr>
        <w:t>SEGURO DE CUMPLIMIENTO - Naturaleza -</w:t>
      </w:r>
      <w:r w:rsidR="00B44C4A" w:rsidRPr="00ED19B8">
        <w:rPr>
          <w:rFonts w:eastAsia="Calibri"/>
          <w:b/>
          <w:sz w:val="22"/>
          <w:szCs w:val="22"/>
          <w:lang w:val="es-CO" w:eastAsia="en-US"/>
        </w:rPr>
        <w:t xml:space="preserve"> Pólizas de gara</w:t>
      </w:r>
      <w:r>
        <w:rPr>
          <w:rFonts w:eastAsia="Calibri"/>
          <w:b/>
          <w:sz w:val="22"/>
          <w:szCs w:val="22"/>
          <w:lang w:val="es-CO" w:eastAsia="en-US"/>
        </w:rPr>
        <w:t>ntías -</w:t>
      </w:r>
      <w:r w:rsidR="00B44C4A" w:rsidRPr="00ED19B8">
        <w:rPr>
          <w:rFonts w:eastAsia="Calibri"/>
          <w:b/>
          <w:sz w:val="22"/>
          <w:szCs w:val="22"/>
          <w:lang w:val="es-CO" w:eastAsia="en-US"/>
        </w:rPr>
        <w:t xml:space="preserve"> Contratos estatales</w:t>
      </w:r>
    </w:p>
    <w:p w14:paraId="1990EDA2" w14:textId="77777777" w:rsidR="00B44C4A" w:rsidRPr="00ED19B8" w:rsidRDefault="00B44C4A" w:rsidP="00763472">
      <w:pPr>
        <w:suppressAutoHyphens w:val="0"/>
        <w:overflowPunct/>
        <w:autoSpaceDE/>
        <w:spacing w:line="240" w:lineRule="auto"/>
        <w:textAlignment w:val="auto"/>
        <w:rPr>
          <w:rFonts w:eastAsia="Calibri"/>
          <w:sz w:val="22"/>
          <w:szCs w:val="22"/>
          <w:lang w:val="es-CO" w:eastAsia="en-US"/>
        </w:rPr>
      </w:pPr>
    </w:p>
    <w:p w14:paraId="67F92083" w14:textId="77777777" w:rsidR="00B44C4A" w:rsidRPr="00ED19B8" w:rsidRDefault="00B44C4A" w:rsidP="00763472">
      <w:pPr>
        <w:suppressAutoHyphens w:val="0"/>
        <w:overflowPunct/>
        <w:autoSpaceDE/>
        <w:spacing w:line="240" w:lineRule="auto"/>
        <w:textAlignment w:val="auto"/>
        <w:rPr>
          <w:rFonts w:eastAsia="Calibri"/>
          <w:sz w:val="22"/>
          <w:szCs w:val="22"/>
          <w:lang w:val="es-CO" w:eastAsia="en-US"/>
        </w:rPr>
      </w:pPr>
      <w:r w:rsidRPr="00ED19B8">
        <w:rPr>
          <w:rFonts w:eastAsia="Calibri"/>
          <w:sz w:val="22"/>
          <w:szCs w:val="22"/>
          <w:lang w:val="es-CO" w:eastAsia="en-US"/>
        </w:rPr>
        <w:t>Sobre la naturaleza del seguro de cumplimiento, que es la especie a la que corresponden las pólizas contentivas de las garantías de los contratos estatales, la jurisprudencia también ha sostenido que se trata de una modalidad de los seguros de daño, respecto de los cuales “(…) es indispensable no solo demostrar la ocurrencia del siniestro sino determinar la cuantía del perjuicio ocasionado en el patrimonio del acreedor, elemento que es de su esencia para proceder a la indemnización, puesto que como quedó establecido, en los seguros de daño, no basta que haya ocurrido el siniestro sino que éste debe necesariamente haber causado un perjuicio al patrimonio, puesto que si no es así no se habrá producido daño alguno y en consecuencia no habría lugar a la correspondiente indemnización” .</w:t>
      </w:r>
    </w:p>
    <w:p w14:paraId="5B61386D" w14:textId="77777777" w:rsidR="00B44C4A" w:rsidRPr="00ED19B8" w:rsidRDefault="00B44C4A" w:rsidP="00763472">
      <w:pPr>
        <w:suppressAutoHyphens w:val="0"/>
        <w:overflowPunct/>
        <w:autoSpaceDE/>
        <w:spacing w:line="240" w:lineRule="auto"/>
        <w:textAlignment w:val="auto"/>
        <w:rPr>
          <w:rFonts w:eastAsia="Calibri"/>
          <w:sz w:val="22"/>
          <w:szCs w:val="22"/>
          <w:lang w:val="es-CO" w:eastAsia="en-US"/>
        </w:rPr>
      </w:pPr>
    </w:p>
    <w:p w14:paraId="3BBE8A96" w14:textId="77777777" w:rsidR="00B44C4A" w:rsidRPr="00ED19B8" w:rsidRDefault="001F3AD9" w:rsidP="00763472">
      <w:pPr>
        <w:suppressAutoHyphens w:val="0"/>
        <w:overflowPunct/>
        <w:autoSpaceDE/>
        <w:spacing w:line="240" w:lineRule="auto"/>
        <w:textAlignment w:val="auto"/>
        <w:rPr>
          <w:rFonts w:eastAsia="Calibri"/>
          <w:sz w:val="22"/>
          <w:szCs w:val="22"/>
          <w:lang w:val="es-CO" w:eastAsia="en-US"/>
        </w:rPr>
      </w:pPr>
      <w:r>
        <w:rPr>
          <w:rFonts w:eastAsia="Calibri"/>
          <w:b/>
          <w:sz w:val="22"/>
          <w:szCs w:val="22"/>
          <w:lang w:val="es-CO" w:eastAsia="en-US"/>
        </w:rPr>
        <w:t>PÓLIZA DE SEGURO -</w:t>
      </w:r>
      <w:r w:rsidR="00B44C4A" w:rsidRPr="00ED19B8">
        <w:rPr>
          <w:rFonts w:eastAsia="Calibri"/>
          <w:b/>
          <w:sz w:val="22"/>
          <w:szCs w:val="22"/>
          <w:lang w:val="es-CO" w:eastAsia="en-US"/>
        </w:rPr>
        <w:t xml:space="preserve"> Expedición </w:t>
      </w:r>
      <w:r>
        <w:rPr>
          <w:rFonts w:eastAsia="Calibri"/>
          <w:b/>
          <w:sz w:val="22"/>
          <w:szCs w:val="22"/>
          <w:lang w:val="es-CO" w:eastAsia="en-US"/>
        </w:rPr>
        <w:t>-</w:t>
      </w:r>
      <w:r w:rsidR="00B44C4A" w:rsidRPr="00ED19B8">
        <w:rPr>
          <w:rFonts w:eastAsia="Calibri"/>
          <w:b/>
          <w:sz w:val="22"/>
          <w:szCs w:val="22"/>
          <w:lang w:val="es-CO" w:eastAsia="en-US"/>
        </w:rPr>
        <w:t xml:space="preserve"> Relación sustancial</w:t>
      </w:r>
      <w:r w:rsidR="00B44C4A" w:rsidRPr="00ED19B8">
        <w:rPr>
          <w:rFonts w:eastAsia="Calibri"/>
          <w:sz w:val="22"/>
          <w:szCs w:val="22"/>
          <w:lang w:val="es-CO" w:eastAsia="en-US"/>
        </w:rPr>
        <w:t xml:space="preserve"> </w:t>
      </w:r>
    </w:p>
    <w:p w14:paraId="17D75FEE" w14:textId="77777777" w:rsidR="00B44C4A" w:rsidRPr="00ED19B8" w:rsidRDefault="00B44C4A" w:rsidP="00763472">
      <w:pPr>
        <w:suppressAutoHyphens w:val="0"/>
        <w:overflowPunct/>
        <w:autoSpaceDE/>
        <w:spacing w:line="240" w:lineRule="auto"/>
        <w:textAlignment w:val="auto"/>
        <w:rPr>
          <w:rFonts w:eastAsia="Calibri"/>
          <w:sz w:val="22"/>
          <w:szCs w:val="22"/>
          <w:lang w:val="es-CO" w:eastAsia="en-US"/>
        </w:rPr>
      </w:pPr>
    </w:p>
    <w:p w14:paraId="3C87F338" w14:textId="77777777" w:rsidR="00B44C4A" w:rsidRPr="00ED19B8" w:rsidRDefault="00B44C4A" w:rsidP="00763472">
      <w:pPr>
        <w:suppressAutoHyphens w:val="0"/>
        <w:overflowPunct/>
        <w:autoSpaceDE/>
        <w:spacing w:line="240" w:lineRule="auto"/>
        <w:textAlignment w:val="auto"/>
        <w:rPr>
          <w:rFonts w:eastAsia="Calibri"/>
          <w:sz w:val="22"/>
          <w:szCs w:val="22"/>
          <w:lang w:val="es-CO" w:eastAsia="en-US"/>
        </w:rPr>
      </w:pPr>
      <w:r w:rsidRPr="00ED19B8">
        <w:rPr>
          <w:rFonts w:eastAsia="Calibri"/>
          <w:sz w:val="22"/>
          <w:szCs w:val="22"/>
          <w:lang w:val="es-CO" w:eastAsia="en-US"/>
        </w:rPr>
        <w:t>A partir de la expedición de la póliza de seguro como garantía del contrato estatal, surge una relación sustancial que une a la aseguradora y a la entidad estatal, conforme a la cual, se legitima a la primera en el proceso judicial en el que se ventila su obligación de pagar la indemnización pactada, previa determinación de la existencia o inexistencia del siniestro que la hace surgir.</w:t>
      </w:r>
    </w:p>
    <w:p w14:paraId="468A894E" w14:textId="77777777" w:rsidR="00B44C4A" w:rsidRPr="00ED19B8" w:rsidRDefault="00B44C4A" w:rsidP="00763472">
      <w:pPr>
        <w:suppressAutoHyphens w:val="0"/>
        <w:overflowPunct/>
        <w:autoSpaceDE/>
        <w:spacing w:line="240" w:lineRule="auto"/>
        <w:textAlignment w:val="auto"/>
        <w:rPr>
          <w:rFonts w:eastAsia="Calibri"/>
          <w:sz w:val="22"/>
          <w:szCs w:val="22"/>
          <w:lang w:val="es-CO" w:eastAsia="en-US"/>
        </w:rPr>
      </w:pPr>
    </w:p>
    <w:p w14:paraId="4BC246A2" w14:textId="54A70FDD" w:rsidR="00B44C4A" w:rsidRPr="00ED19B8" w:rsidRDefault="001F3AD9" w:rsidP="00763472">
      <w:pPr>
        <w:suppressAutoHyphens w:val="0"/>
        <w:overflowPunct/>
        <w:autoSpaceDE/>
        <w:spacing w:line="240" w:lineRule="auto"/>
        <w:textAlignment w:val="auto"/>
        <w:rPr>
          <w:rFonts w:eastAsia="Calibri"/>
          <w:b/>
          <w:sz w:val="22"/>
          <w:szCs w:val="22"/>
          <w:lang w:val="es-CO" w:eastAsia="en-US"/>
        </w:rPr>
      </w:pPr>
      <w:r>
        <w:rPr>
          <w:rFonts w:eastAsia="Calibri"/>
          <w:b/>
          <w:sz w:val="22"/>
          <w:szCs w:val="22"/>
          <w:lang w:val="es-CO" w:eastAsia="en-US"/>
        </w:rPr>
        <w:t>SINIESTRO -</w:t>
      </w:r>
      <w:r w:rsidR="00B44C4A" w:rsidRPr="00ED19B8">
        <w:rPr>
          <w:rFonts w:eastAsia="Calibri"/>
          <w:b/>
          <w:sz w:val="22"/>
          <w:szCs w:val="22"/>
          <w:lang w:val="es-CO" w:eastAsia="en-US"/>
        </w:rPr>
        <w:t xml:space="preserve"> </w:t>
      </w:r>
      <w:r>
        <w:rPr>
          <w:rFonts w:eastAsia="Calibri"/>
          <w:b/>
          <w:sz w:val="22"/>
          <w:szCs w:val="22"/>
          <w:lang w:val="es-CO" w:eastAsia="en-US"/>
        </w:rPr>
        <w:t xml:space="preserve">Declaratoria - </w:t>
      </w:r>
      <w:r w:rsidR="00B44C4A" w:rsidRPr="00ED19B8">
        <w:rPr>
          <w:rFonts w:eastAsia="Calibri"/>
          <w:b/>
          <w:sz w:val="22"/>
          <w:szCs w:val="22"/>
          <w:lang w:val="es-CO" w:eastAsia="en-US"/>
        </w:rPr>
        <w:t xml:space="preserve">Facultad de la </w:t>
      </w:r>
      <w:r w:rsidR="008E2C2B">
        <w:rPr>
          <w:rFonts w:eastAsia="Calibri"/>
          <w:b/>
          <w:sz w:val="22"/>
          <w:szCs w:val="22"/>
          <w:lang w:val="es-CO" w:eastAsia="en-US"/>
        </w:rPr>
        <w:t>A</w:t>
      </w:r>
      <w:r w:rsidR="00B44C4A" w:rsidRPr="00ED19B8">
        <w:rPr>
          <w:rFonts w:eastAsia="Calibri"/>
          <w:b/>
          <w:sz w:val="22"/>
          <w:szCs w:val="22"/>
          <w:lang w:val="es-CO" w:eastAsia="en-US"/>
        </w:rPr>
        <w:t xml:space="preserve">dministración </w:t>
      </w:r>
    </w:p>
    <w:p w14:paraId="771C91C2" w14:textId="77777777" w:rsidR="00B44C4A" w:rsidRPr="00ED19B8" w:rsidRDefault="00B44C4A" w:rsidP="00763472">
      <w:pPr>
        <w:suppressAutoHyphens w:val="0"/>
        <w:overflowPunct/>
        <w:autoSpaceDE/>
        <w:spacing w:line="240" w:lineRule="auto"/>
        <w:textAlignment w:val="auto"/>
        <w:rPr>
          <w:rFonts w:eastAsia="Calibri"/>
          <w:sz w:val="22"/>
          <w:szCs w:val="22"/>
          <w:lang w:val="es-CO" w:eastAsia="en-US"/>
        </w:rPr>
      </w:pPr>
    </w:p>
    <w:p w14:paraId="1E10C8AC" w14:textId="77777777" w:rsidR="00B44C4A" w:rsidRDefault="00B44C4A" w:rsidP="001F3AD9">
      <w:pPr>
        <w:suppressAutoHyphens w:val="0"/>
        <w:overflowPunct/>
        <w:autoSpaceDE/>
        <w:spacing w:line="240" w:lineRule="auto"/>
        <w:textAlignment w:val="auto"/>
        <w:rPr>
          <w:rFonts w:eastAsia="Calibri"/>
          <w:sz w:val="22"/>
          <w:szCs w:val="22"/>
          <w:lang w:val="es-CO" w:eastAsia="en-US"/>
        </w:rPr>
      </w:pPr>
      <w:r w:rsidRPr="00ED19B8">
        <w:rPr>
          <w:rFonts w:eastAsia="Calibri"/>
          <w:sz w:val="22"/>
          <w:szCs w:val="22"/>
          <w:lang w:val="es-CO" w:eastAsia="en-US"/>
        </w:rPr>
        <w:t xml:space="preserve">La Sección Tercera ha indicado con meridiana claridad </w:t>
      </w:r>
      <w:r w:rsidR="001F3AD9" w:rsidRPr="00ED19B8">
        <w:rPr>
          <w:rFonts w:eastAsia="Calibri"/>
          <w:sz w:val="22"/>
          <w:szCs w:val="22"/>
          <w:lang w:val="es-CO" w:eastAsia="en-US"/>
        </w:rPr>
        <w:t>que,</w:t>
      </w:r>
      <w:r w:rsidRPr="00ED19B8">
        <w:rPr>
          <w:rFonts w:eastAsia="Calibri"/>
          <w:sz w:val="22"/>
          <w:szCs w:val="22"/>
          <w:lang w:val="es-CO" w:eastAsia="en-US"/>
        </w:rPr>
        <w:t xml:space="preserve"> en el marco de los contratos estatales, la administración tiene la facultad de declarar la ocurrencia del siniestro amparado por una póliza mediante la expedición de un acto administrativo ejecutable ante la jurisdicción. </w:t>
      </w:r>
      <w:r w:rsidR="001F3AD9" w:rsidRPr="001F3AD9">
        <w:rPr>
          <w:rFonts w:eastAsia="Calibri"/>
          <w:sz w:val="22"/>
          <w:szCs w:val="22"/>
          <w:lang w:val="es-CO" w:eastAsia="en-US"/>
        </w:rPr>
        <w:t xml:space="preserve">ejecutable ante la jurisdicción. Por lo tanto, la entidad estatal demandada </w:t>
      </w:r>
      <w:r w:rsidR="001F3AD9" w:rsidRPr="001F3AD9">
        <w:rPr>
          <w:rFonts w:eastAsia="Calibri"/>
          <w:sz w:val="22"/>
          <w:szCs w:val="22"/>
          <w:lang w:val="es-CO" w:eastAsia="en-US"/>
        </w:rPr>
        <w:lastRenderedPageBreak/>
        <w:t>contaba con la competencia para expedir el acto administrativo, en el que hizo efectivo el amparo contenido en la póliza otorgada por Confianza S.A.</w:t>
      </w:r>
    </w:p>
    <w:p w14:paraId="04EF3871" w14:textId="77777777" w:rsidR="001F3AD9" w:rsidRPr="001F3AD9" w:rsidRDefault="001F3AD9" w:rsidP="001F3AD9">
      <w:pPr>
        <w:suppressAutoHyphens w:val="0"/>
        <w:overflowPunct/>
        <w:autoSpaceDE/>
        <w:spacing w:line="240" w:lineRule="auto"/>
        <w:textAlignment w:val="auto"/>
        <w:rPr>
          <w:rFonts w:eastAsia="Calibri"/>
          <w:sz w:val="22"/>
          <w:szCs w:val="22"/>
          <w:lang w:val="es-CO" w:eastAsia="en-US"/>
        </w:rPr>
      </w:pPr>
    </w:p>
    <w:p w14:paraId="6855053D" w14:textId="77777777" w:rsidR="00D35C92" w:rsidRPr="00D35C92" w:rsidRDefault="00D35C92" w:rsidP="00763472">
      <w:pPr>
        <w:suppressAutoHyphens w:val="0"/>
        <w:overflowPunct/>
        <w:autoSpaceDE/>
        <w:spacing w:line="240" w:lineRule="auto"/>
        <w:textAlignment w:val="auto"/>
        <w:rPr>
          <w:rFonts w:eastAsia="Calibri"/>
          <w:lang w:val="es-CO" w:eastAsia="en-US"/>
        </w:rPr>
      </w:pPr>
    </w:p>
    <w:p w14:paraId="20B6EC39" w14:textId="77777777" w:rsidR="000E2AF0" w:rsidRPr="00500E12" w:rsidRDefault="000E2AF0" w:rsidP="00500E12">
      <w:pPr>
        <w:suppressAutoHyphens w:val="0"/>
        <w:overflowPunct/>
        <w:autoSpaceDE/>
        <w:spacing w:line="240" w:lineRule="auto"/>
        <w:jc w:val="center"/>
        <w:textAlignment w:val="auto"/>
        <w:rPr>
          <w:rFonts w:eastAsia="Calibri"/>
          <w:b/>
          <w:lang w:val="es-CO" w:eastAsia="en-US"/>
        </w:rPr>
      </w:pPr>
      <w:r w:rsidRPr="00500E12">
        <w:rPr>
          <w:rFonts w:eastAsia="Calibri"/>
          <w:b/>
          <w:lang w:val="es-CO" w:eastAsia="en-US"/>
        </w:rPr>
        <w:t>CONSEJO DE ESTADO</w:t>
      </w:r>
    </w:p>
    <w:p w14:paraId="2491123D" w14:textId="77777777" w:rsidR="000E2AF0" w:rsidRPr="00500E12" w:rsidRDefault="000E2AF0" w:rsidP="00500E12">
      <w:pPr>
        <w:suppressAutoHyphens w:val="0"/>
        <w:overflowPunct/>
        <w:autoSpaceDE/>
        <w:spacing w:line="240" w:lineRule="auto"/>
        <w:jc w:val="center"/>
        <w:textAlignment w:val="auto"/>
        <w:rPr>
          <w:rFonts w:eastAsia="Calibri"/>
          <w:b/>
          <w:lang w:val="es-CO" w:eastAsia="en-US"/>
        </w:rPr>
      </w:pPr>
    </w:p>
    <w:p w14:paraId="6C75653B" w14:textId="77777777" w:rsidR="000E2AF0" w:rsidRPr="00500E12" w:rsidRDefault="000E2AF0" w:rsidP="00500E12">
      <w:pPr>
        <w:suppressAutoHyphens w:val="0"/>
        <w:overflowPunct/>
        <w:autoSpaceDE/>
        <w:spacing w:line="240" w:lineRule="auto"/>
        <w:jc w:val="center"/>
        <w:textAlignment w:val="auto"/>
        <w:rPr>
          <w:rFonts w:eastAsia="Calibri"/>
          <w:b/>
          <w:lang w:val="es-CO" w:eastAsia="en-US"/>
        </w:rPr>
      </w:pPr>
      <w:r w:rsidRPr="00500E12">
        <w:rPr>
          <w:rFonts w:eastAsia="Calibri"/>
          <w:b/>
          <w:lang w:val="es-CO" w:eastAsia="en-US"/>
        </w:rPr>
        <w:t>SALA DE LO CONTENCIOSO ADMINISTRATIVO</w:t>
      </w:r>
    </w:p>
    <w:p w14:paraId="6EB975AD" w14:textId="77777777" w:rsidR="000E2AF0" w:rsidRPr="00500E12" w:rsidRDefault="000E2AF0" w:rsidP="00500E12">
      <w:pPr>
        <w:suppressAutoHyphens w:val="0"/>
        <w:overflowPunct/>
        <w:autoSpaceDE/>
        <w:spacing w:line="240" w:lineRule="auto"/>
        <w:jc w:val="center"/>
        <w:textAlignment w:val="auto"/>
        <w:rPr>
          <w:rFonts w:eastAsia="Calibri"/>
          <w:b/>
          <w:lang w:val="es-CO" w:eastAsia="en-US"/>
        </w:rPr>
      </w:pPr>
    </w:p>
    <w:p w14:paraId="5BE467C1" w14:textId="77777777" w:rsidR="000E2AF0" w:rsidRPr="00500E12" w:rsidRDefault="000E2AF0" w:rsidP="00500E12">
      <w:pPr>
        <w:suppressAutoHyphens w:val="0"/>
        <w:overflowPunct/>
        <w:autoSpaceDE/>
        <w:spacing w:line="240" w:lineRule="auto"/>
        <w:jc w:val="center"/>
        <w:textAlignment w:val="auto"/>
        <w:rPr>
          <w:rFonts w:eastAsia="Calibri"/>
          <w:b/>
          <w:lang w:val="es-CO" w:eastAsia="en-US"/>
        </w:rPr>
      </w:pPr>
      <w:r w:rsidRPr="00500E12">
        <w:rPr>
          <w:rFonts w:eastAsia="Calibri"/>
          <w:b/>
          <w:lang w:val="es-CO" w:eastAsia="en-US"/>
        </w:rPr>
        <w:t>SECCIÓN TERCERA</w:t>
      </w:r>
    </w:p>
    <w:p w14:paraId="646D4555" w14:textId="77777777" w:rsidR="000E2AF0" w:rsidRPr="00500E12" w:rsidRDefault="000E2AF0" w:rsidP="00500E12">
      <w:pPr>
        <w:suppressAutoHyphens w:val="0"/>
        <w:overflowPunct/>
        <w:autoSpaceDE/>
        <w:spacing w:line="240" w:lineRule="auto"/>
        <w:jc w:val="center"/>
        <w:textAlignment w:val="auto"/>
        <w:rPr>
          <w:rFonts w:eastAsia="Calibri"/>
          <w:b/>
          <w:lang w:val="es-CO" w:eastAsia="en-US"/>
        </w:rPr>
      </w:pPr>
    </w:p>
    <w:p w14:paraId="4F09AF23" w14:textId="77777777" w:rsidR="000E2AF0" w:rsidRPr="00500E12" w:rsidRDefault="000E2AF0" w:rsidP="00500E12">
      <w:pPr>
        <w:suppressAutoHyphens w:val="0"/>
        <w:overflowPunct/>
        <w:autoSpaceDE/>
        <w:spacing w:line="240" w:lineRule="auto"/>
        <w:jc w:val="center"/>
        <w:textAlignment w:val="auto"/>
        <w:rPr>
          <w:rFonts w:eastAsia="Calibri"/>
          <w:b/>
          <w:lang w:val="es-CO" w:eastAsia="en-US"/>
        </w:rPr>
      </w:pPr>
      <w:r w:rsidRPr="00500E12">
        <w:rPr>
          <w:rFonts w:eastAsia="Calibri"/>
          <w:b/>
          <w:lang w:val="es-CO" w:eastAsia="en-US"/>
        </w:rPr>
        <w:t>SUBSECCIÓN B</w:t>
      </w:r>
    </w:p>
    <w:p w14:paraId="4190A2B6" w14:textId="77777777" w:rsidR="000E2AF0" w:rsidRPr="00500E12" w:rsidRDefault="000E2AF0" w:rsidP="00500E12">
      <w:pPr>
        <w:suppressAutoHyphens w:val="0"/>
        <w:overflowPunct/>
        <w:autoSpaceDE/>
        <w:spacing w:line="240" w:lineRule="auto"/>
        <w:jc w:val="center"/>
        <w:textAlignment w:val="auto"/>
        <w:rPr>
          <w:rFonts w:eastAsia="Calibri"/>
          <w:b/>
          <w:lang w:val="es-CO" w:eastAsia="en-US"/>
        </w:rPr>
      </w:pPr>
    </w:p>
    <w:p w14:paraId="64BF0784" w14:textId="77777777" w:rsidR="000E2AF0" w:rsidRPr="00500E12" w:rsidRDefault="000E2AF0" w:rsidP="00500E12">
      <w:pPr>
        <w:widowControl w:val="0"/>
        <w:suppressAutoHyphens w:val="0"/>
        <w:overflowPunct/>
        <w:autoSpaceDE/>
        <w:spacing w:line="240" w:lineRule="auto"/>
        <w:jc w:val="center"/>
        <w:textAlignment w:val="auto"/>
        <w:rPr>
          <w:rFonts w:eastAsia="Calibri"/>
          <w:b/>
          <w:lang w:val="es-CO" w:eastAsia="en-US"/>
        </w:rPr>
      </w:pPr>
      <w:r w:rsidRPr="00500E12">
        <w:rPr>
          <w:rFonts w:eastAsia="Calibri"/>
          <w:b/>
          <w:lang w:val="es-CO" w:eastAsia="en-US"/>
        </w:rPr>
        <w:t>Consejero ponente: DANILO ROJAS BETANCOURTH</w:t>
      </w:r>
    </w:p>
    <w:p w14:paraId="0F904645" w14:textId="77777777" w:rsidR="000E2AF0" w:rsidRPr="00500E12" w:rsidRDefault="000E2AF0" w:rsidP="00500E12">
      <w:pPr>
        <w:suppressAutoHyphens w:val="0"/>
        <w:overflowPunct/>
        <w:autoSpaceDE/>
        <w:spacing w:line="240" w:lineRule="auto"/>
        <w:jc w:val="center"/>
        <w:textAlignment w:val="auto"/>
        <w:rPr>
          <w:rFonts w:eastAsia="Calibri"/>
          <w:b/>
          <w:lang w:val="es-CO" w:eastAsia="en-US"/>
        </w:rPr>
      </w:pPr>
    </w:p>
    <w:p w14:paraId="2CE48D73" w14:textId="77777777" w:rsidR="00CE2B6A" w:rsidRPr="00500E12" w:rsidRDefault="00CE2B6A" w:rsidP="00500E12">
      <w:pPr>
        <w:tabs>
          <w:tab w:val="left" w:pos="180"/>
          <w:tab w:val="left" w:pos="8640"/>
        </w:tabs>
        <w:spacing w:line="240" w:lineRule="auto"/>
      </w:pPr>
      <w:r w:rsidRPr="00500E12">
        <w:t xml:space="preserve">Bogotá D.C., </w:t>
      </w:r>
      <w:r w:rsidR="0075735E" w:rsidRPr="00500E12">
        <w:t>veintinueve</w:t>
      </w:r>
      <w:r w:rsidR="002013B4" w:rsidRPr="00500E12">
        <w:t xml:space="preserve"> </w:t>
      </w:r>
      <w:r w:rsidRPr="00500E12">
        <w:t>(</w:t>
      </w:r>
      <w:r w:rsidR="0075735E" w:rsidRPr="00500E12">
        <w:t>29</w:t>
      </w:r>
      <w:r w:rsidRPr="00500E12">
        <w:t xml:space="preserve">) de </w:t>
      </w:r>
      <w:r w:rsidR="0075735E" w:rsidRPr="00500E12">
        <w:t>noviembre</w:t>
      </w:r>
      <w:r w:rsidRPr="00500E12">
        <w:t xml:space="preserve"> de dos mil </w:t>
      </w:r>
      <w:r w:rsidR="002013B4" w:rsidRPr="00500E12">
        <w:t>diecisiete</w:t>
      </w:r>
      <w:r w:rsidRPr="00500E12">
        <w:t xml:space="preserve"> (201</w:t>
      </w:r>
      <w:r w:rsidR="002013B4" w:rsidRPr="00500E12">
        <w:t>7</w:t>
      </w:r>
      <w:r w:rsidRPr="00500E12">
        <w:t>)</w:t>
      </w:r>
      <w:r w:rsidR="000E2AF0" w:rsidRPr="00500E12">
        <w:t>.</w:t>
      </w:r>
    </w:p>
    <w:p w14:paraId="57133A16" w14:textId="77777777" w:rsidR="00CE2B6A" w:rsidRPr="00500E12" w:rsidRDefault="00CE2B6A" w:rsidP="00500E12">
      <w:pPr>
        <w:tabs>
          <w:tab w:val="left" w:pos="180"/>
          <w:tab w:val="left" w:pos="8640"/>
        </w:tabs>
        <w:spacing w:line="240" w:lineRule="auto"/>
      </w:pPr>
    </w:p>
    <w:p w14:paraId="17A83882" w14:textId="77777777" w:rsidR="00265915" w:rsidRPr="00500E12" w:rsidRDefault="00265915" w:rsidP="00500E12">
      <w:pPr>
        <w:spacing w:line="240" w:lineRule="auto"/>
        <w:rPr>
          <w:b/>
          <w:lang w:val="es-CO"/>
        </w:rPr>
      </w:pPr>
      <w:r w:rsidRPr="00500E12">
        <w:rPr>
          <w:b/>
          <w:lang w:val="es-CO"/>
        </w:rPr>
        <w:t>Radicación</w:t>
      </w:r>
      <w:r w:rsidR="000E2AF0" w:rsidRPr="00500E12">
        <w:rPr>
          <w:b/>
          <w:lang w:val="es-CO"/>
        </w:rPr>
        <w:t xml:space="preserve"> número</w:t>
      </w:r>
      <w:r w:rsidRPr="00500E12">
        <w:rPr>
          <w:b/>
          <w:lang w:val="es-CO"/>
        </w:rPr>
        <w:t>:</w:t>
      </w:r>
      <w:r w:rsidR="000E2AF0" w:rsidRPr="00500E12">
        <w:rPr>
          <w:b/>
          <w:lang w:val="es-CO"/>
        </w:rPr>
        <w:t xml:space="preserve"> </w:t>
      </w:r>
      <w:r w:rsidR="00C81B54" w:rsidRPr="00500E12">
        <w:rPr>
          <w:b/>
          <w:lang w:val="es-CO"/>
        </w:rPr>
        <w:t>25000</w:t>
      </w:r>
      <w:r w:rsidR="00AA6339" w:rsidRPr="00500E12">
        <w:rPr>
          <w:b/>
          <w:lang w:val="es-CO"/>
        </w:rPr>
        <w:t>-</w:t>
      </w:r>
      <w:r w:rsidR="00FB35F1" w:rsidRPr="00500E12">
        <w:rPr>
          <w:b/>
          <w:lang w:val="es-CO"/>
        </w:rPr>
        <w:t>23</w:t>
      </w:r>
      <w:r w:rsidR="00267E47" w:rsidRPr="00500E12">
        <w:rPr>
          <w:b/>
          <w:lang w:val="es-CO"/>
        </w:rPr>
        <w:t>-</w:t>
      </w:r>
      <w:r w:rsidR="00C81B54" w:rsidRPr="00500E12">
        <w:rPr>
          <w:b/>
          <w:lang w:val="es-CO"/>
        </w:rPr>
        <w:t>26</w:t>
      </w:r>
      <w:r w:rsidR="00AA6339" w:rsidRPr="00500E12">
        <w:rPr>
          <w:b/>
          <w:lang w:val="es-CO"/>
        </w:rPr>
        <w:t>-</w:t>
      </w:r>
      <w:r w:rsidR="00ED1749" w:rsidRPr="00500E12">
        <w:rPr>
          <w:b/>
          <w:lang w:val="es-CO"/>
        </w:rPr>
        <w:t>000</w:t>
      </w:r>
      <w:r w:rsidR="00AA6339" w:rsidRPr="00500E12">
        <w:rPr>
          <w:b/>
          <w:lang w:val="es-CO"/>
        </w:rPr>
        <w:t>-</w:t>
      </w:r>
      <w:r w:rsidR="00C81B54" w:rsidRPr="00500E12">
        <w:rPr>
          <w:b/>
          <w:lang w:val="es-CO"/>
        </w:rPr>
        <w:t>200</w:t>
      </w:r>
      <w:r w:rsidR="00200306" w:rsidRPr="00500E12">
        <w:rPr>
          <w:b/>
          <w:lang w:val="es-CO"/>
        </w:rPr>
        <w:t>1</w:t>
      </w:r>
      <w:r w:rsidR="00AA6339" w:rsidRPr="00500E12">
        <w:rPr>
          <w:b/>
          <w:lang w:val="es-CO"/>
        </w:rPr>
        <w:t>-</w:t>
      </w:r>
      <w:r w:rsidR="00200306" w:rsidRPr="00500E12">
        <w:rPr>
          <w:b/>
          <w:lang w:val="es-CO"/>
        </w:rPr>
        <w:t>00218</w:t>
      </w:r>
      <w:r w:rsidR="00AA6339" w:rsidRPr="00500E12">
        <w:rPr>
          <w:b/>
          <w:lang w:val="es-CO"/>
        </w:rPr>
        <w:t>-</w:t>
      </w:r>
      <w:r w:rsidR="000F49B3" w:rsidRPr="00500E12">
        <w:rPr>
          <w:b/>
          <w:lang w:val="es-CO"/>
        </w:rPr>
        <w:t>0</w:t>
      </w:r>
      <w:r w:rsidR="00CE2B6A" w:rsidRPr="00500E12">
        <w:rPr>
          <w:b/>
          <w:lang w:val="es-CO"/>
        </w:rPr>
        <w:t>1</w:t>
      </w:r>
      <w:r w:rsidR="000E2AF0" w:rsidRPr="00500E12">
        <w:rPr>
          <w:b/>
          <w:lang w:val="es-CO"/>
        </w:rPr>
        <w:t>(30613)</w:t>
      </w:r>
    </w:p>
    <w:p w14:paraId="2B8C96E3" w14:textId="77777777" w:rsidR="000E2AF0" w:rsidRPr="00500E12" w:rsidRDefault="000E2AF0" w:rsidP="00500E12">
      <w:pPr>
        <w:spacing w:line="240" w:lineRule="auto"/>
        <w:rPr>
          <w:b/>
          <w:lang w:val="es-CO"/>
        </w:rPr>
      </w:pPr>
    </w:p>
    <w:p w14:paraId="4B855D21" w14:textId="77777777" w:rsidR="00265915" w:rsidRPr="00500E12" w:rsidRDefault="000E2AF0" w:rsidP="00500E12">
      <w:pPr>
        <w:spacing w:line="240" w:lineRule="auto"/>
        <w:rPr>
          <w:b/>
          <w:lang w:val="es-MX"/>
        </w:rPr>
      </w:pPr>
      <w:r w:rsidRPr="00500E12">
        <w:rPr>
          <w:b/>
          <w:lang w:val="es-CO"/>
        </w:rPr>
        <w:t>Actor:</w:t>
      </w:r>
      <w:r w:rsidRPr="00500E12">
        <w:rPr>
          <w:b/>
          <w:lang w:val="es-CO"/>
        </w:rPr>
        <w:tab/>
        <w:t xml:space="preserve"> </w:t>
      </w:r>
      <w:r w:rsidRPr="00500E12">
        <w:rPr>
          <w:b/>
          <w:lang w:val="es-MX"/>
        </w:rPr>
        <w:t>OBANDO Y MEJÍA INGENIEROS LTDA.</w:t>
      </w:r>
    </w:p>
    <w:p w14:paraId="56528C96" w14:textId="77777777" w:rsidR="000E2AF0" w:rsidRPr="00500E12" w:rsidRDefault="000E2AF0" w:rsidP="00500E12">
      <w:pPr>
        <w:spacing w:line="240" w:lineRule="auto"/>
        <w:rPr>
          <w:b/>
          <w:lang w:val="es-CO"/>
        </w:rPr>
      </w:pPr>
    </w:p>
    <w:p w14:paraId="37E828EA" w14:textId="77777777" w:rsidR="00CE2B6A" w:rsidRPr="00500E12" w:rsidRDefault="000E2AF0" w:rsidP="00500E12">
      <w:pPr>
        <w:spacing w:line="240" w:lineRule="auto"/>
        <w:rPr>
          <w:b/>
          <w:lang w:val="es-MX"/>
        </w:rPr>
      </w:pPr>
      <w:r w:rsidRPr="00500E12">
        <w:rPr>
          <w:b/>
          <w:lang w:val="es-ES"/>
        </w:rPr>
        <w:t>Demandado</w:t>
      </w:r>
      <w:r w:rsidR="00265915" w:rsidRPr="00500E12">
        <w:rPr>
          <w:b/>
          <w:lang w:val="es-ES"/>
        </w:rPr>
        <w:t>:</w:t>
      </w:r>
      <w:r w:rsidRPr="00500E12">
        <w:rPr>
          <w:b/>
          <w:lang w:val="es-ES"/>
        </w:rPr>
        <w:t xml:space="preserve"> </w:t>
      </w:r>
      <w:r w:rsidRPr="00500E12">
        <w:rPr>
          <w:b/>
          <w:lang w:val="es-MX"/>
        </w:rPr>
        <w:t xml:space="preserve">DEPARTAMENTO DE CUNDINAMARCA </w:t>
      </w:r>
    </w:p>
    <w:p w14:paraId="60766B5A" w14:textId="77777777" w:rsidR="000E2AF0" w:rsidRPr="00500E12" w:rsidRDefault="000E2AF0" w:rsidP="00500E12">
      <w:pPr>
        <w:spacing w:line="240" w:lineRule="auto"/>
        <w:rPr>
          <w:b/>
          <w:lang w:val="es-MX"/>
        </w:rPr>
      </w:pPr>
    </w:p>
    <w:p w14:paraId="3A014D70" w14:textId="77777777" w:rsidR="000E2AF0" w:rsidRPr="00500E12" w:rsidRDefault="000E2AF0" w:rsidP="00500E12">
      <w:pPr>
        <w:spacing w:line="240" w:lineRule="auto"/>
        <w:rPr>
          <w:b/>
          <w:lang w:val="es-MX"/>
        </w:rPr>
      </w:pPr>
    </w:p>
    <w:p w14:paraId="5F04912F" w14:textId="77777777" w:rsidR="000E2AF0" w:rsidRPr="00500E12" w:rsidRDefault="000E2AF0" w:rsidP="00500E12">
      <w:pPr>
        <w:spacing w:line="240" w:lineRule="auto"/>
        <w:rPr>
          <w:b/>
          <w:lang w:val="es-MX"/>
        </w:rPr>
      </w:pPr>
    </w:p>
    <w:p w14:paraId="4D42AD90" w14:textId="77777777" w:rsidR="00265915" w:rsidRPr="00500E12" w:rsidRDefault="000E2AF0" w:rsidP="00500E12">
      <w:pPr>
        <w:spacing w:line="240" w:lineRule="auto"/>
        <w:rPr>
          <w:b/>
        </w:rPr>
      </w:pPr>
      <w:r w:rsidRPr="00500E12">
        <w:rPr>
          <w:b/>
        </w:rPr>
        <w:t xml:space="preserve">Referencia: ACCIÓN DE CONTROVERSIAS CONTRACTUALES </w:t>
      </w:r>
      <w:r w:rsidR="00E15509" w:rsidRPr="00500E12">
        <w:rPr>
          <w:b/>
        </w:rPr>
        <w:t>-</w:t>
      </w:r>
      <w:r w:rsidRPr="00500E12">
        <w:rPr>
          <w:b/>
        </w:rPr>
        <w:t xml:space="preserve"> APELACIÓN SENTENCIA</w:t>
      </w:r>
    </w:p>
    <w:p w14:paraId="12093FF6" w14:textId="77777777" w:rsidR="00E15509" w:rsidRPr="00500E12" w:rsidRDefault="00E15509" w:rsidP="00500E12">
      <w:pPr>
        <w:spacing w:line="240" w:lineRule="auto"/>
        <w:rPr>
          <w:b/>
        </w:rPr>
      </w:pPr>
    </w:p>
    <w:p w14:paraId="07E78142" w14:textId="77777777" w:rsidR="00E15509" w:rsidRPr="00500E12" w:rsidRDefault="00E15509" w:rsidP="00500E12">
      <w:pPr>
        <w:spacing w:line="240" w:lineRule="auto"/>
        <w:rPr>
          <w:b/>
        </w:rPr>
      </w:pPr>
    </w:p>
    <w:p w14:paraId="57567FFD" w14:textId="77777777" w:rsidR="00B111A4" w:rsidRPr="00500E12" w:rsidRDefault="00B111A4" w:rsidP="000E2AF0">
      <w:pPr>
        <w:spacing w:line="240" w:lineRule="auto"/>
        <w:rPr>
          <w:b/>
          <w:lang w:val="es-CO"/>
        </w:rPr>
      </w:pPr>
    </w:p>
    <w:p w14:paraId="2C7903E6" w14:textId="77777777" w:rsidR="0082630A" w:rsidRPr="00500E12" w:rsidRDefault="00130AFA" w:rsidP="00816E2D">
      <w:pPr>
        <w:pStyle w:val="Textoindependiente"/>
        <w:rPr>
          <w:lang w:val="es-CO"/>
        </w:rPr>
      </w:pPr>
      <w:r w:rsidRPr="00500E12">
        <w:rPr>
          <w:lang w:val="es-CO"/>
        </w:rPr>
        <w:t xml:space="preserve">La </w:t>
      </w:r>
      <w:r w:rsidR="00265915" w:rsidRPr="00500E12">
        <w:rPr>
          <w:lang w:val="es-CO"/>
        </w:rPr>
        <w:t>Sección Tercera</w:t>
      </w:r>
      <w:r w:rsidR="00A950A7" w:rsidRPr="00500E12">
        <w:rPr>
          <w:lang w:val="es-CO"/>
        </w:rPr>
        <w:t>, Subsección B,</w:t>
      </w:r>
      <w:r w:rsidR="00265915" w:rsidRPr="00500E12">
        <w:rPr>
          <w:lang w:val="es-CO"/>
        </w:rPr>
        <w:t xml:space="preserve"> del Consejo de Estado </w:t>
      </w:r>
      <w:r w:rsidRPr="00500E12">
        <w:rPr>
          <w:lang w:val="es-CO"/>
        </w:rPr>
        <w:t xml:space="preserve">procede </w:t>
      </w:r>
      <w:r w:rsidR="00265915" w:rsidRPr="00500E12">
        <w:rPr>
          <w:lang w:val="es-CO"/>
        </w:rPr>
        <w:t xml:space="preserve">a resolver el recurso de apelación presentado por </w:t>
      </w:r>
      <w:r w:rsidR="0014129B" w:rsidRPr="00500E12">
        <w:rPr>
          <w:lang w:val="es-CO"/>
        </w:rPr>
        <w:t>la</w:t>
      </w:r>
      <w:r w:rsidR="00265915" w:rsidRPr="00500E12">
        <w:rPr>
          <w:lang w:val="es-CO"/>
        </w:rPr>
        <w:t xml:space="preserve"> parte</w:t>
      </w:r>
      <w:r w:rsidR="0014129B" w:rsidRPr="00500E12">
        <w:rPr>
          <w:lang w:val="es-CO"/>
        </w:rPr>
        <w:t xml:space="preserve"> </w:t>
      </w:r>
      <w:r w:rsidRPr="00500E12">
        <w:rPr>
          <w:lang w:val="es-CO"/>
        </w:rPr>
        <w:t>actora</w:t>
      </w:r>
      <w:r w:rsidR="00265915" w:rsidRPr="00500E12">
        <w:rPr>
          <w:lang w:val="es-CO"/>
        </w:rPr>
        <w:t xml:space="preserve"> </w:t>
      </w:r>
      <w:r w:rsidR="00200306" w:rsidRPr="00500E12">
        <w:rPr>
          <w:lang w:val="es-CO"/>
        </w:rPr>
        <w:t xml:space="preserve">y la </w:t>
      </w:r>
      <w:r w:rsidR="001409AF" w:rsidRPr="00500E12">
        <w:rPr>
          <w:lang w:val="es-CO"/>
        </w:rPr>
        <w:t xml:space="preserve">Compañía Aseguradora </w:t>
      </w:r>
      <w:r w:rsidR="00200306" w:rsidRPr="00500E12">
        <w:rPr>
          <w:lang w:val="es-CO"/>
        </w:rPr>
        <w:t xml:space="preserve">de </w:t>
      </w:r>
      <w:r w:rsidR="001409AF" w:rsidRPr="00500E12">
        <w:rPr>
          <w:lang w:val="es-CO"/>
        </w:rPr>
        <w:t>Fianzas -</w:t>
      </w:r>
      <w:r w:rsidR="00200306" w:rsidRPr="00500E12">
        <w:rPr>
          <w:lang w:val="es-CO"/>
        </w:rPr>
        <w:t>Confianza S.A.</w:t>
      </w:r>
      <w:r w:rsidR="001409AF" w:rsidRPr="00500E12">
        <w:rPr>
          <w:lang w:val="es-CO"/>
        </w:rPr>
        <w:t>-,</w:t>
      </w:r>
      <w:r w:rsidR="00200306" w:rsidRPr="00500E12">
        <w:rPr>
          <w:lang w:val="es-CO"/>
        </w:rPr>
        <w:t xml:space="preserve"> </w:t>
      </w:r>
      <w:r w:rsidR="00265915" w:rsidRPr="00500E12">
        <w:rPr>
          <w:lang w:val="es-CO"/>
        </w:rPr>
        <w:t xml:space="preserve">contra la sentencia del </w:t>
      </w:r>
      <w:r w:rsidR="00200306" w:rsidRPr="00500E12">
        <w:rPr>
          <w:lang w:val="es-CO"/>
        </w:rPr>
        <w:t>22</w:t>
      </w:r>
      <w:r w:rsidR="00400FE9" w:rsidRPr="00500E12">
        <w:rPr>
          <w:lang w:val="es-CO"/>
        </w:rPr>
        <w:t xml:space="preserve"> de </w:t>
      </w:r>
      <w:r w:rsidR="00200306" w:rsidRPr="00500E12">
        <w:rPr>
          <w:lang w:val="es-CO"/>
        </w:rPr>
        <w:t>diciembre</w:t>
      </w:r>
      <w:r w:rsidR="00AA6339" w:rsidRPr="00500E12">
        <w:rPr>
          <w:lang w:val="es-CO"/>
        </w:rPr>
        <w:t xml:space="preserve"> de</w:t>
      </w:r>
      <w:r w:rsidR="00EE442C" w:rsidRPr="00500E12">
        <w:rPr>
          <w:lang w:val="es-CO"/>
        </w:rPr>
        <w:t xml:space="preserve"> 200</w:t>
      </w:r>
      <w:r w:rsidR="00200306" w:rsidRPr="00500E12">
        <w:rPr>
          <w:lang w:val="es-CO"/>
        </w:rPr>
        <w:t>4</w:t>
      </w:r>
      <w:r w:rsidR="00265915" w:rsidRPr="00500E12">
        <w:rPr>
          <w:lang w:val="es-CO"/>
        </w:rPr>
        <w:t>, proferida por el Tribunal Administrativo de</w:t>
      </w:r>
      <w:r w:rsidR="00A950A7" w:rsidRPr="00500E12">
        <w:rPr>
          <w:lang w:val="es-CO"/>
        </w:rPr>
        <w:t xml:space="preserve"> </w:t>
      </w:r>
      <w:r w:rsidR="00E40D3D" w:rsidRPr="00500E12">
        <w:rPr>
          <w:lang w:val="es-CO"/>
        </w:rPr>
        <w:t>Cundinamarca</w:t>
      </w:r>
      <w:r w:rsidR="00400FE9" w:rsidRPr="00500E12">
        <w:rPr>
          <w:lang w:val="es-CO"/>
        </w:rPr>
        <w:t>,</w:t>
      </w:r>
      <w:r w:rsidR="007244CB" w:rsidRPr="00500E12">
        <w:rPr>
          <w:lang w:val="es-CO"/>
        </w:rPr>
        <w:t xml:space="preserve"> Sección Tercera, </w:t>
      </w:r>
      <w:r w:rsidRPr="00500E12">
        <w:rPr>
          <w:lang w:val="es-CO"/>
        </w:rPr>
        <w:t>S</w:t>
      </w:r>
      <w:r w:rsidR="00200306" w:rsidRPr="00500E12">
        <w:rPr>
          <w:lang w:val="es-CO"/>
        </w:rPr>
        <w:t>ala de Descongestión</w:t>
      </w:r>
      <w:r w:rsidR="00E40D3D" w:rsidRPr="00500E12">
        <w:rPr>
          <w:lang w:val="es-CO"/>
        </w:rPr>
        <w:t>,</w:t>
      </w:r>
      <w:r w:rsidR="00400FE9" w:rsidRPr="00500E12">
        <w:rPr>
          <w:lang w:val="es-CO"/>
        </w:rPr>
        <w:t xml:space="preserve"> </w:t>
      </w:r>
      <w:r w:rsidR="00265915" w:rsidRPr="00500E12">
        <w:rPr>
          <w:lang w:val="es-CO"/>
        </w:rPr>
        <w:t>mediante la cual</w:t>
      </w:r>
      <w:r w:rsidR="00710B4E" w:rsidRPr="00500E12">
        <w:rPr>
          <w:lang w:val="es-CO"/>
        </w:rPr>
        <w:t xml:space="preserve"> </w:t>
      </w:r>
      <w:r w:rsidR="00EE442C" w:rsidRPr="00500E12">
        <w:rPr>
          <w:lang w:val="es-CO"/>
        </w:rPr>
        <w:t xml:space="preserve">se negaron las </w:t>
      </w:r>
      <w:r w:rsidR="00CE2B6A" w:rsidRPr="00500E12">
        <w:rPr>
          <w:lang w:val="es-ES" w:eastAsia="es-ES"/>
        </w:rPr>
        <w:t>pretensiones de la demanda</w:t>
      </w:r>
      <w:r w:rsidR="0082630A" w:rsidRPr="00500E12">
        <w:rPr>
          <w:lang w:val="es-ES" w:eastAsia="es-ES"/>
        </w:rPr>
        <w:t xml:space="preserve">, </w:t>
      </w:r>
      <w:r w:rsidR="001409AF" w:rsidRPr="00500E12">
        <w:rPr>
          <w:lang w:val="es-ES" w:eastAsia="es-ES"/>
        </w:rPr>
        <w:t xml:space="preserve">que fueron </w:t>
      </w:r>
      <w:r w:rsidR="0082630A" w:rsidRPr="00500E12">
        <w:rPr>
          <w:lang w:val="es-ES" w:eastAsia="es-ES"/>
        </w:rPr>
        <w:t xml:space="preserve">coadyuvadas por </w:t>
      </w:r>
      <w:r w:rsidR="00EE442C" w:rsidRPr="00500E12">
        <w:rPr>
          <w:lang w:val="es-ES" w:eastAsia="es-ES"/>
        </w:rPr>
        <w:t>la referida aseguradora</w:t>
      </w:r>
      <w:r w:rsidR="00CE2B6A" w:rsidRPr="00500E12">
        <w:rPr>
          <w:lang w:val="es-ES" w:eastAsia="es-ES"/>
        </w:rPr>
        <w:t xml:space="preserve">, </w:t>
      </w:r>
      <w:r w:rsidR="001409AF" w:rsidRPr="00500E12">
        <w:rPr>
          <w:lang w:val="es-ES" w:eastAsia="es-ES"/>
        </w:rPr>
        <w:t>decisión que</w:t>
      </w:r>
      <w:r w:rsidR="00CE2B6A" w:rsidRPr="00500E12">
        <w:rPr>
          <w:lang w:val="es-ES" w:eastAsia="es-ES"/>
        </w:rPr>
        <w:t xml:space="preserve"> será </w:t>
      </w:r>
      <w:r w:rsidR="00A3564A" w:rsidRPr="00500E12">
        <w:rPr>
          <w:lang w:val="es-ES" w:eastAsia="es-ES"/>
        </w:rPr>
        <w:t>confirmada</w:t>
      </w:r>
      <w:r w:rsidR="00CE2B6A" w:rsidRPr="00500E12">
        <w:rPr>
          <w:lang w:val="es-ES" w:eastAsia="es-ES"/>
        </w:rPr>
        <w:t>.</w:t>
      </w:r>
    </w:p>
    <w:p w14:paraId="3997531D" w14:textId="77777777" w:rsidR="00265915" w:rsidRPr="00500E12" w:rsidRDefault="00400FE9" w:rsidP="00816E2D">
      <w:pPr>
        <w:jc w:val="center"/>
        <w:rPr>
          <w:b/>
          <w:bCs/>
          <w:lang w:val="es-CO"/>
        </w:rPr>
      </w:pPr>
      <w:r w:rsidRPr="00500E12">
        <w:rPr>
          <w:b/>
          <w:bCs/>
          <w:lang w:val="es-CO"/>
        </w:rPr>
        <w:t>SÍNTESIS DEL CASO</w:t>
      </w:r>
    </w:p>
    <w:p w14:paraId="7D5C6117" w14:textId="77777777" w:rsidR="00912FB4" w:rsidRPr="00500E12" w:rsidRDefault="00912FB4" w:rsidP="005A0DE0">
      <w:pPr>
        <w:tabs>
          <w:tab w:val="left" w:pos="5760"/>
        </w:tabs>
        <w:rPr>
          <w:lang w:val="es-CO"/>
        </w:rPr>
      </w:pPr>
    </w:p>
    <w:p w14:paraId="5C059C3A" w14:textId="77777777" w:rsidR="00200306" w:rsidRPr="00500E12" w:rsidRDefault="00C94CCB" w:rsidP="00200306">
      <w:pPr>
        <w:rPr>
          <w:lang w:val="es-ES" w:eastAsia="es-ES"/>
        </w:rPr>
      </w:pPr>
      <w:r w:rsidRPr="00500E12">
        <w:rPr>
          <w:lang w:val="es-ES" w:eastAsia="es-ES"/>
        </w:rPr>
        <w:t>La parte actora</w:t>
      </w:r>
      <w:r w:rsidR="0082630A" w:rsidRPr="00500E12">
        <w:rPr>
          <w:lang w:val="es-ES" w:eastAsia="es-ES"/>
        </w:rPr>
        <w:t xml:space="preserve"> y la aseguradora</w:t>
      </w:r>
      <w:r w:rsidR="00200306" w:rsidRPr="00500E12">
        <w:rPr>
          <w:lang w:val="es-ES" w:eastAsia="es-ES"/>
        </w:rPr>
        <w:t xml:space="preserve"> solicit</w:t>
      </w:r>
      <w:r w:rsidR="0082630A" w:rsidRPr="00500E12">
        <w:rPr>
          <w:lang w:val="es-ES" w:eastAsia="es-ES"/>
        </w:rPr>
        <w:t>aron</w:t>
      </w:r>
      <w:r w:rsidR="00200306" w:rsidRPr="00500E12">
        <w:rPr>
          <w:lang w:val="es-ES" w:eastAsia="es-ES"/>
        </w:rPr>
        <w:t xml:space="preserve"> la nulidad de las resoluciones n.º 102 del 22 de junio de 2000 y 168 del 21 de diciembre de 2000, expedidas por </w:t>
      </w:r>
      <w:r w:rsidR="00DC2E07" w:rsidRPr="00500E12">
        <w:rPr>
          <w:lang w:val="es-ES" w:eastAsia="es-ES"/>
        </w:rPr>
        <w:t xml:space="preserve">el </w:t>
      </w:r>
      <w:r w:rsidR="00050438" w:rsidRPr="00500E12">
        <w:rPr>
          <w:lang w:val="es-ES" w:eastAsia="es-ES"/>
        </w:rPr>
        <w:t>d</w:t>
      </w:r>
      <w:r w:rsidR="00DC2E07" w:rsidRPr="00500E12">
        <w:rPr>
          <w:lang w:val="es-ES" w:eastAsia="es-ES"/>
        </w:rPr>
        <w:t>epartamento</w:t>
      </w:r>
      <w:r w:rsidR="007B12A7" w:rsidRPr="00500E12">
        <w:rPr>
          <w:lang w:val="es-ES" w:eastAsia="es-ES"/>
        </w:rPr>
        <w:t xml:space="preserve"> de </w:t>
      </w:r>
      <w:r w:rsidR="00200306" w:rsidRPr="00500E12">
        <w:rPr>
          <w:lang w:val="es-ES" w:eastAsia="es-ES"/>
        </w:rPr>
        <w:t>Cundinamarca, por medio de las cuales declaró la ocurrencia del siniestro de estabilidad de la obra</w:t>
      </w:r>
      <w:r w:rsidR="00DC2E07" w:rsidRPr="00500E12">
        <w:rPr>
          <w:lang w:val="es-ES" w:eastAsia="es-ES"/>
        </w:rPr>
        <w:t xml:space="preserve"> </w:t>
      </w:r>
      <w:r w:rsidR="00200306" w:rsidRPr="00500E12">
        <w:rPr>
          <w:lang w:val="es-ES" w:eastAsia="es-ES"/>
        </w:rPr>
        <w:t xml:space="preserve">en el contrato n.º 046 de 1998. </w:t>
      </w:r>
    </w:p>
    <w:p w14:paraId="5E47340F" w14:textId="77777777" w:rsidR="00564523" w:rsidRPr="00500E12" w:rsidRDefault="00564523" w:rsidP="00200306">
      <w:pPr>
        <w:rPr>
          <w:lang w:val="es-ES" w:eastAsia="es-ES"/>
        </w:rPr>
      </w:pPr>
    </w:p>
    <w:p w14:paraId="6CA51F3A" w14:textId="77777777" w:rsidR="00400FE9" w:rsidRPr="00500E12" w:rsidRDefault="00400FE9" w:rsidP="00816E2D">
      <w:pPr>
        <w:jc w:val="center"/>
        <w:rPr>
          <w:b/>
          <w:bCs/>
          <w:lang w:val="es-CO"/>
        </w:rPr>
      </w:pPr>
      <w:r w:rsidRPr="00500E12">
        <w:rPr>
          <w:b/>
          <w:bCs/>
          <w:lang w:val="es-CO"/>
        </w:rPr>
        <w:t>ANTECEDENTES</w:t>
      </w:r>
    </w:p>
    <w:p w14:paraId="15ABF6F9" w14:textId="77777777" w:rsidR="00265915" w:rsidRPr="00500E12" w:rsidRDefault="00180A41" w:rsidP="00816E2D">
      <w:pPr>
        <w:rPr>
          <w:b/>
          <w:bCs/>
          <w:lang w:val="es-CO"/>
        </w:rPr>
      </w:pPr>
      <w:r w:rsidRPr="00500E12">
        <w:rPr>
          <w:b/>
          <w:bCs/>
          <w:lang w:val="es-CO"/>
        </w:rPr>
        <w:t>I. Lo que se pretende</w:t>
      </w:r>
    </w:p>
    <w:p w14:paraId="012E6E86" w14:textId="77777777" w:rsidR="00180A41" w:rsidRPr="00500E12" w:rsidRDefault="00180A41" w:rsidP="00564523"/>
    <w:p w14:paraId="6D52C9C4" w14:textId="77777777" w:rsidR="00B65075" w:rsidRPr="00500E12" w:rsidRDefault="00C54622" w:rsidP="00564523">
      <w:r w:rsidRPr="00500E12">
        <w:t xml:space="preserve">Mediante escrito </w:t>
      </w:r>
      <w:r w:rsidR="000868E1" w:rsidRPr="00500E12">
        <w:t>radicado</w:t>
      </w:r>
      <w:r w:rsidRPr="00500E12">
        <w:t xml:space="preserve"> el </w:t>
      </w:r>
      <w:r w:rsidR="009033E0" w:rsidRPr="00500E12">
        <w:t>26</w:t>
      </w:r>
      <w:r w:rsidRPr="00500E12">
        <w:t xml:space="preserve"> de </w:t>
      </w:r>
      <w:r w:rsidR="009033E0" w:rsidRPr="00500E12">
        <w:t>enero</w:t>
      </w:r>
      <w:r w:rsidRPr="00500E12">
        <w:t xml:space="preserve"> de </w:t>
      </w:r>
      <w:r w:rsidR="009033E0" w:rsidRPr="00500E12">
        <w:t>2001</w:t>
      </w:r>
      <w:r w:rsidRPr="00500E12">
        <w:t xml:space="preserve"> (f.</w:t>
      </w:r>
      <w:r w:rsidR="009033E0" w:rsidRPr="00500E12">
        <w:t>1-17</w:t>
      </w:r>
      <w:r w:rsidR="00130AFA" w:rsidRPr="00500E12">
        <w:t xml:space="preserve"> c. </w:t>
      </w:r>
      <w:r w:rsidRPr="00500E12">
        <w:t xml:space="preserve">1), </w:t>
      </w:r>
      <w:r w:rsidR="00130AFA" w:rsidRPr="00500E12">
        <w:t xml:space="preserve">la sociedad </w:t>
      </w:r>
      <w:r w:rsidR="009033E0" w:rsidRPr="00500E12">
        <w:t>Obando y Mejía Ingenieros Ltda</w:t>
      </w:r>
      <w:r w:rsidR="00130AFA" w:rsidRPr="00500E12">
        <w:t>.</w:t>
      </w:r>
      <w:r w:rsidR="00134D91" w:rsidRPr="00500E12">
        <w:t>,</w:t>
      </w:r>
      <w:r w:rsidR="00130AFA" w:rsidRPr="00500E12">
        <w:t xml:space="preserve"> </w:t>
      </w:r>
      <w:r w:rsidRPr="00500E12">
        <w:t>a través de apoderado</w:t>
      </w:r>
      <w:r w:rsidR="007B12A7" w:rsidRPr="00500E12">
        <w:t>,</w:t>
      </w:r>
      <w:r w:rsidRPr="00500E12">
        <w:t xml:space="preserve"> presentó demanda </w:t>
      </w:r>
      <w:r w:rsidR="000868E1" w:rsidRPr="00500E12">
        <w:t>oportunamente</w:t>
      </w:r>
      <w:r w:rsidR="00114DD3" w:rsidRPr="00500E12">
        <w:t>,</w:t>
      </w:r>
      <w:r w:rsidR="000868E1" w:rsidRPr="00500E12">
        <w:t xml:space="preserve"> </w:t>
      </w:r>
      <w:r w:rsidRPr="00500E12">
        <w:lastRenderedPageBreak/>
        <w:t xml:space="preserve">en ejercicio de la acción </w:t>
      </w:r>
      <w:r w:rsidR="00130AFA" w:rsidRPr="00500E12">
        <w:t>contractual</w:t>
      </w:r>
      <w:r w:rsidRPr="00500E12">
        <w:t xml:space="preserve"> contra el </w:t>
      </w:r>
      <w:r w:rsidR="00DC2E07" w:rsidRPr="00500E12">
        <w:t>d</w:t>
      </w:r>
      <w:r w:rsidR="00130AFA" w:rsidRPr="00500E12">
        <w:t>epartamento de Cundinamarca</w:t>
      </w:r>
      <w:r w:rsidR="00BA3CAF" w:rsidRPr="00500E12">
        <w:t xml:space="preserve">-, con el fin </w:t>
      </w:r>
      <w:r w:rsidR="00A80B1C" w:rsidRPr="00500E12">
        <w:t xml:space="preserve">de </w:t>
      </w:r>
      <w:r w:rsidR="00BA3CAF" w:rsidRPr="00500E12">
        <w:t>que se hicieran</w:t>
      </w:r>
      <w:r w:rsidRPr="00500E12">
        <w:t xml:space="preserve"> las siguientes declaraciones y condenas:</w:t>
      </w:r>
      <w:r w:rsidR="00B65075" w:rsidRPr="00500E12">
        <w:t xml:space="preserve"> </w:t>
      </w:r>
    </w:p>
    <w:p w14:paraId="1C136229" w14:textId="77777777" w:rsidR="00564523" w:rsidRPr="00500E12" w:rsidRDefault="00564523" w:rsidP="00564523">
      <w:pPr>
        <w:widowControl w:val="0"/>
        <w:rPr>
          <w:lang w:val="es-CO"/>
        </w:rPr>
      </w:pPr>
    </w:p>
    <w:p w14:paraId="2EA98AF3" w14:textId="77777777" w:rsidR="00333708" w:rsidRPr="00500E12" w:rsidRDefault="00852FA3" w:rsidP="00033014">
      <w:pPr>
        <w:tabs>
          <w:tab w:val="left" w:pos="2224"/>
        </w:tabs>
        <w:spacing w:line="240" w:lineRule="auto"/>
        <w:ind w:left="567" w:right="567"/>
        <w:rPr>
          <w:b/>
          <w:i/>
          <w:lang w:val="es-ES" w:eastAsia="es-ES"/>
        </w:rPr>
      </w:pPr>
      <w:r w:rsidRPr="00500E12">
        <w:rPr>
          <w:b/>
          <w:i/>
          <w:lang w:val="es-ES" w:eastAsia="es-ES"/>
        </w:rPr>
        <w:t>PRIMERA.</w:t>
      </w:r>
      <w:r w:rsidR="00EA2ABC" w:rsidRPr="00500E12">
        <w:rPr>
          <w:b/>
          <w:i/>
          <w:lang w:val="es-ES" w:eastAsia="es-ES"/>
        </w:rPr>
        <w:t xml:space="preserve"> </w:t>
      </w:r>
    </w:p>
    <w:p w14:paraId="39444DC4" w14:textId="77777777" w:rsidR="00333708" w:rsidRPr="00500E12" w:rsidRDefault="00EA2ABC" w:rsidP="000B4238">
      <w:pPr>
        <w:spacing w:line="240" w:lineRule="auto"/>
        <w:ind w:left="567" w:right="567"/>
        <w:rPr>
          <w:i/>
          <w:lang w:val="es-ES" w:eastAsia="es-ES"/>
        </w:rPr>
      </w:pPr>
      <w:r w:rsidRPr="00500E12">
        <w:rPr>
          <w:i/>
          <w:lang w:val="es-ES" w:eastAsia="es-ES"/>
        </w:rPr>
        <w:t xml:space="preserve">Que </w:t>
      </w:r>
      <w:r w:rsidR="00333708" w:rsidRPr="00500E12">
        <w:rPr>
          <w:i/>
          <w:lang w:val="es-ES" w:eastAsia="es-ES"/>
        </w:rPr>
        <w:t xml:space="preserve">se declare nulo </w:t>
      </w:r>
      <w:r w:rsidR="00033014" w:rsidRPr="00500E12">
        <w:rPr>
          <w:i/>
          <w:lang w:val="es-ES" w:eastAsia="es-ES"/>
        </w:rPr>
        <w:t>el acto administrativo contenido en la Resolución n.º 102 de junio 22 de 2000, expedid</w:t>
      </w:r>
      <w:r w:rsidR="007B12A7" w:rsidRPr="00500E12">
        <w:rPr>
          <w:i/>
          <w:lang w:val="es-ES" w:eastAsia="es-ES"/>
        </w:rPr>
        <w:t>a</w:t>
      </w:r>
      <w:r w:rsidR="00033014" w:rsidRPr="00500E12">
        <w:rPr>
          <w:i/>
          <w:lang w:val="es-ES" w:eastAsia="es-ES"/>
        </w:rPr>
        <w:t xml:space="preserve"> por la Gobernación de Cundinamarca,</w:t>
      </w:r>
      <w:r w:rsidR="00266FA5" w:rsidRPr="00500E12">
        <w:rPr>
          <w:i/>
          <w:lang w:val="es-ES" w:eastAsia="es-ES"/>
        </w:rPr>
        <w:t xml:space="preserve"> por medio de la cual se declara</w:t>
      </w:r>
      <w:r w:rsidR="00033014" w:rsidRPr="00500E12">
        <w:rPr>
          <w:i/>
          <w:lang w:val="es-ES" w:eastAsia="es-ES"/>
        </w:rPr>
        <w:t xml:space="preserve"> unilateralmente la realización del siniestro de estabilidad de obra en el contrato estatal 046 de 1998 celebrado con la sociedad OBANDO Y MEJÍA INGENIEROS LTDA., toda vez que la administración al tenor de lo establecido por la Ley 80 de 1993 no goza de la potestad exorbitante de declarar unilateralmente la constitución u ocurrencia de siniestros, salvo en el explícito caso de la declaratoria de caducidad del contrato estatal.</w:t>
      </w:r>
    </w:p>
    <w:p w14:paraId="0C68289B" w14:textId="77777777" w:rsidR="00033014" w:rsidRPr="00500E12" w:rsidRDefault="00033014" w:rsidP="000B4238">
      <w:pPr>
        <w:spacing w:line="240" w:lineRule="auto"/>
        <w:ind w:left="567" w:right="567"/>
        <w:rPr>
          <w:i/>
          <w:lang w:val="es-ES" w:eastAsia="es-ES"/>
        </w:rPr>
      </w:pPr>
    </w:p>
    <w:p w14:paraId="12EA71F7" w14:textId="77777777" w:rsidR="00033014" w:rsidRPr="00500E12" w:rsidRDefault="00EA2ABC" w:rsidP="000B4238">
      <w:pPr>
        <w:spacing w:line="240" w:lineRule="auto"/>
        <w:ind w:left="567" w:right="567"/>
        <w:rPr>
          <w:i/>
          <w:lang w:val="es-ES" w:eastAsia="es-ES"/>
        </w:rPr>
      </w:pPr>
      <w:r w:rsidRPr="00500E12">
        <w:rPr>
          <w:b/>
          <w:i/>
          <w:lang w:val="es-ES" w:eastAsia="es-ES"/>
        </w:rPr>
        <w:t>SEGUNDA</w:t>
      </w:r>
      <w:r w:rsidR="00852FA3" w:rsidRPr="00500E12">
        <w:rPr>
          <w:b/>
          <w:i/>
          <w:lang w:val="es-ES" w:eastAsia="es-ES"/>
        </w:rPr>
        <w:t>.</w:t>
      </w:r>
      <w:r w:rsidRPr="00500E12">
        <w:rPr>
          <w:i/>
          <w:lang w:val="es-ES" w:eastAsia="es-ES"/>
        </w:rPr>
        <w:t xml:space="preserve"> </w:t>
      </w:r>
    </w:p>
    <w:p w14:paraId="4722D849" w14:textId="77777777" w:rsidR="00033014" w:rsidRPr="00500E12" w:rsidRDefault="00033014" w:rsidP="000B4238">
      <w:pPr>
        <w:spacing w:line="240" w:lineRule="auto"/>
        <w:ind w:left="567" w:right="567"/>
        <w:rPr>
          <w:i/>
          <w:lang w:val="es-ES" w:eastAsia="es-ES"/>
        </w:rPr>
      </w:pPr>
      <w:r w:rsidRPr="00500E12">
        <w:rPr>
          <w:i/>
          <w:lang w:val="es-ES" w:eastAsia="es-ES"/>
        </w:rPr>
        <w:t>Que en subsidio de la pretensión anterior, se declare nulo el acto administrativo contenido en la Resolución n.º 102 de junio 22 de 2000, por la falsa motivación contenida en su parte considerativa.</w:t>
      </w:r>
    </w:p>
    <w:p w14:paraId="1ED05445" w14:textId="77777777" w:rsidR="00033014" w:rsidRPr="00500E12" w:rsidRDefault="00033014" w:rsidP="000B4238">
      <w:pPr>
        <w:spacing w:line="240" w:lineRule="auto"/>
        <w:ind w:left="567" w:right="567"/>
        <w:rPr>
          <w:i/>
          <w:lang w:val="es-ES" w:eastAsia="es-ES"/>
        </w:rPr>
      </w:pPr>
    </w:p>
    <w:p w14:paraId="393D9630" w14:textId="77777777" w:rsidR="00033014" w:rsidRPr="00500E12" w:rsidRDefault="00852FA3" w:rsidP="000B4238">
      <w:pPr>
        <w:spacing w:line="240" w:lineRule="auto"/>
        <w:ind w:left="567" w:right="567"/>
        <w:rPr>
          <w:b/>
          <w:i/>
          <w:lang w:val="es-ES" w:eastAsia="es-ES"/>
        </w:rPr>
      </w:pPr>
      <w:r w:rsidRPr="00500E12">
        <w:rPr>
          <w:b/>
          <w:i/>
          <w:lang w:val="es-ES" w:eastAsia="es-ES"/>
        </w:rPr>
        <w:t>TERCERA.</w:t>
      </w:r>
      <w:r w:rsidR="00EA2ABC" w:rsidRPr="00500E12">
        <w:rPr>
          <w:b/>
          <w:i/>
          <w:lang w:val="es-ES" w:eastAsia="es-ES"/>
        </w:rPr>
        <w:t xml:space="preserve"> </w:t>
      </w:r>
    </w:p>
    <w:p w14:paraId="0AB76EFB" w14:textId="77777777" w:rsidR="00033014" w:rsidRPr="00500E12" w:rsidRDefault="00033014" w:rsidP="000B4238">
      <w:pPr>
        <w:spacing w:line="240" w:lineRule="auto"/>
        <w:ind w:left="567" w:right="567"/>
        <w:rPr>
          <w:i/>
          <w:lang w:val="es-ES" w:eastAsia="es-ES"/>
        </w:rPr>
      </w:pPr>
      <w:r w:rsidRPr="00500E12">
        <w:rPr>
          <w:i/>
          <w:lang w:val="es-ES" w:eastAsia="es-ES"/>
        </w:rPr>
        <w:t>Que en consecuencia, al encontrarse probados los hechos que soportan la declaratoria de nulidad de la resolución 102 del 22 de junio de 2000, se declar</w:t>
      </w:r>
      <w:r w:rsidR="00A17758" w:rsidRPr="00500E12">
        <w:rPr>
          <w:i/>
          <w:lang w:val="es-ES" w:eastAsia="es-ES"/>
        </w:rPr>
        <w:t>e</w:t>
      </w:r>
      <w:r w:rsidRPr="00500E12">
        <w:rPr>
          <w:i/>
          <w:lang w:val="es-ES" w:eastAsia="es-ES"/>
        </w:rPr>
        <w:t xml:space="preserve"> nulo el acto administrativo contenido en la Resolución 168 del 21 de diciembre de 2000, por medio del cual se resuelve desfavorablemente el recurso de reposición interpuesto por OBANDO Y MEJÍA INGENIEROS LTDA. Y SEGUROS CONFIANZA S.A.</w:t>
      </w:r>
    </w:p>
    <w:p w14:paraId="3A2947DC" w14:textId="77777777" w:rsidR="00033014" w:rsidRPr="00500E12" w:rsidRDefault="00033014" w:rsidP="000B4238">
      <w:pPr>
        <w:spacing w:line="240" w:lineRule="auto"/>
        <w:ind w:left="567" w:right="567"/>
        <w:rPr>
          <w:i/>
          <w:lang w:val="es-ES" w:eastAsia="es-ES"/>
        </w:rPr>
      </w:pPr>
    </w:p>
    <w:p w14:paraId="5CB690FF" w14:textId="77777777" w:rsidR="00033014" w:rsidRPr="00500E12" w:rsidRDefault="00852FA3" w:rsidP="000B4238">
      <w:pPr>
        <w:spacing w:line="240" w:lineRule="auto"/>
        <w:ind w:left="567" w:right="567"/>
        <w:rPr>
          <w:b/>
          <w:i/>
          <w:lang w:val="es-ES" w:eastAsia="es-ES"/>
        </w:rPr>
      </w:pPr>
      <w:r w:rsidRPr="00500E12">
        <w:rPr>
          <w:b/>
          <w:i/>
          <w:lang w:val="es-ES" w:eastAsia="es-ES"/>
        </w:rPr>
        <w:t>CUARTA.</w:t>
      </w:r>
      <w:r w:rsidR="00EA2ABC" w:rsidRPr="00500E12">
        <w:rPr>
          <w:b/>
          <w:i/>
          <w:lang w:val="es-ES" w:eastAsia="es-ES"/>
        </w:rPr>
        <w:t xml:space="preserve"> </w:t>
      </w:r>
    </w:p>
    <w:p w14:paraId="62E56AD0" w14:textId="77777777" w:rsidR="00033014" w:rsidRPr="00500E12" w:rsidRDefault="00033014" w:rsidP="000B4238">
      <w:pPr>
        <w:spacing w:line="240" w:lineRule="auto"/>
        <w:ind w:left="567" w:right="567"/>
        <w:rPr>
          <w:i/>
          <w:lang w:val="es-ES" w:eastAsia="es-ES"/>
        </w:rPr>
      </w:pPr>
      <w:r w:rsidRPr="00500E12">
        <w:rPr>
          <w:i/>
          <w:lang w:val="es-ES" w:eastAsia="es-ES"/>
        </w:rPr>
        <w:t>Que en consecuencia se condene al DEPARTAMENTO DE CUNDINAMARCA a la cancelación del valor de los perjuicios que, con ocasión del acto ilegal se logren probar en desarrollo de este proceso.</w:t>
      </w:r>
    </w:p>
    <w:p w14:paraId="163FA826" w14:textId="77777777" w:rsidR="00033014" w:rsidRPr="00500E12" w:rsidRDefault="00033014" w:rsidP="000B4238">
      <w:pPr>
        <w:spacing w:line="240" w:lineRule="auto"/>
        <w:ind w:left="567" w:right="567"/>
        <w:rPr>
          <w:i/>
          <w:lang w:val="es-ES" w:eastAsia="es-ES"/>
        </w:rPr>
      </w:pPr>
    </w:p>
    <w:p w14:paraId="23227394" w14:textId="77777777" w:rsidR="00033014" w:rsidRPr="00500E12" w:rsidRDefault="00EA2ABC" w:rsidP="000B4238">
      <w:pPr>
        <w:spacing w:line="240" w:lineRule="auto"/>
        <w:ind w:left="567" w:right="567"/>
        <w:rPr>
          <w:b/>
          <w:i/>
          <w:lang w:val="es-ES" w:eastAsia="es-ES"/>
        </w:rPr>
      </w:pPr>
      <w:r w:rsidRPr="00500E12">
        <w:rPr>
          <w:b/>
          <w:i/>
          <w:lang w:val="es-ES" w:eastAsia="es-ES"/>
        </w:rPr>
        <w:t>QUINTA</w:t>
      </w:r>
      <w:r w:rsidR="00852FA3" w:rsidRPr="00500E12">
        <w:rPr>
          <w:b/>
          <w:i/>
          <w:lang w:val="es-ES" w:eastAsia="es-ES"/>
        </w:rPr>
        <w:t>.</w:t>
      </w:r>
      <w:r w:rsidRPr="00500E12">
        <w:rPr>
          <w:b/>
          <w:i/>
          <w:lang w:val="es-ES" w:eastAsia="es-ES"/>
        </w:rPr>
        <w:t xml:space="preserve"> </w:t>
      </w:r>
    </w:p>
    <w:p w14:paraId="7BB8A9F6" w14:textId="77777777" w:rsidR="00033014" w:rsidRPr="00500E12" w:rsidRDefault="00033014" w:rsidP="000B4238">
      <w:pPr>
        <w:spacing w:line="240" w:lineRule="auto"/>
        <w:ind w:left="567" w:right="567"/>
        <w:rPr>
          <w:i/>
          <w:lang w:val="es-ES" w:eastAsia="es-ES"/>
        </w:rPr>
      </w:pPr>
      <w:r w:rsidRPr="00500E12">
        <w:rPr>
          <w:i/>
          <w:lang w:val="es-ES" w:eastAsia="es-ES"/>
        </w:rPr>
        <w:t>Que la condena impuesta sea debidamente actualizada de acuerdo con la jurisprudencia nacional sobre la materia.</w:t>
      </w:r>
    </w:p>
    <w:p w14:paraId="765D4138" w14:textId="77777777" w:rsidR="00033014" w:rsidRPr="00500E12" w:rsidRDefault="00033014" w:rsidP="000B4238">
      <w:pPr>
        <w:spacing w:line="240" w:lineRule="auto"/>
        <w:ind w:left="567" w:right="567"/>
        <w:rPr>
          <w:i/>
          <w:lang w:val="es-ES" w:eastAsia="es-ES"/>
        </w:rPr>
      </w:pPr>
    </w:p>
    <w:p w14:paraId="729BEF1C" w14:textId="77777777" w:rsidR="00794BD3" w:rsidRPr="00500E12" w:rsidRDefault="00852FA3" w:rsidP="000B4238">
      <w:pPr>
        <w:spacing w:line="240" w:lineRule="auto"/>
        <w:ind w:left="567" w:right="567"/>
        <w:rPr>
          <w:i/>
          <w:lang w:val="es-ES" w:eastAsia="es-ES"/>
        </w:rPr>
      </w:pPr>
      <w:r w:rsidRPr="00500E12">
        <w:rPr>
          <w:b/>
          <w:i/>
          <w:lang w:val="es-ES" w:eastAsia="es-ES"/>
        </w:rPr>
        <w:t>SEXTA.</w:t>
      </w:r>
    </w:p>
    <w:p w14:paraId="6331096B" w14:textId="77777777" w:rsidR="00EA2ABC" w:rsidRPr="00500E12" w:rsidRDefault="00794BD3" w:rsidP="000B4238">
      <w:pPr>
        <w:spacing w:line="240" w:lineRule="auto"/>
        <w:ind w:left="567" w:right="567"/>
        <w:rPr>
          <w:i/>
          <w:lang w:val="es-ES" w:eastAsia="es-ES"/>
        </w:rPr>
      </w:pPr>
      <w:r w:rsidRPr="00500E12">
        <w:rPr>
          <w:i/>
          <w:lang w:val="es-ES" w:eastAsia="es-ES"/>
        </w:rPr>
        <w:t>Que se condene en costas a la entidad demandada, si a esto hubiere lugar, en atención a lo dispuesto por la Ley 446 de 1998</w:t>
      </w:r>
      <w:r w:rsidR="00852FA3" w:rsidRPr="00500E12">
        <w:rPr>
          <w:i/>
          <w:lang w:val="es-ES" w:eastAsia="es-ES"/>
        </w:rPr>
        <w:t xml:space="preserve">. </w:t>
      </w:r>
    </w:p>
    <w:p w14:paraId="6B433EA3" w14:textId="77777777" w:rsidR="00EA2ABC" w:rsidRPr="00500E12" w:rsidRDefault="00EA2ABC" w:rsidP="00C54622">
      <w:pPr>
        <w:spacing w:line="276" w:lineRule="auto"/>
        <w:ind w:left="703" w:right="618"/>
        <w:rPr>
          <w:i/>
          <w:lang w:val="es-ES" w:eastAsia="es-ES"/>
        </w:rPr>
      </w:pPr>
    </w:p>
    <w:p w14:paraId="0DC6DB38" w14:textId="77777777" w:rsidR="00BD4F10" w:rsidRPr="00500E12" w:rsidRDefault="00BD4F10" w:rsidP="00A55216">
      <w:pPr>
        <w:widowControl w:val="0"/>
        <w:suppressAutoHyphens w:val="0"/>
        <w:overflowPunct/>
        <w:autoSpaceDE/>
        <w:spacing w:line="240" w:lineRule="auto"/>
        <w:ind w:left="703" w:right="618"/>
        <w:textAlignment w:val="auto"/>
        <w:rPr>
          <w:i/>
          <w:iCs/>
          <w:lang w:val="es-CO" w:eastAsia="es-ES"/>
        </w:rPr>
      </w:pPr>
    </w:p>
    <w:p w14:paraId="20D4AB51" w14:textId="77777777" w:rsidR="0047327C" w:rsidRPr="00500E12" w:rsidRDefault="005A0DE0" w:rsidP="004E124A">
      <w:pPr>
        <w:pStyle w:val="Prrafodelista"/>
        <w:widowControl w:val="0"/>
        <w:spacing w:line="360" w:lineRule="auto"/>
        <w:ind w:left="0"/>
        <w:jc w:val="both"/>
        <w:rPr>
          <w:lang w:val="es-CO"/>
        </w:rPr>
      </w:pPr>
      <w:r w:rsidRPr="00500E12">
        <w:rPr>
          <w:lang w:val="es-CO"/>
        </w:rPr>
        <w:t>2. La</w:t>
      </w:r>
      <w:r w:rsidR="004E124A" w:rsidRPr="00500E12">
        <w:rPr>
          <w:lang w:val="es-CO"/>
        </w:rPr>
        <w:t xml:space="preserve"> parte</w:t>
      </w:r>
      <w:r w:rsidR="002F1933" w:rsidRPr="00500E12">
        <w:rPr>
          <w:lang w:val="es-CO"/>
        </w:rPr>
        <w:t xml:space="preserve"> </w:t>
      </w:r>
      <w:r w:rsidR="007A43A3" w:rsidRPr="00500E12">
        <w:rPr>
          <w:lang w:val="es-CO"/>
        </w:rPr>
        <w:t>actora</w:t>
      </w:r>
      <w:r w:rsidR="002F1933" w:rsidRPr="00500E12">
        <w:rPr>
          <w:lang w:val="es-CO"/>
        </w:rPr>
        <w:t xml:space="preserve"> presentó como fundamento</w:t>
      </w:r>
      <w:r w:rsidR="00B53562" w:rsidRPr="00500E12">
        <w:rPr>
          <w:lang w:val="es-CO"/>
        </w:rPr>
        <w:t xml:space="preserve"> </w:t>
      </w:r>
      <w:r w:rsidRPr="00500E12">
        <w:rPr>
          <w:lang w:val="es-CO"/>
        </w:rPr>
        <w:t xml:space="preserve">fáctico </w:t>
      </w:r>
      <w:r w:rsidR="00B53562" w:rsidRPr="00500E12">
        <w:rPr>
          <w:lang w:val="es-CO"/>
        </w:rPr>
        <w:t>de su demanda</w:t>
      </w:r>
      <w:r w:rsidR="00242F90" w:rsidRPr="00500E12">
        <w:rPr>
          <w:lang w:val="es-CO"/>
        </w:rPr>
        <w:t xml:space="preserve"> </w:t>
      </w:r>
      <w:r w:rsidRPr="00500E12">
        <w:rPr>
          <w:lang w:val="es-CO"/>
        </w:rPr>
        <w:t>lo siguiente:</w:t>
      </w:r>
    </w:p>
    <w:p w14:paraId="19BD1034" w14:textId="77777777" w:rsidR="005A0DE0" w:rsidRPr="00500E12" w:rsidRDefault="005A0DE0" w:rsidP="00E169CD">
      <w:pPr>
        <w:widowControl w:val="0"/>
        <w:tabs>
          <w:tab w:val="left" w:pos="3321"/>
        </w:tabs>
        <w:rPr>
          <w:lang w:val="es-CO"/>
        </w:rPr>
      </w:pPr>
    </w:p>
    <w:p w14:paraId="05236333" w14:textId="77777777" w:rsidR="00E169CD" w:rsidRPr="00500E12" w:rsidRDefault="004E124A" w:rsidP="004E124A">
      <w:pPr>
        <w:widowControl w:val="0"/>
        <w:rPr>
          <w:lang w:val="es-CO"/>
        </w:rPr>
      </w:pPr>
      <w:r w:rsidRPr="00500E12">
        <w:rPr>
          <w:lang w:val="es-CO"/>
        </w:rPr>
        <w:t xml:space="preserve">2.1. </w:t>
      </w:r>
      <w:r w:rsidR="00E169CD" w:rsidRPr="00500E12">
        <w:rPr>
          <w:lang w:val="es-CO"/>
        </w:rPr>
        <w:t>El 19 de octubre de 1998,</w:t>
      </w:r>
      <w:r w:rsidR="00AA64C4" w:rsidRPr="00500E12">
        <w:rPr>
          <w:lang w:val="es-CO"/>
        </w:rPr>
        <w:t xml:space="preserve"> el </w:t>
      </w:r>
      <w:r w:rsidR="00050438" w:rsidRPr="00500E12">
        <w:rPr>
          <w:lang w:val="es-CO"/>
        </w:rPr>
        <w:t>d</w:t>
      </w:r>
      <w:r w:rsidR="00AA64C4" w:rsidRPr="00500E12">
        <w:rPr>
          <w:lang w:val="es-CO"/>
        </w:rPr>
        <w:t xml:space="preserve">epartamento de Cundinamarca y </w:t>
      </w:r>
      <w:r w:rsidR="00E169CD" w:rsidRPr="00500E12">
        <w:rPr>
          <w:lang w:val="es-CO"/>
        </w:rPr>
        <w:t xml:space="preserve">la sociedad Obando y Mejía Ingenieros Ltda., suscribieron el contrato </w:t>
      </w:r>
      <w:r w:rsidR="00CB1A5F" w:rsidRPr="00500E12">
        <w:rPr>
          <w:lang w:val="es-CO"/>
        </w:rPr>
        <w:t xml:space="preserve">n.º </w:t>
      </w:r>
      <w:r w:rsidR="00E169CD" w:rsidRPr="00500E12">
        <w:rPr>
          <w:lang w:val="es-CO"/>
        </w:rPr>
        <w:t>046 del mismo año, cuyo objeto era el “</w:t>
      </w:r>
      <w:r w:rsidR="00E169CD" w:rsidRPr="00500E12">
        <w:rPr>
          <w:i/>
          <w:lang w:val="es-CO"/>
        </w:rPr>
        <w:t xml:space="preserve">levantamiento, diagnóstico y construcción de obras para la estabilización geológica en el municipio de Útica”, </w:t>
      </w:r>
      <w:r w:rsidR="00E169CD" w:rsidRPr="00500E12">
        <w:rPr>
          <w:lang w:val="es-CO"/>
        </w:rPr>
        <w:t xml:space="preserve">por un valor de $173 820 465,50 y un plazo de ejecución de 4 meses. </w:t>
      </w:r>
    </w:p>
    <w:p w14:paraId="39A159DE" w14:textId="77777777" w:rsidR="005C5158" w:rsidRPr="00500E12" w:rsidRDefault="005C5158" w:rsidP="004E124A">
      <w:pPr>
        <w:widowControl w:val="0"/>
        <w:rPr>
          <w:lang w:val="es-CO"/>
        </w:rPr>
      </w:pPr>
    </w:p>
    <w:p w14:paraId="7E017848" w14:textId="77777777" w:rsidR="005C5158" w:rsidRPr="00500E12" w:rsidRDefault="005C5158" w:rsidP="004E124A">
      <w:pPr>
        <w:widowControl w:val="0"/>
        <w:rPr>
          <w:lang w:val="es-CO"/>
        </w:rPr>
      </w:pPr>
      <w:r w:rsidRPr="00500E12">
        <w:rPr>
          <w:lang w:val="es-CO"/>
        </w:rPr>
        <w:lastRenderedPageBreak/>
        <w:t xml:space="preserve">2.2. </w:t>
      </w:r>
      <w:r w:rsidR="00DD14C8" w:rsidRPr="00500E12">
        <w:rPr>
          <w:lang w:val="es-CO"/>
        </w:rPr>
        <w:t xml:space="preserve">Señaló que durante la ejecución del contrato, se advirtió la insuficiencia del presupuesto oficial para el efecto, </w:t>
      </w:r>
      <w:r w:rsidR="009D782E" w:rsidRPr="00500E12">
        <w:rPr>
          <w:lang w:val="es-CO"/>
        </w:rPr>
        <w:t>por las</w:t>
      </w:r>
      <w:r w:rsidR="00DD14C8" w:rsidRPr="00500E12">
        <w:rPr>
          <w:lang w:val="es-CO"/>
        </w:rPr>
        <w:t xml:space="preserve"> inundaciones originadas en la creciente de la quebrada “</w:t>
      </w:r>
      <w:r w:rsidR="00DD14C8" w:rsidRPr="00500E12">
        <w:rPr>
          <w:i/>
          <w:lang w:val="es-CO"/>
        </w:rPr>
        <w:t>Negra”</w:t>
      </w:r>
      <w:r w:rsidR="00D505A9" w:rsidRPr="00500E12">
        <w:rPr>
          <w:i/>
          <w:lang w:val="es-CO"/>
        </w:rPr>
        <w:t xml:space="preserve"> </w:t>
      </w:r>
      <w:r w:rsidR="00D505A9" w:rsidRPr="00500E12">
        <w:rPr>
          <w:lang w:val="es-CO"/>
        </w:rPr>
        <w:t>del municipio de Útica, razón por la que las partes</w:t>
      </w:r>
      <w:r w:rsidR="00266FA5" w:rsidRPr="00500E12">
        <w:rPr>
          <w:lang w:val="es-CO"/>
        </w:rPr>
        <w:t>,</w:t>
      </w:r>
      <w:r w:rsidR="00D505A9" w:rsidRPr="00500E12">
        <w:rPr>
          <w:lang w:val="es-CO"/>
        </w:rPr>
        <w:t xml:space="preserve"> convinieron una solución parcial, que consistía en combinar actividades de dragado con protecciones en gaviones, </w:t>
      </w:r>
      <w:r w:rsidR="009D782E" w:rsidRPr="00500E12">
        <w:rPr>
          <w:lang w:val="es-CO"/>
        </w:rPr>
        <w:t xml:space="preserve">que </w:t>
      </w:r>
      <w:r w:rsidR="00D505A9" w:rsidRPr="00500E12">
        <w:rPr>
          <w:lang w:val="es-CO"/>
        </w:rPr>
        <w:t>se ajustaban al presupuesto</w:t>
      </w:r>
      <w:r w:rsidR="009D782E" w:rsidRPr="00500E12">
        <w:rPr>
          <w:lang w:val="es-CO"/>
        </w:rPr>
        <w:t>,</w:t>
      </w:r>
      <w:r w:rsidR="00D505A9" w:rsidRPr="00500E12">
        <w:rPr>
          <w:lang w:val="es-CO"/>
        </w:rPr>
        <w:t xml:space="preserve"> pero requerían mayor mantenimiento posterior.</w:t>
      </w:r>
    </w:p>
    <w:p w14:paraId="19704BCF" w14:textId="77777777" w:rsidR="00D505A9" w:rsidRPr="00500E12" w:rsidRDefault="00D505A9" w:rsidP="004E124A">
      <w:pPr>
        <w:widowControl w:val="0"/>
        <w:rPr>
          <w:lang w:val="es-CO"/>
        </w:rPr>
      </w:pPr>
    </w:p>
    <w:p w14:paraId="0418FC2D" w14:textId="77777777" w:rsidR="004B10EA" w:rsidRPr="00500E12" w:rsidRDefault="00D505A9" w:rsidP="004E124A">
      <w:pPr>
        <w:widowControl w:val="0"/>
        <w:rPr>
          <w:lang w:val="es-CO"/>
        </w:rPr>
      </w:pPr>
      <w:r w:rsidRPr="00500E12">
        <w:rPr>
          <w:lang w:val="es-CO"/>
        </w:rPr>
        <w:t xml:space="preserve">2.3. </w:t>
      </w:r>
      <w:r w:rsidR="004B10EA" w:rsidRPr="00500E12">
        <w:rPr>
          <w:lang w:val="es-CO"/>
        </w:rPr>
        <w:t xml:space="preserve">Manifestó que </w:t>
      </w:r>
      <w:r w:rsidR="00847ACE" w:rsidRPr="00500E12">
        <w:rPr>
          <w:lang w:val="es-CO"/>
        </w:rPr>
        <w:t>dicha</w:t>
      </w:r>
      <w:r w:rsidR="004B10EA" w:rsidRPr="00500E12">
        <w:rPr>
          <w:lang w:val="es-CO"/>
        </w:rPr>
        <w:t xml:space="preserve"> modificación se hizo con la participación del alcalde municipal, representantes de la comunidad, el supervisor e interventor del contrato, ingenieros y </w:t>
      </w:r>
      <w:r w:rsidR="00B016A9" w:rsidRPr="00500E12">
        <w:rPr>
          <w:lang w:val="es-CO"/>
        </w:rPr>
        <w:t>representantes</w:t>
      </w:r>
      <w:r w:rsidR="004B10EA" w:rsidRPr="00500E12">
        <w:rPr>
          <w:lang w:val="es-CO"/>
        </w:rPr>
        <w:t xml:space="preserve"> de la contratante, po</w:t>
      </w:r>
      <w:r w:rsidR="00873D93" w:rsidRPr="00500E12">
        <w:rPr>
          <w:lang w:val="es-CO"/>
        </w:rPr>
        <w:t>r lo que una vez hecho el diagnó</w:t>
      </w:r>
      <w:r w:rsidR="004B10EA" w:rsidRPr="00500E12">
        <w:rPr>
          <w:lang w:val="es-CO"/>
        </w:rPr>
        <w:t>stico</w:t>
      </w:r>
      <w:r w:rsidR="00D43EC4" w:rsidRPr="00500E12">
        <w:rPr>
          <w:lang w:val="es-CO"/>
        </w:rPr>
        <w:t>,</w:t>
      </w:r>
      <w:r w:rsidR="004B10EA" w:rsidRPr="00500E12">
        <w:rPr>
          <w:lang w:val="es-CO"/>
        </w:rPr>
        <w:t xml:space="preserve"> se determinaron puntos críticos de las inundaciones</w:t>
      </w:r>
      <w:r w:rsidR="00B016A9" w:rsidRPr="00500E12">
        <w:rPr>
          <w:lang w:val="es-CO"/>
        </w:rPr>
        <w:t>,</w:t>
      </w:r>
      <w:r w:rsidR="004B10EA" w:rsidRPr="00500E12">
        <w:rPr>
          <w:lang w:val="es-CO"/>
        </w:rPr>
        <w:t xml:space="preserve"> para la construcción paralela de un canal de un metro de profundidad</w:t>
      </w:r>
      <w:r w:rsidR="00D43EC4" w:rsidRPr="00500E12">
        <w:rPr>
          <w:lang w:val="es-CO"/>
        </w:rPr>
        <w:t xml:space="preserve">, así como </w:t>
      </w:r>
      <w:r w:rsidR="004B10EA" w:rsidRPr="00500E12">
        <w:rPr>
          <w:lang w:val="es-CO"/>
        </w:rPr>
        <w:t>muros de tres metros de altura.</w:t>
      </w:r>
    </w:p>
    <w:p w14:paraId="4D8EF1C2" w14:textId="77777777" w:rsidR="004B10EA" w:rsidRPr="00500E12" w:rsidRDefault="004B10EA" w:rsidP="004E124A">
      <w:pPr>
        <w:widowControl w:val="0"/>
        <w:rPr>
          <w:lang w:val="es-CO"/>
        </w:rPr>
      </w:pPr>
    </w:p>
    <w:p w14:paraId="7FDD8E24" w14:textId="77777777" w:rsidR="009457BF" w:rsidRPr="00500E12" w:rsidRDefault="004B10EA" w:rsidP="004E124A">
      <w:pPr>
        <w:widowControl w:val="0"/>
        <w:rPr>
          <w:lang w:val="es-CO"/>
        </w:rPr>
      </w:pPr>
      <w:r w:rsidRPr="00500E12">
        <w:rPr>
          <w:lang w:val="es-CO"/>
        </w:rPr>
        <w:t xml:space="preserve">2.4. </w:t>
      </w:r>
      <w:r w:rsidR="007C4A2D" w:rsidRPr="00500E12">
        <w:rPr>
          <w:lang w:val="es-CO"/>
        </w:rPr>
        <w:t>La obra fue recibida a satisfacción por la contratante a través del supervisor e interventor y, en consecuencia,</w:t>
      </w:r>
      <w:r w:rsidR="00A506AC" w:rsidRPr="00500E12">
        <w:rPr>
          <w:lang w:val="es-CO"/>
        </w:rPr>
        <w:t xml:space="preserve"> </w:t>
      </w:r>
      <w:r w:rsidR="00D64D28" w:rsidRPr="00500E12">
        <w:rPr>
          <w:lang w:val="es-CO"/>
        </w:rPr>
        <w:t>el contrato se liquidó</w:t>
      </w:r>
      <w:r w:rsidR="007C4A2D" w:rsidRPr="00500E12">
        <w:rPr>
          <w:lang w:val="es-CO"/>
        </w:rPr>
        <w:t xml:space="preserve">. </w:t>
      </w:r>
      <w:r w:rsidR="00D37AB6" w:rsidRPr="00500E12">
        <w:rPr>
          <w:lang w:val="es-CO"/>
        </w:rPr>
        <w:t xml:space="preserve">Posteriormente, en la zona </w:t>
      </w:r>
      <w:r w:rsidR="00847ACE" w:rsidRPr="00500E12">
        <w:rPr>
          <w:lang w:val="es-CO"/>
        </w:rPr>
        <w:t xml:space="preserve">se presentó </w:t>
      </w:r>
      <w:r w:rsidR="00D37AB6" w:rsidRPr="00500E12">
        <w:rPr>
          <w:lang w:val="es-CO"/>
        </w:rPr>
        <w:t xml:space="preserve">una fuerte ola invernal que </w:t>
      </w:r>
      <w:r w:rsidR="00847ACE" w:rsidRPr="00500E12">
        <w:rPr>
          <w:lang w:val="es-CO"/>
        </w:rPr>
        <w:t>generó</w:t>
      </w:r>
      <w:r w:rsidR="00D37AB6" w:rsidRPr="00500E12">
        <w:rPr>
          <w:lang w:val="es-CO"/>
        </w:rPr>
        <w:t xml:space="preserve"> inundaciones por la creciente del río Negro y no de la quebrada Negra.</w:t>
      </w:r>
      <w:r w:rsidRPr="00500E12">
        <w:rPr>
          <w:lang w:val="es-CO"/>
        </w:rPr>
        <w:t xml:space="preserve"> </w:t>
      </w:r>
      <w:r w:rsidR="00D37AB6" w:rsidRPr="00500E12">
        <w:rPr>
          <w:lang w:val="es-CO"/>
        </w:rPr>
        <w:t>Adicion</w:t>
      </w:r>
      <w:r w:rsidR="00847ACE" w:rsidRPr="00500E12">
        <w:rPr>
          <w:lang w:val="es-CO"/>
        </w:rPr>
        <w:t xml:space="preserve">almente, con el paso del tiempo, </w:t>
      </w:r>
      <w:r w:rsidR="00D37AB6" w:rsidRPr="00500E12">
        <w:rPr>
          <w:lang w:val="es-CO"/>
        </w:rPr>
        <w:t xml:space="preserve">se evidenciaron unos eventos que requirieron una reparación </w:t>
      </w:r>
      <w:r w:rsidR="00DB4CD1" w:rsidRPr="00500E12">
        <w:rPr>
          <w:lang w:val="es-CO"/>
        </w:rPr>
        <w:t xml:space="preserve">que asumió el </w:t>
      </w:r>
      <w:r w:rsidR="009457BF" w:rsidRPr="00500E12">
        <w:rPr>
          <w:lang w:val="es-CO"/>
        </w:rPr>
        <w:t>contratista</w:t>
      </w:r>
      <w:r w:rsidR="00A506AC" w:rsidRPr="00500E12">
        <w:rPr>
          <w:lang w:val="es-CO"/>
        </w:rPr>
        <w:t>,</w:t>
      </w:r>
      <w:r w:rsidR="009457BF" w:rsidRPr="00500E12">
        <w:rPr>
          <w:lang w:val="es-CO"/>
        </w:rPr>
        <w:t xml:space="preserve"> con la advertencia que debía hacerse mantenimiento al dragado para evitar que se repitiera la situación.</w:t>
      </w:r>
    </w:p>
    <w:p w14:paraId="71A30624" w14:textId="77777777" w:rsidR="007D5CE3" w:rsidRPr="00500E12" w:rsidRDefault="007D5CE3" w:rsidP="004E124A">
      <w:pPr>
        <w:widowControl w:val="0"/>
        <w:rPr>
          <w:lang w:val="es-CO"/>
        </w:rPr>
      </w:pPr>
    </w:p>
    <w:p w14:paraId="162F9814" w14:textId="77777777" w:rsidR="007D5CE3" w:rsidRPr="00500E12" w:rsidRDefault="007D5CE3" w:rsidP="004E124A">
      <w:pPr>
        <w:widowControl w:val="0"/>
        <w:rPr>
          <w:lang w:val="es-CO"/>
        </w:rPr>
      </w:pPr>
      <w:r w:rsidRPr="00500E12">
        <w:rPr>
          <w:lang w:val="es-CO"/>
        </w:rPr>
        <w:t xml:space="preserve">2.5. Agregó que por solicitud de la administración, el interventor rindió un informe conforme al cual, la falla se originó en la falta de mantenimiento del canal. Sobre este punto, la parte actora precisó que el </w:t>
      </w:r>
      <w:r w:rsidR="009D6DC9" w:rsidRPr="00500E12">
        <w:rPr>
          <w:lang w:val="es-CO"/>
        </w:rPr>
        <w:t>dicho</w:t>
      </w:r>
      <w:r w:rsidRPr="00500E12">
        <w:rPr>
          <w:lang w:val="es-CO"/>
        </w:rPr>
        <w:t xml:space="preserve"> mantenimiento no era </w:t>
      </w:r>
      <w:r w:rsidR="009D6DC9" w:rsidRPr="00500E12">
        <w:rPr>
          <w:lang w:val="es-CO"/>
        </w:rPr>
        <w:t xml:space="preserve">una </w:t>
      </w:r>
      <w:r w:rsidRPr="00500E12">
        <w:rPr>
          <w:lang w:val="es-CO"/>
        </w:rPr>
        <w:t xml:space="preserve">obligación contractual a </w:t>
      </w:r>
      <w:r w:rsidR="00822479" w:rsidRPr="00500E12">
        <w:rPr>
          <w:lang w:val="es-CO"/>
        </w:rPr>
        <w:t xml:space="preserve">su </w:t>
      </w:r>
      <w:r w:rsidRPr="00500E12">
        <w:rPr>
          <w:lang w:val="es-CO"/>
        </w:rPr>
        <w:t>cargo.</w:t>
      </w:r>
    </w:p>
    <w:p w14:paraId="3AE9FAA0" w14:textId="77777777" w:rsidR="007D5CE3" w:rsidRPr="00500E12" w:rsidRDefault="007D5CE3" w:rsidP="004E124A">
      <w:pPr>
        <w:widowControl w:val="0"/>
        <w:rPr>
          <w:lang w:val="es-CO"/>
        </w:rPr>
      </w:pPr>
    </w:p>
    <w:p w14:paraId="3D40B147" w14:textId="77777777" w:rsidR="00342F64" w:rsidRPr="00500E12" w:rsidRDefault="007D5CE3" w:rsidP="004E124A">
      <w:pPr>
        <w:widowControl w:val="0"/>
        <w:rPr>
          <w:lang w:val="es-CO"/>
        </w:rPr>
      </w:pPr>
      <w:r w:rsidRPr="00500E12">
        <w:rPr>
          <w:lang w:val="es-CO"/>
        </w:rPr>
        <w:t>2.6. Explicó que en diciembre de 1999, ante la ausencia de labores de mantenimiento, se presentó un nuevo daño en el mismo sitio del muro</w:t>
      </w:r>
      <w:r w:rsidR="00724FEF" w:rsidRPr="00500E12">
        <w:rPr>
          <w:lang w:val="es-CO"/>
        </w:rPr>
        <w:t xml:space="preserve">, respecto del </w:t>
      </w:r>
      <w:r w:rsidR="00071B9F" w:rsidRPr="00500E12">
        <w:rPr>
          <w:lang w:val="es-CO"/>
        </w:rPr>
        <w:t>que</w:t>
      </w:r>
      <w:r w:rsidR="00724FEF" w:rsidRPr="00500E12">
        <w:rPr>
          <w:lang w:val="es-CO"/>
        </w:rPr>
        <w:t xml:space="preserve"> </w:t>
      </w:r>
      <w:r w:rsidRPr="00500E12">
        <w:rPr>
          <w:lang w:val="es-CO"/>
        </w:rPr>
        <w:t>el supervisor del contrato</w:t>
      </w:r>
      <w:r w:rsidR="00071B9F" w:rsidRPr="00500E12">
        <w:rPr>
          <w:lang w:val="es-CO"/>
        </w:rPr>
        <w:t>,</w:t>
      </w:r>
      <w:r w:rsidRPr="00500E12">
        <w:rPr>
          <w:lang w:val="es-CO"/>
        </w:rPr>
        <w:t xml:space="preserve"> señaló como causas el inapropiado diseño y construcción </w:t>
      </w:r>
      <w:r w:rsidR="00071B9F" w:rsidRPr="00500E12">
        <w:rPr>
          <w:lang w:val="es-CO"/>
        </w:rPr>
        <w:t xml:space="preserve">por parte </w:t>
      </w:r>
      <w:r w:rsidRPr="00500E12">
        <w:rPr>
          <w:lang w:val="es-CO"/>
        </w:rPr>
        <w:t xml:space="preserve">del contratista, </w:t>
      </w:r>
      <w:r w:rsidR="00724FEF" w:rsidRPr="00500E12">
        <w:rPr>
          <w:lang w:val="es-CO"/>
        </w:rPr>
        <w:t>que</w:t>
      </w:r>
      <w:r w:rsidRPr="00500E12">
        <w:rPr>
          <w:lang w:val="es-CO"/>
        </w:rPr>
        <w:t xml:space="preserve"> el muro </w:t>
      </w:r>
      <w:r w:rsidR="00724FEF" w:rsidRPr="00500E12">
        <w:rPr>
          <w:lang w:val="es-CO"/>
        </w:rPr>
        <w:t>estaba</w:t>
      </w:r>
      <w:r w:rsidRPr="00500E12">
        <w:rPr>
          <w:lang w:val="es-CO"/>
        </w:rPr>
        <w:t xml:space="preserve"> a punto de colapsar</w:t>
      </w:r>
      <w:r w:rsidR="00071B9F" w:rsidRPr="00500E12">
        <w:rPr>
          <w:lang w:val="es-CO"/>
        </w:rPr>
        <w:t xml:space="preserve"> y su </w:t>
      </w:r>
      <w:r w:rsidR="00342F64" w:rsidRPr="00500E12">
        <w:rPr>
          <w:lang w:val="es-CO"/>
        </w:rPr>
        <w:t xml:space="preserve">rediseño y edificación </w:t>
      </w:r>
      <w:r w:rsidR="00071B9F" w:rsidRPr="00500E12">
        <w:rPr>
          <w:lang w:val="es-CO"/>
        </w:rPr>
        <w:t>ascendían a</w:t>
      </w:r>
      <w:r w:rsidR="00724FEF" w:rsidRPr="00500E12">
        <w:rPr>
          <w:lang w:val="es-CO"/>
        </w:rPr>
        <w:t xml:space="preserve"> la suma de $107 589 515,67. Sobre este aspecto, en la demanda se afirmó que tal apreciación no contaba con </w:t>
      </w:r>
      <w:r w:rsidR="00342F64" w:rsidRPr="00500E12">
        <w:rPr>
          <w:lang w:val="es-CO"/>
        </w:rPr>
        <w:t>sustento.</w:t>
      </w:r>
    </w:p>
    <w:p w14:paraId="75DDD2DF" w14:textId="77777777" w:rsidR="00342F64" w:rsidRPr="00500E12" w:rsidRDefault="00342F64" w:rsidP="004E124A">
      <w:pPr>
        <w:widowControl w:val="0"/>
        <w:rPr>
          <w:lang w:val="es-CO"/>
        </w:rPr>
      </w:pPr>
    </w:p>
    <w:p w14:paraId="59EFAC4C" w14:textId="77777777" w:rsidR="008B707E" w:rsidRPr="00500E12" w:rsidRDefault="00342F64" w:rsidP="004E124A">
      <w:pPr>
        <w:widowControl w:val="0"/>
        <w:rPr>
          <w:lang w:val="es-CO"/>
        </w:rPr>
      </w:pPr>
      <w:r w:rsidRPr="00500E12">
        <w:rPr>
          <w:lang w:val="es-CO"/>
        </w:rPr>
        <w:t xml:space="preserve">2.7. </w:t>
      </w:r>
      <w:r w:rsidR="001B70C6" w:rsidRPr="00500E12">
        <w:rPr>
          <w:lang w:val="es-CO"/>
        </w:rPr>
        <w:t xml:space="preserve">Con fundamento en lo anterior, la contratante declaró unilateralmente la ocurrencia </w:t>
      </w:r>
      <w:r w:rsidR="007167A3" w:rsidRPr="00500E12">
        <w:rPr>
          <w:lang w:val="es-CO"/>
        </w:rPr>
        <w:t>d</w:t>
      </w:r>
      <w:r w:rsidR="001B70C6" w:rsidRPr="00500E12">
        <w:rPr>
          <w:lang w:val="es-CO"/>
        </w:rPr>
        <w:t xml:space="preserve">el siniestro de estabilidad de la obra del contrato </w:t>
      </w:r>
      <w:r w:rsidR="00693E66" w:rsidRPr="00500E12">
        <w:rPr>
          <w:lang w:val="es-CO"/>
        </w:rPr>
        <w:t xml:space="preserve">n.º </w:t>
      </w:r>
      <w:r w:rsidR="001B70C6" w:rsidRPr="00500E12">
        <w:rPr>
          <w:lang w:val="es-CO"/>
        </w:rPr>
        <w:t xml:space="preserve">046 de 1998 y ordenó a la aseguradora </w:t>
      </w:r>
      <w:r w:rsidR="008B707E" w:rsidRPr="00500E12">
        <w:rPr>
          <w:lang w:val="es-CO"/>
        </w:rPr>
        <w:t xml:space="preserve">el pago de $52 146 139,65. </w:t>
      </w:r>
    </w:p>
    <w:p w14:paraId="5AB1C00A" w14:textId="77777777" w:rsidR="00A073EE" w:rsidRPr="00500E12" w:rsidRDefault="00A073EE" w:rsidP="004E124A">
      <w:pPr>
        <w:widowControl w:val="0"/>
        <w:rPr>
          <w:lang w:val="es-CO"/>
        </w:rPr>
      </w:pPr>
    </w:p>
    <w:p w14:paraId="70213711" w14:textId="77777777" w:rsidR="00EC2F44" w:rsidRPr="00500E12" w:rsidRDefault="008B707E" w:rsidP="004E124A">
      <w:pPr>
        <w:widowControl w:val="0"/>
        <w:rPr>
          <w:lang w:val="es-CO"/>
        </w:rPr>
      </w:pPr>
      <w:r w:rsidRPr="00500E12">
        <w:rPr>
          <w:lang w:val="es-CO"/>
        </w:rPr>
        <w:t>2.8. La contratista y la aseguradora presentaron recurso de reposición contra esa decisión,</w:t>
      </w:r>
      <w:r w:rsidR="00EC2F44" w:rsidRPr="00500E12">
        <w:rPr>
          <w:lang w:val="es-CO"/>
        </w:rPr>
        <w:t xml:space="preserve"> que fue confirmada a través de la Resolución n.º 168 del 21 de diciembre de 2000.</w:t>
      </w:r>
    </w:p>
    <w:p w14:paraId="454A758C" w14:textId="77777777" w:rsidR="00EC2F44" w:rsidRPr="00500E12" w:rsidRDefault="00EC2F44" w:rsidP="004E124A">
      <w:pPr>
        <w:widowControl w:val="0"/>
        <w:rPr>
          <w:lang w:val="es-CO"/>
        </w:rPr>
      </w:pPr>
    </w:p>
    <w:p w14:paraId="548C44C4" w14:textId="77777777" w:rsidR="007D5CE3" w:rsidRPr="00500E12" w:rsidRDefault="00EC2F44" w:rsidP="004E124A">
      <w:pPr>
        <w:widowControl w:val="0"/>
        <w:rPr>
          <w:lang w:val="es-CO"/>
        </w:rPr>
      </w:pPr>
      <w:r w:rsidRPr="00500E12">
        <w:rPr>
          <w:lang w:val="es-CO"/>
        </w:rPr>
        <w:t>2.9. Adujo como normas violadas</w:t>
      </w:r>
      <w:r w:rsidR="005A2806" w:rsidRPr="00500E12">
        <w:rPr>
          <w:lang w:val="es-CO"/>
        </w:rPr>
        <w:t>,</w:t>
      </w:r>
      <w:r w:rsidRPr="00500E12">
        <w:rPr>
          <w:lang w:val="es-CO"/>
        </w:rPr>
        <w:t xml:space="preserve"> </w:t>
      </w:r>
      <w:r w:rsidR="00864ED8" w:rsidRPr="00500E12">
        <w:rPr>
          <w:lang w:val="es-CO"/>
        </w:rPr>
        <w:t xml:space="preserve">los artículos 6 de la Constitución Política y 13 y 18 de la Ley 80 de 1993, bajo el entendido </w:t>
      </w:r>
      <w:r w:rsidR="00F35131" w:rsidRPr="00500E12">
        <w:rPr>
          <w:lang w:val="es-CO"/>
        </w:rPr>
        <w:t xml:space="preserve">de </w:t>
      </w:r>
      <w:r w:rsidR="00864ED8" w:rsidRPr="00500E12">
        <w:rPr>
          <w:lang w:val="es-CO"/>
        </w:rPr>
        <w:t xml:space="preserve">que la administración no estaba facultada para declarar </w:t>
      </w:r>
      <w:r w:rsidR="00F35131" w:rsidRPr="00500E12">
        <w:rPr>
          <w:lang w:val="es-CO"/>
        </w:rPr>
        <w:t xml:space="preserve">unilateralmente el </w:t>
      </w:r>
      <w:r w:rsidR="00864ED8" w:rsidRPr="00500E12">
        <w:rPr>
          <w:lang w:val="es-CO"/>
        </w:rPr>
        <w:t xml:space="preserve"> siniestro de estabilidad de </w:t>
      </w:r>
      <w:r w:rsidR="00F35131" w:rsidRPr="00500E12">
        <w:rPr>
          <w:lang w:val="es-CO"/>
        </w:rPr>
        <w:t xml:space="preserve">la </w:t>
      </w:r>
      <w:r w:rsidR="00864ED8" w:rsidRPr="00500E12">
        <w:rPr>
          <w:lang w:val="es-CO"/>
        </w:rPr>
        <w:t xml:space="preserve">obra, </w:t>
      </w:r>
      <w:r w:rsidR="005A2806" w:rsidRPr="00500E12">
        <w:rPr>
          <w:lang w:val="es-CO"/>
        </w:rPr>
        <w:t>fundamentada en</w:t>
      </w:r>
      <w:r w:rsidR="00864ED8" w:rsidRPr="00500E12">
        <w:rPr>
          <w:lang w:val="es-CO"/>
        </w:rPr>
        <w:t xml:space="preserve"> una potestad exorbitante, de la que dijo</w:t>
      </w:r>
      <w:r w:rsidR="005A2806" w:rsidRPr="00500E12">
        <w:rPr>
          <w:lang w:val="es-CO"/>
        </w:rPr>
        <w:t>,</w:t>
      </w:r>
      <w:r w:rsidR="00864ED8" w:rsidRPr="00500E12">
        <w:rPr>
          <w:lang w:val="es-CO"/>
        </w:rPr>
        <w:t xml:space="preserve"> solo era posible en los eventos de caducidad del contrato. </w:t>
      </w:r>
    </w:p>
    <w:p w14:paraId="2436E2EE" w14:textId="77777777" w:rsidR="002826B9" w:rsidRPr="00500E12" w:rsidRDefault="002826B9" w:rsidP="004E124A">
      <w:pPr>
        <w:widowControl w:val="0"/>
        <w:rPr>
          <w:lang w:val="es-CO"/>
        </w:rPr>
      </w:pPr>
    </w:p>
    <w:p w14:paraId="68AC8220" w14:textId="77777777" w:rsidR="00FA1478" w:rsidRPr="00500E12" w:rsidRDefault="002826B9" w:rsidP="00FA1478">
      <w:pPr>
        <w:widowControl w:val="0"/>
        <w:rPr>
          <w:lang w:val="es-CO"/>
        </w:rPr>
      </w:pPr>
      <w:r w:rsidRPr="00500E12">
        <w:rPr>
          <w:lang w:val="es-CO"/>
        </w:rPr>
        <w:t xml:space="preserve">2.10. Concomitante con la demanda, </w:t>
      </w:r>
      <w:r w:rsidR="00FE3188" w:rsidRPr="00500E12">
        <w:rPr>
          <w:lang w:val="es-CO"/>
        </w:rPr>
        <w:t xml:space="preserve">la parte actora solicitó la suspensión provisional de los actos administrativos demandados, </w:t>
      </w:r>
      <w:r w:rsidR="00FA1478" w:rsidRPr="00500E12">
        <w:rPr>
          <w:lang w:val="es-CO"/>
        </w:rPr>
        <w:t xml:space="preserve">con base en las mismas normas a las que se hizo </w:t>
      </w:r>
      <w:r w:rsidR="00FE3188" w:rsidRPr="00500E12">
        <w:rPr>
          <w:lang w:val="es-CO"/>
        </w:rPr>
        <w:t>referencia de manera precedente</w:t>
      </w:r>
      <w:r w:rsidR="004B153F" w:rsidRPr="00500E12">
        <w:rPr>
          <w:lang w:val="es-CO"/>
        </w:rPr>
        <w:t>. C</w:t>
      </w:r>
      <w:r w:rsidR="00FA1478" w:rsidRPr="00500E12">
        <w:rPr>
          <w:lang w:val="es-CO"/>
        </w:rPr>
        <w:t>onsideró que la ejecutoria de aquellos</w:t>
      </w:r>
      <w:r w:rsidR="004B153F" w:rsidRPr="00500E12">
        <w:rPr>
          <w:lang w:val="es-CO"/>
        </w:rPr>
        <w:t>,</w:t>
      </w:r>
      <w:r w:rsidR="00FA1478" w:rsidRPr="00500E12">
        <w:rPr>
          <w:lang w:val="es-CO"/>
        </w:rPr>
        <w:t xml:space="preserve"> implicaba el desembolso de una suma de</w:t>
      </w:r>
      <w:r w:rsidR="00B34D6A" w:rsidRPr="00500E12">
        <w:rPr>
          <w:lang w:val="es-CO"/>
        </w:rPr>
        <w:t xml:space="preserve"> dinero y un eventual perjuicio</w:t>
      </w:r>
      <w:r w:rsidR="00FA1478" w:rsidRPr="00500E12">
        <w:rPr>
          <w:lang w:val="es-CO"/>
        </w:rPr>
        <w:t xml:space="preserve"> en otros procesos de contratación con entidades públicas. Sostuvo que la entidad no contaba con la facultad para el efecto, toda vez que la misma es restrictiva y está consagrada en el artículo 18 de la Ley 80 de 1993, conforme al cual, procede declarar la ocurrencia del siniestro en aquellos eventos en los que se </w:t>
      </w:r>
      <w:r w:rsidR="006A4F06" w:rsidRPr="00500E12">
        <w:rPr>
          <w:lang w:val="es-CO"/>
        </w:rPr>
        <w:t>habla de</w:t>
      </w:r>
      <w:r w:rsidR="00FA1478" w:rsidRPr="00500E12">
        <w:rPr>
          <w:lang w:val="es-CO"/>
        </w:rPr>
        <w:t xml:space="preserve"> caducidad del contrato por incumplimiento y, en consecuencia, </w:t>
      </w:r>
      <w:r w:rsidR="00B34D6A" w:rsidRPr="00500E12">
        <w:rPr>
          <w:lang w:val="es-CO"/>
        </w:rPr>
        <w:t xml:space="preserve">lo que </w:t>
      </w:r>
      <w:r w:rsidR="00FA1478" w:rsidRPr="00500E12">
        <w:rPr>
          <w:lang w:val="es-CO"/>
        </w:rPr>
        <w:t xml:space="preserve">procedía era </w:t>
      </w:r>
      <w:r w:rsidR="00B34D6A" w:rsidRPr="00500E12">
        <w:rPr>
          <w:lang w:val="es-CO"/>
        </w:rPr>
        <w:t>agotar l</w:t>
      </w:r>
      <w:r w:rsidR="000831B3" w:rsidRPr="00500E12">
        <w:rPr>
          <w:lang w:val="es-CO"/>
        </w:rPr>
        <w:t xml:space="preserve">a reclamación </w:t>
      </w:r>
      <w:r w:rsidR="00FE3188" w:rsidRPr="00500E12">
        <w:rPr>
          <w:lang w:val="es-CO"/>
        </w:rPr>
        <w:t xml:space="preserve">prevista en el Código de Comercio para el contrato de seguro. </w:t>
      </w:r>
    </w:p>
    <w:p w14:paraId="3D08F246" w14:textId="77777777" w:rsidR="00564523" w:rsidRPr="00500E12" w:rsidRDefault="00564523" w:rsidP="00FA1478">
      <w:pPr>
        <w:widowControl w:val="0"/>
        <w:rPr>
          <w:lang w:val="es-CO"/>
        </w:rPr>
      </w:pPr>
    </w:p>
    <w:p w14:paraId="1B432972" w14:textId="77777777" w:rsidR="00265915" w:rsidRPr="00500E12" w:rsidRDefault="007B7107" w:rsidP="00B37D96">
      <w:pPr>
        <w:widowControl w:val="0"/>
        <w:suppressAutoHyphens w:val="0"/>
        <w:overflowPunct/>
        <w:autoSpaceDE/>
        <w:spacing w:line="240" w:lineRule="auto"/>
        <w:ind w:right="618"/>
        <w:textAlignment w:val="auto"/>
        <w:rPr>
          <w:b/>
          <w:bCs/>
          <w:lang w:val="es-CO"/>
        </w:rPr>
      </w:pPr>
      <w:r w:rsidRPr="00500E12">
        <w:rPr>
          <w:b/>
          <w:bCs/>
          <w:lang w:val="es-CO"/>
        </w:rPr>
        <w:t>I</w:t>
      </w:r>
      <w:r w:rsidR="00372D79" w:rsidRPr="00500E12">
        <w:rPr>
          <w:b/>
          <w:bCs/>
          <w:lang w:val="es-CO"/>
        </w:rPr>
        <w:t>I</w:t>
      </w:r>
      <w:r w:rsidR="00265915" w:rsidRPr="00500E12">
        <w:rPr>
          <w:b/>
          <w:bCs/>
          <w:lang w:val="es-CO"/>
        </w:rPr>
        <w:t>.</w:t>
      </w:r>
      <w:r w:rsidRPr="00500E12">
        <w:rPr>
          <w:b/>
          <w:bCs/>
          <w:lang w:val="es-CO"/>
        </w:rPr>
        <w:t xml:space="preserve"> Trámite proces</w:t>
      </w:r>
      <w:r w:rsidR="00D67020" w:rsidRPr="00500E12">
        <w:rPr>
          <w:b/>
          <w:bCs/>
          <w:lang w:val="es-CO"/>
        </w:rPr>
        <w:t>al</w:t>
      </w:r>
    </w:p>
    <w:p w14:paraId="7A99AEDC" w14:textId="77777777" w:rsidR="00FA5E5A" w:rsidRPr="00500E12" w:rsidRDefault="00FA5E5A" w:rsidP="00816E2D">
      <w:pPr>
        <w:rPr>
          <w:lang w:val="es-CO"/>
        </w:rPr>
      </w:pPr>
    </w:p>
    <w:p w14:paraId="74D633D1" w14:textId="77777777" w:rsidR="001640C1" w:rsidRPr="00500E12" w:rsidRDefault="00C03398" w:rsidP="001640C1">
      <w:pPr>
        <w:rPr>
          <w:lang w:val="es-CO"/>
        </w:rPr>
      </w:pPr>
      <w:r w:rsidRPr="00500E12">
        <w:rPr>
          <w:lang w:val="es-CO"/>
        </w:rPr>
        <w:t>3</w:t>
      </w:r>
      <w:r w:rsidR="00C91D2D" w:rsidRPr="00500E12">
        <w:rPr>
          <w:lang w:val="es-CO"/>
        </w:rPr>
        <w:t xml:space="preserve">. </w:t>
      </w:r>
      <w:r w:rsidR="00FE17FF" w:rsidRPr="00500E12">
        <w:rPr>
          <w:lang w:val="es-CO"/>
        </w:rPr>
        <w:t xml:space="preserve">El </w:t>
      </w:r>
      <w:r w:rsidR="00D64F5C" w:rsidRPr="00500E12">
        <w:rPr>
          <w:lang w:val="es-CO"/>
        </w:rPr>
        <w:t xml:space="preserve">13 de marzo de 2001. El </w:t>
      </w:r>
      <w:r w:rsidR="00C91D2D" w:rsidRPr="00500E12">
        <w:rPr>
          <w:lang w:val="es-CO"/>
        </w:rPr>
        <w:t>Tribunal Administrativo de Cundinamarca</w:t>
      </w:r>
      <w:r w:rsidRPr="00500E12">
        <w:rPr>
          <w:lang w:val="es-CO"/>
        </w:rPr>
        <w:t>, Sección Tercera,</w:t>
      </w:r>
      <w:r w:rsidR="00C91D2D" w:rsidRPr="00500E12">
        <w:rPr>
          <w:lang w:val="es-CO"/>
        </w:rPr>
        <w:t xml:space="preserve"> </w:t>
      </w:r>
      <w:r w:rsidR="00C31386" w:rsidRPr="00500E12">
        <w:rPr>
          <w:lang w:val="es-CO"/>
        </w:rPr>
        <w:t xml:space="preserve">Subsección B, </w:t>
      </w:r>
      <w:r w:rsidR="008D65AC" w:rsidRPr="00500E12">
        <w:rPr>
          <w:lang w:val="es-CO"/>
        </w:rPr>
        <w:t>admitió la demanda</w:t>
      </w:r>
      <w:r w:rsidR="00F34343" w:rsidRPr="00500E12">
        <w:rPr>
          <w:lang w:val="es-CO"/>
        </w:rPr>
        <w:t>, citó como litisconsorte necesario por activa a la Compañía Aseguradora de Fianzas S.A. –Confianza S.A.-</w:t>
      </w:r>
      <w:r w:rsidRPr="00500E12">
        <w:rPr>
          <w:lang w:val="es-CO"/>
        </w:rPr>
        <w:t xml:space="preserve"> </w:t>
      </w:r>
      <w:r w:rsidR="00FE17FF" w:rsidRPr="00500E12">
        <w:rPr>
          <w:lang w:val="es-CO"/>
        </w:rPr>
        <w:t>y negó la solicitud de suspensión provisional (f.20-25 c.1).</w:t>
      </w:r>
      <w:r w:rsidR="003D7ED4" w:rsidRPr="00500E12">
        <w:rPr>
          <w:lang w:val="es-CO"/>
        </w:rPr>
        <w:t xml:space="preserve">  </w:t>
      </w:r>
    </w:p>
    <w:p w14:paraId="588EC98B" w14:textId="77777777" w:rsidR="001640C1" w:rsidRPr="00500E12" w:rsidRDefault="001640C1" w:rsidP="001640C1">
      <w:pPr>
        <w:rPr>
          <w:lang w:val="es-CO"/>
        </w:rPr>
      </w:pPr>
    </w:p>
    <w:p w14:paraId="78D6B3A2" w14:textId="77777777" w:rsidR="001640C1" w:rsidRPr="00500E12" w:rsidRDefault="001640C1" w:rsidP="001640C1">
      <w:pPr>
        <w:rPr>
          <w:i/>
          <w:lang w:val="es-CO"/>
        </w:rPr>
      </w:pPr>
      <w:r w:rsidRPr="00500E12">
        <w:rPr>
          <w:lang w:val="es-CO"/>
        </w:rPr>
        <w:t xml:space="preserve">3.1. </w:t>
      </w:r>
      <w:r w:rsidR="00F35131" w:rsidRPr="00500E12">
        <w:rPr>
          <w:lang w:val="es-CO"/>
        </w:rPr>
        <w:t xml:space="preserve">La </w:t>
      </w:r>
      <w:r w:rsidRPr="00500E12">
        <w:rPr>
          <w:lang w:val="es-CO"/>
        </w:rPr>
        <w:t xml:space="preserve">Compañía Aseguradora de Fianzas S.A. –Confianza S.A.-, </w:t>
      </w:r>
      <w:r w:rsidR="00AF7481" w:rsidRPr="00500E12">
        <w:rPr>
          <w:lang w:val="es-CO"/>
        </w:rPr>
        <w:t xml:space="preserve">solicitó, </w:t>
      </w:r>
      <w:r w:rsidR="004F0739" w:rsidRPr="00500E12">
        <w:rPr>
          <w:lang w:val="es-CO"/>
        </w:rPr>
        <w:t>ser</w:t>
      </w:r>
      <w:r w:rsidRPr="00500E12">
        <w:rPr>
          <w:lang w:val="es-CO"/>
        </w:rPr>
        <w:t xml:space="preserve"> la garante de la sociedad Obando y Mejía Ingenieros Ltda. a través de la póliza n.º GU01010849732 y certificado de modificación n.º CMODF 089776302 del 20 de octubre de 1998, en el marco del contrato</w:t>
      </w:r>
      <w:r w:rsidR="00CB5183" w:rsidRPr="00500E12">
        <w:rPr>
          <w:lang w:val="es-CO"/>
        </w:rPr>
        <w:t xml:space="preserve"> n.º</w:t>
      </w:r>
      <w:r w:rsidRPr="00500E12">
        <w:rPr>
          <w:lang w:val="es-CO"/>
        </w:rPr>
        <w:t xml:space="preserve"> 046 de 1998, suscrito con el departamento de Cundinamarca</w:t>
      </w:r>
      <w:r w:rsidR="00AF7481" w:rsidRPr="00500E12">
        <w:rPr>
          <w:lang w:val="es-CO"/>
        </w:rPr>
        <w:t>, presentó escrito en el cual adujo las siguientes pretensiones</w:t>
      </w:r>
      <w:r w:rsidRPr="00500E12">
        <w:rPr>
          <w:lang w:val="es-CO"/>
        </w:rPr>
        <w:t xml:space="preserve"> (</w:t>
      </w:r>
      <w:r w:rsidR="00AF7481" w:rsidRPr="00500E12">
        <w:rPr>
          <w:lang w:val="es-CO"/>
        </w:rPr>
        <w:t>f.1 c</w:t>
      </w:r>
      <w:r w:rsidRPr="00500E12">
        <w:rPr>
          <w:lang w:val="es-CO"/>
        </w:rPr>
        <w:t>.3)</w:t>
      </w:r>
      <w:r w:rsidR="00AF7481" w:rsidRPr="00500E12">
        <w:rPr>
          <w:lang w:val="es-CO"/>
        </w:rPr>
        <w:t>:</w:t>
      </w:r>
    </w:p>
    <w:p w14:paraId="5FB63B65" w14:textId="77777777" w:rsidR="00AE2CDB" w:rsidRPr="00500E12" w:rsidRDefault="00AE2CDB" w:rsidP="00C7520C">
      <w:pPr>
        <w:rPr>
          <w:lang w:val="es-CO"/>
        </w:rPr>
      </w:pPr>
    </w:p>
    <w:p w14:paraId="6D11811B" w14:textId="77777777" w:rsidR="00B83698" w:rsidRPr="00500E12" w:rsidRDefault="00B83698" w:rsidP="00B83698">
      <w:pPr>
        <w:spacing w:line="240" w:lineRule="auto"/>
        <w:ind w:left="567" w:right="567"/>
        <w:rPr>
          <w:b/>
          <w:i/>
          <w:lang w:val="es-CO"/>
        </w:rPr>
      </w:pPr>
      <w:r w:rsidRPr="00500E12">
        <w:rPr>
          <w:b/>
          <w:i/>
          <w:lang w:val="es-CO"/>
        </w:rPr>
        <w:lastRenderedPageBreak/>
        <w:t>PRETENSIONES</w:t>
      </w:r>
    </w:p>
    <w:p w14:paraId="5392ECD5" w14:textId="77777777" w:rsidR="00B83698" w:rsidRPr="00500E12" w:rsidRDefault="00B83698" w:rsidP="00B83698">
      <w:pPr>
        <w:spacing w:line="240" w:lineRule="auto"/>
        <w:ind w:left="567" w:right="567"/>
        <w:rPr>
          <w:b/>
          <w:i/>
          <w:lang w:val="es-CO"/>
        </w:rPr>
      </w:pPr>
    </w:p>
    <w:p w14:paraId="46948351" w14:textId="77777777" w:rsidR="00B83698" w:rsidRPr="00500E12" w:rsidRDefault="00B83698" w:rsidP="00B83698">
      <w:pPr>
        <w:spacing w:line="240" w:lineRule="auto"/>
        <w:ind w:left="567" w:right="567"/>
        <w:rPr>
          <w:i/>
          <w:lang w:val="es-CO"/>
        </w:rPr>
      </w:pPr>
      <w:r w:rsidRPr="00500E12">
        <w:rPr>
          <w:i/>
          <w:lang w:val="es-CO"/>
        </w:rPr>
        <w:t xml:space="preserve">1. Que se permita a Confianza S.A., intervenir adhesivamente en el proceso promovido por la sociedad Obando y Mejía Ingenieros Ltda., contra el departamento de Cundinamarca, demanda que cursa en la Sección Tercera, con el número de radicado 20010218, por cuanto en su condición de garante del contrato de obra n.º 046 de 1998, mediante la Póliza GU 01 01 0849732 y certificado de modificación n.º CMODF 089776302, expedida el 20 de octubre de 1998, puede verse afectada si las pretensiones de la demanda principal son desechadas en la sentencia que resuelva el proceso. </w:t>
      </w:r>
    </w:p>
    <w:p w14:paraId="4A7E8F65" w14:textId="77777777" w:rsidR="00B83698" w:rsidRPr="00500E12" w:rsidRDefault="00B83698" w:rsidP="00B83698">
      <w:pPr>
        <w:spacing w:line="240" w:lineRule="auto"/>
        <w:ind w:left="567" w:right="567"/>
        <w:rPr>
          <w:i/>
          <w:lang w:val="es-CO"/>
        </w:rPr>
      </w:pPr>
    </w:p>
    <w:p w14:paraId="744FEEC7" w14:textId="77777777" w:rsidR="00B83698" w:rsidRPr="00500E12" w:rsidRDefault="00B83698" w:rsidP="00B83698">
      <w:pPr>
        <w:spacing w:line="240" w:lineRule="auto"/>
        <w:ind w:left="567" w:right="567"/>
        <w:rPr>
          <w:i/>
          <w:lang w:val="es-CO"/>
        </w:rPr>
      </w:pPr>
      <w:r w:rsidRPr="00500E12">
        <w:rPr>
          <w:i/>
          <w:lang w:val="es-CO"/>
        </w:rPr>
        <w:t xml:space="preserve">2. Que se hagan las declaraciones y condenas contenidas en la demanda principal. </w:t>
      </w:r>
    </w:p>
    <w:p w14:paraId="3988475F" w14:textId="77777777" w:rsidR="00B83698" w:rsidRPr="00500E12" w:rsidRDefault="00B83698" w:rsidP="00B83698">
      <w:pPr>
        <w:spacing w:line="240" w:lineRule="auto"/>
        <w:ind w:left="567" w:right="567"/>
        <w:rPr>
          <w:i/>
          <w:lang w:val="es-CO"/>
        </w:rPr>
      </w:pPr>
    </w:p>
    <w:p w14:paraId="3C26E3C0" w14:textId="77777777" w:rsidR="00B83698" w:rsidRPr="00500E12" w:rsidRDefault="00B83698" w:rsidP="00B83698">
      <w:pPr>
        <w:spacing w:line="240" w:lineRule="auto"/>
        <w:ind w:left="567" w:right="567"/>
        <w:rPr>
          <w:i/>
          <w:lang w:val="es-CO"/>
        </w:rPr>
      </w:pPr>
      <w:r w:rsidRPr="00500E12">
        <w:rPr>
          <w:i/>
          <w:lang w:val="es-CO"/>
        </w:rPr>
        <w:t xml:space="preserve">3. Que como consecuencia directa de las pretensiones contenidas en la demanda principal y en orden al restablecimiento del derecho se declare por esta Honorable Corporación que mi representada no está obligada a pago alguno referente al contrato de seguro y/o póliza de cumplimiento GU 01 01 0849732 y certificado de modificación n.º CMODF 089776302.”  </w:t>
      </w:r>
    </w:p>
    <w:p w14:paraId="3AFC073B" w14:textId="77777777" w:rsidR="00B83698" w:rsidRPr="00500E12" w:rsidRDefault="00B83698" w:rsidP="00C7520C">
      <w:pPr>
        <w:rPr>
          <w:lang w:val="es-CO"/>
        </w:rPr>
      </w:pPr>
    </w:p>
    <w:p w14:paraId="71AE2B09" w14:textId="77777777" w:rsidR="00925C16" w:rsidRPr="00500E12" w:rsidRDefault="00E37078" w:rsidP="00925C16">
      <w:pPr>
        <w:rPr>
          <w:lang w:val="es-CO"/>
        </w:rPr>
      </w:pPr>
      <w:r w:rsidRPr="00500E12">
        <w:rPr>
          <w:lang w:val="es-CO"/>
        </w:rPr>
        <w:t>3.1.</w:t>
      </w:r>
      <w:r w:rsidR="00FB5868" w:rsidRPr="00500E12">
        <w:rPr>
          <w:lang w:val="es-CO"/>
        </w:rPr>
        <w:t>1</w:t>
      </w:r>
      <w:r w:rsidRPr="00500E12">
        <w:rPr>
          <w:lang w:val="es-CO"/>
        </w:rPr>
        <w:t>.</w:t>
      </w:r>
      <w:r w:rsidR="00B83698" w:rsidRPr="00500E12">
        <w:rPr>
          <w:lang w:val="es-CO"/>
        </w:rPr>
        <w:t xml:space="preserve"> </w:t>
      </w:r>
      <w:r w:rsidRPr="00500E12">
        <w:rPr>
          <w:lang w:val="es-CO"/>
        </w:rPr>
        <w:t>Manifestó</w:t>
      </w:r>
      <w:r w:rsidR="00925C16" w:rsidRPr="00500E12">
        <w:rPr>
          <w:lang w:val="es-CO"/>
        </w:rPr>
        <w:t xml:space="preserve"> que con ocasión del contrato de obra n.º 046 de 1998, suscrito entre la actora y el departamento de Cundinamarca, </w:t>
      </w:r>
      <w:r w:rsidR="00F17CDA" w:rsidRPr="00500E12">
        <w:rPr>
          <w:lang w:val="es-CO"/>
        </w:rPr>
        <w:t xml:space="preserve">expidió la póliza n.º GU 01 01 0849732 </w:t>
      </w:r>
      <w:r w:rsidR="00925C16" w:rsidRPr="00500E12">
        <w:rPr>
          <w:lang w:val="es-CO"/>
        </w:rPr>
        <w:t xml:space="preserve">el 20 de octubre de 1998, cuya vigencia era del 19 de octubre de 1998 hasta el 19 de febrero de 2002, con una modificación posterior para aclarar los amparos, de acuerdo con el certificado n.º 01 0897763.  </w:t>
      </w:r>
    </w:p>
    <w:p w14:paraId="41B5F8D9" w14:textId="77777777" w:rsidR="00E37078" w:rsidRPr="00500E12" w:rsidRDefault="00E37078" w:rsidP="00925C16">
      <w:pPr>
        <w:rPr>
          <w:lang w:val="es-CO"/>
        </w:rPr>
      </w:pPr>
    </w:p>
    <w:p w14:paraId="7D186AFB" w14:textId="77777777" w:rsidR="00E37078" w:rsidRPr="00500E12" w:rsidRDefault="00E37078" w:rsidP="00925C16">
      <w:pPr>
        <w:rPr>
          <w:lang w:val="es-CO"/>
        </w:rPr>
      </w:pPr>
      <w:r w:rsidRPr="00500E12">
        <w:rPr>
          <w:lang w:val="es-CO"/>
        </w:rPr>
        <w:t>3.1.</w:t>
      </w:r>
      <w:r w:rsidR="00FB5868" w:rsidRPr="00500E12">
        <w:rPr>
          <w:lang w:val="es-CO"/>
        </w:rPr>
        <w:t>2</w:t>
      </w:r>
      <w:r w:rsidRPr="00500E12">
        <w:rPr>
          <w:lang w:val="es-CO"/>
        </w:rPr>
        <w:t xml:space="preserve">. Como normas violadas señaló los artículos 1602 y 1603 del Código Civil ante el cumplimiento de las obligaciones contractuales, las cuales no incluían el mantenimiento posterior a la entrega de las obras. De igual forma, hizo referencia a los artículos </w:t>
      </w:r>
      <w:r w:rsidR="00BE40A4" w:rsidRPr="00500E12">
        <w:rPr>
          <w:lang w:val="es-CO"/>
        </w:rPr>
        <w:t xml:space="preserve">1058 </w:t>
      </w:r>
      <w:r w:rsidRPr="00500E12">
        <w:rPr>
          <w:lang w:val="es-CO"/>
        </w:rPr>
        <w:t xml:space="preserve">y </w:t>
      </w:r>
      <w:r w:rsidR="00BE40A4" w:rsidRPr="00500E12">
        <w:rPr>
          <w:lang w:val="es-CO"/>
        </w:rPr>
        <w:t xml:space="preserve">1060 </w:t>
      </w:r>
      <w:r w:rsidRPr="00500E12">
        <w:rPr>
          <w:lang w:val="es-CO"/>
        </w:rPr>
        <w:t>del Código de Comercio</w:t>
      </w:r>
      <w:r w:rsidR="00C805C4" w:rsidRPr="00500E12">
        <w:rPr>
          <w:lang w:val="es-CO"/>
        </w:rPr>
        <w:t xml:space="preserve">, al considerar que la entidad no desplegó las actuaciones tendientes para evitar el riesgo. </w:t>
      </w:r>
    </w:p>
    <w:p w14:paraId="2CCD0A55" w14:textId="77777777" w:rsidR="00C805C4" w:rsidRPr="00500E12" w:rsidRDefault="00C805C4" w:rsidP="00925C16">
      <w:pPr>
        <w:rPr>
          <w:lang w:val="es-CO"/>
        </w:rPr>
      </w:pPr>
    </w:p>
    <w:p w14:paraId="51122F20" w14:textId="77777777" w:rsidR="00CC5ABB" w:rsidRPr="00500E12" w:rsidRDefault="00C805C4" w:rsidP="00925C16">
      <w:pPr>
        <w:rPr>
          <w:lang w:val="es-CO"/>
        </w:rPr>
      </w:pPr>
      <w:r w:rsidRPr="00500E12">
        <w:rPr>
          <w:lang w:val="es-CO"/>
        </w:rPr>
        <w:t>3.1.</w:t>
      </w:r>
      <w:r w:rsidR="00FB5868" w:rsidRPr="00500E12">
        <w:rPr>
          <w:lang w:val="es-CO"/>
        </w:rPr>
        <w:t>3</w:t>
      </w:r>
      <w:r w:rsidRPr="00500E12">
        <w:rPr>
          <w:lang w:val="es-CO"/>
        </w:rPr>
        <w:t xml:space="preserve">. Indicó que era improcedente la afectación </w:t>
      </w:r>
      <w:r w:rsidR="00691C8C" w:rsidRPr="00500E12">
        <w:rPr>
          <w:lang w:val="es-CO"/>
        </w:rPr>
        <w:t xml:space="preserve">del amparo de estabilidad, porque aquel hacía referencia a los deterioros de las obra imputables al contratista, mientras que lo alegado por la entidad devino de la inobservancia de los comunicados elevados por la sociedad para que se hiciera el mantenimiento preventivo. </w:t>
      </w:r>
    </w:p>
    <w:p w14:paraId="41A6CD12" w14:textId="77777777" w:rsidR="00CD6957" w:rsidRPr="00500E12" w:rsidRDefault="00CD6957" w:rsidP="00925C16">
      <w:pPr>
        <w:rPr>
          <w:lang w:val="es-CO"/>
        </w:rPr>
      </w:pPr>
    </w:p>
    <w:p w14:paraId="3715FB57" w14:textId="77777777" w:rsidR="00C805C4" w:rsidRPr="00500E12" w:rsidRDefault="00CC5ABB" w:rsidP="00925C16">
      <w:pPr>
        <w:rPr>
          <w:lang w:val="es-CO"/>
        </w:rPr>
      </w:pPr>
      <w:r w:rsidRPr="00500E12">
        <w:rPr>
          <w:lang w:val="es-CO"/>
        </w:rPr>
        <w:t>3.1.</w:t>
      </w:r>
      <w:r w:rsidR="00FB5868" w:rsidRPr="00500E12">
        <w:rPr>
          <w:lang w:val="es-CO"/>
        </w:rPr>
        <w:t>4</w:t>
      </w:r>
      <w:r w:rsidRPr="00500E12">
        <w:rPr>
          <w:lang w:val="es-CO"/>
        </w:rPr>
        <w:t>. Finalmente, señaló como vulnerados los artículos 3, 23, 26 y 50 de la Ley 80 de 1993 y</w:t>
      </w:r>
      <w:r w:rsidR="004E043B" w:rsidRPr="00500E12">
        <w:rPr>
          <w:lang w:val="es-CO"/>
        </w:rPr>
        <w:t xml:space="preserve"> argumentó que la Resolución n.</w:t>
      </w:r>
      <w:r w:rsidRPr="00500E12">
        <w:rPr>
          <w:lang w:val="es-CO"/>
        </w:rPr>
        <w:t xml:space="preserve">º 102 del 22 de junio de 2000,  estaba viciada de nulidad por falta de motivación. </w:t>
      </w:r>
    </w:p>
    <w:p w14:paraId="6157FD3D" w14:textId="77777777" w:rsidR="00B83698" w:rsidRPr="00500E12" w:rsidRDefault="00B83698" w:rsidP="00925C16">
      <w:pPr>
        <w:rPr>
          <w:lang w:val="es-CO"/>
        </w:rPr>
      </w:pPr>
    </w:p>
    <w:p w14:paraId="079AF5B0" w14:textId="77777777" w:rsidR="00C31386" w:rsidRPr="00500E12" w:rsidRDefault="0079527E" w:rsidP="00C7520C">
      <w:r w:rsidRPr="00500E12">
        <w:rPr>
          <w:lang w:val="es-CO"/>
        </w:rPr>
        <w:lastRenderedPageBreak/>
        <w:t>4.</w:t>
      </w:r>
      <w:r w:rsidRPr="00500E12">
        <w:rPr>
          <w:b/>
          <w:lang w:val="es-CO"/>
        </w:rPr>
        <w:t xml:space="preserve"> </w:t>
      </w:r>
      <w:r w:rsidRPr="00500E12">
        <w:t xml:space="preserve">Surtida la notificación del auto admisorio de la demanda, </w:t>
      </w:r>
      <w:r w:rsidR="003F26CC" w:rsidRPr="00500E12">
        <w:t>el departamento de Cundinamarca</w:t>
      </w:r>
      <w:r w:rsidRPr="00500E12">
        <w:t xml:space="preserve">, presentó oportunamente </w:t>
      </w:r>
      <w:r w:rsidRPr="00500E12">
        <w:rPr>
          <w:b/>
        </w:rPr>
        <w:t>escrito de contestación</w:t>
      </w:r>
      <w:r w:rsidR="003F26CC" w:rsidRPr="00500E12">
        <w:rPr>
          <w:b/>
        </w:rPr>
        <w:t xml:space="preserve">, </w:t>
      </w:r>
      <w:r w:rsidR="003F26CC" w:rsidRPr="00500E12">
        <w:t>a través del cual se opuso a las pretensiones de la demanda (f.</w:t>
      </w:r>
      <w:r w:rsidR="003D30A0" w:rsidRPr="00500E12">
        <w:t>41-57</w:t>
      </w:r>
      <w:r w:rsidR="003F26CC" w:rsidRPr="00500E12">
        <w:t xml:space="preserve"> c.1).</w:t>
      </w:r>
      <w:r w:rsidR="00372905" w:rsidRPr="00500E12">
        <w:t xml:space="preserve"> Se limitó a transcribir los fundamentos de la Resolución 102 del 22 de junio de 2000</w:t>
      </w:r>
      <w:r w:rsidR="00BD009D" w:rsidRPr="00500E12">
        <w:t xml:space="preserve"> -</w:t>
      </w:r>
      <w:r w:rsidR="00372905" w:rsidRPr="00500E12">
        <w:t xml:space="preserve">por medio de la cual se declaró el siniestro de incumplimiento de estabilidad de obra del contrato </w:t>
      </w:r>
      <w:r w:rsidR="00B75A9D" w:rsidRPr="00500E12">
        <w:t>y ordenó hacer efectiva la póliza n.º 089</w:t>
      </w:r>
      <w:r w:rsidR="00BD009D" w:rsidRPr="00500E12">
        <w:t xml:space="preserve">7763 expedida por Confianza S.A.- </w:t>
      </w:r>
      <w:r w:rsidR="00A3722E" w:rsidRPr="00500E12">
        <w:t xml:space="preserve">y </w:t>
      </w:r>
      <w:r w:rsidR="00B75A9D" w:rsidRPr="00500E12">
        <w:t xml:space="preserve">los argumentos de los recursos de reposición presentados por </w:t>
      </w:r>
      <w:r w:rsidR="00A3722E" w:rsidRPr="00500E12">
        <w:t xml:space="preserve">la </w:t>
      </w:r>
      <w:r w:rsidR="00B75A9D" w:rsidRPr="00500E12">
        <w:t>contratista y</w:t>
      </w:r>
      <w:r w:rsidR="00913575" w:rsidRPr="00500E12">
        <w:t xml:space="preserve"> la</w:t>
      </w:r>
      <w:r w:rsidR="00B75A9D" w:rsidRPr="00500E12">
        <w:t xml:space="preserve"> aseguradora</w:t>
      </w:r>
      <w:r w:rsidR="009D7A10" w:rsidRPr="00500E12">
        <w:t>.</w:t>
      </w:r>
    </w:p>
    <w:p w14:paraId="5ED02353" w14:textId="77777777" w:rsidR="0007172A" w:rsidRPr="00500E12" w:rsidRDefault="0007172A" w:rsidP="00C7520C"/>
    <w:p w14:paraId="71E7FE71" w14:textId="77777777" w:rsidR="00DA7DBA" w:rsidRPr="00500E12" w:rsidRDefault="009D7A10" w:rsidP="00C7520C">
      <w:r w:rsidRPr="00500E12">
        <w:t xml:space="preserve">4.1. </w:t>
      </w:r>
      <w:r w:rsidR="00DC7127" w:rsidRPr="00500E12">
        <w:t xml:space="preserve">Con base en las sentencias </w:t>
      </w:r>
      <w:r w:rsidR="00913575" w:rsidRPr="00500E12">
        <w:t xml:space="preserve">del 24 de mayo y 12 de julio de 2001, </w:t>
      </w:r>
      <w:r w:rsidR="00DC7127" w:rsidRPr="00500E12">
        <w:t xml:space="preserve">proferidas por la Sección Tercera de esta Corporación, en los expedientes 13598 y 7938, fundamentó el dicho de la defensa, </w:t>
      </w:r>
      <w:r w:rsidR="00B77525" w:rsidRPr="00500E12">
        <w:t>según el cual</w:t>
      </w:r>
      <w:r w:rsidR="00716ABA" w:rsidRPr="00500E12">
        <w:t>, la</w:t>
      </w:r>
      <w:r w:rsidR="00DC7127" w:rsidRPr="00500E12">
        <w:t xml:space="preserve"> entidad podía declarar la ocurrencia del siniestro de estabilidad de la obra como potestad </w:t>
      </w:r>
      <w:r w:rsidR="00AF5316" w:rsidRPr="00500E12">
        <w:t>exorbitante</w:t>
      </w:r>
      <w:r w:rsidR="00913575" w:rsidRPr="00500E12">
        <w:t xml:space="preserve">, sin que fuera necesario declarar </w:t>
      </w:r>
      <w:r w:rsidR="0007172A" w:rsidRPr="00500E12">
        <w:t xml:space="preserve">la </w:t>
      </w:r>
      <w:r w:rsidR="00CD16A0" w:rsidRPr="00500E12">
        <w:t>caducidad del contrato</w:t>
      </w:r>
      <w:r w:rsidR="00913575" w:rsidRPr="00500E12">
        <w:t xml:space="preserve"> para el efecto</w:t>
      </w:r>
      <w:r w:rsidR="00DA7DBA" w:rsidRPr="00500E12">
        <w:t>.</w:t>
      </w:r>
    </w:p>
    <w:p w14:paraId="6C192657" w14:textId="77777777" w:rsidR="00DA7DBA" w:rsidRPr="00500E12" w:rsidRDefault="00DA7DBA" w:rsidP="00C7520C"/>
    <w:p w14:paraId="1BE0CA06" w14:textId="77777777" w:rsidR="00DA7DBA" w:rsidRPr="00500E12" w:rsidRDefault="00DA7DBA" w:rsidP="00C7520C">
      <w:pPr>
        <w:rPr>
          <w:i/>
        </w:rPr>
      </w:pPr>
      <w:r w:rsidRPr="00500E12">
        <w:t>4.2. Señaló que las resoluciones controvertidas están amparadas con la presunción de legalidad</w:t>
      </w:r>
      <w:r w:rsidR="00291F2D" w:rsidRPr="00500E12">
        <w:t xml:space="preserve">, </w:t>
      </w:r>
      <w:r w:rsidRPr="00500E12">
        <w:t xml:space="preserve">fueron expedidas por la autoridad competente en uso de las atribuciones legales y con observancia del debido proceso, por lo que estaban ajustadas a derecho. Propuso como excepciones las de </w:t>
      </w:r>
      <w:r w:rsidRPr="00500E12">
        <w:rPr>
          <w:i/>
        </w:rPr>
        <w:t xml:space="preserve">ausencia de ilegalidad en los actos proferidos por el departamento de Cundinamarca-Secretaría de Obras Públicas </w:t>
      </w:r>
      <w:r w:rsidRPr="00500E12">
        <w:t xml:space="preserve">y la de </w:t>
      </w:r>
      <w:r w:rsidRPr="00500E12">
        <w:rPr>
          <w:i/>
        </w:rPr>
        <w:t>falta de justa causa para reclamar.</w:t>
      </w:r>
    </w:p>
    <w:p w14:paraId="19B309BF" w14:textId="77777777" w:rsidR="00610CF2" w:rsidRPr="00500E12" w:rsidRDefault="00610CF2" w:rsidP="00C7520C">
      <w:pPr>
        <w:rPr>
          <w:lang w:val="es-CO"/>
        </w:rPr>
      </w:pPr>
    </w:p>
    <w:p w14:paraId="04899565" w14:textId="77777777" w:rsidR="000C765F" w:rsidRPr="00500E12" w:rsidRDefault="003758E8" w:rsidP="000C765F">
      <w:pPr>
        <w:widowControl w:val="0"/>
      </w:pPr>
      <w:r w:rsidRPr="00500E12">
        <w:rPr>
          <w:lang w:val="es-CO"/>
        </w:rPr>
        <w:t>5</w:t>
      </w:r>
      <w:r w:rsidR="009A530E" w:rsidRPr="00500E12">
        <w:rPr>
          <w:lang w:val="es-CO"/>
        </w:rPr>
        <w:t>.</w:t>
      </w:r>
      <w:r w:rsidR="00FF573B" w:rsidRPr="00500E12">
        <w:rPr>
          <w:lang w:val="es-CO"/>
        </w:rPr>
        <w:t xml:space="preserve"> </w:t>
      </w:r>
      <w:r w:rsidR="00AD3883" w:rsidRPr="00500E12">
        <w:rPr>
          <w:lang w:val="es-CO"/>
        </w:rPr>
        <w:t xml:space="preserve"> </w:t>
      </w:r>
      <w:r w:rsidR="000C765F" w:rsidRPr="00500E12">
        <w:t xml:space="preserve">El </w:t>
      </w:r>
      <w:r w:rsidR="000C765F" w:rsidRPr="00500E12">
        <w:rPr>
          <w:i/>
        </w:rPr>
        <w:t xml:space="preserve">a quo </w:t>
      </w:r>
      <w:r w:rsidR="000C765F" w:rsidRPr="00500E12">
        <w:t>decretó pruebas mediante providencia del 6 de agosto de 2002 (f.59-61 c.1) y una vez se agotó esa etapa</w:t>
      </w:r>
      <w:r w:rsidR="00672EB1" w:rsidRPr="00500E12">
        <w:t>,</w:t>
      </w:r>
      <w:r w:rsidR="000C765F" w:rsidRPr="00500E12">
        <w:t xml:space="preserve"> </w:t>
      </w:r>
      <w:r w:rsidR="000C765F" w:rsidRPr="00500E12">
        <w:rPr>
          <w:b/>
        </w:rPr>
        <w:t xml:space="preserve">corrió traslado para alegar </w:t>
      </w:r>
      <w:r w:rsidR="000C765F" w:rsidRPr="00500E12">
        <w:t>(f.</w:t>
      </w:r>
      <w:r w:rsidR="007915D5" w:rsidRPr="00500E12">
        <w:t>143</w:t>
      </w:r>
      <w:r w:rsidR="000C765F" w:rsidRPr="00500E12">
        <w:t xml:space="preserve"> c.1), tiempo en el que las partes se pronunciaron de la siguiente forma:</w:t>
      </w:r>
      <w:r w:rsidR="007915D5" w:rsidRPr="00500E12">
        <w:t xml:space="preserve"> </w:t>
      </w:r>
    </w:p>
    <w:p w14:paraId="2D34EF3A" w14:textId="77777777" w:rsidR="00784B54" w:rsidRPr="00500E12" w:rsidRDefault="00784B54" w:rsidP="000C765F">
      <w:pPr>
        <w:widowControl w:val="0"/>
      </w:pPr>
    </w:p>
    <w:p w14:paraId="62CA4C00" w14:textId="77777777" w:rsidR="00D82E2E" w:rsidRPr="00500E12" w:rsidRDefault="000632BF" w:rsidP="00C7520C">
      <w:pPr>
        <w:rPr>
          <w:lang w:val="es-CO"/>
        </w:rPr>
      </w:pPr>
      <w:r w:rsidRPr="00500E12">
        <w:rPr>
          <w:lang w:val="es-CO"/>
        </w:rPr>
        <w:t>5</w:t>
      </w:r>
      <w:r w:rsidR="000C5778" w:rsidRPr="00500E12">
        <w:rPr>
          <w:lang w:val="es-CO"/>
        </w:rPr>
        <w:t>.1.</w:t>
      </w:r>
      <w:r w:rsidR="0002577C" w:rsidRPr="00500E12">
        <w:rPr>
          <w:lang w:val="es-CO"/>
        </w:rPr>
        <w:t xml:space="preserve"> </w:t>
      </w:r>
      <w:r w:rsidR="00D82E2E" w:rsidRPr="00500E12">
        <w:rPr>
          <w:lang w:val="es-CO"/>
        </w:rPr>
        <w:t>L</w:t>
      </w:r>
      <w:r w:rsidR="00840087" w:rsidRPr="00500E12">
        <w:rPr>
          <w:lang w:val="es-CO"/>
        </w:rPr>
        <w:t xml:space="preserve">a parte </w:t>
      </w:r>
      <w:r w:rsidR="00974B03" w:rsidRPr="00500E12">
        <w:rPr>
          <w:lang w:val="es-CO"/>
        </w:rPr>
        <w:t>actora</w:t>
      </w:r>
      <w:r w:rsidR="00840087" w:rsidRPr="00500E12">
        <w:rPr>
          <w:lang w:val="es-CO"/>
        </w:rPr>
        <w:t xml:space="preserve"> insistió</w:t>
      </w:r>
      <w:r w:rsidR="00AA2393" w:rsidRPr="00500E12">
        <w:rPr>
          <w:lang w:val="es-CO"/>
        </w:rPr>
        <w:t xml:space="preserve"> en sus argumentos e hizo énfasis en </w:t>
      </w:r>
      <w:r w:rsidRPr="00500E12">
        <w:rPr>
          <w:lang w:val="es-CO"/>
        </w:rPr>
        <w:t>la interpretación que debe darse a la prueba pericial practicada en el proceso</w:t>
      </w:r>
      <w:r w:rsidR="0063121B" w:rsidRPr="00500E12">
        <w:rPr>
          <w:lang w:val="es-CO"/>
        </w:rPr>
        <w:t>,</w:t>
      </w:r>
      <w:r w:rsidRPr="00500E12">
        <w:rPr>
          <w:lang w:val="es-CO"/>
        </w:rPr>
        <w:t xml:space="preserve"> porque </w:t>
      </w:r>
      <w:r w:rsidR="0063121B" w:rsidRPr="00500E12">
        <w:rPr>
          <w:lang w:val="es-CO"/>
        </w:rPr>
        <w:t>según su dicho</w:t>
      </w:r>
      <w:r w:rsidR="00D63232" w:rsidRPr="00500E12">
        <w:rPr>
          <w:lang w:val="es-CO"/>
        </w:rPr>
        <w:t>,</w:t>
      </w:r>
      <w:r w:rsidR="0063121B" w:rsidRPr="00500E12">
        <w:rPr>
          <w:lang w:val="es-CO"/>
        </w:rPr>
        <w:t xml:space="preserve"> </w:t>
      </w:r>
      <w:r w:rsidRPr="00500E12">
        <w:rPr>
          <w:lang w:val="es-CO"/>
        </w:rPr>
        <w:t>confirma que los diseños y la construcción</w:t>
      </w:r>
      <w:r w:rsidR="0063121B" w:rsidRPr="00500E12">
        <w:rPr>
          <w:lang w:val="es-CO"/>
        </w:rPr>
        <w:t>,</w:t>
      </w:r>
      <w:r w:rsidRPr="00500E12">
        <w:rPr>
          <w:lang w:val="es-CO"/>
        </w:rPr>
        <w:t xml:space="preserve"> fueron aprobados por el supervisor y el interventor, </w:t>
      </w:r>
      <w:r w:rsidR="005F1092" w:rsidRPr="00500E12">
        <w:rPr>
          <w:lang w:val="es-CO"/>
        </w:rPr>
        <w:t>así</w:t>
      </w:r>
      <w:r w:rsidRPr="00500E12">
        <w:rPr>
          <w:lang w:val="es-CO"/>
        </w:rPr>
        <w:t xml:space="preserve"> como la necesidad del mantenimiento preventivo </w:t>
      </w:r>
      <w:r w:rsidR="00D55658" w:rsidRPr="00500E12">
        <w:rPr>
          <w:lang w:val="es-CO"/>
        </w:rPr>
        <w:t xml:space="preserve">para la remoción </w:t>
      </w:r>
      <w:r w:rsidR="005F1092" w:rsidRPr="00500E12">
        <w:rPr>
          <w:lang w:val="es-CO"/>
        </w:rPr>
        <w:t xml:space="preserve">del material sedimentado por </w:t>
      </w:r>
      <w:r w:rsidR="00D55658" w:rsidRPr="00500E12">
        <w:rPr>
          <w:lang w:val="es-CO"/>
        </w:rPr>
        <w:t xml:space="preserve">las condiciones topográficas de la obra </w:t>
      </w:r>
      <w:r w:rsidR="005F1092" w:rsidRPr="00500E12">
        <w:rPr>
          <w:lang w:val="es-CO"/>
        </w:rPr>
        <w:t>y otros aspectos técnicos relacionados con el objeto contractual</w:t>
      </w:r>
      <w:r w:rsidR="0063121B" w:rsidRPr="00500E12">
        <w:rPr>
          <w:lang w:val="es-CO"/>
        </w:rPr>
        <w:t>,</w:t>
      </w:r>
      <w:r w:rsidR="00E9397E" w:rsidRPr="00500E12">
        <w:rPr>
          <w:lang w:val="es-CO"/>
        </w:rPr>
        <w:t xml:space="preserve"> que permitían desvirtua</w:t>
      </w:r>
      <w:r w:rsidR="00D9423B" w:rsidRPr="00500E12">
        <w:rPr>
          <w:lang w:val="es-CO"/>
        </w:rPr>
        <w:t>r</w:t>
      </w:r>
      <w:r w:rsidR="00E9397E" w:rsidRPr="00500E12">
        <w:rPr>
          <w:lang w:val="es-CO"/>
        </w:rPr>
        <w:t xml:space="preserve"> la presunción de legalidad de los actos administrativos demandados </w:t>
      </w:r>
      <w:r w:rsidR="005F1092" w:rsidRPr="00500E12">
        <w:rPr>
          <w:lang w:val="es-CO"/>
        </w:rPr>
        <w:t xml:space="preserve"> </w:t>
      </w:r>
      <w:r w:rsidR="005966B1" w:rsidRPr="00500E12">
        <w:rPr>
          <w:lang w:val="es-CO"/>
        </w:rPr>
        <w:t>(f.</w:t>
      </w:r>
      <w:r w:rsidR="00E9397E" w:rsidRPr="00500E12">
        <w:rPr>
          <w:lang w:val="es-CO"/>
        </w:rPr>
        <w:t>144</w:t>
      </w:r>
      <w:r w:rsidR="005966B1" w:rsidRPr="00500E12">
        <w:rPr>
          <w:lang w:val="es-CO"/>
        </w:rPr>
        <w:t>-</w:t>
      </w:r>
      <w:r w:rsidR="00E9397E" w:rsidRPr="00500E12">
        <w:rPr>
          <w:lang w:val="es-CO"/>
        </w:rPr>
        <w:t>148</w:t>
      </w:r>
      <w:r w:rsidR="005966B1" w:rsidRPr="00500E12">
        <w:rPr>
          <w:lang w:val="es-CO"/>
        </w:rPr>
        <w:t xml:space="preserve"> c.1)</w:t>
      </w:r>
      <w:r w:rsidR="00DB41F1" w:rsidRPr="00500E12">
        <w:rPr>
          <w:lang w:val="es-CO"/>
        </w:rPr>
        <w:t xml:space="preserve">. </w:t>
      </w:r>
    </w:p>
    <w:p w14:paraId="05D2843B" w14:textId="77777777" w:rsidR="00B60351" w:rsidRPr="00500E12" w:rsidRDefault="00B60351" w:rsidP="000632BF">
      <w:pPr>
        <w:tabs>
          <w:tab w:val="left" w:pos="2085"/>
        </w:tabs>
        <w:rPr>
          <w:lang w:val="es-CO"/>
        </w:rPr>
      </w:pPr>
    </w:p>
    <w:p w14:paraId="782771F2" w14:textId="77777777" w:rsidR="0084207C" w:rsidRPr="00500E12" w:rsidRDefault="00E9397E" w:rsidP="0084207C">
      <w:pPr>
        <w:rPr>
          <w:lang w:val="es-CO"/>
        </w:rPr>
      </w:pPr>
      <w:r w:rsidRPr="00500E12">
        <w:rPr>
          <w:lang w:val="es-CO"/>
        </w:rPr>
        <w:t>5.2.</w:t>
      </w:r>
      <w:r w:rsidR="00B60351" w:rsidRPr="00500E12">
        <w:rPr>
          <w:lang w:val="es-CO"/>
        </w:rPr>
        <w:t xml:space="preserve"> </w:t>
      </w:r>
      <w:r w:rsidR="002718E5" w:rsidRPr="00500E12">
        <w:rPr>
          <w:lang w:val="es-CO"/>
        </w:rPr>
        <w:t>Por su parte, la Compañía Aseguradora de Fianzas –Confianza S.A.-, coadyuvó los argumentos expuestos por la parte actora,</w:t>
      </w:r>
      <w:r w:rsidR="00CA4D79" w:rsidRPr="00500E12">
        <w:rPr>
          <w:lang w:val="es-CO"/>
        </w:rPr>
        <w:t xml:space="preserve"> referentes a que no se estipuló</w:t>
      </w:r>
      <w:r w:rsidR="002718E5" w:rsidRPr="00500E12">
        <w:rPr>
          <w:lang w:val="es-CO"/>
        </w:rPr>
        <w:t xml:space="preserve"> una obligación contractual </w:t>
      </w:r>
      <w:r w:rsidR="00AD0CEB" w:rsidRPr="00500E12">
        <w:rPr>
          <w:lang w:val="es-CO"/>
        </w:rPr>
        <w:t>en cabeza de la contratista para el</w:t>
      </w:r>
      <w:r w:rsidR="002718E5" w:rsidRPr="00500E12">
        <w:rPr>
          <w:lang w:val="es-CO"/>
        </w:rPr>
        <w:t xml:space="preserve"> mantenimiento de las obras </w:t>
      </w:r>
      <w:r w:rsidR="00F8347F" w:rsidRPr="00500E12">
        <w:rPr>
          <w:lang w:val="es-CO"/>
        </w:rPr>
        <w:t xml:space="preserve">con posterioridad a su entrega, razón por la que no podía endilgársele </w:t>
      </w:r>
      <w:r w:rsidR="00F8347F" w:rsidRPr="00500E12">
        <w:rPr>
          <w:lang w:val="es-CO"/>
        </w:rPr>
        <w:lastRenderedPageBreak/>
        <w:t xml:space="preserve">responsabilidad por los defectos surgidos con el paso del tiempo ante la negligencia de la administración. </w:t>
      </w:r>
      <w:r w:rsidR="00CA4D79" w:rsidRPr="00500E12">
        <w:rPr>
          <w:lang w:val="es-CO"/>
        </w:rPr>
        <w:t xml:space="preserve">Adujo que como prueba de ello, en el expediente </w:t>
      </w:r>
      <w:r w:rsidR="00BF0373" w:rsidRPr="00500E12">
        <w:rPr>
          <w:lang w:val="es-CO"/>
        </w:rPr>
        <w:t>estaban</w:t>
      </w:r>
      <w:r w:rsidR="00CA4D79" w:rsidRPr="00500E12">
        <w:rPr>
          <w:lang w:val="es-CO"/>
        </w:rPr>
        <w:t xml:space="preserve"> unas comunicaciones de la contratista en las que ponía de presente a la entidad</w:t>
      </w:r>
      <w:r w:rsidR="009B4D49" w:rsidRPr="00500E12">
        <w:rPr>
          <w:lang w:val="es-CO"/>
        </w:rPr>
        <w:t>,</w:t>
      </w:r>
      <w:r w:rsidR="00CA4D79" w:rsidRPr="00500E12">
        <w:rPr>
          <w:lang w:val="es-CO"/>
        </w:rPr>
        <w:t xml:space="preserve"> que </w:t>
      </w:r>
      <w:r w:rsidR="00830BBC" w:rsidRPr="00500E12">
        <w:rPr>
          <w:lang w:val="es-CO"/>
        </w:rPr>
        <w:t xml:space="preserve">la construcción </w:t>
      </w:r>
      <w:r w:rsidR="00CA4D79" w:rsidRPr="00500E12">
        <w:rPr>
          <w:lang w:val="es-CO"/>
        </w:rPr>
        <w:t xml:space="preserve">entregada </w:t>
      </w:r>
      <w:r w:rsidR="00BF0373" w:rsidRPr="00500E12">
        <w:rPr>
          <w:lang w:val="es-CO"/>
        </w:rPr>
        <w:t>se encontraba</w:t>
      </w:r>
      <w:r w:rsidR="00CA4D79" w:rsidRPr="00500E12">
        <w:rPr>
          <w:lang w:val="es-CO"/>
        </w:rPr>
        <w:t xml:space="preserve"> en estado de abandono, </w:t>
      </w:r>
      <w:r w:rsidR="00830BBC" w:rsidRPr="00500E12">
        <w:rPr>
          <w:lang w:val="es-CO"/>
        </w:rPr>
        <w:t>dicho que se refor</w:t>
      </w:r>
      <w:r w:rsidR="005251EE" w:rsidRPr="00500E12">
        <w:rPr>
          <w:lang w:val="es-CO"/>
        </w:rPr>
        <w:t>z</w:t>
      </w:r>
      <w:r w:rsidR="00830BBC" w:rsidRPr="00500E12">
        <w:rPr>
          <w:lang w:val="es-CO"/>
        </w:rPr>
        <w:t xml:space="preserve">ó con uno </w:t>
      </w:r>
      <w:r w:rsidR="00D61ED5" w:rsidRPr="00500E12">
        <w:rPr>
          <w:lang w:val="es-CO"/>
        </w:rPr>
        <w:t xml:space="preserve">de los </w:t>
      </w:r>
      <w:r w:rsidR="0068238A" w:rsidRPr="00500E12">
        <w:rPr>
          <w:lang w:val="es-CO"/>
        </w:rPr>
        <w:t xml:space="preserve">testigos y el dictamen pericial. De igual forma, señaló que se presentó la terminación </w:t>
      </w:r>
      <w:r w:rsidR="005251EE" w:rsidRPr="00500E12">
        <w:rPr>
          <w:lang w:val="es-CO"/>
        </w:rPr>
        <w:t>d</w:t>
      </w:r>
      <w:r w:rsidR="0068238A" w:rsidRPr="00500E12">
        <w:rPr>
          <w:lang w:val="es-CO"/>
        </w:rPr>
        <w:t xml:space="preserve">el contrato de seguro por </w:t>
      </w:r>
      <w:r w:rsidR="005251EE" w:rsidRPr="00500E12">
        <w:rPr>
          <w:lang w:val="es-CO"/>
        </w:rPr>
        <w:t xml:space="preserve">la </w:t>
      </w:r>
      <w:r w:rsidR="0068238A" w:rsidRPr="00500E12">
        <w:rPr>
          <w:i/>
          <w:lang w:val="es-CO"/>
        </w:rPr>
        <w:t xml:space="preserve">“agravación del estado del riesgo, no informada al asegurador”, </w:t>
      </w:r>
      <w:r w:rsidR="0068238A" w:rsidRPr="00500E12">
        <w:rPr>
          <w:lang w:val="es-CO"/>
        </w:rPr>
        <w:t xml:space="preserve">si se tenía </w:t>
      </w:r>
      <w:r w:rsidR="0084207C" w:rsidRPr="00500E12">
        <w:rPr>
          <w:lang w:val="es-CO"/>
        </w:rPr>
        <w:t xml:space="preserve">en cuenta que la entidad no desplegó la custodia </w:t>
      </w:r>
      <w:r w:rsidR="00BF0373" w:rsidRPr="00500E12">
        <w:rPr>
          <w:lang w:val="es-CO"/>
        </w:rPr>
        <w:t xml:space="preserve">que le era </w:t>
      </w:r>
      <w:r w:rsidR="0084207C" w:rsidRPr="00500E12">
        <w:rPr>
          <w:lang w:val="es-CO"/>
        </w:rPr>
        <w:t xml:space="preserve">exigible. Finalmente, solicitó que no se declarara obligación alguna a cargo de la aseguradora (f.149-158 c.1). </w:t>
      </w:r>
    </w:p>
    <w:p w14:paraId="1C4B38B1" w14:textId="77777777" w:rsidR="0084207C" w:rsidRPr="00500E12" w:rsidRDefault="0084207C" w:rsidP="00C7520C">
      <w:pPr>
        <w:rPr>
          <w:lang w:val="es-CO"/>
        </w:rPr>
      </w:pPr>
    </w:p>
    <w:p w14:paraId="0CCAA7CF" w14:textId="77777777" w:rsidR="00E33B31" w:rsidRPr="00500E12" w:rsidRDefault="00E33B31" w:rsidP="00C7520C">
      <w:pPr>
        <w:rPr>
          <w:lang w:val="es-CO"/>
        </w:rPr>
      </w:pPr>
      <w:r w:rsidRPr="00500E12">
        <w:rPr>
          <w:lang w:val="es-CO"/>
        </w:rPr>
        <w:t>6</w:t>
      </w:r>
      <w:r w:rsidR="00143D7C" w:rsidRPr="00500E12">
        <w:rPr>
          <w:lang w:val="es-CO"/>
        </w:rPr>
        <w:t xml:space="preserve">. </w:t>
      </w:r>
      <w:r w:rsidR="00A20D18" w:rsidRPr="00500E12">
        <w:rPr>
          <w:lang w:val="es-CO"/>
        </w:rPr>
        <w:t>E</w:t>
      </w:r>
      <w:r w:rsidR="00754683" w:rsidRPr="00500E12">
        <w:rPr>
          <w:lang w:val="es-CO"/>
        </w:rPr>
        <w:t>l</w:t>
      </w:r>
      <w:r w:rsidR="0065482F" w:rsidRPr="00500E12">
        <w:rPr>
          <w:lang w:val="es-CO"/>
        </w:rPr>
        <w:t xml:space="preserve"> </w:t>
      </w:r>
      <w:r w:rsidRPr="00500E12">
        <w:rPr>
          <w:lang w:val="es-CO"/>
        </w:rPr>
        <w:t>22</w:t>
      </w:r>
      <w:r w:rsidR="000B0CB5" w:rsidRPr="00500E12">
        <w:rPr>
          <w:lang w:val="es-CO"/>
        </w:rPr>
        <w:t xml:space="preserve"> de </w:t>
      </w:r>
      <w:r w:rsidRPr="00500E12">
        <w:rPr>
          <w:lang w:val="es-CO"/>
        </w:rPr>
        <w:t>diciembre</w:t>
      </w:r>
      <w:r w:rsidR="000B0CB5" w:rsidRPr="00500E12">
        <w:rPr>
          <w:lang w:val="es-CO"/>
        </w:rPr>
        <w:t xml:space="preserve"> de 200</w:t>
      </w:r>
      <w:r w:rsidRPr="00500E12">
        <w:rPr>
          <w:lang w:val="es-CO"/>
        </w:rPr>
        <w:t>4</w:t>
      </w:r>
      <w:r w:rsidR="00FC78B0" w:rsidRPr="00500E12">
        <w:rPr>
          <w:lang w:val="es-CO"/>
        </w:rPr>
        <w:t>, se</w:t>
      </w:r>
      <w:r w:rsidR="0065482F" w:rsidRPr="00500E12">
        <w:rPr>
          <w:lang w:val="es-CO"/>
        </w:rPr>
        <w:t xml:space="preserve"> </w:t>
      </w:r>
      <w:r w:rsidR="00C7520C" w:rsidRPr="00500E12">
        <w:rPr>
          <w:lang w:val="es-CO"/>
        </w:rPr>
        <w:t xml:space="preserve">profirió </w:t>
      </w:r>
      <w:r w:rsidR="00C7520C" w:rsidRPr="00500E12">
        <w:rPr>
          <w:b/>
          <w:bCs/>
          <w:lang w:val="es-CO"/>
        </w:rPr>
        <w:t>sentencia</w:t>
      </w:r>
      <w:r w:rsidR="00C7520C" w:rsidRPr="00500E12">
        <w:rPr>
          <w:lang w:val="es-CO"/>
        </w:rPr>
        <w:t xml:space="preserve"> </w:t>
      </w:r>
      <w:r w:rsidR="00C7520C" w:rsidRPr="00500E12">
        <w:rPr>
          <w:b/>
          <w:lang w:val="es-CO"/>
        </w:rPr>
        <w:t>de primera instancia</w:t>
      </w:r>
      <w:r w:rsidR="00C7520C" w:rsidRPr="00500E12">
        <w:rPr>
          <w:lang w:val="es-CO"/>
        </w:rPr>
        <w:t>, en la que</w:t>
      </w:r>
      <w:r w:rsidR="009967DD" w:rsidRPr="00500E12">
        <w:rPr>
          <w:lang w:val="es-CO"/>
        </w:rPr>
        <w:t xml:space="preserve"> </w:t>
      </w:r>
      <w:r w:rsidR="00330C01" w:rsidRPr="00500E12">
        <w:rPr>
          <w:lang w:val="es-CO"/>
        </w:rPr>
        <w:t xml:space="preserve">el </w:t>
      </w:r>
      <w:r w:rsidR="00330C01" w:rsidRPr="00500E12">
        <w:rPr>
          <w:i/>
          <w:lang w:val="es-CO"/>
        </w:rPr>
        <w:t>a quo</w:t>
      </w:r>
      <w:r w:rsidR="00330C01" w:rsidRPr="00500E12">
        <w:rPr>
          <w:lang w:val="es-CO"/>
        </w:rPr>
        <w:t xml:space="preserve"> </w:t>
      </w:r>
      <w:r w:rsidRPr="00500E12">
        <w:rPr>
          <w:lang w:val="es-CO"/>
        </w:rPr>
        <w:t>resolvió</w:t>
      </w:r>
      <w:r w:rsidR="00CD32F7" w:rsidRPr="00500E12">
        <w:rPr>
          <w:lang w:val="es-CO"/>
        </w:rPr>
        <w:t xml:space="preserve"> (f. 162-186 c. ppal.)</w:t>
      </w:r>
      <w:r w:rsidRPr="00500E12">
        <w:rPr>
          <w:lang w:val="es-CO"/>
        </w:rPr>
        <w:t>:</w:t>
      </w:r>
    </w:p>
    <w:p w14:paraId="55946AF1" w14:textId="77777777" w:rsidR="00E33B31" w:rsidRPr="00500E12" w:rsidRDefault="00E33B31" w:rsidP="00C7520C">
      <w:pPr>
        <w:rPr>
          <w:lang w:val="es-CO"/>
        </w:rPr>
      </w:pPr>
    </w:p>
    <w:p w14:paraId="39D788FA" w14:textId="77777777" w:rsidR="00E33B31" w:rsidRPr="00500E12" w:rsidRDefault="00E33B31" w:rsidP="00E33B31">
      <w:pPr>
        <w:spacing w:line="240" w:lineRule="auto"/>
        <w:ind w:left="567" w:right="567"/>
        <w:rPr>
          <w:i/>
          <w:lang w:val="es-CO"/>
        </w:rPr>
      </w:pPr>
      <w:r w:rsidRPr="00500E12">
        <w:rPr>
          <w:i/>
          <w:lang w:val="es-CO"/>
        </w:rPr>
        <w:t>(…)</w:t>
      </w:r>
    </w:p>
    <w:p w14:paraId="1CAEA81A" w14:textId="77777777" w:rsidR="00E33B31" w:rsidRPr="00500E12" w:rsidRDefault="00E33B31" w:rsidP="00E33B31">
      <w:pPr>
        <w:spacing w:line="240" w:lineRule="auto"/>
        <w:ind w:left="567" w:right="567"/>
        <w:rPr>
          <w:i/>
          <w:lang w:val="es-CO"/>
        </w:rPr>
      </w:pPr>
      <w:r w:rsidRPr="00500E12">
        <w:rPr>
          <w:b/>
          <w:i/>
          <w:lang w:val="es-CO"/>
        </w:rPr>
        <w:t>PRIMERO: DECLÁRANSE</w:t>
      </w:r>
      <w:r w:rsidRPr="00500E12">
        <w:rPr>
          <w:i/>
          <w:lang w:val="es-CO"/>
        </w:rPr>
        <w:t xml:space="preserve"> no probadas las excepciones formuladas por la gobernación de Cundinamarca.</w:t>
      </w:r>
    </w:p>
    <w:p w14:paraId="7373B9A5" w14:textId="77777777" w:rsidR="00E33B31" w:rsidRPr="00500E12" w:rsidRDefault="00E33B31" w:rsidP="00E33B31">
      <w:pPr>
        <w:spacing w:line="240" w:lineRule="auto"/>
        <w:ind w:left="567" w:right="567"/>
        <w:rPr>
          <w:i/>
          <w:lang w:val="es-CO"/>
        </w:rPr>
      </w:pPr>
    </w:p>
    <w:p w14:paraId="39A5E4BB" w14:textId="77777777" w:rsidR="00E33B31" w:rsidRPr="00500E12" w:rsidRDefault="00E33B31" w:rsidP="00E33B31">
      <w:pPr>
        <w:spacing w:line="240" w:lineRule="auto"/>
        <w:ind w:left="567" w:right="567"/>
        <w:rPr>
          <w:i/>
          <w:lang w:val="es-CO"/>
        </w:rPr>
      </w:pPr>
      <w:r w:rsidRPr="00500E12">
        <w:rPr>
          <w:b/>
          <w:i/>
          <w:lang w:val="es-CO"/>
        </w:rPr>
        <w:t xml:space="preserve">SEGUNDO: DENEGAR </w:t>
      </w:r>
      <w:r w:rsidRPr="00500E12">
        <w:rPr>
          <w:i/>
          <w:lang w:val="es-CO"/>
        </w:rPr>
        <w:t>las pretensiones de la demanda.</w:t>
      </w:r>
    </w:p>
    <w:p w14:paraId="2C44A217" w14:textId="77777777" w:rsidR="00E33B31" w:rsidRPr="00500E12" w:rsidRDefault="00E33B31" w:rsidP="00E33B31">
      <w:pPr>
        <w:spacing w:line="240" w:lineRule="auto"/>
        <w:ind w:left="567" w:right="567"/>
        <w:rPr>
          <w:i/>
          <w:lang w:val="es-CO"/>
        </w:rPr>
      </w:pPr>
    </w:p>
    <w:p w14:paraId="600B231F" w14:textId="77777777" w:rsidR="00955BA8" w:rsidRPr="00500E12" w:rsidRDefault="00E33B31" w:rsidP="00E33B31">
      <w:pPr>
        <w:spacing w:line="240" w:lineRule="auto"/>
        <w:ind w:left="567" w:right="567"/>
        <w:rPr>
          <w:i/>
          <w:lang w:val="es-CO"/>
        </w:rPr>
      </w:pPr>
      <w:r w:rsidRPr="00500E12">
        <w:rPr>
          <w:b/>
          <w:i/>
          <w:lang w:val="es-CO"/>
        </w:rPr>
        <w:t xml:space="preserve">TERCERO: </w:t>
      </w:r>
      <w:r w:rsidRPr="00500E12">
        <w:rPr>
          <w:i/>
          <w:lang w:val="es-CO"/>
        </w:rPr>
        <w:t>Sin condena en costas.</w:t>
      </w:r>
    </w:p>
    <w:p w14:paraId="264F4324" w14:textId="77777777" w:rsidR="00E33B31" w:rsidRPr="00500E12" w:rsidRDefault="00E33B31" w:rsidP="00E33B31">
      <w:pPr>
        <w:spacing w:line="240" w:lineRule="auto"/>
        <w:ind w:left="567" w:right="567"/>
        <w:rPr>
          <w:i/>
          <w:lang w:val="es-CO"/>
        </w:rPr>
      </w:pPr>
      <w:r w:rsidRPr="00500E12">
        <w:rPr>
          <w:i/>
          <w:lang w:val="es-CO"/>
        </w:rPr>
        <w:t>(…)</w:t>
      </w:r>
    </w:p>
    <w:p w14:paraId="49CF7E9D" w14:textId="77777777" w:rsidR="009B7049" w:rsidRPr="00500E12" w:rsidRDefault="009B7049" w:rsidP="00C7520C">
      <w:pPr>
        <w:rPr>
          <w:lang w:val="es-CO"/>
        </w:rPr>
      </w:pPr>
    </w:p>
    <w:p w14:paraId="38393244" w14:textId="77777777" w:rsidR="000B33F7" w:rsidRPr="00500E12" w:rsidRDefault="00CD32F7" w:rsidP="00C7520C">
      <w:pPr>
        <w:rPr>
          <w:lang w:val="es-CO"/>
        </w:rPr>
      </w:pPr>
      <w:r w:rsidRPr="00500E12">
        <w:rPr>
          <w:lang w:val="es-CO"/>
        </w:rPr>
        <w:t>6</w:t>
      </w:r>
      <w:r w:rsidR="009B7049" w:rsidRPr="00500E12">
        <w:rPr>
          <w:lang w:val="es-CO"/>
        </w:rPr>
        <w:t xml:space="preserve">.1. </w:t>
      </w:r>
      <w:r w:rsidR="00480489" w:rsidRPr="00500E12">
        <w:rPr>
          <w:lang w:val="es-CO"/>
        </w:rPr>
        <w:t>Señaló que conforme al literal d), numeral 10 del artículo 136 del Código Contencioso Administrativo,</w:t>
      </w:r>
      <w:r w:rsidR="00616275" w:rsidRPr="00500E12">
        <w:rPr>
          <w:lang w:val="es-CO"/>
        </w:rPr>
        <w:t xml:space="preserve"> la acción fue </w:t>
      </w:r>
      <w:r w:rsidR="00B83698" w:rsidRPr="00500E12">
        <w:rPr>
          <w:lang w:val="es-CO"/>
        </w:rPr>
        <w:t>presentada</w:t>
      </w:r>
      <w:r w:rsidR="00616275" w:rsidRPr="00500E12">
        <w:rPr>
          <w:lang w:val="es-CO"/>
        </w:rPr>
        <w:t xml:space="preserve"> dentro del término de los dos años previstos para el efecto, porque si bien era cierto, </w:t>
      </w:r>
      <w:r w:rsidR="008E4267" w:rsidRPr="00500E12">
        <w:rPr>
          <w:lang w:val="es-CO"/>
        </w:rPr>
        <w:t>la parte actora</w:t>
      </w:r>
      <w:r w:rsidR="00616275" w:rsidRPr="00500E12">
        <w:rPr>
          <w:lang w:val="es-CO"/>
        </w:rPr>
        <w:t xml:space="preserve"> ejerció la de nulidad y restablecimiento del derecho, de que trata el artículo 85 </w:t>
      </w:r>
      <w:r w:rsidR="00616275" w:rsidRPr="00500E12">
        <w:rPr>
          <w:i/>
          <w:lang w:val="es-CO"/>
        </w:rPr>
        <w:t xml:space="preserve">ibídem, </w:t>
      </w:r>
      <w:r w:rsidR="00616275" w:rsidRPr="00500E12">
        <w:rPr>
          <w:lang w:val="es-CO"/>
        </w:rPr>
        <w:t xml:space="preserve"> por derivarse de la celebración de un contrato, la procedente era la prevista en el artículo 87 del mismo estatuto</w:t>
      </w:r>
      <w:r w:rsidR="00651E07" w:rsidRPr="00500E12">
        <w:rPr>
          <w:rStyle w:val="Refdenotaalpie"/>
          <w:rFonts w:cs="Arial"/>
          <w:lang w:val="es-CO"/>
        </w:rPr>
        <w:footnoteReference w:id="1"/>
      </w:r>
      <w:r w:rsidR="00616275" w:rsidRPr="00500E12">
        <w:rPr>
          <w:lang w:val="es-CO"/>
        </w:rPr>
        <w:t xml:space="preserve">. </w:t>
      </w:r>
      <w:r w:rsidR="00BC303D" w:rsidRPr="00500E12">
        <w:rPr>
          <w:lang w:val="es-CO"/>
        </w:rPr>
        <w:t xml:space="preserve">De igual forma, tuvo a las partes como legitimadas en la causa, tanto por activa </w:t>
      </w:r>
      <w:r w:rsidR="001D2EEF" w:rsidRPr="00500E12">
        <w:rPr>
          <w:lang w:val="es-CO"/>
        </w:rPr>
        <w:t xml:space="preserve"> </w:t>
      </w:r>
      <w:r w:rsidR="00C25A27" w:rsidRPr="00500E12">
        <w:rPr>
          <w:lang w:val="es-CO"/>
        </w:rPr>
        <w:t>como p</w:t>
      </w:r>
      <w:r w:rsidR="00B2226A" w:rsidRPr="00500E12">
        <w:rPr>
          <w:lang w:val="es-CO"/>
        </w:rPr>
        <w:t>or pasiva y</w:t>
      </w:r>
      <w:r w:rsidR="00C927B8" w:rsidRPr="00500E12">
        <w:rPr>
          <w:lang w:val="es-CO"/>
        </w:rPr>
        <w:t>,</w:t>
      </w:r>
      <w:r w:rsidR="00B2226A" w:rsidRPr="00500E12">
        <w:rPr>
          <w:lang w:val="es-CO"/>
        </w:rPr>
        <w:t xml:space="preserve"> a la compañía Asegurado de Fianzas S.A.</w:t>
      </w:r>
      <w:r w:rsidR="00C927B8" w:rsidRPr="00500E12">
        <w:rPr>
          <w:lang w:val="es-CO"/>
        </w:rPr>
        <w:t>,</w:t>
      </w:r>
      <w:r w:rsidR="00B2226A" w:rsidRPr="00500E12">
        <w:rPr>
          <w:lang w:val="es-CO"/>
        </w:rPr>
        <w:t xml:space="preserve"> como coadyuvante. </w:t>
      </w:r>
    </w:p>
    <w:p w14:paraId="054A1D65" w14:textId="77777777" w:rsidR="00B2226A" w:rsidRPr="00500E12" w:rsidRDefault="00B2226A" w:rsidP="00C7520C">
      <w:pPr>
        <w:rPr>
          <w:lang w:val="es-CO"/>
        </w:rPr>
      </w:pPr>
    </w:p>
    <w:p w14:paraId="07565222" w14:textId="77777777" w:rsidR="00984101" w:rsidRPr="00500E12" w:rsidRDefault="00167B46" w:rsidP="00C7520C">
      <w:pPr>
        <w:rPr>
          <w:lang w:val="es-CO"/>
        </w:rPr>
      </w:pPr>
      <w:r w:rsidRPr="00500E12">
        <w:rPr>
          <w:lang w:val="es-CO"/>
        </w:rPr>
        <w:t xml:space="preserve">6.2. Con base en jurisprudencia de esta Corporación, señaló que la administración ostentaba competencia para declarar unilateralmente la ocurrencia del siniestro </w:t>
      </w:r>
      <w:r w:rsidR="0074146E" w:rsidRPr="00500E12">
        <w:rPr>
          <w:lang w:val="es-CO"/>
        </w:rPr>
        <w:t xml:space="preserve">y hacer efectivas las garantías constituidas por el contratista en </w:t>
      </w:r>
      <w:r w:rsidR="00FA0B35" w:rsidRPr="00500E12">
        <w:rPr>
          <w:lang w:val="es-CO"/>
        </w:rPr>
        <w:t>virtud</w:t>
      </w:r>
      <w:r w:rsidR="0074146E" w:rsidRPr="00500E12">
        <w:rPr>
          <w:lang w:val="es-CO"/>
        </w:rPr>
        <w:t xml:space="preserve"> de la “</w:t>
      </w:r>
      <w:r w:rsidR="0074146E" w:rsidRPr="00500E12">
        <w:rPr>
          <w:i/>
          <w:lang w:val="es-CO"/>
        </w:rPr>
        <w:t>auto</w:t>
      </w:r>
      <w:r w:rsidR="00FA0B35" w:rsidRPr="00500E12">
        <w:rPr>
          <w:i/>
          <w:lang w:val="es-CO"/>
        </w:rPr>
        <w:t xml:space="preserve"> </w:t>
      </w:r>
      <w:r w:rsidR="0074146E" w:rsidRPr="00500E12">
        <w:rPr>
          <w:i/>
          <w:lang w:val="es-CO"/>
        </w:rPr>
        <w:t>tutela administrativa”</w:t>
      </w:r>
      <w:r w:rsidR="00FA0B35" w:rsidRPr="00500E12">
        <w:rPr>
          <w:i/>
          <w:lang w:val="es-CO"/>
        </w:rPr>
        <w:t xml:space="preserve">, </w:t>
      </w:r>
      <w:r w:rsidR="00FA0B35" w:rsidRPr="00500E12">
        <w:rPr>
          <w:lang w:val="es-CO"/>
        </w:rPr>
        <w:t>razón por la cual no prosperaba el cargo de nulidad de los actos administrativos controvertidos.</w:t>
      </w:r>
    </w:p>
    <w:p w14:paraId="15999CCC" w14:textId="77777777" w:rsidR="00FA0B35" w:rsidRPr="00500E12" w:rsidRDefault="00FA0B35" w:rsidP="00C7520C">
      <w:pPr>
        <w:rPr>
          <w:lang w:val="es-CO"/>
        </w:rPr>
      </w:pPr>
    </w:p>
    <w:p w14:paraId="41210BA9" w14:textId="77777777" w:rsidR="00FA0B35" w:rsidRPr="00500E12" w:rsidRDefault="00FA0B35" w:rsidP="00C7520C">
      <w:pPr>
        <w:rPr>
          <w:lang w:val="es-CO"/>
        </w:rPr>
      </w:pPr>
      <w:r w:rsidRPr="00500E12">
        <w:rPr>
          <w:lang w:val="es-CO"/>
        </w:rPr>
        <w:t xml:space="preserve">6.3. Frente a la pretensión subsidiaria, </w:t>
      </w:r>
      <w:r w:rsidR="0064485D" w:rsidRPr="00500E12">
        <w:rPr>
          <w:lang w:val="es-CO"/>
        </w:rPr>
        <w:t>esto es</w:t>
      </w:r>
      <w:r w:rsidRPr="00500E12">
        <w:rPr>
          <w:lang w:val="es-CO"/>
        </w:rPr>
        <w:t xml:space="preserve">, </w:t>
      </w:r>
      <w:r w:rsidR="0064485D" w:rsidRPr="00500E12">
        <w:rPr>
          <w:lang w:val="es-CO"/>
        </w:rPr>
        <w:t xml:space="preserve">que </w:t>
      </w:r>
      <w:r w:rsidRPr="00500E12">
        <w:rPr>
          <w:lang w:val="es-CO"/>
        </w:rPr>
        <w:t xml:space="preserve">las resoluciones acusadas estaban viciadas </w:t>
      </w:r>
      <w:r w:rsidR="006D3E13" w:rsidRPr="00500E12">
        <w:rPr>
          <w:lang w:val="es-CO"/>
        </w:rPr>
        <w:t>por</w:t>
      </w:r>
      <w:r w:rsidRPr="00500E12">
        <w:rPr>
          <w:lang w:val="es-CO"/>
        </w:rPr>
        <w:t xml:space="preserve"> falsa motivación, </w:t>
      </w:r>
      <w:r w:rsidR="00887E08" w:rsidRPr="00500E12">
        <w:rPr>
          <w:lang w:val="es-CO"/>
        </w:rPr>
        <w:t xml:space="preserve">adujo que </w:t>
      </w:r>
      <w:r w:rsidR="004B5908" w:rsidRPr="00500E12">
        <w:rPr>
          <w:lang w:val="es-CO"/>
        </w:rPr>
        <w:t>del análisis de</w:t>
      </w:r>
      <w:r w:rsidR="00A531E2" w:rsidRPr="00500E12">
        <w:rPr>
          <w:lang w:val="es-CO"/>
        </w:rPr>
        <w:t xml:space="preserve"> las pruebas recaudadas</w:t>
      </w:r>
      <w:r w:rsidR="0064485D" w:rsidRPr="00500E12">
        <w:rPr>
          <w:lang w:val="es-CO"/>
        </w:rPr>
        <w:t xml:space="preserve"> se advertía que </w:t>
      </w:r>
      <w:r w:rsidR="00A531E2" w:rsidRPr="00500E12">
        <w:rPr>
          <w:lang w:val="es-CO"/>
        </w:rPr>
        <w:t>no se acreditó</w:t>
      </w:r>
      <w:r w:rsidR="00817441" w:rsidRPr="00500E12">
        <w:rPr>
          <w:lang w:val="es-CO"/>
        </w:rPr>
        <w:t>,</w:t>
      </w:r>
      <w:r w:rsidR="00A531E2" w:rsidRPr="00500E12">
        <w:rPr>
          <w:lang w:val="es-CO"/>
        </w:rPr>
        <w:t xml:space="preserve"> porque el mantenimiento de las obras</w:t>
      </w:r>
      <w:r w:rsidR="0064485D" w:rsidRPr="00500E12">
        <w:rPr>
          <w:lang w:val="es-CO"/>
        </w:rPr>
        <w:t>,</w:t>
      </w:r>
      <w:r w:rsidR="00A531E2" w:rsidRPr="00500E12">
        <w:rPr>
          <w:lang w:val="es-CO"/>
        </w:rPr>
        <w:t xml:space="preserve"> que debía hacer e</w:t>
      </w:r>
      <w:r w:rsidR="00C8195D" w:rsidRPr="00500E12">
        <w:rPr>
          <w:lang w:val="es-CO"/>
        </w:rPr>
        <w:t>l contratante</w:t>
      </w:r>
      <w:r w:rsidR="0064485D" w:rsidRPr="00500E12">
        <w:rPr>
          <w:lang w:val="es-CO"/>
        </w:rPr>
        <w:t>,</w:t>
      </w:r>
      <w:r w:rsidR="00C8195D" w:rsidRPr="00500E12">
        <w:rPr>
          <w:lang w:val="es-CO"/>
        </w:rPr>
        <w:t xml:space="preserve"> era a largo plazo, </w:t>
      </w:r>
      <w:r w:rsidR="00A531E2" w:rsidRPr="00500E12">
        <w:rPr>
          <w:lang w:val="es-CO"/>
        </w:rPr>
        <w:t>no a los pocos meses de haber recibido la obra, sumado a que encontró que el colapso de la misma era imputable a la contratista, dado que podía prever</w:t>
      </w:r>
      <w:r w:rsidR="00C8195D" w:rsidRPr="00500E12">
        <w:rPr>
          <w:lang w:val="es-CO"/>
        </w:rPr>
        <w:t>,</w:t>
      </w:r>
      <w:r w:rsidR="00A531E2" w:rsidRPr="00500E12">
        <w:rPr>
          <w:lang w:val="es-CO"/>
        </w:rPr>
        <w:t xml:space="preserve"> desde la presentación de los diseños, que la erosión causada por las aguas en la base del muro, producía su inestabilidad  y consecuente caída. </w:t>
      </w:r>
    </w:p>
    <w:p w14:paraId="2BC92C29" w14:textId="77777777" w:rsidR="00891E0B" w:rsidRPr="00500E12" w:rsidRDefault="00891E0B" w:rsidP="00C7520C">
      <w:pPr>
        <w:rPr>
          <w:lang w:val="es-CO"/>
        </w:rPr>
      </w:pPr>
    </w:p>
    <w:p w14:paraId="5FAFEB99" w14:textId="77777777" w:rsidR="00891E0B" w:rsidRPr="00500E12" w:rsidRDefault="00891E0B" w:rsidP="00C7520C">
      <w:pPr>
        <w:rPr>
          <w:lang w:val="es-CO"/>
        </w:rPr>
      </w:pPr>
      <w:r w:rsidRPr="00500E12">
        <w:rPr>
          <w:lang w:val="es-CO"/>
        </w:rPr>
        <w:t xml:space="preserve">6.4. </w:t>
      </w:r>
      <w:r w:rsidR="00336214" w:rsidRPr="00500E12">
        <w:rPr>
          <w:lang w:val="es-CO"/>
        </w:rPr>
        <w:t xml:space="preserve">Al hacer el análisis de los cargos de violación formulados por la aseguradora, indicó que la aplicación </w:t>
      </w:r>
      <w:r w:rsidR="00606426" w:rsidRPr="00500E12">
        <w:rPr>
          <w:lang w:val="es-CO"/>
        </w:rPr>
        <w:t>del derecho privado</w:t>
      </w:r>
      <w:r w:rsidR="003F66B7" w:rsidRPr="00500E12">
        <w:rPr>
          <w:lang w:val="es-CO"/>
        </w:rPr>
        <w:t>,</w:t>
      </w:r>
      <w:r w:rsidR="00606426" w:rsidRPr="00500E12">
        <w:rPr>
          <w:lang w:val="es-CO"/>
        </w:rPr>
        <w:t xml:space="preserve"> que regula el co</w:t>
      </w:r>
      <w:r w:rsidR="003F66B7" w:rsidRPr="00500E12">
        <w:rPr>
          <w:lang w:val="es-CO"/>
        </w:rPr>
        <w:t>ntrato de seguro, se encontraba limitada</w:t>
      </w:r>
      <w:r w:rsidR="00606426" w:rsidRPr="00500E12">
        <w:rPr>
          <w:lang w:val="es-CO"/>
        </w:rPr>
        <w:t xml:space="preserve"> en el contrato estatal</w:t>
      </w:r>
      <w:r w:rsidR="00633004" w:rsidRPr="00500E12">
        <w:rPr>
          <w:lang w:val="es-CO"/>
        </w:rPr>
        <w:t xml:space="preserve"> por la protección al patrimonio público. Adicionalmente, reiteró que no le c</w:t>
      </w:r>
      <w:r w:rsidR="003F66B7" w:rsidRPr="00500E12">
        <w:rPr>
          <w:lang w:val="es-CO"/>
        </w:rPr>
        <w:t>orrespondía a la administración</w:t>
      </w:r>
      <w:r w:rsidR="00633004" w:rsidRPr="00500E12">
        <w:rPr>
          <w:lang w:val="es-CO"/>
        </w:rPr>
        <w:t xml:space="preserve"> hacer mantenimientos periódicos, pocos meses después </w:t>
      </w:r>
      <w:r w:rsidR="002C257B" w:rsidRPr="00500E12">
        <w:rPr>
          <w:lang w:val="es-CO"/>
        </w:rPr>
        <w:t>de la entrega de las obras, máxime porque tal situación le era ajena a la estabilidad de la estructura por la erosión de sus bases</w:t>
      </w:r>
      <w:r w:rsidR="008E1B26" w:rsidRPr="00500E12">
        <w:rPr>
          <w:lang w:val="es-CO"/>
        </w:rPr>
        <w:t xml:space="preserve"> y que no era posible analizar las condiciones generales de la póliza, porque </w:t>
      </w:r>
      <w:r w:rsidR="00BF6631" w:rsidRPr="00500E12">
        <w:rPr>
          <w:lang w:val="es-CO"/>
        </w:rPr>
        <w:t xml:space="preserve">aquellas </w:t>
      </w:r>
      <w:r w:rsidR="008E1B26" w:rsidRPr="00500E12">
        <w:rPr>
          <w:lang w:val="es-CO"/>
        </w:rPr>
        <w:t xml:space="preserve">no se allegaron al expediente. </w:t>
      </w:r>
    </w:p>
    <w:p w14:paraId="7AEE2A17" w14:textId="77777777" w:rsidR="003124DC" w:rsidRPr="00500E12" w:rsidRDefault="003124DC" w:rsidP="00C7520C">
      <w:pPr>
        <w:rPr>
          <w:lang w:val="es-CO"/>
        </w:rPr>
      </w:pPr>
    </w:p>
    <w:p w14:paraId="1DD1A892" w14:textId="77777777" w:rsidR="002F4A8C" w:rsidRPr="00500E12" w:rsidRDefault="00744FF5" w:rsidP="003B764C">
      <w:pPr>
        <w:rPr>
          <w:lang w:val="es-CO"/>
        </w:rPr>
      </w:pPr>
      <w:r w:rsidRPr="00500E12">
        <w:rPr>
          <w:lang w:val="es-CO"/>
        </w:rPr>
        <w:t>7</w:t>
      </w:r>
      <w:r w:rsidR="003B764C" w:rsidRPr="00500E12">
        <w:rPr>
          <w:lang w:val="es-CO"/>
        </w:rPr>
        <w:t xml:space="preserve">. La anterior decisión fue </w:t>
      </w:r>
      <w:r w:rsidR="003B764C" w:rsidRPr="00500E12">
        <w:rPr>
          <w:b/>
          <w:bCs/>
          <w:lang w:val="es-CO"/>
        </w:rPr>
        <w:t>apelada</w:t>
      </w:r>
      <w:r w:rsidR="003B764C" w:rsidRPr="00500E12">
        <w:rPr>
          <w:lang w:val="es-CO"/>
        </w:rPr>
        <w:t xml:space="preserve"> en tiempo por la parte </w:t>
      </w:r>
      <w:r w:rsidRPr="00500E12">
        <w:rPr>
          <w:lang w:val="es-CO"/>
        </w:rPr>
        <w:t>actora y por la compañía aseguradora</w:t>
      </w:r>
      <w:r w:rsidR="00197D19" w:rsidRPr="00500E12">
        <w:rPr>
          <w:lang w:val="es-CO"/>
        </w:rPr>
        <w:t xml:space="preserve"> </w:t>
      </w:r>
      <w:r w:rsidRPr="00500E12">
        <w:rPr>
          <w:lang w:val="es-CO"/>
        </w:rPr>
        <w:t>de Fianzas S.A. –Confianza S.A.-</w:t>
      </w:r>
      <w:r w:rsidR="005678F7" w:rsidRPr="00500E12">
        <w:rPr>
          <w:lang w:val="es-CO"/>
        </w:rPr>
        <w:t xml:space="preserve">; </w:t>
      </w:r>
      <w:r w:rsidR="007A08DF" w:rsidRPr="00500E12">
        <w:rPr>
          <w:lang w:val="es-CO"/>
        </w:rPr>
        <w:t>una vez se corrió traslado para el efecto</w:t>
      </w:r>
      <w:r w:rsidR="00381F90" w:rsidRPr="00500E12">
        <w:rPr>
          <w:lang w:val="es-CO"/>
        </w:rPr>
        <w:t>,</w:t>
      </w:r>
      <w:r w:rsidR="007A08DF" w:rsidRPr="00500E12">
        <w:rPr>
          <w:lang w:val="es-CO"/>
        </w:rPr>
        <w:t xml:space="preserve"> </w:t>
      </w:r>
      <w:r w:rsidR="003B764C" w:rsidRPr="00500E12">
        <w:rPr>
          <w:lang w:val="es-CO"/>
        </w:rPr>
        <w:t>sustent</w:t>
      </w:r>
      <w:r w:rsidR="00197D19" w:rsidRPr="00500E12">
        <w:rPr>
          <w:lang w:val="es-CO"/>
        </w:rPr>
        <w:t>aron</w:t>
      </w:r>
      <w:r w:rsidR="003B764C" w:rsidRPr="00500E12">
        <w:rPr>
          <w:lang w:val="es-CO"/>
        </w:rPr>
        <w:t xml:space="preserve"> su desacuerdo con la decisión de la siguiente forma</w:t>
      </w:r>
      <w:r w:rsidR="007A08DF" w:rsidRPr="00500E12">
        <w:rPr>
          <w:lang w:val="es-CO"/>
        </w:rPr>
        <w:t xml:space="preserve"> (f. </w:t>
      </w:r>
      <w:r w:rsidR="00713868" w:rsidRPr="00500E12">
        <w:rPr>
          <w:lang w:val="es-CO"/>
        </w:rPr>
        <w:t>198, 199-209 y 210-213</w:t>
      </w:r>
      <w:r w:rsidR="007A08DF" w:rsidRPr="00500E12">
        <w:rPr>
          <w:lang w:val="es-CO"/>
        </w:rPr>
        <w:t xml:space="preserve"> c.</w:t>
      </w:r>
      <w:r w:rsidR="00137E85" w:rsidRPr="00500E12">
        <w:rPr>
          <w:lang w:val="es-CO"/>
        </w:rPr>
        <w:t xml:space="preserve"> ppal.</w:t>
      </w:r>
      <w:r w:rsidR="007A08DF" w:rsidRPr="00500E12">
        <w:rPr>
          <w:lang w:val="es-CO"/>
        </w:rPr>
        <w:t>)</w:t>
      </w:r>
      <w:r w:rsidR="003B764C" w:rsidRPr="00500E12">
        <w:rPr>
          <w:lang w:val="es-CO"/>
        </w:rPr>
        <w:t>:</w:t>
      </w:r>
      <w:r w:rsidR="004B7DE6" w:rsidRPr="00500E12">
        <w:rPr>
          <w:lang w:val="es-CO"/>
        </w:rPr>
        <w:t xml:space="preserve"> </w:t>
      </w:r>
    </w:p>
    <w:p w14:paraId="0F3CB864" w14:textId="77777777" w:rsidR="002F4A8C" w:rsidRPr="00500E12" w:rsidRDefault="002F4A8C" w:rsidP="00C7520C">
      <w:pPr>
        <w:rPr>
          <w:lang w:val="es-CO"/>
        </w:rPr>
      </w:pPr>
    </w:p>
    <w:p w14:paraId="277A9584" w14:textId="77777777" w:rsidR="00D10D4E" w:rsidRPr="00500E12" w:rsidRDefault="005A4284" w:rsidP="00987FDB">
      <w:pPr>
        <w:rPr>
          <w:lang w:val="es-CO"/>
        </w:rPr>
      </w:pPr>
      <w:r w:rsidRPr="00500E12">
        <w:rPr>
          <w:lang w:val="es-CO"/>
        </w:rPr>
        <w:t>7</w:t>
      </w:r>
      <w:r w:rsidR="005B511C" w:rsidRPr="00500E12">
        <w:rPr>
          <w:lang w:val="es-CO"/>
        </w:rPr>
        <w:t xml:space="preserve">.1. </w:t>
      </w:r>
      <w:r w:rsidRPr="00500E12">
        <w:rPr>
          <w:lang w:val="es-CO"/>
        </w:rPr>
        <w:t>La compañía aseguradora de Fianzas S.A. –Confianza S.A.-,</w:t>
      </w:r>
      <w:r w:rsidR="009A0AB8" w:rsidRPr="00500E12">
        <w:rPr>
          <w:lang w:val="es-CO"/>
        </w:rPr>
        <w:t xml:space="preserve"> </w:t>
      </w:r>
      <w:r w:rsidR="00D10D4E" w:rsidRPr="00500E12">
        <w:rPr>
          <w:lang w:val="es-CO"/>
        </w:rPr>
        <w:t xml:space="preserve">adujo que </w:t>
      </w:r>
      <w:r w:rsidR="00273F75" w:rsidRPr="00500E12">
        <w:rPr>
          <w:lang w:val="es-CO"/>
        </w:rPr>
        <w:t xml:space="preserve">en </w:t>
      </w:r>
      <w:r w:rsidR="001C33DB" w:rsidRPr="00500E12">
        <w:rPr>
          <w:lang w:val="es-CO"/>
        </w:rPr>
        <w:t>e</w:t>
      </w:r>
      <w:r w:rsidR="00D10D4E" w:rsidRPr="00500E12">
        <w:rPr>
          <w:lang w:val="es-CO"/>
        </w:rPr>
        <w:t xml:space="preserve">l análisis del </w:t>
      </w:r>
      <w:r w:rsidR="00D10D4E" w:rsidRPr="00500E12">
        <w:rPr>
          <w:i/>
          <w:lang w:val="es-CO"/>
        </w:rPr>
        <w:t xml:space="preserve">a quo </w:t>
      </w:r>
      <w:r w:rsidR="00D10D4E" w:rsidRPr="00500E12">
        <w:rPr>
          <w:lang w:val="es-CO"/>
        </w:rPr>
        <w:t>frente a la efectividad de la póliza de estabilidad de la obra, se les vulneró el derecho de defensa por la indebida apreciación de los documentos aportados con la demanda adhesiva, toda vez que contrario a lo indicado en el fallo impugnado, las condiciones generales de la póliza sí reposaban en el expediente. Sumado a lo anterior, puso de presente que si bien las entidades estatales tienen el “</w:t>
      </w:r>
      <w:r w:rsidR="00D10D4E" w:rsidRPr="00500E12">
        <w:rPr>
          <w:i/>
          <w:lang w:val="es-CO"/>
        </w:rPr>
        <w:t xml:space="preserve">poder de auto tutela administrativa”, </w:t>
      </w:r>
      <w:r w:rsidR="00D10D4E" w:rsidRPr="00500E12">
        <w:rPr>
          <w:lang w:val="es-CO"/>
        </w:rPr>
        <w:t>la jurisprudencia ha definido los límites de la misma, razón por la cual la demandada estaba en imposibilidad de hacer ef</w:t>
      </w:r>
      <w:r w:rsidR="00A14055" w:rsidRPr="00500E12">
        <w:rPr>
          <w:lang w:val="es-CO"/>
        </w:rPr>
        <w:t>ectivo el amparo de estabilidad.</w:t>
      </w:r>
    </w:p>
    <w:p w14:paraId="24C6C3D8" w14:textId="77777777" w:rsidR="00A14055" w:rsidRPr="00500E12" w:rsidRDefault="00A14055" w:rsidP="00987FDB">
      <w:pPr>
        <w:rPr>
          <w:lang w:val="es-CO"/>
        </w:rPr>
      </w:pPr>
    </w:p>
    <w:p w14:paraId="7853F59B" w14:textId="77777777" w:rsidR="00FF57B3" w:rsidRPr="00500E12" w:rsidRDefault="00A14055" w:rsidP="00987FDB">
      <w:pPr>
        <w:rPr>
          <w:lang w:val="es-CO"/>
        </w:rPr>
      </w:pPr>
      <w:r w:rsidRPr="00500E12">
        <w:rPr>
          <w:lang w:val="es-CO"/>
        </w:rPr>
        <w:t xml:space="preserve">7.1.1. De igual forma, </w:t>
      </w:r>
      <w:r w:rsidR="008C5549" w:rsidRPr="00500E12">
        <w:rPr>
          <w:lang w:val="es-CO"/>
        </w:rPr>
        <w:t xml:space="preserve">con base en el material probatorio que reposa en el expediente, </w:t>
      </w:r>
      <w:r w:rsidRPr="00500E12">
        <w:rPr>
          <w:lang w:val="es-CO"/>
        </w:rPr>
        <w:t xml:space="preserve">reiteró los argumentos </w:t>
      </w:r>
      <w:r w:rsidR="00FF57B3" w:rsidRPr="00500E12">
        <w:rPr>
          <w:lang w:val="es-CO"/>
        </w:rPr>
        <w:t xml:space="preserve">expuestos en la primera instancia, en especial, los </w:t>
      </w:r>
      <w:r w:rsidR="001C33DB" w:rsidRPr="00500E12">
        <w:rPr>
          <w:lang w:val="es-CO"/>
        </w:rPr>
        <w:t>de</w:t>
      </w:r>
      <w:r w:rsidR="00FF57B3" w:rsidRPr="00500E12">
        <w:rPr>
          <w:lang w:val="es-CO"/>
        </w:rPr>
        <w:t xml:space="preserve"> c</w:t>
      </w:r>
      <w:r w:rsidRPr="00500E12">
        <w:rPr>
          <w:lang w:val="es-CO"/>
        </w:rPr>
        <w:t>umplimiento de las obligaciones contractuales a cargo de la contratista y la falta de mantenimiento preventivo que fue advertido en su momento a la contratante</w:t>
      </w:r>
      <w:r w:rsidR="00A44EF5" w:rsidRPr="00500E12">
        <w:rPr>
          <w:lang w:val="es-CO"/>
        </w:rPr>
        <w:t xml:space="preserve">, así como la terminación del contrato de seguro por la agravación del estado del riesgo no informada a la compañía aseguradora dentro del plazo legal, razones por las que solicitó que se revocara el fallo y se declarara que Confianza S.A. no tenía obligación de realizar pago alguno. </w:t>
      </w:r>
    </w:p>
    <w:p w14:paraId="480227BB" w14:textId="77777777" w:rsidR="00FF57B3" w:rsidRPr="00500E12" w:rsidRDefault="00FF57B3" w:rsidP="00987FDB">
      <w:pPr>
        <w:rPr>
          <w:lang w:val="es-CO"/>
        </w:rPr>
      </w:pPr>
    </w:p>
    <w:p w14:paraId="15BB047B" w14:textId="77777777" w:rsidR="00A14055" w:rsidRPr="00500E12" w:rsidRDefault="000C5E03" w:rsidP="00987FDB">
      <w:pPr>
        <w:rPr>
          <w:lang w:val="es-CO"/>
        </w:rPr>
      </w:pPr>
      <w:r w:rsidRPr="00500E12">
        <w:rPr>
          <w:lang w:val="es-CO"/>
        </w:rPr>
        <w:t>7.</w:t>
      </w:r>
      <w:r w:rsidR="00FF57B3" w:rsidRPr="00500E12">
        <w:rPr>
          <w:lang w:val="es-CO"/>
        </w:rPr>
        <w:t xml:space="preserve">2. </w:t>
      </w:r>
      <w:r w:rsidRPr="00500E12">
        <w:rPr>
          <w:lang w:val="es-CO"/>
        </w:rPr>
        <w:t xml:space="preserve">La parte actora, </w:t>
      </w:r>
      <w:r w:rsidR="00731D08" w:rsidRPr="00500E12">
        <w:rPr>
          <w:lang w:val="es-CO"/>
        </w:rPr>
        <w:t xml:space="preserve">señaló que el colapso de las obras no le era imputable a la contratista, en concordancia con lo consignado en la aclaración </w:t>
      </w:r>
      <w:r w:rsidR="008B31AC" w:rsidRPr="00500E12">
        <w:rPr>
          <w:lang w:val="es-CO"/>
        </w:rPr>
        <w:t>del dictamen pericial</w:t>
      </w:r>
      <w:r w:rsidR="00D00E97" w:rsidRPr="00500E12">
        <w:rPr>
          <w:lang w:val="es-CO"/>
        </w:rPr>
        <w:t xml:space="preserve"> </w:t>
      </w:r>
      <w:r w:rsidR="00731D08" w:rsidRPr="00500E12">
        <w:rPr>
          <w:lang w:val="es-CO"/>
        </w:rPr>
        <w:t>y en el hecho de que las partes</w:t>
      </w:r>
      <w:r w:rsidR="00BA302A" w:rsidRPr="00500E12">
        <w:rPr>
          <w:lang w:val="es-CO"/>
        </w:rPr>
        <w:t>,</w:t>
      </w:r>
      <w:r w:rsidR="00731D08" w:rsidRPr="00500E12">
        <w:rPr>
          <w:lang w:val="es-CO"/>
        </w:rPr>
        <w:t xml:space="preserve"> convinieron la solución parcial de combinar actividades de dragado con unas protecciones de gaviones ante la insuficiencia de la partida presupuestal, razones para afirmar que la conclusión del </w:t>
      </w:r>
      <w:r w:rsidR="00731D08" w:rsidRPr="00500E12">
        <w:rPr>
          <w:i/>
          <w:lang w:val="es-CO"/>
        </w:rPr>
        <w:t>a quo</w:t>
      </w:r>
      <w:r w:rsidR="00731D08" w:rsidRPr="00500E12">
        <w:rPr>
          <w:lang w:val="es-CO"/>
        </w:rPr>
        <w:t xml:space="preserve"> era subjetiva y carecía de soporte probatorio. </w:t>
      </w:r>
    </w:p>
    <w:p w14:paraId="42A7AA77" w14:textId="77777777" w:rsidR="00D00E97" w:rsidRPr="00500E12" w:rsidRDefault="00D00E97" w:rsidP="00987FDB">
      <w:pPr>
        <w:rPr>
          <w:lang w:val="es-CO"/>
        </w:rPr>
      </w:pPr>
    </w:p>
    <w:p w14:paraId="35437185" w14:textId="77777777" w:rsidR="00D00E97" w:rsidRPr="00500E12" w:rsidRDefault="00D00E97" w:rsidP="00987FDB">
      <w:pPr>
        <w:rPr>
          <w:lang w:val="es-CO"/>
        </w:rPr>
      </w:pPr>
      <w:r w:rsidRPr="00500E12">
        <w:rPr>
          <w:lang w:val="es-CO"/>
        </w:rPr>
        <w:t xml:space="preserve">7.2.1. Indicó que no compartía la posición jurisprudencial que sirvió de motivación al fallo de primera instancia, conforme a la cual, las entidades estatales podían declarar unilateralmente la declaratoria de ocurrencia de siniestros, como potestad exorbitante </w:t>
      </w:r>
      <w:r w:rsidR="00BA302A" w:rsidRPr="00500E12">
        <w:rPr>
          <w:lang w:val="es-CO"/>
        </w:rPr>
        <w:t>en el contrato. Señaló que la misma, solo</w:t>
      </w:r>
      <w:r w:rsidRPr="00500E12">
        <w:rPr>
          <w:lang w:val="es-CO"/>
        </w:rPr>
        <w:t xml:space="preserve"> se circunscribía a los eventos en los que se declaraba la caducidad del negocio jurídico</w:t>
      </w:r>
      <w:r w:rsidR="00BA302A" w:rsidRPr="00500E12">
        <w:rPr>
          <w:lang w:val="es-CO"/>
        </w:rPr>
        <w:t>,</w:t>
      </w:r>
      <w:r w:rsidRPr="00500E12">
        <w:rPr>
          <w:lang w:val="es-CO"/>
        </w:rPr>
        <w:t xml:space="preserve"> </w:t>
      </w:r>
      <w:r w:rsidR="006D1A92" w:rsidRPr="00500E12">
        <w:rPr>
          <w:lang w:val="es-CO"/>
        </w:rPr>
        <w:t xml:space="preserve">por ser una excepción de interpretación restrictiva. </w:t>
      </w:r>
      <w:r w:rsidRPr="00500E12">
        <w:rPr>
          <w:color w:val="FF0000"/>
          <w:lang w:val="es-CO"/>
        </w:rPr>
        <w:t xml:space="preserve"> </w:t>
      </w:r>
    </w:p>
    <w:p w14:paraId="7766D06F" w14:textId="77777777" w:rsidR="00D10D4E" w:rsidRPr="00500E12" w:rsidRDefault="00D10D4E" w:rsidP="00BA302A">
      <w:pPr>
        <w:tabs>
          <w:tab w:val="left" w:pos="5835"/>
        </w:tabs>
        <w:rPr>
          <w:lang w:val="es-CO"/>
        </w:rPr>
      </w:pPr>
    </w:p>
    <w:p w14:paraId="3E57195A" w14:textId="77777777" w:rsidR="00DD3E83" w:rsidRPr="00500E12" w:rsidRDefault="00055404" w:rsidP="00987FDB">
      <w:pPr>
        <w:rPr>
          <w:lang w:val="es-CO"/>
        </w:rPr>
      </w:pPr>
      <w:r w:rsidRPr="00500E12">
        <w:rPr>
          <w:lang w:val="es-CO"/>
        </w:rPr>
        <w:t>8</w:t>
      </w:r>
      <w:r w:rsidR="00C409AF" w:rsidRPr="00500E12">
        <w:rPr>
          <w:lang w:val="es-CO"/>
        </w:rPr>
        <w:t xml:space="preserve">. </w:t>
      </w:r>
      <w:r w:rsidR="00AD5F45" w:rsidRPr="00500E12">
        <w:rPr>
          <w:lang w:val="es-CO"/>
        </w:rPr>
        <w:t xml:space="preserve">Luego de que se admitiera el recurso (f. </w:t>
      </w:r>
      <w:r w:rsidR="00DD3E83" w:rsidRPr="00500E12">
        <w:rPr>
          <w:lang w:val="es-CO"/>
        </w:rPr>
        <w:t>215</w:t>
      </w:r>
      <w:r w:rsidR="00AD5F45" w:rsidRPr="00500E12">
        <w:rPr>
          <w:lang w:val="es-CO"/>
        </w:rPr>
        <w:t xml:space="preserve"> c. </w:t>
      </w:r>
      <w:r w:rsidR="00760A69" w:rsidRPr="00500E12">
        <w:rPr>
          <w:lang w:val="es-CO"/>
        </w:rPr>
        <w:t>ppal.</w:t>
      </w:r>
      <w:r w:rsidR="00AD5F45" w:rsidRPr="00500E12">
        <w:rPr>
          <w:lang w:val="es-CO"/>
        </w:rPr>
        <w:t>),</w:t>
      </w:r>
      <w:r w:rsidR="00DD3E83" w:rsidRPr="00500E12">
        <w:rPr>
          <w:lang w:val="es-CO"/>
        </w:rPr>
        <w:t xml:space="preserve"> se negó la solicitud de pruebas formulada por la parte actora para que se tuviera en cuenta una providencia emitida por esta Corporación </w:t>
      </w:r>
      <w:r w:rsidR="00AD5F45" w:rsidRPr="00500E12">
        <w:rPr>
          <w:lang w:val="es-CO"/>
        </w:rPr>
        <w:t xml:space="preserve"> </w:t>
      </w:r>
      <w:r w:rsidR="00DD3E83" w:rsidRPr="00500E12">
        <w:rPr>
          <w:lang w:val="es-CO"/>
        </w:rPr>
        <w:t xml:space="preserve">(f. 224-226 c. ppal.). </w:t>
      </w:r>
    </w:p>
    <w:p w14:paraId="2E74623F" w14:textId="77777777" w:rsidR="007D3FEA" w:rsidRPr="00500E12" w:rsidRDefault="007D3FEA" w:rsidP="00987FDB">
      <w:pPr>
        <w:rPr>
          <w:lang w:val="es-CO"/>
        </w:rPr>
      </w:pPr>
    </w:p>
    <w:p w14:paraId="41E9C87A" w14:textId="77777777" w:rsidR="00C409AF" w:rsidRPr="00500E12" w:rsidRDefault="00DD3E83" w:rsidP="00987FDB">
      <w:pPr>
        <w:rPr>
          <w:lang w:val="es-CO"/>
        </w:rPr>
      </w:pPr>
      <w:r w:rsidRPr="00500E12">
        <w:rPr>
          <w:lang w:val="es-CO"/>
        </w:rPr>
        <w:t xml:space="preserve">9. Posteriormente, </w:t>
      </w:r>
      <w:r w:rsidR="00AD5F45" w:rsidRPr="00500E12">
        <w:rPr>
          <w:lang w:val="es-CO"/>
        </w:rPr>
        <w:t xml:space="preserve">se corrió traslado a las partes para </w:t>
      </w:r>
      <w:r w:rsidR="00AD5F45" w:rsidRPr="00500E12">
        <w:rPr>
          <w:b/>
          <w:lang w:val="es-CO"/>
        </w:rPr>
        <w:t xml:space="preserve">alegar de conclusión </w:t>
      </w:r>
      <w:r w:rsidR="00AD5F45" w:rsidRPr="00500E12">
        <w:rPr>
          <w:lang w:val="es-CO"/>
        </w:rPr>
        <w:t xml:space="preserve">(f. </w:t>
      </w:r>
      <w:r w:rsidRPr="00500E12">
        <w:rPr>
          <w:lang w:val="es-CO"/>
        </w:rPr>
        <w:t>228</w:t>
      </w:r>
      <w:r w:rsidR="00AD5F45" w:rsidRPr="00500E12">
        <w:rPr>
          <w:lang w:val="es-CO"/>
        </w:rPr>
        <w:t xml:space="preserve"> c. </w:t>
      </w:r>
      <w:r w:rsidR="001E2583" w:rsidRPr="00500E12">
        <w:rPr>
          <w:lang w:val="es-CO"/>
        </w:rPr>
        <w:t>ppal.</w:t>
      </w:r>
      <w:r w:rsidR="00AD5F45" w:rsidRPr="00500E12">
        <w:rPr>
          <w:lang w:val="es-CO"/>
        </w:rPr>
        <w:t xml:space="preserve">), oportunidad en </w:t>
      </w:r>
      <w:r w:rsidR="00DA74F6" w:rsidRPr="00500E12">
        <w:rPr>
          <w:lang w:val="es-CO"/>
        </w:rPr>
        <w:t>la que</w:t>
      </w:r>
      <w:r w:rsidR="001E2583" w:rsidRPr="00500E12">
        <w:rPr>
          <w:lang w:val="es-CO"/>
        </w:rPr>
        <w:t xml:space="preserve"> </w:t>
      </w:r>
      <w:r w:rsidR="00A53B08" w:rsidRPr="00500E12">
        <w:rPr>
          <w:lang w:val="es-CO"/>
        </w:rPr>
        <w:t xml:space="preserve">la </w:t>
      </w:r>
      <w:r w:rsidR="001E2583" w:rsidRPr="00500E12">
        <w:rPr>
          <w:lang w:val="es-CO"/>
        </w:rPr>
        <w:t>parte actora y la Compañía Aseguradora de Fianzas –Confianza S.A.-, reiteraron los argumentos expuestos en primera instancia y en la sustentación del recurso de apelación</w:t>
      </w:r>
      <w:r w:rsidR="006E0177" w:rsidRPr="00500E12">
        <w:rPr>
          <w:lang w:val="es-CO"/>
        </w:rPr>
        <w:t xml:space="preserve"> </w:t>
      </w:r>
      <w:r w:rsidR="001E2583" w:rsidRPr="00500E12">
        <w:rPr>
          <w:lang w:val="es-CO"/>
        </w:rPr>
        <w:t>(f. 229-230, 231-234 c. ppal.)</w:t>
      </w:r>
      <w:r w:rsidR="00AD5F45" w:rsidRPr="00500E12">
        <w:rPr>
          <w:lang w:val="es-CO"/>
        </w:rPr>
        <w:t>:</w:t>
      </w:r>
    </w:p>
    <w:p w14:paraId="40BCD600" w14:textId="77777777" w:rsidR="00A54287" w:rsidRPr="00500E12" w:rsidRDefault="00A54287" w:rsidP="00C910F2">
      <w:pPr>
        <w:rPr>
          <w:lang w:val="es-CO"/>
        </w:rPr>
      </w:pPr>
    </w:p>
    <w:p w14:paraId="276A8422" w14:textId="77777777" w:rsidR="00EA3213" w:rsidRPr="00500E12" w:rsidRDefault="001E2583" w:rsidP="00EA3213">
      <w:pPr>
        <w:rPr>
          <w:lang w:val="es-CO"/>
        </w:rPr>
      </w:pPr>
      <w:r w:rsidRPr="00500E12">
        <w:rPr>
          <w:lang w:val="es-CO"/>
        </w:rPr>
        <w:t>10.</w:t>
      </w:r>
      <w:r w:rsidR="0037287A" w:rsidRPr="00500E12">
        <w:rPr>
          <w:lang w:val="es-CO"/>
        </w:rPr>
        <w:t xml:space="preserve"> </w:t>
      </w:r>
      <w:r w:rsidR="00C92A72" w:rsidRPr="00500E12">
        <w:rPr>
          <w:lang w:val="es-CO"/>
        </w:rPr>
        <w:t xml:space="preserve">Mediante auto del </w:t>
      </w:r>
      <w:r w:rsidRPr="00500E12">
        <w:rPr>
          <w:lang w:val="es-CO"/>
        </w:rPr>
        <w:t>7</w:t>
      </w:r>
      <w:r w:rsidR="00C92A72" w:rsidRPr="00500E12">
        <w:rPr>
          <w:lang w:val="es-CO"/>
        </w:rPr>
        <w:t xml:space="preserve"> de </w:t>
      </w:r>
      <w:r w:rsidRPr="00500E12">
        <w:rPr>
          <w:lang w:val="es-CO"/>
        </w:rPr>
        <w:t>septiembre</w:t>
      </w:r>
      <w:r w:rsidR="00C92A72" w:rsidRPr="00500E12">
        <w:rPr>
          <w:lang w:val="es-CO"/>
        </w:rPr>
        <w:t xml:space="preserve"> de 2016 se aceptó el impedimento manifestado por el consejero Ramiro Pazos Guerrero </w:t>
      </w:r>
      <w:r w:rsidRPr="00500E12">
        <w:rPr>
          <w:lang w:val="es-CO"/>
        </w:rPr>
        <w:t>y, en consecuencia, se le separó</w:t>
      </w:r>
      <w:r w:rsidR="00C92A72" w:rsidRPr="00500E12">
        <w:rPr>
          <w:lang w:val="es-CO"/>
        </w:rPr>
        <w:t xml:space="preserve"> del conocimiento del presente asunto (f.</w:t>
      </w:r>
      <w:r w:rsidRPr="00500E12">
        <w:rPr>
          <w:lang w:val="es-CO"/>
        </w:rPr>
        <w:t>236-237</w:t>
      </w:r>
      <w:r w:rsidR="00C92A72" w:rsidRPr="00500E12">
        <w:rPr>
          <w:lang w:val="es-CO"/>
        </w:rPr>
        <w:t xml:space="preserve"> y </w:t>
      </w:r>
      <w:r w:rsidRPr="00500E12">
        <w:rPr>
          <w:lang w:val="es-CO"/>
        </w:rPr>
        <w:t>241</w:t>
      </w:r>
      <w:r w:rsidR="00C92A72" w:rsidRPr="00500E12">
        <w:rPr>
          <w:lang w:val="es-CO"/>
        </w:rPr>
        <w:t xml:space="preserve"> c. pp</w:t>
      </w:r>
      <w:r w:rsidRPr="00500E12">
        <w:rPr>
          <w:lang w:val="es-CO"/>
        </w:rPr>
        <w:t>a</w:t>
      </w:r>
      <w:r w:rsidR="00C92A72" w:rsidRPr="00500E12">
        <w:rPr>
          <w:lang w:val="es-CO"/>
        </w:rPr>
        <w:t>l.).</w:t>
      </w:r>
    </w:p>
    <w:p w14:paraId="3C5BE6CA" w14:textId="77777777" w:rsidR="00CD6957" w:rsidRPr="00500E12" w:rsidRDefault="00CD6957" w:rsidP="00564523">
      <w:pPr>
        <w:rPr>
          <w:lang w:val="es-CO"/>
        </w:rPr>
      </w:pPr>
    </w:p>
    <w:p w14:paraId="2CB1B671" w14:textId="77777777" w:rsidR="00C7520C" w:rsidRPr="00500E12" w:rsidRDefault="00C7520C" w:rsidP="00564523">
      <w:pPr>
        <w:jc w:val="center"/>
        <w:rPr>
          <w:b/>
          <w:bCs/>
          <w:lang w:val="es-CO"/>
        </w:rPr>
      </w:pPr>
      <w:r w:rsidRPr="00500E12">
        <w:rPr>
          <w:b/>
          <w:bCs/>
          <w:lang w:val="es-CO"/>
        </w:rPr>
        <w:t>CONSIDERACIONES</w:t>
      </w:r>
    </w:p>
    <w:p w14:paraId="38B0C579" w14:textId="77777777" w:rsidR="002D5DDE" w:rsidRPr="00500E12" w:rsidRDefault="002D5DDE" w:rsidP="00564523">
      <w:pPr>
        <w:rPr>
          <w:lang w:val="es-CO"/>
        </w:rPr>
      </w:pPr>
    </w:p>
    <w:p w14:paraId="7094842D" w14:textId="77777777" w:rsidR="00C7520C" w:rsidRPr="00500E12" w:rsidRDefault="00C7520C" w:rsidP="00564523">
      <w:pPr>
        <w:rPr>
          <w:b/>
          <w:bCs/>
          <w:lang w:val="es-CO"/>
        </w:rPr>
      </w:pPr>
      <w:r w:rsidRPr="00500E12">
        <w:rPr>
          <w:b/>
          <w:bCs/>
          <w:lang w:val="es-CO"/>
        </w:rPr>
        <w:t>I. Competencia</w:t>
      </w:r>
    </w:p>
    <w:p w14:paraId="0C9FAEA8" w14:textId="77777777" w:rsidR="00C7520C" w:rsidRPr="00500E12" w:rsidRDefault="00C7520C" w:rsidP="00564523">
      <w:pPr>
        <w:rPr>
          <w:lang w:val="es-CO"/>
        </w:rPr>
      </w:pPr>
    </w:p>
    <w:p w14:paraId="64FC23B1" w14:textId="77777777" w:rsidR="005F23BC" w:rsidRPr="00500E12" w:rsidRDefault="00206C83" w:rsidP="00564523">
      <w:pPr>
        <w:widowControl w:val="0"/>
        <w:tabs>
          <w:tab w:val="left" w:pos="360"/>
        </w:tabs>
        <w:suppressAutoHyphens w:val="0"/>
        <w:overflowPunct/>
        <w:autoSpaceDE/>
        <w:textAlignment w:val="auto"/>
      </w:pPr>
      <w:r w:rsidRPr="00500E12">
        <w:t>11</w:t>
      </w:r>
      <w:r w:rsidR="00345CF6" w:rsidRPr="00500E12">
        <w:t xml:space="preserve">. </w:t>
      </w:r>
      <w:r w:rsidR="00987B4F" w:rsidRPr="00500E12">
        <w:t>La Sala es competente para decidir el caso por ser un asunto contractual en el que es parte una entidad estatal de las enunciadas en el artículo 2 de la Ley 80 de 1993, según lo dispone el artículo 75</w:t>
      </w:r>
      <w:r w:rsidR="00987B4F" w:rsidRPr="00500E12">
        <w:rPr>
          <w:rStyle w:val="Refdenotaalpie"/>
          <w:rFonts w:cs="Arial"/>
        </w:rPr>
        <w:footnoteReference w:id="2"/>
      </w:r>
      <w:r w:rsidR="00987B4F" w:rsidRPr="00500E12">
        <w:t xml:space="preserve"> del mismo estatuto; y por cuanto se trata de un recurso de apelación presentado contra la sentencia proferida por el Tribunal Administrativo de Cundinamarca en un proceso que, por su cuantía</w:t>
      </w:r>
      <w:r w:rsidR="00987B4F" w:rsidRPr="00500E12">
        <w:rPr>
          <w:rStyle w:val="Refdenotaalpie"/>
          <w:rFonts w:cs="Arial"/>
        </w:rPr>
        <w:footnoteReference w:id="3"/>
      </w:r>
      <w:r w:rsidR="00987B4F" w:rsidRPr="00500E12">
        <w:t>, tiene vocación de doble instancia.</w:t>
      </w:r>
    </w:p>
    <w:p w14:paraId="37F23423" w14:textId="77777777" w:rsidR="00541C8B" w:rsidRPr="00500E12" w:rsidRDefault="00541C8B" w:rsidP="00987B4F">
      <w:pPr>
        <w:widowControl w:val="0"/>
        <w:tabs>
          <w:tab w:val="left" w:pos="360"/>
        </w:tabs>
        <w:suppressAutoHyphens w:val="0"/>
        <w:overflowPunct/>
        <w:autoSpaceDE/>
        <w:textAlignment w:val="auto"/>
      </w:pPr>
    </w:p>
    <w:p w14:paraId="61C6FFB3" w14:textId="77777777" w:rsidR="00A727D4" w:rsidRPr="00500E12" w:rsidRDefault="00947666" w:rsidP="00A727D4">
      <w:pPr>
        <w:rPr>
          <w:b/>
        </w:rPr>
      </w:pPr>
      <w:r w:rsidRPr="00500E12">
        <w:rPr>
          <w:b/>
        </w:rPr>
        <w:t>II</w:t>
      </w:r>
      <w:r w:rsidR="00A727D4" w:rsidRPr="00500E12">
        <w:rPr>
          <w:b/>
        </w:rPr>
        <w:t>.</w:t>
      </w:r>
      <w:r w:rsidR="00A727D4" w:rsidRPr="00500E12">
        <w:t xml:space="preserve"> </w:t>
      </w:r>
      <w:r w:rsidR="00A727D4" w:rsidRPr="00500E12">
        <w:rPr>
          <w:b/>
        </w:rPr>
        <w:t>De la validez de los medios de prueba</w:t>
      </w:r>
    </w:p>
    <w:p w14:paraId="2A4C5FD4" w14:textId="77777777" w:rsidR="001372E4" w:rsidRPr="00500E12" w:rsidRDefault="001372E4" w:rsidP="00A727D4">
      <w:pPr>
        <w:widowControl w:val="0"/>
        <w:tabs>
          <w:tab w:val="left" w:pos="360"/>
        </w:tabs>
        <w:suppressAutoHyphens w:val="0"/>
        <w:overflowPunct/>
        <w:autoSpaceDE/>
        <w:textAlignment w:val="auto"/>
        <w:rPr>
          <w:b/>
          <w:lang w:val="es-CO"/>
        </w:rPr>
      </w:pPr>
    </w:p>
    <w:p w14:paraId="4F050DC6" w14:textId="77777777" w:rsidR="00A727D4" w:rsidRPr="00500E12" w:rsidRDefault="00A727D4" w:rsidP="00A727D4">
      <w:pPr>
        <w:widowControl w:val="0"/>
        <w:tabs>
          <w:tab w:val="left" w:pos="360"/>
        </w:tabs>
        <w:suppressAutoHyphens w:val="0"/>
        <w:overflowPunct/>
        <w:autoSpaceDE/>
        <w:textAlignment w:val="auto"/>
      </w:pPr>
      <w:r w:rsidRPr="00500E12">
        <w:rPr>
          <w:b/>
          <w:lang w:val="es-CO"/>
        </w:rPr>
        <w:t xml:space="preserve">12. </w:t>
      </w:r>
      <w:r w:rsidR="00BD0633" w:rsidRPr="00500E12">
        <w:rPr>
          <w:b/>
          <w:lang w:val="es-CO"/>
        </w:rPr>
        <w:t>Objeción por error grave d</w:t>
      </w:r>
      <w:r w:rsidRPr="00500E12">
        <w:rPr>
          <w:b/>
          <w:lang w:val="es-CO"/>
        </w:rPr>
        <w:t>el dictamen pericial</w:t>
      </w:r>
    </w:p>
    <w:p w14:paraId="0FEE42E5" w14:textId="77777777" w:rsidR="00A727D4" w:rsidRPr="00500E12" w:rsidRDefault="00A727D4" w:rsidP="00E14620">
      <w:pPr>
        <w:widowControl w:val="0"/>
        <w:rPr>
          <w:lang w:val="es-CO"/>
        </w:rPr>
      </w:pPr>
    </w:p>
    <w:p w14:paraId="4288F620" w14:textId="77777777" w:rsidR="00E14620" w:rsidRPr="00500E12" w:rsidRDefault="00A727D4" w:rsidP="00E14620">
      <w:pPr>
        <w:widowControl w:val="0"/>
        <w:suppressAutoHyphens w:val="0"/>
        <w:overflowPunct/>
        <w:autoSpaceDE/>
        <w:autoSpaceDN w:val="0"/>
        <w:rPr>
          <w:lang w:val="es-CO"/>
        </w:rPr>
      </w:pPr>
      <w:r w:rsidRPr="00500E12">
        <w:rPr>
          <w:lang w:val="es-CO"/>
        </w:rPr>
        <w:t>12.</w:t>
      </w:r>
      <w:r w:rsidR="003F45B9" w:rsidRPr="00500E12">
        <w:rPr>
          <w:lang w:val="es-CO"/>
        </w:rPr>
        <w:t>1</w:t>
      </w:r>
      <w:r w:rsidRPr="00500E12">
        <w:rPr>
          <w:lang w:val="es-CO"/>
        </w:rPr>
        <w:t>.</w:t>
      </w:r>
      <w:r w:rsidR="00947666" w:rsidRPr="00500E12">
        <w:rPr>
          <w:lang w:val="es-CO"/>
        </w:rPr>
        <w:t xml:space="preserve"> </w:t>
      </w:r>
      <w:r w:rsidR="00E14620" w:rsidRPr="00500E12">
        <w:rPr>
          <w:lang w:val="es-CO"/>
        </w:rPr>
        <w:t xml:space="preserve">En primera instancia se practicó el dictamen pericial </w:t>
      </w:r>
      <w:r w:rsidR="005D5FD1" w:rsidRPr="00500E12">
        <w:rPr>
          <w:lang w:val="es-CO"/>
        </w:rPr>
        <w:t>solicitado</w:t>
      </w:r>
      <w:r w:rsidR="00E14620" w:rsidRPr="00500E12">
        <w:rPr>
          <w:lang w:val="es-CO"/>
        </w:rPr>
        <w:t xml:space="preserve"> por la parte actora, a cargo de un ingeniero civil (f. 60, 80 c.1), quien, en síntesis,  debía emitir concepto </w:t>
      </w:r>
      <w:r w:rsidR="000712ED" w:rsidRPr="00500E12">
        <w:rPr>
          <w:lang w:val="es-CO"/>
        </w:rPr>
        <w:t xml:space="preserve">sobre </w:t>
      </w:r>
      <w:r w:rsidR="00E14620" w:rsidRPr="00500E12">
        <w:rPr>
          <w:lang w:val="es-CO"/>
        </w:rPr>
        <w:t>los siguientes aspectos: i) Si el procedimiento constructivo adelantado por la contratista era acorde con lo pactado por las autoridades contractuales con posterioridad al inicio de la ejecución del contrato n.º 046 de 1998 según documento entregado el 7 de enero de 1999; ii) Si con base en la solución acordada entre las partes, debía efectuarse un mantenimiento periódico a las obras con el fin de evitar la colmatación del dragado; iii) si</w:t>
      </w:r>
      <w:r w:rsidR="00E72FF6" w:rsidRPr="00500E12">
        <w:rPr>
          <w:lang w:val="es-CO"/>
        </w:rPr>
        <w:t xml:space="preserve"> de</w:t>
      </w:r>
      <w:r w:rsidR="00E14620" w:rsidRPr="00500E12">
        <w:rPr>
          <w:lang w:val="es-CO"/>
        </w:rPr>
        <w:t xml:space="preserve"> las condiciones topográficas y de pendiente de la quebrada </w:t>
      </w:r>
      <w:r w:rsidR="00225689" w:rsidRPr="00500E12">
        <w:rPr>
          <w:lang w:val="es-CO"/>
        </w:rPr>
        <w:t xml:space="preserve">La </w:t>
      </w:r>
      <w:r w:rsidR="00E14620" w:rsidRPr="00500E12">
        <w:rPr>
          <w:lang w:val="es-CO"/>
        </w:rPr>
        <w:t>Negra, podría preverse una colmatación en la zona de dragado y el porqu</w:t>
      </w:r>
      <w:r w:rsidR="00E72FF6" w:rsidRPr="00500E12">
        <w:rPr>
          <w:lang w:val="es-CO"/>
        </w:rPr>
        <w:t xml:space="preserve">é de la respuesta; iv) Si existía </w:t>
      </w:r>
      <w:r w:rsidR="00E14620" w:rsidRPr="00500E12">
        <w:rPr>
          <w:lang w:val="es-CO"/>
        </w:rPr>
        <w:t>motivación técnica en la afirmación contenida en la Resolución n.º 102 del 22 de junio de 2000</w:t>
      </w:r>
      <w:r w:rsidR="00BF587A" w:rsidRPr="00500E12">
        <w:rPr>
          <w:lang w:val="es-CO"/>
        </w:rPr>
        <w:t>,</w:t>
      </w:r>
      <w:r w:rsidR="00E14620" w:rsidRPr="00500E12">
        <w:rPr>
          <w:lang w:val="es-CO"/>
        </w:rPr>
        <w:t xml:space="preserve"> </w:t>
      </w:r>
      <w:r w:rsidR="00BF587A" w:rsidRPr="00500E12">
        <w:rPr>
          <w:lang w:val="es-CO"/>
        </w:rPr>
        <w:t>conforme a la cual, “</w:t>
      </w:r>
      <w:r w:rsidR="00E14620" w:rsidRPr="00500E12">
        <w:rPr>
          <w:i/>
          <w:lang w:val="es-CO"/>
        </w:rPr>
        <w:t>el diseño y construcción realizada por el contratista no es el adecuado para este tipo de situaciones, dado que su altura es mayor que su base y por tanto esto representa alto riesgo de volcamiento</w:t>
      </w:r>
      <w:r w:rsidR="00BF587A" w:rsidRPr="00500E12">
        <w:rPr>
          <w:i/>
          <w:lang w:val="es-CO"/>
        </w:rPr>
        <w:t>”</w:t>
      </w:r>
      <w:r w:rsidR="00E14620" w:rsidRPr="00500E12">
        <w:rPr>
          <w:lang w:val="es-CO"/>
        </w:rPr>
        <w:t>; v</w:t>
      </w:r>
      <w:r w:rsidR="00E72FF6" w:rsidRPr="00500E12">
        <w:rPr>
          <w:lang w:val="es-CO"/>
        </w:rPr>
        <w:t xml:space="preserve">) Si existía </w:t>
      </w:r>
      <w:r w:rsidR="00E14620" w:rsidRPr="00500E12">
        <w:rPr>
          <w:lang w:val="es-CO"/>
        </w:rPr>
        <w:t xml:space="preserve">motivación técnica para la </w:t>
      </w:r>
      <w:r w:rsidR="00BF587A" w:rsidRPr="00500E12">
        <w:rPr>
          <w:lang w:val="es-CO"/>
        </w:rPr>
        <w:t>versión</w:t>
      </w:r>
      <w:r w:rsidR="00E14620" w:rsidRPr="00500E12">
        <w:rPr>
          <w:lang w:val="es-CO"/>
        </w:rPr>
        <w:t xml:space="preserve"> contenida en la resolución 168 de 2000</w:t>
      </w:r>
      <w:r w:rsidR="000E44F3" w:rsidRPr="00500E12">
        <w:rPr>
          <w:lang w:val="es-CO"/>
        </w:rPr>
        <w:t>,</w:t>
      </w:r>
      <w:r w:rsidR="00E14620" w:rsidRPr="00500E12">
        <w:rPr>
          <w:lang w:val="es-CO"/>
        </w:rPr>
        <w:t xml:space="preserve"> </w:t>
      </w:r>
      <w:r w:rsidR="00BF587A" w:rsidRPr="00500E12">
        <w:rPr>
          <w:lang w:val="es-CO"/>
        </w:rPr>
        <w:t>relativa</w:t>
      </w:r>
      <w:r w:rsidR="00E14620" w:rsidRPr="00500E12">
        <w:rPr>
          <w:lang w:val="es-CO"/>
        </w:rPr>
        <w:t xml:space="preserve"> a que </w:t>
      </w:r>
      <w:r w:rsidR="000E44F3" w:rsidRPr="00500E12">
        <w:rPr>
          <w:lang w:val="es-CO"/>
        </w:rPr>
        <w:t>“</w:t>
      </w:r>
      <w:r w:rsidR="00E14620" w:rsidRPr="00500E12">
        <w:rPr>
          <w:i/>
          <w:lang w:val="es-CO"/>
        </w:rPr>
        <w:t>las obras ejecutadas con el contrato de la referencia, no son para realizarle mantenimiento dado que son de protección y estabilización definitiva</w:t>
      </w:r>
      <w:r w:rsidR="000E44F3" w:rsidRPr="00500E12">
        <w:rPr>
          <w:i/>
          <w:lang w:val="es-CO"/>
        </w:rPr>
        <w:t>”</w:t>
      </w:r>
      <w:r w:rsidR="00E14620" w:rsidRPr="00500E12">
        <w:rPr>
          <w:lang w:val="es-CO"/>
        </w:rPr>
        <w:t>; vi) Indicar las causas más probables del daño ocurrido a las obras objeto de la pericia</w:t>
      </w:r>
      <w:r w:rsidR="00E14620" w:rsidRPr="00500E12">
        <w:rPr>
          <w:i/>
          <w:lang w:val="es-CO"/>
        </w:rPr>
        <w:t xml:space="preserve"> </w:t>
      </w:r>
      <w:r w:rsidR="00E14620" w:rsidRPr="00500E12">
        <w:rPr>
          <w:lang w:val="es-CO"/>
        </w:rPr>
        <w:t>(f. 15-16 c.1).</w:t>
      </w:r>
    </w:p>
    <w:p w14:paraId="1B57068A" w14:textId="77777777" w:rsidR="00A727D4" w:rsidRPr="00500E12" w:rsidRDefault="00A727D4" w:rsidP="00E14620">
      <w:pPr>
        <w:widowControl w:val="0"/>
        <w:rPr>
          <w:lang w:val="es-CO"/>
        </w:rPr>
      </w:pPr>
    </w:p>
    <w:p w14:paraId="74A29899" w14:textId="77777777" w:rsidR="00F22A5B" w:rsidRPr="00500E12" w:rsidRDefault="00A57A8D" w:rsidP="00F22A5B">
      <w:pPr>
        <w:rPr>
          <w:lang w:val="es-CO"/>
        </w:rPr>
      </w:pPr>
      <w:r w:rsidRPr="00500E12">
        <w:rPr>
          <w:lang w:val="es-CO"/>
        </w:rPr>
        <w:t xml:space="preserve">12.2. </w:t>
      </w:r>
      <w:r w:rsidR="008B7E32" w:rsidRPr="00500E12">
        <w:rPr>
          <w:lang w:val="es-CO"/>
        </w:rPr>
        <w:t>La parte actora y la aseguradora, solicitaron la aclaración</w:t>
      </w:r>
      <w:r w:rsidR="00A72452" w:rsidRPr="00500E12">
        <w:rPr>
          <w:lang w:val="es-CO"/>
        </w:rPr>
        <w:t xml:space="preserve"> del dictamen pericial</w:t>
      </w:r>
      <w:r w:rsidR="007B6FE3" w:rsidRPr="00500E12">
        <w:rPr>
          <w:lang w:val="es-CO"/>
        </w:rPr>
        <w:t xml:space="preserve"> (f. </w:t>
      </w:r>
      <w:r w:rsidR="00CB0439" w:rsidRPr="00500E12">
        <w:rPr>
          <w:lang w:val="es-CO"/>
        </w:rPr>
        <w:t>86, 88-92</w:t>
      </w:r>
      <w:r w:rsidR="007B6FE3" w:rsidRPr="00500E12">
        <w:rPr>
          <w:lang w:val="es-CO"/>
        </w:rPr>
        <w:t xml:space="preserve"> c.</w:t>
      </w:r>
      <w:r w:rsidR="00CB0439" w:rsidRPr="00500E12">
        <w:rPr>
          <w:lang w:val="es-CO"/>
        </w:rPr>
        <w:t xml:space="preserve"> </w:t>
      </w:r>
      <w:r w:rsidR="007B6FE3" w:rsidRPr="00500E12">
        <w:rPr>
          <w:lang w:val="es-CO"/>
        </w:rPr>
        <w:t>ppal.).</w:t>
      </w:r>
      <w:r w:rsidR="00A72452" w:rsidRPr="00500E12">
        <w:rPr>
          <w:lang w:val="es-CO"/>
        </w:rPr>
        <w:t xml:space="preserve"> Una vez surtida dicha actuación, la referida aseguradora </w:t>
      </w:r>
      <w:r w:rsidR="00A72452" w:rsidRPr="00500E12">
        <w:rPr>
          <w:b/>
          <w:lang w:val="es-CO"/>
        </w:rPr>
        <w:t>o</w:t>
      </w:r>
      <w:r w:rsidR="00F22A5B" w:rsidRPr="00500E12">
        <w:rPr>
          <w:b/>
          <w:lang w:val="es-CO"/>
        </w:rPr>
        <w:t xml:space="preserve">bjetó por error grave </w:t>
      </w:r>
      <w:r w:rsidR="00682DE2" w:rsidRPr="00500E12">
        <w:rPr>
          <w:lang w:val="es-CO"/>
        </w:rPr>
        <w:t xml:space="preserve">la </w:t>
      </w:r>
      <w:r w:rsidR="00BD0633" w:rsidRPr="00500E12">
        <w:rPr>
          <w:lang w:val="es-CO"/>
        </w:rPr>
        <w:t xml:space="preserve">respuesta dada en el dictamen a la </w:t>
      </w:r>
      <w:r w:rsidR="00682DE2" w:rsidRPr="00500E12">
        <w:rPr>
          <w:lang w:val="es-CO"/>
        </w:rPr>
        <w:t>segunda pregunta</w:t>
      </w:r>
      <w:r w:rsidR="00B215B2" w:rsidRPr="00500E12">
        <w:rPr>
          <w:rStyle w:val="Refdenotaalpie"/>
          <w:rFonts w:cs="Arial"/>
          <w:lang w:val="es-CO"/>
        </w:rPr>
        <w:footnoteReference w:id="4"/>
      </w:r>
      <w:r w:rsidR="00E81CF9" w:rsidRPr="00500E12">
        <w:rPr>
          <w:lang w:val="es-CO"/>
        </w:rPr>
        <w:t xml:space="preserve"> (f. 99-100 c. ppal.)</w:t>
      </w:r>
      <w:r w:rsidR="00F22A5B" w:rsidRPr="00500E12">
        <w:rPr>
          <w:lang w:val="es-CO"/>
        </w:rPr>
        <w:t>, al considerar que</w:t>
      </w:r>
      <w:r w:rsidR="00B475D7" w:rsidRPr="00500E12">
        <w:rPr>
          <w:lang w:val="es-CO"/>
        </w:rPr>
        <w:t xml:space="preserve"> </w:t>
      </w:r>
      <w:r w:rsidR="00682DE2" w:rsidRPr="00500E12">
        <w:rPr>
          <w:lang w:val="es-CO"/>
        </w:rPr>
        <w:t xml:space="preserve">el perito no dilucidó lo </w:t>
      </w:r>
      <w:r w:rsidR="00B475D7" w:rsidRPr="00500E12">
        <w:rPr>
          <w:lang w:val="es-CO"/>
        </w:rPr>
        <w:t>concerniente</w:t>
      </w:r>
      <w:r w:rsidR="00682DE2" w:rsidRPr="00500E12">
        <w:rPr>
          <w:lang w:val="es-CO"/>
        </w:rPr>
        <w:t xml:space="preserve"> a la necesidad de que </w:t>
      </w:r>
      <w:r w:rsidR="00F96002" w:rsidRPr="00500E12">
        <w:rPr>
          <w:lang w:val="es-CO"/>
        </w:rPr>
        <w:t xml:space="preserve">la entidad estatal </w:t>
      </w:r>
      <w:r w:rsidR="00682DE2" w:rsidRPr="00500E12">
        <w:rPr>
          <w:lang w:val="es-CO"/>
        </w:rPr>
        <w:t>hiciera el</w:t>
      </w:r>
      <w:r w:rsidR="00F96002" w:rsidRPr="00500E12">
        <w:rPr>
          <w:lang w:val="es-CO"/>
        </w:rPr>
        <w:t xml:space="preserve"> mantenimiento </w:t>
      </w:r>
      <w:r w:rsidR="0064541D" w:rsidRPr="00500E12">
        <w:rPr>
          <w:lang w:val="es-CO"/>
        </w:rPr>
        <w:t>a</w:t>
      </w:r>
      <w:r w:rsidR="00F96002" w:rsidRPr="00500E12">
        <w:rPr>
          <w:lang w:val="es-CO"/>
        </w:rPr>
        <w:t xml:space="preserve"> las obras ejecutadas en virtud del contrato n.º 046 de 1998</w:t>
      </w:r>
      <w:r w:rsidR="00E81CF9" w:rsidRPr="00500E12">
        <w:rPr>
          <w:lang w:val="es-CO"/>
        </w:rPr>
        <w:t xml:space="preserve">, cuestión ligada a indicar si el procedimiento constructivo estaba conforme a lo acordado para la ejecución de las obras </w:t>
      </w:r>
      <w:r w:rsidR="00F22A5B" w:rsidRPr="00500E12">
        <w:rPr>
          <w:lang w:val="es-CO"/>
        </w:rPr>
        <w:t xml:space="preserve"> (</w:t>
      </w:r>
      <w:r w:rsidR="00E81CF9" w:rsidRPr="00500E12">
        <w:rPr>
          <w:lang w:val="es-CO"/>
        </w:rPr>
        <w:t>supra párrafo 12.1.).</w:t>
      </w:r>
    </w:p>
    <w:p w14:paraId="1CC515D4" w14:textId="77777777" w:rsidR="00F22A5B" w:rsidRPr="00500E12" w:rsidRDefault="00F22A5B" w:rsidP="00E14620">
      <w:pPr>
        <w:widowControl w:val="0"/>
        <w:rPr>
          <w:lang w:val="es-CO"/>
        </w:rPr>
      </w:pPr>
    </w:p>
    <w:p w14:paraId="4FE31D63" w14:textId="77777777" w:rsidR="00BD0633" w:rsidRPr="00500E12" w:rsidRDefault="00A57A8D" w:rsidP="00BD0633">
      <w:pPr>
        <w:rPr>
          <w:bCs/>
          <w:lang w:val="es-ES" w:eastAsia="es-ES"/>
        </w:rPr>
      </w:pPr>
      <w:r w:rsidRPr="00500E12">
        <w:rPr>
          <w:lang w:val="es-CO"/>
        </w:rPr>
        <w:t xml:space="preserve">12.3. </w:t>
      </w:r>
      <w:r w:rsidR="00BD0633" w:rsidRPr="00500E12">
        <w:rPr>
          <w:bCs/>
        </w:rPr>
        <w:t xml:space="preserve">El Tribunal </w:t>
      </w:r>
      <w:r w:rsidR="00BD0633" w:rsidRPr="00500E12">
        <w:rPr>
          <w:bCs/>
          <w:i/>
        </w:rPr>
        <w:t xml:space="preserve">a-quo </w:t>
      </w:r>
      <w:r w:rsidR="00BD0633" w:rsidRPr="00500E12">
        <w:rPr>
          <w:bCs/>
        </w:rPr>
        <w:t>no se pronunció sobre la objeción por error grave formulada en contra del dictamen pericial practicado en la primera instancia, razón por la cual la Sala deberá resolverla en esta instancia. Al respecto, se observa que, como lo ha manifestado la jurisprudencia</w:t>
      </w:r>
      <w:r w:rsidR="000E446D" w:rsidRPr="00500E12">
        <w:rPr>
          <w:rStyle w:val="Refdenotaalpie"/>
          <w:rFonts w:cs="Arial"/>
          <w:i/>
        </w:rPr>
        <w:footnoteReference w:id="5"/>
      </w:r>
      <w:r w:rsidR="00BD0633" w:rsidRPr="00500E12">
        <w:rPr>
          <w:bCs/>
        </w:rPr>
        <w:t>:</w:t>
      </w:r>
    </w:p>
    <w:p w14:paraId="56EB41B8" w14:textId="77777777" w:rsidR="00BD0633" w:rsidRPr="00500E12" w:rsidRDefault="00BD0633" w:rsidP="00BD0633">
      <w:pPr>
        <w:rPr>
          <w:bCs/>
        </w:rPr>
      </w:pPr>
    </w:p>
    <w:p w14:paraId="1A45191F" w14:textId="77777777" w:rsidR="00BD0633" w:rsidRPr="00500E12" w:rsidRDefault="00BD0633" w:rsidP="00BD0633">
      <w:pPr>
        <w:spacing w:line="240" w:lineRule="auto"/>
        <w:ind w:left="567" w:right="567"/>
        <w:rPr>
          <w:i/>
        </w:rPr>
      </w:pPr>
      <w:r w:rsidRPr="00500E12">
        <w:rPr>
          <w:i/>
        </w:rPr>
        <w:t>(…) el dictamen pericial es un medio de prueba que busca, con el concurso de expertos en temas específicos, llevar al conocimiento del juez características, condiciones, cualidades, etc., sobre hechos que deben ser establecidos en el proceso y para las cuales aquel carece de preparación profesional, mediante el análisis de cosas o hechos sobre los cuales debe decidir; la prueba pericial, “(…) tiene indispensablemente un doble aspecto: verificar hechos que requieren conocimientos técnicos, artísticos o científicos que escapan a la cultura común del juez y de las gentes, sus causas y sus efectos, y suministrar reglas técnicas o científicas de la experiencia especializada de los peritos,</w:t>
      </w:r>
      <w:r w:rsidRPr="00500E12">
        <w:rPr>
          <w:b/>
          <w:i/>
        </w:rPr>
        <w:t xml:space="preserve"> </w:t>
      </w:r>
      <w:r w:rsidRPr="00500E12">
        <w:rPr>
          <w:i/>
        </w:rPr>
        <w:t>para formar la convicción del juez sobre tales hechos y para ilustrarlo con el fin de que los entienda mejor y pueda apreciarlos correctamente”</w:t>
      </w:r>
      <w:r w:rsidRPr="00500E12">
        <w:rPr>
          <w:rStyle w:val="Refdenotaalpie"/>
          <w:rFonts w:eastAsia="Calibri" w:cs="Arial"/>
          <w:i/>
        </w:rPr>
        <w:footnoteReference w:id="6"/>
      </w:r>
      <w:r w:rsidRPr="00500E12">
        <w:rPr>
          <w:i/>
        </w:rPr>
        <w:t>.</w:t>
      </w:r>
    </w:p>
    <w:p w14:paraId="67E1759A" w14:textId="77777777" w:rsidR="00BD0633" w:rsidRPr="00500E12" w:rsidRDefault="00BD0633" w:rsidP="00BD0633">
      <w:pPr>
        <w:spacing w:line="240" w:lineRule="auto"/>
        <w:ind w:left="567" w:right="567"/>
        <w:rPr>
          <w:i/>
        </w:rPr>
      </w:pPr>
    </w:p>
    <w:p w14:paraId="4F698FC1" w14:textId="77777777" w:rsidR="00BD0633" w:rsidRPr="00500E12" w:rsidRDefault="00BD0633" w:rsidP="00BD0633">
      <w:pPr>
        <w:spacing w:line="240" w:lineRule="auto"/>
        <w:ind w:left="567" w:right="567"/>
        <w:rPr>
          <w:i/>
        </w:rPr>
      </w:pPr>
      <w:r w:rsidRPr="00500E12">
        <w:rPr>
          <w:i/>
        </w:rPr>
        <w:t>16. Ahora bien, el C. de P.C.</w:t>
      </w:r>
      <w:r w:rsidRPr="00500E12">
        <w:rPr>
          <w:rStyle w:val="Refdenotaalpie"/>
          <w:rFonts w:eastAsia="Calibri" w:cs="Arial"/>
          <w:i/>
        </w:rPr>
        <w:footnoteReference w:id="7"/>
      </w:r>
      <w:r w:rsidRPr="00500E12">
        <w:rPr>
          <w:i/>
        </w:rPr>
        <w:t xml:space="preserve">, establece la forma de ejercer el derecho de contradicción de este medio de prueba, al disponer en su artículo 238 que del dictamen se correrá traslado a las partes por tres días, durante los cuales podrán pedir que se complemente o aclare u objetarlo por error grave, caso en el cual se deberá precisar el error y pedir las pruebas para demostrarlo; del escrito de objeción se correrá traslado a las demás partes, para que si lo consideran procedente, pidan pruebas. El juez decretará las que considere necesarias para resolver sobre la existencia del error y concederá un término de 10 días para practicarlas, debiendo decidir sobre la objeción en la sentencia; la norma establece que el juez podrá acoger como definitivo el practicado para probar la objeción o decretar de </w:t>
      </w:r>
      <w:r w:rsidRPr="00500E12">
        <w:t>oficio uno nuevo,</w:t>
      </w:r>
      <w:r w:rsidRPr="00500E12">
        <w:rPr>
          <w:i/>
        </w:rPr>
        <w:t xml:space="preserve"> con distintos peritos, que será inobjetable, pero de él se dará traslado para que las partes puedan pedir que se complemente o aclare.  </w:t>
      </w:r>
    </w:p>
    <w:p w14:paraId="1FBCADCA" w14:textId="77777777" w:rsidR="00BD0633" w:rsidRPr="00500E12" w:rsidRDefault="00BD0633" w:rsidP="00BD0633">
      <w:pPr>
        <w:spacing w:line="240" w:lineRule="auto"/>
        <w:ind w:left="567" w:right="567"/>
        <w:rPr>
          <w:i/>
        </w:rPr>
      </w:pPr>
    </w:p>
    <w:p w14:paraId="2463ED96" w14:textId="77777777" w:rsidR="00BD0633" w:rsidRPr="00500E12" w:rsidRDefault="00BD0633" w:rsidP="00BD0633">
      <w:pPr>
        <w:spacing w:line="240" w:lineRule="auto"/>
        <w:ind w:left="567" w:right="567"/>
        <w:rPr>
          <w:i/>
        </w:rPr>
      </w:pPr>
      <w:r w:rsidRPr="00500E12">
        <w:rPr>
          <w:i/>
        </w:rPr>
        <w:t>17. El error grave que da lugar a la objeción, por su parte, es aquel que de no haberse presentado, otra habría sido la solución o el sentido del dictamen, por haber recaído éste sobre materias, objetos o situaciones distintos de aquellos sobre los cuales debe versar la pericia o cuando el perito dictamina en sentido contrario a la realidad y de esa manera altera en forma ostensible la cualidad, esencia o sustancia del objeto analizado</w:t>
      </w:r>
      <w:r w:rsidRPr="00500E12">
        <w:rPr>
          <w:rStyle w:val="Refdenotaalpie"/>
          <w:rFonts w:eastAsia="Calibri" w:cs="Arial"/>
          <w:i/>
        </w:rPr>
        <w:footnoteReference w:id="8"/>
      </w:r>
      <w:r w:rsidRPr="00500E12">
        <w:rPr>
          <w:i/>
        </w:rPr>
        <w:t>.</w:t>
      </w:r>
    </w:p>
    <w:p w14:paraId="289E46BF" w14:textId="77777777" w:rsidR="00BD0633" w:rsidRPr="00500E12" w:rsidRDefault="00BD0633" w:rsidP="00BD0633">
      <w:pPr>
        <w:spacing w:line="240" w:lineRule="auto"/>
        <w:ind w:left="567" w:right="567"/>
        <w:rPr>
          <w:i/>
        </w:rPr>
      </w:pPr>
    </w:p>
    <w:p w14:paraId="5B0CCA27" w14:textId="77777777" w:rsidR="00BD0633" w:rsidRPr="00500E12" w:rsidRDefault="00BD0633" w:rsidP="00BD0633">
      <w:pPr>
        <w:spacing w:line="240" w:lineRule="auto"/>
        <w:ind w:left="567" w:right="567"/>
        <w:rPr>
          <w:i/>
        </w:rPr>
      </w:pPr>
      <w:r w:rsidRPr="00500E12">
        <w:rPr>
          <w:i/>
        </w:rPr>
        <w:t>18. No obstante, así el dictamen pericial no haya sido objetado por las partes, ello no significa que el juez esté obligado a acogerlo, puesto que la misma ley, de un lado –art. 137, inc. 6º del C. de P.C.- establece que el dictamen debe ser claro, preciso y detallado y que en él, los peritos deberán explicar los exámenes, experimentos e investigaciones efectuados, así como los fundamentos técnicos, científicos o artísticos de sus conclusiones; y de otro lado –art. 241 del C. de P.C.- le indica al juez cómo debe apreciar el dictamen pericial, al establecer que para ello, se tendrá en cuenta la firmeza, precisión y calidad de sus fundamentos, la competencia de los peritos y los demás elementos probatorios que obren en el proceso.</w:t>
      </w:r>
    </w:p>
    <w:p w14:paraId="14B41FEC" w14:textId="77777777" w:rsidR="00BD0633" w:rsidRPr="00500E12" w:rsidRDefault="00BD0633" w:rsidP="00BD0633">
      <w:pPr>
        <w:spacing w:line="240" w:lineRule="auto"/>
        <w:ind w:left="567" w:right="567"/>
        <w:rPr>
          <w:i/>
        </w:rPr>
      </w:pPr>
    </w:p>
    <w:p w14:paraId="5D396DD6" w14:textId="77777777" w:rsidR="00BD0633" w:rsidRPr="00500E12" w:rsidRDefault="00BD0633" w:rsidP="00BD0633">
      <w:pPr>
        <w:spacing w:line="240" w:lineRule="auto"/>
        <w:ind w:left="567" w:right="567"/>
        <w:rPr>
          <w:i/>
        </w:rPr>
      </w:pPr>
      <w:r w:rsidRPr="00500E12">
        <w:rPr>
          <w:i/>
        </w:rPr>
        <w:t>19. Lo anterior significa que el juez puede, una vez valorado el dictamen pericial, restarle todo poder de convicción y apartarse de sus conclusiones, cuando compruebe que no llena los requisitos legales exigidos para ello, pues, se reitera que “A través de la prueba pericial, se pretende llevar al juez el convencimiento sobre la existencia y naturaleza de las cosas y de los hechos que requieren especiales conocimientos y experiencia, lo cual sólo se logra en la medida en que resultan convincentes las explicaciones que los expertos aportan sobre los elementos de juicio que utilizaron para llegar a una conclusión”</w:t>
      </w:r>
      <w:r w:rsidRPr="00500E12">
        <w:rPr>
          <w:rStyle w:val="Refdenotaalpie"/>
          <w:rFonts w:eastAsia="Calibri" w:cs="Arial"/>
          <w:i/>
        </w:rPr>
        <w:footnoteReference w:id="9"/>
      </w:r>
      <w:r w:rsidRPr="00500E12">
        <w:rPr>
          <w:i/>
        </w:rPr>
        <w:t xml:space="preserve">. </w:t>
      </w:r>
    </w:p>
    <w:p w14:paraId="7F37810E" w14:textId="77777777" w:rsidR="00BD0633" w:rsidRPr="00500E12" w:rsidRDefault="00BD0633" w:rsidP="00BD0633">
      <w:pPr>
        <w:rPr>
          <w:bCs/>
        </w:rPr>
      </w:pPr>
    </w:p>
    <w:p w14:paraId="0F5EFFE2" w14:textId="77777777" w:rsidR="00487B17" w:rsidRPr="00500E12" w:rsidRDefault="00636C76" w:rsidP="00487B17">
      <w:pPr>
        <w:rPr>
          <w:lang w:val="es-CO"/>
        </w:rPr>
      </w:pPr>
      <w:r w:rsidRPr="00500E12">
        <w:rPr>
          <w:lang w:val="es-CO"/>
        </w:rPr>
        <w:t xml:space="preserve">12.4. </w:t>
      </w:r>
      <w:r w:rsidR="00A57A8D" w:rsidRPr="00500E12">
        <w:rPr>
          <w:lang w:val="es-CO"/>
        </w:rPr>
        <w:t>Con base en lo anterior, la Sala advierte que el dictamen pericial practicado, se caracteriza por carecer de precisión en la</w:t>
      </w:r>
      <w:r w:rsidR="00F82559" w:rsidRPr="00500E12">
        <w:rPr>
          <w:lang w:val="es-CO"/>
        </w:rPr>
        <w:t xml:space="preserve"> referida respuesta.  En efecto, </w:t>
      </w:r>
      <w:r w:rsidR="00680142" w:rsidRPr="00500E12">
        <w:rPr>
          <w:lang w:val="es-CO"/>
        </w:rPr>
        <w:t>frente</w:t>
      </w:r>
      <w:r w:rsidR="0019238F" w:rsidRPr="00500E12">
        <w:rPr>
          <w:lang w:val="es-CO"/>
        </w:rPr>
        <w:t xml:space="preserve"> a la segunda pregunta, esto es, </w:t>
      </w:r>
      <w:r w:rsidR="00F82559" w:rsidRPr="00500E12">
        <w:rPr>
          <w:lang w:val="es-CO"/>
        </w:rPr>
        <w:t>sobre e</w:t>
      </w:r>
      <w:r w:rsidR="00680142" w:rsidRPr="00500E12">
        <w:rPr>
          <w:lang w:val="es-CO"/>
        </w:rPr>
        <w:t>l</w:t>
      </w:r>
      <w:r w:rsidR="00801D86" w:rsidRPr="00500E12">
        <w:rPr>
          <w:lang w:val="es-CO"/>
        </w:rPr>
        <w:t xml:space="preserve"> mantenimiento de las obras</w:t>
      </w:r>
      <w:r w:rsidR="00F82559" w:rsidRPr="00500E12">
        <w:rPr>
          <w:lang w:val="es-CO"/>
        </w:rPr>
        <w:t xml:space="preserve">, el auxiliar de la justicia manifestó que en virtud de </w:t>
      </w:r>
      <w:r w:rsidR="00AE6C74" w:rsidRPr="00500E12">
        <w:rPr>
          <w:lang w:val="es-CO"/>
        </w:rPr>
        <w:t>su ejecución “</w:t>
      </w:r>
      <w:r w:rsidR="00AE6C74" w:rsidRPr="00500E12">
        <w:rPr>
          <w:i/>
          <w:lang w:val="es-CO"/>
        </w:rPr>
        <w:t>según lo acordado”</w:t>
      </w:r>
      <w:r w:rsidR="00F82559" w:rsidRPr="00500E12">
        <w:rPr>
          <w:lang w:val="es-CO"/>
        </w:rPr>
        <w:t xml:space="preserve">, </w:t>
      </w:r>
      <w:r w:rsidR="00680142" w:rsidRPr="00500E12">
        <w:rPr>
          <w:lang w:val="es-CO"/>
        </w:rPr>
        <w:t>n</w:t>
      </w:r>
      <w:r w:rsidR="00794DC0" w:rsidRPr="00500E12">
        <w:rPr>
          <w:lang w:val="es-CO"/>
        </w:rPr>
        <w:t>o</w:t>
      </w:r>
      <w:r w:rsidR="00F82559" w:rsidRPr="00500E12">
        <w:rPr>
          <w:lang w:val="es-CO"/>
        </w:rPr>
        <w:t xml:space="preserve"> se</w:t>
      </w:r>
      <w:r w:rsidR="00794DC0" w:rsidRPr="00500E12">
        <w:rPr>
          <w:lang w:val="es-CO"/>
        </w:rPr>
        <w:t xml:space="preserve"> </w:t>
      </w:r>
      <w:r w:rsidR="00680142" w:rsidRPr="00500E12">
        <w:rPr>
          <w:lang w:val="es-CO"/>
        </w:rPr>
        <w:t xml:space="preserve">obligaba ni </w:t>
      </w:r>
      <w:r w:rsidR="00F82559" w:rsidRPr="00500E12">
        <w:rPr>
          <w:lang w:val="es-CO"/>
        </w:rPr>
        <w:t xml:space="preserve">se </w:t>
      </w:r>
      <w:r w:rsidR="00FF5034" w:rsidRPr="00500E12">
        <w:rPr>
          <w:lang w:val="es-CO"/>
        </w:rPr>
        <w:t>excluía</w:t>
      </w:r>
      <w:r w:rsidR="00680142" w:rsidRPr="00500E12">
        <w:rPr>
          <w:lang w:val="es-CO"/>
        </w:rPr>
        <w:t xml:space="preserve"> tal actividad</w:t>
      </w:r>
      <w:r w:rsidR="00A274AC" w:rsidRPr="00500E12">
        <w:rPr>
          <w:lang w:val="es-CO"/>
        </w:rPr>
        <w:t xml:space="preserve">, </w:t>
      </w:r>
      <w:r w:rsidR="00FF5034" w:rsidRPr="00500E12">
        <w:rPr>
          <w:lang w:val="es-CO"/>
        </w:rPr>
        <w:t>argumentó</w:t>
      </w:r>
      <w:r w:rsidR="00BC3E85" w:rsidRPr="00500E12">
        <w:rPr>
          <w:lang w:val="es-CO"/>
        </w:rPr>
        <w:t xml:space="preserve"> que </w:t>
      </w:r>
      <w:r w:rsidR="00BC3E85" w:rsidRPr="00500E12">
        <w:rPr>
          <w:i/>
          <w:lang w:val="es-CO"/>
        </w:rPr>
        <w:t>“l</w:t>
      </w:r>
      <w:r w:rsidR="00FF5034" w:rsidRPr="00500E12">
        <w:rPr>
          <w:i/>
          <w:lang w:val="es-CO"/>
        </w:rPr>
        <w:t>a colmatación de un cauce se produce por la baja velocidad de sus aguas, de forma que la necesidad de mantenimiento para remoción del material sedimentado, es más una condición topográfica (pendiente baja) que</w:t>
      </w:r>
      <w:r w:rsidR="00BC3E85" w:rsidRPr="00500E12">
        <w:rPr>
          <w:i/>
          <w:lang w:val="es-CO"/>
        </w:rPr>
        <w:t xml:space="preserve"> consecuencia del sistema o la f</w:t>
      </w:r>
      <w:r w:rsidR="00FF5034" w:rsidRPr="00500E12">
        <w:rPr>
          <w:i/>
          <w:lang w:val="es-CO"/>
        </w:rPr>
        <w:t>orma de ejecución de las obras</w:t>
      </w:r>
      <w:r w:rsidR="00BC3E85" w:rsidRPr="00500E12">
        <w:rPr>
          <w:i/>
          <w:lang w:val="es-CO"/>
        </w:rPr>
        <w:t>”</w:t>
      </w:r>
      <w:r w:rsidR="004F5134" w:rsidRPr="00500E12">
        <w:rPr>
          <w:i/>
          <w:lang w:val="es-CO"/>
        </w:rPr>
        <w:t xml:space="preserve"> </w:t>
      </w:r>
      <w:r w:rsidR="004F5134" w:rsidRPr="00500E12">
        <w:rPr>
          <w:lang w:val="es-CO"/>
        </w:rPr>
        <w:t xml:space="preserve">y que </w:t>
      </w:r>
      <w:r w:rsidR="004F5134" w:rsidRPr="00500E12">
        <w:rPr>
          <w:i/>
          <w:lang w:val="es-CO"/>
        </w:rPr>
        <w:t>“independientemente de lo acordado, por la sedimentación que se presentó en el cauce del dragado, se hacía necesario un mantenimiento periódico del canal que encausó la quebrada</w:t>
      </w:r>
      <w:r w:rsidR="00A526D4" w:rsidRPr="00500E12">
        <w:rPr>
          <w:i/>
          <w:lang w:val="es-CO"/>
        </w:rPr>
        <w:t xml:space="preserve">” </w:t>
      </w:r>
      <w:r w:rsidR="00A526D4" w:rsidRPr="00500E12">
        <w:rPr>
          <w:lang w:val="es-CO"/>
        </w:rPr>
        <w:t>(f.2 c.4)</w:t>
      </w:r>
      <w:r w:rsidR="00487B17" w:rsidRPr="00500E12">
        <w:rPr>
          <w:lang w:val="es-CO"/>
        </w:rPr>
        <w:t>, sumado a que se limitó a afirmar que “</w:t>
      </w:r>
      <w:r w:rsidR="00487B17" w:rsidRPr="00500E12">
        <w:rPr>
          <w:i/>
          <w:lang w:val="es-CO"/>
        </w:rPr>
        <w:t xml:space="preserve">los estudios realizados sí cumplieron el objetivo de permitir la ejecución de las obras y, se ajustaron a las normas, según lo demuestra su aprobación por parte de los organismos de control del contrato” </w:t>
      </w:r>
      <w:r w:rsidR="00487B17" w:rsidRPr="00500E12">
        <w:rPr>
          <w:lang w:val="es-CO"/>
        </w:rPr>
        <w:t xml:space="preserve">(f.6 c.4). </w:t>
      </w:r>
    </w:p>
    <w:p w14:paraId="4A8B3613" w14:textId="77777777" w:rsidR="00FF5034" w:rsidRPr="00500E12" w:rsidRDefault="00FF5034" w:rsidP="00A727D4">
      <w:pPr>
        <w:rPr>
          <w:lang w:val="es-CO"/>
        </w:rPr>
      </w:pPr>
    </w:p>
    <w:p w14:paraId="59A660DA" w14:textId="77777777" w:rsidR="0019238F" w:rsidRPr="00500E12" w:rsidRDefault="00594418" w:rsidP="00A727D4">
      <w:pPr>
        <w:rPr>
          <w:lang w:val="es-CO"/>
        </w:rPr>
      </w:pPr>
      <w:r w:rsidRPr="00500E12">
        <w:rPr>
          <w:lang w:val="es-CO"/>
        </w:rPr>
        <w:t>12.</w:t>
      </w:r>
      <w:r w:rsidR="00636C76" w:rsidRPr="00500E12">
        <w:rPr>
          <w:lang w:val="es-CO"/>
        </w:rPr>
        <w:t>5</w:t>
      </w:r>
      <w:r w:rsidRPr="00500E12">
        <w:rPr>
          <w:lang w:val="es-CO"/>
        </w:rPr>
        <w:t xml:space="preserve">. </w:t>
      </w:r>
      <w:r w:rsidR="0019238F" w:rsidRPr="00500E12">
        <w:rPr>
          <w:lang w:val="es-CO"/>
        </w:rPr>
        <w:t>Finalmente, en la aclaración del dictamen, señaló</w:t>
      </w:r>
      <w:r w:rsidR="0085583B" w:rsidRPr="00500E12">
        <w:rPr>
          <w:lang w:val="es-CO"/>
        </w:rPr>
        <w:t xml:space="preserve"> </w:t>
      </w:r>
      <w:r w:rsidR="0019238F" w:rsidRPr="00500E12">
        <w:rPr>
          <w:lang w:val="es-CO"/>
        </w:rPr>
        <w:t>(f.6 c.4):</w:t>
      </w:r>
    </w:p>
    <w:p w14:paraId="5EDE5EE3" w14:textId="77777777" w:rsidR="00FA2B34" w:rsidRPr="00500E12" w:rsidRDefault="00FA2B34" w:rsidP="00A727D4">
      <w:pPr>
        <w:rPr>
          <w:lang w:val="es-CO"/>
        </w:rPr>
      </w:pPr>
    </w:p>
    <w:p w14:paraId="13EB268D" w14:textId="77777777" w:rsidR="0019238F" w:rsidRPr="00500E12" w:rsidRDefault="0019238F" w:rsidP="0085583B">
      <w:pPr>
        <w:spacing w:line="240" w:lineRule="auto"/>
        <w:ind w:left="567" w:right="567"/>
        <w:rPr>
          <w:i/>
          <w:lang w:val="es-CO"/>
        </w:rPr>
      </w:pPr>
      <w:r w:rsidRPr="00500E12">
        <w:rPr>
          <w:i/>
          <w:lang w:val="es-CO"/>
        </w:rPr>
        <w:t>Con respecto a la segunda pregunta, me permito conceptuar que la aceptación y el cumplimiento de las normas en el estudio sobre la solución al problema de la quebrada</w:t>
      </w:r>
      <w:r w:rsidR="00ED19C0" w:rsidRPr="00500E12">
        <w:rPr>
          <w:i/>
          <w:lang w:val="es-CO"/>
        </w:rPr>
        <w:t>,</w:t>
      </w:r>
      <w:r w:rsidRPr="00500E12">
        <w:rPr>
          <w:i/>
          <w:lang w:val="es-CO"/>
        </w:rPr>
        <w:t xml:space="preserve"> no es necesariamente una garantía de su </w:t>
      </w:r>
      <w:r w:rsidR="0085583B" w:rsidRPr="00500E12">
        <w:rPr>
          <w:i/>
          <w:lang w:val="es-CO"/>
        </w:rPr>
        <w:t>perfección</w:t>
      </w:r>
      <w:r w:rsidRPr="00500E12">
        <w:rPr>
          <w:i/>
          <w:lang w:val="es-CO"/>
        </w:rPr>
        <w:t xml:space="preserve"> y correcto funcionamiento, pues como se dijo anteriormente, las modificaciones de los cauces naturales son, en general aleatorias y difíciles de prever. </w:t>
      </w:r>
    </w:p>
    <w:p w14:paraId="3F329AE8" w14:textId="77777777" w:rsidR="007615B9" w:rsidRPr="00500E12" w:rsidRDefault="007615B9" w:rsidP="00A727D4">
      <w:pPr>
        <w:rPr>
          <w:lang w:val="es-CO"/>
        </w:rPr>
      </w:pPr>
    </w:p>
    <w:p w14:paraId="136D8C27" w14:textId="77777777" w:rsidR="000425FD" w:rsidRPr="00500E12" w:rsidRDefault="00636C76" w:rsidP="007615B9">
      <w:pPr>
        <w:pStyle w:val="Textonotapie"/>
      </w:pPr>
      <w:r w:rsidRPr="00500E12">
        <w:t xml:space="preserve">12.6. </w:t>
      </w:r>
      <w:r w:rsidR="007615B9" w:rsidRPr="00500E12">
        <w:t>La Sala advierte que los fundamentos expuestos por el perito en los puntos señalados de manera precedente, son imprecisos y no brindan certeza respecto de los arg</w:t>
      </w:r>
      <w:r w:rsidR="000425FD" w:rsidRPr="00500E12">
        <w:t xml:space="preserve">umentos esbozados en la demanda. No obstante, esa circunstancia no implica </w:t>
      </w:r>
      <w:r w:rsidR="007615B9" w:rsidRPr="00500E12">
        <w:t xml:space="preserve">la prosperidad de la objeción </w:t>
      </w:r>
      <w:r w:rsidR="006115FB" w:rsidRPr="00500E12">
        <w:t xml:space="preserve">por </w:t>
      </w:r>
      <w:r w:rsidR="007615B9" w:rsidRPr="00500E12">
        <w:t>grave planteada por la aseguradora contra la respuesta a la segunda pregunta del cuestionario</w:t>
      </w:r>
      <w:r w:rsidR="000425FD" w:rsidRPr="00500E12">
        <w:t xml:space="preserve">. </w:t>
      </w:r>
    </w:p>
    <w:p w14:paraId="6CA66DC9" w14:textId="77777777" w:rsidR="00AC0038" w:rsidRPr="00500E12" w:rsidRDefault="00AC0038" w:rsidP="007615B9">
      <w:pPr>
        <w:pStyle w:val="Textonotapie"/>
      </w:pPr>
    </w:p>
    <w:p w14:paraId="47CEAC02" w14:textId="77777777" w:rsidR="00AC0038" w:rsidRPr="00500E12" w:rsidRDefault="00636C76" w:rsidP="00AC0038">
      <w:pPr>
        <w:pStyle w:val="Textonotapie"/>
      </w:pPr>
      <w:r w:rsidRPr="00500E12">
        <w:t xml:space="preserve">12.7. </w:t>
      </w:r>
      <w:r w:rsidR="000425FD" w:rsidRPr="00500E12">
        <w:t xml:space="preserve">En otros términos, </w:t>
      </w:r>
      <w:r w:rsidR="000425FD" w:rsidRPr="00500E12">
        <w:rPr>
          <w:bCs/>
        </w:rPr>
        <w:t xml:space="preserve">el perito se refirió a los puntos que fueron sometidos a su examen, </w:t>
      </w:r>
      <w:r w:rsidR="00956721" w:rsidRPr="00500E12">
        <w:rPr>
          <w:bCs/>
        </w:rPr>
        <w:t xml:space="preserve">sin embargo, su fundamentación es precaria, carente de firmeza, precisión y calidad, aspecto que </w:t>
      </w:r>
      <w:r w:rsidR="000425FD" w:rsidRPr="00500E12">
        <w:t>debe ser tenido en cuenta por el juez a la hora de valorar la prueba y establecer el grado de convicción que la misma le merezca, pero no conduce a declarar la prosperidad de la objeción por error grave, razón por la cual la misma será denegada.</w:t>
      </w:r>
      <w:r w:rsidR="00AC0038" w:rsidRPr="00500E12">
        <w:t xml:space="preserve"> </w:t>
      </w:r>
    </w:p>
    <w:p w14:paraId="5EA9A975" w14:textId="77777777" w:rsidR="00AC0038" w:rsidRPr="00500E12" w:rsidRDefault="00AC0038" w:rsidP="00AC0038">
      <w:pPr>
        <w:pStyle w:val="Textonotapie"/>
      </w:pPr>
    </w:p>
    <w:p w14:paraId="2DD6DA73" w14:textId="77777777" w:rsidR="00A727D4" w:rsidRPr="00500E12" w:rsidRDefault="00636C76" w:rsidP="00AC0038">
      <w:pPr>
        <w:pStyle w:val="Textonotapie"/>
      </w:pPr>
      <w:r w:rsidRPr="00500E12">
        <w:t xml:space="preserve">12.8. </w:t>
      </w:r>
      <w:r w:rsidR="00341278" w:rsidRPr="00500E12">
        <w:t>Por lo tanto</w:t>
      </w:r>
      <w:r w:rsidR="00AC0038" w:rsidRPr="00500E12">
        <w:t>, la valoración del dictamen pericial debe realizarse de manera armónica con los demás elementos probatorios que reposan en el exp</w:t>
      </w:r>
      <w:r w:rsidR="00341278" w:rsidRPr="00500E12">
        <w:t xml:space="preserve">ediente, en consideración a que, se reitera, </w:t>
      </w:r>
      <w:r w:rsidR="00AC0038" w:rsidRPr="00500E12">
        <w:t xml:space="preserve">algunos de los puntos que abarca, en especial, los relativos a la idoneidad de los estudios que se realizaron para la construcción de la obra y la necesidad de mantenimiento preventivo de la misma, son ambiguos. </w:t>
      </w:r>
      <w:r w:rsidR="0056019B" w:rsidRPr="00500E12">
        <w:t>En efecto, tales aspectos</w:t>
      </w:r>
      <w:r w:rsidR="00381275" w:rsidRPr="00500E12">
        <w:t xml:space="preserve"> carecen de </w:t>
      </w:r>
      <w:r w:rsidR="00A727D4" w:rsidRPr="00500E12">
        <w:t>claridad</w:t>
      </w:r>
      <w:r w:rsidR="0056019B" w:rsidRPr="00500E12">
        <w:t xml:space="preserve"> y </w:t>
      </w:r>
      <w:r w:rsidR="00A727D4" w:rsidRPr="00500E12">
        <w:t xml:space="preserve">precisión, </w:t>
      </w:r>
      <w:r w:rsidR="00341278" w:rsidRPr="00500E12">
        <w:t>por lo que</w:t>
      </w:r>
      <w:r w:rsidR="00A727D4" w:rsidRPr="00500E12">
        <w:t xml:space="preserve"> la Sala se aparta de su</w:t>
      </w:r>
      <w:r w:rsidR="00471599" w:rsidRPr="00500E12">
        <w:t>s</w:t>
      </w:r>
      <w:r w:rsidR="00A727D4" w:rsidRPr="00500E12">
        <w:t xml:space="preserve"> conclusiones</w:t>
      </w:r>
      <w:r w:rsidR="00A727D4" w:rsidRPr="00500E12">
        <w:rPr>
          <w:rStyle w:val="Refdenotaalpie"/>
          <w:rFonts w:cs="Arial"/>
        </w:rPr>
        <w:footnoteReference w:id="10"/>
      </w:r>
      <w:r w:rsidR="00A727D4" w:rsidRPr="00500E12">
        <w:t>. Sobre este punto, se reitera el criterio expuesto por la Sala</w:t>
      </w:r>
      <w:r w:rsidR="00A727D4" w:rsidRPr="00500E12">
        <w:rPr>
          <w:rStyle w:val="Refdenotaalpie"/>
          <w:rFonts w:cs="Arial"/>
        </w:rPr>
        <w:footnoteReference w:id="11"/>
      </w:r>
      <w:r w:rsidR="00A727D4" w:rsidRPr="00500E12">
        <w:t>:</w:t>
      </w:r>
    </w:p>
    <w:p w14:paraId="26874BAA" w14:textId="77777777" w:rsidR="00833255" w:rsidRPr="00500E12" w:rsidRDefault="00833255" w:rsidP="00A727D4">
      <w:pPr>
        <w:widowControl w:val="0"/>
        <w:tabs>
          <w:tab w:val="left" w:pos="480"/>
        </w:tabs>
        <w:suppressAutoHyphens w:val="0"/>
        <w:overflowPunct/>
        <w:autoSpaceDE/>
        <w:autoSpaceDN w:val="0"/>
        <w:spacing w:line="240" w:lineRule="auto"/>
        <w:ind w:left="567" w:right="567"/>
        <w:rPr>
          <w:i/>
        </w:rPr>
      </w:pPr>
    </w:p>
    <w:p w14:paraId="2F6E8317" w14:textId="77777777" w:rsidR="00A727D4" w:rsidRPr="00500E12" w:rsidRDefault="00A727D4" w:rsidP="00A727D4">
      <w:pPr>
        <w:widowControl w:val="0"/>
        <w:tabs>
          <w:tab w:val="left" w:pos="480"/>
        </w:tabs>
        <w:suppressAutoHyphens w:val="0"/>
        <w:overflowPunct/>
        <w:autoSpaceDE/>
        <w:autoSpaceDN w:val="0"/>
        <w:spacing w:line="240" w:lineRule="auto"/>
        <w:ind w:left="567" w:right="567"/>
        <w:rPr>
          <w:i/>
          <w:lang w:val="es-ES" w:eastAsia="es-ES"/>
        </w:rPr>
      </w:pPr>
      <w:r w:rsidRPr="00500E12">
        <w:rPr>
          <w:i/>
        </w:rPr>
        <w:t xml:space="preserve">15.9. De otro lado, se advierte </w:t>
      </w:r>
      <w:bookmarkStart w:id="0" w:name="_Hlk26376390"/>
      <w:r w:rsidRPr="00500E12">
        <w:rPr>
          <w:i/>
        </w:rPr>
        <w:t xml:space="preserve">que para efectos de que un dictamen pericial pueda llevarle certeza al juez sobre el objeto de estudio, debe reunir ciertas condiciones, dentro de las que se debe resaltar que sus conclusiones tienen que estar debidamente fundamentadas e igualmente, como medio probatorio que es, no puede ser desvirtuado por los demás elementos de convicción que obren en el plenario, </w:t>
      </w:r>
      <w:bookmarkEnd w:id="0"/>
      <w:r w:rsidRPr="00500E12">
        <w:rPr>
          <w:i/>
        </w:rPr>
        <w:t xml:space="preserve">requisitos de los cuales el estudio aludido  carece en el sub judice. Al respecto, se ha señalado: </w:t>
      </w:r>
    </w:p>
    <w:p w14:paraId="3DA7C406" w14:textId="77777777" w:rsidR="00A727D4" w:rsidRPr="00500E12" w:rsidRDefault="00A727D4" w:rsidP="00A727D4">
      <w:pPr>
        <w:widowControl w:val="0"/>
        <w:tabs>
          <w:tab w:val="left" w:pos="480"/>
        </w:tabs>
        <w:spacing w:line="240" w:lineRule="auto"/>
        <w:rPr>
          <w:i/>
        </w:rPr>
      </w:pPr>
    </w:p>
    <w:p w14:paraId="6817FCA2" w14:textId="77777777" w:rsidR="00A727D4" w:rsidRPr="00500E12" w:rsidRDefault="00A727D4" w:rsidP="00A727D4">
      <w:pPr>
        <w:tabs>
          <w:tab w:val="left" w:pos="1620"/>
        </w:tabs>
        <w:spacing w:line="240" w:lineRule="auto"/>
        <w:ind w:left="850" w:right="850"/>
        <w:rPr>
          <w:i/>
        </w:rPr>
      </w:pPr>
      <w:r w:rsidRPr="00500E12">
        <w:rPr>
          <w:i/>
        </w:rPr>
        <w:t>3.5.1 Ha dicho la Sala que para que el dictamen pericial pueda tener eficacia probatoria se requiere que: (i) el perito informe de manera razonada lo que de acuerdo con sus conocimientos especializados sepa de los hechos; (ii) su dictamen sea personal</w:t>
      </w:r>
      <w:r w:rsidRPr="00500E12">
        <w:rPr>
          <w:rStyle w:val="Refdenotaalpie"/>
          <w:rFonts w:cs="Arial"/>
          <w:i/>
        </w:rPr>
        <w:footnoteReference w:id="12"/>
      </w:r>
      <w:r w:rsidRPr="00500E12">
        <w:rPr>
          <w:i/>
        </w:rPr>
        <w:t xml:space="preserve"> y contenga conceptos propios sobre las materias objeto de examen y no de otras personas por autorizadas que sean, sin perjuicio de que pueda utilizar auxiliares o solicitar por su cuenta el concurso de otros técnicos, bajo su dirección y responsabilidad; (iii) que el perito sea competente, es decir, un verdadero experto para el desempeño del cargo; (iv) que no exista un motivo serio para dudar de su imparcialidad; (v) que no se haya probado una objeción por error grave; (vi) que el dictamen esté debidamente fundamentado y sus conclusiones sean claras firmes y consecuencia de las razones expuestas; (vii) que sus conclusiones sean conducentes en relación con el hecho a probar; (viii) que se haya surtido la contradicción; (ix) que no exista retracto del mismo por parte del perito; (x) que otras pruebas no lo desvirtúen y (xi) que sea claro, preciso y detallado, es decir, que </w:t>
      </w:r>
      <w:r w:rsidR="001F7559" w:rsidRPr="00500E12">
        <w:rPr>
          <w:i/>
        </w:rPr>
        <w:t>dé</w:t>
      </w:r>
      <w:r w:rsidRPr="00500E12">
        <w:rPr>
          <w:i/>
        </w:rPr>
        <w:t xml:space="preserve"> cuenta de los exámenes, experimentos e investigaciones efectuadas, lo mismo que de los fundamentos técnicos, científicos o artísticos de las conclusiones</w:t>
      </w:r>
      <w:r w:rsidRPr="00500E12">
        <w:rPr>
          <w:rStyle w:val="Refdenotaalpie"/>
          <w:rFonts w:cs="Arial"/>
          <w:i/>
        </w:rPr>
        <w:footnoteReference w:id="13"/>
      </w:r>
      <w:r w:rsidRPr="00500E12">
        <w:rPr>
          <w:i/>
        </w:rPr>
        <w:t xml:space="preserve">. </w:t>
      </w:r>
    </w:p>
    <w:p w14:paraId="7B43C69D" w14:textId="77777777" w:rsidR="00A727D4" w:rsidRPr="00500E12" w:rsidRDefault="00A727D4" w:rsidP="00A727D4">
      <w:pPr>
        <w:tabs>
          <w:tab w:val="left" w:pos="1620"/>
        </w:tabs>
        <w:spacing w:line="240" w:lineRule="auto"/>
        <w:ind w:left="850" w:right="850"/>
        <w:rPr>
          <w:i/>
        </w:rPr>
      </w:pPr>
    </w:p>
    <w:p w14:paraId="72276739" w14:textId="77777777" w:rsidR="00A727D4" w:rsidRPr="00500E12" w:rsidRDefault="00A727D4" w:rsidP="00A727D4">
      <w:pPr>
        <w:tabs>
          <w:tab w:val="left" w:pos="1620"/>
        </w:tabs>
        <w:spacing w:line="240" w:lineRule="auto"/>
        <w:ind w:left="850" w:right="850"/>
      </w:pPr>
      <w:r w:rsidRPr="00500E12">
        <w:rPr>
          <w:i/>
        </w:rPr>
        <w:t>El artículo 241 del C.P.C. señala que el juez al valorar o apreciar el dictamen de los peritos tendrá en cuenta la firmeza, precisión y calidad de sus fundamentos, la competencia de los peritos y los demás elementos probatorios que obren en el proceso. Con esto se quiere significar que el juez es autónomo para valorar el dictamen y verificar la lógica de sus fundamentos y resultados, toda vez que el perito es un auxiliar de la justicia, pero él no la imparte ni la administra, de manera que, como con acierto lo ha concluido la doctrina, el juez no está obligado a “…aceptar ciegamente las conclusiones de los peritos, pues si ello fuese así, estos serían falladores…”</w:t>
      </w:r>
      <w:r w:rsidRPr="00500E12">
        <w:rPr>
          <w:rStyle w:val="Refdenotaalpie"/>
          <w:rFonts w:cs="Arial"/>
          <w:i/>
        </w:rPr>
        <w:footnoteReference w:id="14"/>
      </w:r>
      <w:r w:rsidRPr="00500E12">
        <w:rPr>
          <w:i/>
        </w:rPr>
        <w:t>. En suma, el juez está en el deber de estudiar bajo la sana crítica el dictamen pericial y en la libertad de valorar sus resultados; si lo encuentra ajustado y lo convence, puede tenerlo en cuenta total o parcialmente al momento de fallar; o desechar sensatamente y con razones los resultados de la peritación por encontrar sus fundamentos sin la firmeza, precisión y claridad que deben estar presentes en el dictamen para ilustrar y transmitir el conocimiento de la técnica, ciencia o arte de lo dicho</w:t>
      </w:r>
      <w:r w:rsidRPr="00500E12">
        <w:rPr>
          <w:rStyle w:val="Refdenotaalpie"/>
          <w:rFonts w:cs="Arial"/>
          <w:i/>
        </w:rPr>
        <w:footnoteReference w:id="15"/>
      </w:r>
      <w:r w:rsidRPr="00500E12">
        <w:rPr>
          <w:i/>
        </w:rPr>
        <w:t>.</w:t>
      </w:r>
      <w:r w:rsidRPr="00500E12">
        <w:rPr>
          <w:rStyle w:val="Refdenotaalpie"/>
          <w:rFonts w:cs="Arial"/>
          <w:i/>
        </w:rPr>
        <w:footnoteReference w:id="16"/>
      </w:r>
    </w:p>
    <w:p w14:paraId="6CAFEF03" w14:textId="77777777" w:rsidR="00C55708" w:rsidRPr="00500E12" w:rsidRDefault="00C55708" w:rsidP="00A727D4">
      <w:pPr>
        <w:pStyle w:val="Textonotapie"/>
      </w:pPr>
    </w:p>
    <w:p w14:paraId="3471494A" w14:textId="77777777" w:rsidR="00A727D4" w:rsidRPr="00500E12" w:rsidRDefault="00636C76" w:rsidP="00A727D4">
      <w:pPr>
        <w:pStyle w:val="Textonotapie"/>
      </w:pPr>
      <w:r w:rsidRPr="00500E12">
        <w:t xml:space="preserve">12.9. </w:t>
      </w:r>
      <w:r w:rsidR="00341278" w:rsidRPr="00500E12">
        <w:t xml:space="preserve">En conclusión, </w:t>
      </w:r>
      <w:r w:rsidR="00283766" w:rsidRPr="00500E12">
        <w:t xml:space="preserve">la valoración del dictamen pericial y, </w:t>
      </w:r>
      <w:r w:rsidRPr="00500E12">
        <w:t>específicamente</w:t>
      </w:r>
      <w:r w:rsidR="00283766" w:rsidRPr="00500E12">
        <w:t xml:space="preserve">, los puntos relacionados </w:t>
      </w:r>
      <w:r w:rsidR="00F87BC5" w:rsidRPr="00500E12">
        <w:t xml:space="preserve">con </w:t>
      </w:r>
      <w:r w:rsidR="00283766" w:rsidRPr="00500E12">
        <w:t xml:space="preserve">la idoneidad de los estudios y la necesidad de mantenimiento preventivo, </w:t>
      </w:r>
      <w:r w:rsidR="00341278" w:rsidRPr="00500E12">
        <w:t xml:space="preserve">se hará con base en la totalidad de los elementos probatorios allegados al expediente, como se explica a continuación. </w:t>
      </w:r>
    </w:p>
    <w:p w14:paraId="791577D1" w14:textId="77777777" w:rsidR="00C55708" w:rsidRPr="00500E12" w:rsidRDefault="00C55708" w:rsidP="00564523">
      <w:pPr>
        <w:rPr>
          <w:b/>
          <w:lang w:val="es-CO"/>
        </w:rPr>
      </w:pPr>
    </w:p>
    <w:p w14:paraId="47A28842" w14:textId="77777777" w:rsidR="00C7520C" w:rsidRPr="00500E12" w:rsidRDefault="00F80E92" w:rsidP="00564523">
      <w:pPr>
        <w:rPr>
          <w:b/>
          <w:bCs/>
          <w:lang w:val="es-CO"/>
        </w:rPr>
      </w:pPr>
      <w:r w:rsidRPr="00500E12">
        <w:rPr>
          <w:b/>
          <w:lang w:val="es-CO"/>
        </w:rPr>
        <w:t>II</w:t>
      </w:r>
      <w:r w:rsidR="00AB5976" w:rsidRPr="00500E12">
        <w:rPr>
          <w:b/>
          <w:lang w:val="es-CO"/>
        </w:rPr>
        <w:t>I</w:t>
      </w:r>
      <w:r w:rsidRPr="00500E12">
        <w:rPr>
          <w:b/>
          <w:lang w:val="es-CO"/>
        </w:rPr>
        <w:t xml:space="preserve">. </w:t>
      </w:r>
      <w:r w:rsidR="00C7520C" w:rsidRPr="00500E12">
        <w:rPr>
          <w:b/>
          <w:bCs/>
          <w:lang w:val="es-CO"/>
        </w:rPr>
        <w:t>Hechos probados</w:t>
      </w:r>
      <w:r w:rsidR="002402BB" w:rsidRPr="00500E12">
        <w:rPr>
          <w:b/>
          <w:bCs/>
          <w:lang w:val="es-CO"/>
        </w:rPr>
        <w:t xml:space="preserve"> </w:t>
      </w:r>
    </w:p>
    <w:p w14:paraId="41522537" w14:textId="77777777" w:rsidR="008F447A" w:rsidRPr="00500E12" w:rsidRDefault="008F447A" w:rsidP="00564523">
      <w:pPr>
        <w:rPr>
          <w:b/>
          <w:bCs/>
          <w:lang w:val="es-CO"/>
        </w:rPr>
      </w:pPr>
    </w:p>
    <w:p w14:paraId="076A95A3" w14:textId="77777777" w:rsidR="00D03174" w:rsidRPr="00500E12" w:rsidRDefault="00A727D4" w:rsidP="00564523">
      <w:pPr>
        <w:rPr>
          <w:lang w:val="es-MX"/>
        </w:rPr>
      </w:pPr>
      <w:r w:rsidRPr="00500E12">
        <w:rPr>
          <w:lang w:val="es-CO"/>
        </w:rPr>
        <w:t>13</w:t>
      </w:r>
      <w:r w:rsidR="00930E02" w:rsidRPr="00500E12">
        <w:rPr>
          <w:lang w:val="es-CO"/>
        </w:rPr>
        <w:t xml:space="preserve">. </w:t>
      </w:r>
      <w:r w:rsidR="00D03174" w:rsidRPr="00500E12">
        <w:rPr>
          <w:bCs/>
        </w:rPr>
        <w:t>De conformidad con los medios de</w:t>
      </w:r>
      <w:r w:rsidR="00D03174" w:rsidRPr="00500E12">
        <w:rPr>
          <w:lang w:val="es-MX"/>
        </w:rPr>
        <w:t xml:space="preserve"> prueba regularmente allegados al plenario, se acreditaron los siguientes hechos, relevantes para la litis</w:t>
      </w:r>
      <w:r w:rsidR="00D03174" w:rsidRPr="00500E12">
        <w:rPr>
          <w:rStyle w:val="Refdenotaalpie"/>
          <w:rFonts w:cs="Arial"/>
          <w:lang w:val="es-MX"/>
        </w:rPr>
        <w:footnoteReference w:id="17"/>
      </w:r>
      <w:r w:rsidR="00D03174" w:rsidRPr="00500E12">
        <w:rPr>
          <w:lang w:val="es-MX"/>
        </w:rPr>
        <w:t xml:space="preserve">: </w:t>
      </w:r>
    </w:p>
    <w:p w14:paraId="1EFB3BD9" w14:textId="77777777" w:rsidR="00FF061C" w:rsidRPr="00500E12" w:rsidRDefault="00FF061C" w:rsidP="00564523">
      <w:pPr>
        <w:rPr>
          <w:lang w:val="es-ES" w:eastAsia="es-ES"/>
        </w:rPr>
      </w:pPr>
    </w:p>
    <w:p w14:paraId="2733BF10" w14:textId="77777777" w:rsidR="000108C3" w:rsidRPr="00500E12" w:rsidRDefault="00A727D4" w:rsidP="007F7D4A">
      <w:pPr>
        <w:widowControl w:val="0"/>
        <w:suppressAutoHyphens w:val="0"/>
        <w:overflowPunct/>
        <w:autoSpaceDE/>
        <w:textAlignment w:val="auto"/>
        <w:rPr>
          <w:lang w:val="es-CO"/>
        </w:rPr>
      </w:pPr>
      <w:r w:rsidRPr="00500E12">
        <w:rPr>
          <w:lang w:val="es-CO"/>
        </w:rPr>
        <w:t>13</w:t>
      </w:r>
      <w:r w:rsidR="00133978" w:rsidRPr="00500E12">
        <w:rPr>
          <w:lang w:val="es-CO"/>
        </w:rPr>
        <w:t xml:space="preserve">.1. </w:t>
      </w:r>
      <w:r w:rsidR="002F56F1" w:rsidRPr="00500E12">
        <w:rPr>
          <w:lang w:val="es-CO"/>
        </w:rPr>
        <w:t xml:space="preserve">El </w:t>
      </w:r>
      <w:r w:rsidR="000108C3" w:rsidRPr="00500E12">
        <w:rPr>
          <w:lang w:val="es-CO"/>
        </w:rPr>
        <w:t xml:space="preserve">16 de julio de 1998, la dirección de vías de la gerencia para la infraestructura de la gobernación de Cundinamarca, fijó aviso con el fin de invitar a los interesados a la celebración de contrato para </w:t>
      </w:r>
      <w:r w:rsidR="00EF4724" w:rsidRPr="00500E12">
        <w:rPr>
          <w:lang w:val="es-CO"/>
        </w:rPr>
        <w:t>“</w:t>
      </w:r>
      <w:r w:rsidR="00EF4724" w:rsidRPr="00500E12">
        <w:rPr>
          <w:i/>
          <w:lang w:val="es-CO"/>
        </w:rPr>
        <w:t xml:space="preserve">EL LEVANTAMIENTO, DIAGNÓSTICO Y CONSTRUCCIÓN DE OBRAS </w:t>
      </w:r>
      <w:r w:rsidR="0082753A" w:rsidRPr="00500E12">
        <w:rPr>
          <w:i/>
          <w:lang w:val="es-CO"/>
        </w:rPr>
        <w:t xml:space="preserve">PARA </w:t>
      </w:r>
      <w:r w:rsidR="00EF4724" w:rsidRPr="00500E12">
        <w:rPr>
          <w:i/>
          <w:lang w:val="es-CO"/>
        </w:rPr>
        <w:t>LA ESTABILIZACIÓN GEOLÓGICA – MUNICIPIO DE ÚTICA</w:t>
      </w:r>
      <w:r w:rsidR="000108C3" w:rsidRPr="00500E12">
        <w:rPr>
          <w:i/>
          <w:lang w:val="es-CO"/>
        </w:rPr>
        <w:t xml:space="preserve">, </w:t>
      </w:r>
      <w:r w:rsidR="00EF4724" w:rsidRPr="00500E12">
        <w:rPr>
          <w:i/>
          <w:lang w:val="es-CO"/>
        </w:rPr>
        <w:t xml:space="preserve">de acuerdo con los planos y especificaciones suministrados por la Dirección de Vías, a los precios unitarios fijos y en los términos que se señalan dentro del presente pliego y de acuerdo con las condiciones generales de contratación establecidos en la Ley 80 de 1993”, </w:t>
      </w:r>
      <w:r w:rsidR="000108C3" w:rsidRPr="00500E12">
        <w:rPr>
          <w:lang w:val="es-CO"/>
        </w:rPr>
        <w:t>con recursos por valor de $175 000 000 (</w:t>
      </w:r>
      <w:r w:rsidR="00143A3A" w:rsidRPr="00500E12">
        <w:rPr>
          <w:lang w:val="es-CO"/>
        </w:rPr>
        <w:t xml:space="preserve">pliegos de condiciones, </w:t>
      </w:r>
      <w:r w:rsidR="000108C3" w:rsidRPr="00500E12">
        <w:rPr>
          <w:lang w:val="es-CO"/>
        </w:rPr>
        <w:t>aviso de invitación a contratar n.º GIV-001-98 y estudio de conveniencia, f.</w:t>
      </w:r>
      <w:r w:rsidR="00143A3A" w:rsidRPr="00500E12">
        <w:rPr>
          <w:lang w:val="es-CO"/>
        </w:rPr>
        <w:t xml:space="preserve">281-313, </w:t>
      </w:r>
      <w:r w:rsidR="000108C3" w:rsidRPr="00500E12">
        <w:rPr>
          <w:lang w:val="es-CO"/>
        </w:rPr>
        <w:t>342-344, 348 c.2).</w:t>
      </w:r>
    </w:p>
    <w:p w14:paraId="07358A61" w14:textId="77777777" w:rsidR="000108C3" w:rsidRPr="00500E12" w:rsidRDefault="000108C3" w:rsidP="007F7D4A">
      <w:pPr>
        <w:widowControl w:val="0"/>
        <w:suppressAutoHyphens w:val="0"/>
        <w:overflowPunct/>
        <w:autoSpaceDE/>
        <w:textAlignment w:val="auto"/>
        <w:rPr>
          <w:lang w:val="es-CO"/>
        </w:rPr>
      </w:pPr>
    </w:p>
    <w:p w14:paraId="2C0A5C3E" w14:textId="77777777" w:rsidR="00143A3A" w:rsidRPr="00500E12" w:rsidRDefault="000108C3" w:rsidP="007F7D4A">
      <w:pPr>
        <w:widowControl w:val="0"/>
        <w:suppressAutoHyphens w:val="0"/>
        <w:overflowPunct/>
        <w:autoSpaceDE/>
        <w:textAlignment w:val="auto"/>
        <w:rPr>
          <w:lang w:val="es-CO"/>
        </w:rPr>
      </w:pPr>
      <w:r w:rsidRPr="00500E12">
        <w:rPr>
          <w:lang w:val="es-CO"/>
        </w:rPr>
        <w:t>1</w:t>
      </w:r>
      <w:r w:rsidR="00A727D4" w:rsidRPr="00500E12">
        <w:rPr>
          <w:lang w:val="es-CO"/>
        </w:rPr>
        <w:t>3</w:t>
      </w:r>
      <w:r w:rsidRPr="00500E12">
        <w:rPr>
          <w:lang w:val="es-CO"/>
        </w:rPr>
        <w:t xml:space="preserve">.2. </w:t>
      </w:r>
      <w:r w:rsidR="00143A3A" w:rsidRPr="00500E12">
        <w:rPr>
          <w:lang w:val="es-CO"/>
        </w:rPr>
        <w:t xml:space="preserve">El cierre de la convocatoria se hizo el 30 de julio de 1998, en la que se presentaron 10 propuestas, entre las que se encontraba </w:t>
      </w:r>
      <w:r w:rsidR="00762BBB" w:rsidRPr="00500E12">
        <w:rPr>
          <w:lang w:val="es-CO"/>
        </w:rPr>
        <w:t xml:space="preserve">la de la </w:t>
      </w:r>
      <w:r w:rsidR="00143A3A" w:rsidRPr="00500E12">
        <w:rPr>
          <w:lang w:val="es-CO"/>
        </w:rPr>
        <w:t>sociedad Obando y Mejía Ingenieros Ltda. (</w:t>
      </w:r>
      <w:r w:rsidR="00AD4AE0" w:rsidRPr="00500E12">
        <w:rPr>
          <w:lang w:val="es-CO"/>
        </w:rPr>
        <w:t>Acta</w:t>
      </w:r>
      <w:r w:rsidR="00143A3A" w:rsidRPr="00500E12">
        <w:rPr>
          <w:lang w:val="es-CO"/>
        </w:rPr>
        <w:t xml:space="preserve"> de cierre de la convocatoria pública n.º GIV-001-98, f. 267-271 c.2).</w:t>
      </w:r>
    </w:p>
    <w:p w14:paraId="2481886C" w14:textId="77777777" w:rsidR="00AB526F" w:rsidRPr="00500E12" w:rsidRDefault="00AB526F" w:rsidP="007F7D4A">
      <w:pPr>
        <w:widowControl w:val="0"/>
        <w:suppressAutoHyphens w:val="0"/>
        <w:overflowPunct/>
        <w:autoSpaceDE/>
        <w:textAlignment w:val="auto"/>
        <w:rPr>
          <w:lang w:val="es-CO"/>
        </w:rPr>
      </w:pPr>
    </w:p>
    <w:p w14:paraId="185B5F2B" w14:textId="77777777" w:rsidR="002F203F" w:rsidRPr="00500E12" w:rsidRDefault="00AB526F" w:rsidP="007F7D4A">
      <w:pPr>
        <w:widowControl w:val="0"/>
        <w:suppressAutoHyphens w:val="0"/>
        <w:overflowPunct/>
        <w:autoSpaceDE/>
        <w:textAlignment w:val="auto"/>
        <w:rPr>
          <w:lang w:val="es-CO"/>
        </w:rPr>
      </w:pPr>
      <w:r w:rsidRPr="00500E12">
        <w:rPr>
          <w:lang w:val="es-CO"/>
        </w:rPr>
        <w:t>1</w:t>
      </w:r>
      <w:r w:rsidR="00A727D4" w:rsidRPr="00500E12">
        <w:rPr>
          <w:lang w:val="es-CO"/>
        </w:rPr>
        <w:t>3</w:t>
      </w:r>
      <w:r w:rsidRPr="00500E12">
        <w:rPr>
          <w:lang w:val="es-CO"/>
        </w:rPr>
        <w:t xml:space="preserve">.3. </w:t>
      </w:r>
      <w:r w:rsidR="008F447A" w:rsidRPr="00500E12">
        <w:rPr>
          <w:lang w:val="es-CO"/>
        </w:rPr>
        <w:t>De conformidad con el pliego de condiciones, el objeto del contrato se enmarcaba</w:t>
      </w:r>
      <w:r w:rsidR="007D41CC" w:rsidRPr="00500E12">
        <w:rPr>
          <w:lang w:val="es-CO"/>
        </w:rPr>
        <w:t xml:space="preserve"> en l</w:t>
      </w:r>
      <w:r w:rsidR="008F447A" w:rsidRPr="00500E12">
        <w:rPr>
          <w:lang w:val="es-CO"/>
        </w:rPr>
        <w:t xml:space="preserve">a adecuación y revestimiento del talud derecho, </w:t>
      </w:r>
      <w:r w:rsidR="007D41CC" w:rsidRPr="00500E12">
        <w:rPr>
          <w:i/>
          <w:lang w:val="es-CO"/>
        </w:rPr>
        <w:t>aguas abajo, quebrada negra-zona del descanso-</w:t>
      </w:r>
      <w:r w:rsidR="00B06E49" w:rsidRPr="00500E12">
        <w:rPr>
          <w:i/>
          <w:lang w:val="es-CO"/>
        </w:rPr>
        <w:t xml:space="preserve"> </w:t>
      </w:r>
      <w:r w:rsidR="00B06E49" w:rsidRPr="00500E12">
        <w:rPr>
          <w:lang w:val="es-CO"/>
        </w:rPr>
        <w:t>(pliego de condiciones, anexo sobre ítems y cantidades de obra -</w:t>
      </w:r>
      <w:r w:rsidR="00340DC7" w:rsidRPr="00500E12">
        <w:rPr>
          <w:lang w:val="es-CO"/>
        </w:rPr>
        <w:t>f. 81</w:t>
      </w:r>
      <w:r w:rsidR="00B06E49" w:rsidRPr="00500E12">
        <w:rPr>
          <w:lang w:val="es-CO"/>
        </w:rPr>
        <w:t xml:space="preserve"> c.2-). Lo anterior, en concordancia con el proyecto denominado</w:t>
      </w:r>
      <w:r w:rsidR="002F203F" w:rsidRPr="00500E12">
        <w:rPr>
          <w:lang w:val="es-CO"/>
        </w:rPr>
        <w:t xml:space="preserve"> </w:t>
      </w:r>
      <w:r w:rsidR="00B06E49" w:rsidRPr="00500E12">
        <w:rPr>
          <w:i/>
          <w:lang w:val="es-CO"/>
        </w:rPr>
        <w:t>“ADECUACIÓN Y REVESTIMIENTO DEL TALUD AGUAS ABAJO QUEBRADA NEGRA ZONA EL DESCANSO DEL MUNICIPIO DE ÚTICA</w:t>
      </w:r>
      <w:r w:rsidR="002F203F" w:rsidRPr="00500E12">
        <w:rPr>
          <w:i/>
          <w:lang w:val="es-CO"/>
        </w:rPr>
        <w:t>”</w:t>
      </w:r>
      <w:r w:rsidR="00B06E49" w:rsidRPr="00500E12">
        <w:rPr>
          <w:lang w:val="es-CO"/>
        </w:rPr>
        <w:t xml:space="preserve">, </w:t>
      </w:r>
      <w:r w:rsidR="002F203F" w:rsidRPr="00500E12">
        <w:rPr>
          <w:lang w:val="es-CO"/>
        </w:rPr>
        <w:t>en el que se tuvo en cuenta, dentro de la identificación del problema,</w:t>
      </w:r>
      <w:r w:rsidR="001B1E5D" w:rsidRPr="00500E12">
        <w:rPr>
          <w:lang w:val="es-CO"/>
        </w:rPr>
        <w:t xml:space="preserve"> que ya existía </w:t>
      </w:r>
      <w:r w:rsidR="00006B42" w:rsidRPr="00500E12">
        <w:rPr>
          <w:lang w:val="es-CO"/>
        </w:rPr>
        <w:t xml:space="preserve">infraestructura, con adecuación y revestido en concreto, anclado y un andén superior de un metro de ancho. Adicionalmente, como solución planteada se habló de una construcción nueva, con base en </w:t>
      </w:r>
      <w:r w:rsidR="002F203F" w:rsidRPr="00500E12">
        <w:rPr>
          <w:lang w:val="es-CO"/>
        </w:rPr>
        <w:t>lo siguiente (copia del referido proyecto</w:t>
      </w:r>
      <w:r w:rsidR="00006B42" w:rsidRPr="00500E12">
        <w:rPr>
          <w:lang w:val="es-CO"/>
        </w:rPr>
        <w:t xml:space="preserve"> que data de julio de 1998</w:t>
      </w:r>
      <w:r w:rsidR="002F203F" w:rsidRPr="00500E12">
        <w:rPr>
          <w:lang w:val="es-CO"/>
        </w:rPr>
        <w:t>, como base del pliego de condiciones –f.316-333 c. 2-):</w:t>
      </w:r>
    </w:p>
    <w:p w14:paraId="045EB67D" w14:textId="77777777" w:rsidR="002F203F" w:rsidRPr="00500E12" w:rsidRDefault="002F203F" w:rsidP="007F7D4A">
      <w:pPr>
        <w:widowControl w:val="0"/>
        <w:suppressAutoHyphens w:val="0"/>
        <w:overflowPunct/>
        <w:autoSpaceDE/>
        <w:textAlignment w:val="auto"/>
        <w:rPr>
          <w:lang w:val="es-CO"/>
        </w:rPr>
      </w:pPr>
    </w:p>
    <w:p w14:paraId="408B7FEC" w14:textId="77777777" w:rsidR="002F203F" w:rsidRPr="00500E12" w:rsidRDefault="00006B42" w:rsidP="00911D6A">
      <w:pPr>
        <w:widowControl w:val="0"/>
        <w:suppressAutoHyphens w:val="0"/>
        <w:overflowPunct/>
        <w:autoSpaceDE/>
        <w:spacing w:line="240" w:lineRule="auto"/>
        <w:ind w:left="567" w:right="567"/>
        <w:textAlignment w:val="auto"/>
        <w:rPr>
          <w:b/>
          <w:i/>
          <w:lang w:val="es-CO"/>
        </w:rPr>
      </w:pPr>
      <w:r w:rsidRPr="00500E12">
        <w:rPr>
          <w:i/>
          <w:lang w:val="es-CO"/>
        </w:rPr>
        <w:t xml:space="preserve">7. </w:t>
      </w:r>
      <w:r w:rsidR="006B165A" w:rsidRPr="00500E12">
        <w:rPr>
          <w:b/>
          <w:i/>
          <w:lang w:val="es-CO"/>
        </w:rPr>
        <w:t>I</w:t>
      </w:r>
      <w:r w:rsidRPr="00500E12">
        <w:rPr>
          <w:b/>
          <w:i/>
          <w:lang w:val="es-CO"/>
        </w:rPr>
        <w:t>nformación adicional:</w:t>
      </w:r>
    </w:p>
    <w:p w14:paraId="42B76883" w14:textId="77777777" w:rsidR="006B165A" w:rsidRPr="00500E12" w:rsidRDefault="006B165A" w:rsidP="00911D6A">
      <w:pPr>
        <w:widowControl w:val="0"/>
        <w:suppressAutoHyphens w:val="0"/>
        <w:overflowPunct/>
        <w:autoSpaceDE/>
        <w:spacing w:line="240" w:lineRule="auto"/>
        <w:ind w:left="567" w:right="567"/>
        <w:textAlignment w:val="auto"/>
        <w:rPr>
          <w:i/>
          <w:lang w:val="es-CO"/>
        </w:rPr>
      </w:pPr>
    </w:p>
    <w:p w14:paraId="11313306" w14:textId="77777777" w:rsidR="00006B42" w:rsidRPr="00500E12" w:rsidRDefault="006B165A" w:rsidP="00911D6A">
      <w:pPr>
        <w:widowControl w:val="0"/>
        <w:suppressAutoHyphens w:val="0"/>
        <w:overflowPunct/>
        <w:autoSpaceDE/>
        <w:spacing w:line="240" w:lineRule="auto"/>
        <w:ind w:left="567" w:right="567"/>
        <w:textAlignment w:val="auto"/>
        <w:rPr>
          <w:i/>
          <w:lang w:val="es-CO"/>
        </w:rPr>
      </w:pPr>
      <w:r w:rsidRPr="00500E12">
        <w:rPr>
          <w:i/>
          <w:lang w:val="es-CO"/>
        </w:rPr>
        <w:t xml:space="preserve">ACTUALMENTE EXISTE UN TRAMO DE RECUBRIMIENTO DE TALUD, EN UNA LONGITUD DE APROXIMADAMENTE 30 METROS LONGITUDINALES, EL CUAL NO PRESENTA NINGÚN ESTADO DE DETERIORO DESPUÉS DE CUATRO AÑOS DE USO, SIENDO ESTE UN EJEMPLO PARA PROSEGUIR SU EJECUCIÓN. </w:t>
      </w:r>
    </w:p>
    <w:p w14:paraId="277F20F5" w14:textId="77777777" w:rsidR="0097448B" w:rsidRPr="00500E12" w:rsidRDefault="0097448B" w:rsidP="00911D6A">
      <w:pPr>
        <w:widowControl w:val="0"/>
        <w:suppressAutoHyphens w:val="0"/>
        <w:overflowPunct/>
        <w:autoSpaceDE/>
        <w:spacing w:line="240" w:lineRule="auto"/>
        <w:ind w:left="567" w:right="567"/>
        <w:textAlignment w:val="auto"/>
        <w:rPr>
          <w:i/>
          <w:lang w:val="es-CO"/>
        </w:rPr>
      </w:pPr>
    </w:p>
    <w:p w14:paraId="53201E2F" w14:textId="77777777" w:rsidR="0097448B" w:rsidRPr="00500E12" w:rsidRDefault="0097448B" w:rsidP="00911D6A">
      <w:pPr>
        <w:widowControl w:val="0"/>
        <w:suppressAutoHyphens w:val="0"/>
        <w:overflowPunct/>
        <w:autoSpaceDE/>
        <w:spacing w:line="240" w:lineRule="auto"/>
        <w:ind w:left="567" w:right="567"/>
        <w:textAlignment w:val="auto"/>
        <w:rPr>
          <w:b/>
          <w:i/>
          <w:lang w:val="es-CO"/>
        </w:rPr>
      </w:pPr>
      <w:r w:rsidRPr="00500E12">
        <w:rPr>
          <w:b/>
          <w:i/>
          <w:lang w:val="es-CO"/>
        </w:rPr>
        <w:t xml:space="preserve">8. </w:t>
      </w:r>
      <w:r w:rsidR="006B165A" w:rsidRPr="00500E12">
        <w:rPr>
          <w:b/>
          <w:i/>
          <w:lang w:val="es-CO"/>
        </w:rPr>
        <w:t>D</w:t>
      </w:r>
      <w:r w:rsidRPr="00500E12">
        <w:rPr>
          <w:b/>
          <w:i/>
          <w:lang w:val="es-CO"/>
        </w:rPr>
        <w:t>escripción del problema:</w:t>
      </w:r>
    </w:p>
    <w:p w14:paraId="1232E059" w14:textId="77777777" w:rsidR="0097448B" w:rsidRPr="00500E12" w:rsidRDefault="0097448B" w:rsidP="00911D6A">
      <w:pPr>
        <w:widowControl w:val="0"/>
        <w:suppressAutoHyphens w:val="0"/>
        <w:overflowPunct/>
        <w:autoSpaceDE/>
        <w:spacing w:line="240" w:lineRule="auto"/>
        <w:ind w:left="567" w:right="567"/>
        <w:textAlignment w:val="auto"/>
        <w:rPr>
          <w:i/>
          <w:lang w:val="es-CO"/>
        </w:rPr>
      </w:pPr>
    </w:p>
    <w:p w14:paraId="44D55FB1" w14:textId="77777777" w:rsidR="0097448B" w:rsidRPr="00500E12" w:rsidRDefault="006B165A" w:rsidP="00911D6A">
      <w:pPr>
        <w:widowControl w:val="0"/>
        <w:suppressAutoHyphens w:val="0"/>
        <w:overflowPunct/>
        <w:autoSpaceDE/>
        <w:spacing w:line="240" w:lineRule="auto"/>
        <w:ind w:left="567" w:right="567"/>
        <w:textAlignment w:val="auto"/>
        <w:rPr>
          <w:i/>
          <w:lang w:val="es-CO"/>
        </w:rPr>
      </w:pPr>
      <w:r w:rsidRPr="00500E12">
        <w:rPr>
          <w:i/>
          <w:lang w:val="es-CO"/>
        </w:rPr>
        <w:t xml:space="preserve">INMINENTE RIESGO DE INUNDACIÓN / AVALANCHA HACIA EL MUNICIPIO DADO EL ALTO GRADO DE SEDIMENTACIÓN DE MATERIAL EN LA QUEBRADA LA NEGRA, DEBIDO A LA CONFORMACIÓN DEL CAUCE DE LA MISMA, SIENDO ESTE DE FORMA ESCABROSA. </w:t>
      </w:r>
    </w:p>
    <w:p w14:paraId="48C4ED54" w14:textId="77777777" w:rsidR="00742AED" w:rsidRPr="00500E12" w:rsidRDefault="00742AED" w:rsidP="00911D6A">
      <w:pPr>
        <w:widowControl w:val="0"/>
        <w:suppressAutoHyphens w:val="0"/>
        <w:overflowPunct/>
        <w:autoSpaceDE/>
        <w:spacing w:line="240" w:lineRule="auto"/>
        <w:ind w:left="567" w:right="567"/>
        <w:textAlignment w:val="auto"/>
        <w:rPr>
          <w:i/>
          <w:lang w:val="es-CO"/>
        </w:rPr>
      </w:pPr>
    </w:p>
    <w:p w14:paraId="45D19C29" w14:textId="77777777" w:rsidR="00742AED" w:rsidRPr="00500E12" w:rsidRDefault="00742AED" w:rsidP="00911D6A">
      <w:pPr>
        <w:widowControl w:val="0"/>
        <w:suppressAutoHyphens w:val="0"/>
        <w:overflowPunct/>
        <w:autoSpaceDE/>
        <w:spacing w:line="240" w:lineRule="auto"/>
        <w:ind w:left="567" w:right="567"/>
        <w:textAlignment w:val="auto"/>
        <w:rPr>
          <w:i/>
          <w:lang w:val="es-CO"/>
        </w:rPr>
      </w:pPr>
      <w:r w:rsidRPr="00500E12">
        <w:rPr>
          <w:i/>
          <w:lang w:val="es-CO"/>
        </w:rPr>
        <w:t>(…)</w:t>
      </w:r>
    </w:p>
    <w:p w14:paraId="1560B946" w14:textId="77777777" w:rsidR="00742AED" w:rsidRPr="00500E12" w:rsidRDefault="00742AED" w:rsidP="00911D6A">
      <w:pPr>
        <w:widowControl w:val="0"/>
        <w:suppressAutoHyphens w:val="0"/>
        <w:overflowPunct/>
        <w:autoSpaceDE/>
        <w:spacing w:line="240" w:lineRule="auto"/>
        <w:ind w:left="567" w:right="567"/>
        <w:textAlignment w:val="auto"/>
        <w:rPr>
          <w:i/>
          <w:lang w:val="es-CO"/>
        </w:rPr>
      </w:pPr>
    </w:p>
    <w:p w14:paraId="3AB066E1" w14:textId="77777777" w:rsidR="00742AED" w:rsidRPr="00500E12" w:rsidRDefault="00742AED" w:rsidP="00911D6A">
      <w:pPr>
        <w:widowControl w:val="0"/>
        <w:suppressAutoHyphens w:val="0"/>
        <w:overflowPunct/>
        <w:autoSpaceDE/>
        <w:spacing w:line="240" w:lineRule="auto"/>
        <w:ind w:left="567" w:right="567"/>
        <w:textAlignment w:val="auto"/>
        <w:rPr>
          <w:i/>
          <w:lang w:val="es-CO"/>
        </w:rPr>
      </w:pPr>
      <w:r w:rsidRPr="00500E12">
        <w:rPr>
          <w:i/>
          <w:lang w:val="es-CO"/>
        </w:rPr>
        <w:t xml:space="preserve">2. </w:t>
      </w:r>
      <w:r w:rsidRPr="00500E12">
        <w:rPr>
          <w:b/>
          <w:i/>
          <w:lang w:val="es-CO"/>
        </w:rPr>
        <w:t>Descripción del proyecto:</w:t>
      </w:r>
    </w:p>
    <w:p w14:paraId="1C67A546" w14:textId="77777777" w:rsidR="00742AED" w:rsidRPr="00500E12" w:rsidRDefault="00742AED" w:rsidP="00911D6A">
      <w:pPr>
        <w:widowControl w:val="0"/>
        <w:suppressAutoHyphens w:val="0"/>
        <w:overflowPunct/>
        <w:autoSpaceDE/>
        <w:spacing w:line="240" w:lineRule="auto"/>
        <w:ind w:left="567" w:right="567"/>
        <w:textAlignment w:val="auto"/>
        <w:rPr>
          <w:i/>
          <w:lang w:val="es-CO"/>
        </w:rPr>
      </w:pPr>
    </w:p>
    <w:p w14:paraId="4F3C389C" w14:textId="77777777" w:rsidR="00742AED" w:rsidRPr="00500E12" w:rsidRDefault="006B165A" w:rsidP="00911D6A">
      <w:pPr>
        <w:widowControl w:val="0"/>
        <w:suppressAutoHyphens w:val="0"/>
        <w:overflowPunct/>
        <w:autoSpaceDE/>
        <w:spacing w:line="240" w:lineRule="auto"/>
        <w:ind w:left="567" w:right="567"/>
        <w:textAlignment w:val="auto"/>
        <w:rPr>
          <w:i/>
          <w:lang w:val="es-CO"/>
        </w:rPr>
      </w:pPr>
      <w:r w:rsidRPr="00500E12">
        <w:rPr>
          <w:i/>
          <w:lang w:val="es-CO"/>
        </w:rPr>
        <w:t>ADECUACIÓN Y REVESTIMIENTO DEL TALUD EN CONCRETO REFORZADO DE 3500 PSI CON UN ESPESO</w:t>
      </w:r>
      <w:r w:rsidR="005C360F" w:rsidRPr="00500E12">
        <w:rPr>
          <w:i/>
          <w:lang w:val="es-CO"/>
        </w:rPr>
        <w:t>R</w:t>
      </w:r>
      <w:r w:rsidRPr="00500E12">
        <w:rPr>
          <w:i/>
          <w:lang w:val="es-CO"/>
        </w:rPr>
        <w:t xml:space="preserve"> DE 12 CM Y UNA SUB – BASE EN CONCRETO CICLOPEDO </w:t>
      </w:r>
      <w:r w:rsidR="00B25980" w:rsidRPr="00500E12">
        <w:rPr>
          <w:i/>
          <w:lang w:val="es-CO"/>
        </w:rPr>
        <w:t xml:space="preserve">(SIC) </w:t>
      </w:r>
      <w:r w:rsidRPr="00500E12">
        <w:rPr>
          <w:i/>
          <w:lang w:val="es-CO"/>
        </w:rPr>
        <w:t xml:space="preserve">EN UN ESPESOR DE 20 CM; PARA LA MARGEN DERECHA DE LA QUEBRADA LA NEGRA, A PARTIR DEL SITIO DENOMINADO EL DESCANSO, EN 1900 ML AGUAS ABAJO. </w:t>
      </w:r>
    </w:p>
    <w:p w14:paraId="54548BC4" w14:textId="77777777" w:rsidR="0048187D" w:rsidRPr="00500E12" w:rsidRDefault="0048187D" w:rsidP="00911D6A">
      <w:pPr>
        <w:widowControl w:val="0"/>
        <w:suppressAutoHyphens w:val="0"/>
        <w:overflowPunct/>
        <w:autoSpaceDE/>
        <w:spacing w:line="240" w:lineRule="auto"/>
        <w:ind w:left="567" w:right="567"/>
        <w:textAlignment w:val="auto"/>
        <w:rPr>
          <w:i/>
          <w:lang w:val="es-CO"/>
        </w:rPr>
      </w:pPr>
    </w:p>
    <w:p w14:paraId="4A82C8E7" w14:textId="77777777" w:rsidR="0048187D" w:rsidRPr="00500E12" w:rsidRDefault="0048187D" w:rsidP="00911D6A">
      <w:pPr>
        <w:widowControl w:val="0"/>
        <w:suppressAutoHyphens w:val="0"/>
        <w:overflowPunct/>
        <w:autoSpaceDE/>
        <w:spacing w:line="240" w:lineRule="auto"/>
        <w:ind w:left="567" w:right="567"/>
        <w:textAlignment w:val="auto"/>
        <w:rPr>
          <w:i/>
          <w:lang w:val="es-CO"/>
        </w:rPr>
      </w:pPr>
      <w:r w:rsidRPr="00500E12">
        <w:rPr>
          <w:i/>
          <w:lang w:val="es-CO"/>
        </w:rPr>
        <w:t>(…)</w:t>
      </w:r>
    </w:p>
    <w:p w14:paraId="16621293" w14:textId="77777777" w:rsidR="0048187D" w:rsidRPr="00500E12" w:rsidRDefault="0048187D" w:rsidP="00911D6A">
      <w:pPr>
        <w:widowControl w:val="0"/>
        <w:suppressAutoHyphens w:val="0"/>
        <w:overflowPunct/>
        <w:autoSpaceDE/>
        <w:spacing w:line="240" w:lineRule="auto"/>
        <w:ind w:left="567" w:right="567"/>
        <w:textAlignment w:val="auto"/>
        <w:rPr>
          <w:i/>
          <w:lang w:val="es-CO"/>
        </w:rPr>
      </w:pPr>
    </w:p>
    <w:p w14:paraId="4B6F3DE9" w14:textId="77777777" w:rsidR="0048187D" w:rsidRPr="00500E12" w:rsidRDefault="0048187D" w:rsidP="00911D6A">
      <w:pPr>
        <w:widowControl w:val="0"/>
        <w:suppressAutoHyphens w:val="0"/>
        <w:overflowPunct/>
        <w:autoSpaceDE/>
        <w:spacing w:line="240" w:lineRule="auto"/>
        <w:ind w:left="567" w:right="567"/>
        <w:textAlignment w:val="auto"/>
        <w:rPr>
          <w:b/>
          <w:i/>
          <w:lang w:val="es-CO"/>
        </w:rPr>
      </w:pPr>
      <w:r w:rsidRPr="00500E12">
        <w:rPr>
          <w:b/>
          <w:i/>
          <w:lang w:val="es-CO"/>
        </w:rPr>
        <w:t xml:space="preserve">Justificación: </w:t>
      </w:r>
    </w:p>
    <w:p w14:paraId="05A6E971" w14:textId="77777777" w:rsidR="0048187D" w:rsidRPr="00500E12" w:rsidRDefault="0048187D" w:rsidP="00911D6A">
      <w:pPr>
        <w:widowControl w:val="0"/>
        <w:suppressAutoHyphens w:val="0"/>
        <w:overflowPunct/>
        <w:autoSpaceDE/>
        <w:spacing w:line="240" w:lineRule="auto"/>
        <w:ind w:left="567" w:right="567"/>
        <w:textAlignment w:val="auto"/>
        <w:rPr>
          <w:i/>
          <w:lang w:val="es-CO"/>
        </w:rPr>
      </w:pPr>
    </w:p>
    <w:p w14:paraId="6F5646B3" w14:textId="77777777" w:rsidR="0048187D" w:rsidRPr="00500E12" w:rsidRDefault="006B165A" w:rsidP="00911D6A">
      <w:pPr>
        <w:widowControl w:val="0"/>
        <w:suppressAutoHyphens w:val="0"/>
        <w:overflowPunct/>
        <w:autoSpaceDE/>
        <w:spacing w:line="240" w:lineRule="auto"/>
        <w:ind w:left="567" w:right="567"/>
        <w:textAlignment w:val="auto"/>
        <w:rPr>
          <w:i/>
          <w:lang w:val="es-CO"/>
        </w:rPr>
      </w:pPr>
      <w:r w:rsidRPr="00500E12">
        <w:rPr>
          <w:i/>
          <w:lang w:val="es-CO"/>
        </w:rPr>
        <w:t xml:space="preserve">SE HACE NECESARIO REALIZAR LA OBRA MENCIONADA PARA BRINDAR AL MUNICIPIO UNA PROTECCIÓN POR EL INMINENTE RIESGO QUE  PARA ESTE PRESENTA LA QUEBRADA NEGRA. </w:t>
      </w:r>
    </w:p>
    <w:p w14:paraId="5BE33923" w14:textId="77777777" w:rsidR="00742AED" w:rsidRPr="00500E12" w:rsidRDefault="00742AED" w:rsidP="007F7D4A">
      <w:pPr>
        <w:widowControl w:val="0"/>
        <w:suppressAutoHyphens w:val="0"/>
        <w:overflowPunct/>
        <w:autoSpaceDE/>
        <w:textAlignment w:val="auto"/>
        <w:rPr>
          <w:lang w:val="es-CO"/>
        </w:rPr>
      </w:pPr>
    </w:p>
    <w:p w14:paraId="3713D426" w14:textId="77777777" w:rsidR="00AB526F" w:rsidRPr="00500E12" w:rsidRDefault="008964A2" w:rsidP="007F7D4A">
      <w:pPr>
        <w:widowControl w:val="0"/>
        <w:suppressAutoHyphens w:val="0"/>
        <w:overflowPunct/>
        <w:autoSpaceDE/>
        <w:textAlignment w:val="auto"/>
        <w:rPr>
          <w:lang w:val="es-CO"/>
        </w:rPr>
      </w:pPr>
      <w:r w:rsidRPr="00500E12">
        <w:rPr>
          <w:lang w:val="es-CO"/>
        </w:rPr>
        <w:t xml:space="preserve">13.4. </w:t>
      </w:r>
      <w:r w:rsidR="00AB526F" w:rsidRPr="00500E12">
        <w:rPr>
          <w:lang w:val="es-CO"/>
        </w:rPr>
        <w:t xml:space="preserve">El 19 de octubre de 1998, la sociedad Obando y Mejía Ingenieros Ltda. y el departamento de Cundinamarca, suscribieron el contrato de obra pública n.º 046, por valor de $173 820 465,50 y plazo </w:t>
      </w:r>
      <w:r w:rsidR="00E01051" w:rsidRPr="00500E12">
        <w:rPr>
          <w:lang w:val="es-CO"/>
        </w:rPr>
        <w:t xml:space="preserve">de ejecución </w:t>
      </w:r>
      <w:r w:rsidR="00AB526F" w:rsidRPr="00500E12">
        <w:rPr>
          <w:lang w:val="es-CO"/>
        </w:rPr>
        <w:t xml:space="preserve">de 4 meses, cuyo objeto era el levantamiento, diagnóstico y construcción de obras para </w:t>
      </w:r>
      <w:r w:rsidR="00E01051" w:rsidRPr="00500E12">
        <w:rPr>
          <w:lang w:val="es-CO"/>
        </w:rPr>
        <w:t xml:space="preserve">la </w:t>
      </w:r>
      <w:r w:rsidR="00AB526F" w:rsidRPr="00500E12">
        <w:rPr>
          <w:lang w:val="es-CO"/>
        </w:rPr>
        <w:t>estabilización geológica en el municipio de Útica (Cundinamarca)</w:t>
      </w:r>
      <w:r w:rsidR="00503573" w:rsidRPr="00500E12">
        <w:rPr>
          <w:lang w:val="es-CO"/>
        </w:rPr>
        <w:t xml:space="preserve">, con </w:t>
      </w:r>
      <w:r w:rsidR="00E24329" w:rsidRPr="00500E12">
        <w:rPr>
          <w:lang w:val="es-CO"/>
        </w:rPr>
        <w:t>fecha de inicio el 2 de diciembre de 1998</w:t>
      </w:r>
      <w:r w:rsidR="00E01051" w:rsidRPr="00500E12">
        <w:rPr>
          <w:lang w:val="es-CO"/>
        </w:rPr>
        <w:t xml:space="preserve"> y de </w:t>
      </w:r>
      <w:r w:rsidR="00E95525" w:rsidRPr="00500E12">
        <w:rPr>
          <w:lang w:val="es-CO"/>
        </w:rPr>
        <w:t>finalización el 2 de abril de 1999</w:t>
      </w:r>
      <w:r w:rsidR="00AC2610" w:rsidRPr="00500E12">
        <w:rPr>
          <w:lang w:val="es-CO"/>
        </w:rPr>
        <w:t>. La obra fue entregada el 30 de marzo de 1999</w:t>
      </w:r>
      <w:r w:rsidR="00AB526F" w:rsidRPr="00500E12">
        <w:rPr>
          <w:lang w:val="es-CO"/>
        </w:rPr>
        <w:t xml:space="preserve"> (contrato de obra n.º 046 de 1998</w:t>
      </w:r>
      <w:r w:rsidR="00E24329" w:rsidRPr="00500E12">
        <w:rPr>
          <w:lang w:val="es-CO"/>
        </w:rPr>
        <w:t>, acta n.º 1 de iniciación</w:t>
      </w:r>
      <w:r w:rsidR="00AC2610" w:rsidRPr="00500E12">
        <w:rPr>
          <w:lang w:val="es-CO"/>
        </w:rPr>
        <w:t xml:space="preserve"> y Resolución n.º 168 de 1999, </w:t>
      </w:r>
      <w:r w:rsidR="00AB526F" w:rsidRPr="00500E12">
        <w:rPr>
          <w:lang w:val="es-CO"/>
        </w:rPr>
        <w:t>f. 92-98,</w:t>
      </w:r>
      <w:r w:rsidR="00E24329" w:rsidRPr="00500E12">
        <w:rPr>
          <w:lang w:val="es-CO"/>
        </w:rPr>
        <w:t xml:space="preserve"> 351-352,</w:t>
      </w:r>
      <w:r w:rsidR="00AB526F" w:rsidRPr="00500E12">
        <w:rPr>
          <w:lang w:val="es-CO"/>
        </w:rPr>
        <w:t xml:space="preserve"> </w:t>
      </w:r>
      <w:r w:rsidR="00AC2610" w:rsidRPr="00500E12">
        <w:rPr>
          <w:lang w:val="es-CO"/>
        </w:rPr>
        <w:t xml:space="preserve">9-16, </w:t>
      </w:r>
      <w:r w:rsidR="00AB526F" w:rsidRPr="00500E12">
        <w:rPr>
          <w:lang w:val="es-CO"/>
        </w:rPr>
        <w:t>c.2).</w:t>
      </w:r>
    </w:p>
    <w:p w14:paraId="0EBE86E1" w14:textId="77777777" w:rsidR="00143A3A" w:rsidRPr="00500E12" w:rsidRDefault="00143A3A" w:rsidP="007F7D4A">
      <w:pPr>
        <w:widowControl w:val="0"/>
        <w:suppressAutoHyphens w:val="0"/>
        <w:overflowPunct/>
        <w:autoSpaceDE/>
        <w:textAlignment w:val="auto"/>
        <w:rPr>
          <w:lang w:val="es-CO"/>
        </w:rPr>
      </w:pPr>
    </w:p>
    <w:p w14:paraId="3E492DBF" w14:textId="77777777" w:rsidR="00CA4C0B" w:rsidRPr="00500E12" w:rsidRDefault="00DD0750" w:rsidP="00CA4C0B">
      <w:pPr>
        <w:widowControl w:val="0"/>
        <w:suppressAutoHyphens w:val="0"/>
        <w:overflowPunct/>
        <w:autoSpaceDE/>
        <w:autoSpaceDN w:val="0"/>
        <w:rPr>
          <w:lang w:val="es-CO"/>
        </w:rPr>
      </w:pPr>
      <w:r w:rsidRPr="00500E12">
        <w:rPr>
          <w:lang w:val="es-CO"/>
        </w:rPr>
        <w:t>1</w:t>
      </w:r>
      <w:r w:rsidR="00A727D4" w:rsidRPr="00500E12">
        <w:rPr>
          <w:lang w:val="es-CO"/>
        </w:rPr>
        <w:t>3</w:t>
      </w:r>
      <w:r w:rsidRPr="00500E12">
        <w:rPr>
          <w:lang w:val="es-CO"/>
        </w:rPr>
        <w:t>.</w:t>
      </w:r>
      <w:r w:rsidR="008964A2" w:rsidRPr="00500E12">
        <w:rPr>
          <w:lang w:val="es-CO"/>
        </w:rPr>
        <w:t>5</w:t>
      </w:r>
      <w:r w:rsidRPr="00500E12">
        <w:rPr>
          <w:lang w:val="es-CO"/>
        </w:rPr>
        <w:t xml:space="preserve">. </w:t>
      </w:r>
      <w:r w:rsidR="00CA4C0B" w:rsidRPr="00500E12">
        <w:rPr>
          <w:lang w:val="es-CO"/>
        </w:rPr>
        <w:t>En las cláusulas segunda y tercera del contrato n.º 046 de 1998, las partes pactaron lo siguiente (f.92-94 c.2):</w:t>
      </w:r>
    </w:p>
    <w:p w14:paraId="186CC138" w14:textId="77777777" w:rsidR="00CA4C0B" w:rsidRPr="00500E12" w:rsidRDefault="00CA4C0B" w:rsidP="00CA4C0B">
      <w:pPr>
        <w:widowControl w:val="0"/>
        <w:suppressAutoHyphens w:val="0"/>
        <w:overflowPunct/>
        <w:autoSpaceDE/>
        <w:autoSpaceDN w:val="0"/>
        <w:spacing w:line="240" w:lineRule="auto"/>
        <w:ind w:left="567" w:right="567"/>
        <w:rPr>
          <w:i/>
          <w:lang w:val="es-CO"/>
        </w:rPr>
      </w:pPr>
    </w:p>
    <w:p w14:paraId="1F3D4A1A" w14:textId="77777777" w:rsidR="00CA4C0B" w:rsidRPr="00500E12" w:rsidRDefault="00CA4C0B" w:rsidP="00CA4C0B">
      <w:pPr>
        <w:widowControl w:val="0"/>
        <w:suppressAutoHyphens w:val="0"/>
        <w:overflowPunct/>
        <w:autoSpaceDE/>
        <w:autoSpaceDN w:val="0"/>
        <w:spacing w:line="240" w:lineRule="auto"/>
        <w:ind w:left="567" w:right="567"/>
        <w:rPr>
          <w:i/>
          <w:lang w:val="es-CO"/>
        </w:rPr>
      </w:pPr>
      <w:r w:rsidRPr="00500E12">
        <w:rPr>
          <w:b/>
          <w:i/>
          <w:lang w:val="es-CO"/>
        </w:rPr>
        <w:t>CLÁUSULA SEGUNDA. ESPECIFICACIONES.-</w:t>
      </w:r>
      <w:r w:rsidRPr="00500E12">
        <w:rPr>
          <w:i/>
          <w:lang w:val="es-CO"/>
        </w:rPr>
        <w:t xml:space="preserve"> EL CONTRATISTA se obliga a realizar el objeto del presente contrato, de acuerdo con los planos y especificaciones suministradas por la gerencia para la infraestructura –dirección de Vías, con los términos de referencia, a la descripción, características y especificaciones de los precios unitarios, en los términos que señala este contrato y de conformidad con la propuesta presentada por el CONTRATISTA, documentos que forman parte integrante del presente contrato. </w:t>
      </w:r>
      <w:r w:rsidRPr="00500E12">
        <w:rPr>
          <w:b/>
          <w:i/>
          <w:lang w:val="es-CO"/>
        </w:rPr>
        <w:t>PARÁGRAFO PRIMERO.-</w:t>
      </w:r>
      <w:r w:rsidRPr="00500E12">
        <w:rPr>
          <w:i/>
          <w:lang w:val="es-CO"/>
        </w:rPr>
        <w:t xml:space="preserve"> EL CONTRATISTA no podrá apartarse de los planos y especificaciones que hacen parte integrante del presente contrato, sin autorización escrita del DEPARTAM</w:t>
      </w:r>
      <w:r w:rsidR="00B25980" w:rsidRPr="00500E12">
        <w:rPr>
          <w:i/>
          <w:lang w:val="es-CO"/>
        </w:rPr>
        <w:t>E</w:t>
      </w:r>
      <w:r w:rsidRPr="00500E12">
        <w:rPr>
          <w:i/>
          <w:lang w:val="es-CO"/>
        </w:rPr>
        <w:t>NTO y concepto previo del interventor. Si el CONTRATISTA pretermite lo aquí establecido, no sólo perderá el derecho a reclamar el reconocimiento y pago de cualquier suma que resulte de la modificación de los planos y especificaciones, sino que hará</w:t>
      </w:r>
      <w:r w:rsidR="003A0993" w:rsidRPr="00500E12">
        <w:rPr>
          <w:i/>
          <w:lang w:val="es-CO"/>
        </w:rPr>
        <w:t xml:space="preserve"> (sic) </w:t>
      </w:r>
      <w:r w:rsidRPr="00500E12">
        <w:rPr>
          <w:i/>
          <w:lang w:val="es-CO"/>
        </w:rPr>
        <w:t xml:space="preserve">responsable de los daños que por esta acción cause al DEPARTAMENTO en razón de su infracción. </w:t>
      </w:r>
    </w:p>
    <w:p w14:paraId="0D50893C" w14:textId="77777777" w:rsidR="00CA4C0B" w:rsidRPr="00500E12" w:rsidRDefault="00CA4C0B" w:rsidP="00CA4C0B">
      <w:pPr>
        <w:widowControl w:val="0"/>
        <w:suppressAutoHyphens w:val="0"/>
        <w:overflowPunct/>
        <w:autoSpaceDE/>
        <w:autoSpaceDN w:val="0"/>
        <w:spacing w:line="240" w:lineRule="auto"/>
        <w:ind w:left="567" w:right="567"/>
        <w:rPr>
          <w:i/>
          <w:lang w:val="es-CO"/>
        </w:rPr>
      </w:pPr>
    </w:p>
    <w:p w14:paraId="65AD88B4" w14:textId="77777777" w:rsidR="00CA4C0B" w:rsidRPr="00500E12" w:rsidRDefault="00CA4C0B" w:rsidP="00CA4C0B">
      <w:pPr>
        <w:widowControl w:val="0"/>
        <w:suppressAutoHyphens w:val="0"/>
        <w:overflowPunct/>
        <w:autoSpaceDE/>
        <w:autoSpaceDN w:val="0"/>
        <w:spacing w:line="240" w:lineRule="auto"/>
        <w:ind w:left="567" w:right="567"/>
        <w:rPr>
          <w:i/>
          <w:lang w:val="es-CO"/>
        </w:rPr>
      </w:pPr>
      <w:r w:rsidRPr="00500E12">
        <w:rPr>
          <w:b/>
          <w:i/>
          <w:lang w:val="es-CO"/>
        </w:rPr>
        <w:t>CLÁUSULA TECERA. CANTIDADES DE OBRA Y PRECIOS UNITARIOS.-</w:t>
      </w:r>
      <w:r w:rsidRPr="00500E12">
        <w:rPr>
          <w:i/>
          <w:lang w:val="es-CO"/>
        </w:rPr>
        <w:t xml:space="preserve">  EL CONTRATISTA se obliga para con EL DEPARTAMENTO, a ejecutar las obras objeto del presente contrato a los precios unitarios y en las cantidades aproximadas que se establecen a continuación. (…)</w:t>
      </w:r>
      <w:r w:rsidRPr="00500E12">
        <w:rPr>
          <w:b/>
          <w:i/>
          <w:lang w:val="es-CO"/>
        </w:rPr>
        <w:t xml:space="preserve">PARÁGRAFO.- </w:t>
      </w:r>
      <w:r w:rsidRPr="00500E12">
        <w:rPr>
          <w:i/>
          <w:lang w:val="es-CO"/>
        </w:rPr>
        <w:t xml:space="preserve">Las cantidades de obra consignada en esta cláusula son aproximadas y por tanto EL DEPARTAMENTO podrá a su juicio y por motivos de interés público introducir modificaciones a las mismas u ordenar la ejecución de las obras no previstas pero comprendidas dentro de su objeto, por el procedimiento previsto para la modificación unilateral de los contratos administrativos en el artículo 16 de la Ley 80 de 1993. </w:t>
      </w:r>
    </w:p>
    <w:p w14:paraId="4D624D49" w14:textId="77777777" w:rsidR="00CA4C0B" w:rsidRPr="00500E12" w:rsidRDefault="00CA4C0B" w:rsidP="007F7D4A">
      <w:pPr>
        <w:widowControl w:val="0"/>
        <w:suppressAutoHyphens w:val="0"/>
        <w:overflowPunct/>
        <w:autoSpaceDE/>
        <w:textAlignment w:val="auto"/>
        <w:rPr>
          <w:lang w:val="es-CO"/>
        </w:rPr>
      </w:pPr>
    </w:p>
    <w:p w14:paraId="4F3BD8F0" w14:textId="77777777" w:rsidR="00DD0750" w:rsidRPr="00500E12" w:rsidRDefault="00CA4C0B" w:rsidP="00CA4C0B">
      <w:pPr>
        <w:widowControl w:val="0"/>
        <w:suppressAutoHyphens w:val="0"/>
        <w:overflowPunct/>
        <w:autoSpaceDE/>
        <w:autoSpaceDN w:val="0"/>
        <w:rPr>
          <w:lang w:val="es-CO"/>
        </w:rPr>
      </w:pPr>
      <w:r w:rsidRPr="00500E12">
        <w:rPr>
          <w:lang w:val="es-CO"/>
        </w:rPr>
        <w:t>13.</w:t>
      </w:r>
      <w:r w:rsidR="008964A2" w:rsidRPr="00500E12">
        <w:rPr>
          <w:lang w:val="es-CO"/>
        </w:rPr>
        <w:t>6</w:t>
      </w:r>
      <w:r w:rsidRPr="00500E12">
        <w:rPr>
          <w:lang w:val="es-CO"/>
        </w:rPr>
        <w:t xml:space="preserve">. </w:t>
      </w:r>
      <w:r w:rsidR="00ED5E29" w:rsidRPr="00500E12">
        <w:rPr>
          <w:lang w:val="es-CO"/>
        </w:rPr>
        <w:t xml:space="preserve">El </w:t>
      </w:r>
      <w:r w:rsidR="000E26DB" w:rsidRPr="00500E12">
        <w:rPr>
          <w:lang w:val="es-CO"/>
        </w:rPr>
        <w:t xml:space="preserve">7 de enero de 1999, el </w:t>
      </w:r>
      <w:r w:rsidR="00ED5E29" w:rsidRPr="00500E12">
        <w:rPr>
          <w:lang w:val="es-CO"/>
        </w:rPr>
        <w:t>gerente de la contratista remi</w:t>
      </w:r>
      <w:r w:rsidR="000E26DB" w:rsidRPr="00500E12">
        <w:rPr>
          <w:lang w:val="es-CO"/>
        </w:rPr>
        <w:t xml:space="preserve">tió comunicación al interventor, </w:t>
      </w:r>
      <w:r w:rsidR="00ED5E29" w:rsidRPr="00500E12">
        <w:rPr>
          <w:lang w:val="es-CO"/>
        </w:rPr>
        <w:t xml:space="preserve">en la que anexó los estudios y diseños </w:t>
      </w:r>
      <w:r w:rsidR="000E26DB" w:rsidRPr="00500E12">
        <w:rPr>
          <w:lang w:val="es-CO"/>
        </w:rPr>
        <w:t xml:space="preserve">dentro del contrato objeto de controversia, </w:t>
      </w:r>
      <w:r w:rsidR="00ED5E29" w:rsidRPr="00500E12">
        <w:rPr>
          <w:lang w:val="es-CO"/>
        </w:rPr>
        <w:t>para la “</w:t>
      </w:r>
      <w:r w:rsidR="00ED5E29" w:rsidRPr="00500E12">
        <w:rPr>
          <w:i/>
          <w:lang w:val="es-CO"/>
        </w:rPr>
        <w:t>revisión, observaciones y posterior aprobación”</w:t>
      </w:r>
      <w:r w:rsidR="00ED5E29" w:rsidRPr="00500E12">
        <w:rPr>
          <w:lang w:val="es-CO"/>
        </w:rPr>
        <w:t xml:space="preserve">. </w:t>
      </w:r>
      <w:r w:rsidR="00485234" w:rsidRPr="00500E12">
        <w:rPr>
          <w:lang w:val="es-CO"/>
        </w:rPr>
        <w:t xml:space="preserve">Dicha comunicación, incluyó unas </w:t>
      </w:r>
      <w:r w:rsidR="00ED5E29" w:rsidRPr="00500E12">
        <w:rPr>
          <w:lang w:val="es-CO"/>
        </w:rPr>
        <w:t>memorias</w:t>
      </w:r>
      <w:r w:rsidR="00485234" w:rsidRPr="00500E12">
        <w:rPr>
          <w:lang w:val="es-CO"/>
        </w:rPr>
        <w:t xml:space="preserve"> que, en resumen, daban cuenta de: i) </w:t>
      </w:r>
      <w:r w:rsidR="00ED5E29" w:rsidRPr="00500E12">
        <w:rPr>
          <w:lang w:val="es-CO"/>
        </w:rPr>
        <w:t>los antecedentes de riesgo para el municipio de Útica por el desbord</w:t>
      </w:r>
      <w:r w:rsidR="00485234" w:rsidRPr="00500E12">
        <w:rPr>
          <w:lang w:val="es-CO"/>
        </w:rPr>
        <w:t>amiento de la quebrada La Negra; ii)</w:t>
      </w:r>
      <w:r w:rsidR="00ED5E29" w:rsidRPr="00500E12">
        <w:rPr>
          <w:lang w:val="es-CO"/>
        </w:rPr>
        <w:t xml:space="preserve"> la adopción de soluciones para la protección de los taludes con base en muros de gaviones, </w:t>
      </w:r>
      <w:r w:rsidR="0032431B" w:rsidRPr="00500E12">
        <w:rPr>
          <w:lang w:val="es-CO"/>
        </w:rPr>
        <w:t xml:space="preserve">con el argumento </w:t>
      </w:r>
      <w:r w:rsidR="003A0993" w:rsidRPr="00500E12">
        <w:rPr>
          <w:lang w:val="es-CO"/>
        </w:rPr>
        <w:t xml:space="preserve">de </w:t>
      </w:r>
      <w:r w:rsidR="0032431B" w:rsidRPr="00500E12">
        <w:rPr>
          <w:lang w:val="es-CO"/>
        </w:rPr>
        <w:t>que</w:t>
      </w:r>
      <w:r w:rsidR="00ED5E29" w:rsidRPr="00500E12">
        <w:rPr>
          <w:lang w:val="es-CO"/>
        </w:rPr>
        <w:t xml:space="preserve"> su costo </w:t>
      </w:r>
      <w:r w:rsidR="0032431B" w:rsidRPr="00500E12">
        <w:rPr>
          <w:lang w:val="es-CO"/>
        </w:rPr>
        <w:t>optimizaba</w:t>
      </w:r>
      <w:r w:rsidR="00ED5E29" w:rsidRPr="00500E12">
        <w:rPr>
          <w:lang w:val="es-CO"/>
        </w:rPr>
        <w:t xml:space="preserve"> los recursos existentes</w:t>
      </w:r>
      <w:r w:rsidR="00485234" w:rsidRPr="00500E12">
        <w:rPr>
          <w:lang w:val="es-CO"/>
        </w:rPr>
        <w:t xml:space="preserve">; iii) </w:t>
      </w:r>
      <w:r w:rsidR="00ED5E29" w:rsidRPr="00500E12">
        <w:rPr>
          <w:lang w:val="es-CO"/>
        </w:rPr>
        <w:t>los índices de precipitaciones en la zona</w:t>
      </w:r>
      <w:r w:rsidR="00485234" w:rsidRPr="00500E12">
        <w:rPr>
          <w:lang w:val="es-CO"/>
        </w:rPr>
        <w:t>; iv)</w:t>
      </w:r>
      <w:r w:rsidR="00ED5E29" w:rsidRPr="00500E12">
        <w:rPr>
          <w:lang w:val="es-CO"/>
        </w:rPr>
        <w:t xml:space="preserve"> la identificación de puntos críticos debido a la erosión</w:t>
      </w:r>
      <w:r w:rsidR="002D1E97" w:rsidRPr="00500E12">
        <w:rPr>
          <w:lang w:val="es-CO"/>
        </w:rPr>
        <w:t xml:space="preserve"> y</w:t>
      </w:r>
      <w:r w:rsidR="00ED5E29" w:rsidRPr="00500E12">
        <w:rPr>
          <w:lang w:val="es-CO"/>
        </w:rPr>
        <w:t xml:space="preserve"> </w:t>
      </w:r>
      <w:r w:rsidR="00485234" w:rsidRPr="00500E12">
        <w:rPr>
          <w:lang w:val="es-CO"/>
        </w:rPr>
        <w:t xml:space="preserve">v) el presupuesto de la obra, en el que se especificaron actividades </w:t>
      </w:r>
      <w:r w:rsidR="00ED5E29" w:rsidRPr="00500E12">
        <w:rPr>
          <w:lang w:val="es-CO"/>
        </w:rPr>
        <w:t>de dragado, gaviones, excavación, revestimiento y diseños (</w:t>
      </w:r>
      <w:r w:rsidR="00754877" w:rsidRPr="00500E12">
        <w:rPr>
          <w:lang w:val="es-CO"/>
        </w:rPr>
        <w:t xml:space="preserve">comunicación del 7 de enero de 1999, suscrito por el gerente de la contratista, </w:t>
      </w:r>
      <w:r w:rsidR="00ED5E29" w:rsidRPr="00500E12">
        <w:rPr>
          <w:lang w:val="es-CO"/>
        </w:rPr>
        <w:t>f.23-25, 99-141, 229 c.2).</w:t>
      </w:r>
    </w:p>
    <w:p w14:paraId="45FE4CD9" w14:textId="77777777" w:rsidR="000038FB" w:rsidRPr="00500E12" w:rsidRDefault="000038FB" w:rsidP="007F7D4A">
      <w:pPr>
        <w:widowControl w:val="0"/>
        <w:suppressAutoHyphens w:val="0"/>
        <w:overflowPunct/>
        <w:autoSpaceDE/>
        <w:textAlignment w:val="auto"/>
        <w:rPr>
          <w:lang w:val="es-CO"/>
        </w:rPr>
      </w:pPr>
    </w:p>
    <w:p w14:paraId="47D6FC9E" w14:textId="77777777" w:rsidR="00ED5E29" w:rsidRPr="00500E12" w:rsidRDefault="00375387" w:rsidP="00ED5E29">
      <w:pPr>
        <w:widowControl w:val="0"/>
        <w:suppressAutoHyphens w:val="0"/>
        <w:overflowPunct/>
        <w:autoSpaceDE/>
        <w:autoSpaceDN w:val="0"/>
        <w:rPr>
          <w:lang w:val="es-CO"/>
        </w:rPr>
      </w:pPr>
      <w:r w:rsidRPr="00500E12">
        <w:rPr>
          <w:lang w:val="es-CO"/>
        </w:rPr>
        <w:t>13.</w:t>
      </w:r>
      <w:r w:rsidR="008964A2" w:rsidRPr="00500E12">
        <w:rPr>
          <w:lang w:val="es-CO"/>
        </w:rPr>
        <w:t>7</w:t>
      </w:r>
      <w:r w:rsidRPr="00500E12">
        <w:rPr>
          <w:lang w:val="es-CO"/>
        </w:rPr>
        <w:t xml:space="preserve">. </w:t>
      </w:r>
      <w:r w:rsidR="00ED5E29" w:rsidRPr="00500E12">
        <w:rPr>
          <w:lang w:val="es-CO"/>
        </w:rPr>
        <w:t>La compañía aseguradora de fianzas –CONFIANZA S.A.-, expidió certificado de modificación de la póliza n.º G U01 0849732 del 20 de octubre de 1998, para aclarar que según el acta de recibo final de obra n.º 6 del contrato 046 de 1998, la vigencia del amparo de estabilidad era del 30 de marzo de 1999 al 30 de marzo de 2004, por valor de $52 146 139,65 (certificado de modificación n.º CMODF 01 0897763 del 11 de mayo de 1999, f.142 c.2)</w:t>
      </w:r>
      <w:r w:rsidR="00ED5E29" w:rsidRPr="00500E12">
        <w:rPr>
          <w:rStyle w:val="Refdenotaalpie"/>
          <w:rFonts w:cs="Arial"/>
          <w:lang w:val="es-CO"/>
        </w:rPr>
        <w:footnoteReference w:id="18"/>
      </w:r>
      <w:r w:rsidR="00ED5E29" w:rsidRPr="00500E12">
        <w:rPr>
          <w:lang w:val="es-CO"/>
        </w:rPr>
        <w:t>.</w:t>
      </w:r>
    </w:p>
    <w:p w14:paraId="1DA626CC" w14:textId="77777777" w:rsidR="00ED5E29" w:rsidRPr="00500E12" w:rsidRDefault="00ED5E29" w:rsidP="00ED5E29">
      <w:pPr>
        <w:widowControl w:val="0"/>
        <w:suppressAutoHyphens w:val="0"/>
        <w:overflowPunct/>
        <w:autoSpaceDE/>
        <w:autoSpaceDN w:val="0"/>
        <w:rPr>
          <w:lang w:val="es-CO"/>
        </w:rPr>
      </w:pPr>
    </w:p>
    <w:p w14:paraId="0A2B1B15" w14:textId="77777777" w:rsidR="00ED5E29" w:rsidRPr="00500E12" w:rsidRDefault="0004642B" w:rsidP="00ED5E29">
      <w:pPr>
        <w:widowControl w:val="0"/>
        <w:suppressAutoHyphens w:val="0"/>
        <w:overflowPunct/>
        <w:autoSpaceDE/>
        <w:autoSpaceDN w:val="0"/>
        <w:rPr>
          <w:lang w:val="es-CO"/>
        </w:rPr>
      </w:pPr>
      <w:r w:rsidRPr="00500E12">
        <w:rPr>
          <w:lang w:val="es-CO"/>
        </w:rPr>
        <w:t>13.</w:t>
      </w:r>
      <w:r w:rsidR="008964A2" w:rsidRPr="00500E12">
        <w:rPr>
          <w:lang w:val="es-CO"/>
        </w:rPr>
        <w:t>8</w:t>
      </w:r>
      <w:r w:rsidRPr="00500E12">
        <w:rPr>
          <w:lang w:val="es-CO"/>
        </w:rPr>
        <w:t xml:space="preserve">. </w:t>
      </w:r>
      <w:r w:rsidR="00FC7447" w:rsidRPr="00500E12">
        <w:rPr>
          <w:lang w:val="es-CO"/>
        </w:rPr>
        <w:t>El 15 de mayo de 1999, en virtud del contrato n.º 046 de 1998,  la veeduría ciudadana informó al gerente para la infraestructura del departamento de Cundinamarca</w:t>
      </w:r>
      <w:r w:rsidR="00ED5E29" w:rsidRPr="00500E12">
        <w:rPr>
          <w:lang w:val="es-CO"/>
        </w:rPr>
        <w:t xml:space="preserve">, </w:t>
      </w:r>
      <w:r w:rsidR="00FC7447" w:rsidRPr="00500E12">
        <w:rPr>
          <w:lang w:val="es-CO"/>
        </w:rPr>
        <w:t>lo siguiente</w:t>
      </w:r>
      <w:r w:rsidR="00ED5E29" w:rsidRPr="00500E12">
        <w:rPr>
          <w:lang w:val="es-CO"/>
        </w:rPr>
        <w:t xml:space="preserve"> (f.184-186 c.2):</w:t>
      </w:r>
    </w:p>
    <w:p w14:paraId="32BAA63C" w14:textId="77777777" w:rsidR="00DC5E5A" w:rsidRPr="00500E12" w:rsidRDefault="00DC5E5A" w:rsidP="00ED5E29">
      <w:pPr>
        <w:widowControl w:val="0"/>
        <w:suppressAutoHyphens w:val="0"/>
        <w:overflowPunct/>
        <w:autoSpaceDE/>
        <w:autoSpaceDN w:val="0"/>
        <w:rPr>
          <w:lang w:val="es-CO"/>
        </w:rPr>
      </w:pPr>
    </w:p>
    <w:p w14:paraId="3D8808B7" w14:textId="77777777" w:rsidR="00ED5E29" w:rsidRPr="00500E12" w:rsidRDefault="00ED5E29" w:rsidP="00ED5E29">
      <w:pPr>
        <w:widowControl w:val="0"/>
        <w:suppressAutoHyphens w:val="0"/>
        <w:overflowPunct/>
        <w:autoSpaceDE/>
        <w:autoSpaceDN w:val="0"/>
        <w:spacing w:line="240" w:lineRule="auto"/>
        <w:ind w:left="567" w:right="567"/>
        <w:rPr>
          <w:i/>
          <w:lang w:val="es-CO"/>
        </w:rPr>
      </w:pPr>
      <w:r w:rsidRPr="00500E12">
        <w:rPr>
          <w:i/>
          <w:lang w:val="es-CO"/>
        </w:rPr>
        <w:t>(…)</w:t>
      </w:r>
    </w:p>
    <w:p w14:paraId="26C321CF" w14:textId="77777777" w:rsidR="00ED5E29" w:rsidRPr="00500E12" w:rsidRDefault="00ED5E29" w:rsidP="00ED5E29">
      <w:pPr>
        <w:widowControl w:val="0"/>
        <w:suppressAutoHyphens w:val="0"/>
        <w:overflowPunct/>
        <w:autoSpaceDE/>
        <w:autoSpaceDN w:val="0"/>
        <w:spacing w:line="240" w:lineRule="auto"/>
        <w:ind w:left="567" w:right="567"/>
        <w:rPr>
          <w:i/>
          <w:lang w:val="es-CO"/>
        </w:rPr>
      </w:pPr>
      <w:r w:rsidRPr="00500E12">
        <w:rPr>
          <w:i/>
          <w:lang w:val="es-CO"/>
        </w:rPr>
        <w:t>A mediados de</w:t>
      </w:r>
      <w:r w:rsidR="00892BCB" w:rsidRPr="00500E12">
        <w:rPr>
          <w:i/>
          <w:lang w:val="es-CO"/>
        </w:rPr>
        <w:t>l</w:t>
      </w:r>
      <w:r w:rsidRPr="00500E12">
        <w:rPr>
          <w:i/>
          <w:lang w:val="es-CO"/>
        </w:rPr>
        <w:t xml:space="preserve"> mes de marzo de 1999 se terminaron las obras de protección sobre el margen derecho, zona el descanso, aguas abajo quebrada la Negra en el municipio de Útica – Cundinamarca: en esos días comenzaron las fuertes oleadas invernales.</w:t>
      </w:r>
    </w:p>
    <w:p w14:paraId="26F4C70F" w14:textId="77777777" w:rsidR="00ED5E29" w:rsidRPr="00500E12" w:rsidRDefault="00ED5E29" w:rsidP="00ED5E29">
      <w:pPr>
        <w:widowControl w:val="0"/>
        <w:suppressAutoHyphens w:val="0"/>
        <w:overflowPunct/>
        <w:autoSpaceDE/>
        <w:autoSpaceDN w:val="0"/>
        <w:spacing w:line="240" w:lineRule="auto"/>
        <w:ind w:left="567" w:right="567"/>
        <w:rPr>
          <w:i/>
          <w:lang w:val="es-CO"/>
        </w:rPr>
      </w:pPr>
    </w:p>
    <w:p w14:paraId="17856185" w14:textId="77777777" w:rsidR="00ED5E29" w:rsidRPr="00500E12" w:rsidRDefault="00ED5E29" w:rsidP="00ED5E29">
      <w:pPr>
        <w:widowControl w:val="0"/>
        <w:suppressAutoHyphens w:val="0"/>
        <w:overflowPunct/>
        <w:autoSpaceDE/>
        <w:autoSpaceDN w:val="0"/>
        <w:spacing w:line="240" w:lineRule="auto"/>
        <w:ind w:left="567" w:right="567"/>
        <w:rPr>
          <w:i/>
          <w:lang w:val="es-CO"/>
        </w:rPr>
      </w:pPr>
      <w:r w:rsidRPr="00500E12">
        <w:rPr>
          <w:i/>
          <w:lang w:val="es-CO"/>
        </w:rPr>
        <w:t>Con las crecientes de la quebrada la Negra, se ha podido analizar que los gaviones están presentando fallas a nivel de su sistema constructivo, presentando posibilidades de volcamiento. Por tal motivo la comunidad se encuentra muy alarmada, puesto que una obra de hace dos (2) meses de terminada, con una gran inversión, no presenta garantías para la protección de nuestro municipio.</w:t>
      </w:r>
    </w:p>
    <w:p w14:paraId="72FAE156" w14:textId="77777777" w:rsidR="00ED5E29" w:rsidRPr="00500E12" w:rsidRDefault="00ED5E29" w:rsidP="00ED5E29">
      <w:pPr>
        <w:widowControl w:val="0"/>
        <w:suppressAutoHyphens w:val="0"/>
        <w:overflowPunct/>
        <w:autoSpaceDE/>
        <w:autoSpaceDN w:val="0"/>
        <w:spacing w:line="240" w:lineRule="auto"/>
        <w:ind w:left="567" w:right="567"/>
        <w:rPr>
          <w:i/>
          <w:lang w:val="es-CO"/>
        </w:rPr>
      </w:pPr>
      <w:r w:rsidRPr="00500E12">
        <w:rPr>
          <w:i/>
          <w:lang w:val="es-CO"/>
        </w:rPr>
        <w:t>(…)</w:t>
      </w:r>
    </w:p>
    <w:p w14:paraId="1DA39F06" w14:textId="77777777" w:rsidR="006432D5" w:rsidRPr="00500E12" w:rsidRDefault="006432D5" w:rsidP="00375387">
      <w:pPr>
        <w:widowControl w:val="0"/>
        <w:suppressAutoHyphens w:val="0"/>
        <w:overflowPunct/>
        <w:autoSpaceDE/>
        <w:autoSpaceDN w:val="0"/>
        <w:rPr>
          <w:lang w:val="es-CO"/>
        </w:rPr>
      </w:pPr>
    </w:p>
    <w:p w14:paraId="2918698B" w14:textId="77777777" w:rsidR="00ED5E29" w:rsidRPr="00500E12" w:rsidRDefault="00035529" w:rsidP="00ED5E29">
      <w:pPr>
        <w:widowControl w:val="0"/>
        <w:suppressAutoHyphens w:val="0"/>
        <w:overflowPunct/>
        <w:autoSpaceDE/>
        <w:autoSpaceDN w:val="0"/>
        <w:rPr>
          <w:lang w:val="es-CO"/>
        </w:rPr>
      </w:pPr>
      <w:r w:rsidRPr="00500E12">
        <w:rPr>
          <w:lang w:val="es-CO"/>
        </w:rPr>
        <w:t>13.</w:t>
      </w:r>
      <w:r w:rsidR="008964A2" w:rsidRPr="00500E12">
        <w:rPr>
          <w:lang w:val="es-CO"/>
        </w:rPr>
        <w:t>9</w:t>
      </w:r>
      <w:r w:rsidRPr="00500E12">
        <w:rPr>
          <w:lang w:val="es-CO"/>
        </w:rPr>
        <w:t xml:space="preserve">. </w:t>
      </w:r>
      <w:r w:rsidR="00ED5E29" w:rsidRPr="00500E12">
        <w:rPr>
          <w:lang w:val="es-CO"/>
        </w:rPr>
        <w:t xml:space="preserve">El gerente de la sociedad contratista, señaló al director de infraestructura de transporte de la gobernación de Cundinamarca (comunicación n.º 062/99 del 24 de mayo de 1999, f.26-27 c.2): </w:t>
      </w:r>
    </w:p>
    <w:p w14:paraId="2895D476" w14:textId="77777777" w:rsidR="00ED5E29" w:rsidRPr="00500E12" w:rsidRDefault="00ED5E29" w:rsidP="00ED5E29">
      <w:pPr>
        <w:widowControl w:val="0"/>
        <w:suppressAutoHyphens w:val="0"/>
        <w:overflowPunct/>
        <w:autoSpaceDE/>
        <w:autoSpaceDN w:val="0"/>
        <w:rPr>
          <w:lang w:val="es-CO"/>
        </w:rPr>
      </w:pPr>
    </w:p>
    <w:p w14:paraId="170479FA" w14:textId="77777777" w:rsidR="00ED5E29" w:rsidRPr="00500E12" w:rsidRDefault="00ED5E29" w:rsidP="00ED5E29">
      <w:pPr>
        <w:widowControl w:val="0"/>
        <w:suppressAutoHyphens w:val="0"/>
        <w:overflowPunct/>
        <w:autoSpaceDE/>
        <w:autoSpaceDN w:val="0"/>
        <w:spacing w:line="240" w:lineRule="auto"/>
        <w:ind w:left="567" w:right="567"/>
        <w:rPr>
          <w:i/>
          <w:lang w:val="es-CO"/>
        </w:rPr>
      </w:pPr>
      <w:r w:rsidRPr="00500E12">
        <w:rPr>
          <w:i/>
          <w:lang w:val="es-CO"/>
        </w:rPr>
        <w:t>(…)</w:t>
      </w:r>
    </w:p>
    <w:p w14:paraId="21C82DC2" w14:textId="77777777" w:rsidR="00ED5E29" w:rsidRPr="00500E12" w:rsidRDefault="00ED5E29" w:rsidP="00ED5E29">
      <w:pPr>
        <w:widowControl w:val="0"/>
        <w:suppressAutoHyphens w:val="0"/>
        <w:overflowPunct/>
        <w:autoSpaceDE/>
        <w:autoSpaceDN w:val="0"/>
        <w:spacing w:line="240" w:lineRule="auto"/>
        <w:ind w:left="567" w:right="567"/>
        <w:rPr>
          <w:i/>
          <w:lang w:val="es-CO"/>
        </w:rPr>
      </w:pPr>
      <w:r w:rsidRPr="00500E12">
        <w:rPr>
          <w:i/>
          <w:lang w:val="es-CO"/>
        </w:rPr>
        <w:t>Acusamos recibo de su comunicación de fecha 20 de mayo de 1999, por medio de la cual se anexó un informe de la veeduría ciudadana sobre las obras realizadas en el contrato de la referencia. Al respecto, nos permitimos informarle:</w:t>
      </w:r>
    </w:p>
    <w:p w14:paraId="17903F53" w14:textId="77777777" w:rsidR="00ED5E29" w:rsidRPr="00500E12" w:rsidRDefault="00ED5E29" w:rsidP="00ED5E29">
      <w:pPr>
        <w:widowControl w:val="0"/>
        <w:suppressAutoHyphens w:val="0"/>
        <w:overflowPunct/>
        <w:autoSpaceDE/>
        <w:autoSpaceDN w:val="0"/>
        <w:spacing w:line="240" w:lineRule="auto"/>
        <w:ind w:left="567" w:right="567"/>
        <w:rPr>
          <w:i/>
          <w:lang w:val="es-CO"/>
        </w:rPr>
      </w:pPr>
    </w:p>
    <w:p w14:paraId="13DA1072" w14:textId="77777777" w:rsidR="00ED5E29" w:rsidRPr="00500E12" w:rsidRDefault="00ED5E29" w:rsidP="00ED5E29">
      <w:pPr>
        <w:widowControl w:val="0"/>
        <w:suppressAutoHyphens w:val="0"/>
        <w:overflowPunct/>
        <w:autoSpaceDE/>
        <w:autoSpaceDN w:val="0"/>
        <w:spacing w:line="240" w:lineRule="auto"/>
        <w:ind w:left="567" w:right="567"/>
        <w:rPr>
          <w:i/>
          <w:lang w:val="es-CO"/>
        </w:rPr>
      </w:pPr>
      <w:r w:rsidRPr="00500E12">
        <w:rPr>
          <w:i/>
          <w:lang w:val="es-CO"/>
        </w:rPr>
        <w:t>1. Recibido el informe desplazamos un funcionario de la Empresa a verificar el estado de los muros.</w:t>
      </w:r>
    </w:p>
    <w:p w14:paraId="2FB5AF38" w14:textId="77777777" w:rsidR="00ED5E29" w:rsidRPr="00500E12" w:rsidRDefault="00ED5E29" w:rsidP="00ED5E29">
      <w:pPr>
        <w:widowControl w:val="0"/>
        <w:suppressAutoHyphens w:val="0"/>
        <w:overflowPunct/>
        <w:autoSpaceDE/>
        <w:autoSpaceDN w:val="0"/>
        <w:spacing w:line="240" w:lineRule="auto"/>
        <w:ind w:left="567" w:right="567"/>
        <w:rPr>
          <w:i/>
          <w:lang w:val="es-CO"/>
        </w:rPr>
      </w:pPr>
      <w:r w:rsidRPr="00500E12">
        <w:rPr>
          <w:i/>
          <w:lang w:val="es-CO"/>
        </w:rPr>
        <w:t>2. Las obras no han sufrido ningún tipo de deterioro que amenace su estabilidad.</w:t>
      </w:r>
    </w:p>
    <w:p w14:paraId="680FCDF5" w14:textId="77777777" w:rsidR="00ED5E29" w:rsidRPr="00500E12" w:rsidRDefault="00ED5E29" w:rsidP="00ED5E29">
      <w:pPr>
        <w:widowControl w:val="0"/>
        <w:suppressAutoHyphens w:val="0"/>
        <w:overflowPunct/>
        <w:autoSpaceDE/>
        <w:autoSpaceDN w:val="0"/>
        <w:spacing w:line="240" w:lineRule="auto"/>
        <w:ind w:left="567" w:right="567"/>
        <w:rPr>
          <w:i/>
          <w:lang w:val="es-CO"/>
        </w:rPr>
      </w:pPr>
      <w:r w:rsidRPr="00500E12">
        <w:rPr>
          <w:i/>
          <w:lang w:val="es-CO"/>
        </w:rPr>
        <w:t xml:space="preserve">3. Debido a las crecientes que se han presentado por el fuerte invierno, </w:t>
      </w:r>
      <w:r w:rsidRPr="00500E12">
        <w:rPr>
          <w:b/>
          <w:i/>
          <w:lang w:val="es-CO"/>
        </w:rPr>
        <w:t>existen algunas zonas en las que ha existido arrastre de material en la pata del muro, lo cual ha dejado expuestos a la vista parte de los gaviones de la base, los cuales no eran revestidos</w:t>
      </w:r>
      <w:r w:rsidRPr="00500E12">
        <w:rPr>
          <w:i/>
          <w:lang w:val="es-CO"/>
        </w:rPr>
        <w:t xml:space="preserve"> (ver fotos anexas).</w:t>
      </w:r>
      <w:r w:rsidR="00C219A2" w:rsidRPr="00500E12">
        <w:rPr>
          <w:lang w:val="es-CO"/>
        </w:rPr>
        <w:t xml:space="preserve"> (negrilla de la Sala)</w:t>
      </w:r>
    </w:p>
    <w:p w14:paraId="415D2F4F" w14:textId="77777777" w:rsidR="00ED5E29" w:rsidRPr="00500E12" w:rsidRDefault="00ED5E29" w:rsidP="00ED5E29">
      <w:pPr>
        <w:widowControl w:val="0"/>
        <w:suppressAutoHyphens w:val="0"/>
        <w:overflowPunct/>
        <w:autoSpaceDE/>
        <w:autoSpaceDN w:val="0"/>
        <w:spacing w:line="240" w:lineRule="auto"/>
        <w:ind w:left="567" w:right="567"/>
        <w:rPr>
          <w:b/>
          <w:lang w:val="es-CO"/>
        </w:rPr>
      </w:pPr>
      <w:r w:rsidRPr="00500E12">
        <w:rPr>
          <w:b/>
          <w:i/>
          <w:lang w:val="es-CO"/>
        </w:rPr>
        <w:t>Este contraste entre la zona revestida y la no revestida, seguramente es lo que causó preocupación en la comisión de Veeduría pero su efecto es solamente visual y no afecta en nada la estabilidad del muro.</w:t>
      </w:r>
      <w:r w:rsidR="00C219A2" w:rsidRPr="00500E12">
        <w:rPr>
          <w:b/>
          <w:i/>
          <w:lang w:val="es-CO"/>
        </w:rPr>
        <w:t xml:space="preserve"> </w:t>
      </w:r>
      <w:r w:rsidR="00C219A2" w:rsidRPr="00500E12">
        <w:rPr>
          <w:lang w:val="es-CO"/>
        </w:rPr>
        <w:t>(negrilla de la Sala)</w:t>
      </w:r>
    </w:p>
    <w:p w14:paraId="2EECB47B" w14:textId="77777777" w:rsidR="00ED5E29" w:rsidRPr="00500E12" w:rsidRDefault="00ED5E29" w:rsidP="00ED5E29">
      <w:pPr>
        <w:widowControl w:val="0"/>
        <w:suppressAutoHyphens w:val="0"/>
        <w:overflowPunct/>
        <w:autoSpaceDE/>
        <w:autoSpaceDN w:val="0"/>
        <w:spacing w:line="240" w:lineRule="auto"/>
        <w:ind w:left="567" w:right="567"/>
        <w:rPr>
          <w:i/>
          <w:lang w:val="es-CO"/>
        </w:rPr>
      </w:pPr>
      <w:r w:rsidRPr="00500E12">
        <w:rPr>
          <w:i/>
          <w:lang w:val="es-CO"/>
        </w:rPr>
        <w:t>Resultaría recomendable a nivel de mantenimiento de las obras y en la medida que exista disponibilidad por parte de la alcaldía</w:t>
      </w:r>
      <w:r w:rsidR="00F02188" w:rsidRPr="00500E12">
        <w:rPr>
          <w:i/>
          <w:lang w:val="es-CO"/>
        </w:rPr>
        <w:t>,</w:t>
      </w:r>
      <w:r w:rsidRPr="00500E12">
        <w:rPr>
          <w:i/>
          <w:lang w:val="es-CO"/>
        </w:rPr>
        <w:t xml:space="preserve"> de un equipo</w:t>
      </w:r>
      <w:r w:rsidR="00F02188" w:rsidRPr="00500E12">
        <w:rPr>
          <w:i/>
          <w:lang w:val="es-CO"/>
        </w:rPr>
        <w:t xml:space="preserve"> </w:t>
      </w:r>
      <w:r w:rsidRPr="00500E12">
        <w:rPr>
          <w:i/>
          <w:lang w:val="es-CO"/>
        </w:rPr>
        <w:t>volver</w:t>
      </w:r>
      <w:r w:rsidR="00F02188" w:rsidRPr="00500E12">
        <w:rPr>
          <w:i/>
          <w:lang w:val="es-CO"/>
        </w:rPr>
        <w:t xml:space="preserve"> </w:t>
      </w:r>
      <w:r w:rsidR="00F02188" w:rsidRPr="00500E12">
        <w:rPr>
          <w:lang w:val="es-CO"/>
        </w:rPr>
        <w:t>(sic)</w:t>
      </w:r>
      <w:r w:rsidRPr="00500E12">
        <w:rPr>
          <w:i/>
          <w:lang w:val="es-CO"/>
        </w:rPr>
        <w:t xml:space="preserve"> a cubrir estas zonas expuestas</w:t>
      </w:r>
      <w:r w:rsidR="00F02188" w:rsidRPr="00500E12">
        <w:rPr>
          <w:i/>
          <w:lang w:val="es-CO"/>
        </w:rPr>
        <w:t>,</w:t>
      </w:r>
      <w:r w:rsidRPr="00500E12">
        <w:rPr>
          <w:i/>
          <w:lang w:val="es-CO"/>
        </w:rPr>
        <w:t xml:space="preserve"> para evitar que piedras u otros objetos arrastrados por el río vayan a romper una malla.</w:t>
      </w:r>
    </w:p>
    <w:p w14:paraId="49D490CD" w14:textId="77777777" w:rsidR="00ED5E29" w:rsidRPr="00500E12" w:rsidRDefault="00ED5E29" w:rsidP="00ED5E29">
      <w:pPr>
        <w:widowControl w:val="0"/>
        <w:suppressAutoHyphens w:val="0"/>
        <w:overflowPunct/>
        <w:autoSpaceDE/>
        <w:autoSpaceDN w:val="0"/>
        <w:spacing w:line="240" w:lineRule="auto"/>
        <w:ind w:left="567" w:right="567"/>
        <w:rPr>
          <w:i/>
          <w:lang w:val="es-CO"/>
        </w:rPr>
      </w:pPr>
    </w:p>
    <w:p w14:paraId="7AC3D233" w14:textId="77777777" w:rsidR="00ED5E29" w:rsidRPr="00500E12" w:rsidRDefault="00ED5E29" w:rsidP="00ED5E29">
      <w:pPr>
        <w:widowControl w:val="0"/>
        <w:suppressAutoHyphens w:val="0"/>
        <w:overflowPunct/>
        <w:autoSpaceDE/>
        <w:autoSpaceDN w:val="0"/>
        <w:spacing w:line="240" w:lineRule="auto"/>
        <w:ind w:left="567" w:right="567"/>
        <w:rPr>
          <w:i/>
          <w:lang w:val="es-CO"/>
        </w:rPr>
      </w:pPr>
      <w:r w:rsidRPr="00500E12">
        <w:rPr>
          <w:i/>
          <w:lang w:val="es-CO"/>
        </w:rPr>
        <w:t xml:space="preserve">Aparte de ese efecto visual, los muros conservan su alineamiento, están totalmente plomados, no presentan cabeceos, han trabajado en forma muy satisfactoria y han cumplido con su objeto de evitar que en las crecientes la quebrada se meta al pueblo. </w:t>
      </w:r>
    </w:p>
    <w:p w14:paraId="4563E48A" w14:textId="77777777" w:rsidR="00ED5E29" w:rsidRPr="00500E12" w:rsidRDefault="00ED5E29" w:rsidP="00ED5E29">
      <w:pPr>
        <w:widowControl w:val="0"/>
        <w:suppressAutoHyphens w:val="0"/>
        <w:overflowPunct/>
        <w:autoSpaceDE/>
        <w:autoSpaceDN w:val="0"/>
        <w:spacing w:line="240" w:lineRule="auto"/>
        <w:ind w:left="567" w:right="567"/>
        <w:rPr>
          <w:i/>
          <w:lang w:val="es-CO"/>
        </w:rPr>
      </w:pPr>
      <w:r w:rsidRPr="00500E12">
        <w:rPr>
          <w:i/>
          <w:lang w:val="es-CO"/>
        </w:rPr>
        <w:t>(…)</w:t>
      </w:r>
    </w:p>
    <w:p w14:paraId="24435F45" w14:textId="77777777" w:rsidR="00ED5E29" w:rsidRPr="00500E12" w:rsidRDefault="00ED5E29" w:rsidP="00ED5E29">
      <w:pPr>
        <w:widowControl w:val="0"/>
        <w:suppressAutoHyphens w:val="0"/>
        <w:overflowPunct/>
        <w:autoSpaceDE/>
        <w:autoSpaceDN w:val="0"/>
        <w:rPr>
          <w:lang w:val="es-CO"/>
        </w:rPr>
      </w:pPr>
    </w:p>
    <w:p w14:paraId="47AAAB70" w14:textId="77777777" w:rsidR="00375387" w:rsidRPr="00500E12" w:rsidRDefault="00F4743A" w:rsidP="00375387">
      <w:pPr>
        <w:widowControl w:val="0"/>
        <w:suppressAutoHyphens w:val="0"/>
        <w:overflowPunct/>
        <w:autoSpaceDE/>
        <w:autoSpaceDN w:val="0"/>
        <w:rPr>
          <w:lang w:val="es-CO"/>
        </w:rPr>
      </w:pPr>
      <w:r w:rsidRPr="00500E12">
        <w:rPr>
          <w:lang w:val="es-CO"/>
        </w:rPr>
        <w:t>13.</w:t>
      </w:r>
      <w:r w:rsidR="008964A2" w:rsidRPr="00500E12">
        <w:rPr>
          <w:lang w:val="es-CO"/>
        </w:rPr>
        <w:t>10</w:t>
      </w:r>
      <w:r w:rsidRPr="00500E12">
        <w:rPr>
          <w:lang w:val="es-CO"/>
        </w:rPr>
        <w:t xml:space="preserve">. </w:t>
      </w:r>
      <w:r w:rsidR="00375387" w:rsidRPr="00500E12">
        <w:rPr>
          <w:lang w:val="es-CO"/>
        </w:rPr>
        <w:t>Alrededor de las obras ejecutadas en el marco del proyecto de estabilización geológica del municipio de Útica y el contrato n.º 046 de 1998, la Contraloría General</w:t>
      </w:r>
      <w:r w:rsidR="00DD2F84" w:rsidRPr="00500E12">
        <w:rPr>
          <w:lang w:val="es-CO"/>
        </w:rPr>
        <w:t xml:space="preserve"> </w:t>
      </w:r>
      <w:r w:rsidR="00375387" w:rsidRPr="00500E12">
        <w:rPr>
          <w:lang w:val="es-CO"/>
        </w:rPr>
        <w:t>-departamento de Cundinamarca</w:t>
      </w:r>
      <w:r w:rsidR="004406C1" w:rsidRPr="00500E12">
        <w:rPr>
          <w:lang w:val="es-CO"/>
        </w:rPr>
        <w:t>-</w:t>
      </w:r>
      <w:r w:rsidR="00375387" w:rsidRPr="00500E12">
        <w:rPr>
          <w:lang w:val="es-CO"/>
        </w:rPr>
        <w:t xml:space="preserve">, realizó una visita </w:t>
      </w:r>
      <w:r w:rsidR="00574AC3" w:rsidRPr="00500E12">
        <w:rPr>
          <w:lang w:val="es-CO"/>
        </w:rPr>
        <w:t>el 10 de septiembre de 1999, de la que se derivaron las siguientes</w:t>
      </w:r>
      <w:r w:rsidR="00375387" w:rsidRPr="00500E12">
        <w:rPr>
          <w:lang w:val="es-CO"/>
        </w:rPr>
        <w:t xml:space="preserve"> conclusiones y recomendaciones (f.230-249 c.2):</w:t>
      </w:r>
    </w:p>
    <w:p w14:paraId="797FCB90" w14:textId="77777777" w:rsidR="00C8795F" w:rsidRPr="00500E12" w:rsidRDefault="00C8795F" w:rsidP="00375387">
      <w:pPr>
        <w:widowControl w:val="0"/>
        <w:suppressAutoHyphens w:val="0"/>
        <w:overflowPunct/>
        <w:autoSpaceDE/>
        <w:autoSpaceDN w:val="0"/>
        <w:spacing w:line="240" w:lineRule="auto"/>
        <w:ind w:left="567" w:right="567"/>
        <w:rPr>
          <w:i/>
          <w:lang w:val="es-CO"/>
        </w:rPr>
      </w:pPr>
    </w:p>
    <w:p w14:paraId="36B15863" w14:textId="77777777" w:rsidR="00375387" w:rsidRPr="00500E12" w:rsidRDefault="00375387" w:rsidP="00375387">
      <w:pPr>
        <w:widowControl w:val="0"/>
        <w:suppressAutoHyphens w:val="0"/>
        <w:overflowPunct/>
        <w:autoSpaceDE/>
        <w:autoSpaceDN w:val="0"/>
        <w:spacing w:line="240" w:lineRule="auto"/>
        <w:ind w:left="567" w:right="567"/>
        <w:rPr>
          <w:i/>
          <w:lang w:val="es-CO"/>
        </w:rPr>
      </w:pPr>
      <w:r w:rsidRPr="00500E12">
        <w:rPr>
          <w:i/>
          <w:lang w:val="es-CO"/>
        </w:rPr>
        <w:t>(…)</w:t>
      </w:r>
    </w:p>
    <w:p w14:paraId="4C989838" w14:textId="77777777" w:rsidR="00375387" w:rsidRPr="00500E12" w:rsidRDefault="00375387" w:rsidP="00375387">
      <w:pPr>
        <w:widowControl w:val="0"/>
        <w:suppressAutoHyphens w:val="0"/>
        <w:overflowPunct/>
        <w:autoSpaceDE/>
        <w:autoSpaceDN w:val="0"/>
        <w:spacing w:line="240" w:lineRule="auto"/>
        <w:ind w:left="567" w:right="567"/>
        <w:rPr>
          <w:i/>
          <w:lang w:val="es-CO"/>
        </w:rPr>
      </w:pPr>
      <w:r w:rsidRPr="00500E12">
        <w:rPr>
          <w:i/>
          <w:lang w:val="es-CO"/>
        </w:rPr>
        <w:t xml:space="preserve">Se presenta dentro del contrato un ítem de estudios de evaluación y diagnóstico por valor de </w:t>
      </w:r>
      <w:r w:rsidRPr="00500E12">
        <w:rPr>
          <w:b/>
          <w:i/>
          <w:lang w:val="es-CO"/>
        </w:rPr>
        <w:t xml:space="preserve">$7.320.000, </w:t>
      </w:r>
      <w:r w:rsidRPr="00500E12">
        <w:rPr>
          <w:i/>
          <w:lang w:val="es-CO"/>
        </w:rPr>
        <w:t>la cual no se refleja en la forma cómo fueron construidos los gaviones, ya que por estabilidad no debieron ser diseñados en la forma como se construyeron. En la figura 1 se muestra un ejemplo de diseño típico para este tipo de obras para garantizar una mayor estabilidad de la estructura.</w:t>
      </w:r>
    </w:p>
    <w:p w14:paraId="15147669" w14:textId="77777777" w:rsidR="00375387" w:rsidRPr="00500E12" w:rsidRDefault="00375387" w:rsidP="00375387">
      <w:pPr>
        <w:widowControl w:val="0"/>
        <w:suppressAutoHyphens w:val="0"/>
        <w:overflowPunct/>
        <w:autoSpaceDE/>
        <w:autoSpaceDN w:val="0"/>
        <w:spacing w:line="240" w:lineRule="auto"/>
        <w:ind w:left="567" w:right="567"/>
        <w:rPr>
          <w:i/>
          <w:lang w:val="es-CO"/>
        </w:rPr>
      </w:pPr>
    </w:p>
    <w:p w14:paraId="4D0F5A5C" w14:textId="77777777" w:rsidR="00375387" w:rsidRPr="00500E12" w:rsidRDefault="00375387" w:rsidP="00375387">
      <w:pPr>
        <w:widowControl w:val="0"/>
        <w:suppressAutoHyphens w:val="0"/>
        <w:overflowPunct/>
        <w:autoSpaceDE/>
        <w:autoSpaceDN w:val="0"/>
        <w:spacing w:line="240" w:lineRule="auto"/>
        <w:ind w:left="567" w:right="567"/>
        <w:rPr>
          <w:i/>
          <w:lang w:val="es-CO"/>
        </w:rPr>
      </w:pPr>
      <w:r w:rsidRPr="00500E12">
        <w:rPr>
          <w:i/>
          <w:lang w:val="es-CO"/>
        </w:rPr>
        <w:t xml:space="preserve">Adicionalmente, se presenta un </w:t>
      </w:r>
      <w:r w:rsidRPr="00500E12">
        <w:rPr>
          <w:b/>
          <w:i/>
          <w:lang w:val="es-CO"/>
        </w:rPr>
        <w:t xml:space="preserve">sobrecosto de $15 273 748 </w:t>
      </w:r>
      <w:r w:rsidRPr="00500E12">
        <w:rPr>
          <w:i/>
          <w:lang w:val="es-CO"/>
        </w:rPr>
        <w:t>con relación a los precios unitarios aprobados por la misma gobernación de Cundinamarca.</w:t>
      </w:r>
    </w:p>
    <w:p w14:paraId="610A4872" w14:textId="77777777" w:rsidR="00375387" w:rsidRPr="00500E12" w:rsidRDefault="00375387" w:rsidP="00375387">
      <w:pPr>
        <w:widowControl w:val="0"/>
        <w:suppressAutoHyphens w:val="0"/>
        <w:overflowPunct/>
        <w:autoSpaceDE/>
        <w:autoSpaceDN w:val="0"/>
        <w:spacing w:line="240" w:lineRule="auto"/>
        <w:ind w:left="567" w:right="567"/>
        <w:rPr>
          <w:i/>
          <w:lang w:val="es-CO"/>
        </w:rPr>
      </w:pPr>
    </w:p>
    <w:p w14:paraId="628A3320" w14:textId="77777777" w:rsidR="00375387" w:rsidRPr="00500E12" w:rsidRDefault="00375387" w:rsidP="00375387">
      <w:pPr>
        <w:widowControl w:val="0"/>
        <w:suppressAutoHyphens w:val="0"/>
        <w:overflowPunct/>
        <w:autoSpaceDE/>
        <w:autoSpaceDN w:val="0"/>
        <w:spacing w:line="240" w:lineRule="auto"/>
        <w:ind w:left="567" w:right="567"/>
        <w:rPr>
          <w:i/>
          <w:lang w:val="es-CO"/>
        </w:rPr>
      </w:pPr>
      <w:r w:rsidRPr="00500E12">
        <w:rPr>
          <w:i/>
          <w:lang w:val="es-CO"/>
        </w:rPr>
        <w:t xml:space="preserve">Por obra mal construida, el detrimento podría ascender a la suma de </w:t>
      </w:r>
      <w:r w:rsidRPr="00500E12">
        <w:rPr>
          <w:b/>
          <w:i/>
          <w:lang w:val="es-CO"/>
        </w:rPr>
        <w:t xml:space="preserve">$99 414 423,75, </w:t>
      </w:r>
      <w:r w:rsidRPr="00500E12">
        <w:rPr>
          <w:i/>
          <w:lang w:val="es-CO"/>
        </w:rPr>
        <w:t xml:space="preserve">valor de las obras correspondientes al primer gavión, ya que con el diseño adoptado, no se garantiza la estabilidad, como se demostró ante la creciente ocurrida y las fallas presentadas inmediatamente después de su construcción, ya que tuvo que ser reparada la estructura. Adicionalmente, se presentan deficiencias en la </w:t>
      </w:r>
      <w:r w:rsidR="0079333C" w:rsidRPr="00500E12">
        <w:rPr>
          <w:i/>
          <w:lang w:val="es-CO"/>
        </w:rPr>
        <w:t>(ilegible)</w:t>
      </w:r>
      <w:r w:rsidRPr="00500E12">
        <w:rPr>
          <w:i/>
          <w:lang w:val="es-CO"/>
        </w:rPr>
        <w:t xml:space="preserve"> de los materiales pétreos y en las mallas de confinamiento de las estructuras.  En las fotografías 8 y 12 se aprecia la ausencia de base que sostenga la estructura contra el volcamiento. </w:t>
      </w:r>
    </w:p>
    <w:p w14:paraId="6AD83A2C" w14:textId="77777777" w:rsidR="00375387" w:rsidRPr="00500E12" w:rsidRDefault="00375387" w:rsidP="00375387">
      <w:pPr>
        <w:widowControl w:val="0"/>
        <w:suppressAutoHyphens w:val="0"/>
        <w:overflowPunct/>
        <w:autoSpaceDE/>
        <w:autoSpaceDN w:val="0"/>
        <w:spacing w:line="240" w:lineRule="auto"/>
        <w:ind w:left="567" w:right="567"/>
        <w:rPr>
          <w:i/>
          <w:lang w:val="es-CO"/>
        </w:rPr>
      </w:pPr>
    </w:p>
    <w:p w14:paraId="043CAB3D" w14:textId="77777777" w:rsidR="00375387" w:rsidRPr="00500E12" w:rsidRDefault="00375387" w:rsidP="00375387">
      <w:pPr>
        <w:widowControl w:val="0"/>
        <w:suppressAutoHyphens w:val="0"/>
        <w:overflowPunct/>
        <w:autoSpaceDE/>
        <w:autoSpaceDN w:val="0"/>
        <w:spacing w:line="240" w:lineRule="auto"/>
        <w:ind w:left="567" w:right="567"/>
        <w:rPr>
          <w:i/>
          <w:lang w:val="es-CO"/>
        </w:rPr>
      </w:pPr>
      <w:r w:rsidRPr="00500E12">
        <w:rPr>
          <w:i/>
          <w:lang w:val="es-CO"/>
        </w:rPr>
        <w:t>En los diagramas anexos se presenta el tipo de estructura que se debió construir para la estabilización de un cauce como el que nos ocupa.</w:t>
      </w:r>
    </w:p>
    <w:p w14:paraId="26820360" w14:textId="77777777" w:rsidR="00375387" w:rsidRPr="00500E12" w:rsidRDefault="00375387" w:rsidP="00375387">
      <w:pPr>
        <w:widowControl w:val="0"/>
        <w:suppressAutoHyphens w:val="0"/>
        <w:overflowPunct/>
        <w:autoSpaceDE/>
        <w:autoSpaceDN w:val="0"/>
        <w:spacing w:line="240" w:lineRule="auto"/>
        <w:ind w:left="567" w:right="567"/>
        <w:rPr>
          <w:i/>
          <w:lang w:val="es-CO"/>
        </w:rPr>
      </w:pPr>
    </w:p>
    <w:p w14:paraId="64C846E6" w14:textId="77777777" w:rsidR="00375387" w:rsidRPr="00500E12" w:rsidRDefault="00375387" w:rsidP="00375387">
      <w:pPr>
        <w:widowControl w:val="0"/>
        <w:suppressAutoHyphens w:val="0"/>
        <w:overflowPunct/>
        <w:autoSpaceDE/>
        <w:autoSpaceDN w:val="0"/>
        <w:spacing w:line="240" w:lineRule="auto"/>
        <w:ind w:left="567" w:right="567"/>
        <w:rPr>
          <w:i/>
          <w:lang w:val="es-CO"/>
        </w:rPr>
      </w:pPr>
      <w:r w:rsidRPr="00500E12">
        <w:rPr>
          <w:i/>
          <w:lang w:val="es-CO"/>
        </w:rPr>
        <w:t xml:space="preserve">El diseño presentado por la gobernación, igualmente en el diagrama anexo, no garantiza la estabilidad, que la estructura presenta una mayor dimensión en altura que en ancho, lo que la hace inestable, ya que se trata de una estructura flexible, no resistente a la flexión y que tiene el riesgo de ser volcada con el solo empuje de los materiales saturados de la orilla, después de una creciente. </w:t>
      </w:r>
    </w:p>
    <w:p w14:paraId="7254DB44" w14:textId="77777777" w:rsidR="00375387" w:rsidRPr="00500E12" w:rsidRDefault="00375387" w:rsidP="00375387">
      <w:pPr>
        <w:widowControl w:val="0"/>
        <w:suppressAutoHyphens w:val="0"/>
        <w:overflowPunct/>
        <w:autoSpaceDE/>
        <w:autoSpaceDN w:val="0"/>
        <w:spacing w:line="240" w:lineRule="auto"/>
        <w:ind w:left="567" w:right="567"/>
        <w:rPr>
          <w:i/>
          <w:lang w:val="es-CO"/>
        </w:rPr>
      </w:pPr>
      <w:r w:rsidRPr="00500E12">
        <w:rPr>
          <w:i/>
          <w:lang w:val="es-CO"/>
        </w:rPr>
        <w:t xml:space="preserve">(…)  </w:t>
      </w:r>
    </w:p>
    <w:p w14:paraId="3C6CA741" w14:textId="77777777" w:rsidR="00E250A9" w:rsidRPr="00500E12" w:rsidRDefault="00E250A9" w:rsidP="00564523">
      <w:pPr>
        <w:widowControl w:val="0"/>
        <w:suppressAutoHyphens w:val="0"/>
        <w:overflowPunct/>
        <w:autoSpaceDE/>
        <w:autoSpaceDN w:val="0"/>
        <w:ind w:right="567"/>
        <w:rPr>
          <w:lang w:val="es-CO"/>
        </w:rPr>
      </w:pPr>
    </w:p>
    <w:p w14:paraId="2F5943A7" w14:textId="77777777" w:rsidR="00375387" w:rsidRPr="00500E12" w:rsidRDefault="00C8795F" w:rsidP="00375387">
      <w:pPr>
        <w:widowControl w:val="0"/>
        <w:suppressAutoHyphens w:val="0"/>
        <w:overflowPunct/>
        <w:autoSpaceDE/>
        <w:autoSpaceDN w:val="0"/>
        <w:rPr>
          <w:lang w:val="es-CO"/>
        </w:rPr>
      </w:pPr>
      <w:r w:rsidRPr="00500E12">
        <w:rPr>
          <w:lang w:val="es-CO"/>
        </w:rPr>
        <w:t>13.</w:t>
      </w:r>
      <w:r w:rsidR="0026427C" w:rsidRPr="00500E12">
        <w:rPr>
          <w:lang w:val="es-CO"/>
        </w:rPr>
        <w:t>1</w:t>
      </w:r>
      <w:r w:rsidR="008964A2" w:rsidRPr="00500E12">
        <w:rPr>
          <w:lang w:val="es-CO"/>
        </w:rPr>
        <w:t>1</w:t>
      </w:r>
      <w:r w:rsidRPr="00500E12">
        <w:rPr>
          <w:lang w:val="es-CO"/>
        </w:rPr>
        <w:t xml:space="preserve">. </w:t>
      </w:r>
      <w:r w:rsidR="00375387" w:rsidRPr="00500E12">
        <w:rPr>
          <w:lang w:val="es-CO"/>
        </w:rPr>
        <w:t>Sobre el particular, consta que el interventor del contrato objeto de controversia, señaló al supervisor</w:t>
      </w:r>
      <w:r w:rsidR="00377516" w:rsidRPr="00500E12">
        <w:rPr>
          <w:lang w:val="es-CO"/>
        </w:rPr>
        <w:t xml:space="preserve"> del mismo</w:t>
      </w:r>
      <w:r w:rsidR="00375387" w:rsidRPr="00500E12">
        <w:rPr>
          <w:lang w:val="es-CO"/>
        </w:rPr>
        <w:t>, lo siguiente (comunicación del 11 de noviembre de 1999, f.22 y 190 c.2):</w:t>
      </w:r>
    </w:p>
    <w:p w14:paraId="0E852BBF" w14:textId="77777777" w:rsidR="00DA2D65" w:rsidRPr="00500E12" w:rsidRDefault="00DA2D65" w:rsidP="00375387">
      <w:pPr>
        <w:widowControl w:val="0"/>
        <w:suppressAutoHyphens w:val="0"/>
        <w:overflowPunct/>
        <w:autoSpaceDE/>
        <w:autoSpaceDN w:val="0"/>
        <w:spacing w:line="240" w:lineRule="auto"/>
        <w:ind w:left="567" w:right="567"/>
        <w:rPr>
          <w:i/>
          <w:lang w:val="es-CO"/>
        </w:rPr>
      </w:pPr>
    </w:p>
    <w:p w14:paraId="25EBFC34" w14:textId="77777777" w:rsidR="00375387" w:rsidRPr="00500E12" w:rsidRDefault="00375387" w:rsidP="00375387">
      <w:pPr>
        <w:widowControl w:val="0"/>
        <w:suppressAutoHyphens w:val="0"/>
        <w:overflowPunct/>
        <w:autoSpaceDE/>
        <w:autoSpaceDN w:val="0"/>
        <w:spacing w:line="240" w:lineRule="auto"/>
        <w:ind w:left="567" w:right="567"/>
        <w:rPr>
          <w:lang w:val="es-CO"/>
        </w:rPr>
      </w:pPr>
      <w:r w:rsidRPr="00500E12">
        <w:rPr>
          <w:i/>
          <w:lang w:val="es-CO"/>
        </w:rPr>
        <w:t xml:space="preserve">Respecto a su solicitud, me permito informarle que </w:t>
      </w:r>
      <w:r w:rsidRPr="00500E12">
        <w:rPr>
          <w:b/>
          <w:i/>
          <w:lang w:val="es-CO"/>
        </w:rPr>
        <w:t xml:space="preserve">la falla ocasionada en el mes de junio del presente año </w:t>
      </w:r>
      <w:r w:rsidRPr="00500E12">
        <w:rPr>
          <w:i/>
          <w:lang w:val="es-CO"/>
        </w:rPr>
        <w:t xml:space="preserve">en un tramo de gaviones construidos por la firma Obando y Mejía Ltda., bajo el contrato n.º 046 de 1998, </w:t>
      </w:r>
      <w:r w:rsidRPr="00500E12">
        <w:rPr>
          <w:b/>
          <w:i/>
          <w:lang w:val="es-CO"/>
        </w:rPr>
        <w:t>obedeció a la socavación originada en el fuerte arrastre de la quebrada la Negra y en la consecuente falta de mantenimiento para evitar el incremento de la referida socavación y como consecuencia la desestabilización del muro por la falta de apoyo al erosio</w:t>
      </w:r>
      <w:r w:rsidR="00471B09" w:rsidRPr="00500E12">
        <w:rPr>
          <w:b/>
          <w:i/>
          <w:lang w:val="es-CO"/>
        </w:rPr>
        <w:t>narse considerablemente el terre</w:t>
      </w:r>
      <w:r w:rsidRPr="00500E12">
        <w:rPr>
          <w:b/>
          <w:i/>
          <w:lang w:val="es-CO"/>
        </w:rPr>
        <w:t>no de soporte.</w:t>
      </w:r>
      <w:r w:rsidR="00214745" w:rsidRPr="00500E12">
        <w:rPr>
          <w:b/>
          <w:i/>
          <w:lang w:val="es-CO"/>
        </w:rPr>
        <w:t xml:space="preserve"> </w:t>
      </w:r>
      <w:r w:rsidR="00214745" w:rsidRPr="00500E12">
        <w:rPr>
          <w:lang w:val="es-CO"/>
        </w:rPr>
        <w:t>(negrilla de la Sala)</w:t>
      </w:r>
    </w:p>
    <w:p w14:paraId="69372B1C" w14:textId="77777777" w:rsidR="00375387" w:rsidRPr="00500E12" w:rsidRDefault="00375387" w:rsidP="00375387">
      <w:pPr>
        <w:widowControl w:val="0"/>
        <w:suppressAutoHyphens w:val="0"/>
        <w:overflowPunct/>
        <w:autoSpaceDE/>
        <w:autoSpaceDN w:val="0"/>
        <w:spacing w:line="240" w:lineRule="auto"/>
        <w:ind w:left="567" w:right="567"/>
        <w:rPr>
          <w:i/>
          <w:lang w:val="es-CO"/>
        </w:rPr>
      </w:pPr>
    </w:p>
    <w:p w14:paraId="047DB14F" w14:textId="77777777" w:rsidR="00375387" w:rsidRPr="00500E12" w:rsidRDefault="00375387" w:rsidP="00375387">
      <w:pPr>
        <w:widowControl w:val="0"/>
        <w:suppressAutoHyphens w:val="0"/>
        <w:overflowPunct/>
        <w:autoSpaceDE/>
        <w:autoSpaceDN w:val="0"/>
        <w:spacing w:line="240" w:lineRule="auto"/>
        <w:ind w:left="567" w:right="567"/>
        <w:rPr>
          <w:i/>
          <w:lang w:val="es-CO"/>
        </w:rPr>
      </w:pPr>
      <w:r w:rsidRPr="00500E12">
        <w:rPr>
          <w:i/>
          <w:lang w:val="es-CO"/>
        </w:rPr>
        <w:t>Sin embargo, me permito informarle que el muro de Gaviones fue reconstruido, tal como consta en el informe de la empresa Obando y Mejía Ltda. del 30-06-99, recibida por la Gobernación el 0</w:t>
      </w:r>
      <w:r w:rsidR="00471B09" w:rsidRPr="00500E12">
        <w:rPr>
          <w:i/>
          <w:lang w:val="es-CO"/>
        </w:rPr>
        <w:t>1</w:t>
      </w:r>
      <w:r w:rsidRPr="00500E12">
        <w:rPr>
          <w:i/>
          <w:lang w:val="es-CO"/>
        </w:rPr>
        <w:t xml:space="preserve">-09-99. Es de anotar que la empresa contratista en comunicación de fecha 24 de mayo de 1999, hizo recomendaciones respecto al mantenimiento que se debía efectuar para evitar futuros daños en los muros, acciones que parece, no se efectuaron oportunamente. </w:t>
      </w:r>
    </w:p>
    <w:p w14:paraId="6507D8E5" w14:textId="77777777" w:rsidR="00375387" w:rsidRPr="00500E12" w:rsidRDefault="00375387" w:rsidP="00375387">
      <w:pPr>
        <w:widowControl w:val="0"/>
        <w:suppressAutoHyphens w:val="0"/>
        <w:overflowPunct/>
        <w:autoSpaceDE/>
        <w:autoSpaceDN w:val="0"/>
        <w:spacing w:line="240" w:lineRule="auto"/>
        <w:ind w:left="567" w:right="567"/>
        <w:rPr>
          <w:i/>
          <w:lang w:val="es-CO"/>
        </w:rPr>
      </w:pPr>
      <w:r w:rsidRPr="00500E12">
        <w:rPr>
          <w:i/>
          <w:lang w:val="es-CO"/>
        </w:rPr>
        <w:t>(…)</w:t>
      </w:r>
    </w:p>
    <w:p w14:paraId="7918C80B" w14:textId="77777777" w:rsidR="00375387" w:rsidRPr="00500E12" w:rsidRDefault="00375387" w:rsidP="00375387">
      <w:pPr>
        <w:widowControl w:val="0"/>
        <w:suppressAutoHyphens w:val="0"/>
        <w:overflowPunct/>
        <w:autoSpaceDE/>
        <w:autoSpaceDN w:val="0"/>
        <w:rPr>
          <w:lang w:val="es-CO"/>
        </w:rPr>
      </w:pPr>
    </w:p>
    <w:p w14:paraId="46BF3BB1" w14:textId="77777777" w:rsidR="00FD3866" w:rsidRPr="00500E12" w:rsidRDefault="00C8795F" w:rsidP="00FD3866">
      <w:pPr>
        <w:widowControl w:val="0"/>
        <w:suppressAutoHyphens w:val="0"/>
        <w:overflowPunct/>
        <w:autoSpaceDE/>
        <w:textAlignment w:val="auto"/>
        <w:rPr>
          <w:lang w:val="es-CO"/>
        </w:rPr>
      </w:pPr>
      <w:r w:rsidRPr="00500E12">
        <w:rPr>
          <w:lang w:val="es-CO"/>
        </w:rPr>
        <w:t>13.1</w:t>
      </w:r>
      <w:r w:rsidR="008964A2" w:rsidRPr="00500E12">
        <w:rPr>
          <w:lang w:val="es-CO"/>
        </w:rPr>
        <w:t>2</w:t>
      </w:r>
      <w:r w:rsidRPr="00500E12">
        <w:rPr>
          <w:lang w:val="es-CO"/>
        </w:rPr>
        <w:t xml:space="preserve">. </w:t>
      </w:r>
      <w:r w:rsidR="00FD3866" w:rsidRPr="00500E12">
        <w:rPr>
          <w:lang w:val="es-CO"/>
        </w:rPr>
        <w:t>El supervisor de la obra realizada con ocasión del contrato n.º 046 de 1998, indicó que aquella se adelantó con base en el estudio que hizo la sociedad Obando y Mejía Ingenieros Ltda., que a su vez fue recibido a satisfacción por el interventor (comunicación del 16 de noviembre de 1999, suscrita por el ingeniero Mauricio Delgadillo Díaz y dirigida a la secretaria jurídica de la gobernación de Cundinamarca, f.188-189 c.2).</w:t>
      </w:r>
    </w:p>
    <w:p w14:paraId="3161CC25" w14:textId="77777777" w:rsidR="00FD3866" w:rsidRPr="00500E12" w:rsidRDefault="00FD3866" w:rsidP="00FD3866">
      <w:pPr>
        <w:widowControl w:val="0"/>
        <w:suppressAutoHyphens w:val="0"/>
        <w:overflowPunct/>
        <w:autoSpaceDE/>
        <w:textAlignment w:val="auto"/>
        <w:rPr>
          <w:lang w:val="es-CO"/>
        </w:rPr>
      </w:pPr>
    </w:p>
    <w:p w14:paraId="0FE16EED" w14:textId="77777777" w:rsidR="00FD3866" w:rsidRPr="00500E12" w:rsidRDefault="00FD3866" w:rsidP="00FD3866">
      <w:pPr>
        <w:widowControl w:val="0"/>
        <w:suppressAutoHyphens w:val="0"/>
        <w:overflowPunct/>
        <w:autoSpaceDE/>
        <w:textAlignment w:val="auto"/>
        <w:rPr>
          <w:lang w:val="es-CO"/>
        </w:rPr>
      </w:pPr>
      <w:r w:rsidRPr="00500E12">
        <w:rPr>
          <w:lang w:val="es-CO"/>
        </w:rPr>
        <w:t>13.1</w:t>
      </w:r>
      <w:r w:rsidR="008964A2" w:rsidRPr="00500E12">
        <w:rPr>
          <w:lang w:val="es-CO"/>
        </w:rPr>
        <w:t>3</w:t>
      </w:r>
      <w:r w:rsidRPr="00500E12">
        <w:rPr>
          <w:lang w:val="es-CO"/>
        </w:rPr>
        <w:t>. La contratista, expresó al director de infraestructura de transporte de la gobernación de Cundinamarca, que debía adelantarse mantenimiento preventivo de la obra, consistente en “</w:t>
      </w:r>
      <w:r w:rsidRPr="00500E12">
        <w:rPr>
          <w:i/>
          <w:lang w:val="es-CO"/>
        </w:rPr>
        <w:t>dragado en el lecho y confinamiento de los muros a fin de permitir a la obra que trabaje en las mismas condiciones para las que fue prevista”</w:t>
      </w:r>
      <w:r w:rsidRPr="00500E12">
        <w:rPr>
          <w:lang w:val="es-CO"/>
        </w:rPr>
        <w:t xml:space="preserve"> </w:t>
      </w:r>
      <w:r w:rsidR="003C127F" w:rsidRPr="00500E12">
        <w:rPr>
          <w:lang w:val="es-CO"/>
        </w:rPr>
        <w:t>(comunicacio</w:t>
      </w:r>
      <w:r w:rsidRPr="00500E12">
        <w:rPr>
          <w:lang w:val="es-CO"/>
        </w:rPr>
        <w:t>n</w:t>
      </w:r>
      <w:r w:rsidR="003C127F" w:rsidRPr="00500E12">
        <w:rPr>
          <w:lang w:val="es-CO"/>
        </w:rPr>
        <w:t>es</w:t>
      </w:r>
      <w:r w:rsidRPr="00500E12">
        <w:rPr>
          <w:lang w:val="es-CO"/>
        </w:rPr>
        <w:t xml:space="preserve"> del 29 de diciembre de 1999 y 30 de marzo de 2000, f.31-35 c.2). </w:t>
      </w:r>
    </w:p>
    <w:p w14:paraId="56693883" w14:textId="77777777" w:rsidR="00FD3866" w:rsidRPr="00500E12" w:rsidRDefault="00FD3866" w:rsidP="007F7D4A">
      <w:pPr>
        <w:widowControl w:val="0"/>
        <w:suppressAutoHyphens w:val="0"/>
        <w:overflowPunct/>
        <w:autoSpaceDE/>
        <w:textAlignment w:val="auto"/>
        <w:rPr>
          <w:lang w:val="es-CO"/>
        </w:rPr>
      </w:pPr>
    </w:p>
    <w:p w14:paraId="1DA9DF32" w14:textId="77777777" w:rsidR="00A32A0A" w:rsidRPr="00500E12" w:rsidRDefault="00FD3866" w:rsidP="00A32A0A">
      <w:pPr>
        <w:widowControl w:val="0"/>
        <w:suppressAutoHyphens w:val="0"/>
        <w:overflowPunct/>
        <w:autoSpaceDE/>
        <w:autoSpaceDN w:val="0"/>
        <w:rPr>
          <w:lang w:val="es-CO"/>
        </w:rPr>
      </w:pPr>
      <w:r w:rsidRPr="00500E12">
        <w:rPr>
          <w:lang w:val="es-CO"/>
        </w:rPr>
        <w:t>13.</w:t>
      </w:r>
      <w:r w:rsidR="00B75BC0" w:rsidRPr="00500E12">
        <w:rPr>
          <w:lang w:val="es-CO"/>
        </w:rPr>
        <w:t>1</w:t>
      </w:r>
      <w:r w:rsidR="008964A2" w:rsidRPr="00500E12">
        <w:rPr>
          <w:lang w:val="es-CO"/>
        </w:rPr>
        <w:t>4</w:t>
      </w:r>
      <w:r w:rsidRPr="00500E12">
        <w:rPr>
          <w:lang w:val="es-CO"/>
        </w:rPr>
        <w:t xml:space="preserve">. </w:t>
      </w:r>
      <w:r w:rsidR="00A32A0A" w:rsidRPr="00500E12">
        <w:rPr>
          <w:lang w:val="es-CO"/>
        </w:rPr>
        <w:t>Para el 6 de abril de 2000, el supervisor del contrato n.º 046 de 1998, indicó a la directora de contratos de la dirección de infraestructura de la secretaría de obras públicas de la gobernación de Cundinamarca (comunicación de la referida fecha, suscrita por el ingeniero Mauricio Delgadillo Díaz, f.192</w:t>
      </w:r>
      <w:r w:rsidR="00C356D6" w:rsidRPr="00500E12">
        <w:rPr>
          <w:lang w:val="es-CO"/>
        </w:rPr>
        <w:t>,261</w:t>
      </w:r>
      <w:r w:rsidR="00A32A0A" w:rsidRPr="00500E12">
        <w:rPr>
          <w:lang w:val="es-CO"/>
        </w:rPr>
        <w:t xml:space="preserve"> c.2):</w:t>
      </w:r>
    </w:p>
    <w:p w14:paraId="18E44055" w14:textId="77777777" w:rsidR="00A32A0A" w:rsidRPr="00500E12" w:rsidRDefault="00A32A0A" w:rsidP="00A32A0A">
      <w:pPr>
        <w:widowControl w:val="0"/>
        <w:suppressAutoHyphens w:val="0"/>
        <w:overflowPunct/>
        <w:autoSpaceDE/>
        <w:autoSpaceDN w:val="0"/>
        <w:rPr>
          <w:lang w:val="es-CO"/>
        </w:rPr>
      </w:pPr>
    </w:p>
    <w:p w14:paraId="0784B514" w14:textId="77777777" w:rsidR="00A32A0A" w:rsidRPr="00500E12" w:rsidRDefault="00A32A0A" w:rsidP="00A32A0A">
      <w:pPr>
        <w:widowControl w:val="0"/>
        <w:suppressAutoHyphens w:val="0"/>
        <w:overflowPunct/>
        <w:autoSpaceDE/>
        <w:autoSpaceDN w:val="0"/>
        <w:spacing w:line="240" w:lineRule="auto"/>
        <w:ind w:left="567" w:right="567"/>
        <w:rPr>
          <w:i/>
          <w:lang w:val="es-CO"/>
        </w:rPr>
      </w:pPr>
      <w:r w:rsidRPr="00500E12">
        <w:rPr>
          <w:i/>
          <w:lang w:val="es-CO"/>
        </w:rPr>
        <w:t>(…)</w:t>
      </w:r>
    </w:p>
    <w:p w14:paraId="09237C96" w14:textId="77777777" w:rsidR="00A32A0A" w:rsidRPr="00500E12" w:rsidRDefault="00A32A0A" w:rsidP="00A32A0A">
      <w:pPr>
        <w:widowControl w:val="0"/>
        <w:suppressAutoHyphens w:val="0"/>
        <w:overflowPunct/>
        <w:autoSpaceDE/>
        <w:autoSpaceDN w:val="0"/>
        <w:spacing w:line="240" w:lineRule="auto"/>
        <w:ind w:left="567" w:right="567"/>
        <w:rPr>
          <w:i/>
          <w:lang w:val="es-CO"/>
        </w:rPr>
      </w:pPr>
      <w:r w:rsidRPr="00500E12">
        <w:rPr>
          <w:i/>
          <w:lang w:val="es-CO"/>
        </w:rPr>
        <w:t>Atendiendo a su solicitud, inform</w:t>
      </w:r>
      <w:r w:rsidR="00901F2B" w:rsidRPr="00500E12">
        <w:rPr>
          <w:i/>
          <w:lang w:val="es-CO"/>
        </w:rPr>
        <w:t>o</w:t>
      </w:r>
      <w:r w:rsidRPr="00500E12">
        <w:rPr>
          <w:i/>
          <w:lang w:val="es-CO"/>
        </w:rPr>
        <w:t xml:space="preserve"> a Usted que en visita realizada al sitio objeto de las obras del contrato de la referencia, se verificó que los gaviones construidos presentaron volcamientos en longitud de 35 MTS junto un tramo de 60 ML que están en estado crítico y en cualquier momento fallarían, se hace necesaria la reconstrucción</w:t>
      </w:r>
      <w:r w:rsidR="00BE1080" w:rsidRPr="00500E12">
        <w:rPr>
          <w:i/>
          <w:lang w:val="es-CO"/>
        </w:rPr>
        <w:t>,</w:t>
      </w:r>
      <w:r w:rsidRPr="00500E12">
        <w:rPr>
          <w:i/>
          <w:lang w:val="es-CO"/>
        </w:rPr>
        <w:t xml:space="preserve"> cuyo costo asciende a $36 816 870.oo, según precios de la cartilla de precios de la secretaría de obras.</w:t>
      </w:r>
    </w:p>
    <w:p w14:paraId="316F4270" w14:textId="77777777" w:rsidR="00A32A0A" w:rsidRPr="00500E12" w:rsidRDefault="00A32A0A" w:rsidP="00A32A0A">
      <w:pPr>
        <w:widowControl w:val="0"/>
        <w:suppressAutoHyphens w:val="0"/>
        <w:overflowPunct/>
        <w:autoSpaceDE/>
        <w:autoSpaceDN w:val="0"/>
        <w:spacing w:line="240" w:lineRule="auto"/>
        <w:ind w:left="567" w:right="567"/>
        <w:rPr>
          <w:i/>
          <w:lang w:val="es-CO"/>
        </w:rPr>
      </w:pPr>
      <w:r w:rsidRPr="00500E12">
        <w:rPr>
          <w:i/>
          <w:lang w:val="es-CO"/>
        </w:rPr>
        <w:t>(…)</w:t>
      </w:r>
    </w:p>
    <w:p w14:paraId="14548228" w14:textId="77777777" w:rsidR="00A32A0A" w:rsidRPr="00500E12" w:rsidRDefault="00A32A0A" w:rsidP="00A32A0A">
      <w:pPr>
        <w:widowControl w:val="0"/>
        <w:suppressAutoHyphens w:val="0"/>
        <w:overflowPunct/>
        <w:autoSpaceDE/>
        <w:autoSpaceDN w:val="0"/>
        <w:spacing w:line="240" w:lineRule="auto"/>
        <w:ind w:left="567" w:right="567"/>
        <w:rPr>
          <w:i/>
          <w:lang w:val="es-CO"/>
        </w:rPr>
      </w:pPr>
      <w:r w:rsidRPr="00500E12">
        <w:rPr>
          <w:i/>
          <w:lang w:val="es-CO"/>
        </w:rPr>
        <w:t>Cabe anotar que estas fallas presentadas se deben a la mala ubicación de las obras junto con la mala fundación de las mismas.</w:t>
      </w:r>
    </w:p>
    <w:p w14:paraId="0911E63E" w14:textId="77777777" w:rsidR="00A32A0A" w:rsidRPr="00500E12" w:rsidRDefault="00A32A0A" w:rsidP="00A32A0A">
      <w:pPr>
        <w:widowControl w:val="0"/>
        <w:suppressAutoHyphens w:val="0"/>
        <w:overflowPunct/>
        <w:autoSpaceDE/>
        <w:autoSpaceDN w:val="0"/>
        <w:spacing w:line="240" w:lineRule="auto"/>
        <w:ind w:left="567" w:right="567"/>
        <w:rPr>
          <w:i/>
          <w:lang w:val="es-CO"/>
        </w:rPr>
      </w:pPr>
      <w:r w:rsidRPr="00500E12">
        <w:rPr>
          <w:i/>
          <w:lang w:val="es-CO"/>
        </w:rPr>
        <w:t>(…)</w:t>
      </w:r>
    </w:p>
    <w:p w14:paraId="0EBA845C" w14:textId="77777777" w:rsidR="00A32A0A" w:rsidRPr="00500E12" w:rsidRDefault="00A32A0A" w:rsidP="007F7D4A">
      <w:pPr>
        <w:widowControl w:val="0"/>
        <w:suppressAutoHyphens w:val="0"/>
        <w:overflowPunct/>
        <w:autoSpaceDE/>
        <w:textAlignment w:val="auto"/>
        <w:rPr>
          <w:lang w:val="es-CO"/>
        </w:rPr>
      </w:pPr>
    </w:p>
    <w:p w14:paraId="24747ADD" w14:textId="77777777" w:rsidR="00DD0750" w:rsidRPr="00500E12" w:rsidRDefault="00B74A64" w:rsidP="007F7D4A">
      <w:pPr>
        <w:widowControl w:val="0"/>
        <w:suppressAutoHyphens w:val="0"/>
        <w:overflowPunct/>
        <w:autoSpaceDE/>
        <w:textAlignment w:val="auto"/>
        <w:rPr>
          <w:lang w:val="es-CO"/>
        </w:rPr>
      </w:pPr>
      <w:r w:rsidRPr="00500E12">
        <w:rPr>
          <w:lang w:val="es-CO"/>
        </w:rPr>
        <w:t>13.1</w:t>
      </w:r>
      <w:r w:rsidR="008964A2" w:rsidRPr="00500E12">
        <w:rPr>
          <w:lang w:val="es-CO"/>
        </w:rPr>
        <w:t>5</w:t>
      </w:r>
      <w:r w:rsidRPr="00500E12">
        <w:rPr>
          <w:lang w:val="es-CO"/>
        </w:rPr>
        <w:t xml:space="preserve">. </w:t>
      </w:r>
      <w:r w:rsidR="00BE454D" w:rsidRPr="00500E12">
        <w:rPr>
          <w:lang w:val="es-CO"/>
        </w:rPr>
        <w:t>El 22 de junio de 2000, el secretario de obras públicas del departamento de Cundinamarca, expidió la resolució</w:t>
      </w:r>
      <w:r w:rsidR="0042074A" w:rsidRPr="00500E12">
        <w:rPr>
          <w:lang w:val="es-CO"/>
        </w:rPr>
        <w:t xml:space="preserve">n n.° 102, por medio de la cual, </w:t>
      </w:r>
      <w:r w:rsidR="00BE454D" w:rsidRPr="00500E12">
        <w:rPr>
          <w:lang w:val="es-CO"/>
        </w:rPr>
        <w:t xml:space="preserve">declaró la realización del siniestro de estabilidad de obra dentro del contrato n.° 046 de 1998 (copia del referido acto administrativo, </w:t>
      </w:r>
      <w:r w:rsidR="005E2D07" w:rsidRPr="00500E12">
        <w:rPr>
          <w:lang w:val="es-CO"/>
        </w:rPr>
        <w:t>f. 3-</w:t>
      </w:r>
      <w:r w:rsidR="00BE454D" w:rsidRPr="00500E12">
        <w:rPr>
          <w:lang w:val="es-CO"/>
        </w:rPr>
        <w:t>4 c.2):</w:t>
      </w:r>
    </w:p>
    <w:p w14:paraId="239A4807" w14:textId="77777777" w:rsidR="00BE454D" w:rsidRPr="00500E12" w:rsidRDefault="00BE454D" w:rsidP="00162362">
      <w:pPr>
        <w:widowControl w:val="0"/>
        <w:suppressAutoHyphens w:val="0"/>
        <w:overflowPunct/>
        <w:autoSpaceDE/>
        <w:spacing w:line="240" w:lineRule="auto"/>
        <w:ind w:left="567" w:right="567"/>
        <w:textAlignment w:val="auto"/>
        <w:rPr>
          <w:i/>
          <w:lang w:val="es-CO"/>
        </w:rPr>
      </w:pPr>
    </w:p>
    <w:p w14:paraId="70CA02EA" w14:textId="77777777" w:rsidR="00BE454D" w:rsidRPr="00500E12" w:rsidRDefault="00BE454D" w:rsidP="00162362">
      <w:pPr>
        <w:widowControl w:val="0"/>
        <w:suppressAutoHyphens w:val="0"/>
        <w:overflowPunct/>
        <w:autoSpaceDE/>
        <w:spacing w:line="240" w:lineRule="auto"/>
        <w:ind w:left="567" w:right="567"/>
        <w:textAlignment w:val="auto"/>
        <w:rPr>
          <w:i/>
          <w:lang w:val="es-CO"/>
        </w:rPr>
      </w:pPr>
      <w:r w:rsidRPr="00500E12">
        <w:rPr>
          <w:i/>
          <w:lang w:val="es-CO"/>
        </w:rPr>
        <w:t>(…)</w:t>
      </w:r>
    </w:p>
    <w:p w14:paraId="10DECB10" w14:textId="77777777" w:rsidR="00BE454D" w:rsidRPr="00500E12" w:rsidRDefault="00BE454D" w:rsidP="00162362">
      <w:pPr>
        <w:widowControl w:val="0"/>
        <w:suppressAutoHyphens w:val="0"/>
        <w:overflowPunct/>
        <w:autoSpaceDE/>
        <w:spacing w:line="240" w:lineRule="auto"/>
        <w:ind w:left="567" w:right="567"/>
        <w:textAlignment w:val="auto"/>
        <w:rPr>
          <w:i/>
          <w:lang w:val="es-CO"/>
        </w:rPr>
      </w:pPr>
      <w:r w:rsidRPr="00500E12">
        <w:rPr>
          <w:i/>
          <w:lang w:val="es-CO"/>
        </w:rPr>
        <w:t>Que el supervisor del contrato 046 de 1998, requirió en varias oportunidades al contratista y al interventor, con el fin de que se verificaran las fallas presentadas en el muro del gavión, por cuanto la alcaldía en su oportunidad había informado sobre las fallas recurrentes de las obras.</w:t>
      </w:r>
    </w:p>
    <w:p w14:paraId="4E20E89F" w14:textId="77777777" w:rsidR="00BE454D" w:rsidRPr="00500E12" w:rsidRDefault="00BE454D" w:rsidP="00162362">
      <w:pPr>
        <w:widowControl w:val="0"/>
        <w:suppressAutoHyphens w:val="0"/>
        <w:overflowPunct/>
        <w:autoSpaceDE/>
        <w:spacing w:line="240" w:lineRule="auto"/>
        <w:ind w:left="567" w:right="567"/>
        <w:textAlignment w:val="auto"/>
        <w:rPr>
          <w:i/>
          <w:lang w:val="es-CO"/>
        </w:rPr>
      </w:pPr>
    </w:p>
    <w:p w14:paraId="5F89045C" w14:textId="77777777" w:rsidR="00BE454D" w:rsidRPr="00500E12" w:rsidRDefault="00BE454D" w:rsidP="00162362">
      <w:pPr>
        <w:widowControl w:val="0"/>
        <w:suppressAutoHyphens w:val="0"/>
        <w:overflowPunct/>
        <w:autoSpaceDE/>
        <w:spacing w:line="240" w:lineRule="auto"/>
        <w:ind w:left="567" w:right="567"/>
        <w:textAlignment w:val="auto"/>
        <w:rPr>
          <w:i/>
          <w:lang w:val="es-CO"/>
        </w:rPr>
      </w:pPr>
      <w:r w:rsidRPr="00500E12">
        <w:rPr>
          <w:i/>
          <w:lang w:val="es-CO"/>
        </w:rPr>
        <w:t xml:space="preserve">Que mediante escrito de fecha 19 de enero de 2000, dirigido al ingeniero Fabio Corredor Zamora, director del infraestructura y transporte de la secretaría de obras públicas, la aseguradora manifestó que el colapso de 20 metros lineales de muro de protección no era a su juicio consecuencia de un proceso constructivo </w:t>
      </w:r>
      <w:r w:rsidR="00441359" w:rsidRPr="00500E12">
        <w:rPr>
          <w:i/>
          <w:lang w:val="es-CO"/>
        </w:rPr>
        <w:t>o de mala calidad de la obra ejecutada o de sus materiales, sino de agentes exógenos y falta de mantenimiento, por lo cual no podía responsabilizarse al contratista.</w:t>
      </w:r>
    </w:p>
    <w:p w14:paraId="26792D24" w14:textId="77777777" w:rsidR="00441359" w:rsidRPr="00500E12" w:rsidRDefault="00441359" w:rsidP="00162362">
      <w:pPr>
        <w:widowControl w:val="0"/>
        <w:suppressAutoHyphens w:val="0"/>
        <w:overflowPunct/>
        <w:autoSpaceDE/>
        <w:spacing w:line="240" w:lineRule="auto"/>
        <w:ind w:left="567" w:right="567"/>
        <w:textAlignment w:val="auto"/>
        <w:rPr>
          <w:i/>
          <w:lang w:val="es-CO"/>
        </w:rPr>
      </w:pPr>
    </w:p>
    <w:p w14:paraId="11C59140" w14:textId="77777777" w:rsidR="00441359" w:rsidRPr="00500E12" w:rsidRDefault="00441359" w:rsidP="00162362">
      <w:pPr>
        <w:widowControl w:val="0"/>
        <w:suppressAutoHyphens w:val="0"/>
        <w:overflowPunct/>
        <w:autoSpaceDE/>
        <w:spacing w:line="240" w:lineRule="auto"/>
        <w:ind w:left="567" w:right="567"/>
        <w:textAlignment w:val="auto"/>
        <w:rPr>
          <w:i/>
          <w:lang w:val="es-CO"/>
        </w:rPr>
      </w:pPr>
      <w:r w:rsidRPr="00500E12">
        <w:rPr>
          <w:i/>
          <w:lang w:val="es-CO"/>
        </w:rPr>
        <w:t>(…)</w:t>
      </w:r>
    </w:p>
    <w:p w14:paraId="63620F8D" w14:textId="77777777" w:rsidR="000F7189" w:rsidRPr="00500E12" w:rsidRDefault="00441359" w:rsidP="00162362">
      <w:pPr>
        <w:widowControl w:val="0"/>
        <w:suppressAutoHyphens w:val="0"/>
        <w:overflowPunct/>
        <w:autoSpaceDE/>
        <w:spacing w:line="240" w:lineRule="auto"/>
        <w:ind w:left="567" w:right="567"/>
        <w:textAlignment w:val="auto"/>
        <w:rPr>
          <w:i/>
          <w:lang w:val="es-CO"/>
        </w:rPr>
      </w:pPr>
      <w:r w:rsidRPr="00500E12">
        <w:rPr>
          <w:i/>
          <w:lang w:val="es-CO"/>
        </w:rPr>
        <w:t xml:space="preserve">Que una vez el oficio recibido </w:t>
      </w:r>
      <w:r w:rsidR="0042074A" w:rsidRPr="00500E12">
        <w:rPr>
          <w:i/>
          <w:lang w:val="es-CO"/>
        </w:rPr>
        <w:t xml:space="preserve"> (sic) </w:t>
      </w:r>
      <w:r w:rsidRPr="00500E12">
        <w:rPr>
          <w:i/>
          <w:lang w:val="es-CO"/>
        </w:rPr>
        <w:t>del supervisor de fecha 9 de mayo de 2000 manifiesta que</w:t>
      </w:r>
      <w:r w:rsidR="00ED7F24" w:rsidRPr="00500E12">
        <w:rPr>
          <w:rStyle w:val="Refdenotaalpie"/>
          <w:rFonts w:cs="Arial"/>
          <w:i/>
          <w:lang w:val="es-CO"/>
        </w:rPr>
        <w:footnoteReference w:id="19"/>
      </w:r>
      <w:r w:rsidR="00FA0543" w:rsidRPr="00500E12">
        <w:rPr>
          <w:i/>
          <w:lang w:val="es-CO"/>
        </w:rPr>
        <w:t>: “el muro en gavión falló</w:t>
      </w:r>
      <w:r w:rsidRPr="00500E12">
        <w:rPr>
          <w:i/>
          <w:lang w:val="es-CO"/>
        </w:rPr>
        <w:t xml:space="preserve"> nuevamente en un tramo de 35 metros y el resto del citado muro está a punto de colapsar, esto debido a que el diseño y construcción realizada por el contratista no es el adecuado para este tipo de </w:t>
      </w:r>
      <w:r w:rsidR="00EF5E0B" w:rsidRPr="00500E12">
        <w:rPr>
          <w:i/>
          <w:lang w:val="es-CO"/>
        </w:rPr>
        <w:t>situaciones, dado que su altura es mayor que su base y por tanto, esto representa al</w:t>
      </w:r>
      <w:r w:rsidR="00FA0543" w:rsidRPr="00500E12">
        <w:rPr>
          <w:i/>
          <w:lang w:val="es-CO"/>
        </w:rPr>
        <w:t>t</w:t>
      </w:r>
      <w:r w:rsidR="00EF5E0B" w:rsidRPr="00500E12">
        <w:rPr>
          <w:i/>
          <w:lang w:val="es-CO"/>
        </w:rPr>
        <w:t xml:space="preserve">o riesgo de volcamiento. A los revestimientos en concreto, no se le dejaron ductos de desagüe para que el agua se desplace de la orilla hacia el cauce de la quebrada cuando no se presenten inundaciones y la mala ubicación del muro, la cual debe ser </w:t>
      </w:r>
      <w:r w:rsidR="00AB12D8" w:rsidRPr="00500E12">
        <w:rPr>
          <w:i/>
          <w:lang w:val="es-CO"/>
        </w:rPr>
        <w:t>más</w:t>
      </w:r>
      <w:r w:rsidR="00EF5E0B" w:rsidRPr="00500E12">
        <w:rPr>
          <w:i/>
          <w:lang w:val="es-CO"/>
        </w:rPr>
        <w:t xml:space="preserve"> cercana a la orilla y no reduciendo el cauce de la quebrada, por tal razón se hace necesario la demolición del mismo, realizar el rediseño, reubicación y construcción </w:t>
      </w:r>
      <w:r w:rsidR="000F7189" w:rsidRPr="00500E12">
        <w:rPr>
          <w:i/>
          <w:lang w:val="es-CO"/>
        </w:rPr>
        <w:t xml:space="preserve">de un nuevo muro para evitar que </w:t>
      </w:r>
      <w:r w:rsidR="00FA0543" w:rsidRPr="00500E12">
        <w:rPr>
          <w:i/>
          <w:lang w:val="es-CO"/>
        </w:rPr>
        <w:t>en un</w:t>
      </w:r>
      <w:r w:rsidR="000F7189" w:rsidRPr="00500E12">
        <w:rPr>
          <w:i/>
          <w:lang w:val="es-CO"/>
        </w:rPr>
        <w:t xml:space="preserve"> futuro la estructura construida presente inestabilidad y no cumpla con el cometido para el cual fue construido. El costo de rediseño y construcción del muro en gavión y revestido en concreto, asciende a la suma de (sic) ($107 589 515,67).</w:t>
      </w:r>
    </w:p>
    <w:p w14:paraId="43FB831E" w14:textId="77777777" w:rsidR="000F7189" w:rsidRPr="00500E12" w:rsidRDefault="000F7189" w:rsidP="00162362">
      <w:pPr>
        <w:widowControl w:val="0"/>
        <w:suppressAutoHyphens w:val="0"/>
        <w:overflowPunct/>
        <w:autoSpaceDE/>
        <w:spacing w:line="240" w:lineRule="auto"/>
        <w:ind w:left="567" w:right="567"/>
        <w:textAlignment w:val="auto"/>
        <w:rPr>
          <w:i/>
          <w:lang w:val="es-CO"/>
        </w:rPr>
      </w:pPr>
    </w:p>
    <w:p w14:paraId="22E1E925" w14:textId="77777777" w:rsidR="000F7189" w:rsidRPr="00500E12" w:rsidRDefault="000F7189" w:rsidP="00162362">
      <w:pPr>
        <w:widowControl w:val="0"/>
        <w:suppressAutoHyphens w:val="0"/>
        <w:overflowPunct/>
        <w:autoSpaceDE/>
        <w:spacing w:line="240" w:lineRule="auto"/>
        <w:ind w:left="567" w:right="567"/>
        <w:textAlignment w:val="auto"/>
        <w:rPr>
          <w:i/>
          <w:lang w:val="es-CO"/>
        </w:rPr>
      </w:pPr>
      <w:r w:rsidRPr="00500E12">
        <w:rPr>
          <w:i/>
          <w:lang w:val="es-CO"/>
        </w:rPr>
        <w:t>(…)</w:t>
      </w:r>
    </w:p>
    <w:p w14:paraId="4FBA02B6" w14:textId="77777777" w:rsidR="00441359" w:rsidRPr="00500E12" w:rsidRDefault="000F7189" w:rsidP="00162362">
      <w:pPr>
        <w:widowControl w:val="0"/>
        <w:suppressAutoHyphens w:val="0"/>
        <w:overflowPunct/>
        <w:autoSpaceDE/>
        <w:spacing w:line="240" w:lineRule="auto"/>
        <w:ind w:left="567" w:right="567"/>
        <w:jc w:val="center"/>
        <w:textAlignment w:val="auto"/>
        <w:rPr>
          <w:b/>
          <w:i/>
          <w:lang w:val="es-CO"/>
        </w:rPr>
      </w:pPr>
      <w:r w:rsidRPr="00500E12">
        <w:rPr>
          <w:b/>
          <w:i/>
          <w:lang w:val="es-CO"/>
        </w:rPr>
        <w:t>RESUELVE:</w:t>
      </w:r>
    </w:p>
    <w:p w14:paraId="2E06EAE4" w14:textId="77777777" w:rsidR="00BE454D" w:rsidRPr="00500E12" w:rsidRDefault="00BE454D" w:rsidP="00162362">
      <w:pPr>
        <w:widowControl w:val="0"/>
        <w:suppressAutoHyphens w:val="0"/>
        <w:overflowPunct/>
        <w:autoSpaceDE/>
        <w:spacing w:line="240" w:lineRule="auto"/>
        <w:ind w:left="567" w:right="567"/>
        <w:textAlignment w:val="auto"/>
        <w:rPr>
          <w:i/>
          <w:lang w:val="es-CO"/>
        </w:rPr>
      </w:pPr>
    </w:p>
    <w:p w14:paraId="5A6E0072" w14:textId="77777777" w:rsidR="00A605E0" w:rsidRPr="00500E12" w:rsidRDefault="00A605E0" w:rsidP="00162362">
      <w:pPr>
        <w:widowControl w:val="0"/>
        <w:suppressAutoHyphens w:val="0"/>
        <w:overflowPunct/>
        <w:autoSpaceDE/>
        <w:spacing w:line="240" w:lineRule="auto"/>
        <w:ind w:left="567" w:right="567"/>
        <w:textAlignment w:val="auto"/>
        <w:rPr>
          <w:i/>
          <w:lang w:val="es-CO"/>
        </w:rPr>
      </w:pPr>
      <w:r w:rsidRPr="00500E12">
        <w:rPr>
          <w:b/>
          <w:i/>
          <w:lang w:val="es-CO"/>
        </w:rPr>
        <w:t xml:space="preserve">ARTÍCULO PRIMERO: </w:t>
      </w:r>
      <w:r w:rsidRPr="00500E12">
        <w:rPr>
          <w:i/>
          <w:lang w:val="es-CO"/>
        </w:rPr>
        <w:t>Declarar el siniestro de incumplimiento de estabilidad de la obra del contrato n.° 046 de 1998, cuyo objeto es el levantamiento, diagnóstico y construcción de obras para la estabilización geológica del municipio de Útica.</w:t>
      </w:r>
    </w:p>
    <w:p w14:paraId="49140A87" w14:textId="77777777" w:rsidR="00BE454D" w:rsidRPr="00500E12" w:rsidRDefault="00A605E0" w:rsidP="00162362">
      <w:pPr>
        <w:widowControl w:val="0"/>
        <w:suppressAutoHyphens w:val="0"/>
        <w:overflowPunct/>
        <w:autoSpaceDE/>
        <w:spacing w:line="240" w:lineRule="auto"/>
        <w:ind w:left="567" w:right="567"/>
        <w:textAlignment w:val="auto"/>
        <w:rPr>
          <w:i/>
          <w:lang w:val="es-CO"/>
        </w:rPr>
      </w:pPr>
      <w:r w:rsidRPr="00500E12">
        <w:rPr>
          <w:i/>
          <w:lang w:val="es-CO"/>
        </w:rPr>
        <w:t xml:space="preserve"> </w:t>
      </w:r>
    </w:p>
    <w:p w14:paraId="20E4B336" w14:textId="77777777" w:rsidR="00A605E0" w:rsidRPr="00500E12" w:rsidRDefault="00A605E0" w:rsidP="00162362">
      <w:pPr>
        <w:widowControl w:val="0"/>
        <w:suppressAutoHyphens w:val="0"/>
        <w:overflowPunct/>
        <w:autoSpaceDE/>
        <w:spacing w:line="240" w:lineRule="auto"/>
        <w:ind w:left="567" w:right="567"/>
        <w:textAlignment w:val="auto"/>
        <w:rPr>
          <w:i/>
          <w:lang w:val="es-CO"/>
        </w:rPr>
      </w:pPr>
      <w:r w:rsidRPr="00500E12">
        <w:rPr>
          <w:b/>
          <w:i/>
          <w:lang w:val="es-CO"/>
        </w:rPr>
        <w:t xml:space="preserve">ARTÍCULO SEGUNDO: </w:t>
      </w:r>
      <w:r w:rsidRPr="00500E12">
        <w:rPr>
          <w:i/>
          <w:lang w:val="es-CO"/>
        </w:rPr>
        <w:t>Hacer efectiva la póliza n.° 0897763, en su amparo de estabilidad, expedida por la compañía aseguradora de Fianzas S.A., Confianza, el once de mayo de 1999 y, en consecuencia, ordenar a esta aseguradora, pagar al departamento, la suma de cincuenta y dos millones ciento cuarenta y seis mil ciento treinta y nueve pesos con sesenta y cinco centavos ($52 146 139,65) M/Cte., dentro de los cinco días siguientes a la ejecutoria de esta resolución.</w:t>
      </w:r>
    </w:p>
    <w:p w14:paraId="00BBF41D" w14:textId="77777777" w:rsidR="00A605E0" w:rsidRPr="00500E12" w:rsidRDefault="00A605E0" w:rsidP="00162362">
      <w:pPr>
        <w:widowControl w:val="0"/>
        <w:suppressAutoHyphens w:val="0"/>
        <w:overflowPunct/>
        <w:autoSpaceDE/>
        <w:spacing w:line="240" w:lineRule="auto"/>
        <w:ind w:left="567" w:right="567"/>
        <w:textAlignment w:val="auto"/>
        <w:rPr>
          <w:i/>
          <w:lang w:val="es-CO"/>
        </w:rPr>
      </w:pPr>
    </w:p>
    <w:p w14:paraId="4590B9AD" w14:textId="77777777" w:rsidR="000F7189" w:rsidRPr="00500E12" w:rsidRDefault="00A605E0" w:rsidP="00162362">
      <w:pPr>
        <w:widowControl w:val="0"/>
        <w:suppressAutoHyphens w:val="0"/>
        <w:overflowPunct/>
        <w:autoSpaceDE/>
        <w:spacing w:line="240" w:lineRule="auto"/>
        <w:ind w:left="567" w:right="567"/>
        <w:textAlignment w:val="auto"/>
        <w:rPr>
          <w:i/>
          <w:lang w:val="es-CO"/>
        </w:rPr>
      </w:pPr>
      <w:r w:rsidRPr="00500E12">
        <w:rPr>
          <w:b/>
          <w:i/>
          <w:lang w:val="es-CO"/>
        </w:rPr>
        <w:t xml:space="preserve">ARTÍCULO TERCERO: </w:t>
      </w:r>
      <w:r w:rsidRPr="00500E12">
        <w:rPr>
          <w:i/>
          <w:lang w:val="es-CO"/>
        </w:rPr>
        <w:t xml:space="preserve">Contra la presente resolución procede el recurso de reposición. </w:t>
      </w:r>
    </w:p>
    <w:p w14:paraId="5C300414" w14:textId="77777777" w:rsidR="00A605E0" w:rsidRPr="00500E12" w:rsidRDefault="00A605E0" w:rsidP="00162362">
      <w:pPr>
        <w:widowControl w:val="0"/>
        <w:suppressAutoHyphens w:val="0"/>
        <w:overflowPunct/>
        <w:autoSpaceDE/>
        <w:spacing w:line="240" w:lineRule="auto"/>
        <w:ind w:left="567" w:right="567"/>
        <w:textAlignment w:val="auto"/>
        <w:rPr>
          <w:i/>
          <w:lang w:val="es-CO"/>
        </w:rPr>
      </w:pPr>
    </w:p>
    <w:p w14:paraId="39195D97" w14:textId="77777777" w:rsidR="00A605E0" w:rsidRPr="00500E12" w:rsidRDefault="00A605E0" w:rsidP="00162362">
      <w:pPr>
        <w:widowControl w:val="0"/>
        <w:suppressAutoHyphens w:val="0"/>
        <w:overflowPunct/>
        <w:autoSpaceDE/>
        <w:spacing w:line="240" w:lineRule="auto"/>
        <w:ind w:left="567" w:right="567"/>
        <w:textAlignment w:val="auto"/>
        <w:rPr>
          <w:i/>
          <w:lang w:val="es-CO"/>
        </w:rPr>
      </w:pPr>
      <w:r w:rsidRPr="00500E12">
        <w:rPr>
          <w:b/>
          <w:i/>
          <w:lang w:val="es-CO"/>
        </w:rPr>
        <w:t xml:space="preserve">ARTÍCULO CUARTO: </w:t>
      </w:r>
      <w:r w:rsidRPr="00500E12">
        <w:rPr>
          <w:i/>
          <w:lang w:val="es-CO"/>
        </w:rPr>
        <w:t>Notifíquese al contratista y a la compañía aseguradora de Fianzas S.A., “Confianza”,</w:t>
      </w:r>
      <w:r w:rsidR="00554160" w:rsidRPr="00500E12">
        <w:rPr>
          <w:i/>
          <w:lang w:val="es-CO"/>
        </w:rPr>
        <w:t xml:space="preserve"> la presente resolución, en la forma prevista en el artículo 44 y siguientes del C.C.A.</w:t>
      </w:r>
    </w:p>
    <w:p w14:paraId="1D283A08" w14:textId="77777777" w:rsidR="00E250A9" w:rsidRPr="00500E12" w:rsidRDefault="00E250A9" w:rsidP="00162362">
      <w:pPr>
        <w:widowControl w:val="0"/>
        <w:suppressAutoHyphens w:val="0"/>
        <w:overflowPunct/>
        <w:autoSpaceDE/>
        <w:spacing w:line="240" w:lineRule="auto"/>
        <w:ind w:left="567" w:right="567"/>
        <w:textAlignment w:val="auto"/>
        <w:rPr>
          <w:i/>
          <w:lang w:val="es-CO"/>
        </w:rPr>
      </w:pPr>
    </w:p>
    <w:p w14:paraId="2B470605" w14:textId="77777777" w:rsidR="00B74A64" w:rsidRPr="00500E12" w:rsidRDefault="00B74A64" w:rsidP="00162362">
      <w:pPr>
        <w:widowControl w:val="0"/>
        <w:suppressAutoHyphens w:val="0"/>
        <w:overflowPunct/>
        <w:autoSpaceDE/>
        <w:textAlignment w:val="auto"/>
        <w:rPr>
          <w:lang w:val="es-CO"/>
        </w:rPr>
      </w:pPr>
    </w:p>
    <w:p w14:paraId="5EBEC1BC" w14:textId="77777777" w:rsidR="00162362" w:rsidRPr="00500E12" w:rsidRDefault="00162362" w:rsidP="00162362">
      <w:pPr>
        <w:widowControl w:val="0"/>
        <w:suppressAutoHyphens w:val="0"/>
        <w:overflowPunct/>
        <w:autoSpaceDE/>
        <w:textAlignment w:val="auto"/>
        <w:rPr>
          <w:lang w:val="es-CO"/>
        </w:rPr>
      </w:pPr>
      <w:r w:rsidRPr="00500E12">
        <w:rPr>
          <w:lang w:val="es-CO"/>
        </w:rPr>
        <w:t>1</w:t>
      </w:r>
      <w:r w:rsidR="00A727D4" w:rsidRPr="00500E12">
        <w:rPr>
          <w:lang w:val="es-CO"/>
        </w:rPr>
        <w:t>3</w:t>
      </w:r>
      <w:r w:rsidRPr="00500E12">
        <w:rPr>
          <w:lang w:val="es-CO"/>
        </w:rPr>
        <w:t>.</w:t>
      </w:r>
      <w:r w:rsidR="00FD3866" w:rsidRPr="00500E12">
        <w:rPr>
          <w:lang w:val="es-CO"/>
        </w:rPr>
        <w:t>1</w:t>
      </w:r>
      <w:r w:rsidR="008964A2" w:rsidRPr="00500E12">
        <w:rPr>
          <w:lang w:val="es-CO"/>
        </w:rPr>
        <w:t>6</w:t>
      </w:r>
      <w:r w:rsidRPr="00500E12">
        <w:rPr>
          <w:lang w:val="es-CO"/>
        </w:rPr>
        <w:t xml:space="preserve">. </w:t>
      </w:r>
      <w:r w:rsidR="00183C28" w:rsidRPr="00500E12">
        <w:rPr>
          <w:lang w:val="es-CO"/>
        </w:rPr>
        <w:t xml:space="preserve">La sociedad Obando y Mejía Ingenieros Ltda. y la compañía aseguradora de Fianzas S.A., Confianza, presentaron recurso de reposición contra la anterior decisión (copia de los recursos de reposición con la correspondiente constancia de recibido, f. </w:t>
      </w:r>
      <w:r w:rsidR="00F20168" w:rsidRPr="00500E12">
        <w:rPr>
          <w:lang w:val="es-CO"/>
        </w:rPr>
        <w:t>17</w:t>
      </w:r>
      <w:r w:rsidR="00183C28" w:rsidRPr="00500E12">
        <w:rPr>
          <w:lang w:val="es-CO"/>
        </w:rPr>
        <w:t>-</w:t>
      </w:r>
      <w:r w:rsidR="00F20168" w:rsidRPr="00500E12">
        <w:rPr>
          <w:lang w:val="es-CO"/>
        </w:rPr>
        <w:t>40, 41-</w:t>
      </w:r>
      <w:r w:rsidR="00BC075A" w:rsidRPr="00500E12">
        <w:rPr>
          <w:lang w:val="es-CO"/>
        </w:rPr>
        <w:t xml:space="preserve">142, c.2), que fue confirmada </w:t>
      </w:r>
      <w:r w:rsidR="00C0690A" w:rsidRPr="00500E12">
        <w:rPr>
          <w:lang w:val="es-CO"/>
        </w:rPr>
        <w:t xml:space="preserve">por las razones que a continuación se resaltan </w:t>
      </w:r>
      <w:r w:rsidRPr="00500E12">
        <w:rPr>
          <w:lang w:val="es-CO"/>
        </w:rPr>
        <w:t xml:space="preserve">(copia </w:t>
      </w:r>
      <w:r w:rsidR="0009178D" w:rsidRPr="00500E12">
        <w:rPr>
          <w:lang w:val="es-CO"/>
        </w:rPr>
        <w:t>de la resolución n.º 168 del 21 de diciembre de 2001</w:t>
      </w:r>
      <w:r w:rsidRPr="00500E12">
        <w:rPr>
          <w:lang w:val="es-CO"/>
        </w:rPr>
        <w:t xml:space="preserve">, f. </w:t>
      </w:r>
      <w:r w:rsidR="005E2D07" w:rsidRPr="00500E12">
        <w:rPr>
          <w:lang w:val="es-CO"/>
        </w:rPr>
        <w:t>11-16</w:t>
      </w:r>
      <w:r w:rsidRPr="00500E12">
        <w:rPr>
          <w:lang w:val="es-CO"/>
        </w:rPr>
        <w:t xml:space="preserve"> c.2):</w:t>
      </w:r>
      <w:r w:rsidR="002013B4" w:rsidRPr="00500E12">
        <w:rPr>
          <w:lang w:val="es-CO"/>
        </w:rPr>
        <w:t xml:space="preserve"> </w:t>
      </w:r>
    </w:p>
    <w:p w14:paraId="571B33EB" w14:textId="77777777" w:rsidR="00AE7926" w:rsidRPr="00500E12" w:rsidRDefault="00AE7926" w:rsidP="0057516F">
      <w:pPr>
        <w:widowControl w:val="0"/>
        <w:suppressAutoHyphens w:val="0"/>
        <w:overflowPunct/>
        <w:autoSpaceDE/>
        <w:spacing w:line="240" w:lineRule="auto"/>
        <w:ind w:left="567" w:right="567"/>
        <w:textAlignment w:val="auto"/>
        <w:rPr>
          <w:i/>
          <w:lang w:val="es-CO"/>
        </w:rPr>
      </w:pPr>
    </w:p>
    <w:p w14:paraId="49A3AA6B" w14:textId="77777777" w:rsidR="00C0690A" w:rsidRPr="00500E12" w:rsidRDefault="00C0690A" w:rsidP="0057516F">
      <w:pPr>
        <w:widowControl w:val="0"/>
        <w:suppressAutoHyphens w:val="0"/>
        <w:overflowPunct/>
        <w:autoSpaceDE/>
        <w:spacing w:line="240" w:lineRule="auto"/>
        <w:ind w:left="567" w:right="567"/>
        <w:textAlignment w:val="auto"/>
        <w:rPr>
          <w:i/>
          <w:lang w:val="es-CO"/>
        </w:rPr>
      </w:pPr>
      <w:r w:rsidRPr="00500E12">
        <w:rPr>
          <w:i/>
          <w:lang w:val="es-CO"/>
        </w:rPr>
        <w:t>(…)</w:t>
      </w:r>
    </w:p>
    <w:p w14:paraId="26CDA1DD" w14:textId="77777777" w:rsidR="00C0690A" w:rsidRPr="00500E12" w:rsidRDefault="00624BB4" w:rsidP="0057516F">
      <w:pPr>
        <w:widowControl w:val="0"/>
        <w:suppressAutoHyphens w:val="0"/>
        <w:overflowPunct/>
        <w:autoSpaceDE/>
        <w:spacing w:line="240" w:lineRule="auto"/>
        <w:ind w:left="567" w:right="567"/>
        <w:textAlignment w:val="auto"/>
        <w:rPr>
          <w:i/>
          <w:lang w:val="es-CO"/>
        </w:rPr>
      </w:pPr>
      <w:r w:rsidRPr="00500E12">
        <w:rPr>
          <w:i/>
          <w:lang w:val="es-CO"/>
        </w:rPr>
        <w:t>Es absurdo pretender, como lo hace la contratista y la aseguradora, que las fallas sean atribuibles a falta de mantenimiento, cuando una obra de esa magnitud entregada el 30 de marzo de 1999, presenta sus primeras fallas tan solo un mes después, como se reconoce por el propio contratista en oficio n.° 062/99 de mayo 24 de 1999, a menos de un mes de la entrega de la obra, se expresa sobre el estado de las obras:</w:t>
      </w:r>
    </w:p>
    <w:p w14:paraId="39C770B4" w14:textId="77777777" w:rsidR="00624BB4" w:rsidRPr="00500E12" w:rsidRDefault="00624BB4" w:rsidP="0057516F">
      <w:pPr>
        <w:widowControl w:val="0"/>
        <w:suppressAutoHyphens w:val="0"/>
        <w:overflowPunct/>
        <w:autoSpaceDE/>
        <w:spacing w:line="240" w:lineRule="auto"/>
        <w:ind w:left="567" w:right="567"/>
        <w:textAlignment w:val="auto"/>
        <w:rPr>
          <w:i/>
          <w:lang w:val="es-CO"/>
        </w:rPr>
      </w:pPr>
    </w:p>
    <w:p w14:paraId="333B85EE" w14:textId="77777777" w:rsidR="00624BB4" w:rsidRPr="00500E12" w:rsidRDefault="00624BB4" w:rsidP="0057516F">
      <w:pPr>
        <w:widowControl w:val="0"/>
        <w:suppressAutoHyphens w:val="0"/>
        <w:overflowPunct/>
        <w:autoSpaceDE/>
        <w:spacing w:line="240" w:lineRule="auto"/>
        <w:ind w:left="567" w:right="567"/>
        <w:textAlignment w:val="auto"/>
        <w:rPr>
          <w:i/>
          <w:lang w:val="es-CO"/>
        </w:rPr>
      </w:pPr>
      <w:r w:rsidRPr="00500E12">
        <w:rPr>
          <w:i/>
          <w:lang w:val="es-CO"/>
        </w:rPr>
        <w:t>“3. Debido a las crecientes que se han presentado por el fuerte invierno, existen algunas zonas en las que ha existido arrastre de material en la pata del muro lo cual ha dejado expuestos a la vista parte de los gaviones de la base, los cuales no eran revestidos.</w:t>
      </w:r>
    </w:p>
    <w:p w14:paraId="0D8DBB74" w14:textId="77777777" w:rsidR="00624BB4" w:rsidRPr="00500E12" w:rsidRDefault="00624BB4" w:rsidP="0057516F">
      <w:pPr>
        <w:widowControl w:val="0"/>
        <w:suppressAutoHyphens w:val="0"/>
        <w:overflowPunct/>
        <w:autoSpaceDE/>
        <w:spacing w:line="240" w:lineRule="auto"/>
        <w:ind w:left="567" w:right="567"/>
        <w:textAlignment w:val="auto"/>
        <w:rPr>
          <w:i/>
          <w:lang w:val="es-CO"/>
        </w:rPr>
      </w:pPr>
    </w:p>
    <w:p w14:paraId="115D0944" w14:textId="77777777" w:rsidR="00624BB4" w:rsidRPr="00500E12" w:rsidRDefault="00624BB4" w:rsidP="0057516F">
      <w:pPr>
        <w:widowControl w:val="0"/>
        <w:suppressAutoHyphens w:val="0"/>
        <w:overflowPunct/>
        <w:autoSpaceDE/>
        <w:spacing w:line="240" w:lineRule="auto"/>
        <w:ind w:left="567" w:right="567"/>
        <w:textAlignment w:val="auto"/>
        <w:rPr>
          <w:i/>
          <w:lang w:val="es-CO"/>
        </w:rPr>
      </w:pPr>
      <w:r w:rsidRPr="00500E12">
        <w:rPr>
          <w:i/>
          <w:lang w:val="es-CO"/>
        </w:rPr>
        <w:t xml:space="preserve">Este contraste entre la zona revestida y la no </w:t>
      </w:r>
      <w:r w:rsidR="006749FF" w:rsidRPr="00500E12">
        <w:rPr>
          <w:i/>
          <w:lang w:val="es-CO"/>
        </w:rPr>
        <w:t>revestida, seguramente es lo que causó preocupación en la comisión de Veeduría pero su efecto es solamente visual y no afecta en nada la estabilidad del muro”</w:t>
      </w:r>
      <w:r w:rsidR="00B0005A" w:rsidRPr="00500E12">
        <w:rPr>
          <w:rStyle w:val="Refdenotaalpie"/>
          <w:rFonts w:cs="Arial"/>
          <w:i/>
          <w:lang w:val="es-CO"/>
        </w:rPr>
        <w:footnoteReference w:id="20"/>
      </w:r>
      <w:r w:rsidR="006749FF" w:rsidRPr="00500E12">
        <w:rPr>
          <w:i/>
          <w:lang w:val="es-CO"/>
        </w:rPr>
        <w:t>.</w:t>
      </w:r>
    </w:p>
    <w:p w14:paraId="39392B0E" w14:textId="77777777" w:rsidR="006749FF" w:rsidRPr="00500E12" w:rsidRDefault="006749FF" w:rsidP="0057516F">
      <w:pPr>
        <w:widowControl w:val="0"/>
        <w:suppressAutoHyphens w:val="0"/>
        <w:overflowPunct/>
        <w:autoSpaceDE/>
        <w:spacing w:line="240" w:lineRule="auto"/>
        <w:ind w:left="567" w:right="567"/>
        <w:textAlignment w:val="auto"/>
        <w:rPr>
          <w:i/>
          <w:lang w:val="es-CO"/>
        </w:rPr>
      </w:pPr>
    </w:p>
    <w:p w14:paraId="61357826" w14:textId="77777777" w:rsidR="006749FF" w:rsidRPr="00500E12" w:rsidRDefault="006749FF" w:rsidP="0057516F">
      <w:pPr>
        <w:widowControl w:val="0"/>
        <w:suppressAutoHyphens w:val="0"/>
        <w:overflowPunct/>
        <w:autoSpaceDE/>
        <w:spacing w:line="240" w:lineRule="auto"/>
        <w:ind w:left="567" w:right="567"/>
        <w:textAlignment w:val="auto"/>
        <w:rPr>
          <w:i/>
          <w:lang w:val="es-CO"/>
        </w:rPr>
      </w:pPr>
      <w:r w:rsidRPr="00500E12">
        <w:rPr>
          <w:i/>
          <w:lang w:val="es-CO"/>
        </w:rPr>
        <w:t>Sin embargo, unos días después, para el mes de junio, se pudo evidenciar que el efecto no era solo visual, sino que el muro en gavión falló y afectó la estabilidad de la obra, como lo reconoce el interventor en oficio de noviembre 11 de 1999</w:t>
      </w:r>
      <w:r w:rsidR="0093686A" w:rsidRPr="00500E12">
        <w:rPr>
          <w:rStyle w:val="Refdenotaalpie"/>
          <w:rFonts w:cs="Arial"/>
          <w:i/>
          <w:lang w:val="es-CO"/>
        </w:rPr>
        <w:footnoteReference w:id="21"/>
      </w:r>
      <w:r w:rsidRPr="00500E12">
        <w:rPr>
          <w:i/>
          <w:lang w:val="es-CO"/>
        </w:rPr>
        <w:t>, dirigido al supervisor de contrato, en el que expresa:</w:t>
      </w:r>
    </w:p>
    <w:p w14:paraId="5B4F2F42" w14:textId="77777777" w:rsidR="006749FF" w:rsidRPr="00500E12" w:rsidRDefault="006749FF" w:rsidP="0057516F">
      <w:pPr>
        <w:widowControl w:val="0"/>
        <w:suppressAutoHyphens w:val="0"/>
        <w:overflowPunct/>
        <w:autoSpaceDE/>
        <w:spacing w:line="240" w:lineRule="auto"/>
        <w:ind w:left="567" w:right="567"/>
        <w:textAlignment w:val="auto"/>
        <w:rPr>
          <w:i/>
          <w:lang w:val="es-CO"/>
        </w:rPr>
      </w:pPr>
    </w:p>
    <w:p w14:paraId="07D4CE92" w14:textId="77777777" w:rsidR="005C55D1" w:rsidRPr="00500E12" w:rsidRDefault="006749FF" w:rsidP="0057516F">
      <w:pPr>
        <w:widowControl w:val="0"/>
        <w:suppressAutoHyphens w:val="0"/>
        <w:overflowPunct/>
        <w:autoSpaceDE/>
        <w:spacing w:line="240" w:lineRule="auto"/>
        <w:ind w:left="567" w:right="567"/>
        <w:textAlignment w:val="auto"/>
        <w:rPr>
          <w:i/>
          <w:lang w:val="es-CO"/>
        </w:rPr>
      </w:pPr>
      <w:r w:rsidRPr="00500E12">
        <w:rPr>
          <w:i/>
          <w:lang w:val="es-CO"/>
        </w:rPr>
        <w:t xml:space="preserve">“Respecto a su solicitud, me permito informarle que la falla ocasionada en el mes de junio del presente año en un tramo de gaviones construidos por la firma Obando y Mejía Ltda., bajo el contrato n.º 046 de 1998, obedeció a la socavación originada en el fuerte arrastre </w:t>
      </w:r>
      <w:r w:rsidR="002E3528" w:rsidRPr="00500E12">
        <w:rPr>
          <w:i/>
          <w:lang w:val="es-CO"/>
        </w:rPr>
        <w:t xml:space="preserve">de la quebrada la Negra y en la consecuente falta de mantenimiento para evitar el incremento de la referida socavación…”. </w:t>
      </w:r>
    </w:p>
    <w:p w14:paraId="0A05777B" w14:textId="77777777" w:rsidR="005C55D1" w:rsidRPr="00500E12" w:rsidRDefault="005C55D1" w:rsidP="0057516F">
      <w:pPr>
        <w:widowControl w:val="0"/>
        <w:suppressAutoHyphens w:val="0"/>
        <w:overflowPunct/>
        <w:autoSpaceDE/>
        <w:spacing w:line="240" w:lineRule="auto"/>
        <w:ind w:left="567" w:right="567"/>
        <w:textAlignment w:val="auto"/>
        <w:rPr>
          <w:i/>
          <w:lang w:val="es-CO"/>
        </w:rPr>
      </w:pPr>
    </w:p>
    <w:p w14:paraId="0EC56541" w14:textId="77777777" w:rsidR="002E3528" w:rsidRPr="00500E12" w:rsidRDefault="002E3528" w:rsidP="0057516F">
      <w:pPr>
        <w:widowControl w:val="0"/>
        <w:suppressAutoHyphens w:val="0"/>
        <w:overflowPunct/>
        <w:autoSpaceDE/>
        <w:spacing w:line="240" w:lineRule="auto"/>
        <w:ind w:left="567" w:right="567"/>
        <w:textAlignment w:val="auto"/>
        <w:rPr>
          <w:lang w:val="es-CO"/>
        </w:rPr>
      </w:pPr>
      <w:r w:rsidRPr="00500E12">
        <w:rPr>
          <w:i/>
          <w:lang w:val="es-CO"/>
        </w:rPr>
        <w:t xml:space="preserve">Pretende desviar, de algún modo su propia falla la inteventoria, quien aprobó los diseños, señalando como causa de la falla en la obra, la falta de mantenimiento, cuando apenas la misma, se dio un mes después del recibo de las obras, lo que desvirtúa, por sí sola, la inculpación del contratista y por el contrario, refuerza la existencia de fallas en el diseño y construcción de la obra, como lo concluyó el supervisor y la propia Contraloría General en los informes atrás citados. </w:t>
      </w:r>
    </w:p>
    <w:p w14:paraId="45CA3199" w14:textId="77777777" w:rsidR="00AB058C" w:rsidRPr="00500E12" w:rsidRDefault="00AB058C" w:rsidP="0057516F">
      <w:pPr>
        <w:widowControl w:val="0"/>
        <w:suppressAutoHyphens w:val="0"/>
        <w:overflowPunct/>
        <w:autoSpaceDE/>
        <w:spacing w:line="240" w:lineRule="auto"/>
        <w:ind w:left="567" w:right="567"/>
        <w:textAlignment w:val="auto"/>
        <w:rPr>
          <w:i/>
          <w:lang w:val="es-CO"/>
        </w:rPr>
      </w:pPr>
    </w:p>
    <w:p w14:paraId="78DDA341" w14:textId="77777777" w:rsidR="002E3528" w:rsidRPr="00500E12" w:rsidRDefault="002E3528" w:rsidP="0057516F">
      <w:pPr>
        <w:widowControl w:val="0"/>
        <w:suppressAutoHyphens w:val="0"/>
        <w:overflowPunct/>
        <w:autoSpaceDE/>
        <w:spacing w:line="240" w:lineRule="auto"/>
        <w:ind w:left="567" w:right="567"/>
        <w:textAlignment w:val="auto"/>
        <w:rPr>
          <w:i/>
          <w:lang w:val="es-CO"/>
        </w:rPr>
      </w:pPr>
      <w:r w:rsidRPr="00500E12">
        <w:rPr>
          <w:i/>
          <w:lang w:val="es-CO"/>
        </w:rPr>
        <w:t>Los anteriores escritos, evidencia</w:t>
      </w:r>
      <w:r w:rsidR="00D160DB" w:rsidRPr="00500E12">
        <w:rPr>
          <w:i/>
          <w:lang w:val="es-CO"/>
        </w:rPr>
        <w:t>n</w:t>
      </w:r>
      <w:r w:rsidRPr="00500E12">
        <w:rPr>
          <w:i/>
          <w:lang w:val="es-CO"/>
        </w:rPr>
        <w:t xml:space="preserve"> las fallas en la ejecución de las obras, lo que no se desvirtúa con los argumentos de los recurrentes, por lo que el acto administrativo objeto de recurso será confirmado, como se dispondrá en la parte resolutiva de esta resolución. </w:t>
      </w:r>
    </w:p>
    <w:p w14:paraId="69CCEB4C" w14:textId="77777777" w:rsidR="002E3528" w:rsidRPr="00500E12" w:rsidRDefault="002E3528" w:rsidP="0057516F">
      <w:pPr>
        <w:widowControl w:val="0"/>
        <w:suppressAutoHyphens w:val="0"/>
        <w:overflowPunct/>
        <w:autoSpaceDE/>
        <w:spacing w:line="240" w:lineRule="auto"/>
        <w:ind w:left="567" w:right="567"/>
        <w:textAlignment w:val="auto"/>
        <w:rPr>
          <w:i/>
          <w:lang w:val="es-CO"/>
        </w:rPr>
      </w:pPr>
    </w:p>
    <w:p w14:paraId="756BB805" w14:textId="77777777" w:rsidR="002E3528" w:rsidRPr="00500E12" w:rsidRDefault="002E3528" w:rsidP="0057516F">
      <w:pPr>
        <w:widowControl w:val="0"/>
        <w:suppressAutoHyphens w:val="0"/>
        <w:overflowPunct/>
        <w:autoSpaceDE/>
        <w:spacing w:line="240" w:lineRule="auto"/>
        <w:ind w:left="567" w:right="567"/>
        <w:textAlignment w:val="auto"/>
        <w:rPr>
          <w:i/>
          <w:lang w:val="es-CO"/>
        </w:rPr>
      </w:pPr>
      <w:r w:rsidRPr="00500E12">
        <w:rPr>
          <w:i/>
          <w:lang w:val="es-CO"/>
        </w:rPr>
        <w:t>(…)</w:t>
      </w:r>
    </w:p>
    <w:p w14:paraId="407F89DC" w14:textId="77777777" w:rsidR="002E3528" w:rsidRPr="00500E12" w:rsidRDefault="002E3528" w:rsidP="0057516F">
      <w:pPr>
        <w:widowControl w:val="0"/>
        <w:suppressAutoHyphens w:val="0"/>
        <w:overflowPunct/>
        <w:autoSpaceDE/>
        <w:spacing w:line="240" w:lineRule="auto"/>
        <w:ind w:left="567" w:right="567"/>
        <w:jc w:val="center"/>
        <w:textAlignment w:val="auto"/>
        <w:rPr>
          <w:b/>
          <w:i/>
          <w:lang w:val="es-CO"/>
        </w:rPr>
      </w:pPr>
      <w:r w:rsidRPr="00500E12">
        <w:rPr>
          <w:b/>
          <w:i/>
          <w:lang w:val="es-CO"/>
        </w:rPr>
        <w:t>RESUELVE</w:t>
      </w:r>
    </w:p>
    <w:p w14:paraId="77D88214" w14:textId="77777777" w:rsidR="002E3528" w:rsidRPr="00500E12" w:rsidRDefault="002E3528" w:rsidP="0057516F">
      <w:pPr>
        <w:widowControl w:val="0"/>
        <w:suppressAutoHyphens w:val="0"/>
        <w:overflowPunct/>
        <w:autoSpaceDE/>
        <w:spacing w:line="240" w:lineRule="auto"/>
        <w:ind w:left="567" w:right="567"/>
        <w:jc w:val="center"/>
        <w:textAlignment w:val="auto"/>
        <w:rPr>
          <w:b/>
          <w:i/>
          <w:lang w:val="es-CO"/>
        </w:rPr>
      </w:pPr>
    </w:p>
    <w:p w14:paraId="48032C35" w14:textId="77777777" w:rsidR="002E3528" w:rsidRPr="00500E12" w:rsidRDefault="002E3528" w:rsidP="0057516F">
      <w:pPr>
        <w:widowControl w:val="0"/>
        <w:suppressAutoHyphens w:val="0"/>
        <w:overflowPunct/>
        <w:autoSpaceDE/>
        <w:spacing w:line="240" w:lineRule="auto"/>
        <w:ind w:left="567" w:right="567"/>
        <w:textAlignment w:val="auto"/>
        <w:rPr>
          <w:i/>
          <w:lang w:val="es-CO"/>
        </w:rPr>
      </w:pPr>
      <w:r w:rsidRPr="00500E12">
        <w:rPr>
          <w:b/>
          <w:i/>
          <w:lang w:val="es-CO"/>
        </w:rPr>
        <w:t xml:space="preserve">ARTÍCULO PRIMERO. </w:t>
      </w:r>
      <w:r w:rsidRPr="00500E12">
        <w:rPr>
          <w:i/>
          <w:lang w:val="es-CO"/>
        </w:rPr>
        <w:t xml:space="preserve">Confirmar en todas sus partes la resolución 102 de junio de 2000, expedida por el secretario de Obras Públicas de Cundinamarca, por la cual se declaró el siniestro de incumplimiento de estabilidad de la obra ejecutada dentro del contrato n.º 046-98 suscrito entre el departamento de Cundinamarca y la firma OBANDO Y MEJÍA INGENIEROS LIMITADA, cuyo objeto es el levantamiento, diagnóstico y construcción </w:t>
      </w:r>
      <w:r w:rsidR="003A7FB7" w:rsidRPr="00500E12">
        <w:rPr>
          <w:i/>
          <w:lang w:val="es-CO"/>
        </w:rPr>
        <w:t>de obras para la estabilización geológica del municipio de Útica.</w:t>
      </w:r>
    </w:p>
    <w:p w14:paraId="3CC3B94F" w14:textId="77777777" w:rsidR="003A7FB7" w:rsidRPr="00500E12" w:rsidRDefault="003A7FB7" w:rsidP="0057516F">
      <w:pPr>
        <w:widowControl w:val="0"/>
        <w:suppressAutoHyphens w:val="0"/>
        <w:overflowPunct/>
        <w:autoSpaceDE/>
        <w:spacing w:line="240" w:lineRule="auto"/>
        <w:ind w:left="567" w:right="567"/>
        <w:textAlignment w:val="auto"/>
        <w:rPr>
          <w:i/>
          <w:lang w:val="es-CO"/>
        </w:rPr>
      </w:pPr>
    </w:p>
    <w:p w14:paraId="3BA8CD30" w14:textId="77777777" w:rsidR="003A7FB7" w:rsidRPr="00500E12" w:rsidRDefault="003A7FB7" w:rsidP="0057516F">
      <w:pPr>
        <w:widowControl w:val="0"/>
        <w:suppressAutoHyphens w:val="0"/>
        <w:overflowPunct/>
        <w:autoSpaceDE/>
        <w:spacing w:line="240" w:lineRule="auto"/>
        <w:ind w:left="567" w:right="567"/>
        <w:textAlignment w:val="auto"/>
        <w:rPr>
          <w:i/>
          <w:lang w:val="es-CO"/>
        </w:rPr>
      </w:pPr>
      <w:r w:rsidRPr="00500E12">
        <w:rPr>
          <w:b/>
          <w:i/>
          <w:lang w:val="es-CO"/>
        </w:rPr>
        <w:t xml:space="preserve">ARTÍCULO SEGUNDO. </w:t>
      </w:r>
      <w:r w:rsidRPr="00500E12">
        <w:rPr>
          <w:i/>
          <w:lang w:val="es-CO"/>
        </w:rPr>
        <w:t>Notifíquese personalmente al contratista y a la compañía de seguros.</w:t>
      </w:r>
    </w:p>
    <w:p w14:paraId="55D47AD6" w14:textId="77777777" w:rsidR="003A7FB7" w:rsidRPr="00500E12" w:rsidRDefault="003A7FB7" w:rsidP="0057516F">
      <w:pPr>
        <w:widowControl w:val="0"/>
        <w:suppressAutoHyphens w:val="0"/>
        <w:overflowPunct/>
        <w:autoSpaceDE/>
        <w:spacing w:line="240" w:lineRule="auto"/>
        <w:ind w:left="567" w:right="567"/>
        <w:textAlignment w:val="auto"/>
        <w:rPr>
          <w:i/>
          <w:lang w:val="es-CO"/>
        </w:rPr>
      </w:pPr>
    </w:p>
    <w:p w14:paraId="537939C2" w14:textId="77777777" w:rsidR="003A7FB7" w:rsidRPr="00500E12" w:rsidRDefault="003A7FB7" w:rsidP="0057516F">
      <w:pPr>
        <w:widowControl w:val="0"/>
        <w:suppressAutoHyphens w:val="0"/>
        <w:overflowPunct/>
        <w:autoSpaceDE/>
        <w:spacing w:line="240" w:lineRule="auto"/>
        <w:ind w:left="567" w:right="567"/>
        <w:textAlignment w:val="auto"/>
        <w:rPr>
          <w:i/>
          <w:lang w:val="es-CO"/>
        </w:rPr>
      </w:pPr>
      <w:r w:rsidRPr="00500E12">
        <w:rPr>
          <w:b/>
          <w:i/>
          <w:lang w:val="es-CO"/>
        </w:rPr>
        <w:t xml:space="preserve">ARTÍCULO TERCERO. </w:t>
      </w:r>
      <w:r w:rsidR="00517ED0" w:rsidRPr="00500E12">
        <w:rPr>
          <w:i/>
          <w:lang w:val="es-CO"/>
        </w:rPr>
        <w:t xml:space="preserve">Contra la presente providencia no procede recurso alguno y con la misma queda agotada la vía gubernativa. </w:t>
      </w:r>
    </w:p>
    <w:p w14:paraId="6CA9B565" w14:textId="77777777" w:rsidR="000F7189" w:rsidRPr="00500E12" w:rsidRDefault="000F7189" w:rsidP="007F7D4A">
      <w:pPr>
        <w:widowControl w:val="0"/>
        <w:suppressAutoHyphens w:val="0"/>
        <w:overflowPunct/>
        <w:autoSpaceDE/>
        <w:textAlignment w:val="auto"/>
        <w:rPr>
          <w:lang w:val="es-CO"/>
        </w:rPr>
      </w:pPr>
    </w:p>
    <w:p w14:paraId="45A0CF70" w14:textId="77777777" w:rsidR="00C71832" w:rsidRPr="00500E12" w:rsidRDefault="00A32143" w:rsidP="00884542">
      <w:pPr>
        <w:widowControl w:val="0"/>
        <w:suppressAutoHyphens w:val="0"/>
        <w:overflowPunct/>
        <w:autoSpaceDE/>
        <w:autoSpaceDN w:val="0"/>
        <w:rPr>
          <w:b/>
          <w:bCs/>
          <w:lang w:val="es-CO"/>
        </w:rPr>
      </w:pPr>
      <w:r w:rsidRPr="00500E12">
        <w:rPr>
          <w:b/>
          <w:bCs/>
          <w:lang w:val="es-CO"/>
        </w:rPr>
        <w:t>IV</w:t>
      </w:r>
      <w:r w:rsidR="000525C1" w:rsidRPr="00500E12">
        <w:rPr>
          <w:b/>
          <w:bCs/>
          <w:lang w:val="es-CO"/>
        </w:rPr>
        <w:t>.</w:t>
      </w:r>
      <w:r w:rsidR="00C71832" w:rsidRPr="00500E12">
        <w:rPr>
          <w:b/>
          <w:bCs/>
          <w:lang w:val="es-CO"/>
        </w:rPr>
        <w:t xml:space="preserve"> Problema </w:t>
      </w:r>
      <w:r w:rsidR="00325868" w:rsidRPr="00500E12">
        <w:rPr>
          <w:b/>
          <w:bCs/>
          <w:lang w:val="es-CO"/>
        </w:rPr>
        <w:t>jurídico</w:t>
      </w:r>
    </w:p>
    <w:p w14:paraId="4542DD52" w14:textId="77777777" w:rsidR="00C71832" w:rsidRPr="00500E12" w:rsidRDefault="00C71832" w:rsidP="00884542">
      <w:pPr>
        <w:rPr>
          <w:lang w:val="es-CO"/>
        </w:rPr>
      </w:pPr>
    </w:p>
    <w:p w14:paraId="31316044" w14:textId="77777777" w:rsidR="003B5F44" w:rsidRPr="00500E12" w:rsidRDefault="003B5F44" w:rsidP="00635BCC">
      <w:pPr>
        <w:rPr>
          <w:lang w:val="es-CO"/>
        </w:rPr>
      </w:pPr>
      <w:r w:rsidRPr="00500E12">
        <w:rPr>
          <w:lang w:val="es-CO"/>
        </w:rPr>
        <w:t>14</w:t>
      </w:r>
      <w:r w:rsidR="00E149CD" w:rsidRPr="00500E12">
        <w:rPr>
          <w:lang w:val="es-CO"/>
        </w:rPr>
        <w:t xml:space="preserve">. </w:t>
      </w:r>
      <w:r w:rsidR="0082484C" w:rsidRPr="00500E12">
        <w:rPr>
          <w:lang w:val="es-CO"/>
        </w:rPr>
        <w:t>Corresponde a la Sala establecer</w:t>
      </w:r>
      <w:r w:rsidR="00325868" w:rsidRPr="00500E12">
        <w:rPr>
          <w:lang w:val="es-CO"/>
        </w:rPr>
        <w:t>,</w:t>
      </w:r>
      <w:r w:rsidR="0082484C" w:rsidRPr="00500E12">
        <w:rPr>
          <w:lang w:val="es-CO"/>
        </w:rPr>
        <w:t xml:space="preserve"> </w:t>
      </w:r>
      <w:r w:rsidRPr="00500E12">
        <w:rPr>
          <w:lang w:val="es-CO"/>
        </w:rPr>
        <w:t>si en el presente caso</w:t>
      </w:r>
      <w:r w:rsidR="0071219B" w:rsidRPr="00500E12">
        <w:rPr>
          <w:lang w:val="es-CO"/>
        </w:rPr>
        <w:t>,</w:t>
      </w:r>
      <w:r w:rsidRPr="00500E12">
        <w:rPr>
          <w:lang w:val="es-CO"/>
        </w:rPr>
        <w:t xml:space="preserve"> procede declarar la nulidad de las resoluciones </w:t>
      </w:r>
      <w:r w:rsidR="00635BCC" w:rsidRPr="00500E12">
        <w:rPr>
          <w:lang w:val="es-ES" w:eastAsia="es-ES"/>
        </w:rPr>
        <w:t>n.º 102 del 22 de junio de 2000 y 168 del 21 de diciembre de 2000</w:t>
      </w:r>
      <w:r w:rsidRPr="00500E12">
        <w:rPr>
          <w:lang w:val="es-CO"/>
        </w:rPr>
        <w:t xml:space="preserve">, por medio de las cuales, </w:t>
      </w:r>
      <w:r w:rsidR="00635BCC" w:rsidRPr="00500E12">
        <w:rPr>
          <w:lang w:val="es-CO"/>
        </w:rPr>
        <w:t xml:space="preserve">el secretario de obras públicas del departamento de Cundinamarca </w:t>
      </w:r>
      <w:r w:rsidRPr="00500E12">
        <w:rPr>
          <w:lang w:val="es-CO"/>
        </w:rPr>
        <w:t xml:space="preserve">declaró la ocurrencia del siniestro e hizo efectiva la póliza n.º </w:t>
      </w:r>
      <w:r w:rsidR="00635BCC" w:rsidRPr="00500E12">
        <w:rPr>
          <w:lang w:val="es-CO"/>
        </w:rPr>
        <w:t>0897763</w:t>
      </w:r>
      <w:r w:rsidRPr="00500E12">
        <w:rPr>
          <w:lang w:val="es-CO"/>
        </w:rPr>
        <w:t xml:space="preserve"> de estabilidad de la obra</w:t>
      </w:r>
      <w:r w:rsidR="00635BCC" w:rsidRPr="00500E12">
        <w:rPr>
          <w:lang w:val="es-CO"/>
        </w:rPr>
        <w:t>,</w:t>
      </w:r>
      <w:r w:rsidRPr="00500E12">
        <w:rPr>
          <w:lang w:val="es-CO"/>
        </w:rPr>
        <w:t xml:space="preserve"> dentro del contrato n.º 046 de 1998.</w:t>
      </w:r>
    </w:p>
    <w:p w14:paraId="4E46E380" w14:textId="77777777" w:rsidR="00635BCC" w:rsidRPr="00500E12" w:rsidRDefault="00635BCC" w:rsidP="00884542">
      <w:pPr>
        <w:rPr>
          <w:lang w:val="es-CO"/>
        </w:rPr>
      </w:pPr>
    </w:p>
    <w:p w14:paraId="10927454" w14:textId="77777777" w:rsidR="003B5F44" w:rsidRPr="00500E12" w:rsidRDefault="0025734B" w:rsidP="00884542">
      <w:pPr>
        <w:rPr>
          <w:lang w:val="es-CO"/>
        </w:rPr>
      </w:pPr>
      <w:r w:rsidRPr="00500E12">
        <w:rPr>
          <w:lang w:val="es-CO"/>
        </w:rPr>
        <w:t xml:space="preserve">14.1. </w:t>
      </w:r>
      <w:r w:rsidR="003B5F44" w:rsidRPr="00500E12">
        <w:rPr>
          <w:lang w:val="es-CO"/>
        </w:rPr>
        <w:t xml:space="preserve">En primer lugar, </w:t>
      </w:r>
      <w:r w:rsidR="0071219B" w:rsidRPr="00500E12">
        <w:rPr>
          <w:lang w:val="es-CO"/>
        </w:rPr>
        <w:t>se determinará</w:t>
      </w:r>
      <w:r w:rsidR="003B5F44" w:rsidRPr="00500E12">
        <w:rPr>
          <w:lang w:val="es-CO"/>
        </w:rPr>
        <w:t xml:space="preserve"> si la entidad ostentaba la competencia para el efecto, o si por el contrario es una posibilidad reservada </w:t>
      </w:r>
      <w:r w:rsidR="00470B4A" w:rsidRPr="00500E12">
        <w:rPr>
          <w:lang w:val="es-CO"/>
        </w:rPr>
        <w:t>solo para aquellos eventos en los que se declara la</w:t>
      </w:r>
      <w:r w:rsidR="003B5F44" w:rsidRPr="00500E12">
        <w:rPr>
          <w:lang w:val="es-CO"/>
        </w:rPr>
        <w:t xml:space="preserve"> caducidad del contrato.</w:t>
      </w:r>
    </w:p>
    <w:p w14:paraId="5D857149" w14:textId="77777777" w:rsidR="003B5F44" w:rsidRPr="00500E12" w:rsidRDefault="003B5F44" w:rsidP="003B5F44">
      <w:pPr>
        <w:rPr>
          <w:lang w:val="es-CO"/>
        </w:rPr>
      </w:pPr>
    </w:p>
    <w:p w14:paraId="6357F541" w14:textId="77777777" w:rsidR="003B5F44" w:rsidRPr="00500E12" w:rsidRDefault="0025734B" w:rsidP="003B5F44">
      <w:pPr>
        <w:rPr>
          <w:lang w:val="es-CO"/>
        </w:rPr>
      </w:pPr>
      <w:r w:rsidRPr="00500E12">
        <w:rPr>
          <w:lang w:val="es-CO"/>
        </w:rPr>
        <w:t xml:space="preserve">14.2. </w:t>
      </w:r>
      <w:r w:rsidR="003B5F44" w:rsidRPr="00500E12">
        <w:rPr>
          <w:lang w:val="es-CO"/>
        </w:rPr>
        <w:t xml:space="preserve">Una vez resuelto </w:t>
      </w:r>
      <w:r w:rsidR="00470B4A" w:rsidRPr="00500E12">
        <w:rPr>
          <w:lang w:val="es-CO"/>
        </w:rPr>
        <w:t>ese punto</w:t>
      </w:r>
      <w:r w:rsidR="003B5F44" w:rsidRPr="00500E12">
        <w:rPr>
          <w:lang w:val="es-CO"/>
        </w:rPr>
        <w:t>, si es del caso</w:t>
      </w:r>
      <w:r w:rsidR="00470B4A" w:rsidRPr="00500E12">
        <w:rPr>
          <w:lang w:val="es-CO"/>
        </w:rPr>
        <w:t>, se analizar</w:t>
      </w:r>
      <w:r w:rsidR="00486DE7" w:rsidRPr="00500E12">
        <w:rPr>
          <w:lang w:val="es-CO"/>
        </w:rPr>
        <w:t>á</w:t>
      </w:r>
      <w:r w:rsidR="00470B4A" w:rsidRPr="00500E12">
        <w:rPr>
          <w:lang w:val="es-CO"/>
        </w:rPr>
        <w:t xml:space="preserve">n los argumentos correspondientes a la pretensión subsidiaria, esto es, </w:t>
      </w:r>
      <w:r w:rsidR="003B5F44" w:rsidRPr="00500E12">
        <w:rPr>
          <w:lang w:val="es-CO"/>
        </w:rPr>
        <w:t>los</w:t>
      </w:r>
      <w:r w:rsidR="00470B4A" w:rsidRPr="00500E12">
        <w:rPr>
          <w:lang w:val="es-CO"/>
        </w:rPr>
        <w:t xml:space="preserve"> concernientes a los</w:t>
      </w:r>
      <w:r w:rsidR="003B5F44" w:rsidRPr="00500E12">
        <w:rPr>
          <w:lang w:val="es-CO"/>
        </w:rPr>
        <w:t xml:space="preserve"> diseños y la obligación de mantenimiento preventivo, </w:t>
      </w:r>
      <w:r w:rsidR="00470B4A" w:rsidRPr="00500E12">
        <w:rPr>
          <w:lang w:val="es-CO"/>
        </w:rPr>
        <w:t>en aras</w:t>
      </w:r>
      <w:r w:rsidR="003B5F44" w:rsidRPr="00500E12">
        <w:rPr>
          <w:lang w:val="es-CO"/>
        </w:rPr>
        <w:t xml:space="preserve"> de </w:t>
      </w:r>
      <w:r w:rsidR="0071219B" w:rsidRPr="00500E12">
        <w:rPr>
          <w:lang w:val="es-CO"/>
        </w:rPr>
        <w:t>esclarecer</w:t>
      </w:r>
      <w:r w:rsidR="003B5F44" w:rsidRPr="00500E12">
        <w:rPr>
          <w:lang w:val="es-CO"/>
        </w:rPr>
        <w:t xml:space="preserve"> si los actos administrativos</w:t>
      </w:r>
      <w:r w:rsidR="00470B4A" w:rsidRPr="00500E12">
        <w:rPr>
          <w:lang w:val="es-CO"/>
        </w:rPr>
        <w:t xml:space="preserve"> controvertidos</w:t>
      </w:r>
      <w:r w:rsidR="0071219B" w:rsidRPr="00500E12">
        <w:rPr>
          <w:lang w:val="es-CO"/>
        </w:rPr>
        <w:t>,</w:t>
      </w:r>
      <w:r w:rsidR="00470B4A" w:rsidRPr="00500E12">
        <w:rPr>
          <w:lang w:val="es-CO"/>
        </w:rPr>
        <w:t xml:space="preserve"> </w:t>
      </w:r>
      <w:r w:rsidR="003B5F44" w:rsidRPr="00500E12">
        <w:rPr>
          <w:lang w:val="es-CO"/>
        </w:rPr>
        <w:t>están viciados de</w:t>
      </w:r>
      <w:r w:rsidR="00564523" w:rsidRPr="00500E12">
        <w:rPr>
          <w:lang w:val="es-CO"/>
        </w:rPr>
        <w:t xml:space="preserve"> nulidad por falsa motivación. </w:t>
      </w:r>
    </w:p>
    <w:p w14:paraId="4068A27E" w14:textId="77777777" w:rsidR="00470B4A" w:rsidRPr="00500E12" w:rsidRDefault="00470B4A" w:rsidP="003B5F44">
      <w:pPr>
        <w:rPr>
          <w:lang w:val="es-CO"/>
        </w:rPr>
      </w:pPr>
    </w:p>
    <w:p w14:paraId="092E9A7D" w14:textId="77777777" w:rsidR="00470B4A" w:rsidRPr="00500E12" w:rsidRDefault="00470B4A" w:rsidP="003B5F44">
      <w:pPr>
        <w:rPr>
          <w:lang w:val="es-CO"/>
        </w:rPr>
      </w:pPr>
      <w:r w:rsidRPr="00500E12">
        <w:rPr>
          <w:lang w:val="es-CO"/>
        </w:rPr>
        <w:t xml:space="preserve">14.3. </w:t>
      </w:r>
      <w:r w:rsidR="0071219B" w:rsidRPr="00500E12">
        <w:rPr>
          <w:lang w:val="es-CO"/>
        </w:rPr>
        <w:t>Finalmente, c</w:t>
      </w:r>
      <w:r w:rsidRPr="00500E12">
        <w:rPr>
          <w:lang w:val="es-CO"/>
        </w:rPr>
        <w:t xml:space="preserve">on base en lo anterior, </w:t>
      </w:r>
      <w:r w:rsidR="0071219B" w:rsidRPr="00500E12">
        <w:rPr>
          <w:lang w:val="es-CO"/>
        </w:rPr>
        <w:t>se estudiará</w:t>
      </w:r>
      <w:r w:rsidRPr="00500E12">
        <w:rPr>
          <w:lang w:val="es-CO"/>
        </w:rPr>
        <w:t xml:space="preserve"> si se configuró una agravación del estado de riesgo, tal como lo indicó la aseguradora. </w:t>
      </w:r>
    </w:p>
    <w:p w14:paraId="5BE9514D" w14:textId="77777777" w:rsidR="003B5F44" w:rsidRPr="00500E12" w:rsidRDefault="003B5F44" w:rsidP="00884542">
      <w:pPr>
        <w:rPr>
          <w:lang w:val="es-CO"/>
        </w:rPr>
      </w:pPr>
    </w:p>
    <w:p w14:paraId="20E0D10A" w14:textId="77777777" w:rsidR="00C71832" w:rsidRPr="00500E12" w:rsidRDefault="00C71832" w:rsidP="00E974F0">
      <w:pPr>
        <w:rPr>
          <w:b/>
          <w:bCs/>
          <w:lang w:val="es-CO"/>
        </w:rPr>
      </w:pPr>
      <w:r w:rsidRPr="00500E12">
        <w:rPr>
          <w:b/>
          <w:bCs/>
          <w:lang w:val="es-CO"/>
        </w:rPr>
        <w:t>V</w:t>
      </w:r>
      <w:r w:rsidR="00543438" w:rsidRPr="00500E12">
        <w:rPr>
          <w:b/>
          <w:bCs/>
          <w:lang w:val="es-CO"/>
        </w:rPr>
        <w:t xml:space="preserve">. </w:t>
      </w:r>
      <w:r w:rsidRPr="00500E12">
        <w:rPr>
          <w:b/>
          <w:bCs/>
          <w:lang w:val="es-CO"/>
        </w:rPr>
        <w:t>Análisis de la Sala</w:t>
      </w:r>
    </w:p>
    <w:p w14:paraId="6BC02CD8" w14:textId="77777777" w:rsidR="005C472B" w:rsidRPr="00500E12" w:rsidRDefault="005C472B" w:rsidP="00CA1A55">
      <w:pPr>
        <w:rPr>
          <w:b/>
          <w:lang w:val="es-CO"/>
        </w:rPr>
      </w:pPr>
    </w:p>
    <w:p w14:paraId="46854DDC" w14:textId="77777777" w:rsidR="001B6D11" w:rsidRPr="00500E12" w:rsidRDefault="0025734B" w:rsidP="00206CEE">
      <w:pPr>
        <w:rPr>
          <w:b/>
          <w:lang w:val="es-CO"/>
        </w:rPr>
      </w:pPr>
      <w:r w:rsidRPr="00500E12">
        <w:rPr>
          <w:b/>
          <w:lang w:val="es-CO"/>
        </w:rPr>
        <w:t>15</w:t>
      </w:r>
      <w:r w:rsidR="00F33A83" w:rsidRPr="00500E12">
        <w:rPr>
          <w:b/>
          <w:lang w:val="es-CO"/>
        </w:rPr>
        <w:t xml:space="preserve">. </w:t>
      </w:r>
      <w:r w:rsidR="00193E7C" w:rsidRPr="00500E12">
        <w:rPr>
          <w:b/>
          <w:lang w:val="es-CO"/>
        </w:rPr>
        <w:t xml:space="preserve">De la competencia </w:t>
      </w:r>
      <w:r w:rsidR="001B6D11" w:rsidRPr="00500E12">
        <w:rPr>
          <w:b/>
          <w:lang w:val="es-CO"/>
        </w:rPr>
        <w:t xml:space="preserve">de las entidades estatales para declarar la ocurrencia de un siniestro y hacer efectiva la </w:t>
      </w:r>
      <w:r w:rsidR="0051077C" w:rsidRPr="00500E12">
        <w:rPr>
          <w:b/>
          <w:lang w:val="es-CO"/>
        </w:rPr>
        <w:t xml:space="preserve">garantía única de cumplimiento </w:t>
      </w:r>
    </w:p>
    <w:p w14:paraId="0308C046" w14:textId="77777777" w:rsidR="001B6D11" w:rsidRPr="00500E12" w:rsidRDefault="001B6D11" w:rsidP="00206CEE">
      <w:pPr>
        <w:rPr>
          <w:lang w:val="es-CO"/>
        </w:rPr>
      </w:pPr>
    </w:p>
    <w:p w14:paraId="01C4FE9F" w14:textId="77777777" w:rsidR="00EC033D" w:rsidRPr="00500E12" w:rsidRDefault="0051077C" w:rsidP="00206CEE">
      <w:pPr>
        <w:rPr>
          <w:lang w:val="es-CO"/>
        </w:rPr>
      </w:pPr>
      <w:r w:rsidRPr="00500E12">
        <w:rPr>
          <w:lang w:val="es-CO"/>
        </w:rPr>
        <w:t xml:space="preserve">15.1. </w:t>
      </w:r>
      <w:r w:rsidR="00C121D1" w:rsidRPr="00500E12">
        <w:rPr>
          <w:lang w:val="es-CO"/>
        </w:rPr>
        <w:t>La</w:t>
      </w:r>
      <w:r w:rsidR="00F61F5E" w:rsidRPr="00500E12">
        <w:rPr>
          <w:lang w:val="es-CO"/>
        </w:rPr>
        <w:t xml:space="preserve"> parte actora </w:t>
      </w:r>
      <w:r w:rsidR="00C121D1" w:rsidRPr="00500E12">
        <w:rPr>
          <w:lang w:val="es-CO"/>
        </w:rPr>
        <w:t xml:space="preserve">señaló que </w:t>
      </w:r>
      <w:r w:rsidR="00C121D1" w:rsidRPr="00500E12">
        <w:rPr>
          <w:lang w:val="es-ES" w:eastAsia="es-ES"/>
        </w:rPr>
        <w:t xml:space="preserve">las resoluciones n.º 102 del 22 de junio de 2000 y 168 del 21 de diciembre de 2000, por medio de las cuales </w:t>
      </w:r>
      <w:r w:rsidR="007A2205" w:rsidRPr="00500E12">
        <w:rPr>
          <w:lang w:val="es-ES" w:eastAsia="es-ES"/>
        </w:rPr>
        <w:t xml:space="preserve">el departamento de Cundinamarca </w:t>
      </w:r>
      <w:r w:rsidR="00C121D1" w:rsidRPr="00500E12">
        <w:rPr>
          <w:lang w:val="es-ES" w:eastAsia="es-ES"/>
        </w:rPr>
        <w:t xml:space="preserve">declaró la ocurrencia del siniestro de estabilidad de la obra en el contrato n.º 046 de 1998, para hacer </w:t>
      </w:r>
      <w:r w:rsidR="00C121D1" w:rsidRPr="00500E12">
        <w:rPr>
          <w:lang w:val="es-CO"/>
        </w:rPr>
        <w:t xml:space="preserve">efectiva la póliza n.° 0897763, emitida </w:t>
      </w:r>
      <w:r w:rsidR="007A2205" w:rsidRPr="00500E12">
        <w:rPr>
          <w:lang w:val="es-CO"/>
        </w:rPr>
        <w:t xml:space="preserve">el 11 de mayo de 1999 </w:t>
      </w:r>
      <w:r w:rsidR="00C121D1" w:rsidRPr="00500E12">
        <w:rPr>
          <w:lang w:val="es-CO"/>
        </w:rPr>
        <w:t>por la compañía aseguradora de Fianzas S.A., Confianza</w:t>
      </w:r>
      <w:r w:rsidR="007A2205" w:rsidRPr="00500E12">
        <w:rPr>
          <w:lang w:val="es-CO"/>
        </w:rPr>
        <w:t xml:space="preserve"> S.A.</w:t>
      </w:r>
      <w:r w:rsidR="00C121D1" w:rsidRPr="00500E12">
        <w:rPr>
          <w:lang w:val="es-CO"/>
        </w:rPr>
        <w:t xml:space="preserve">, </w:t>
      </w:r>
      <w:r w:rsidR="007A2205" w:rsidRPr="00500E12">
        <w:rPr>
          <w:lang w:val="es-CO"/>
        </w:rPr>
        <w:t xml:space="preserve">eran nulas porque la entidad </w:t>
      </w:r>
      <w:r w:rsidR="00F61F5E" w:rsidRPr="00500E12">
        <w:rPr>
          <w:lang w:val="es-CO"/>
        </w:rPr>
        <w:t xml:space="preserve">no tenía la facultad </w:t>
      </w:r>
      <w:r w:rsidR="00EF2412" w:rsidRPr="00500E12">
        <w:rPr>
          <w:lang w:val="es-CO"/>
        </w:rPr>
        <w:t>para el efecto, dado que</w:t>
      </w:r>
      <w:r w:rsidR="007F5CAE" w:rsidRPr="00500E12">
        <w:rPr>
          <w:lang w:val="es-CO"/>
        </w:rPr>
        <w:t xml:space="preserve"> aquella </w:t>
      </w:r>
      <w:r w:rsidR="00F61F5E" w:rsidRPr="00500E12">
        <w:rPr>
          <w:lang w:val="es-CO"/>
        </w:rPr>
        <w:t>estaba reservada a los eventos en los que la administración</w:t>
      </w:r>
      <w:r w:rsidR="007F5CAE" w:rsidRPr="00500E12">
        <w:rPr>
          <w:lang w:val="es-CO"/>
        </w:rPr>
        <w:t>, hacía</w:t>
      </w:r>
      <w:r w:rsidR="00F61F5E" w:rsidRPr="00500E12">
        <w:rPr>
          <w:lang w:val="es-CO"/>
        </w:rPr>
        <w:t xml:space="preserve"> uso de su potestad exorbitante </w:t>
      </w:r>
      <w:r w:rsidR="007F5CAE" w:rsidRPr="00500E12">
        <w:rPr>
          <w:lang w:val="es-CO"/>
        </w:rPr>
        <w:t>para declarar la</w:t>
      </w:r>
      <w:r w:rsidR="00F61F5E" w:rsidRPr="00500E12">
        <w:rPr>
          <w:lang w:val="es-CO"/>
        </w:rPr>
        <w:t xml:space="preserve"> caducidad del contrato</w:t>
      </w:r>
      <w:r w:rsidR="00EC033D" w:rsidRPr="00500E12">
        <w:rPr>
          <w:lang w:val="es-CO"/>
        </w:rPr>
        <w:t>, de modo que era una cau</w:t>
      </w:r>
      <w:r w:rsidR="00071EDF" w:rsidRPr="00500E12">
        <w:rPr>
          <w:lang w:val="es-CO"/>
        </w:rPr>
        <w:t>sal restrictiva de origen legal. Agregó que en el caso concreto, la gobernación debió acudir al procedimiento establecido en el estatuto comercial, en aras de hacer la correspondiente reclamación.</w:t>
      </w:r>
    </w:p>
    <w:p w14:paraId="7D68CE49" w14:textId="77777777" w:rsidR="00EC033D" w:rsidRPr="00500E12" w:rsidRDefault="00EC033D" w:rsidP="00206CEE">
      <w:pPr>
        <w:rPr>
          <w:lang w:val="es-CO"/>
        </w:rPr>
      </w:pPr>
    </w:p>
    <w:p w14:paraId="38BEC405" w14:textId="77777777" w:rsidR="00564523" w:rsidRPr="00500E12" w:rsidRDefault="0051077C" w:rsidP="00C902FA">
      <w:r w:rsidRPr="00500E12">
        <w:rPr>
          <w:lang w:val="es-CO"/>
        </w:rPr>
        <w:t xml:space="preserve">15.2. </w:t>
      </w:r>
      <w:r w:rsidR="00EC033D" w:rsidRPr="00500E12">
        <w:rPr>
          <w:lang w:val="es-CO"/>
        </w:rPr>
        <w:t xml:space="preserve">En ese sentido, </w:t>
      </w:r>
      <w:r w:rsidR="00121BFD" w:rsidRPr="00500E12">
        <w:rPr>
          <w:lang w:val="es-CO"/>
        </w:rPr>
        <w:t>en aras de una mayor ilustración, la</w:t>
      </w:r>
      <w:r w:rsidRPr="00500E12">
        <w:rPr>
          <w:lang w:val="es-CO"/>
        </w:rPr>
        <w:t xml:space="preserve"> Sala considera pertinente </w:t>
      </w:r>
      <w:r w:rsidR="00EC033D" w:rsidRPr="00500E12">
        <w:rPr>
          <w:lang w:val="es-CO"/>
        </w:rPr>
        <w:t xml:space="preserve">precisar que </w:t>
      </w:r>
      <w:r w:rsidRPr="00500E12">
        <w:rPr>
          <w:lang w:val="es-CO"/>
        </w:rPr>
        <w:t>l</w:t>
      </w:r>
      <w:r w:rsidR="00C902FA" w:rsidRPr="00500E12">
        <w:t>a cláusula de garantía de los contratos estatales ha sido prevista por las diferentes normas y estatutos que ha regido esa actividad de la administración</w:t>
      </w:r>
      <w:r w:rsidR="007B7D69" w:rsidRPr="00500E12">
        <w:t>,</w:t>
      </w:r>
      <w:r w:rsidR="00C902FA" w:rsidRPr="00500E12">
        <w:t xml:space="preserve"> los cuales han determinado que las personas naturales o jurídicas que celebren contratos con el Estado</w:t>
      </w:r>
      <w:r w:rsidR="007B7D69" w:rsidRPr="00500E12">
        <w:t>,</w:t>
      </w:r>
      <w:r w:rsidR="00C902FA" w:rsidRPr="00500E12">
        <w:t xml:space="preserve"> están en la obligación de prestar una garantía única que avale el cumplimiento de las obligaciones</w:t>
      </w:r>
      <w:r w:rsidR="007B7D69" w:rsidRPr="00500E12">
        <w:t xml:space="preserve"> a su cargo</w:t>
      </w:r>
      <w:r w:rsidR="00C902FA" w:rsidRPr="00500E12">
        <w:t>.</w:t>
      </w:r>
    </w:p>
    <w:p w14:paraId="0972CF9B" w14:textId="77777777" w:rsidR="00564523" w:rsidRPr="00500E12" w:rsidRDefault="00564523" w:rsidP="00C902FA"/>
    <w:p w14:paraId="14933458" w14:textId="77777777" w:rsidR="00C902FA" w:rsidRPr="00500E12" w:rsidRDefault="0051077C" w:rsidP="00C902FA">
      <w:r w:rsidRPr="00500E12">
        <w:t xml:space="preserve">15.3. </w:t>
      </w:r>
      <w:r w:rsidR="00C902FA" w:rsidRPr="00500E12">
        <w:t xml:space="preserve">Este requisito es obligatorio y de orden público, dado que constituye una herramienta para salvaguardar los fines de la contratación estatal tales como la satisfacción del interés general, al asegurar la ejecución del objeto del contrato, y el correcto uso del </w:t>
      </w:r>
      <w:r w:rsidR="007B7D69" w:rsidRPr="00500E12">
        <w:t>erario</w:t>
      </w:r>
      <w:r w:rsidR="00C902FA" w:rsidRPr="00500E12">
        <w:t xml:space="preserve">, al proteger al patrimonio del Estado del perjuicio que se derivaría de un eventual incumplimiento del contratista. </w:t>
      </w:r>
    </w:p>
    <w:p w14:paraId="6E4BCEEF" w14:textId="77777777" w:rsidR="00C902FA" w:rsidRPr="00500E12" w:rsidRDefault="00C902FA" w:rsidP="00C902FA"/>
    <w:p w14:paraId="6D4EA527" w14:textId="77777777" w:rsidR="00C902FA" w:rsidRPr="00500E12" w:rsidRDefault="0051077C" w:rsidP="00C902FA">
      <w:r w:rsidRPr="00500E12">
        <w:t xml:space="preserve">15.4. </w:t>
      </w:r>
      <w:r w:rsidR="00C902FA" w:rsidRPr="00500E12">
        <w:t xml:space="preserve">Su inclusión imperativa en el clausulado contractual ha sido prevista incluso desde el Decreto Ley  222 de 1983, en sus artículos 67 a 70 para luego ser incorporado a la Ley 80 de 1993 en su artículos 25.19 y 60, así como en el artículo 7 de la Ley 1150 de 2007, y puede consistir, aunque no de manera exclusiva, en pólizas expedidas por sociedades </w:t>
      </w:r>
      <w:r w:rsidR="00486DE7" w:rsidRPr="00500E12">
        <w:t xml:space="preserve">aseguradoras </w:t>
      </w:r>
      <w:r w:rsidR="00C902FA" w:rsidRPr="00500E12">
        <w:t xml:space="preserve">autorizadas para su funcionamiento en el país. Su vigencia depende de su naturaleza y lo fijado en los diferentes reglamentos, pero en cualquier caso, no puede ser inferior al plazo de ejecución y liquidación del contrato. </w:t>
      </w:r>
    </w:p>
    <w:p w14:paraId="7D22AC98" w14:textId="77777777" w:rsidR="00C902FA" w:rsidRPr="00500E12" w:rsidRDefault="00C902FA" w:rsidP="00C902FA">
      <w:pPr>
        <w:rPr>
          <w:lang w:val="es-CO"/>
        </w:rPr>
      </w:pPr>
    </w:p>
    <w:p w14:paraId="364444EC" w14:textId="77777777" w:rsidR="00C902FA" w:rsidRPr="00500E12" w:rsidRDefault="0051077C" w:rsidP="00C902FA">
      <w:pPr>
        <w:rPr>
          <w:lang w:val="es-CO"/>
        </w:rPr>
      </w:pPr>
      <w:r w:rsidRPr="00500E12">
        <w:rPr>
          <w:lang w:val="es-CO"/>
        </w:rPr>
        <w:t xml:space="preserve">15.5. </w:t>
      </w:r>
      <w:r w:rsidR="000C1AC2" w:rsidRPr="00500E12">
        <w:rPr>
          <w:lang w:val="es-CO"/>
        </w:rPr>
        <w:t>Si bien,</w:t>
      </w:r>
      <w:r w:rsidR="00C902FA" w:rsidRPr="00500E12">
        <w:rPr>
          <w:lang w:val="es-CO"/>
        </w:rPr>
        <w:t xml:space="preserve"> en general se rige por lo previsto en el Código de Comercio, </w:t>
      </w:r>
      <w:r w:rsidR="00071EDF" w:rsidRPr="00500E12">
        <w:rPr>
          <w:lang w:val="es-CO"/>
        </w:rPr>
        <w:t xml:space="preserve">contrario a lo que señaló la parte actora, </w:t>
      </w:r>
      <w:r w:rsidR="00C902FA" w:rsidRPr="00500E12">
        <w:rPr>
          <w:lang w:val="es-CO"/>
        </w:rPr>
        <w:t xml:space="preserve">se trata de un contrato de seguro con elementos sustancialmente diferentes a los celebrados por particulares, especialmente en lo que tiene que ver con la reclamación ante la aseguradora, dado que la administración posee la potestad de proferir un acto administrativo debidamente motivado, mediante el cual declara la ocurrencia del siniestro amparado. </w:t>
      </w:r>
      <w:r w:rsidR="00CA648A" w:rsidRPr="00500E12">
        <w:rPr>
          <w:lang w:val="es-CO"/>
        </w:rPr>
        <w:t>En ese sentido, se destaca que, c</w:t>
      </w:r>
      <w:r w:rsidR="00C902FA" w:rsidRPr="00500E12">
        <w:rPr>
          <w:lang w:val="es-CO"/>
        </w:rPr>
        <w:t>omo todo acto administrativo, la declaratoria del siniestro goza de una presunción de legalidad que puede ser impugnada en sede administrativa tanto por quien expidió el seguro, como por el contratista</w:t>
      </w:r>
      <w:r w:rsidR="005712DB" w:rsidRPr="00500E12">
        <w:rPr>
          <w:lang w:val="es-CO"/>
        </w:rPr>
        <w:t xml:space="preserve">, quienes </w:t>
      </w:r>
      <w:r w:rsidR="00C902FA" w:rsidRPr="00500E12">
        <w:rPr>
          <w:lang w:val="es-CO"/>
        </w:rPr>
        <w:t xml:space="preserve">también tiene la potestad de demandarlo ante la jurisdicción de lo contencioso Administrativo. </w:t>
      </w:r>
    </w:p>
    <w:p w14:paraId="7414D564" w14:textId="77777777" w:rsidR="005079F8" w:rsidRPr="00500E12" w:rsidRDefault="005079F8" w:rsidP="00C902FA">
      <w:pPr>
        <w:rPr>
          <w:lang w:val="es-CO"/>
        </w:rPr>
      </w:pPr>
    </w:p>
    <w:p w14:paraId="5E4B5E5A" w14:textId="77777777" w:rsidR="00C902FA" w:rsidRPr="00500E12" w:rsidRDefault="0051077C" w:rsidP="00C902FA">
      <w:pPr>
        <w:rPr>
          <w:lang w:val="es-CO"/>
        </w:rPr>
      </w:pPr>
      <w:r w:rsidRPr="00500E12">
        <w:rPr>
          <w:lang w:val="es-CO"/>
        </w:rPr>
        <w:t xml:space="preserve">15.6. </w:t>
      </w:r>
      <w:r w:rsidR="00A6318A" w:rsidRPr="00500E12">
        <w:rPr>
          <w:lang w:val="es-CO"/>
        </w:rPr>
        <w:t xml:space="preserve">En efecto, </w:t>
      </w:r>
      <w:bookmarkStart w:id="1" w:name="_Hlk26377091"/>
      <w:r w:rsidR="00A6318A" w:rsidRPr="00500E12">
        <w:rPr>
          <w:lang w:val="es-CO"/>
        </w:rPr>
        <w:t>u</w:t>
      </w:r>
      <w:r w:rsidR="00C902FA" w:rsidRPr="00500E12">
        <w:rPr>
          <w:lang w:val="es-CO"/>
        </w:rPr>
        <w:t xml:space="preserve">na de las prerrogativas con las que cuenta la administración en el ejercicio de la actividad contractual es, precisamente, la de declarar por medio de un acto administrativo debidamente motivado la ocurrencia </w:t>
      </w:r>
      <w:r w:rsidR="00486DE7" w:rsidRPr="00500E12">
        <w:rPr>
          <w:lang w:val="es-CO"/>
        </w:rPr>
        <w:t xml:space="preserve">del </w:t>
      </w:r>
      <w:r w:rsidR="00C902FA" w:rsidRPr="00500E12">
        <w:rPr>
          <w:lang w:val="es-CO"/>
        </w:rPr>
        <w:t xml:space="preserve">siniestro o </w:t>
      </w:r>
      <w:r w:rsidR="00486DE7" w:rsidRPr="00500E12">
        <w:rPr>
          <w:lang w:val="es-CO"/>
        </w:rPr>
        <w:t xml:space="preserve">de </w:t>
      </w:r>
      <w:r w:rsidR="00C902FA" w:rsidRPr="00500E12">
        <w:rPr>
          <w:lang w:val="es-CO"/>
        </w:rPr>
        <w:t>incumplimiento de las obligaciones a cargo del contratista, el de estabilidad de la obra y el de calidad y correcto funcionamiento de los bienes suministrados, los cuales, como se dijo, deben encontrarse asegurados por las garantías del contrato</w:t>
      </w:r>
      <w:r w:rsidR="00DE1E8A" w:rsidRPr="00500E12">
        <w:rPr>
          <w:rStyle w:val="Refdenotaalpie"/>
          <w:rFonts w:cs="Arial"/>
          <w:lang w:val="es-CO"/>
        </w:rPr>
        <w:footnoteReference w:id="22"/>
      </w:r>
      <w:r w:rsidR="00C902FA" w:rsidRPr="00500E12">
        <w:rPr>
          <w:lang w:val="es-CO"/>
        </w:rPr>
        <w:t>.</w:t>
      </w:r>
      <w:bookmarkEnd w:id="1"/>
    </w:p>
    <w:p w14:paraId="0C6F9ACF" w14:textId="77777777" w:rsidR="005079F8" w:rsidRPr="00500E12" w:rsidRDefault="005079F8" w:rsidP="00C902FA"/>
    <w:p w14:paraId="3092B132" w14:textId="77777777" w:rsidR="005079F8" w:rsidRPr="00500E12" w:rsidRDefault="0051077C" w:rsidP="005079F8">
      <w:r w:rsidRPr="00500E12">
        <w:t xml:space="preserve">15.7. </w:t>
      </w:r>
      <w:r w:rsidR="00E86298" w:rsidRPr="00500E12">
        <w:t>En ese sentido,</w:t>
      </w:r>
      <w:r w:rsidR="00AD28FA" w:rsidRPr="00500E12">
        <w:t xml:space="preserve"> se tiene que </w:t>
      </w:r>
      <w:r w:rsidR="00E86298" w:rsidRPr="00500E12">
        <w:t>l</w:t>
      </w:r>
      <w:r w:rsidR="00161409" w:rsidRPr="00500E12">
        <w:t>a jurisprudencia de la Sección ha sostenido</w:t>
      </w:r>
      <w:r w:rsidR="005079F8" w:rsidRPr="00500E12">
        <w:t xml:space="preserve"> reiteradamente</w:t>
      </w:r>
      <w:r w:rsidR="00161409" w:rsidRPr="00500E12">
        <w:t xml:space="preserve"> </w:t>
      </w:r>
      <w:r w:rsidR="004E0FA9" w:rsidRPr="00500E12">
        <w:t>al respecto</w:t>
      </w:r>
      <w:r w:rsidR="005079F8" w:rsidRPr="00500E12">
        <w:rPr>
          <w:rStyle w:val="Refdenotaalpie"/>
          <w:rFonts w:cs="Arial"/>
        </w:rPr>
        <w:footnoteReference w:id="23"/>
      </w:r>
      <w:r w:rsidR="005079F8" w:rsidRPr="00500E12">
        <w:t xml:space="preserve">: </w:t>
      </w:r>
    </w:p>
    <w:p w14:paraId="06A49546" w14:textId="77777777" w:rsidR="004E0FA9" w:rsidRPr="00500E12" w:rsidRDefault="004E0FA9" w:rsidP="005079F8">
      <w:pPr>
        <w:shd w:val="clear" w:color="auto" w:fill="FFFFFF"/>
        <w:spacing w:line="240" w:lineRule="auto"/>
        <w:ind w:left="567" w:right="567"/>
        <w:rPr>
          <w:i/>
          <w:color w:val="000000"/>
          <w:spacing w:val="1"/>
        </w:rPr>
      </w:pPr>
    </w:p>
    <w:p w14:paraId="72FF4431" w14:textId="77777777" w:rsidR="005079F8" w:rsidRPr="00500E12" w:rsidRDefault="005079F8" w:rsidP="005079F8">
      <w:pPr>
        <w:shd w:val="clear" w:color="auto" w:fill="FFFFFF"/>
        <w:spacing w:line="240" w:lineRule="auto"/>
        <w:ind w:left="567" w:right="567"/>
        <w:rPr>
          <w:i/>
          <w:color w:val="000000"/>
          <w:spacing w:val="1"/>
        </w:rPr>
      </w:pPr>
      <w:r w:rsidRPr="00500E12">
        <w:rPr>
          <w:i/>
          <w:color w:val="000000"/>
          <w:spacing w:val="1"/>
        </w:rPr>
        <w:t xml:space="preserve">La Sala reitera el criterio que de años atrás ha consolidado en el sentido de que la Administración goza de la prerrogativa de declarar el siniestro derivado de la ejecución de los contratos estatales, </w:t>
      </w:r>
      <w:r w:rsidRPr="00500E12">
        <w:rPr>
          <w:i/>
          <w:color w:val="000000"/>
          <w:spacing w:val="1"/>
          <w:u w:val="single"/>
        </w:rPr>
        <w:t>de hacer efectiva la garantía que ha sido constituida a su favor</w:t>
      </w:r>
      <w:r w:rsidRPr="00500E12">
        <w:rPr>
          <w:i/>
          <w:color w:val="000000"/>
          <w:spacing w:val="1"/>
        </w:rPr>
        <w:t xml:space="preserve">, </w:t>
      </w:r>
      <w:r w:rsidRPr="00500E12">
        <w:rPr>
          <w:i/>
          <w:color w:val="000000"/>
          <w:spacing w:val="1"/>
          <w:u w:val="single"/>
        </w:rPr>
        <w:t>y en esta oportunidad precisa que tal prerrogativa conlleva la de cuantificar el perjuicio</w:t>
      </w:r>
      <w:r w:rsidRPr="00500E12">
        <w:rPr>
          <w:i/>
          <w:color w:val="000000"/>
          <w:spacing w:val="1"/>
        </w:rPr>
        <w:t xml:space="preserve">, aún después de la terminación del contrato, mediante la expedición de actos administrativos, los cuales están sujetos al control gubernativo y judicial, en consecuencia, podrán ser impugnados ante la propia Administración mediante la interposición de los recursos que la ley ha previsto para el efecto y por vía judicial mediante el ejercicio de la acción contractual. </w:t>
      </w:r>
    </w:p>
    <w:p w14:paraId="45E7FA9F" w14:textId="77777777" w:rsidR="005079F8" w:rsidRPr="00500E12" w:rsidRDefault="005079F8" w:rsidP="005079F8">
      <w:pPr>
        <w:shd w:val="clear" w:color="auto" w:fill="FFFFFF"/>
        <w:spacing w:line="240" w:lineRule="auto"/>
        <w:ind w:left="567" w:right="567"/>
        <w:rPr>
          <w:i/>
          <w:color w:val="000000"/>
          <w:spacing w:val="1"/>
        </w:rPr>
      </w:pPr>
    </w:p>
    <w:p w14:paraId="6F86721C" w14:textId="77777777" w:rsidR="005079F8" w:rsidRPr="00500E12" w:rsidRDefault="005079F8" w:rsidP="005079F8">
      <w:pPr>
        <w:shd w:val="clear" w:color="auto" w:fill="FFFFFF"/>
        <w:spacing w:line="240" w:lineRule="auto"/>
        <w:ind w:left="567" w:right="567"/>
        <w:rPr>
          <w:color w:val="000000"/>
          <w:spacing w:val="1"/>
        </w:rPr>
      </w:pPr>
      <w:r w:rsidRPr="00500E12">
        <w:rPr>
          <w:i/>
          <w:color w:val="000000"/>
          <w:spacing w:val="1"/>
        </w:rPr>
        <w:t xml:space="preserve">(…) resulta claro que la Administración está investida de facultad para declarar directamente el siniestro ocurrido en relación con la ejecución del contrato estatal celebrado y hacer efectiva la garantía constituida a su favor, </w:t>
      </w:r>
      <w:r w:rsidRPr="00500E12">
        <w:rPr>
          <w:i/>
          <w:color w:val="000000"/>
          <w:spacing w:val="1"/>
          <w:u w:val="single"/>
        </w:rPr>
        <w:t>mediante la expedición de un acto administrativo, el cual deberá contener los fundamentos fácticos y probatorios del siniestro y el monto o cuantía de la indemnización; acto que una vez ejecutoriado permitirá exigir a la compañía aseguradora el pago de dicha indemnización</w:t>
      </w:r>
      <w:r w:rsidRPr="00500E12">
        <w:rPr>
          <w:i/>
          <w:color w:val="000000"/>
          <w:spacing w:val="1"/>
        </w:rPr>
        <w:t xml:space="preserve">, así lo ha dispuesto la ley, decisión que está sujeta al control de legalidad, tanto por vía gubernativa como por vía jurisdiccional </w:t>
      </w:r>
      <w:r w:rsidRPr="00500E12">
        <w:rPr>
          <w:color w:val="000000"/>
          <w:spacing w:val="1"/>
        </w:rPr>
        <w:t>(las negrillas son del texto original)</w:t>
      </w:r>
      <w:r w:rsidRPr="00500E12">
        <w:rPr>
          <w:rStyle w:val="Refdenotaalpie"/>
          <w:rFonts w:cs="Arial"/>
          <w:color w:val="000000"/>
          <w:spacing w:val="1"/>
        </w:rPr>
        <w:footnoteReference w:id="24"/>
      </w:r>
      <w:r w:rsidRPr="00500E12">
        <w:rPr>
          <w:color w:val="000000"/>
          <w:spacing w:val="1"/>
        </w:rPr>
        <w:t>.</w:t>
      </w:r>
    </w:p>
    <w:p w14:paraId="13D49FE6" w14:textId="77777777" w:rsidR="005079F8" w:rsidRPr="00500E12" w:rsidRDefault="005079F8" w:rsidP="00564523">
      <w:pPr>
        <w:shd w:val="clear" w:color="auto" w:fill="FFFFFF"/>
        <w:ind w:right="567"/>
        <w:rPr>
          <w:color w:val="000000"/>
          <w:spacing w:val="1"/>
        </w:rPr>
      </w:pPr>
    </w:p>
    <w:p w14:paraId="5F06FA9E" w14:textId="77777777" w:rsidR="00561EB2" w:rsidRPr="00500E12" w:rsidRDefault="0051077C" w:rsidP="00561EB2">
      <w:pPr>
        <w:rPr>
          <w:lang w:val="es-CO"/>
        </w:rPr>
      </w:pPr>
      <w:r w:rsidRPr="00500E12">
        <w:t xml:space="preserve">15.8. </w:t>
      </w:r>
      <w:r w:rsidR="00C902FA" w:rsidRPr="00500E12">
        <w:t>Esta conclusión</w:t>
      </w:r>
      <w:r w:rsidR="00AD28FA" w:rsidRPr="00500E12">
        <w:t xml:space="preserve">, se reitera, </w:t>
      </w:r>
      <w:r w:rsidR="00C902FA" w:rsidRPr="00500E12">
        <w:t xml:space="preserve">se deriva </w:t>
      </w:r>
      <w:bookmarkStart w:id="2" w:name="_Hlk26377211"/>
      <w:r w:rsidR="00C902FA" w:rsidRPr="00500E12">
        <w:t>de lo previsto en el artículo 68 del Código Contencioso Administrativo, que en sus numerales 4 y 5 establece que las pólizas de seguro de las que la administración es beneficiaria prestan mérito ejecutivo junto con el acto administrativo que declara esa obligación –siempre que este se encuentre debidamente ejecutoriado-, lo cual implica la potestad de la entidad de declarar el siniestro, con la posibilidad de la aseguradora de oponerse solo mediante el uso de los recursos propios de la vía gubernativa y/o demandar la nulidad del acto judicialmente</w:t>
      </w:r>
      <w:r w:rsidR="000908F9" w:rsidRPr="00500E12">
        <w:rPr>
          <w:rStyle w:val="Refdenotaalpie"/>
          <w:rFonts w:cs="Arial"/>
        </w:rPr>
        <w:footnoteReference w:id="25"/>
      </w:r>
      <w:r w:rsidR="00561EB2" w:rsidRPr="00500E12">
        <w:t xml:space="preserve">, sin que esté limitada </w:t>
      </w:r>
      <w:r w:rsidR="00561EB2" w:rsidRPr="00500E12">
        <w:rPr>
          <w:lang w:val="es-CO"/>
        </w:rPr>
        <w:t xml:space="preserve">a los eventos en los que se declara la caducidad del contrato, </w:t>
      </w:r>
      <w:bookmarkEnd w:id="2"/>
      <w:r w:rsidR="00561EB2" w:rsidRPr="00500E12">
        <w:rPr>
          <w:lang w:val="es-CO"/>
        </w:rPr>
        <w:t>como lo aseguró la actora.</w:t>
      </w:r>
    </w:p>
    <w:p w14:paraId="29C964DA" w14:textId="77777777" w:rsidR="00C902FA" w:rsidRPr="00500E12" w:rsidRDefault="00C902FA" w:rsidP="00C902FA"/>
    <w:p w14:paraId="2E2ED6CA" w14:textId="77777777" w:rsidR="008D22BD" w:rsidRPr="00500E12" w:rsidRDefault="0051077C" w:rsidP="00C902FA">
      <w:r w:rsidRPr="00500E12">
        <w:t xml:space="preserve">15.9. </w:t>
      </w:r>
      <w:r w:rsidR="002F04C1" w:rsidRPr="00500E12">
        <w:t>En ese sentido, s</w:t>
      </w:r>
      <w:r w:rsidR="00AD28FA" w:rsidRPr="00500E12">
        <w:t xml:space="preserve">e pone de presente que </w:t>
      </w:r>
      <w:bookmarkStart w:id="3" w:name="_Hlk26377339"/>
      <w:r w:rsidR="000A62DD" w:rsidRPr="00500E12">
        <w:t>la garantía de estabilidad de la obra, despliega sus efectos una vez se ha finalizado el contrato, no durante su ejecución</w:t>
      </w:r>
      <w:r w:rsidR="00E02486" w:rsidRPr="00500E12">
        <w:t>;</w:t>
      </w:r>
      <w:r w:rsidR="008D22BD" w:rsidRPr="00500E12">
        <w:t xml:space="preserve"> con ella</w:t>
      </w:r>
      <w:r w:rsidR="00E02486" w:rsidRPr="00500E12">
        <w:t>,</w:t>
      </w:r>
      <w:r w:rsidR="008D22BD" w:rsidRPr="00500E12">
        <w:t xml:space="preserve"> se busca cubrir los perjuicios que se llegaren a presentar por causas imputables al contratista, esto es, el deterioro de la obra en condiciones normales de uso y que no permitan la prestación del servicio para el cual se ejecutó</w:t>
      </w:r>
      <w:r w:rsidR="00CF2A09" w:rsidRPr="00500E12">
        <w:t>.</w:t>
      </w:r>
    </w:p>
    <w:bookmarkEnd w:id="3"/>
    <w:p w14:paraId="55F2C3D2" w14:textId="77777777" w:rsidR="008D22BD" w:rsidRPr="00500E12" w:rsidRDefault="008D22BD" w:rsidP="00C902FA">
      <w:pPr>
        <w:rPr>
          <w:strike/>
        </w:rPr>
      </w:pPr>
    </w:p>
    <w:p w14:paraId="5D4F3138" w14:textId="77777777" w:rsidR="00DE1E8A" w:rsidRPr="00500E12" w:rsidRDefault="0051077C" w:rsidP="00DE1E8A">
      <w:pPr>
        <w:shd w:val="clear" w:color="auto" w:fill="FFFFFF"/>
        <w:rPr>
          <w:bCs/>
          <w:color w:val="000000"/>
        </w:rPr>
      </w:pPr>
      <w:r w:rsidRPr="00500E12">
        <w:t xml:space="preserve">15.10. </w:t>
      </w:r>
      <w:r w:rsidR="005079F8" w:rsidRPr="00500E12">
        <w:t>Ahora bien.</w:t>
      </w:r>
      <w:r w:rsidR="00DE1E8A" w:rsidRPr="00500E12">
        <w:t xml:space="preserve"> </w:t>
      </w:r>
      <w:r w:rsidR="00AD28FA" w:rsidRPr="00500E12">
        <w:t xml:space="preserve">Sobre </w:t>
      </w:r>
      <w:r w:rsidR="00DE1E8A" w:rsidRPr="00500E12">
        <w:t xml:space="preserve">la naturaleza del seguro de cumplimiento, que es la especie a la que corresponden las pólizas contentivas de las garantías de los contratos estatales, </w:t>
      </w:r>
      <w:r w:rsidR="00944BF1" w:rsidRPr="00500E12">
        <w:t xml:space="preserve">la jurisprudencia también ha </w:t>
      </w:r>
      <w:r w:rsidR="00DE1E8A" w:rsidRPr="00500E12">
        <w:t xml:space="preserve">sostenido que se trata de una modalidad de los seguros de daño, respecto de los cuales </w:t>
      </w:r>
      <w:r w:rsidR="00DE1E8A" w:rsidRPr="00500E12">
        <w:rPr>
          <w:i/>
        </w:rPr>
        <w:t xml:space="preserve">“(…) </w:t>
      </w:r>
      <w:r w:rsidR="00DE1E8A" w:rsidRPr="00500E12">
        <w:rPr>
          <w:bCs/>
          <w:i/>
          <w:color w:val="000000"/>
        </w:rPr>
        <w:t>es indispensable no solo demostrar la ocurrencia del siniestro sino determinar la cuantía del perjuicio ocasionado en el patrimonio del acreedor, elemento que es de su esencia para proceder a la indemnización, puesto que como quedó establecido, en los seguros de daño, no basta que haya ocurrido el siniestro sino que éste debe necesariamente haber causado un perjuicio al patrimonio, puesto que si no es así no se habrá producido daño alguno y en consecuencia no habría lugar a la correspondiente indemnización”</w:t>
      </w:r>
      <w:r w:rsidR="00DE1E8A" w:rsidRPr="00500E12">
        <w:rPr>
          <w:rStyle w:val="Refdenotaalpie"/>
          <w:rFonts w:cs="Arial"/>
          <w:bCs/>
          <w:i/>
          <w:color w:val="000000"/>
        </w:rPr>
        <w:footnoteReference w:id="26"/>
      </w:r>
      <w:r w:rsidR="00DE1E8A" w:rsidRPr="00500E12">
        <w:rPr>
          <w:bCs/>
          <w:color w:val="000000"/>
        </w:rPr>
        <w:t>.</w:t>
      </w:r>
    </w:p>
    <w:p w14:paraId="42201AB1" w14:textId="77777777" w:rsidR="00DE1E8A" w:rsidRPr="00500E12" w:rsidRDefault="00DE1E8A" w:rsidP="00DE1E8A"/>
    <w:p w14:paraId="64ACE0F9" w14:textId="77777777" w:rsidR="00DE1E8A" w:rsidRPr="00500E12" w:rsidRDefault="0051077C" w:rsidP="00DE1E8A">
      <w:pPr>
        <w:rPr>
          <w:strike/>
        </w:rPr>
      </w:pPr>
      <w:r w:rsidRPr="00500E12">
        <w:t xml:space="preserve">15.11. </w:t>
      </w:r>
      <w:r w:rsidR="00066271" w:rsidRPr="00500E12">
        <w:t>Finalmente, es pertinente anotar que a partir de la expedición de la póliza de seguro como garantía del contrato estatal, surge una</w:t>
      </w:r>
      <w:r w:rsidR="00DE1E8A" w:rsidRPr="00500E12">
        <w:t xml:space="preserve"> relación sustancial que une a la aseguradora y a la entidad estatal,</w:t>
      </w:r>
      <w:r w:rsidR="00066271" w:rsidRPr="00500E12">
        <w:t xml:space="preserve"> conforme a la cual, se</w:t>
      </w:r>
      <w:r w:rsidR="00DE1E8A" w:rsidRPr="00500E12">
        <w:t xml:space="preserve"> legitima a la primera en el proceso judicial en el que se ventila su obligación de pagar la indemnización pactada, previa determinación de la existencia o inexistencia d</w:t>
      </w:r>
      <w:r w:rsidR="00066271" w:rsidRPr="00500E12">
        <w:t>el siniestro que la hace surgir</w:t>
      </w:r>
      <w:r w:rsidR="005E3A3E" w:rsidRPr="00500E12">
        <w:t>.</w:t>
      </w:r>
    </w:p>
    <w:p w14:paraId="573FA724" w14:textId="77777777" w:rsidR="001D4F59" w:rsidRPr="00500E12" w:rsidRDefault="001D4F59" w:rsidP="00C902FA">
      <w:pPr>
        <w:rPr>
          <w:lang w:val="es-CO"/>
        </w:rPr>
      </w:pPr>
    </w:p>
    <w:p w14:paraId="3FFC057E" w14:textId="77777777" w:rsidR="007F7BA7" w:rsidRPr="00500E12" w:rsidRDefault="0051077C" w:rsidP="007F7BA7">
      <w:pPr>
        <w:rPr>
          <w:lang w:val="es-CO"/>
        </w:rPr>
      </w:pPr>
      <w:r w:rsidRPr="00500E12">
        <w:rPr>
          <w:lang w:val="es-CO"/>
        </w:rPr>
        <w:t xml:space="preserve">15.12. </w:t>
      </w:r>
      <w:r w:rsidR="001D4F59" w:rsidRPr="00500E12">
        <w:rPr>
          <w:lang w:val="es-CO"/>
        </w:rPr>
        <w:t>En conclusión</w:t>
      </w:r>
      <w:r w:rsidR="00A103D2" w:rsidRPr="00500E12">
        <w:rPr>
          <w:lang w:val="es-CO"/>
        </w:rPr>
        <w:t xml:space="preserve">, </w:t>
      </w:r>
      <w:r w:rsidR="00C902FA" w:rsidRPr="00500E12">
        <w:rPr>
          <w:lang w:val="es-CO"/>
        </w:rPr>
        <w:t xml:space="preserve">la Sección Tercera ha indicado con meridiana claridad que en el marco de los contratos estatales, la administración tiene la facultad de declarar la ocurrencia del siniestro amparado por una póliza mediante la expedición de un acto administrativo </w:t>
      </w:r>
      <w:r w:rsidR="00C935DD" w:rsidRPr="00500E12">
        <w:rPr>
          <w:lang w:val="es-CO"/>
        </w:rPr>
        <w:t>ejecutable ante la jurisdicción</w:t>
      </w:r>
      <w:r w:rsidR="008C3D39" w:rsidRPr="00500E12">
        <w:rPr>
          <w:lang w:val="es-CO"/>
        </w:rPr>
        <w:t xml:space="preserve">. </w:t>
      </w:r>
      <w:r w:rsidR="00A843B6" w:rsidRPr="00500E12">
        <w:rPr>
          <w:lang w:val="es-CO"/>
        </w:rPr>
        <w:t xml:space="preserve">Por lo tanto, la </w:t>
      </w:r>
      <w:r w:rsidR="00A93A0D" w:rsidRPr="00500E12">
        <w:rPr>
          <w:lang w:val="es-CO"/>
        </w:rPr>
        <w:t xml:space="preserve">entidad estatal demandada </w:t>
      </w:r>
      <w:r w:rsidR="007F7BA7" w:rsidRPr="00500E12">
        <w:rPr>
          <w:lang w:val="es-CO"/>
        </w:rPr>
        <w:t>contaba con la competencia para expedir el acto administrativo</w:t>
      </w:r>
      <w:r w:rsidR="00A93A0D" w:rsidRPr="00500E12">
        <w:rPr>
          <w:lang w:val="es-CO"/>
        </w:rPr>
        <w:t>,</w:t>
      </w:r>
      <w:r w:rsidR="007F7BA7" w:rsidRPr="00500E12">
        <w:rPr>
          <w:lang w:val="es-CO"/>
        </w:rPr>
        <w:t xml:space="preserve"> en el que hizo efectivo el amparo contenido en la póliza otorgada por </w:t>
      </w:r>
      <w:r w:rsidR="00A843B6" w:rsidRPr="00500E12">
        <w:rPr>
          <w:lang w:val="es-CO"/>
        </w:rPr>
        <w:t>Confianza S.A.</w:t>
      </w:r>
      <w:r w:rsidR="008F7FCA" w:rsidRPr="00500E12">
        <w:rPr>
          <w:lang w:val="es-CO"/>
        </w:rPr>
        <w:t xml:space="preserve"> </w:t>
      </w:r>
    </w:p>
    <w:p w14:paraId="426B7E74" w14:textId="77777777" w:rsidR="008F7FCA" w:rsidRPr="00500E12" w:rsidRDefault="008F7FCA" w:rsidP="007F7BA7">
      <w:pPr>
        <w:rPr>
          <w:lang w:val="es-CO"/>
        </w:rPr>
      </w:pPr>
    </w:p>
    <w:p w14:paraId="30DEED27" w14:textId="77777777" w:rsidR="00F905BC" w:rsidRPr="00500E12" w:rsidRDefault="00A843B6" w:rsidP="00F905BC">
      <w:pPr>
        <w:rPr>
          <w:b/>
          <w:lang w:val="es-ES" w:eastAsia="es-ES"/>
        </w:rPr>
      </w:pPr>
      <w:r w:rsidRPr="00500E12">
        <w:rPr>
          <w:b/>
          <w:shd w:val="clear" w:color="auto" w:fill="FFFFFF"/>
        </w:rPr>
        <w:t>16</w:t>
      </w:r>
      <w:r w:rsidR="00793295" w:rsidRPr="00500E12">
        <w:rPr>
          <w:b/>
          <w:shd w:val="clear" w:color="auto" w:fill="FFFFFF"/>
        </w:rPr>
        <w:t xml:space="preserve">. </w:t>
      </w:r>
      <w:r w:rsidR="0075639F" w:rsidRPr="00500E12">
        <w:rPr>
          <w:b/>
          <w:shd w:val="clear" w:color="auto" w:fill="FFFFFF"/>
        </w:rPr>
        <w:t xml:space="preserve">De la </w:t>
      </w:r>
      <w:r w:rsidR="00A03BF9" w:rsidRPr="00500E12">
        <w:rPr>
          <w:b/>
          <w:shd w:val="clear" w:color="auto" w:fill="FFFFFF"/>
        </w:rPr>
        <w:t xml:space="preserve">falsa motivación de </w:t>
      </w:r>
      <w:r w:rsidR="00F905BC" w:rsidRPr="00500E12">
        <w:rPr>
          <w:b/>
          <w:lang w:val="es-ES" w:eastAsia="es-ES"/>
        </w:rPr>
        <w:t>las resoluciones n.º 102 del 22 de junio de 2000 y 168 del 21 de diciembre de 2000</w:t>
      </w:r>
    </w:p>
    <w:p w14:paraId="733CAFCE" w14:textId="77777777" w:rsidR="003C127F" w:rsidRPr="00500E12" w:rsidRDefault="003C127F" w:rsidP="00723DE1">
      <w:pPr>
        <w:rPr>
          <w:shd w:val="clear" w:color="auto" w:fill="FFFFFF"/>
        </w:rPr>
      </w:pPr>
    </w:p>
    <w:p w14:paraId="7A316C57" w14:textId="77777777" w:rsidR="003C127F" w:rsidRPr="00500E12" w:rsidRDefault="00475705" w:rsidP="00723DE1">
      <w:pPr>
        <w:rPr>
          <w:lang w:val="es-ES" w:eastAsia="es-ES"/>
        </w:rPr>
      </w:pPr>
      <w:r w:rsidRPr="00500E12">
        <w:rPr>
          <w:shd w:val="clear" w:color="auto" w:fill="FFFFFF"/>
        </w:rPr>
        <w:t>16</w:t>
      </w:r>
      <w:r w:rsidR="004E1678" w:rsidRPr="00500E12">
        <w:rPr>
          <w:shd w:val="clear" w:color="auto" w:fill="FFFFFF"/>
        </w:rPr>
        <w:t xml:space="preserve">.1. </w:t>
      </w:r>
      <w:r w:rsidR="00723DE1" w:rsidRPr="00500E12">
        <w:rPr>
          <w:shd w:val="clear" w:color="auto" w:fill="FFFFFF"/>
        </w:rPr>
        <w:t xml:space="preserve">La parte actora solicitó como pretensión subsidiaria que se declarara la nulidad de </w:t>
      </w:r>
      <w:r w:rsidR="00723DE1" w:rsidRPr="00500E12">
        <w:rPr>
          <w:lang w:val="es-ES" w:eastAsia="es-ES"/>
        </w:rPr>
        <w:t>las resoluciones n.º 102 del 22 de junio de 2000 y 168 del 21 de diciembre de 2000, con fundamento en una falsa motivación</w:t>
      </w:r>
      <w:r w:rsidR="003C127F" w:rsidRPr="00500E12">
        <w:rPr>
          <w:lang w:val="es-ES" w:eastAsia="es-ES"/>
        </w:rPr>
        <w:t>. Según su dicho, en el curso del contrato n.º</w:t>
      </w:r>
      <w:r w:rsidR="00075A17" w:rsidRPr="00500E12">
        <w:rPr>
          <w:lang w:val="es-ES" w:eastAsia="es-ES"/>
        </w:rPr>
        <w:t xml:space="preserve"> </w:t>
      </w:r>
      <w:r w:rsidR="003C127F" w:rsidRPr="00500E12">
        <w:rPr>
          <w:lang w:val="es-ES" w:eastAsia="es-ES"/>
        </w:rPr>
        <w:t xml:space="preserve">046 de 1998, </w:t>
      </w:r>
      <w:r w:rsidR="003C127F" w:rsidRPr="00500E12">
        <w:rPr>
          <w:lang w:val="es-CO"/>
        </w:rPr>
        <w:t>no se estipuló una obligación contractual en cabeza de la contratista para el mantenimiento de las obras con posterioridad a su entrega</w:t>
      </w:r>
      <w:r w:rsidR="00075A17" w:rsidRPr="00500E12">
        <w:rPr>
          <w:lang w:val="es-CO"/>
        </w:rPr>
        <w:t>, sumado a que</w:t>
      </w:r>
      <w:r w:rsidR="003C127F" w:rsidRPr="00500E12">
        <w:rPr>
          <w:lang w:val="es-CO"/>
        </w:rPr>
        <w:t xml:space="preserve"> </w:t>
      </w:r>
      <w:r w:rsidR="00FF1898" w:rsidRPr="00500E12">
        <w:rPr>
          <w:lang w:val="es-CO"/>
        </w:rPr>
        <w:t xml:space="preserve">aquellas </w:t>
      </w:r>
      <w:r w:rsidR="003C127F" w:rsidRPr="00500E12">
        <w:rPr>
          <w:lang w:val="es-CO"/>
        </w:rPr>
        <w:t>fueron diseñadas de conformidad con la solución acordada por las partes</w:t>
      </w:r>
      <w:r w:rsidR="00FF1898" w:rsidRPr="00500E12">
        <w:rPr>
          <w:lang w:val="es-CO"/>
        </w:rPr>
        <w:t xml:space="preserve"> y, finalmente, porque </w:t>
      </w:r>
      <w:r w:rsidR="003C127F" w:rsidRPr="00500E12">
        <w:rPr>
          <w:lang w:val="es-CO"/>
        </w:rPr>
        <w:t>se advirtió a la contratante</w:t>
      </w:r>
      <w:r w:rsidR="00FF1898" w:rsidRPr="00500E12">
        <w:rPr>
          <w:lang w:val="es-CO"/>
        </w:rPr>
        <w:t>,</w:t>
      </w:r>
      <w:r w:rsidR="003C127F" w:rsidRPr="00500E12">
        <w:rPr>
          <w:lang w:val="es-CO"/>
        </w:rPr>
        <w:t xml:space="preserve"> que debía </w:t>
      </w:r>
      <w:r w:rsidR="00FF1898" w:rsidRPr="00500E12">
        <w:rPr>
          <w:lang w:val="es-CO"/>
        </w:rPr>
        <w:t>hacer</w:t>
      </w:r>
      <w:r w:rsidR="003C127F" w:rsidRPr="00500E12">
        <w:rPr>
          <w:lang w:val="es-CO"/>
        </w:rPr>
        <w:t xml:space="preserve"> un mantenimiento preventivo,</w:t>
      </w:r>
      <w:r w:rsidR="00FF1898" w:rsidRPr="00500E12">
        <w:rPr>
          <w:lang w:val="es-CO"/>
        </w:rPr>
        <w:t xml:space="preserve"> razones para afirmar que </w:t>
      </w:r>
      <w:r w:rsidR="003C127F" w:rsidRPr="00500E12">
        <w:rPr>
          <w:lang w:val="es-CO"/>
        </w:rPr>
        <w:t>e</w:t>
      </w:r>
      <w:r w:rsidR="00564523" w:rsidRPr="00500E12">
        <w:rPr>
          <w:lang w:val="es-CO"/>
        </w:rPr>
        <w:t>l colapso no le era imputable.</w:t>
      </w:r>
    </w:p>
    <w:p w14:paraId="55164535" w14:textId="77777777" w:rsidR="003C127F" w:rsidRPr="00500E12" w:rsidRDefault="003C127F" w:rsidP="00723DE1">
      <w:pPr>
        <w:rPr>
          <w:lang w:val="es-ES" w:eastAsia="es-ES"/>
        </w:rPr>
      </w:pPr>
    </w:p>
    <w:p w14:paraId="5269E8FB" w14:textId="77777777" w:rsidR="00DA341F" w:rsidRPr="00500E12" w:rsidRDefault="00075A17" w:rsidP="00B70658">
      <w:pPr>
        <w:rPr>
          <w:lang w:val="es-CO"/>
        </w:rPr>
      </w:pPr>
      <w:r w:rsidRPr="00500E12">
        <w:rPr>
          <w:lang w:val="es-ES" w:eastAsia="es-ES"/>
        </w:rPr>
        <w:t xml:space="preserve">16.2. En ese orden de ideas, </w:t>
      </w:r>
      <w:r w:rsidR="00EB18D6" w:rsidRPr="00500E12">
        <w:rPr>
          <w:lang w:val="es-ES" w:eastAsia="es-ES"/>
        </w:rPr>
        <w:t>se reitera</w:t>
      </w:r>
      <w:r w:rsidR="00B70658" w:rsidRPr="00500E12">
        <w:rPr>
          <w:lang w:val="es-ES" w:eastAsia="es-ES"/>
        </w:rPr>
        <w:t xml:space="preserve">, que </w:t>
      </w:r>
      <w:r w:rsidR="00DA341F" w:rsidRPr="00500E12">
        <w:rPr>
          <w:lang w:val="es-CO"/>
        </w:rPr>
        <w:t>el contrato n.º 046, fue suscrito por las partes el 19 de octubre de 1998, con un plazo de ejecución de 4 meses, que iniciaron el 2 de diciembre de 1998 y culmina</w:t>
      </w:r>
      <w:r w:rsidR="00EB18D6" w:rsidRPr="00500E12">
        <w:rPr>
          <w:lang w:val="es-CO"/>
        </w:rPr>
        <w:t>ron</w:t>
      </w:r>
      <w:r w:rsidR="00DA341F" w:rsidRPr="00500E12">
        <w:rPr>
          <w:lang w:val="es-CO"/>
        </w:rPr>
        <w:t xml:space="preserve"> el 2 de abril de 1999, sin embargo, la obra fue entregada el 30 de marzo de 1999 (contrato de obra n.º 046 de 1998, acta n.º 1 de iniciación y Resolución n.º 168 de 1999, f. 92-98, 351-352, 9-16, c.2). Adicionalmente, consta en el expediente, que el contratista entregó los diseños </w:t>
      </w:r>
      <w:r w:rsidR="001B070E" w:rsidRPr="00500E12">
        <w:rPr>
          <w:lang w:val="es-CO"/>
        </w:rPr>
        <w:t xml:space="preserve">al interventor </w:t>
      </w:r>
      <w:r w:rsidR="00DA341F" w:rsidRPr="00500E12">
        <w:rPr>
          <w:lang w:val="es-CO"/>
        </w:rPr>
        <w:t>para su aprobación</w:t>
      </w:r>
      <w:r w:rsidR="001B070E" w:rsidRPr="00500E12">
        <w:rPr>
          <w:lang w:val="es-CO"/>
        </w:rPr>
        <w:t>,</w:t>
      </w:r>
      <w:r w:rsidR="00DA341F" w:rsidRPr="00500E12">
        <w:rPr>
          <w:lang w:val="es-CO"/>
        </w:rPr>
        <w:t xml:space="preserve"> el 7 de enero de 1999 (ver supra pár.13.5).</w:t>
      </w:r>
    </w:p>
    <w:p w14:paraId="441BC026" w14:textId="77777777" w:rsidR="00DA341F" w:rsidRPr="00500E12" w:rsidRDefault="00DA341F" w:rsidP="00B70658">
      <w:pPr>
        <w:rPr>
          <w:lang w:val="es-CO"/>
        </w:rPr>
      </w:pPr>
    </w:p>
    <w:p w14:paraId="77A738E9" w14:textId="77777777" w:rsidR="00C777D5" w:rsidRPr="00500E12" w:rsidRDefault="002E0C05" w:rsidP="00B70658">
      <w:pPr>
        <w:rPr>
          <w:lang w:val="es-CO"/>
        </w:rPr>
      </w:pPr>
      <w:r w:rsidRPr="00500E12">
        <w:rPr>
          <w:lang w:val="es-CO"/>
        </w:rPr>
        <w:t xml:space="preserve">16.3. </w:t>
      </w:r>
      <w:r w:rsidR="00367045" w:rsidRPr="00500E12">
        <w:rPr>
          <w:lang w:val="es-CO"/>
        </w:rPr>
        <w:t xml:space="preserve">Para </w:t>
      </w:r>
      <w:r w:rsidRPr="00500E12">
        <w:rPr>
          <w:lang w:val="es-CO"/>
        </w:rPr>
        <w:t xml:space="preserve">el 15 de mayo siguiente, la veeduría ciudadana informó a la demandada, que las obras ejecutadas en virtud del contrato n.º 046 de 1998, presentaban fallas y eso </w:t>
      </w:r>
      <w:r w:rsidR="00367045" w:rsidRPr="00500E12">
        <w:rPr>
          <w:lang w:val="es-CO"/>
        </w:rPr>
        <w:t>significaba</w:t>
      </w:r>
      <w:r w:rsidRPr="00500E12">
        <w:rPr>
          <w:lang w:val="es-CO"/>
        </w:rPr>
        <w:t xml:space="preserve"> un riesgo para la población del municipio de Útica</w:t>
      </w:r>
      <w:r w:rsidR="001A6AD7" w:rsidRPr="00500E12">
        <w:rPr>
          <w:lang w:val="es-CO"/>
        </w:rPr>
        <w:t xml:space="preserve"> ante un eventual volcamiento</w:t>
      </w:r>
      <w:r w:rsidRPr="00500E12">
        <w:rPr>
          <w:lang w:val="es-CO"/>
        </w:rPr>
        <w:t xml:space="preserve"> (ver supra pár.13.7</w:t>
      </w:r>
      <w:r w:rsidR="001A6AD7" w:rsidRPr="00500E12">
        <w:rPr>
          <w:lang w:val="es-CO"/>
        </w:rPr>
        <w:t>), situación respecto de la que el contratista</w:t>
      </w:r>
      <w:r w:rsidR="003106AB" w:rsidRPr="00500E12">
        <w:rPr>
          <w:lang w:val="es-CO"/>
        </w:rPr>
        <w:t>,</w:t>
      </w:r>
      <w:r w:rsidR="001A6AD7" w:rsidRPr="00500E12">
        <w:rPr>
          <w:lang w:val="es-CO"/>
        </w:rPr>
        <w:t xml:space="preserve"> adujo que era un efecto visual y no afectaba la estabilidad del muro por ellos construido, razón por la que recomendó que se hiciera el mantenimiento de las obras (ver supra pár.13.8),</w:t>
      </w:r>
      <w:r w:rsidR="00C777D5" w:rsidRPr="00500E12">
        <w:rPr>
          <w:lang w:val="es-CO"/>
        </w:rPr>
        <w:t xml:space="preserve"> </w:t>
      </w:r>
      <w:r w:rsidR="003106AB" w:rsidRPr="00500E12">
        <w:rPr>
          <w:lang w:val="es-CO"/>
        </w:rPr>
        <w:t>encargo</w:t>
      </w:r>
      <w:r w:rsidR="00C777D5" w:rsidRPr="00500E12">
        <w:rPr>
          <w:lang w:val="es-CO"/>
        </w:rPr>
        <w:t xml:space="preserve"> que reiteró el 29 de diciembre de 1999 y el 30 de marzo de 2000 (ver supra pár.13.12)</w:t>
      </w:r>
      <w:r w:rsidR="00DA5C71" w:rsidRPr="00500E12">
        <w:rPr>
          <w:lang w:val="es-CO"/>
        </w:rPr>
        <w:t>.</w:t>
      </w:r>
      <w:r w:rsidR="00C777D5" w:rsidRPr="00500E12">
        <w:rPr>
          <w:lang w:val="es-CO"/>
        </w:rPr>
        <w:t xml:space="preserve"> </w:t>
      </w:r>
    </w:p>
    <w:p w14:paraId="653F2AF1" w14:textId="77777777" w:rsidR="00C777D5" w:rsidRPr="00500E12" w:rsidRDefault="00C777D5" w:rsidP="00B70658">
      <w:pPr>
        <w:rPr>
          <w:lang w:val="es-CO"/>
        </w:rPr>
      </w:pPr>
    </w:p>
    <w:p w14:paraId="435F59C2" w14:textId="77777777" w:rsidR="00A87B54" w:rsidRPr="00500E12" w:rsidRDefault="00A87B54" w:rsidP="00A87B54">
      <w:pPr>
        <w:widowControl w:val="0"/>
        <w:suppressAutoHyphens w:val="0"/>
        <w:overflowPunct/>
        <w:autoSpaceDE/>
        <w:autoSpaceDN w:val="0"/>
        <w:rPr>
          <w:i/>
          <w:lang w:val="es-CO"/>
        </w:rPr>
      </w:pPr>
      <w:r w:rsidRPr="00500E12">
        <w:rPr>
          <w:lang w:val="es-CO"/>
        </w:rPr>
        <w:t xml:space="preserve">16.4. </w:t>
      </w:r>
      <w:r w:rsidR="00B02ECE" w:rsidRPr="00500E12">
        <w:rPr>
          <w:lang w:val="es-CO"/>
        </w:rPr>
        <w:t>L</w:t>
      </w:r>
      <w:r w:rsidRPr="00500E12">
        <w:rPr>
          <w:lang w:val="es-CO"/>
        </w:rPr>
        <w:t xml:space="preserve">os gaviones tuvieron que ser reconstruidos por la contratista el 30 de junio de 1999 y </w:t>
      </w:r>
      <w:r w:rsidR="00EF02EC" w:rsidRPr="00500E12">
        <w:rPr>
          <w:lang w:val="es-CO"/>
        </w:rPr>
        <w:t xml:space="preserve">fueron </w:t>
      </w:r>
      <w:r w:rsidRPr="00500E12">
        <w:rPr>
          <w:lang w:val="es-CO"/>
        </w:rPr>
        <w:t>recibido</w:t>
      </w:r>
      <w:r w:rsidR="00C94736" w:rsidRPr="00500E12">
        <w:rPr>
          <w:lang w:val="es-CO"/>
        </w:rPr>
        <w:t>s</w:t>
      </w:r>
      <w:r w:rsidRPr="00500E12">
        <w:rPr>
          <w:lang w:val="es-CO"/>
        </w:rPr>
        <w:t xml:space="preserve"> por la gobernación el 1 de septiembre siguiente</w:t>
      </w:r>
      <w:r w:rsidR="00C94736" w:rsidRPr="00500E12">
        <w:rPr>
          <w:lang w:val="es-CO"/>
        </w:rPr>
        <w:t xml:space="preserve">. Según </w:t>
      </w:r>
      <w:r w:rsidRPr="00500E12">
        <w:rPr>
          <w:lang w:val="es-CO"/>
        </w:rPr>
        <w:t xml:space="preserve">el interventor del contrato, </w:t>
      </w:r>
      <w:r w:rsidR="00C94736" w:rsidRPr="00500E12">
        <w:rPr>
          <w:lang w:val="es-CO"/>
        </w:rPr>
        <w:t xml:space="preserve">esa situación se derivó de </w:t>
      </w:r>
      <w:r w:rsidRPr="00500E12">
        <w:rPr>
          <w:lang w:val="es-CO"/>
        </w:rPr>
        <w:t xml:space="preserve">una falla por la socavación </w:t>
      </w:r>
      <w:r w:rsidR="00C94736" w:rsidRPr="00500E12">
        <w:rPr>
          <w:lang w:val="es-CO"/>
        </w:rPr>
        <w:t>originada</w:t>
      </w:r>
      <w:r w:rsidRPr="00500E12">
        <w:rPr>
          <w:lang w:val="es-CO"/>
        </w:rPr>
        <w:t xml:space="preserve"> en el arrastre de la quebrada La Negra</w:t>
      </w:r>
      <w:r w:rsidR="00C94736" w:rsidRPr="00500E12">
        <w:rPr>
          <w:lang w:val="es-CO"/>
        </w:rPr>
        <w:t xml:space="preserve"> y </w:t>
      </w:r>
      <w:r w:rsidRPr="00500E12">
        <w:rPr>
          <w:lang w:val="es-CO"/>
        </w:rPr>
        <w:t>“</w:t>
      </w:r>
      <w:r w:rsidRPr="00500E12">
        <w:rPr>
          <w:i/>
          <w:lang w:val="es-CO"/>
        </w:rPr>
        <w:t xml:space="preserve">en la consecuente falta de mantenimiento para evitar el incremento de la referida socavación y como consecuencia </w:t>
      </w:r>
      <w:r w:rsidR="007127E6" w:rsidRPr="00500E12">
        <w:rPr>
          <w:lang w:val="es-CO"/>
        </w:rPr>
        <w:t xml:space="preserve">(sic) </w:t>
      </w:r>
      <w:r w:rsidRPr="00500E12">
        <w:rPr>
          <w:i/>
          <w:lang w:val="es-CO"/>
        </w:rPr>
        <w:t xml:space="preserve">la desestabilización del muro por la falta de apoyo al erosionarse considerablemente el terreno de soporte” </w:t>
      </w:r>
      <w:r w:rsidRPr="00500E12">
        <w:rPr>
          <w:lang w:val="es-CO"/>
        </w:rPr>
        <w:t>(ver supra pár.13.10)</w:t>
      </w:r>
      <w:r w:rsidRPr="00500E12">
        <w:rPr>
          <w:i/>
          <w:lang w:val="es-CO"/>
        </w:rPr>
        <w:t>.</w:t>
      </w:r>
    </w:p>
    <w:p w14:paraId="3C034B22" w14:textId="77777777" w:rsidR="00A87B54" w:rsidRPr="00500E12" w:rsidRDefault="00A87B54" w:rsidP="00A87B54">
      <w:pPr>
        <w:rPr>
          <w:lang w:val="es-CO"/>
        </w:rPr>
      </w:pPr>
    </w:p>
    <w:p w14:paraId="65662127" w14:textId="77777777" w:rsidR="00B3601F" w:rsidRPr="00500E12" w:rsidRDefault="00BE0ED3" w:rsidP="00A87B54">
      <w:pPr>
        <w:rPr>
          <w:lang w:val="es-CO"/>
        </w:rPr>
      </w:pPr>
      <w:r w:rsidRPr="00500E12">
        <w:rPr>
          <w:lang w:val="es-CO"/>
        </w:rPr>
        <w:t>17</w:t>
      </w:r>
      <w:r w:rsidR="00B3601F" w:rsidRPr="00500E12">
        <w:rPr>
          <w:lang w:val="es-CO"/>
        </w:rPr>
        <w:t>. De conformidad con lo anterior, la Sala advierte que si bien es cierto, no existe una estipulación contractual que determine la obligación de mantenimiento de las obras con posterioridad a su entrega</w:t>
      </w:r>
      <w:r w:rsidR="00305AB0" w:rsidRPr="00500E12">
        <w:rPr>
          <w:lang w:val="es-CO"/>
        </w:rPr>
        <w:t xml:space="preserve"> y, que en principio, podría entenderse que la misma corresponde </w:t>
      </w:r>
      <w:r w:rsidR="007A432A" w:rsidRPr="00500E12">
        <w:rPr>
          <w:lang w:val="es-CO"/>
        </w:rPr>
        <w:t>a su</w:t>
      </w:r>
      <w:r w:rsidR="00305AB0" w:rsidRPr="00500E12">
        <w:rPr>
          <w:lang w:val="es-CO"/>
        </w:rPr>
        <w:t xml:space="preserve"> dueño </w:t>
      </w:r>
      <w:r w:rsidR="007A432A" w:rsidRPr="00500E12">
        <w:rPr>
          <w:lang w:val="es-CO"/>
        </w:rPr>
        <w:t>o beneficiario</w:t>
      </w:r>
      <w:r w:rsidR="00305AB0" w:rsidRPr="00500E12">
        <w:rPr>
          <w:lang w:val="es-CO"/>
        </w:rPr>
        <w:t>, en este caso es evidente que entre la entrega y las fallas no transcurrió un tiempo</w:t>
      </w:r>
      <w:r w:rsidR="00802BFA" w:rsidRPr="00500E12">
        <w:rPr>
          <w:lang w:val="es-CO"/>
        </w:rPr>
        <w:t>,</w:t>
      </w:r>
      <w:r w:rsidR="00305AB0" w:rsidRPr="00500E12">
        <w:rPr>
          <w:lang w:val="es-CO"/>
        </w:rPr>
        <w:t xml:space="preserve"> que siquiera se considere prudencial</w:t>
      </w:r>
      <w:r w:rsidR="00802BFA" w:rsidRPr="00500E12">
        <w:rPr>
          <w:lang w:val="es-CO"/>
        </w:rPr>
        <w:t>,</w:t>
      </w:r>
      <w:r w:rsidR="00305AB0" w:rsidRPr="00500E12">
        <w:rPr>
          <w:lang w:val="es-CO"/>
        </w:rPr>
        <w:t xml:space="preserve"> para afirmar sin lugar a dudas, que el volcamiento de parte del muro de gaviones le es at</w:t>
      </w:r>
      <w:r w:rsidR="00B02ECE" w:rsidRPr="00500E12">
        <w:rPr>
          <w:lang w:val="es-CO"/>
        </w:rPr>
        <w:t xml:space="preserve">ribuible a la entidad demandada por la alegada omisión de mantenimiento preventivo. </w:t>
      </w:r>
    </w:p>
    <w:p w14:paraId="1A12D227" w14:textId="77777777" w:rsidR="00305AB0" w:rsidRPr="00500E12" w:rsidRDefault="00305AB0" w:rsidP="00A87B54">
      <w:pPr>
        <w:rPr>
          <w:lang w:val="es-CO"/>
        </w:rPr>
      </w:pPr>
    </w:p>
    <w:p w14:paraId="5F14D4BE" w14:textId="77777777" w:rsidR="00305AB0" w:rsidRPr="00500E12" w:rsidRDefault="00BE0ED3" w:rsidP="00A87B54">
      <w:pPr>
        <w:rPr>
          <w:lang w:val="es-CO"/>
        </w:rPr>
      </w:pPr>
      <w:r w:rsidRPr="00500E12">
        <w:rPr>
          <w:lang w:val="es-CO"/>
        </w:rPr>
        <w:t>18.</w:t>
      </w:r>
      <w:r w:rsidR="005953F9" w:rsidRPr="00500E12">
        <w:rPr>
          <w:lang w:val="es-CO"/>
        </w:rPr>
        <w:t xml:space="preserve"> </w:t>
      </w:r>
      <w:r w:rsidR="00305AB0" w:rsidRPr="00500E12">
        <w:rPr>
          <w:lang w:val="es-CO"/>
        </w:rPr>
        <w:t>En otros términos, resulta cuestionable respecto de la contratista, que se advirtiera la falla por</w:t>
      </w:r>
      <w:r w:rsidR="003335D3" w:rsidRPr="00500E12">
        <w:rPr>
          <w:lang w:val="es-CO"/>
        </w:rPr>
        <w:t xml:space="preserve"> parte de la veeduría ciudadana sin </w:t>
      </w:r>
      <w:r w:rsidR="00725548" w:rsidRPr="00500E12">
        <w:rPr>
          <w:lang w:val="es-CO"/>
        </w:rPr>
        <w:t>que</w:t>
      </w:r>
      <w:r w:rsidR="003335D3" w:rsidRPr="00500E12">
        <w:rPr>
          <w:lang w:val="es-CO"/>
        </w:rPr>
        <w:t xml:space="preserve"> hubieren transcurrido dos meses de la entrega </w:t>
      </w:r>
      <w:r w:rsidR="00305AB0" w:rsidRPr="00500E12">
        <w:rPr>
          <w:lang w:val="es-CO"/>
        </w:rPr>
        <w:t>y que unos días después,</w:t>
      </w:r>
      <w:r w:rsidR="003335D3" w:rsidRPr="00500E12">
        <w:rPr>
          <w:lang w:val="es-CO"/>
        </w:rPr>
        <w:t xml:space="preserve"> tuviera que ser </w:t>
      </w:r>
      <w:r w:rsidR="00305AB0" w:rsidRPr="00500E12">
        <w:rPr>
          <w:lang w:val="es-CO"/>
        </w:rPr>
        <w:t xml:space="preserve">reconstruido por la actora, de donde se puede afirmar, que la falla </w:t>
      </w:r>
      <w:r w:rsidR="00CC326E" w:rsidRPr="00500E12">
        <w:rPr>
          <w:lang w:val="es-CO"/>
        </w:rPr>
        <w:t>de los diseños</w:t>
      </w:r>
      <w:r w:rsidR="00305AB0" w:rsidRPr="00500E12">
        <w:rPr>
          <w:lang w:val="es-CO"/>
        </w:rPr>
        <w:t xml:space="preserve"> fue inmediata y no supone la omisión de las actuaciones que le eran predicables </w:t>
      </w:r>
      <w:r w:rsidR="00CC326E" w:rsidRPr="00500E12">
        <w:rPr>
          <w:lang w:val="es-CO"/>
        </w:rPr>
        <w:t xml:space="preserve">a la administración, </w:t>
      </w:r>
      <w:r w:rsidR="00305AB0" w:rsidRPr="00500E12">
        <w:rPr>
          <w:lang w:val="es-CO"/>
        </w:rPr>
        <w:t xml:space="preserve">frente </w:t>
      </w:r>
      <w:r w:rsidR="00F44222" w:rsidRPr="00500E12">
        <w:rPr>
          <w:lang w:val="es-CO"/>
        </w:rPr>
        <w:t xml:space="preserve">al mantenimiento de la misma, es decir, por el tiempo transcurrido entre </w:t>
      </w:r>
      <w:r w:rsidR="00CC326E" w:rsidRPr="00500E12">
        <w:rPr>
          <w:lang w:val="es-CO"/>
        </w:rPr>
        <w:t>la entrega y el colapso de la obra</w:t>
      </w:r>
      <w:r w:rsidR="00F44222" w:rsidRPr="00500E12">
        <w:rPr>
          <w:lang w:val="es-CO"/>
        </w:rPr>
        <w:t xml:space="preserve">, no hubo </w:t>
      </w:r>
      <w:r w:rsidR="00EB615F" w:rsidRPr="00500E12">
        <w:rPr>
          <w:lang w:val="es-CO"/>
        </w:rPr>
        <w:t xml:space="preserve">tiempo para </w:t>
      </w:r>
      <w:r w:rsidR="00F44222" w:rsidRPr="00500E12">
        <w:rPr>
          <w:lang w:val="es-CO"/>
        </w:rPr>
        <w:t>que la entidad emprendiera tal actividad.</w:t>
      </w:r>
    </w:p>
    <w:p w14:paraId="3D326E2A" w14:textId="77777777" w:rsidR="00F44222" w:rsidRPr="00500E12" w:rsidRDefault="00F44222" w:rsidP="00A87B54">
      <w:pPr>
        <w:rPr>
          <w:lang w:val="es-CO"/>
        </w:rPr>
      </w:pPr>
    </w:p>
    <w:p w14:paraId="52B925BC" w14:textId="77777777" w:rsidR="00B70658" w:rsidRPr="00500E12" w:rsidRDefault="00BE0ED3" w:rsidP="00B70658">
      <w:pPr>
        <w:rPr>
          <w:lang w:val="es-CO"/>
        </w:rPr>
      </w:pPr>
      <w:r w:rsidRPr="00500E12">
        <w:rPr>
          <w:lang w:val="es-CO"/>
        </w:rPr>
        <w:t>19.</w:t>
      </w:r>
      <w:r w:rsidR="005953F9" w:rsidRPr="00500E12">
        <w:rPr>
          <w:lang w:val="es-CO"/>
        </w:rPr>
        <w:t xml:space="preserve"> </w:t>
      </w:r>
      <w:r w:rsidR="00A80B09" w:rsidRPr="00500E12">
        <w:rPr>
          <w:lang w:val="es-CO"/>
        </w:rPr>
        <w:t xml:space="preserve">Como sustento de lo anterior, </w:t>
      </w:r>
      <w:r w:rsidR="00075A17" w:rsidRPr="00500E12">
        <w:rPr>
          <w:lang w:val="es-ES" w:eastAsia="es-ES"/>
        </w:rPr>
        <w:t>se reitera que d</w:t>
      </w:r>
      <w:r w:rsidR="00B70658" w:rsidRPr="00500E12">
        <w:rPr>
          <w:lang w:val="es-ES" w:eastAsia="es-ES"/>
        </w:rPr>
        <w:t>e conformidad con el dictamen pericial rendido en el curso del proceso, no logró dilucidarse si debía realizarse el mantenimiento preventivo a la obra y si dicha carga correspondía a la entidad o a la contratista, lo cierto es</w:t>
      </w:r>
      <w:r w:rsidR="00A92689" w:rsidRPr="00500E12">
        <w:rPr>
          <w:lang w:val="es-ES" w:eastAsia="es-ES"/>
        </w:rPr>
        <w:t>,</w:t>
      </w:r>
      <w:r w:rsidR="00B70658" w:rsidRPr="00500E12">
        <w:rPr>
          <w:lang w:val="es-ES" w:eastAsia="es-ES"/>
        </w:rPr>
        <w:t xml:space="preserve"> que según los documentos que hacen parte de las pruebas recaudadas,</w:t>
      </w:r>
      <w:r w:rsidR="000E0D42" w:rsidRPr="00500E12">
        <w:rPr>
          <w:lang w:val="es-ES" w:eastAsia="es-ES"/>
        </w:rPr>
        <w:t xml:space="preserve"> </w:t>
      </w:r>
      <w:r w:rsidR="00A80B09" w:rsidRPr="00500E12">
        <w:rPr>
          <w:lang w:val="es-CO"/>
        </w:rPr>
        <w:t xml:space="preserve">puede concluirse que la falla del gavión se produjo como consecuencia de falencias en el diseño. </w:t>
      </w:r>
    </w:p>
    <w:p w14:paraId="23E98D64" w14:textId="77777777" w:rsidR="00B70658" w:rsidRPr="00500E12" w:rsidRDefault="00B70658" w:rsidP="00B70658">
      <w:pPr>
        <w:rPr>
          <w:lang w:val="es-CO"/>
        </w:rPr>
      </w:pPr>
    </w:p>
    <w:p w14:paraId="51E204FA" w14:textId="77777777" w:rsidR="00B70658" w:rsidRPr="00500E12" w:rsidRDefault="00BE0ED3" w:rsidP="00B70658">
      <w:pPr>
        <w:rPr>
          <w:lang w:val="es-CO"/>
        </w:rPr>
      </w:pPr>
      <w:r w:rsidRPr="00500E12">
        <w:rPr>
          <w:lang w:val="es-CO"/>
        </w:rPr>
        <w:t>19.1.</w:t>
      </w:r>
      <w:r w:rsidR="005953F9" w:rsidRPr="00500E12">
        <w:rPr>
          <w:lang w:val="es-CO"/>
        </w:rPr>
        <w:t xml:space="preserve"> </w:t>
      </w:r>
      <w:r w:rsidR="00A80B09" w:rsidRPr="00500E12">
        <w:rPr>
          <w:lang w:val="es-CO"/>
        </w:rPr>
        <w:t xml:space="preserve">En efecto, </w:t>
      </w:r>
      <w:r w:rsidR="007E1E1B" w:rsidRPr="00500E12">
        <w:rPr>
          <w:lang w:val="es-CO"/>
        </w:rPr>
        <w:t>el auxiliar de la justic</w:t>
      </w:r>
      <w:r w:rsidR="0074784A" w:rsidRPr="00500E12">
        <w:rPr>
          <w:lang w:val="es-CO"/>
        </w:rPr>
        <w:t>i</w:t>
      </w:r>
      <w:r w:rsidR="007E1E1B" w:rsidRPr="00500E12">
        <w:rPr>
          <w:lang w:val="es-CO"/>
        </w:rPr>
        <w:t xml:space="preserve">a, </w:t>
      </w:r>
      <w:r w:rsidR="00B70658" w:rsidRPr="00500E12">
        <w:rPr>
          <w:lang w:val="es-CO"/>
        </w:rPr>
        <w:t>en el desarrollo del cuestionario propuesto por la parte actora, indicó (f.2-3 c.4):</w:t>
      </w:r>
    </w:p>
    <w:p w14:paraId="66E5C7E1" w14:textId="77777777" w:rsidR="00B70658" w:rsidRPr="00500E12" w:rsidRDefault="00B70658" w:rsidP="00B70658">
      <w:pPr>
        <w:rPr>
          <w:lang w:val="es-CO"/>
        </w:rPr>
      </w:pPr>
    </w:p>
    <w:p w14:paraId="1831F382" w14:textId="77777777" w:rsidR="00B70658" w:rsidRPr="00500E12" w:rsidRDefault="00B70658" w:rsidP="00B70658">
      <w:pPr>
        <w:spacing w:line="240" w:lineRule="auto"/>
        <w:ind w:left="567" w:right="567"/>
        <w:rPr>
          <w:i/>
          <w:lang w:val="es-CO"/>
        </w:rPr>
      </w:pPr>
      <w:r w:rsidRPr="00500E12">
        <w:rPr>
          <w:i/>
          <w:lang w:val="es-CO"/>
        </w:rPr>
        <w:t>4.</w:t>
      </w:r>
      <w:r w:rsidRPr="00500E12">
        <w:rPr>
          <w:lang w:val="es-CO"/>
        </w:rPr>
        <w:t xml:space="preserve"> </w:t>
      </w:r>
      <w:r w:rsidRPr="00500E12">
        <w:rPr>
          <w:i/>
          <w:lang w:val="es-CO"/>
        </w:rPr>
        <w:t>Dadas las condiciones topográficas y de pendiente de la quebrada Negra, podía preverse, con mediana diligencia, una colmatación en la zona de dragado, ¿por qué?</w:t>
      </w:r>
    </w:p>
    <w:p w14:paraId="4F5783DD" w14:textId="77777777" w:rsidR="00B70658" w:rsidRPr="00500E12" w:rsidRDefault="00B70658" w:rsidP="00B70658">
      <w:pPr>
        <w:spacing w:line="240" w:lineRule="auto"/>
        <w:ind w:left="567" w:right="567"/>
        <w:rPr>
          <w:i/>
          <w:lang w:val="es-CO"/>
        </w:rPr>
      </w:pPr>
    </w:p>
    <w:p w14:paraId="6B6A939E" w14:textId="77777777" w:rsidR="00B70658" w:rsidRPr="00500E12" w:rsidRDefault="00B70658" w:rsidP="00B70658">
      <w:pPr>
        <w:spacing w:line="240" w:lineRule="auto"/>
        <w:ind w:left="567" w:right="567"/>
        <w:rPr>
          <w:i/>
          <w:lang w:val="es-CO"/>
        </w:rPr>
      </w:pPr>
      <w:r w:rsidRPr="00500E12">
        <w:rPr>
          <w:i/>
          <w:lang w:val="es-CO"/>
        </w:rPr>
        <w:t xml:space="preserve">Al analizar las preguntas anteriores se puede comprender que el cambio de nivel o pendiente de la quebrada la Negra en el sitio de las obras es muy pequeño, ya que las velocidades que se presentan en su cauce no son lo suficientemente altas para evitar la colmatación. Conviene aclarar que el fenómeno de la colmatación, se produce cuando los materiales suspendidos en el agua que circula por un cauce se depositan en el fondo y se presenta cuando la velocidad de las aguas permite, por su lentitud, el asentamiento de los mismos. Como ya se dijo esta condición no depende de la forma o sistema de construcción sino de la velocidad de circulación de las aguas y esta velocidad depende principalmente de la pendiente (o cambio de nivel por unidad de longitud) y, además de las condiciones de rugosidad de sus paredes y la forma geométrica del mismo. </w:t>
      </w:r>
    </w:p>
    <w:p w14:paraId="72AE0889" w14:textId="77777777" w:rsidR="0000383F" w:rsidRPr="00500E12" w:rsidRDefault="0000383F" w:rsidP="00B70658">
      <w:pPr>
        <w:spacing w:line="240" w:lineRule="auto"/>
        <w:ind w:left="567" w:right="567"/>
        <w:rPr>
          <w:i/>
          <w:lang w:val="es-CO"/>
        </w:rPr>
      </w:pPr>
    </w:p>
    <w:p w14:paraId="198A5E97" w14:textId="77777777" w:rsidR="00B70658" w:rsidRPr="00500E12" w:rsidRDefault="00B70658" w:rsidP="00B70658">
      <w:pPr>
        <w:spacing w:line="240" w:lineRule="auto"/>
        <w:ind w:left="567" w:right="567"/>
        <w:rPr>
          <w:b/>
          <w:i/>
          <w:lang w:val="es-CO"/>
        </w:rPr>
      </w:pPr>
      <w:r w:rsidRPr="00500E12">
        <w:rPr>
          <w:i/>
          <w:lang w:val="es-CO"/>
        </w:rPr>
        <w:t xml:space="preserve">En el caso que nos interesa la pendiente no se puede modificar ya que es una condición topográfica y solo se puede modificar la velocidad, dentro de ciertos límites, por la forma </w:t>
      </w:r>
      <w:r w:rsidR="008955BD" w:rsidRPr="00500E12">
        <w:rPr>
          <w:i/>
          <w:lang w:val="es-CO"/>
        </w:rPr>
        <w:t>d</w:t>
      </w:r>
      <w:r w:rsidRPr="00500E12">
        <w:rPr>
          <w:i/>
          <w:lang w:val="es-CO"/>
        </w:rPr>
        <w:t xml:space="preserve">el canal y por su rugosidad. Por lo expuesto anteriormente se concluye que, </w:t>
      </w:r>
      <w:r w:rsidRPr="00500E12">
        <w:rPr>
          <w:b/>
          <w:i/>
          <w:lang w:val="es-CO"/>
        </w:rPr>
        <w:t>como la velocidad de circulación se puede calcular con suficiente aproximación p</w:t>
      </w:r>
      <w:r w:rsidR="00A61FCE" w:rsidRPr="00500E12">
        <w:rPr>
          <w:b/>
          <w:i/>
          <w:lang w:val="es-CO"/>
        </w:rPr>
        <w:t>or las condiciones anteriores, sí</w:t>
      </w:r>
      <w:r w:rsidRPr="00500E12">
        <w:rPr>
          <w:b/>
          <w:i/>
          <w:lang w:val="es-CO"/>
        </w:rPr>
        <w:t xml:space="preserve"> se puede predecir la colmatación o sedimentación al realizarse el diseño de una obra como la que nos interesa. </w:t>
      </w:r>
      <w:r w:rsidRPr="00500E12">
        <w:rPr>
          <w:lang w:val="es-CO"/>
        </w:rPr>
        <w:t>(negrilla de la Sala)</w:t>
      </w:r>
    </w:p>
    <w:p w14:paraId="6C5B9334" w14:textId="77777777" w:rsidR="00B70658" w:rsidRPr="00500E12" w:rsidRDefault="00B70658" w:rsidP="00B70658">
      <w:pPr>
        <w:spacing w:line="240" w:lineRule="auto"/>
        <w:ind w:left="567" w:right="567"/>
        <w:rPr>
          <w:lang w:val="es-CO"/>
        </w:rPr>
      </w:pPr>
    </w:p>
    <w:p w14:paraId="102B359E" w14:textId="77777777" w:rsidR="00B70658" w:rsidRPr="00500E12" w:rsidRDefault="00B70658" w:rsidP="00B70658">
      <w:pPr>
        <w:spacing w:line="240" w:lineRule="auto"/>
        <w:ind w:left="567" w:right="567"/>
        <w:rPr>
          <w:lang w:val="es-CO"/>
        </w:rPr>
      </w:pPr>
    </w:p>
    <w:p w14:paraId="64B4AE76" w14:textId="77777777" w:rsidR="00B70658" w:rsidRPr="00500E12" w:rsidRDefault="00BE0ED3" w:rsidP="00C417DC">
      <w:pPr>
        <w:rPr>
          <w:i/>
          <w:lang w:val="es-CO"/>
        </w:rPr>
      </w:pPr>
      <w:r w:rsidRPr="00500E12">
        <w:rPr>
          <w:lang w:val="es-CO"/>
        </w:rPr>
        <w:t>19.1.1.</w:t>
      </w:r>
      <w:r w:rsidR="005953F9" w:rsidRPr="00500E12">
        <w:rPr>
          <w:lang w:val="es-CO"/>
        </w:rPr>
        <w:t xml:space="preserve"> </w:t>
      </w:r>
      <w:r w:rsidR="00B70658" w:rsidRPr="00500E12">
        <w:rPr>
          <w:lang w:val="es-CO"/>
        </w:rPr>
        <w:t>Ante la solicitud de aclaración para dicha pregunta, dijo que “</w:t>
      </w:r>
      <w:r w:rsidR="00B70658" w:rsidRPr="00500E12">
        <w:rPr>
          <w:i/>
          <w:lang w:val="es-CO"/>
        </w:rPr>
        <w:t xml:space="preserve">sí se puede predecir la posible colmatación de un cauce o canal a partir de las condiciones del mismo, como pendiente, forma y condiciones del material arrestado por la corriente”. </w:t>
      </w:r>
    </w:p>
    <w:p w14:paraId="0295CA53" w14:textId="77777777" w:rsidR="00B70658" w:rsidRPr="00500E12" w:rsidRDefault="00B70658" w:rsidP="00C417DC">
      <w:pPr>
        <w:rPr>
          <w:lang w:val="es-ES" w:eastAsia="es-ES"/>
        </w:rPr>
      </w:pPr>
    </w:p>
    <w:p w14:paraId="477F8361" w14:textId="77777777" w:rsidR="00E00A35" w:rsidRPr="00500E12" w:rsidRDefault="00BE0ED3" w:rsidP="00C417DC">
      <w:pPr>
        <w:rPr>
          <w:lang w:val="es-CO"/>
        </w:rPr>
      </w:pPr>
      <w:r w:rsidRPr="00500E12">
        <w:rPr>
          <w:lang w:val="es-ES" w:eastAsia="es-ES"/>
        </w:rPr>
        <w:t>19.2.</w:t>
      </w:r>
      <w:r w:rsidR="00656842" w:rsidRPr="00500E12">
        <w:rPr>
          <w:lang w:val="es-ES" w:eastAsia="es-ES"/>
        </w:rPr>
        <w:t xml:space="preserve"> </w:t>
      </w:r>
      <w:r w:rsidR="007E1E1B" w:rsidRPr="00500E12">
        <w:rPr>
          <w:lang w:val="es-ES" w:eastAsia="es-ES"/>
        </w:rPr>
        <w:t xml:space="preserve">Adicionalmente, como </w:t>
      </w:r>
      <w:r w:rsidR="00E00A35" w:rsidRPr="00500E12">
        <w:rPr>
          <w:lang w:val="es-CO"/>
        </w:rPr>
        <w:t>respuesta a la séptima pregunta</w:t>
      </w:r>
      <w:r w:rsidR="007E1E1B" w:rsidRPr="00500E12">
        <w:rPr>
          <w:lang w:val="es-CO"/>
        </w:rPr>
        <w:t xml:space="preserve"> indicó</w:t>
      </w:r>
      <w:r w:rsidR="00E00A35" w:rsidRPr="00500E12">
        <w:rPr>
          <w:lang w:val="es-CO"/>
        </w:rPr>
        <w:t xml:space="preserve"> (f.3-4 c.4):</w:t>
      </w:r>
    </w:p>
    <w:p w14:paraId="01E0070C" w14:textId="77777777" w:rsidR="00E00A35" w:rsidRPr="00500E12" w:rsidRDefault="00E00A35" w:rsidP="00C417DC">
      <w:pPr>
        <w:ind w:left="567" w:right="567"/>
        <w:rPr>
          <w:i/>
          <w:lang w:val="es-CO"/>
        </w:rPr>
      </w:pPr>
      <w:r w:rsidRPr="00500E12">
        <w:rPr>
          <w:i/>
          <w:lang w:val="es-CO"/>
        </w:rPr>
        <w:t>(…)</w:t>
      </w:r>
    </w:p>
    <w:p w14:paraId="0A7B0392" w14:textId="77777777" w:rsidR="00E00A35" w:rsidRPr="00500E12" w:rsidRDefault="00E00A35" w:rsidP="00E00A35">
      <w:pPr>
        <w:spacing w:line="240" w:lineRule="auto"/>
        <w:ind w:left="567" w:right="567"/>
        <w:rPr>
          <w:i/>
          <w:lang w:val="es-CO"/>
        </w:rPr>
      </w:pPr>
    </w:p>
    <w:p w14:paraId="2C44B1F6" w14:textId="77777777" w:rsidR="00E00A35" w:rsidRPr="00500E12" w:rsidRDefault="00E00A35" w:rsidP="00E00A35">
      <w:pPr>
        <w:spacing w:line="240" w:lineRule="auto"/>
        <w:ind w:left="567" w:right="567"/>
        <w:rPr>
          <w:i/>
          <w:lang w:val="es-CO"/>
        </w:rPr>
      </w:pPr>
      <w:r w:rsidRPr="00500E12">
        <w:rPr>
          <w:i/>
          <w:lang w:val="es-CO"/>
        </w:rPr>
        <w:t>Aunque no lo pueda afirmar con certeza, las causas más probables de la falla de la obra fueron las siguientes:</w:t>
      </w:r>
    </w:p>
    <w:p w14:paraId="626C047F" w14:textId="77777777" w:rsidR="00E00A35" w:rsidRPr="00500E12" w:rsidRDefault="00E00A35" w:rsidP="00E00A35">
      <w:pPr>
        <w:pStyle w:val="Prrafodelista"/>
        <w:numPr>
          <w:ilvl w:val="0"/>
          <w:numId w:val="38"/>
        </w:numPr>
        <w:ind w:right="567"/>
        <w:jc w:val="both"/>
        <w:rPr>
          <w:i/>
          <w:lang w:val="es-CO"/>
        </w:rPr>
      </w:pPr>
      <w:r w:rsidRPr="00500E12">
        <w:rPr>
          <w:i/>
          <w:lang w:val="es-CO"/>
        </w:rPr>
        <w:t>La erosión causada por las aguas en la base del muro, que produjo la inestabilidad y volcamiento del mismo.</w:t>
      </w:r>
    </w:p>
    <w:p w14:paraId="64F55A6F" w14:textId="77777777" w:rsidR="00E00A35" w:rsidRPr="00500E12" w:rsidRDefault="00E00A35" w:rsidP="00E00A35">
      <w:pPr>
        <w:pStyle w:val="Prrafodelista"/>
        <w:numPr>
          <w:ilvl w:val="0"/>
          <w:numId w:val="38"/>
        </w:numPr>
        <w:ind w:right="567"/>
        <w:jc w:val="both"/>
        <w:rPr>
          <w:i/>
          <w:lang w:val="es-CO"/>
        </w:rPr>
      </w:pPr>
      <w:r w:rsidRPr="00500E12">
        <w:rPr>
          <w:b/>
          <w:i/>
          <w:lang w:val="es-CO"/>
        </w:rPr>
        <w:t>La anterior erosión se presentó a causa del desvío de las aguas del canal de dragado en curso del contrato, que se desvió a la base del muro</w:t>
      </w:r>
      <w:r w:rsidRPr="00500E12">
        <w:rPr>
          <w:i/>
          <w:lang w:val="es-CO"/>
        </w:rPr>
        <w:t>.</w:t>
      </w:r>
      <w:r w:rsidR="00334286" w:rsidRPr="00500E12">
        <w:rPr>
          <w:i/>
          <w:lang w:val="es-CO"/>
        </w:rPr>
        <w:t xml:space="preserve"> </w:t>
      </w:r>
      <w:r w:rsidR="00334286" w:rsidRPr="00500E12">
        <w:rPr>
          <w:lang w:val="es-CO"/>
        </w:rPr>
        <w:t>(negrilla de la sala)</w:t>
      </w:r>
    </w:p>
    <w:p w14:paraId="339B31D6" w14:textId="77777777" w:rsidR="00E00A35" w:rsidRPr="00500E12" w:rsidRDefault="00E00A35" w:rsidP="00E00A35">
      <w:pPr>
        <w:pStyle w:val="Prrafodelista"/>
        <w:numPr>
          <w:ilvl w:val="0"/>
          <w:numId w:val="38"/>
        </w:numPr>
        <w:ind w:right="567"/>
        <w:jc w:val="both"/>
        <w:rPr>
          <w:b/>
          <w:i/>
          <w:lang w:val="es-CO"/>
        </w:rPr>
      </w:pPr>
      <w:r w:rsidRPr="00500E12">
        <w:rPr>
          <w:i/>
          <w:lang w:val="es-CO"/>
        </w:rPr>
        <w:t xml:space="preserve">El desvío y salida de su cauce de las aguas, que contradice lo explicado sobre la colmatación y que se explica (sic) por la modificación de las condiciones hidráulicas en caso de crecientes, </w:t>
      </w:r>
      <w:r w:rsidRPr="00500E12">
        <w:rPr>
          <w:b/>
          <w:i/>
          <w:lang w:val="es-CO"/>
        </w:rPr>
        <w:t xml:space="preserve">obedeció a un cambio de dirección del canal que dirigió las aguas contra la base del muro. Esta condición se podía prever y posiblemente evitar o mitigar en el momento de diseñar las obras.  </w:t>
      </w:r>
      <w:r w:rsidR="00334286" w:rsidRPr="00500E12">
        <w:rPr>
          <w:lang w:val="es-CO"/>
        </w:rPr>
        <w:t>(negrilla de la sala)</w:t>
      </w:r>
    </w:p>
    <w:p w14:paraId="63D3AC97" w14:textId="77777777" w:rsidR="00E00A35" w:rsidRPr="00500E12" w:rsidRDefault="00E00A35" w:rsidP="00E00A35">
      <w:pPr>
        <w:spacing w:line="240" w:lineRule="auto"/>
        <w:ind w:left="567" w:right="567"/>
        <w:rPr>
          <w:i/>
          <w:lang w:val="es-CO"/>
        </w:rPr>
      </w:pPr>
    </w:p>
    <w:p w14:paraId="4A91127E" w14:textId="77777777" w:rsidR="00E00A35" w:rsidRPr="00500E12" w:rsidRDefault="00BE0ED3" w:rsidP="00E00A35">
      <w:pPr>
        <w:rPr>
          <w:i/>
          <w:lang w:val="es-CO"/>
        </w:rPr>
      </w:pPr>
      <w:r w:rsidRPr="00500E12">
        <w:rPr>
          <w:lang w:val="es-CO"/>
        </w:rPr>
        <w:t>19.2.1.</w:t>
      </w:r>
      <w:r w:rsidR="00656842" w:rsidRPr="00500E12">
        <w:rPr>
          <w:lang w:val="es-CO"/>
        </w:rPr>
        <w:t xml:space="preserve"> </w:t>
      </w:r>
      <w:r w:rsidR="00E00A35" w:rsidRPr="00500E12">
        <w:rPr>
          <w:lang w:val="es-CO"/>
        </w:rPr>
        <w:t>Con ocasión de la solicitud de aclaración del dictamen, el auxiliar de la justicia señaló: “</w:t>
      </w:r>
      <w:r w:rsidR="00E00A35" w:rsidRPr="00500E12">
        <w:rPr>
          <w:i/>
          <w:lang w:val="es-CO"/>
        </w:rPr>
        <w:t xml:space="preserve">las obras debieron diseñarse de manera que su estabilidad se mantuviera por un tiempo prudencial y la necesidad de mantenimiento se presentara a mayor plazo. Aclaro que las condiciones naturales como lluvias extraordinarias torrenciales o terremotos podrían hacer inútil cualquier previsión al respecto” </w:t>
      </w:r>
      <w:r w:rsidR="00E00A35" w:rsidRPr="00500E12">
        <w:rPr>
          <w:lang w:val="es-CO"/>
        </w:rPr>
        <w:t>(f.6-7 c.4).</w:t>
      </w:r>
      <w:r w:rsidR="00E00A35" w:rsidRPr="00500E12">
        <w:rPr>
          <w:i/>
          <w:lang w:val="es-CO"/>
        </w:rPr>
        <w:t xml:space="preserve">  </w:t>
      </w:r>
    </w:p>
    <w:p w14:paraId="3A7F4C5B" w14:textId="77777777" w:rsidR="00BE0ED3" w:rsidRPr="00500E12" w:rsidRDefault="00BE0ED3" w:rsidP="00E00A35">
      <w:pPr>
        <w:rPr>
          <w:i/>
          <w:lang w:val="es-CO"/>
        </w:rPr>
      </w:pPr>
    </w:p>
    <w:p w14:paraId="40A11E11" w14:textId="77777777" w:rsidR="00925BFF" w:rsidRPr="00500E12" w:rsidRDefault="00BE0ED3" w:rsidP="00E00A35">
      <w:pPr>
        <w:rPr>
          <w:lang w:val="es-CO"/>
        </w:rPr>
      </w:pPr>
      <w:r w:rsidRPr="00500E12">
        <w:rPr>
          <w:lang w:val="es-CO"/>
        </w:rPr>
        <w:t>19.2.2</w:t>
      </w:r>
      <w:r w:rsidR="00656842" w:rsidRPr="00500E12">
        <w:rPr>
          <w:lang w:val="es-CO"/>
        </w:rPr>
        <w:t xml:space="preserve">. </w:t>
      </w:r>
      <w:r w:rsidR="00925BFF" w:rsidRPr="00500E12">
        <w:rPr>
          <w:lang w:val="es-CO"/>
        </w:rPr>
        <w:t>Al respecto, cabe anotar que en el expediente obran los índices de precipitación en la zona de ejecución del contrato para el periodo comprendido entre 1974 y 1998</w:t>
      </w:r>
      <w:r w:rsidR="00155D1E" w:rsidRPr="00500E12">
        <w:rPr>
          <w:lang w:val="es-CO"/>
        </w:rPr>
        <w:t xml:space="preserve"> (f.110 y 115 c.2)</w:t>
      </w:r>
      <w:r w:rsidR="00925BFF" w:rsidRPr="00500E12">
        <w:rPr>
          <w:lang w:val="es-CO"/>
        </w:rPr>
        <w:t xml:space="preserve">, sin embargo, no se acreditó que para el año 1999, se presentaron </w:t>
      </w:r>
      <w:r w:rsidR="00925BFF" w:rsidRPr="00500E12">
        <w:rPr>
          <w:i/>
          <w:lang w:val="es-CO"/>
        </w:rPr>
        <w:t>lluvias extraordinarias torrenciales</w:t>
      </w:r>
      <w:r w:rsidR="00925BFF" w:rsidRPr="00500E12">
        <w:rPr>
          <w:lang w:val="es-CO"/>
        </w:rPr>
        <w:t xml:space="preserve"> que hicieran inútiles las previsiones de los diseños del contratista. </w:t>
      </w:r>
    </w:p>
    <w:p w14:paraId="000B584F" w14:textId="77777777" w:rsidR="007D5C98" w:rsidRPr="00500E12" w:rsidRDefault="007D5C98" w:rsidP="00E00A35">
      <w:pPr>
        <w:rPr>
          <w:lang w:val="es-CO"/>
        </w:rPr>
      </w:pPr>
    </w:p>
    <w:p w14:paraId="4E4771EA" w14:textId="77777777" w:rsidR="00925BFF" w:rsidRPr="00500E12" w:rsidRDefault="00BE0ED3" w:rsidP="00E00A35">
      <w:pPr>
        <w:rPr>
          <w:lang w:val="es-CO"/>
        </w:rPr>
      </w:pPr>
      <w:r w:rsidRPr="00500E12">
        <w:rPr>
          <w:lang w:val="es-CO"/>
        </w:rPr>
        <w:t>20.</w:t>
      </w:r>
      <w:r w:rsidR="007D5C98" w:rsidRPr="00500E12">
        <w:rPr>
          <w:lang w:val="es-CO"/>
        </w:rPr>
        <w:t xml:space="preserve"> Finalmente, cuando se cuestionó al perito sobre la afirmación conforme a la cual, en las resoluciones demandadas se afirmó que la inestabilidad de la obra obedeció a que el diseño y construcción no era</w:t>
      </w:r>
      <w:r w:rsidR="003123F9" w:rsidRPr="00500E12">
        <w:rPr>
          <w:lang w:val="es-CO"/>
        </w:rPr>
        <w:t>n</w:t>
      </w:r>
      <w:r w:rsidR="007D5C98" w:rsidRPr="00500E12">
        <w:rPr>
          <w:lang w:val="es-CO"/>
        </w:rPr>
        <w:t xml:space="preserve"> los adecuados porque “</w:t>
      </w:r>
      <w:r w:rsidR="007D5C98" w:rsidRPr="00500E12">
        <w:rPr>
          <w:i/>
          <w:lang w:val="es-CO"/>
        </w:rPr>
        <w:t>la altura es mayor que su base y por tanto representa alto riesgo de volcamiento”</w:t>
      </w:r>
      <w:r w:rsidR="003123F9" w:rsidRPr="00500E12">
        <w:rPr>
          <w:lang w:val="es-CO"/>
        </w:rPr>
        <w:t>,</w:t>
      </w:r>
      <w:r w:rsidR="007D5C98" w:rsidRPr="00500E12">
        <w:rPr>
          <w:lang w:val="es-CO"/>
        </w:rPr>
        <w:t xml:space="preserve"> manifest</w:t>
      </w:r>
      <w:r w:rsidR="00DA5A92" w:rsidRPr="00500E12">
        <w:rPr>
          <w:lang w:val="es-CO"/>
        </w:rPr>
        <w:t>ó (f.3 c4):</w:t>
      </w:r>
    </w:p>
    <w:p w14:paraId="25EA0616" w14:textId="77777777" w:rsidR="00DA5A92" w:rsidRPr="00500E12" w:rsidRDefault="00DA5A92" w:rsidP="00E00A35">
      <w:pPr>
        <w:rPr>
          <w:lang w:val="es-CO"/>
        </w:rPr>
      </w:pPr>
    </w:p>
    <w:p w14:paraId="1DF84692" w14:textId="77777777" w:rsidR="00DA5A92" w:rsidRPr="00500E12" w:rsidRDefault="00DA5A92" w:rsidP="00167DC9">
      <w:pPr>
        <w:spacing w:line="240" w:lineRule="auto"/>
        <w:ind w:left="567" w:right="567"/>
        <w:rPr>
          <w:i/>
          <w:lang w:val="es-CO"/>
        </w:rPr>
      </w:pPr>
      <w:r w:rsidRPr="00500E12">
        <w:rPr>
          <w:i/>
          <w:lang w:val="es-CO"/>
        </w:rPr>
        <w:t xml:space="preserve">La afirmación (…) es cierta en el sentido de que la estabilidad de un cuerpo, en este caso el muro de contención, se reduce con la altura, pero a pesar de la realidad anterior, el diseño de un muro solo se puede juzgar al efectuar un análisis mecánico de las fuerzas que intervienen sobre el mismo en sus condiciones de trabajo. </w:t>
      </w:r>
    </w:p>
    <w:p w14:paraId="58B81AF1" w14:textId="77777777" w:rsidR="007D5C98" w:rsidRPr="00500E12" w:rsidRDefault="007D5C98" w:rsidP="00E00A35">
      <w:pPr>
        <w:rPr>
          <w:lang w:val="es-CO"/>
        </w:rPr>
      </w:pPr>
    </w:p>
    <w:p w14:paraId="29EE6977" w14:textId="77777777" w:rsidR="00DA5A92" w:rsidRPr="00500E12" w:rsidRDefault="00BE0ED3" w:rsidP="00E00A35">
      <w:pPr>
        <w:rPr>
          <w:lang w:val="es-CO"/>
        </w:rPr>
      </w:pPr>
      <w:r w:rsidRPr="00500E12">
        <w:rPr>
          <w:lang w:val="es-CO"/>
        </w:rPr>
        <w:t xml:space="preserve">20.1. </w:t>
      </w:r>
      <w:r w:rsidR="0087214A" w:rsidRPr="00500E12">
        <w:rPr>
          <w:lang w:val="es-CO"/>
        </w:rPr>
        <w:t xml:space="preserve">Es pertinente señalar que </w:t>
      </w:r>
      <w:r w:rsidR="00DA5A92" w:rsidRPr="00500E12">
        <w:rPr>
          <w:lang w:val="es-CO"/>
        </w:rPr>
        <w:t>el dictamen carece de ese análisis</w:t>
      </w:r>
      <w:r w:rsidR="006C5ACD" w:rsidRPr="00500E12">
        <w:rPr>
          <w:lang w:val="es-CO"/>
        </w:rPr>
        <w:t xml:space="preserve"> mecánico </w:t>
      </w:r>
      <w:r w:rsidR="0087214A" w:rsidRPr="00500E12">
        <w:rPr>
          <w:lang w:val="es-CO"/>
        </w:rPr>
        <w:t>y que</w:t>
      </w:r>
      <w:r w:rsidR="006C5ACD" w:rsidRPr="00500E12">
        <w:rPr>
          <w:lang w:val="es-CO"/>
        </w:rPr>
        <w:t xml:space="preserve"> en la aclaración solicitada, </w:t>
      </w:r>
      <w:r w:rsidR="0087214A" w:rsidRPr="00500E12">
        <w:rPr>
          <w:lang w:val="es-CO"/>
        </w:rPr>
        <w:t xml:space="preserve">adujo </w:t>
      </w:r>
      <w:r w:rsidR="00DA5A92" w:rsidRPr="00500E12">
        <w:rPr>
          <w:lang w:val="es-CO"/>
        </w:rPr>
        <w:t xml:space="preserve">que </w:t>
      </w:r>
      <w:r w:rsidR="00DA5A92" w:rsidRPr="00500E12">
        <w:rPr>
          <w:i/>
          <w:lang w:val="es-CO"/>
        </w:rPr>
        <w:t>“de lo expuesto en el informe original se puede deducir que el diseño del muro, con su base de menor tamaño que la altura, puede ser correcto”</w:t>
      </w:r>
      <w:r w:rsidR="00167DC9" w:rsidRPr="00500E12">
        <w:rPr>
          <w:i/>
          <w:lang w:val="es-CO"/>
        </w:rPr>
        <w:t xml:space="preserve"> </w:t>
      </w:r>
      <w:r w:rsidR="00167DC9" w:rsidRPr="00500E12">
        <w:rPr>
          <w:lang w:val="es-CO"/>
        </w:rPr>
        <w:t>(f.3 c</w:t>
      </w:r>
      <w:r w:rsidR="003D2AC4" w:rsidRPr="00500E12">
        <w:rPr>
          <w:lang w:val="es-CO"/>
        </w:rPr>
        <w:t xml:space="preserve">. </w:t>
      </w:r>
      <w:r w:rsidR="00167DC9" w:rsidRPr="00500E12">
        <w:rPr>
          <w:lang w:val="es-CO"/>
        </w:rPr>
        <w:t>4)</w:t>
      </w:r>
      <w:r w:rsidR="006C5ACD" w:rsidRPr="00500E12">
        <w:rPr>
          <w:lang w:val="es-CO"/>
        </w:rPr>
        <w:t>.</w:t>
      </w:r>
    </w:p>
    <w:p w14:paraId="3A50D2DF" w14:textId="77777777" w:rsidR="006C5ACD" w:rsidRPr="00500E12" w:rsidRDefault="006C5ACD" w:rsidP="00E00A35">
      <w:pPr>
        <w:rPr>
          <w:lang w:val="es-CO"/>
        </w:rPr>
      </w:pPr>
    </w:p>
    <w:p w14:paraId="49B68A48" w14:textId="77777777" w:rsidR="00C010BA" w:rsidRPr="00500E12" w:rsidRDefault="00BE0ED3" w:rsidP="00E00A35">
      <w:pPr>
        <w:rPr>
          <w:lang w:val="es-CO"/>
        </w:rPr>
      </w:pPr>
      <w:r w:rsidRPr="00500E12">
        <w:rPr>
          <w:lang w:val="es-CO"/>
        </w:rPr>
        <w:t>21.</w:t>
      </w:r>
      <w:r w:rsidR="0087214A" w:rsidRPr="00500E12">
        <w:rPr>
          <w:lang w:val="es-CO"/>
        </w:rPr>
        <w:t xml:space="preserve"> De lo anterior se desprende que si bien no existe prueba técnica que permita establecer con seguridad, que el diseño y la construcción </w:t>
      </w:r>
      <w:r w:rsidR="006C5ACD" w:rsidRPr="00500E12">
        <w:rPr>
          <w:lang w:val="es-CO"/>
        </w:rPr>
        <w:t>de</w:t>
      </w:r>
      <w:r w:rsidR="0087214A" w:rsidRPr="00500E12">
        <w:rPr>
          <w:lang w:val="es-CO"/>
        </w:rPr>
        <w:t xml:space="preserve"> la contratista</w:t>
      </w:r>
      <w:r w:rsidR="006C5ACD" w:rsidRPr="00500E12">
        <w:rPr>
          <w:lang w:val="es-CO"/>
        </w:rPr>
        <w:t>,</w:t>
      </w:r>
      <w:r w:rsidR="0087214A" w:rsidRPr="00500E12">
        <w:rPr>
          <w:lang w:val="es-CO"/>
        </w:rPr>
        <w:t xml:space="preserve"> en el marco del contrato objeto de controversia, fue el adecuado, para la Sala es evidente, con fundamento en el análisis conjunto de los elementos materiales de prueba que reposan en el expediente, que la caída de una parte del muro de gaviones, es imputable a la contratista, quien podía prever la situación de inestabilidad ante las condiciones particulares de la quebrada la Negra.</w:t>
      </w:r>
      <w:r w:rsidR="006264EC" w:rsidRPr="00500E12">
        <w:rPr>
          <w:lang w:val="es-CO"/>
        </w:rPr>
        <w:t xml:space="preserve"> En Efecto, tales condiciones </w:t>
      </w:r>
      <w:r w:rsidR="004B7F76" w:rsidRPr="00500E12">
        <w:rPr>
          <w:lang w:val="es-CO"/>
        </w:rPr>
        <w:t>no le eran imprevisibles al</w:t>
      </w:r>
      <w:r w:rsidR="00FB442B" w:rsidRPr="00500E12">
        <w:rPr>
          <w:lang w:val="es-CO"/>
        </w:rPr>
        <w:t xml:space="preserve"> contratista, toda vez que l</w:t>
      </w:r>
      <w:r w:rsidR="004B7F76" w:rsidRPr="00500E12">
        <w:rPr>
          <w:lang w:val="es-CO"/>
        </w:rPr>
        <w:t>os pliegos de condiciones</w:t>
      </w:r>
      <w:r w:rsidR="006264EC" w:rsidRPr="00500E12">
        <w:rPr>
          <w:lang w:val="es-CO"/>
        </w:rPr>
        <w:t xml:space="preserve"> </w:t>
      </w:r>
      <w:r w:rsidR="00FB442B" w:rsidRPr="00500E12">
        <w:rPr>
          <w:lang w:val="es-CO"/>
        </w:rPr>
        <w:t xml:space="preserve">se fundamentaron </w:t>
      </w:r>
      <w:r w:rsidR="00D85948" w:rsidRPr="00500E12">
        <w:rPr>
          <w:lang w:val="es-CO"/>
        </w:rPr>
        <w:t>en el proyecto de adecuación y revestimiento</w:t>
      </w:r>
      <w:r w:rsidR="00F829FA" w:rsidRPr="00500E12">
        <w:rPr>
          <w:lang w:val="es-CO"/>
        </w:rPr>
        <w:t xml:space="preserve"> del talud </w:t>
      </w:r>
      <w:r w:rsidR="006B38D1" w:rsidRPr="00500E12">
        <w:rPr>
          <w:lang w:val="es-CO"/>
        </w:rPr>
        <w:t>“</w:t>
      </w:r>
      <w:r w:rsidR="00F829FA" w:rsidRPr="00500E12">
        <w:rPr>
          <w:i/>
          <w:lang w:val="es-CO"/>
        </w:rPr>
        <w:t>aguas abajo quebrada negra zona el descanso del municipio de Útica</w:t>
      </w:r>
      <w:r w:rsidR="006B38D1" w:rsidRPr="00500E12">
        <w:rPr>
          <w:i/>
          <w:lang w:val="es-CO"/>
        </w:rPr>
        <w:t xml:space="preserve">” </w:t>
      </w:r>
      <w:r w:rsidR="006B38D1" w:rsidRPr="00500E12">
        <w:rPr>
          <w:lang w:val="es-CO"/>
        </w:rPr>
        <w:t xml:space="preserve">ante </w:t>
      </w:r>
      <w:r w:rsidR="004F3966" w:rsidRPr="00500E12">
        <w:rPr>
          <w:lang w:val="es-CO"/>
        </w:rPr>
        <w:t>el “</w:t>
      </w:r>
      <w:r w:rsidR="004F3966" w:rsidRPr="00500E12">
        <w:rPr>
          <w:i/>
          <w:lang w:val="es-CO"/>
        </w:rPr>
        <w:t xml:space="preserve">INMINENTE RIESGO DE INUNDACIÓN / AVALANCHA HACIA EL MUNICIPIO DADO EL ALTO GRADO DE SEDIMENTACIÓN DE MATERIAL EN LA QUEBRADA LA NEGRA, DEBIDO A LA CONFORMACIÓN DEL CAUCE DE LA MISMA, SIENDO ESTE DE FORMA ESCABROS” </w:t>
      </w:r>
      <w:r w:rsidR="00E77E41" w:rsidRPr="00500E12">
        <w:rPr>
          <w:lang w:val="es-CO"/>
        </w:rPr>
        <w:t>(supra pár. 13.3.).</w:t>
      </w:r>
    </w:p>
    <w:p w14:paraId="7AE3BAC1" w14:textId="77777777" w:rsidR="004F3966" w:rsidRPr="00500E12" w:rsidRDefault="004F3966" w:rsidP="00E00A35">
      <w:pPr>
        <w:rPr>
          <w:lang w:val="es-CO"/>
        </w:rPr>
      </w:pPr>
    </w:p>
    <w:p w14:paraId="0D806CB6" w14:textId="77777777" w:rsidR="0087214A" w:rsidRPr="00500E12" w:rsidRDefault="00BE0ED3" w:rsidP="00E00A35">
      <w:pPr>
        <w:rPr>
          <w:lang w:val="es-CO"/>
        </w:rPr>
      </w:pPr>
      <w:r w:rsidRPr="00500E12">
        <w:rPr>
          <w:lang w:val="es-CO"/>
        </w:rPr>
        <w:t xml:space="preserve">22. </w:t>
      </w:r>
      <w:r w:rsidR="0087214A" w:rsidRPr="00500E12">
        <w:rPr>
          <w:lang w:val="es-CO"/>
        </w:rPr>
        <w:t xml:space="preserve">Ahora bien. No se desconoce que </w:t>
      </w:r>
      <w:r w:rsidR="001B4A0A" w:rsidRPr="00500E12">
        <w:rPr>
          <w:lang w:val="es-CO"/>
        </w:rPr>
        <w:t xml:space="preserve">la parte actora indicó que en todo caso, la modificación a los diseños era el resultado del acuerdo de las partes del contrato y personas de la comunidad, así como que la falla se originó por la falta de mantenimiento. Sin embargo, los testimonios recaudados </w:t>
      </w:r>
      <w:r w:rsidR="0087214A" w:rsidRPr="00500E12">
        <w:rPr>
          <w:lang w:val="es-CO"/>
        </w:rPr>
        <w:t xml:space="preserve"> </w:t>
      </w:r>
      <w:r w:rsidR="001B4A0A" w:rsidRPr="00500E12">
        <w:rPr>
          <w:lang w:val="es-CO"/>
        </w:rPr>
        <w:t>tampoco dan cuenta de esa situación.</w:t>
      </w:r>
    </w:p>
    <w:p w14:paraId="12D7397E" w14:textId="77777777" w:rsidR="001B4A0A" w:rsidRPr="00500E12" w:rsidRDefault="001B4A0A" w:rsidP="009B479B">
      <w:pPr>
        <w:tabs>
          <w:tab w:val="left" w:pos="3235"/>
        </w:tabs>
        <w:rPr>
          <w:lang w:val="es-CO"/>
        </w:rPr>
      </w:pPr>
    </w:p>
    <w:p w14:paraId="65C5532A" w14:textId="77777777" w:rsidR="00A5785C" w:rsidRPr="00500E12" w:rsidRDefault="00BE0ED3" w:rsidP="0021450A">
      <w:pPr>
        <w:widowControl w:val="0"/>
        <w:suppressAutoHyphens w:val="0"/>
        <w:overflowPunct/>
        <w:autoSpaceDE/>
        <w:textAlignment w:val="auto"/>
        <w:rPr>
          <w:lang w:val="es-CO"/>
        </w:rPr>
      </w:pPr>
      <w:r w:rsidRPr="00500E12">
        <w:rPr>
          <w:lang w:val="es-CO"/>
        </w:rPr>
        <w:t xml:space="preserve">22.1. </w:t>
      </w:r>
      <w:r w:rsidR="001B4A0A" w:rsidRPr="00500E12">
        <w:rPr>
          <w:lang w:val="es-CO"/>
        </w:rPr>
        <w:t xml:space="preserve">En efecto. </w:t>
      </w:r>
      <w:r w:rsidR="00A5785C" w:rsidRPr="00500E12">
        <w:rPr>
          <w:lang w:val="es-CO"/>
        </w:rPr>
        <w:t>José Gabriel Linares Hernández,</w:t>
      </w:r>
      <w:r w:rsidR="008C4FC3" w:rsidRPr="00500E12">
        <w:rPr>
          <w:lang w:val="es-CO"/>
        </w:rPr>
        <w:t xml:space="preserve"> de quien se dijo en la demanda que como integrante de la comunidad del municipio de Útica</w:t>
      </w:r>
      <w:r w:rsidR="008C4FC3" w:rsidRPr="00500E12">
        <w:rPr>
          <w:rStyle w:val="Refdenotaalpie"/>
          <w:rFonts w:cs="Arial"/>
          <w:lang w:val="es-CO"/>
        </w:rPr>
        <w:footnoteReference w:id="27"/>
      </w:r>
      <w:r w:rsidR="008C4FC3" w:rsidRPr="00500E12">
        <w:rPr>
          <w:lang w:val="es-CO"/>
        </w:rPr>
        <w:t xml:space="preserve">, </w:t>
      </w:r>
      <w:r w:rsidR="00A5785C" w:rsidRPr="00500E12">
        <w:rPr>
          <w:lang w:val="es-CO"/>
        </w:rPr>
        <w:t xml:space="preserve">participó </w:t>
      </w:r>
      <w:r w:rsidR="008C4FC3" w:rsidRPr="00500E12">
        <w:rPr>
          <w:lang w:val="es-CO"/>
        </w:rPr>
        <w:t>“</w:t>
      </w:r>
      <w:r w:rsidR="008C4FC3" w:rsidRPr="00500E12">
        <w:rPr>
          <w:i/>
          <w:lang w:val="es-CO"/>
        </w:rPr>
        <w:t xml:space="preserve">conjuntamente con las autoridades contractuales en el acuerdo que modificó el objeto del contrato para adecuar las disposiciones presupuestales a la verdadera situación de la crisis presentada en dicho municipio”  </w:t>
      </w:r>
      <w:r w:rsidR="00A5785C" w:rsidRPr="00500E12">
        <w:rPr>
          <w:lang w:val="es-CO"/>
        </w:rPr>
        <w:t xml:space="preserve">(f.14 c.1), </w:t>
      </w:r>
      <w:r w:rsidR="0021450A" w:rsidRPr="00500E12">
        <w:rPr>
          <w:lang w:val="es-CO"/>
        </w:rPr>
        <w:t>adujo en la declaración rendida lo siguiente (f.</w:t>
      </w:r>
      <w:r w:rsidR="00A5785C" w:rsidRPr="00500E12">
        <w:rPr>
          <w:lang w:val="es-CO"/>
        </w:rPr>
        <w:t xml:space="preserve"> 175 -176</w:t>
      </w:r>
      <w:r w:rsidR="0021450A" w:rsidRPr="00500E12">
        <w:rPr>
          <w:lang w:val="es-CO"/>
        </w:rPr>
        <w:t xml:space="preserve"> c.2):</w:t>
      </w:r>
    </w:p>
    <w:p w14:paraId="5E145B88" w14:textId="77777777" w:rsidR="00A5785C" w:rsidRPr="00500E12" w:rsidRDefault="00A5785C" w:rsidP="00C6365D">
      <w:pPr>
        <w:widowControl w:val="0"/>
        <w:suppressAutoHyphens w:val="0"/>
        <w:overflowPunct/>
        <w:autoSpaceDE/>
        <w:autoSpaceDN w:val="0"/>
        <w:rPr>
          <w:lang w:val="es-CO"/>
        </w:rPr>
      </w:pPr>
    </w:p>
    <w:p w14:paraId="4E08521D" w14:textId="77777777" w:rsidR="0021450A" w:rsidRPr="00500E12" w:rsidRDefault="00327A19" w:rsidP="00327A19">
      <w:pPr>
        <w:widowControl w:val="0"/>
        <w:suppressAutoHyphens w:val="0"/>
        <w:overflowPunct/>
        <w:autoSpaceDE/>
        <w:autoSpaceDN w:val="0"/>
        <w:spacing w:line="240" w:lineRule="auto"/>
        <w:ind w:left="567" w:right="567"/>
        <w:rPr>
          <w:i/>
          <w:lang w:val="es-CO"/>
        </w:rPr>
      </w:pPr>
      <w:r w:rsidRPr="00500E12">
        <w:rPr>
          <w:i/>
          <w:lang w:val="es-CO"/>
        </w:rPr>
        <w:t xml:space="preserve">(…) </w:t>
      </w:r>
      <w:r w:rsidR="0021450A" w:rsidRPr="00500E12">
        <w:rPr>
          <w:i/>
          <w:lang w:val="es-CO"/>
        </w:rPr>
        <w:t>PREGUNTADO: Diga al despacho qué obras realizó la firma contratante (sic) o sea Obando y Mejía Ingenieros, en cumplimiento del contrato celebrado con la gobernación, contrato 046 CONTESTÓ: La obra que se construyó fue un muro en gavión a la margen derecha de la quebrada aguas abajo, en el sitio denominado el descanso. Ahí se hizo un dragado pero lo que no me consta fue si lo hicieron con la plata del mismo presupuesto del contrato en menci</w:t>
      </w:r>
      <w:r w:rsidR="001E5968" w:rsidRPr="00500E12">
        <w:rPr>
          <w:i/>
          <w:lang w:val="es-CO"/>
        </w:rPr>
        <w:t>ón, si fue la misma constructora o no. PREGUNTADO: Diga al despacho si las obras realizadas, entre ellas, el muro de gavión, funcionaron correctamente para el fin propuesto, o el cumplimiento del objeto del contrato. CONTESTÓ: S</w:t>
      </w:r>
      <w:r w:rsidR="00CF0D6E" w:rsidRPr="00500E12">
        <w:rPr>
          <w:i/>
          <w:lang w:val="es-CO"/>
        </w:rPr>
        <w:t>í, esa clase</w:t>
      </w:r>
      <w:r w:rsidR="001E5968" w:rsidRPr="00500E12">
        <w:rPr>
          <w:i/>
          <w:lang w:val="es-CO"/>
        </w:rPr>
        <w:t xml:space="preserve"> de obra funciona, y lo digo por la experiencia que yo tengo en un sinnúmero de obras del mismo tipo que se construyeron en el ferrocarril a la orilla del río negro, lo que de pronto pudo haber sucedido, es que el diseño no se ajustó a las condiciones de la quebrada La Negra, es decir, que de pronto hizo falta realizar un estudio </w:t>
      </w:r>
      <w:r w:rsidR="009B06EC" w:rsidRPr="00500E12">
        <w:rPr>
          <w:i/>
          <w:lang w:val="es-CO"/>
        </w:rPr>
        <w:t>más</w:t>
      </w:r>
      <w:r w:rsidR="001E5968" w:rsidRPr="00500E12">
        <w:rPr>
          <w:i/>
          <w:lang w:val="es-CO"/>
        </w:rPr>
        <w:t xml:space="preserve"> a fondo, relacionado con la obra que se iba a construir</w:t>
      </w:r>
      <w:r w:rsidR="009B06EC" w:rsidRPr="00500E12">
        <w:rPr>
          <w:i/>
          <w:lang w:val="es-CO"/>
        </w:rPr>
        <w:t>.</w:t>
      </w:r>
      <w:r w:rsidR="00C2167F" w:rsidRPr="00500E12">
        <w:rPr>
          <w:i/>
          <w:lang w:val="es-CO"/>
        </w:rPr>
        <w:t xml:space="preserve"> PREGUNTADO: Diga al despacho si usted conoce de alguna modificación que se hiciera al objeto del contrato realizado entre la Gobernación de Cundinamarca y la firma Obando y Mejía Ingenieros y al valor del mismo. CONTESTÓ: Sobre esas modificaciones no tengo conocimiento si lo hicieron o no.  </w:t>
      </w:r>
      <w:r w:rsidR="009B06EC" w:rsidRPr="00500E12">
        <w:rPr>
          <w:i/>
          <w:lang w:val="es-CO"/>
        </w:rPr>
        <w:t xml:space="preserve"> </w:t>
      </w:r>
      <w:r w:rsidR="00830B45" w:rsidRPr="00500E12">
        <w:rPr>
          <w:i/>
          <w:lang w:val="es-CO"/>
        </w:rPr>
        <w:t>PREGUNTADO: Diga al despacho si cumplido el contrato, el municipio, la gobernación o la firma contratante (sic), alguno de ellos se obligaba a hacer el mantenimiento de la obra. CONTESTÓ:</w:t>
      </w:r>
      <w:r w:rsidR="00555EFC" w:rsidRPr="00500E12">
        <w:rPr>
          <w:i/>
          <w:lang w:val="es-CO"/>
        </w:rPr>
        <w:t xml:space="preserve"> Yo </w:t>
      </w:r>
      <w:r w:rsidR="008B202E" w:rsidRPr="00500E12">
        <w:rPr>
          <w:i/>
          <w:lang w:val="es-CO"/>
        </w:rPr>
        <w:t xml:space="preserve">no </w:t>
      </w:r>
      <w:r w:rsidR="00555EFC" w:rsidRPr="00500E12">
        <w:rPr>
          <w:i/>
          <w:lang w:val="es-CO"/>
        </w:rPr>
        <w:t xml:space="preserve">sé si dentro del contrato, las partes, es decir, entre la gobernación de Cundinamarca y los ingenieros contratistas OBANDO Y MEJÍA, había alguna cláusula dentro del mismo contrato, donde alguna de las partes se obligaba a hacer el mantenimiento de dicha obra, o a la vez, ese mantenimiento se lo asignaban </w:t>
      </w:r>
      <w:r w:rsidR="008B3F28" w:rsidRPr="00500E12">
        <w:rPr>
          <w:i/>
          <w:lang w:val="es-CO"/>
        </w:rPr>
        <w:t>al</w:t>
      </w:r>
      <w:r w:rsidR="00555EFC" w:rsidRPr="00500E12">
        <w:rPr>
          <w:i/>
          <w:lang w:val="es-CO"/>
        </w:rPr>
        <w:t xml:space="preserve"> municipio de Útica, pero hasta donde yo tengo conocimiento, es que el mantenimiento de las obras, estos s</w:t>
      </w:r>
      <w:r w:rsidR="008B3F28" w:rsidRPr="00500E12">
        <w:rPr>
          <w:i/>
          <w:lang w:val="es-CO"/>
        </w:rPr>
        <w:t xml:space="preserve">iempre los hace el beneficiario, o sea, el municipio de Útica y no el contratista. </w:t>
      </w:r>
      <w:r w:rsidRPr="00500E12">
        <w:rPr>
          <w:i/>
          <w:lang w:val="es-CO"/>
        </w:rPr>
        <w:t>(…)</w:t>
      </w:r>
    </w:p>
    <w:p w14:paraId="3042F6FB" w14:textId="77777777" w:rsidR="001B4A0A" w:rsidRPr="00500E12" w:rsidRDefault="001B4A0A" w:rsidP="00E00A35">
      <w:pPr>
        <w:rPr>
          <w:lang w:val="es-CO"/>
        </w:rPr>
      </w:pPr>
    </w:p>
    <w:p w14:paraId="1409C9DC" w14:textId="77777777" w:rsidR="00A5785C" w:rsidRPr="00500E12" w:rsidRDefault="00BE0ED3" w:rsidP="00A5785C">
      <w:pPr>
        <w:widowControl w:val="0"/>
        <w:suppressAutoHyphens w:val="0"/>
        <w:overflowPunct/>
        <w:autoSpaceDE/>
        <w:autoSpaceDN w:val="0"/>
        <w:rPr>
          <w:lang w:val="es-CO"/>
        </w:rPr>
      </w:pPr>
      <w:r w:rsidRPr="00500E12">
        <w:rPr>
          <w:lang w:val="es-CO"/>
        </w:rPr>
        <w:t xml:space="preserve">22.2. </w:t>
      </w:r>
      <w:r w:rsidR="00EA6D13" w:rsidRPr="00500E12">
        <w:rPr>
          <w:lang w:val="es-CO"/>
        </w:rPr>
        <w:t xml:space="preserve">Por su parte, </w:t>
      </w:r>
      <w:r w:rsidR="00A5785C" w:rsidRPr="00500E12">
        <w:rPr>
          <w:lang w:val="es-CO"/>
        </w:rPr>
        <w:t xml:space="preserve">el señor Rafael Mahecha Santibañez, integrante de la comunidad del municipio de Útica, de quien también se dijo en la demanda, participó en </w:t>
      </w:r>
      <w:r w:rsidR="00C010BA" w:rsidRPr="00500E12">
        <w:rPr>
          <w:lang w:val="es-CO"/>
        </w:rPr>
        <w:t xml:space="preserve">el acuerdo que modificó el objeto del contrato </w:t>
      </w:r>
      <w:r w:rsidR="00A5785C" w:rsidRPr="00500E12">
        <w:rPr>
          <w:lang w:val="es-CO"/>
        </w:rPr>
        <w:t>(f.14 c.1)</w:t>
      </w:r>
      <w:r w:rsidR="00C010BA" w:rsidRPr="00500E12">
        <w:rPr>
          <w:rStyle w:val="Refdenotaalpie"/>
          <w:rFonts w:cs="Arial"/>
          <w:lang w:val="es-CO"/>
        </w:rPr>
        <w:footnoteReference w:id="28"/>
      </w:r>
      <w:r w:rsidR="00A5785C" w:rsidRPr="00500E12">
        <w:rPr>
          <w:lang w:val="es-CO"/>
        </w:rPr>
        <w:t>, manifestó en su testimonio que trabajó en la quebrada La Negra, en la que la sociedad contratista realizó cuatro muros de gaviones, así como el dragado. Agregó que uno de los muros fue reconstruido por una creciente muy fuerte, el cual estaba revestido en concreto en la parte del frente y por encima. Aclaró que la sociedad hizo el dragado pero que “</w:t>
      </w:r>
      <w:r w:rsidR="00A5785C" w:rsidRPr="00500E12">
        <w:rPr>
          <w:i/>
          <w:lang w:val="es-CO"/>
        </w:rPr>
        <w:t xml:space="preserve">todo el mundo sabe que a la quebrada no le sirve </w:t>
      </w:r>
      <w:r w:rsidR="00A5785C" w:rsidRPr="00500E12">
        <w:rPr>
          <w:lang w:val="es-CO"/>
        </w:rPr>
        <w:t xml:space="preserve">(sic) </w:t>
      </w:r>
      <w:r w:rsidR="00A5785C" w:rsidRPr="00500E12">
        <w:rPr>
          <w:i/>
          <w:lang w:val="es-CO"/>
        </w:rPr>
        <w:t xml:space="preserve">los gaviones”. </w:t>
      </w:r>
      <w:r w:rsidR="00A5785C" w:rsidRPr="00500E12">
        <w:rPr>
          <w:lang w:val="es-CO"/>
        </w:rPr>
        <w:t>Además, que para la fecha en que rindió su declaración, aún servían tres de los cuatro gaviones, porque el que fue reconstruido se volvió a dañar, en consideración a que en ese punto, la quebrada le “</w:t>
      </w:r>
      <w:r w:rsidR="00A5785C" w:rsidRPr="00500E12">
        <w:rPr>
          <w:i/>
          <w:lang w:val="es-CO"/>
        </w:rPr>
        <w:t xml:space="preserve">pega de frente”. </w:t>
      </w:r>
      <w:r w:rsidR="008B202E" w:rsidRPr="00500E12">
        <w:rPr>
          <w:lang w:val="es-CO"/>
        </w:rPr>
        <w:t xml:space="preserve">Sobre </w:t>
      </w:r>
      <w:r w:rsidR="009B479B" w:rsidRPr="00500E12">
        <w:rPr>
          <w:lang w:val="es-CO"/>
        </w:rPr>
        <w:t>e</w:t>
      </w:r>
      <w:r w:rsidR="00A5785C" w:rsidRPr="00500E12">
        <w:rPr>
          <w:lang w:val="es-CO"/>
        </w:rPr>
        <w:t>l acuerdo de las modificaciones a los diseños, señaló que no estaba seguro sobre el tema, pasando a creer que las mismas correspondieron a los trabajos adelantados para la reconstrucción. Finalmente, indicó que no le consta si la obra fue recibida a satisfacción y mencionó haber visto la retroexcavadora del municipio haciendo el mantenimiento (f. 177 -178 c.2).</w:t>
      </w:r>
    </w:p>
    <w:p w14:paraId="5691CC1F" w14:textId="77777777" w:rsidR="0087214A" w:rsidRPr="00500E12" w:rsidRDefault="0087214A" w:rsidP="00E00A35">
      <w:pPr>
        <w:rPr>
          <w:lang w:val="es-CO"/>
        </w:rPr>
      </w:pPr>
    </w:p>
    <w:p w14:paraId="32509AE1" w14:textId="77777777" w:rsidR="005A7204" w:rsidRPr="00500E12" w:rsidRDefault="00BE0ED3" w:rsidP="005A7204">
      <w:pPr>
        <w:widowControl w:val="0"/>
        <w:suppressAutoHyphens w:val="0"/>
        <w:overflowPunct/>
        <w:autoSpaceDE/>
        <w:textAlignment w:val="auto"/>
        <w:rPr>
          <w:lang w:val="es-CO"/>
        </w:rPr>
      </w:pPr>
      <w:r w:rsidRPr="00500E12">
        <w:rPr>
          <w:lang w:val="es-CO"/>
        </w:rPr>
        <w:t xml:space="preserve">22.3. </w:t>
      </w:r>
      <w:r w:rsidR="00F64AA0" w:rsidRPr="00500E12">
        <w:rPr>
          <w:lang w:val="es-CO"/>
        </w:rPr>
        <w:t xml:space="preserve">El </w:t>
      </w:r>
      <w:r w:rsidR="00107FB8" w:rsidRPr="00500E12">
        <w:rPr>
          <w:lang w:val="es-CO"/>
        </w:rPr>
        <w:t xml:space="preserve">testigo </w:t>
      </w:r>
      <w:r w:rsidR="005A7204" w:rsidRPr="00500E12">
        <w:rPr>
          <w:lang w:val="es-CO"/>
        </w:rPr>
        <w:t xml:space="preserve">Orlando Mahecha Rodríguez, quien fungió como alcalde municipal de </w:t>
      </w:r>
      <w:r w:rsidR="00656842" w:rsidRPr="00500E12">
        <w:rPr>
          <w:lang w:val="es-CO"/>
        </w:rPr>
        <w:t>Útica</w:t>
      </w:r>
      <w:r w:rsidR="00C56B69" w:rsidRPr="00500E12">
        <w:rPr>
          <w:lang w:val="es-CO"/>
        </w:rPr>
        <w:t>,</w:t>
      </w:r>
      <w:r w:rsidR="00656842" w:rsidRPr="00500E12">
        <w:rPr>
          <w:lang w:val="es-CO"/>
        </w:rPr>
        <w:t xml:space="preserve"> </w:t>
      </w:r>
      <w:r w:rsidR="005A7204" w:rsidRPr="00500E12">
        <w:rPr>
          <w:lang w:val="es-CO"/>
        </w:rPr>
        <w:t xml:space="preserve">para la época en la que se ejecutó el contrato </w:t>
      </w:r>
      <w:r w:rsidR="00F64AA0" w:rsidRPr="00500E12">
        <w:rPr>
          <w:lang w:val="es-CO"/>
        </w:rPr>
        <w:t xml:space="preserve">n.º </w:t>
      </w:r>
      <w:r w:rsidR="005A7204" w:rsidRPr="00500E12">
        <w:rPr>
          <w:lang w:val="es-CO"/>
        </w:rPr>
        <w:t>046 de 1998</w:t>
      </w:r>
      <w:r w:rsidR="00F64AA0" w:rsidRPr="00500E12">
        <w:rPr>
          <w:lang w:val="es-CO"/>
        </w:rPr>
        <w:t>, manifestó q</w:t>
      </w:r>
      <w:r w:rsidR="005A7204" w:rsidRPr="00500E12">
        <w:rPr>
          <w:lang w:val="es-CO"/>
        </w:rPr>
        <w:t>ue no estuvo en la entrega</w:t>
      </w:r>
      <w:r w:rsidR="00E859FF" w:rsidRPr="00500E12">
        <w:rPr>
          <w:lang w:val="es-CO"/>
        </w:rPr>
        <w:t xml:space="preserve"> de las obras</w:t>
      </w:r>
      <w:r w:rsidR="005A7204" w:rsidRPr="00500E12">
        <w:rPr>
          <w:lang w:val="es-CO"/>
        </w:rPr>
        <w:t>, razón por la que no le consta que se recibiera</w:t>
      </w:r>
      <w:r w:rsidR="00C56B69" w:rsidRPr="00500E12">
        <w:rPr>
          <w:lang w:val="es-CO"/>
        </w:rPr>
        <w:t>n</w:t>
      </w:r>
      <w:r w:rsidR="005A7204" w:rsidRPr="00500E12">
        <w:rPr>
          <w:lang w:val="es-CO"/>
        </w:rPr>
        <w:t xml:space="preserve"> a satisfacción</w:t>
      </w:r>
      <w:r w:rsidR="00107FB8" w:rsidRPr="00500E12">
        <w:rPr>
          <w:lang w:val="es-CO"/>
        </w:rPr>
        <w:t>,</w:t>
      </w:r>
      <w:r w:rsidR="005A7204" w:rsidRPr="00500E12">
        <w:rPr>
          <w:lang w:val="es-CO"/>
        </w:rPr>
        <w:t xml:space="preserve"> ni las modificaciones que se le pudieran ha</w:t>
      </w:r>
      <w:r w:rsidR="000E3439" w:rsidRPr="00500E12">
        <w:rPr>
          <w:lang w:val="es-CO"/>
        </w:rPr>
        <w:t>ber hecho</w:t>
      </w:r>
      <w:r w:rsidR="005A7204" w:rsidRPr="00500E12">
        <w:rPr>
          <w:lang w:val="es-CO"/>
        </w:rPr>
        <w:t xml:space="preserve"> al objeto contractual</w:t>
      </w:r>
      <w:r w:rsidR="00107FB8" w:rsidRPr="00500E12">
        <w:rPr>
          <w:lang w:val="es-CO"/>
        </w:rPr>
        <w:t xml:space="preserve">. Indicó </w:t>
      </w:r>
      <w:r w:rsidR="005A7204" w:rsidRPr="00500E12">
        <w:rPr>
          <w:lang w:val="es-CO"/>
        </w:rPr>
        <w:t>que el contrato fue dirigido de manera directa por el departamento, que la contratista construyó el gavión y realizó el dragado de la quebrada</w:t>
      </w:r>
      <w:r w:rsidR="00107FB8" w:rsidRPr="00500E12">
        <w:rPr>
          <w:lang w:val="es-CO"/>
        </w:rPr>
        <w:t xml:space="preserve">. Frente </w:t>
      </w:r>
      <w:r w:rsidR="005A7204" w:rsidRPr="00500E12">
        <w:rPr>
          <w:lang w:val="es-CO"/>
        </w:rPr>
        <w:t xml:space="preserve">a los mantenimientos, recordó que se hizo uno por la contratista cuando se dañó </w:t>
      </w:r>
      <w:r w:rsidR="00C56B69" w:rsidRPr="00500E12">
        <w:rPr>
          <w:lang w:val="es-CO"/>
        </w:rPr>
        <w:t xml:space="preserve">el gavión </w:t>
      </w:r>
      <w:r w:rsidR="005A7204" w:rsidRPr="00500E12">
        <w:rPr>
          <w:lang w:val="es-CO"/>
        </w:rPr>
        <w:t xml:space="preserve">y que no se le </w:t>
      </w:r>
      <w:r w:rsidR="00107FB8" w:rsidRPr="00500E12">
        <w:rPr>
          <w:lang w:val="es-CO"/>
        </w:rPr>
        <w:t xml:space="preserve">habían </w:t>
      </w:r>
      <w:r w:rsidR="005A7204" w:rsidRPr="00500E12">
        <w:rPr>
          <w:lang w:val="es-CO"/>
        </w:rPr>
        <w:t>hecho más</w:t>
      </w:r>
      <w:r w:rsidR="00107FB8" w:rsidRPr="00500E12">
        <w:rPr>
          <w:lang w:val="es-CO"/>
        </w:rPr>
        <w:t xml:space="preserve"> (f.</w:t>
      </w:r>
      <w:r w:rsidR="00F64AA0" w:rsidRPr="00500E12">
        <w:rPr>
          <w:lang w:val="es-CO"/>
        </w:rPr>
        <w:t xml:space="preserve"> 180-181 c.2</w:t>
      </w:r>
      <w:r w:rsidR="00107FB8" w:rsidRPr="00500E12">
        <w:rPr>
          <w:lang w:val="es-CO"/>
        </w:rPr>
        <w:t>).</w:t>
      </w:r>
    </w:p>
    <w:p w14:paraId="59526681" w14:textId="77777777" w:rsidR="005A7204" w:rsidRPr="00500E12" w:rsidRDefault="005A7204" w:rsidP="005A7204">
      <w:pPr>
        <w:widowControl w:val="0"/>
        <w:suppressAutoHyphens w:val="0"/>
        <w:overflowPunct/>
        <w:autoSpaceDE/>
        <w:textAlignment w:val="auto"/>
        <w:rPr>
          <w:lang w:val="es-CO"/>
        </w:rPr>
      </w:pPr>
    </w:p>
    <w:p w14:paraId="4933489E" w14:textId="77777777" w:rsidR="005A7204" w:rsidRPr="00500E12" w:rsidRDefault="00BE0ED3" w:rsidP="005A7204">
      <w:pPr>
        <w:widowControl w:val="0"/>
        <w:suppressAutoHyphens w:val="0"/>
        <w:overflowPunct/>
        <w:autoSpaceDE/>
        <w:textAlignment w:val="auto"/>
        <w:rPr>
          <w:lang w:val="es-CO"/>
        </w:rPr>
      </w:pPr>
      <w:r w:rsidRPr="00500E12">
        <w:rPr>
          <w:lang w:val="es-CO"/>
        </w:rPr>
        <w:t xml:space="preserve">22.4. </w:t>
      </w:r>
      <w:r w:rsidR="00B84EE5" w:rsidRPr="00500E12">
        <w:rPr>
          <w:lang w:val="es-CO"/>
        </w:rPr>
        <w:t xml:space="preserve">El ingeniero Mauricio Delgadillo Díaz, supervisor del contrato n.º 046 de 1998, </w:t>
      </w:r>
      <w:r w:rsidR="003D2AC4" w:rsidRPr="00500E12">
        <w:rPr>
          <w:lang w:val="es-CO"/>
        </w:rPr>
        <w:t xml:space="preserve">reiteró en su testimonio lo planteado en sus informes sobre las posibles causas de la falla, las cuales fueron acogidas por la entidad como fundamento de las resoluciones impugnadas. De igual forma, </w:t>
      </w:r>
      <w:r w:rsidR="00C56B69" w:rsidRPr="00500E12">
        <w:rPr>
          <w:lang w:val="es-CO"/>
        </w:rPr>
        <w:t>manifestó</w:t>
      </w:r>
      <w:r w:rsidR="003D2AC4" w:rsidRPr="00500E12">
        <w:rPr>
          <w:lang w:val="es-CO"/>
        </w:rPr>
        <w:t xml:space="preserve"> que la gobernación no asumió la obligación de mantenimiento de la obra, la cual debió diseñarse a largo plazo, por tratarse de una de estabilización (f.353-354 c. 2). </w:t>
      </w:r>
    </w:p>
    <w:p w14:paraId="4F75A280" w14:textId="77777777" w:rsidR="00564523" w:rsidRPr="00500E12" w:rsidRDefault="00564523" w:rsidP="005A7204">
      <w:pPr>
        <w:widowControl w:val="0"/>
        <w:suppressAutoHyphens w:val="0"/>
        <w:overflowPunct/>
        <w:autoSpaceDE/>
        <w:textAlignment w:val="auto"/>
        <w:rPr>
          <w:lang w:val="es-CO"/>
        </w:rPr>
      </w:pPr>
    </w:p>
    <w:p w14:paraId="6EE7DED1" w14:textId="77777777" w:rsidR="00A477CF" w:rsidRPr="00500E12" w:rsidRDefault="00BE0ED3" w:rsidP="00D45EEA">
      <w:r w:rsidRPr="00500E12">
        <w:t xml:space="preserve">23. </w:t>
      </w:r>
      <w:r w:rsidR="00D45EEA" w:rsidRPr="00500E12">
        <w:t xml:space="preserve">Debe </w:t>
      </w:r>
      <w:r w:rsidR="005952AE" w:rsidRPr="00500E12">
        <w:t>recordarse que conforme al artículo 177 del Código de Procedimiento Civil, la carga de la prueba corresponde a quien pretende demostrar los hechos</w:t>
      </w:r>
      <w:r w:rsidR="000E3439" w:rsidRPr="00500E12">
        <w:t xml:space="preserve"> fundamento de sus pretensiones</w:t>
      </w:r>
      <w:r w:rsidR="005952AE" w:rsidRPr="00500E12">
        <w:t xml:space="preserve"> plantead</w:t>
      </w:r>
      <w:r w:rsidR="000E3439" w:rsidRPr="00500E12">
        <w:t>a</w:t>
      </w:r>
      <w:r w:rsidR="005952AE" w:rsidRPr="00500E12">
        <w:t>s y en el presente caso, la parte actora omitió su d</w:t>
      </w:r>
      <w:r w:rsidR="00D45EEA" w:rsidRPr="00500E12">
        <w:t>eber de aportar las pruebas que permitieran desvirtuar la legalidad de los actos administrativos cuestionados. Por lo anterior, la Sala confirmará la decisión de primera instancia, toda vez que</w:t>
      </w:r>
      <w:r w:rsidR="000E3439" w:rsidRPr="00500E12">
        <w:t xml:space="preserve"> en</w:t>
      </w:r>
      <w:r w:rsidR="00D45EEA" w:rsidRPr="00500E12">
        <w:t xml:space="preserve"> el caso bajo estudio, </w:t>
      </w:r>
      <w:r w:rsidR="008231F7" w:rsidRPr="00500E12">
        <w:t>no</w:t>
      </w:r>
      <w:r w:rsidR="00D45EEA" w:rsidRPr="00500E12">
        <w:t xml:space="preserve"> se demostró</w:t>
      </w:r>
      <w:r w:rsidR="008231F7" w:rsidRPr="00500E12">
        <w:t xml:space="preserve"> </w:t>
      </w:r>
      <w:r w:rsidR="00D45EEA" w:rsidRPr="00500E12">
        <w:t>que las fallas en las obras ejecutadas en el marco del contrato n.º 046 de 1998, obedecieron a la falta de mantenimiento preventivo como lo alegó la contratista, sino que por el contrario, se produjo por las falencias en los diseños</w:t>
      </w:r>
      <w:r w:rsidR="000E3439" w:rsidRPr="00500E12">
        <w:t xml:space="preserve"> y en la ejecución de las obras</w:t>
      </w:r>
      <w:r w:rsidR="00D45EEA" w:rsidRPr="00500E12">
        <w:t xml:space="preserve">, </w:t>
      </w:r>
      <w:r w:rsidR="000E3439" w:rsidRPr="00500E12">
        <w:t xml:space="preserve">en los </w:t>
      </w:r>
      <w:r w:rsidR="00D45EEA" w:rsidRPr="00500E12">
        <w:t xml:space="preserve">que no </w:t>
      </w:r>
      <w:r w:rsidR="000E3439" w:rsidRPr="00500E12">
        <w:t xml:space="preserve">se </w:t>
      </w:r>
      <w:r w:rsidR="00D45EEA" w:rsidRPr="00500E12">
        <w:t>previeron las circunstancias particulares de la quebrada La Negra</w:t>
      </w:r>
      <w:r w:rsidR="00A477CF" w:rsidRPr="00500E12">
        <w:t>, lo que determinó que la solución acordada no fuera la indicada.</w:t>
      </w:r>
    </w:p>
    <w:p w14:paraId="505BDB5B" w14:textId="77777777" w:rsidR="00A477CF" w:rsidRPr="00500E12" w:rsidRDefault="00A477CF" w:rsidP="00D45EEA"/>
    <w:p w14:paraId="6EFB0D65" w14:textId="77777777" w:rsidR="005952AE" w:rsidRPr="00500E12" w:rsidRDefault="00E26EEB" w:rsidP="00D45EEA">
      <w:pPr>
        <w:rPr>
          <w:lang w:val="es-CO"/>
        </w:rPr>
      </w:pPr>
      <w:r w:rsidRPr="00500E12">
        <w:t xml:space="preserve">24. </w:t>
      </w:r>
      <w:r w:rsidR="00A477CF" w:rsidRPr="00500E12">
        <w:t xml:space="preserve">Ahora bien. Sin desconocer que </w:t>
      </w:r>
      <w:r w:rsidR="00DC0A48" w:rsidRPr="00500E12">
        <w:t>los estudios y diseños de la contratista debían ser aprobados por la</w:t>
      </w:r>
      <w:r w:rsidR="00D45EEA" w:rsidRPr="00500E12">
        <w:t xml:space="preserve"> </w:t>
      </w:r>
      <w:r w:rsidR="00DC0A48" w:rsidRPr="00500E12">
        <w:t>interventoría</w:t>
      </w:r>
      <w:r w:rsidR="00B306E7" w:rsidRPr="00500E12">
        <w:rPr>
          <w:rStyle w:val="Refdenotaalpie"/>
          <w:rFonts w:cs="Arial"/>
        </w:rPr>
        <w:footnoteReference w:id="29"/>
      </w:r>
      <w:r w:rsidR="00DC0A48" w:rsidRPr="00500E12">
        <w:t xml:space="preserve">, como en efecto sucedió, esa circunstancia no determina por sí sola que la </w:t>
      </w:r>
      <w:r w:rsidR="008231F7" w:rsidRPr="00500E12">
        <w:t>sociedad</w:t>
      </w:r>
      <w:r w:rsidR="00DC0A48" w:rsidRPr="00500E12">
        <w:t xml:space="preserve"> pueda exonerarse de las obligaciones contractuales contraídas, como lo entendió la actora, </w:t>
      </w:r>
      <w:r w:rsidR="008231F7" w:rsidRPr="00500E12">
        <w:t>máxime, porque tampoco logró acreditar que la</w:t>
      </w:r>
      <w:r w:rsidR="00B306E7" w:rsidRPr="00500E12">
        <w:t xml:space="preserve"> </w:t>
      </w:r>
      <w:r w:rsidR="008231F7" w:rsidRPr="00500E12">
        <w:t xml:space="preserve">modificación que adujo efectuar ante la falta de presupuesto, se derivó de un acuerdo entre las partes, los representantes y habitantes del municipio y las autoridades departamentales encargadas de la ejecución, sino que por el contrario, obedecieron al desarrollo del objeto contractual que incluía </w:t>
      </w:r>
      <w:r w:rsidR="00B306E7" w:rsidRPr="00500E12">
        <w:t>la elaboración de los diseños</w:t>
      </w:r>
      <w:r w:rsidR="00DC0A48" w:rsidRPr="00500E12">
        <w:t xml:space="preserve">. </w:t>
      </w:r>
    </w:p>
    <w:p w14:paraId="303DC5A4" w14:textId="77777777" w:rsidR="00FF66A6" w:rsidRPr="00500E12" w:rsidRDefault="00FF66A6" w:rsidP="00F92FAF">
      <w:pPr>
        <w:rPr>
          <w:shd w:val="clear" w:color="auto" w:fill="FFFFFF"/>
        </w:rPr>
      </w:pPr>
    </w:p>
    <w:p w14:paraId="4CD3F86C" w14:textId="77777777" w:rsidR="00F92FAF" w:rsidRPr="00500E12" w:rsidRDefault="00BE0ED3" w:rsidP="00F92FAF">
      <w:pPr>
        <w:rPr>
          <w:i/>
          <w:shd w:val="clear" w:color="auto" w:fill="FFFFFF"/>
        </w:rPr>
      </w:pPr>
      <w:r w:rsidRPr="00500E12">
        <w:rPr>
          <w:shd w:val="clear" w:color="auto" w:fill="FFFFFF"/>
        </w:rPr>
        <w:t>25</w:t>
      </w:r>
      <w:r w:rsidR="005A7204" w:rsidRPr="00500E12">
        <w:rPr>
          <w:shd w:val="clear" w:color="auto" w:fill="FFFFFF"/>
        </w:rPr>
        <w:t xml:space="preserve">. Finalmente, en lo referente a la alegada agravación del </w:t>
      </w:r>
      <w:r w:rsidR="00C0508E" w:rsidRPr="00500E12">
        <w:rPr>
          <w:shd w:val="clear" w:color="auto" w:fill="FFFFFF"/>
        </w:rPr>
        <w:t>estado de</w:t>
      </w:r>
      <w:r w:rsidR="000E3439" w:rsidRPr="00500E12">
        <w:rPr>
          <w:shd w:val="clear" w:color="auto" w:fill="FFFFFF"/>
        </w:rPr>
        <w:t>l</w:t>
      </w:r>
      <w:r w:rsidR="00C0508E" w:rsidRPr="00500E12">
        <w:rPr>
          <w:shd w:val="clear" w:color="auto" w:fill="FFFFFF"/>
        </w:rPr>
        <w:t xml:space="preserve"> </w:t>
      </w:r>
      <w:r w:rsidR="005A7204" w:rsidRPr="00500E12">
        <w:rPr>
          <w:shd w:val="clear" w:color="auto" w:fill="FFFFFF"/>
        </w:rPr>
        <w:t xml:space="preserve">riesgo </w:t>
      </w:r>
      <w:r w:rsidR="00D4736A" w:rsidRPr="00500E12">
        <w:rPr>
          <w:shd w:val="clear" w:color="auto" w:fill="FFFFFF"/>
        </w:rPr>
        <w:t>que argumentó la aseguradora, se advierte que</w:t>
      </w:r>
      <w:r w:rsidR="006174B2" w:rsidRPr="00500E12">
        <w:rPr>
          <w:shd w:val="clear" w:color="auto" w:fill="FFFFFF"/>
        </w:rPr>
        <w:t xml:space="preserve"> la compañía tuvo </w:t>
      </w:r>
      <w:r w:rsidR="00D4736A" w:rsidRPr="00500E12">
        <w:rPr>
          <w:shd w:val="clear" w:color="auto" w:fill="FFFFFF"/>
        </w:rPr>
        <w:t xml:space="preserve"> conocimiento de la situación desde el 22 de diciembre de 1999 (comunicación del 19 de enero de 2000, suscrita por un asistente de la gerencia de ingeniería de la aseguradora, f.</w:t>
      </w:r>
      <w:r w:rsidR="006174B2" w:rsidRPr="00500E12">
        <w:rPr>
          <w:shd w:val="clear" w:color="auto" w:fill="FFFFFF"/>
        </w:rPr>
        <w:t xml:space="preserve"> </w:t>
      </w:r>
      <w:r w:rsidR="00D4736A" w:rsidRPr="00500E12">
        <w:rPr>
          <w:shd w:val="clear" w:color="auto" w:fill="FFFFFF"/>
        </w:rPr>
        <w:t>215 c.2), sin embargo, se limit</w:t>
      </w:r>
      <w:r w:rsidR="006174B2" w:rsidRPr="00500E12">
        <w:rPr>
          <w:shd w:val="clear" w:color="auto" w:fill="FFFFFF"/>
        </w:rPr>
        <w:t>ó</w:t>
      </w:r>
      <w:r w:rsidR="00D4736A" w:rsidRPr="00500E12">
        <w:rPr>
          <w:shd w:val="clear" w:color="auto" w:fill="FFFFFF"/>
        </w:rPr>
        <w:t xml:space="preserve"> a acoger las explicaciones de la </w:t>
      </w:r>
      <w:r w:rsidR="006174B2" w:rsidRPr="00500E12">
        <w:rPr>
          <w:shd w:val="clear" w:color="auto" w:fill="FFFFFF"/>
        </w:rPr>
        <w:t>sociedad</w:t>
      </w:r>
      <w:r w:rsidR="00D4736A" w:rsidRPr="00500E12">
        <w:rPr>
          <w:shd w:val="clear" w:color="auto" w:fill="FFFFFF"/>
        </w:rPr>
        <w:t>, quien</w:t>
      </w:r>
      <w:r w:rsidR="006174B2" w:rsidRPr="00500E12">
        <w:rPr>
          <w:shd w:val="clear" w:color="auto" w:fill="FFFFFF"/>
        </w:rPr>
        <w:t xml:space="preserve">, se reitera, señaló </w:t>
      </w:r>
      <w:r w:rsidR="00D4736A" w:rsidRPr="00500E12">
        <w:rPr>
          <w:shd w:val="clear" w:color="auto" w:fill="FFFFFF"/>
        </w:rPr>
        <w:t xml:space="preserve">que el colapso </w:t>
      </w:r>
      <w:r w:rsidR="000E3439" w:rsidRPr="00500E12">
        <w:rPr>
          <w:shd w:val="clear" w:color="auto" w:fill="FFFFFF"/>
        </w:rPr>
        <w:t>s</w:t>
      </w:r>
      <w:r w:rsidR="00D4736A" w:rsidRPr="00500E12">
        <w:rPr>
          <w:shd w:val="clear" w:color="auto" w:fill="FFFFFF"/>
        </w:rPr>
        <w:t>e dio por “</w:t>
      </w:r>
      <w:r w:rsidR="00D4736A" w:rsidRPr="00500E12">
        <w:rPr>
          <w:i/>
          <w:shd w:val="clear" w:color="auto" w:fill="FFFFFF"/>
        </w:rPr>
        <w:t xml:space="preserve">agentes exógenos y falta de mantenimiento, por lo que no puede responsabilizarse a la contratista”. </w:t>
      </w:r>
    </w:p>
    <w:p w14:paraId="7AEE2AE3" w14:textId="77777777" w:rsidR="00F92FAF" w:rsidRPr="00500E12" w:rsidRDefault="00F92FAF" w:rsidP="00F92FAF">
      <w:pPr>
        <w:rPr>
          <w:shd w:val="clear" w:color="auto" w:fill="FFFFFF"/>
        </w:rPr>
      </w:pPr>
    </w:p>
    <w:p w14:paraId="1DF036A3" w14:textId="77777777" w:rsidR="00AF70C6" w:rsidRPr="00500E12" w:rsidRDefault="00AF70C6" w:rsidP="00F92FAF">
      <w:pPr>
        <w:rPr>
          <w:shd w:val="clear" w:color="auto" w:fill="FFFFFF"/>
        </w:rPr>
      </w:pPr>
      <w:r w:rsidRPr="00500E12">
        <w:rPr>
          <w:shd w:val="clear" w:color="auto" w:fill="FFFFFF"/>
        </w:rPr>
        <w:t>26. En la misma línea en que se resolvieron los argumentos de falsa motivación, la Sala advierte que en el caso de la referencia, el volcamiento de parte de las obras ejecutadas en el contrato amparado, no se produj</w:t>
      </w:r>
      <w:r w:rsidR="000E3439" w:rsidRPr="00500E12">
        <w:rPr>
          <w:shd w:val="clear" w:color="auto" w:fill="FFFFFF"/>
        </w:rPr>
        <w:t>o</w:t>
      </w:r>
      <w:r w:rsidRPr="00500E12">
        <w:rPr>
          <w:shd w:val="clear" w:color="auto" w:fill="FFFFFF"/>
        </w:rPr>
        <w:t xml:space="preserve"> por una falta de mantenimiento preventivo, sino porque en los estudios y diseños no se analizaron todas las particularidades de la quebrada La Negra, por lo que la solución adoptada, resultó ineficiente y, en consecuencia, no cumplió con un servicio a largo plazo. </w:t>
      </w:r>
    </w:p>
    <w:p w14:paraId="236CBB8C" w14:textId="77777777" w:rsidR="006174B2" w:rsidRPr="00500E12" w:rsidRDefault="006174B2" w:rsidP="00F92FAF">
      <w:pPr>
        <w:rPr>
          <w:shd w:val="clear" w:color="auto" w:fill="FFFFFF"/>
        </w:rPr>
      </w:pPr>
    </w:p>
    <w:p w14:paraId="1D63A368" w14:textId="77777777" w:rsidR="00AD7921" w:rsidRPr="00500E12" w:rsidRDefault="006174B2" w:rsidP="00F92FAF">
      <w:pPr>
        <w:rPr>
          <w:shd w:val="clear" w:color="auto" w:fill="FFFFFF"/>
        </w:rPr>
      </w:pPr>
      <w:r w:rsidRPr="00500E12">
        <w:rPr>
          <w:shd w:val="clear" w:color="auto" w:fill="FFFFFF"/>
        </w:rPr>
        <w:t xml:space="preserve">27. </w:t>
      </w:r>
      <w:r w:rsidR="00AD7921" w:rsidRPr="00500E12">
        <w:rPr>
          <w:shd w:val="clear" w:color="auto" w:fill="FFFFFF"/>
        </w:rPr>
        <w:t>Por lo tanto, también se desvirtúa que lo acontecido esté por fuera del amparo de estabilidad de la obra conforme a las condiciones generales</w:t>
      </w:r>
      <w:r w:rsidR="00AD7921" w:rsidRPr="00500E12">
        <w:rPr>
          <w:rStyle w:val="Refdenotaalpie"/>
          <w:rFonts w:cs="Arial"/>
          <w:shd w:val="clear" w:color="auto" w:fill="FFFFFF"/>
        </w:rPr>
        <w:footnoteReference w:id="30"/>
      </w:r>
      <w:r w:rsidR="00AD7921" w:rsidRPr="00500E12">
        <w:rPr>
          <w:shd w:val="clear" w:color="auto" w:fill="FFFFFF"/>
        </w:rPr>
        <w:t xml:space="preserve">, toda vez que la inestabilidad y posterior volcamiento, obedeció a la falencia de los diseños, imputable a la contratista. </w:t>
      </w:r>
    </w:p>
    <w:p w14:paraId="12809371" w14:textId="77777777" w:rsidR="00AD7921" w:rsidRPr="00500E12" w:rsidRDefault="00AD7921" w:rsidP="00F92FAF">
      <w:pPr>
        <w:rPr>
          <w:shd w:val="clear" w:color="auto" w:fill="FFFFFF"/>
        </w:rPr>
      </w:pPr>
    </w:p>
    <w:p w14:paraId="69A5148A" w14:textId="77777777" w:rsidR="006E3BA3" w:rsidRPr="00500E12" w:rsidRDefault="006174B2" w:rsidP="00F92FAF">
      <w:pPr>
        <w:rPr>
          <w:shd w:val="clear" w:color="auto" w:fill="FFFFFF"/>
        </w:rPr>
      </w:pPr>
      <w:r w:rsidRPr="00500E12">
        <w:rPr>
          <w:shd w:val="clear" w:color="auto" w:fill="FFFFFF"/>
        </w:rPr>
        <w:t>28</w:t>
      </w:r>
      <w:r w:rsidR="006E3BA3" w:rsidRPr="00500E12">
        <w:rPr>
          <w:shd w:val="clear" w:color="auto" w:fill="FFFFFF"/>
        </w:rPr>
        <w:t>. En consecuencia, la Sala confirmar</w:t>
      </w:r>
      <w:r w:rsidR="000E3439" w:rsidRPr="00500E12">
        <w:rPr>
          <w:shd w:val="clear" w:color="auto" w:fill="FFFFFF"/>
        </w:rPr>
        <w:t>á</w:t>
      </w:r>
      <w:r w:rsidR="006E3BA3" w:rsidRPr="00500E12">
        <w:rPr>
          <w:shd w:val="clear" w:color="auto" w:fill="FFFFFF"/>
        </w:rPr>
        <w:t xml:space="preserve"> la sentencia de primera instancia, dado que</w:t>
      </w:r>
      <w:r w:rsidR="000E3439" w:rsidRPr="00500E12">
        <w:rPr>
          <w:shd w:val="clear" w:color="auto" w:fill="FFFFFF"/>
        </w:rPr>
        <w:t xml:space="preserve"> ni</w:t>
      </w:r>
      <w:r w:rsidR="006E3BA3" w:rsidRPr="00500E12">
        <w:rPr>
          <w:shd w:val="clear" w:color="auto" w:fill="FFFFFF"/>
        </w:rPr>
        <w:t xml:space="preserve"> la parte actora ni la </w:t>
      </w:r>
      <w:r w:rsidR="000E3439" w:rsidRPr="00500E12">
        <w:rPr>
          <w:shd w:val="clear" w:color="auto" w:fill="FFFFFF"/>
        </w:rPr>
        <w:t>aseguradora</w:t>
      </w:r>
      <w:r w:rsidR="006E3BA3" w:rsidRPr="00500E12">
        <w:rPr>
          <w:shd w:val="clear" w:color="auto" w:fill="FFFFFF"/>
        </w:rPr>
        <w:t xml:space="preserve">, lograron acreditar la ilegalidad de las resoluciones controvertidas. </w:t>
      </w:r>
    </w:p>
    <w:p w14:paraId="7D11DEB3" w14:textId="77777777" w:rsidR="00B318FA" w:rsidRPr="00500E12" w:rsidRDefault="00B318FA" w:rsidP="00F92FAF">
      <w:pPr>
        <w:rPr>
          <w:shd w:val="clear" w:color="auto" w:fill="FFFFFF"/>
        </w:rPr>
      </w:pPr>
    </w:p>
    <w:p w14:paraId="319980CC" w14:textId="77777777" w:rsidR="00CA1A55" w:rsidRPr="00500E12" w:rsidRDefault="00CA1A55" w:rsidP="00F92FAF">
      <w:pPr>
        <w:rPr>
          <w:b/>
          <w:bCs/>
          <w:lang w:val="es-CO"/>
        </w:rPr>
      </w:pPr>
      <w:r w:rsidRPr="00500E12">
        <w:rPr>
          <w:b/>
          <w:bCs/>
          <w:lang w:val="es-CO"/>
        </w:rPr>
        <w:t xml:space="preserve">V. Costas </w:t>
      </w:r>
    </w:p>
    <w:p w14:paraId="68EEF10B" w14:textId="77777777" w:rsidR="00CA1A55" w:rsidRPr="00500E12" w:rsidRDefault="00CA1A55" w:rsidP="00CA1A55">
      <w:pPr>
        <w:pStyle w:val="Prrafodelista"/>
        <w:spacing w:line="360" w:lineRule="auto"/>
        <w:ind w:left="0"/>
        <w:jc w:val="both"/>
        <w:rPr>
          <w:strike/>
          <w:lang w:val="es-CO"/>
        </w:rPr>
      </w:pPr>
    </w:p>
    <w:p w14:paraId="31A21228" w14:textId="77777777" w:rsidR="00CD2CB4" w:rsidRPr="00500E12" w:rsidRDefault="00AF70C6" w:rsidP="00CA1A55">
      <w:pPr>
        <w:pStyle w:val="Prrafodelista"/>
        <w:spacing w:line="360" w:lineRule="auto"/>
        <w:ind w:left="0"/>
        <w:jc w:val="both"/>
      </w:pPr>
      <w:r w:rsidRPr="00500E12">
        <w:rPr>
          <w:lang w:val="es-CO"/>
        </w:rPr>
        <w:t>2</w:t>
      </w:r>
      <w:r w:rsidR="006174B2" w:rsidRPr="00500E12">
        <w:rPr>
          <w:lang w:val="es-CO"/>
        </w:rPr>
        <w:t>9</w:t>
      </w:r>
      <w:r w:rsidR="009C332E" w:rsidRPr="00500E12">
        <w:rPr>
          <w:lang w:val="es-CO"/>
        </w:rPr>
        <w:t>.</w:t>
      </w:r>
      <w:r w:rsidR="00541C8B" w:rsidRPr="00500E12">
        <w:rPr>
          <w:lang w:val="es-CO"/>
        </w:rPr>
        <w:t xml:space="preserve"> </w:t>
      </w:r>
      <w:r w:rsidR="00CA1A55" w:rsidRPr="00500E12">
        <w:rPr>
          <w:lang w:val="es-CO"/>
        </w:rPr>
        <w:t xml:space="preserve">No hay lugar a la imposición de costas, debido a que no se evidencia en el caso concreto actuación temeraria de ninguna de las partes, condición exigida por el </w:t>
      </w:r>
      <w:r w:rsidR="00CA1A55" w:rsidRPr="00500E12">
        <w:t>artículo 55 de la Ley 446 de 1998 para que se proceda de esta forma.</w:t>
      </w:r>
    </w:p>
    <w:p w14:paraId="319F563C" w14:textId="77777777" w:rsidR="001603CB" w:rsidRPr="00500E12" w:rsidRDefault="001603CB" w:rsidP="00CD2CB4">
      <w:pPr>
        <w:pStyle w:val="Textoindependiente2"/>
      </w:pPr>
    </w:p>
    <w:p w14:paraId="48BBFD22" w14:textId="77777777" w:rsidR="00ED476E" w:rsidRPr="00500E12" w:rsidRDefault="00CD2CB4" w:rsidP="00543822">
      <w:pPr>
        <w:pStyle w:val="Textoindependiente2"/>
      </w:pPr>
      <w:r w:rsidRPr="00500E12">
        <w:t>En mérito de lo expuesto, el Consejo de Estado, en Sala de lo Contencioso Administrativo, Sección Tercera, Subsección B, administrando justicia en nombre de la República de Colombia y por autoridad de la ley,</w:t>
      </w:r>
    </w:p>
    <w:p w14:paraId="6EEAEA2C" w14:textId="77777777" w:rsidR="00ED476E" w:rsidRPr="00500E12" w:rsidRDefault="00ED476E" w:rsidP="00CD2CB4">
      <w:pPr>
        <w:pStyle w:val="Textoindependiente2"/>
        <w:rPr>
          <w:lang w:val="es-CO"/>
        </w:rPr>
      </w:pPr>
    </w:p>
    <w:p w14:paraId="45269E9C" w14:textId="77777777" w:rsidR="00CD2CB4" w:rsidRPr="00500E12" w:rsidRDefault="00B54D44" w:rsidP="006338F1">
      <w:pPr>
        <w:pStyle w:val="Ttulo4"/>
        <w:spacing w:before="0" w:after="0"/>
        <w:jc w:val="center"/>
        <w:rPr>
          <w:sz w:val="24"/>
          <w:szCs w:val="24"/>
        </w:rPr>
      </w:pPr>
      <w:r w:rsidRPr="00500E12">
        <w:rPr>
          <w:sz w:val="24"/>
          <w:szCs w:val="24"/>
        </w:rPr>
        <w:t>FALLA</w:t>
      </w:r>
    </w:p>
    <w:p w14:paraId="759F8DA0" w14:textId="77777777" w:rsidR="00195D5D" w:rsidRPr="00500E12" w:rsidRDefault="00195D5D" w:rsidP="005D5600">
      <w:pPr>
        <w:rPr>
          <w:b/>
          <w:bCs/>
        </w:rPr>
      </w:pPr>
    </w:p>
    <w:p w14:paraId="050933DB" w14:textId="77777777" w:rsidR="00066855" w:rsidRPr="00500E12" w:rsidRDefault="00CD2CB4" w:rsidP="005A7204">
      <w:pPr>
        <w:rPr>
          <w:lang w:val="es-CO"/>
        </w:rPr>
      </w:pPr>
      <w:r w:rsidRPr="00500E12">
        <w:rPr>
          <w:b/>
          <w:bCs/>
        </w:rPr>
        <w:t xml:space="preserve">PRIMERO: </w:t>
      </w:r>
      <w:r w:rsidR="00AA0A30" w:rsidRPr="00500E12">
        <w:rPr>
          <w:b/>
          <w:bCs/>
        </w:rPr>
        <w:t>CONF</w:t>
      </w:r>
      <w:r w:rsidR="008B7E49" w:rsidRPr="00500E12">
        <w:rPr>
          <w:b/>
          <w:bCs/>
        </w:rPr>
        <w:t>Í</w:t>
      </w:r>
      <w:r w:rsidR="00AA0A30" w:rsidRPr="00500E12">
        <w:rPr>
          <w:b/>
          <w:bCs/>
        </w:rPr>
        <w:t xml:space="preserve">RMASE </w:t>
      </w:r>
      <w:r w:rsidR="00066855" w:rsidRPr="00500E12">
        <w:rPr>
          <w:lang w:val="es-CO"/>
        </w:rPr>
        <w:t xml:space="preserve">la sentencia del </w:t>
      </w:r>
      <w:r w:rsidR="005A7204" w:rsidRPr="00500E12">
        <w:rPr>
          <w:lang w:val="es-CO"/>
        </w:rPr>
        <w:t>22</w:t>
      </w:r>
      <w:r w:rsidR="00066855" w:rsidRPr="00500E12">
        <w:rPr>
          <w:lang w:val="es-CO"/>
        </w:rPr>
        <w:t xml:space="preserve"> de </w:t>
      </w:r>
      <w:r w:rsidR="005A7204" w:rsidRPr="00500E12">
        <w:rPr>
          <w:lang w:val="es-CO"/>
        </w:rPr>
        <w:t>diciembre</w:t>
      </w:r>
      <w:r w:rsidR="002A789F" w:rsidRPr="00500E12">
        <w:rPr>
          <w:lang w:val="es-CO"/>
        </w:rPr>
        <w:t xml:space="preserve"> de</w:t>
      </w:r>
      <w:r w:rsidR="00066855" w:rsidRPr="00500E12">
        <w:rPr>
          <w:lang w:val="es-CO"/>
        </w:rPr>
        <w:t xml:space="preserve"> 200</w:t>
      </w:r>
      <w:r w:rsidR="005A7204" w:rsidRPr="00500E12">
        <w:rPr>
          <w:lang w:val="es-CO"/>
        </w:rPr>
        <w:t>4</w:t>
      </w:r>
      <w:r w:rsidR="00066855" w:rsidRPr="00500E12">
        <w:rPr>
          <w:lang w:val="es-CO"/>
        </w:rPr>
        <w:t xml:space="preserve">, proferida por el </w:t>
      </w:r>
      <w:r w:rsidR="005A7204" w:rsidRPr="00500E12">
        <w:rPr>
          <w:lang w:val="es-CO"/>
        </w:rPr>
        <w:t>Tribunal Administrativo de Cundinamarca, Sección Tercera, Sala de Descongestión.</w:t>
      </w:r>
    </w:p>
    <w:p w14:paraId="4D170E6E" w14:textId="77777777" w:rsidR="005A7204" w:rsidRPr="00500E12" w:rsidRDefault="005A7204" w:rsidP="005A7204">
      <w:pPr>
        <w:rPr>
          <w:b/>
          <w:i/>
        </w:rPr>
      </w:pPr>
    </w:p>
    <w:p w14:paraId="089182CF" w14:textId="77777777" w:rsidR="00025F40" w:rsidRPr="00500E12" w:rsidRDefault="005D5600" w:rsidP="00E820E3">
      <w:pPr>
        <w:shd w:val="clear" w:color="auto" w:fill="FFFFFF"/>
      </w:pPr>
      <w:r w:rsidRPr="00500E12">
        <w:rPr>
          <w:b/>
        </w:rPr>
        <w:t>SEGUNDO</w:t>
      </w:r>
      <w:r w:rsidR="001E25E8" w:rsidRPr="00500E12">
        <w:rPr>
          <w:b/>
        </w:rPr>
        <w:t>:</w:t>
      </w:r>
      <w:r w:rsidR="001E25E8" w:rsidRPr="00500E12">
        <w:t xml:space="preserve"> </w:t>
      </w:r>
      <w:r w:rsidR="00F86E39" w:rsidRPr="00500E12">
        <w:t>Sin condena en costas.</w:t>
      </w:r>
    </w:p>
    <w:p w14:paraId="5153E171" w14:textId="77777777" w:rsidR="005C59C8" w:rsidRPr="00500E12" w:rsidRDefault="005C59C8" w:rsidP="00CD2CB4"/>
    <w:p w14:paraId="19FC8644" w14:textId="77777777" w:rsidR="00CD2CB4" w:rsidRPr="00500E12" w:rsidRDefault="00066855" w:rsidP="00CD2CB4">
      <w:pPr>
        <w:rPr>
          <w:lang w:val="es-CO"/>
        </w:rPr>
      </w:pPr>
      <w:r w:rsidRPr="00500E12">
        <w:rPr>
          <w:b/>
          <w:lang w:val="es-CO"/>
        </w:rPr>
        <w:t>TERCERO:</w:t>
      </w:r>
      <w:r w:rsidRPr="00500E12">
        <w:rPr>
          <w:lang w:val="es-CO"/>
        </w:rPr>
        <w:t xml:space="preserve"> </w:t>
      </w:r>
      <w:r w:rsidR="00CD2CB4" w:rsidRPr="00500E12">
        <w:rPr>
          <w:lang w:val="es-CO"/>
        </w:rPr>
        <w:t>En firme este proveído, devuélvase al Tribunal de origen para lo de su cargo.</w:t>
      </w:r>
    </w:p>
    <w:p w14:paraId="07B7ACDB" w14:textId="77777777" w:rsidR="00CD2CB4" w:rsidRPr="00500E12" w:rsidRDefault="00CD2CB4" w:rsidP="00CD2CB4">
      <w:pPr>
        <w:spacing w:line="240" w:lineRule="auto"/>
        <w:rPr>
          <w:lang w:val="es-CO"/>
        </w:rPr>
      </w:pPr>
    </w:p>
    <w:p w14:paraId="2C6F1258" w14:textId="77777777" w:rsidR="00CD2CB4" w:rsidRPr="00500E12" w:rsidRDefault="00CD2CB4" w:rsidP="00564523">
      <w:pPr>
        <w:spacing w:line="240" w:lineRule="auto"/>
        <w:jc w:val="center"/>
        <w:rPr>
          <w:b/>
          <w:bCs/>
          <w:lang w:val="es-CO"/>
        </w:rPr>
      </w:pPr>
      <w:r w:rsidRPr="00500E12">
        <w:rPr>
          <w:b/>
          <w:bCs/>
          <w:lang w:val="es-CO"/>
        </w:rPr>
        <w:t>CÓPIESE, NOTIFÍQUESE y CÚMPLASE</w:t>
      </w:r>
    </w:p>
    <w:p w14:paraId="3C1F8A11" w14:textId="77777777" w:rsidR="00195D5D" w:rsidRPr="00500E12" w:rsidRDefault="00195D5D" w:rsidP="00564523">
      <w:pPr>
        <w:spacing w:line="240" w:lineRule="auto"/>
        <w:jc w:val="center"/>
        <w:rPr>
          <w:lang w:val="es-CO"/>
        </w:rPr>
      </w:pPr>
    </w:p>
    <w:p w14:paraId="21008EB0" w14:textId="77777777" w:rsidR="00201F04" w:rsidRPr="00500E12" w:rsidRDefault="00201F04" w:rsidP="00564523">
      <w:pPr>
        <w:spacing w:line="240" w:lineRule="auto"/>
        <w:jc w:val="center"/>
        <w:rPr>
          <w:lang w:val="es-CO"/>
        </w:rPr>
      </w:pPr>
    </w:p>
    <w:p w14:paraId="2D6EA79E" w14:textId="77777777" w:rsidR="00201F04" w:rsidRPr="00500E12" w:rsidRDefault="00201F04" w:rsidP="00564523">
      <w:pPr>
        <w:spacing w:line="240" w:lineRule="auto"/>
        <w:jc w:val="center"/>
        <w:rPr>
          <w:lang w:val="es-CO"/>
        </w:rPr>
      </w:pPr>
    </w:p>
    <w:p w14:paraId="09211C4A" w14:textId="77777777" w:rsidR="00201F04" w:rsidRPr="00500E12" w:rsidRDefault="00201F04" w:rsidP="00564523">
      <w:pPr>
        <w:spacing w:line="240" w:lineRule="auto"/>
        <w:jc w:val="center"/>
        <w:rPr>
          <w:lang w:val="es-CO"/>
        </w:rPr>
      </w:pPr>
    </w:p>
    <w:p w14:paraId="5646E5B9" w14:textId="77777777" w:rsidR="00201F04" w:rsidRPr="00500E12" w:rsidRDefault="00201F04" w:rsidP="00564523">
      <w:pPr>
        <w:spacing w:line="240" w:lineRule="auto"/>
        <w:jc w:val="center"/>
        <w:rPr>
          <w:b/>
          <w:bCs/>
        </w:rPr>
      </w:pPr>
      <w:r w:rsidRPr="00500E12">
        <w:rPr>
          <w:b/>
          <w:bCs/>
        </w:rPr>
        <w:t>RAMIRO PAZOS GUERRERO</w:t>
      </w:r>
    </w:p>
    <w:p w14:paraId="78E7D5CD" w14:textId="77777777" w:rsidR="00201F04" w:rsidRPr="00500E12" w:rsidRDefault="00201F04" w:rsidP="00564523">
      <w:pPr>
        <w:spacing w:line="240" w:lineRule="auto"/>
        <w:jc w:val="center"/>
        <w:rPr>
          <w:b/>
          <w:bCs/>
        </w:rPr>
      </w:pPr>
      <w:r w:rsidRPr="00500E12">
        <w:rPr>
          <w:b/>
          <w:bCs/>
        </w:rPr>
        <w:t>Presidente de la Sala de la Subsección</w:t>
      </w:r>
    </w:p>
    <w:p w14:paraId="71021361" w14:textId="77777777" w:rsidR="00201F04" w:rsidRPr="00500E12" w:rsidRDefault="00201F04" w:rsidP="00564523">
      <w:pPr>
        <w:spacing w:line="240" w:lineRule="auto"/>
        <w:jc w:val="center"/>
        <w:rPr>
          <w:b/>
          <w:bCs/>
        </w:rPr>
      </w:pPr>
      <w:r w:rsidRPr="00500E12">
        <w:rPr>
          <w:b/>
          <w:bCs/>
        </w:rPr>
        <w:t xml:space="preserve"> (Impedido)</w:t>
      </w:r>
    </w:p>
    <w:p w14:paraId="77AE5E74" w14:textId="77777777" w:rsidR="00201F04" w:rsidRPr="00500E12" w:rsidRDefault="00201F04" w:rsidP="00564523">
      <w:pPr>
        <w:spacing w:line="240" w:lineRule="auto"/>
        <w:jc w:val="center"/>
        <w:rPr>
          <w:b/>
          <w:bCs/>
        </w:rPr>
      </w:pPr>
    </w:p>
    <w:p w14:paraId="776A8FD5" w14:textId="77777777" w:rsidR="00201F04" w:rsidRPr="00500E12" w:rsidRDefault="00201F04" w:rsidP="00564523">
      <w:pPr>
        <w:spacing w:line="240" w:lineRule="auto"/>
        <w:jc w:val="center"/>
        <w:rPr>
          <w:b/>
          <w:bCs/>
        </w:rPr>
      </w:pPr>
    </w:p>
    <w:p w14:paraId="4E1CDCC8" w14:textId="77777777" w:rsidR="00201F04" w:rsidRPr="00500E12" w:rsidRDefault="00201F04" w:rsidP="00564523">
      <w:pPr>
        <w:spacing w:line="240" w:lineRule="auto"/>
        <w:jc w:val="center"/>
        <w:rPr>
          <w:b/>
          <w:bCs/>
        </w:rPr>
      </w:pPr>
    </w:p>
    <w:p w14:paraId="444ECEFB" w14:textId="77777777" w:rsidR="00201F04" w:rsidRPr="00500E12" w:rsidRDefault="00201F04" w:rsidP="00564523">
      <w:pPr>
        <w:spacing w:line="240" w:lineRule="auto"/>
        <w:jc w:val="center"/>
        <w:rPr>
          <w:lang w:val="es-CO"/>
        </w:rPr>
      </w:pPr>
    </w:p>
    <w:p w14:paraId="1E67435C" w14:textId="77777777" w:rsidR="009955F9" w:rsidRPr="00500E12" w:rsidRDefault="0073368E" w:rsidP="00564523">
      <w:pPr>
        <w:spacing w:line="240" w:lineRule="auto"/>
        <w:jc w:val="center"/>
        <w:rPr>
          <w:b/>
          <w:bCs/>
        </w:rPr>
      </w:pPr>
      <w:r w:rsidRPr="00500E12">
        <w:rPr>
          <w:b/>
          <w:bCs/>
        </w:rPr>
        <w:t>STELLA CONTO DÍAZ DEL CASTILLO</w:t>
      </w:r>
    </w:p>
    <w:p w14:paraId="7A8FE188" w14:textId="77777777" w:rsidR="00195D5D" w:rsidRPr="00500E12" w:rsidRDefault="00647C5D" w:rsidP="00564523">
      <w:pPr>
        <w:spacing w:line="240" w:lineRule="auto"/>
        <w:jc w:val="center"/>
        <w:rPr>
          <w:b/>
          <w:bCs/>
        </w:rPr>
      </w:pPr>
      <w:r w:rsidRPr="00500E12">
        <w:rPr>
          <w:b/>
          <w:bCs/>
        </w:rPr>
        <w:t xml:space="preserve">Magistrada </w:t>
      </w:r>
    </w:p>
    <w:p w14:paraId="7CCC18B0" w14:textId="77777777" w:rsidR="00195D5D" w:rsidRPr="00500E12" w:rsidRDefault="00195D5D" w:rsidP="00564523">
      <w:pPr>
        <w:spacing w:line="240" w:lineRule="auto"/>
        <w:jc w:val="center"/>
        <w:rPr>
          <w:b/>
          <w:bCs/>
        </w:rPr>
      </w:pPr>
    </w:p>
    <w:p w14:paraId="3CDC0290" w14:textId="77777777" w:rsidR="00195D5D" w:rsidRPr="00500E12" w:rsidRDefault="00195D5D" w:rsidP="00564523">
      <w:pPr>
        <w:spacing w:line="240" w:lineRule="auto"/>
        <w:jc w:val="center"/>
        <w:rPr>
          <w:b/>
          <w:bCs/>
        </w:rPr>
      </w:pPr>
    </w:p>
    <w:p w14:paraId="5F5B1412" w14:textId="77777777" w:rsidR="00195D5D" w:rsidRPr="00500E12" w:rsidRDefault="00195D5D" w:rsidP="00564523">
      <w:pPr>
        <w:spacing w:line="240" w:lineRule="auto"/>
        <w:jc w:val="center"/>
        <w:rPr>
          <w:b/>
          <w:bCs/>
        </w:rPr>
      </w:pPr>
    </w:p>
    <w:p w14:paraId="441DD480" w14:textId="77777777" w:rsidR="00647C5D" w:rsidRPr="00500E12" w:rsidRDefault="00647C5D" w:rsidP="00564523">
      <w:pPr>
        <w:spacing w:line="240" w:lineRule="auto"/>
        <w:jc w:val="center"/>
        <w:rPr>
          <w:b/>
          <w:bCs/>
        </w:rPr>
      </w:pPr>
    </w:p>
    <w:p w14:paraId="476E03CC" w14:textId="77777777" w:rsidR="00195D5D" w:rsidRPr="00500E12" w:rsidRDefault="0073368E" w:rsidP="00564523">
      <w:pPr>
        <w:spacing w:line="240" w:lineRule="auto"/>
        <w:jc w:val="center"/>
        <w:rPr>
          <w:b/>
          <w:bCs/>
          <w:lang w:val="es-CO"/>
        </w:rPr>
      </w:pPr>
      <w:r w:rsidRPr="00500E12">
        <w:rPr>
          <w:b/>
          <w:bCs/>
          <w:lang w:val="es-CO"/>
        </w:rPr>
        <w:t>DANILO ROJAS BETANCOURTH</w:t>
      </w:r>
    </w:p>
    <w:p w14:paraId="62948605" w14:textId="77777777" w:rsidR="00470B4A" w:rsidRPr="00500E12" w:rsidRDefault="00195D5D" w:rsidP="00564523">
      <w:pPr>
        <w:spacing w:line="240" w:lineRule="auto"/>
        <w:jc w:val="center"/>
        <w:rPr>
          <w:b/>
          <w:bCs/>
        </w:rPr>
      </w:pPr>
      <w:r w:rsidRPr="00500E12">
        <w:rPr>
          <w:b/>
          <w:bCs/>
          <w:lang w:val="es-CO"/>
        </w:rPr>
        <w:t>Magistrado</w:t>
      </w:r>
    </w:p>
    <w:sectPr w:rsidR="00470B4A" w:rsidRPr="00500E12" w:rsidSect="00500E12">
      <w:pgSz w:w="12242" w:h="18722" w:code="120"/>
      <w:pgMar w:top="1701" w:right="1701" w:bottom="1701"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7DE8D" w14:textId="77777777" w:rsidR="006C0383" w:rsidRDefault="006C0383">
      <w:r>
        <w:separator/>
      </w:r>
    </w:p>
  </w:endnote>
  <w:endnote w:type="continuationSeparator" w:id="0">
    <w:p w14:paraId="44923C6A" w14:textId="77777777" w:rsidR="006C0383" w:rsidRDefault="006C0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71F0D" w14:textId="77777777" w:rsidR="006C0383" w:rsidRDefault="006C0383">
      <w:r>
        <w:separator/>
      </w:r>
    </w:p>
  </w:footnote>
  <w:footnote w:type="continuationSeparator" w:id="0">
    <w:p w14:paraId="6A690CE2" w14:textId="77777777" w:rsidR="006C0383" w:rsidRDefault="006C0383">
      <w:r>
        <w:continuationSeparator/>
      </w:r>
    </w:p>
  </w:footnote>
  <w:footnote w:id="1">
    <w:p w14:paraId="118F04C3" w14:textId="77777777" w:rsidR="008F447A" w:rsidRPr="00564523" w:rsidRDefault="008F447A" w:rsidP="00564523">
      <w:pPr>
        <w:pStyle w:val="Textonotapie"/>
        <w:spacing w:line="240" w:lineRule="auto"/>
        <w:rPr>
          <w:rFonts w:ascii="Times New Roman" w:hAnsi="Times New Roman" w:cs="Times New Roman"/>
          <w:sz w:val="20"/>
          <w:szCs w:val="20"/>
        </w:rPr>
      </w:pPr>
      <w:r w:rsidRPr="00564523">
        <w:rPr>
          <w:rStyle w:val="Refdenotaalpie"/>
          <w:rFonts w:ascii="Times New Roman" w:hAnsi="Times New Roman"/>
          <w:sz w:val="20"/>
          <w:szCs w:val="20"/>
        </w:rPr>
        <w:footnoteRef/>
      </w:r>
      <w:r w:rsidRPr="00564523">
        <w:rPr>
          <w:rFonts w:ascii="Times New Roman" w:hAnsi="Times New Roman" w:cs="Times New Roman"/>
          <w:sz w:val="20"/>
          <w:szCs w:val="20"/>
        </w:rPr>
        <w:t xml:space="preserve"> La Sala aclara, que tanto en el poder como en la demanda, se indicó que se ejercía la acción contractual, en los términos del artículo 87 del Código Contencioso Administrativo (f.1 y 2 c.1).</w:t>
      </w:r>
    </w:p>
  </w:footnote>
  <w:footnote w:id="2">
    <w:p w14:paraId="36B65813" w14:textId="77777777" w:rsidR="008F447A" w:rsidRPr="00564523" w:rsidRDefault="008F447A" w:rsidP="00564523">
      <w:pPr>
        <w:pStyle w:val="Textonotapie"/>
        <w:spacing w:line="240" w:lineRule="auto"/>
        <w:rPr>
          <w:rFonts w:ascii="Times New Roman" w:hAnsi="Times New Roman" w:cs="Times New Roman"/>
          <w:sz w:val="20"/>
          <w:szCs w:val="20"/>
        </w:rPr>
      </w:pPr>
      <w:r w:rsidRPr="00564523">
        <w:rPr>
          <w:rStyle w:val="Refdenotaalpie"/>
          <w:rFonts w:ascii="Times New Roman" w:hAnsi="Times New Roman"/>
          <w:sz w:val="20"/>
          <w:szCs w:val="20"/>
        </w:rPr>
        <w:footnoteRef/>
      </w:r>
      <w:r w:rsidRPr="00564523">
        <w:rPr>
          <w:rFonts w:ascii="Times New Roman" w:hAnsi="Times New Roman" w:cs="Times New Roman"/>
          <w:sz w:val="20"/>
          <w:szCs w:val="20"/>
        </w:rPr>
        <w:t xml:space="preserve"> </w:t>
      </w:r>
      <w:r w:rsidRPr="00564523">
        <w:rPr>
          <w:rFonts w:ascii="Times New Roman" w:hAnsi="Times New Roman" w:cs="Times New Roman"/>
          <w:i/>
          <w:sz w:val="20"/>
          <w:szCs w:val="20"/>
        </w:rPr>
        <w:t>“Artículo 75.- Sin perjuicio de lo dispuesto en los artículos anteriores, el juez competente para conocer de las controversias derivadas de los contratos estatales y de los procesos de ejecución o cumplimiento será el de la jurisdicción contencioso administrativa (…)”</w:t>
      </w:r>
      <w:r w:rsidRPr="00564523">
        <w:rPr>
          <w:rFonts w:ascii="Times New Roman" w:hAnsi="Times New Roman" w:cs="Times New Roman"/>
          <w:sz w:val="20"/>
          <w:szCs w:val="20"/>
        </w:rPr>
        <w:t>.</w:t>
      </w:r>
    </w:p>
  </w:footnote>
  <w:footnote w:id="3">
    <w:p w14:paraId="0C5DA354" w14:textId="77777777" w:rsidR="008F447A" w:rsidRPr="00564523" w:rsidRDefault="008F447A" w:rsidP="00564523">
      <w:pPr>
        <w:pStyle w:val="Textonotapie"/>
        <w:spacing w:line="240" w:lineRule="auto"/>
        <w:rPr>
          <w:rFonts w:ascii="Times New Roman" w:hAnsi="Times New Roman" w:cs="Times New Roman"/>
          <w:sz w:val="20"/>
          <w:szCs w:val="20"/>
        </w:rPr>
      </w:pPr>
      <w:r w:rsidRPr="00564523">
        <w:rPr>
          <w:rStyle w:val="Refdenotaalpie"/>
          <w:rFonts w:ascii="Times New Roman" w:hAnsi="Times New Roman"/>
          <w:i/>
          <w:iCs/>
          <w:sz w:val="20"/>
          <w:szCs w:val="20"/>
        </w:rPr>
        <w:footnoteRef/>
      </w:r>
      <w:r w:rsidRPr="00564523">
        <w:rPr>
          <w:rFonts w:ascii="Times New Roman" w:hAnsi="Times New Roman" w:cs="Times New Roman"/>
          <w:i/>
          <w:iCs/>
          <w:sz w:val="20"/>
          <w:szCs w:val="20"/>
        </w:rPr>
        <w:t xml:space="preserve"> </w:t>
      </w:r>
      <w:r w:rsidRPr="00564523">
        <w:rPr>
          <w:rFonts w:ascii="Times New Roman" w:hAnsi="Times New Roman" w:cs="Times New Roman"/>
          <w:sz w:val="20"/>
          <w:szCs w:val="20"/>
        </w:rPr>
        <w:t>En la demanda, se estimó la cuantía del proceso con base en el valor de la pretensión más alta, que corresponde al del  amparo de estabilidad de la póliza n.º 0897763, por la suma total de $52 146 139,65. Se aplica en este punto el numeral 8º del artículo 2o del Decreto 597 de 1988 “</w:t>
      </w:r>
      <w:r w:rsidRPr="00564523">
        <w:rPr>
          <w:rFonts w:ascii="Times New Roman" w:hAnsi="Times New Roman" w:cs="Times New Roman"/>
          <w:i/>
          <w:iCs/>
          <w:sz w:val="20"/>
          <w:szCs w:val="20"/>
        </w:rPr>
        <w:t>por el cual se suprime el recurso extraordinario de anulación, se amplía el de apelación y se dictan otras disposiciones</w:t>
      </w:r>
      <w:r w:rsidRPr="00564523">
        <w:rPr>
          <w:rFonts w:ascii="Times New Roman" w:hAnsi="Times New Roman" w:cs="Times New Roman"/>
          <w:sz w:val="20"/>
          <w:szCs w:val="20"/>
        </w:rPr>
        <w:t>”, que modificaba el artículo 132 del Código Contencioso Administrativo y que disponía que la cuantía necesaria para que un proceso de controversias contractuales iniciado en el 2001 fuera de doble instancia, debía ser superior a $</w:t>
      </w:r>
      <w:r w:rsidRPr="00564523">
        <w:rPr>
          <w:rFonts w:ascii="Times New Roman" w:hAnsi="Times New Roman" w:cs="Times New Roman"/>
          <w:spacing w:val="-20"/>
          <w:sz w:val="20"/>
          <w:szCs w:val="20"/>
        </w:rPr>
        <w:t>26 390 000</w:t>
      </w:r>
      <w:r w:rsidRPr="00564523">
        <w:rPr>
          <w:rFonts w:ascii="Times New Roman" w:hAnsi="Times New Roman" w:cs="Times New Roman"/>
          <w:sz w:val="20"/>
          <w:szCs w:val="20"/>
        </w:rPr>
        <w:t xml:space="preserve">. </w:t>
      </w:r>
    </w:p>
  </w:footnote>
  <w:footnote w:id="4">
    <w:p w14:paraId="7F4F797F" w14:textId="77777777" w:rsidR="008F447A" w:rsidRPr="00564523" w:rsidRDefault="008F447A" w:rsidP="00564523">
      <w:pPr>
        <w:pStyle w:val="Textonotapie"/>
        <w:spacing w:line="240" w:lineRule="auto"/>
        <w:rPr>
          <w:rFonts w:ascii="Times New Roman" w:hAnsi="Times New Roman" w:cs="Times New Roman"/>
          <w:sz w:val="20"/>
          <w:szCs w:val="20"/>
        </w:rPr>
      </w:pPr>
      <w:r w:rsidRPr="00564523">
        <w:rPr>
          <w:rStyle w:val="Refdenotaalpie"/>
          <w:rFonts w:ascii="Times New Roman" w:hAnsi="Times New Roman"/>
          <w:sz w:val="20"/>
          <w:szCs w:val="20"/>
        </w:rPr>
        <w:footnoteRef/>
      </w:r>
      <w:r w:rsidRPr="00564523">
        <w:rPr>
          <w:rFonts w:ascii="Times New Roman" w:hAnsi="Times New Roman" w:cs="Times New Roman"/>
          <w:sz w:val="20"/>
          <w:szCs w:val="20"/>
        </w:rPr>
        <w:t xml:space="preserve"> </w:t>
      </w:r>
      <w:r w:rsidRPr="00564523">
        <w:rPr>
          <w:rFonts w:ascii="Times New Roman" w:hAnsi="Times New Roman" w:cs="Times New Roman"/>
          <w:i/>
          <w:sz w:val="20"/>
          <w:szCs w:val="20"/>
        </w:rPr>
        <w:t>“Sírvanse decir, si sobre la base de la solución acordada entre las partes, era técnica y lógicamente inferible la necesidad de efectuar un mantenimiento periódico a las obras a fin de evitar la colmatación del dragado”</w:t>
      </w:r>
      <w:r w:rsidRPr="00564523">
        <w:rPr>
          <w:rFonts w:ascii="Times New Roman" w:hAnsi="Times New Roman" w:cs="Times New Roman"/>
          <w:sz w:val="20"/>
          <w:szCs w:val="20"/>
        </w:rPr>
        <w:t xml:space="preserve"> (f.15 c.1).</w:t>
      </w:r>
    </w:p>
  </w:footnote>
  <w:footnote w:id="5">
    <w:p w14:paraId="26F4EEE1" w14:textId="77777777" w:rsidR="008F447A" w:rsidRPr="00564523" w:rsidRDefault="008F447A" w:rsidP="00564523">
      <w:pPr>
        <w:pStyle w:val="Textonotapie"/>
        <w:spacing w:line="240" w:lineRule="auto"/>
        <w:rPr>
          <w:rFonts w:ascii="Times New Roman" w:hAnsi="Times New Roman" w:cs="Times New Roman"/>
          <w:sz w:val="20"/>
          <w:szCs w:val="20"/>
        </w:rPr>
      </w:pPr>
      <w:r w:rsidRPr="00564523">
        <w:rPr>
          <w:rStyle w:val="Refdenotaalpie"/>
          <w:rFonts w:ascii="Times New Roman" w:hAnsi="Times New Roman"/>
          <w:sz w:val="20"/>
          <w:szCs w:val="20"/>
        </w:rPr>
        <w:footnoteRef/>
      </w:r>
      <w:r w:rsidRPr="00564523">
        <w:rPr>
          <w:rFonts w:ascii="Times New Roman" w:hAnsi="Times New Roman" w:cs="Times New Roman"/>
          <w:sz w:val="20"/>
          <w:szCs w:val="20"/>
        </w:rPr>
        <w:t xml:space="preserve"> Consejo de Estado, Sala de lo Contencioso Administrativo, Sección Tercera, Subsección B, sentencia del 26 de junio de 2015, expediente 30313, C.P. Danilo Rojas Betancourth.</w:t>
      </w:r>
    </w:p>
  </w:footnote>
  <w:footnote w:id="6">
    <w:p w14:paraId="1D7CFD64" w14:textId="77777777" w:rsidR="008F447A" w:rsidRPr="00564523" w:rsidRDefault="008F447A" w:rsidP="00564523">
      <w:pPr>
        <w:pStyle w:val="Textonotapie"/>
        <w:spacing w:line="240" w:lineRule="auto"/>
        <w:rPr>
          <w:rFonts w:ascii="Times New Roman" w:hAnsi="Times New Roman" w:cs="Times New Roman"/>
          <w:i/>
          <w:sz w:val="20"/>
          <w:szCs w:val="20"/>
        </w:rPr>
      </w:pPr>
      <w:r w:rsidRPr="00564523">
        <w:rPr>
          <w:rStyle w:val="Refdenotaalpie"/>
          <w:rFonts w:ascii="Times New Roman" w:hAnsi="Times New Roman"/>
          <w:sz w:val="20"/>
          <w:szCs w:val="20"/>
        </w:rPr>
        <w:footnoteRef/>
      </w:r>
      <w:r w:rsidRPr="00564523">
        <w:rPr>
          <w:rFonts w:ascii="Times New Roman" w:hAnsi="Times New Roman" w:cs="Times New Roman"/>
          <w:sz w:val="20"/>
          <w:szCs w:val="20"/>
        </w:rPr>
        <w:t xml:space="preserve"> [10]</w:t>
      </w:r>
      <w:r w:rsidRPr="00564523">
        <w:rPr>
          <w:rFonts w:ascii="Times New Roman" w:hAnsi="Times New Roman" w:cs="Times New Roman"/>
          <w:i/>
          <w:sz w:val="20"/>
          <w:szCs w:val="20"/>
        </w:rPr>
        <w:t xml:space="preserve"> “Devis Echandía, Hernando, “Teoría General de la Prueba Judicial”, T. II, Víctor P. de Zavalia Editor, Buenos Aires, 1970,  </w:t>
      </w:r>
      <w:r w:rsidRPr="00564523">
        <w:rPr>
          <w:rFonts w:ascii="Times New Roman" w:hAnsi="Times New Roman" w:cs="Times New Roman"/>
          <w:i/>
          <w:sz w:val="20"/>
          <w:szCs w:val="20"/>
          <w:lang w:val="es-MX"/>
        </w:rPr>
        <w:t>p. 291”.</w:t>
      </w:r>
    </w:p>
  </w:footnote>
  <w:footnote w:id="7">
    <w:p w14:paraId="5F119C06" w14:textId="77777777" w:rsidR="008F447A" w:rsidRPr="00564523" w:rsidRDefault="008F447A" w:rsidP="00564523">
      <w:pPr>
        <w:pStyle w:val="Textonotapie"/>
        <w:spacing w:line="240" w:lineRule="auto"/>
        <w:rPr>
          <w:rFonts w:ascii="Times New Roman" w:hAnsi="Times New Roman" w:cs="Times New Roman"/>
          <w:i/>
          <w:sz w:val="20"/>
          <w:szCs w:val="20"/>
        </w:rPr>
      </w:pPr>
      <w:r w:rsidRPr="00564523">
        <w:rPr>
          <w:rStyle w:val="Refdenotaalpie"/>
          <w:rFonts w:ascii="Times New Roman" w:hAnsi="Times New Roman"/>
          <w:sz w:val="20"/>
          <w:szCs w:val="20"/>
        </w:rPr>
        <w:footnoteRef/>
      </w:r>
      <w:r w:rsidRPr="00564523">
        <w:rPr>
          <w:rFonts w:ascii="Times New Roman" w:hAnsi="Times New Roman" w:cs="Times New Roman"/>
          <w:sz w:val="20"/>
          <w:szCs w:val="20"/>
        </w:rPr>
        <w:t xml:space="preserve"> [11] </w:t>
      </w:r>
      <w:r w:rsidRPr="00564523">
        <w:rPr>
          <w:rFonts w:ascii="Times New Roman" w:hAnsi="Times New Roman" w:cs="Times New Roman"/>
          <w:i/>
          <w:sz w:val="20"/>
          <w:szCs w:val="20"/>
        </w:rPr>
        <w:t xml:space="preserve">“Vigente para la época en que se practicó la prueba pericial en este proceso”. </w:t>
      </w:r>
    </w:p>
  </w:footnote>
  <w:footnote w:id="8">
    <w:p w14:paraId="419B82F2" w14:textId="77777777" w:rsidR="008F447A" w:rsidRPr="00564523" w:rsidRDefault="008F447A" w:rsidP="00564523">
      <w:pPr>
        <w:pStyle w:val="Textonotapie"/>
        <w:spacing w:line="240" w:lineRule="auto"/>
        <w:rPr>
          <w:rFonts w:ascii="Times New Roman" w:hAnsi="Times New Roman" w:cs="Times New Roman"/>
          <w:i/>
          <w:sz w:val="20"/>
          <w:szCs w:val="20"/>
        </w:rPr>
      </w:pPr>
      <w:r w:rsidRPr="00564523">
        <w:rPr>
          <w:rStyle w:val="Refdenotaalpie"/>
          <w:rFonts w:ascii="Times New Roman" w:hAnsi="Times New Roman"/>
          <w:sz w:val="20"/>
          <w:szCs w:val="20"/>
        </w:rPr>
        <w:footnoteRef/>
      </w:r>
      <w:r w:rsidRPr="00564523">
        <w:rPr>
          <w:rFonts w:ascii="Times New Roman" w:hAnsi="Times New Roman" w:cs="Times New Roman"/>
          <w:sz w:val="20"/>
          <w:szCs w:val="20"/>
        </w:rPr>
        <w:t xml:space="preserve"> [12] </w:t>
      </w:r>
      <w:r w:rsidRPr="00564523">
        <w:rPr>
          <w:rFonts w:ascii="Times New Roman" w:hAnsi="Times New Roman" w:cs="Times New Roman"/>
          <w:i/>
          <w:sz w:val="20"/>
          <w:szCs w:val="20"/>
        </w:rPr>
        <w:t>“</w:t>
      </w:r>
      <w:r w:rsidRPr="00564523">
        <w:rPr>
          <w:rFonts w:ascii="Times New Roman" w:hAnsi="Times New Roman" w:cs="Times New Roman"/>
          <w:i/>
          <w:color w:val="000000"/>
          <w:sz w:val="20"/>
          <w:szCs w:val="20"/>
        </w:rPr>
        <w:t xml:space="preserve">El error consiste en la disparidad, discordancia, disconformidad, divergencia o discrepancia entre el concepto, el juicio, la idea y la realidad o verdad y es grave  cuando por su inteligencia se altera de manera prístina y grotesca la cualidad, esencia o sustancia del objeto analizado, sus fundamentos o conclusiones, de suerte que resulta menester, a efectos de que proceda su declaración, que concurran en él las características de verosimilitud, recognocibilidad e incidencia en el contenido o resultado de la pericia”. </w:t>
      </w:r>
      <w:r w:rsidRPr="00564523">
        <w:rPr>
          <w:rFonts w:ascii="Times New Roman" w:hAnsi="Times New Roman" w:cs="Times New Roman"/>
          <w:i/>
          <w:sz w:val="20"/>
          <w:szCs w:val="20"/>
        </w:rPr>
        <w:t xml:space="preserve">Consejo de Estado, Sala de lo Contencioso Administrativo, Sección Tercera, sentencia del 31 de octubre de 2007, expediente </w:t>
      </w:r>
      <w:smartTag w:uri="urn:schemas-microsoft-com:office:smarttags" w:element="metricconverter">
        <w:smartTagPr>
          <w:attr w:name="ProductID" w:val="25177, C"/>
        </w:smartTagPr>
        <w:r w:rsidRPr="00564523">
          <w:rPr>
            <w:rFonts w:ascii="Times New Roman" w:hAnsi="Times New Roman" w:cs="Times New Roman"/>
            <w:i/>
            <w:sz w:val="20"/>
            <w:szCs w:val="20"/>
          </w:rPr>
          <w:t>25177, C</w:t>
        </w:r>
      </w:smartTag>
      <w:r w:rsidRPr="00564523">
        <w:rPr>
          <w:rFonts w:ascii="Times New Roman" w:hAnsi="Times New Roman" w:cs="Times New Roman"/>
          <w:i/>
          <w:sz w:val="20"/>
          <w:szCs w:val="20"/>
        </w:rPr>
        <w:t>.P. Mauricio Fajardo Gómez”.</w:t>
      </w:r>
    </w:p>
  </w:footnote>
  <w:footnote w:id="9">
    <w:p w14:paraId="05FB65EB" w14:textId="77777777" w:rsidR="008F447A" w:rsidRPr="00564523" w:rsidRDefault="008F447A" w:rsidP="00564523">
      <w:pPr>
        <w:pStyle w:val="Textonotapie"/>
        <w:spacing w:line="240" w:lineRule="auto"/>
        <w:rPr>
          <w:rFonts w:ascii="Times New Roman" w:hAnsi="Times New Roman" w:cs="Times New Roman"/>
          <w:i/>
          <w:sz w:val="20"/>
          <w:szCs w:val="20"/>
        </w:rPr>
      </w:pPr>
      <w:r w:rsidRPr="00564523">
        <w:rPr>
          <w:rStyle w:val="Refdenotaalpie"/>
          <w:rFonts w:ascii="Times New Roman" w:hAnsi="Times New Roman"/>
          <w:sz w:val="20"/>
          <w:szCs w:val="20"/>
        </w:rPr>
        <w:footnoteRef/>
      </w:r>
      <w:r w:rsidRPr="00564523">
        <w:rPr>
          <w:rFonts w:ascii="Times New Roman" w:hAnsi="Times New Roman" w:cs="Times New Roman"/>
          <w:sz w:val="20"/>
          <w:szCs w:val="20"/>
        </w:rPr>
        <w:t xml:space="preserve"> [13] </w:t>
      </w:r>
      <w:r w:rsidRPr="00564523">
        <w:rPr>
          <w:rFonts w:ascii="Times New Roman" w:hAnsi="Times New Roman" w:cs="Times New Roman"/>
          <w:i/>
          <w:sz w:val="20"/>
          <w:szCs w:val="20"/>
        </w:rPr>
        <w:t xml:space="preserve">“Consejo de Estado, Sala de lo Contencioso Administrativo, Sección Tercera, sentencia del 20 de noviembre de 2008, expediente </w:t>
      </w:r>
      <w:smartTag w:uri="urn:schemas-microsoft-com:office:smarttags" w:element="metricconverter">
        <w:smartTagPr>
          <w:attr w:name="ProductID" w:val="22011, C"/>
        </w:smartTagPr>
        <w:r w:rsidRPr="00564523">
          <w:rPr>
            <w:rFonts w:ascii="Times New Roman" w:hAnsi="Times New Roman" w:cs="Times New Roman"/>
            <w:i/>
            <w:sz w:val="20"/>
            <w:szCs w:val="20"/>
          </w:rPr>
          <w:t>22011, C</w:t>
        </w:r>
      </w:smartTag>
      <w:r w:rsidRPr="00564523">
        <w:rPr>
          <w:rFonts w:ascii="Times New Roman" w:hAnsi="Times New Roman" w:cs="Times New Roman"/>
          <w:i/>
          <w:sz w:val="20"/>
          <w:szCs w:val="20"/>
        </w:rPr>
        <w:t>.P. Ramiro Saavedra Becerra”.</w:t>
      </w:r>
    </w:p>
  </w:footnote>
  <w:footnote w:id="10">
    <w:p w14:paraId="1881A058" w14:textId="77777777" w:rsidR="008F447A" w:rsidRPr="00564523" w:rsidRDefault="008F447A" w:rsidP="00564523">
      <w:pPr>
        <w:pStyle w:val="Textonotapie"/>
        <w:spacing w:line="240" w:lineRule="auto"/>
        <w:rPr>
          <w:rFonts w:ascii="Times New Roman" w:hAnsi="Times New Roman" w:cs="Times New Roman"/>
          <w:sz w:val="20"/>
          <w:szCs w:val="20"/>
        </w:rPr>
      </w:pPr>
      <w:r w:rsidRPr="00564523">
        <w:rPr>
          <w:rStyle w:val="Refdenotaalpie"/>
          <w:rFonts w:ascii="Times New Roman" w:hAnsi="Times New Roman"/>
          <w:sz w:val="20"/>
          <w:szCs w:val="20"/>
        </w:rPr>
        <w:footnoteRef/>
      </w:r>
      <w:r w:rsidRPr="00564523">
        <w:rPr>
          <w:rFonts w:ascii="Times New Roman" w:hAnsi="Times New Roman" w:cs="Times New Roman"/>
          <w:sz w:val="20"/>
          <w:szCs w:val="20"/>
        </w:rPr>
        <w:t xml:space="preserve"> Consejo de Estado, Sala de lo Contencioso Administrativo, Sección Tercera, Subsección B, providencia del 28 de mayo de 2015, exp. 33785, C.P. Danilo Rojas Betancourth.</w:t>
      </w:r>
    </w:p>
  </w:footnote>
  <w:footnote w:id="11">
    <w:p w14:paraId="3FF11DBF" w14:textId="77777777" w:rsidR="008F447A" w:rsidRPr="00564523" w:rsidRDefault="008F447A" w:rsidP="00564523">
      <w:pPr>
        <w:pStyle w:val="Textonotapie"/>
        <w:spacing w:line="240" w:lineRule="auto"/>
        <w:rPr>
          <w:rFonts w:ascii="Times New Roman" w:hAnsi="Times New Roman" w:cs="Times New Roman"/>
          <w:sz w:val="20"/>
          <w:szCs w:val="20"/>
        </w:rPr>
      </w:pPr>
      <w:r w:rsidRPr="00564523">
        <w:rPr>
          <w:rStyle w:val="Refdenotaalpie"/>
          <w:rFonts w:ascii="Times New Roman" w:hAnsi="Times New Roman"/>
          <w:sz w:val="20"/>
          <w:szCs w:val="20"/>
        </w:rPr>
        <w:footnoteRef/>
      </w:r>
      <w:r w:rsidRPr="00564523">
        <w:rPr>
          <w:rFonts w:ascii="Times New Roman" w:hAnsi="Times New Roman" w:cs="Times New Roman"/>
          <w:sz w:val="20"/>
          <w:szCs w:val="20"/>
        </w:rPr>
        <w:t xml:space="preserve"> Consejo de Estado, Sala de lo Contencioso Administrativo, Sección Tercera, Subsección B, providencia del 28 de mayo de 2015, exp. 32665, C.P. Danilo Rojas Betancourth.</w:t>
      </w:r>
    </w:p>
  </w:footnote>
  <w:footnote w:id="12">
    <w:p w14:paraId="200EF0B2" w14:textId="77777777" w:rsidR="008F447A" w:rsidRPr="00564523" w:rsidRDefault="008F447A" w:rsidP="00564523">
      <w:pPr>
        <w:pStyle w:val="Textonotapie"/>
        <w:spacing w:line="240" w:lineRule="auto"/>
        <w:rPr>
          <w:rFonts w:ascii="Times New Roman" w:hAnsi="Times New Roman" w:cs="Times New Roman"/>
          <w:i/>
          <w:sz w:val="20"/>
          <w:szCs w:val="20"/>
        </w:rPr>
      </w:pPr>
      <w:r w:rsidRPr="00564523">
        <w:rPr>
          <w:rStyle w:val="Refdenotaalpie"/>
          <w:rFonts w:ascii="Times New Roman" w:hAnsi="Times New Roman"/>
          <w:sz w:val="20"/>
          <w:szCs w:val="20"/>
        </w:rPr>
        <w:footnoteRef/>
      </w:r>
      <w:r w:rsidRPr="00564523">
        <w:rPr>
          <w:rFonts w:ascii="Times New Roman" w:hAnsi="Times New Roman" w:cs="Times New Roman"/>
          <w:sz w:val="20"/>
          <w:szCs w:val="20"/>
        </w:rPr>
        <w:t xml:space="preserve"> [12] </w:t>
      </w:r>
      <w:r w:rsidRPr="00564523">
        <w:rPr>
          <w:rFonts w:ascii="Times New Roman" w:hAnsi="Times New Roman" w:cs="Times New Roman"/>
          <w:i/>
          <w:sz w:val="20"/>
          <w:szCs w:val="20"/>
        </w:rPr>
        <w:t>Devis Echandía, Hernando, Compendio de Derecho Procesal, Tomo II, Pruebas Judiciales, Editorial ABC, 1984, págs. 339 y ss.</w:t>
      </w:r>
    </w:p>
  </w:footnote>
  <w:footnote w:id="13">
    <w:p w14:paraId="78349B00" w14:textId="77777777" w:rsidR="008F447A" w:rsidRPr="00564523" w:rsidRDefault="008F447A" w:rsidP="00564523">
      <w:pPr>
        <w:pStyle w:val="Textoindependiente21"/>
        <w:spacing w:line="240" w:lineRule="auto"/>
        <w:ind w:firstLine="0"/>
        <w:rPr>
          <w:rFonts w:ascii="Times New Roman" w:hAnsi="Times New Roman"/>
          <w:i/>
          <w:sz w:val="20"/>
        </w:rPr>
      </w:pPr>
      <w:r w:rsidRPr="00564523">
        <w:rPr>
          <w:rStyle w:val="Refdenotaalpie"/>
          <w:rFonts w:ascii="Times New Roman" w:hAnsi="Times New Roman"/>
          <w:sz w:val="20"/>
        </w:rPr>
        <w:footnoteRef/>
      </w:r>
      <w:r w:rsidRPr="00564523">
        <w:rPr>
          <w:rFonts w:ascii="Times New Roman" w:hAnsi="Times New Roman"/>
          <w:sz w:val="20"/>
        </w:rPr>
        <w:t xml:space="preserve"> [13] </w:t>
      </w:r>
      <w:r w:rsidRPr="00564523">
        <w:rPr>
          <w:rFonts w:ascii="Times New Roman" w:hAnsi="Times New Roman"/>
          <w:i/>
          <w:sz w:val="20"/>
        </w:rPr>
        <w:t>Consejo de Estado, sentencia de 16 de abril de 2007, exp. AG-250002325000200200025-</w:t>
      </w:r>
      <w:smartTag w:uri="urn:schemas-microsoft-com:office:smarttags" w:element="metricconverter">
        <w:smartTagPr>
          <w:attr w:name="ProductID" w:val="02, C"/>
        </w:smartTagPr>
        <w:r w:rsidRPr="00564523">
          <w:rPr>
            <w:rFonts w:ascii="Times New Roman" w:hAnsi="Times New Roman"/>
            <w:i/>
            <w:sz w:val="20"/>
          </w:rPr>
          <w:t>02, C</w:t>
        </w:r>
      </w:smartTag>
      <w:r w:rsidRPr="00564523">
        <w:rPr>
          <w:rFonts w:ascii="Times New Roman" w:hAnsi="Times New Roman"/>
          <w:i/>
          <w:sz w:val="20"/>
        </w:rPr>
        <w:t>. P. Ruth Stella Correa Palacio.</w:t>
      </w:r>
    </w:p>
  </w:footnote>
  <w:footnote w:id="14">
    <w:p w14:paraId="152B5400" w14:textId="77777777" w:rsidR="008F447A" w:rsidRPr="00564523" w:rsidRDefault="008F447A" w:rsidP="00564523">
      <w:pPr>
        <w:pStyle w:val="Textonotapie"/>
        <w:spacing w:line="240" w:lineRule="auto"/>
        <w:rPr>
          <w:rFonts w:ascii="Times New Roman" w:hAnsi="Times New Roman" w:cs="Times New Roman"/>
          <w:i/>
          <w:sz w:val="20"/>
          <w:szCs w:val="20"/>
        </w:rPr>
      </w:pPr>
      <w:r w:rsidRPr="00564523">
        <w:rPr>
          <w:rStyle w:val="Refdenotaalpie"/>
          <w:rFonts w:ascii="Times New Roman" w:hAnsi="Times New Roman"/>
          <w:sz w:val="20"/>
          <w:szCs w:val="20"/>
        </w:rPr>
        <w:footnoteRef/>
      </w:r>
      <w:r w:rsidRPr="00564523">
        <w:rPr>
          <w:rFonts w:ascii="Times New Roman" w:hAnsi="Times New Roman" w:cs="Times New Roman"/>
          <w:sz w:val="20"/>
          <w:szCs w:val="20"/>
        </w:rPr>
        <w:t xml:space="preserve"> [14] </w:t>
      </w:r>
      <w:r w:rsidRPr="00564523">
        <w:rPr>
          <w:rFonts w:ascii="Times New Roman" w:hAnsi="Times New Roman" w:cs="Times New Roman"/>
          <w:i/>
          <w:sz w:val="20"/>
          <w:szCs w:val="20"/>
        </w:rPr>
        <w:t xml:space="preserve">Parra Quijano, Jairo, Manual de Derecho Probatorio, Librería Ediciones del Profesional Ltda., 2004, Pág. 649.  </w:t>
      </w:r>
    </w:p>
  </w:footnote>
  <w:footnote w:id="15">
    <w:p w14:paraId="3A42475C" w14:textId="77777777" w:rsidR="008F447A" w:rsidRPr="00564523" w:rsidRDefault="008F447A" w:rsidP="00564523">
      <w:pPr>
        <w:pStyle w:val="Textoindependiente21"/>
        <w:spacing w:line="240" w:lineRule="auto"/>
        <w:ind w:firstLine="0"/>
        <w:rPr>
          <w:rFonts w:ascii="Times New Roman" w:hAnsi="Times New Roman"/>
          <w:i/>
          <w:sz w:val="20"/>
        </w:rPr>
      </w:pPr>
      <w:r w:rsidRPr="00564523">
        <w:rPr>
          <w:rStyle w:val="Refdenotaalpie"/>
          <w:rFonts w:ascii="Times New Roman" w:hAnsi="Times New Roman"/>
          <w:sz w:val="20"/>
        </w:rPr>
        <w:footnoteRef/>
      </w:r>
      <w:r w:rsidRPr="00564523">
        <w:rPr>
          <w:rFonts w:ascii="Times New Roman" w:hAnsi="Times New Roman"/>
          <w:sz w:val="20"/>
        </w:rPr>
        <w:t xml:space="preserve"> [15] </w:t>
      </w:r>
      <w:r w:rsidRPr="00564523">
        <w:rPr>
          <w:rFonts w:ascii="Times New Roman" w:hAnsi="Times New Roman"/>
          <w:i/>
          <w:sz w:val="20"/>
        </w:rPr>
        <w:t>Consejo de Estado, op. cit., pág. 96.</w:t>
      </w:r>
    </w:p>
  </w:footnote>
  <w:footnote w:id="16">
    <w:p w14:paraId="1BB87994" w14:textId="77777777" w:rsidR="008F447A" w:rsidRPr="00564523" w:rsidRDefault="008F447A" w:rsidP="00564523">
      <w:pPr>
        <w:pStyle w:val="Textonotapie"/>
        <w:spacing w:line="240" w:lineRule="auto"/>
        <w:rPr>
          <w:rFonts w:ascii="Times New Roman" w:hAnsi="Times New Roman" w:cs="Times New Roman"/>
          <w:sz w:val="20"/>
          <w:szCs w:val="20"/>
        </w:rPr>
      </w:pPr>
      <w:r w:rsidRPr="00564523">
        <w:rPr>
          <w:rStyle w:val="Refdenotaalpie"/>
          <w:rFonts w:ascii="Times New Roman" w:hAnsi="Times New Roman"/>
          <w:sz w:val="20"/>
          <w:szCs w:val="20"/>
        </w:rPr>
        <w:footnoteRef/>
      </w:r>
      <w:r w:rsidRPr="00564523">
        <w:rPr>
          <w:rFonts w:ascii="Times New Roman" w:hAnsi="Times New Roman" w:cs="Times New Roman"/>
          <w:sz w:val="20"/>
          <w:szCs w:val="20"/>
        </w:rPr>
        <w:t xml:space="preserve"> </w:t>
      </w:r>
      <w:r w:rsidRPr="00564523">
        <w:rPr>
          <w:rFonts w:ascii="Times New Roman" w:hAnsi="Times New Roman" w:cs="Times New Roman"/>
          <w:i/>
          <w:sz w:val="20"/>
          <w:szCs w:val="20"/>
        </w:rPr>
        <w:t>Consejo de Estado, Sección Tercera, Subsección B, sentencia del 22 de junio de 2011, exp. 05001232400019950167301 (20543), actor: Hernán Arango Serna, C.P. Ruth Stella Correa Palacio.</w:t>
      </w:r>
    </w:p>
  </w:footnote>
  <w:footnote w:id="17">
    <w:p w14:paraId="0F1CDE7D" w14:textId="77777777" w:rsidR="008F447A" w:rsidRPr="00564523" w:rsidRDefault="008F447A" w:rsidP="00564523">
      <w:pPr>
        <w:pStyle w:val="Textonotapie"/>
        <w:spacing w:line="240" w:lineRule="auto"/>
        <w:rPr>
          <w:rFonts w:ascii="Times New Roman" w:hAnsi="Times New Roman" w:cs="Times New Roman"/>
          <w:sz w:val="20"/>
          <w:szCs w:val="20"/>
        </w:rPr>
      </w:pPr>
      <w:r w:rsidRPr="00564523">
        <w:rPr>
          <w:rStyle w:val="Refdenotaalpie"/>
          <w:rFonts w:ascii="Times New Roman" w:hAnsi="Times New Roman"/>
          <w:sz w:val="20"/>
          <w:szCs w:val="20"/>
        </w:rPr>
        <w:footnoteRef/>
      </w:r>
      <w:r w:rsidRPr="00564523">
        <w:rPr>
          <w:rFonts w:ascii="Times New Roman" w:hAnsi="Times New Roman" w:cs="Times New Roman"/>
          <w:sz w:val="20"/>
          <w:szCs w:val="20"/>
        </w:rPr>
        <w:t xml:space="preserve"> De acuerdo con lo dispuesto por el artículo 168 del Decreto 01 de 1984, en los procesos contencioso administrativos son aplicables las normas del Código de Procedimiento Civil sobre la admisibilidad de los medios de prueba, la forma de practicarlas y los criterios de valoración. En el presente caso, se tendrán en cuenta los documentos presentados en copias simples, con fundamento en lo dispuesto por la sentencia de unificación jurisprudencial de la Sección Tercera del Consejo de Estado, del 28 de agosto de 2013, expediente </w:t>
      </w:r>
      <w:smartTag w:uri="urn:schemas-microsoft-com:office:smarttags" w:element="metricconverter">
        <w:smartTagPr>
          <w:attr w:name="ProductID" w:val="25022, C"/>
        </w:smartTagPr>
        <w:r w:rsidRPr="00564523">
          <w:rPr>
            <w:rFonts w:ascii="Times New Roman" w:hAnsi="Times New Roman" w:cs="Times New Roman"/>
            <w:sz w:val="20"/>
            <w:szCs w:val="20"/>
          </w:rPr>
          <w:t>25022, C</w:t>
        </w:r>
      </w:smartTag>
      <w:r w:rsidRPr="00564523">
        <w:rPr>
          <w:rFonts w:ascii="Times New Roman" w:hAnsi="Times New Roman" w:cs="Times New Roman"/>
          <w:sz w:val="20"/>
          <w:szCs w:val="20"/>
        </w:rPr>
        <w:t xml:space="preserve">.P. Enrique Gil Botero, en la cual se estableció su admisibilidad, siempre que no hayan sido objetados o tachados de falsedad o que exista una disposición en contrario que haga exigible el requisito de las copias auténticas. </w:t>
      </w:r>
    </w:p>
  </w:footnote>
  <w:footnote w:id="18">
    <w:p w14:paraId="61900BF8" w14:textId="77777777" w:rsidR="008F447A" w:rsidRPr="00564523" w:rsidRDefault="008F447A" w:rsidP="00564523">
      <w:pPr>
        <w:pStyle w:val="Textonotapie"/>
        <w:spacing w:line="240" w:lineRule="auto"/>
        <w:rPr>
          <w:rFonts w:ascii="Times New Roman" w:hAnsi="Times New Roman" w:cs="Times New Roman"/>
          <w:sz w:val="20"/>
          <w:szCs w:val="20"/>
        </w:rPr>
      </w:pPr>
      <w:r w:rsidRPr="00564523">
        <w:rPr>
          <w:rStyle w:val="Refdenotaalpie"/>
          <w:rFonts w:ascii="Times New Roman" w:hAnsi="Times New Roman"/>
          <w:sz w:val="20"/>
          <w:szCs w:val="20"/>
        </w:rPr>
        <w:footnoteRef/>
      </w:r>
      <w:r w:rsidRPr="00564523">
        <w:rPr>
          <w:rFonts w:ascii="Times New Roman" w:hAnsi="Times New Roman" w:cs="Times New Roman"/>
          <w:sz w:val="20"/>
          <w:szCs w:val="20"/>
        </w:rPr>
        <w:t xml:space="preserve"> En la cláusula décima segunda del contrato 046 de 1998, se señaló que el amparo de estabilidad de la obra, debía ser equivalente al 30% del valor final total de la obra, vigente por 5 años contados a partir de la fecha del acta de entrega y recibo final de la obra (f.95 c.2).</w:t>
      </w:r>
    </w:p>
  </w:footnote>
  <w:footnote w:id="19">
    <w:p w14:paraId="6E280986" w14:textId="77777777" w:rsidR="008F447A" w:rsidRPr="00564523" w:rsidRDefault="008F447A" w:rsidP="00564523">
      <w:pPr>
        <w:pStyle w:val="Textonotapie"/>
        <w:spacing w:line="240" w:lineRule="auto"/>
        <w:rPr>
          <w:rFonts w:ascii="Times New Roman" w:hAnsi="Times New Roman" w:cs="Times New Roman"/>
          <w:i/>
          <w:sz w:val="20"/>
          <w:szCs w:val="20"/>
        </w:rPr>
      </w:pPr>
      <w:r w:rsidRPr="00564523">
        <w:rPr>
          <w:rStyle w:val="Refdenotaalpie"/>
          <w:rFonts w:ascii="Times New Roman" w:hAnsi="Times New Roman"/>
          <w:sz w:val="20"/>
          <w:szCs w:val="20"/>
        </w:rPr>
        <w:footnoteRef/>
      </w:r>
      <w:r w:rsidRPr="00564523">
        <w:rPr>
          <w:rFonts w:ascii="Times New Roman" w:hAnsi="Times New Roman" w:cs="Times New Roman"/>
          <w:sz w:val="20"/>
          <w:szCs w:val="20"/>
        </w:rPr>
        <w:t xml:space="preserve"> La Sala advierte que el referido oficio se encuentra en el expediente, visible en los folios 253 y 254 del cuaderno n.º 2; está suscrito por el ingeniero Mauricio Delgadillo Díaz, en el que además señaló que </w:t>
      </w:r>
      <w:r w:rsidRPr="00564523">
        <w:rPr>
          <w:rFonts w:ascii="Times New Roman" w:hAnsi="Times New Roman" w:cs="Times New Roman"/>
          <w:i/>
          <w:sz w:val="20"/>
          <w:szCs w:val="20"/>
        </w:rPr>
        <w:t>“como la falla presentada en el muro del gavión se debe al mal diseño y construcción del mismo, teniendo en cuenta que la obra ya fue recibida por el departamento, se debe hacer efectiva la póliza de estabilidad.”.</w:t>
      </w:r>
    </w:p>
  </w:footnote>
  <w:footnote w:id="20">
    <w:p w14:paraId="1102511E" w14:textId="77777777" w:rsidR="008F447A" w:rsidRPr="00564523" w:rsidRDefault="008F447A" w:rsidP="00564523">
      <w:pPr>
        <w:pStyle w:val="Textonotapie"/>
        <w:spacing w:line="240" w:lineRule="auto"/>
        <w:rPr>
          <w:rFonts w:ascii="Times New Roman" w:hAnsi="Times New Roman" w:cs="Times New Roman"/>
          <w:i/>
          <w:sz w:val="20"/>
          <w:szCs w:val="20"/>
        </w:rPr>
      </w:pPr>
      <w:r w:rsidRPr="00564523">
        <w:rPr>
          <w:rStyle w:val="Refdenotaalpie"/>
          <w:rFonts w:ascii="Times New Roman" w:hAnsi="Times New Roman"/>
          <w:sz w:val="20"/>
          <w:szCs w:val="20"/>
        </w:rPr>
        <w:footnoteRef/>
      </w:r>
      <w:r w:rsidRPr="00564523">
        <w:rPr>
          <w:rFonts w:ascii="Times New Roman" w:hAnsi="Times New Roman" w:cs="Times New Roman"/>
          <w:sz w:val="20"/>
          <w:szCs w:val="20"/>
        </w:rPr>
        <w:t xml:space="preserve"> La referida comunicación se encuentra visible en los folios 26 y 27 del cuaderno n.º 2, suscrita por el gerente de la contratista y dirigida al director de infraestructura de la gobernación de Cundinamarca, en la que también indicó que “</w:t>
      </w:r>
      <w:r w:rsidRPr="00564523">
        <w:rPr>
          <w:rFonts w:ascii="Times New Roman" w:hAnsi="Times New Roman" w:cs="Times New Roman"/>
          <w:i/>
          <w:sz w:val="20"/>
          <w:szCs w:val="20"/>
        </w:rPr>
        <w:t xml:space="preserve">resultaría recomendable a nivel de mantenimiento de las obras y en la medida que exista disponibilidad por parte de la alcaldía, de un equipo, volver a cubrir estas zonas para evitar que piedras u otros objetos arrastrados por el río, vayan a romper una malla”. </w:t>
      </w:r>
    </w:p>
  </w:footnote>
  <w:footnote w:id="21">
    <w:p w14:paraId="20EEB40E" w14:textId="77777777" w:rsidR="008F447A" w:rsidRPr="00564523" w:rsidRDefault="008F447A" w:rsidP="00564523">
      <w:pPr>
        <w:pStyle w:val="Textonotapie"/>
        <w:spacing w:line="240" w:lineRule="auto"/>
        <w:rPr>
          <w:rFonts w:ascii="Times New Roman" w:hAnsi="Times New Roman" w:cs="Times New Roman"/>
          <w:sz w:val="20"/>
          <w:szCs w:val="20"/>
        </w:rPr>
      </w:pPr>
      <w:r w:rsidRPr="00564523">
        <w:rPr>
          <w:rStyle w:val="Refdenotaalpie"/>
          <w:rFonts w:ascii="Times New Roman" w:hAnsi="Times New Roman"/>
          <w:sz w:val="20"/>
          <w:szCs w:val="20"/>
        </w:rPr>
        <w:footnoteRef/>
      </w:r>
      <w:r w:rsidRPr="00564523">
        <w:rPr>
          <w:rFonts w:ascii="Times New Roman" w:hAnsi="Times New Roman" w:cs="Times New Roman"/>
          <w:sz w:val="20"/>
          <w:szCs w:val="20"/>
        </w:rPr>
        <w:t xml:space="preserve"> En efecto, se reitera que el interventor del contrato remitió dicha nota, en la que también agregó que la consecuencia de la socavación fue la “</w:t>
      </w:r>
      <w:r w:rsidRPr="00564523">
        <w:rPr>
          <w:rFonts w:ascii="Times New Roman" w:hAnsi="Times New Roman" w:cs="Times New Roman"/>
          <w:i/>
          <w:sz w:val="20"/>
          <w:szCs w:val="20"/>
        </w:rPr>
        <w:t xml:space="preserve">desestabilización del muro por la falta de apoyo al erosionarse considerablemente el terreno de soporte” </w:t>
      </w:r>
      <w:r w:rsidRPr="00564523">
        <w:rPr>
          <w:rFonts w:ascii="Times New Roman" w:hAnsi="Times New Roman" w:cs="Times New Roman"/>
          <w:sz w:val="20"/>
          <w:szCs w:val="20"/>
        </w:rPr>
        <w:t>(supra párrafo 13.10.).</w:t>
      </w:r>
    </w:p>
  </w:footnote>
  <w:footnote w:id="22">
    <w:p w14:paraId="007E53DB" w14:textId="77777777" w:rsidR="008F447A" w:rsidRPr="00564523" w:rsidRDefault="008F447A" w:rsidP="00564523">
      <w:pPr>
        <w:pStyle w:val="Textonotapie"/>
        <w:spacing w:line="240" w:lineRule="auto"/>
        <w:rPr>
          <w:rFonts w:ascii="Times New Roman" w:hAnsi="Times New Roman" w:cs="Times New Roman"/>
          <w:sz w:val="20"/>
          <w:szCs w:val="20"/>
        </w:rPr>
      </w:pPr>
      <w:r w:rsidRPr="00564523">
        <w:rPr>
          <w:rStyle w:val="Refdenotaalpie"/>
          <w:rFonts w:ascii="Times New Roman" w:hAnsi="Times New Roman"/>
          <w:sz w:val="20"/>
          <w:szCs w:val="20"/>
        </w:rPr>
        <w:footnoteRef/>
      </w:r>
      <w:r w:rsidRPr="00564523">
        <w:rPr>
          <w:rFonts w:ascii="Times New Roman" w:hAnsi="Times New Roman" w:cs="Times New Roman"/>
          <w:sz w:val="20"/>
          <w:szCs w:val="20"/>
        </w:rPr>
        <w:t xml:space="preserve"> Consejo de Estado, Sala de lo Contencioso Administrativo, Sección Tercera, Subsección B, providencias del 29 de abril y 10 de junio de 2015, expedientes 27712 y  28592, C.P. Stella Conto Díaz del Castillo y Danilo Rojas Betancourth, respectivamente. </w:t>
      </w:r>
    </w:p>
  </w:footnote>
  <w:footnote w:id="23">
    <w:p w14:paraId="0963B913" w14:textId="77777777" w:rsidR="008F447A" w:rsidRPr="00564523" w:rsidRDefault="008F447A" w:rsidP="00564523">
      <w:pPr>
        <w:pStyle w:val="Textonotapie"/>
        <w:spacing w:line="240" w:lineRule="auto"/>
        <w:rPr>
          <w:rFonts w:ascii="Times New Roman" w:hAnsi="Times New Roman" w:cs="Times New Roman"/>
          <w:sz w:val="20"/>
          <w:szCs w:val="20"/>
        </w:rPr>
      </w:pPr>
      <w:r w:rsidRPr="00564523">
        <w:rPr>
          <w:rStyle w:val="Refdenotaalpie"/>
          <w:rFonts w:ascii="Times New Roman" w:hAnsi="Times New Roman"/>
          <w:sz w:val="20"/>
          <w:szCs w:val="20"/>
        </w:rPr>
        <w:footnoteRef/>
      </w:r>
      <w:r w:rsidRPr="00564523">
        <w:rPr>
          <w:rFonts w:ascii="Times New Roman" w:hAnsi="Times New Roman" w:cs="Times New Roman"/>
          <w:sz w:val="20"/>
          <w:szCs w:val="20"/>
        </w:rPr>
        <w:t xml:space="preserve"> La jurisprudencia de la Sección ha considerado que las entidades estatales cuentan con una facultad legal expresa para declarar el siniestro mediante un acto administrativo en aquellos eventos en los que se expiden garantías a su favor, con fundamento en lo dispuesto por los numerales 4 y 5 del artículo 68 del Código Contencioso Administrativo, que establece las obligaciones a favor del Estado que prestan mérito ejecutivo, los cuales disponen: </w:t>
      </w:r>
      <w:r w:rsidRPr="00564523">
        <w:rPr>
          <w:rFonts w:ascii="Times New Roman" w:hAnsi="Times New Roman" w:cs="Times New Roman"/>
          <w:i/>
          <w:sz w:val="20"/>
          <w:szCs w:val="20"/>
        </w:rPr>
        <w:t xml:space="preserve">“Art. 68.- Prestarán mérito ejecutivo (…) siempre que en ellos conste una obligación clara, expresa y actualmente exigible, los siguientes documentos: (…) 4. Los contratos, las pólizas de seguro y las demás garantías que otorguen los contratistas a favor de las entidades públicas, que integrarán título ejecutivo con el acto administrativo de liquidación final del contrato, o con la resolución ejecutoriada que decrete la caducidad o la terminación según el caso. // 5. Las demás garantías que a favor de las entidades públicas se presten por cualquier concepto, las cuales se integrarán con el acto administrativo ejecutoriado que declare la obligación”. </w:t>
      </w:r>
      <w:r w:rsidRPr="00564523">
        <w:rPr>
          <w:rFonts w:ascii="Times New Roman" w:hAnsi="Times New Roman" w:cs="Times New Roman"/>
          <w:sz w:val="20"/>
          <w:szCs w:val="20"/>
        </w:rPr>
        <w:t>Consejo de Estado, Sala de lo Contencioso Administrativo, Sección Tercera, sentencia del 14 de abril de 2005, expediente 13599, C.P. Alier E. Hernández Enríquez; sentencia del 22 de abril de 2009, expediente 14667, C.P. Myriam Guerrero de Escobar; sentencia del 11 de julio de 2012, expediente 19519, Subsección A, C.P. Carlos Alberto Zambrano Barrera. Por otra parte, el artículo 18 de la Ley 80 de 1993, establece que la declaratoria de caducidad, que debe efectuar la administración a través de un acto administrativo debidamente motivado, será constitutiva del siniestro de incumplimiento del contrato. Actualmente, el inciso 4 del artículo 7º de la Ley 1150 de 2007, establece que “</w:t>
      </w:r>
      <w:r w:rsidRPr="00564523">
        <w:rPr>
          <w:rFonts w:ascii="Times New Roman" w:hAnsi="Times New Roman" w:cs="Times New Roman"/>
          <w:i/>
          <w:color w:val="000000"/>
          <w:sz w:val="20"/>
          <w:szCs w:val="20"/>
        </w:rPr>
        <w:t xml:space="preserve">El acaecimiento del siniestro que amparan las garantías será comunicado por la entidad pública al respectivo asegurador mediante la notificación del acto administrativo que así lo declare” </w:t>
      </w:r>
      <w:r w:rsidRPr="00564523">
        <w:rPr>
          <w:rFonts w:ascii="Times New Roman" w:hAnsi="Times New Roman" w:cs="Times New Roman"/>
          <w:color w:val="000000"/>
          <w:sz w:val="20"/>
          <w:szCs w:val="20"/>
        </w:rPr>
        <w:t xml:space="preserve">y </w:t>
      </w:r>
      <w:r w:rsidRPr="00564523">
        <w:rPr>
          <w:rFonts w:ascii="Times New Roman" w:hAnsi="Times New Roman" w:cs="Times New Roman"/>
          <w:sz w:val="20"/>
          <w:szCs w:val="20"/>
        </w:rPr>
        <w:t xml:space="preserve">el artículo </w:t>
      </w:r>
      <w:r w:rsidR="00B8484B" w:rsidRPr="00564523">
        <w:rPr>
          <w:rFonts w:ascii="Times New Roman" w:hAnsi="Times New Roman" w:cs="Times New Roman"/>
          <w:bCs/>
          <w:sz w:val="20"/>
          <w:szCs w:val="20"/>
          <w:lang w:eastAsia="es-CO"/>
        </w:rPr>
        <w:t>2.2.1.2.3.1.19.</w:t>
      </w:r>
      <w:r w:rsidR="00B8484B" w:rsidRPr="00564523">
        <w:rPr>
          <w:rFonts w:ascii="Times New Roman" w:hAnsi="Times New Roman" w:cs="Times New Roman"/>
          <w:b/>
          <w:bCs/>
          <w:sz w:val="20"/>
          <w:szCs w:val="20"/>
          <w:lang w:eastAsia="es-CO"/>
        </w:rPr>
        <w:t> </w:t>
      </w:r>
      <w:r w:rsidRPr="00564523">
        <w:rPr>
          <w:rFonts w:ascii="Times New Roman" w:hAnsi="Times New Roman" w:cs="Times New Roman"/>
          <w:sz w:val="20"/>
          <w:szCs w:val="20"/>
        </w:rPr>
        <w:t xml:space="preserve">del Decreto </w:t>
      </w:r>
      <w:r w:rsidR="00B8484B" w:rsidRPr="00564523">
        <w:rPr>
          <w:rFonts w:ascii="Times New Roman" w:hAnsi="Times New Roman" w:cs="Times New Roman"/>
          <w:sz w:val="20"/>
          <w:szCs w:val="20"/>
        </w:rPr>
        <w:t>1082 de 2015</w:t>
      </w:r>
      <w:r w:rsidRPr="00564523">
        <w:rPr>
          <w:rFonts w:ascii="Times New Roman" w:hAnsi="Times New Roman" w:cs="Times New Roman"/>
          <w:sz w:val="20"/>
          <w:szCs w:val="20"/>
        </w:rPr>
        <w:t xml:space="preserve">, dispone: </w:t>
      </w:r>
      <w:r w:rsidR="00B8484B" w:rsidRPr="00564523">
        <w:rPr>
          <w:rFonts w:ascii="Times New Roman" w:hAnsi="Times New Roman" w:cs="Times New Roman"/>
          <w:i/>
          <w:sz w:val="20"/>
          <w:szCs w:val="20"/>
        </w:rPr>
        <w:t xml:space="preserve">“artículo </w:t>
      </w:r>
      <w:r w:rsidR="00B8484B" w:rsidRPr="00564523">
        <w:rPr>
          <w:rFonts w:ascii="Times New Roman" w:hAnsi="Times New Roman" w:cs="Times New Roman"/>
          <w:bCs/>
          <w:i/>
          <w:sz w:val="20"/>
          <w:szCs w:val="20"/>
          <w:lang w:eastAsia="es-CO"/>
        </w:rPr>
        <w:t>2.2.1.2.3.1.19. </w:t>
      </w:r>
      <w:r w:rsidR="00B8484B" w:rsidRPr="00564523">
        <w:rPr>
          <w:rFonts w:ascii="Times New Roman" w:hAnsi="Times New Roman" w:cs="Times New Roman"/>
          <w:bCs/>
          <w:i/>
          <w:iCs/>
          <w:sz w:val="20"/>
          <w:szCs w:val="20"/>
          <w:lang w:eastAsia="es-CO"/>
        </w:rPr>
        <w:t>Efectividad de las garantías.</w:t>
      </w:r>
      <w:r w:rsidR="00B8484B" w:rsidRPr="00564523">
        <w:rPr>
          <w:rFonts w:ascii="Times New Roman" w:hAnsi="Times New Roman" w:cs="Times New Roman"/>
          <w:i/>
          <w:iCs/>
          <w:sz w:val="20"/>
          <w:szCs w:val="20"/>
          <w:lang w:eastAsia="es-CO"/>
        </w:rPr>
        <w:t> </w:t>
      </w:r>
      <w:r w:rsidR="00B8484B" w:rsidRPr="00564523">
        <w:rPr>
          <w:rFonts w:ascii="Times New Roman" w:hAnsi="Times New Roman" w:cs="Times New Roman"/>
          <w:i/>
          <w:sz w:val="20"/>
          <w:szCs w:val="20"/>
          <w:lang w:eastAsia="es-CO"/>
        </w:rPr>
        <w:t>La Entidad Estatal debe hacer efectivas las garantías previstas en este capítulo así: // 1.    Por medio del acto administrativo en el cual la Entidad Estatal declare la caducidad del contrato y ordene el pago al contratista y al garante, bien sea de la cláusula penal o de los perjuicios que ha cuantificado. El acto administrativo de caducidad constituye el siniestro. // 2.    Por medio del acto administrativo en el cual la Entidad Estatal impone multas, debe ordenar el pago al contratista y al garante. El acto administrativo correspondiente constituye el siniestro. // 3.    Por medio del acto administrativo en el cual la Entidad Estatal declare el incumpli</w:t>
      </w:r>
      <w:r w:rsidR="00B8484B" w:rsidRPr="00564523">
        <w:rPr>
          <w:rFonts w:ascii="Times New Roman" w:hAnsi="Times New Roman" w:cs="Times New Roman"/>
          <w:i/>
          <w:sz w:val="20"/>
          <w:szCs w:val="20"/>
          <w:lang w:eastAsia="es-CO"/>
        </w:rPr>
        <w:softHyphen/>
        <w:t>miento, puede hacer efectiva la cláusula penal, si está pactada en el contrato, y ordenar su pago al contratista y al garante. El acto administrativo correspondiente es la reclamación para la compañía de seguros</w:t>
      </w:r>
      <w:r w:rsidR="00B8484B" w:rsidRPr="00564523">
        <w:rPr>
          <w:rFonts w:ascii="Times New Roman" w:hAnsi="Times New Roman" w:cs="Times New Roman"/>
          <w:sz w:val="20"/>
          <w:szCs w:val="20"/>
          <w:lang w:eastAsia="es-CO"/>
        </w:rPr>
        <w:t>.”</w:t>
      </w:r>
      <w:r w:rsidRPr="00564523">
        <w:rPr>
          <w:rFonts w:ascii="Times New Roman" w:hAnsi="Times New Roman" w:cs="Times New Roman"/>
          <w:i/>
          <w:sz w:val="20"/>
          <w:szCs w:val="20"/>
          <w:lang w:eastAsia="es-CO"/>
        </w:rPr>
        <w:t>.</w:t>
      </w:r>
      <w:r w:rsidRPr="00564523">
        <w:rPr>
          <w:rFonts w:ascii="Times New Roman" w:hAnsi="Times New Roman" w:cs="Times New Roman"/>
          <w:i/>
          <w:color w:val="000000"/>
          <w:sz w:val="20"/>
          <w:szCs w:val="20"/>
        </w:rPr>
        <w:t xml:space="preserve"> </w:t>
      </w:r>
      <w:r w:rsidRPr="00564523">
        <w:rPr>
          <w:rFonts w:ascii="Times New Roman" w:hAnsi="Times New Roman" w:cs="Times New Roman"/>
          <w:color w:val="000000"/>
          <w:sz w:val="20"/>
          <w:szCs w:val="20"/>
        </w:rPr>
        <w:t xml:space="preserve">Por su parte, el CPACA, en su artículo 99, numeral 3, dispone: </w:t>
      </w:r>
      <w:r w:rsidRPr="00564523">
        <w:rPr>
          <w:rFonts w:ascii="Times New Roman" w:hAnsi="Times New Roman" w:cs="Times New Roman"/>
          <w:i/>
          <w:sz w:val="20"/>
          <w:szCs w:val="20"/>
        </w:rPr>
        <w:t>“Documentos que prestan mérito ejecutivo a favor del Estado: (…) 3. Los contratos o los documentos en que constan sus garantías junto con el acto que declara el incumplimiento o la caducidad. Igualmente lo serán el acta de liquidación del contrato o cualquier acto administrativo proferido con ocasión de la actividad contractual.”</w:t>
      </w:r>
    </w:p>
  </w:footnote>
  <w:footnote w:id="24">
    <w:p w14:paraId="51BFD070" w14:textId="77777777" w:rsidR="008F447A" w:rsidRPr="00564523" w:rsidRDefault="008F447A" w:rsidP="00564523">
      <w:pPr>
        <w:pStyle w:val="Textonotapie"/>
        <w:spacing w:line="240" w:lineRule="auto"/>
        <w:rPr>
          <w:rFonts w:ascii="Times New Roman" w:hAnsi="Times New Roman" w:cs="Times New Roman"/>
          <w:sz w:val="20"/>
          <w:szCs w:val="20"/>
        </w:rPr>
      </w:pPr>
      <w:r w:rsidRPr="00564523">
        <w:rPr>
          <w:rStyle w:val="Refdenotaalpie"/>
          <w:rFonts w:ascii="Times New Roman" w:hAnsi="Times New Roman"/>
          <w:sz w:val="20"/>
          <w:szCs w:val="20"/>
        </w:rPr>
        <w:footnoteRef/>
      </w:r>
      <w:r w:rsidRPr="00564523">
        <w:rPr>
          <w:rFonts w:ascii="Times New Roman" w:hAnsi="Times New Roman" w:cs="Times New Roman"/>
          <w:sz w:val="20"/>
          <w:szCs w:val="20"/>
        </w:rPr>
        <w:t xml:space="preserve"> Consejo de Estado, Sala de lo Contencioso Administrativo, Sección Tercera, sentencia del 22 de abril de 2009, expediente 14667, C.P. Myriam Guerrero de Escobar. </w:t>
      </w:r>
    </w:p>
  </w:footnote>
  <w:footnote w:id="25">
    <w:p w14:paraId="46AC496B" w14:textId="77777777" w:rsidR="008F447A" w:rsidRPr="00564523" w:rsidRDefault="008F447A" w:rsidP="00564523">
      <w:pPr>
        <w:pStyle w:val="Textonotapie"/>
        <w:spacing w:line="240" w:lineRule="auto"/>
        <w:rPr>
          <w:rFonts w:ascii="Times New Roman" w:hAnsi="Times New Roman" w:cs="Times New Roman"/>
          <w:sz w:val="20"/>
          <w:szCs w:val="20"/>
        </w:rPr>
      </w:pPr>
      <w:r w:rsidRPr="00564523">
        <w:rPr>
          <w:rStyle w:val="Refdenotaalpie"/>
          <w:rFonts w:ascii="Times New Roman" w:hAnsi="Times New Roman"/>
          <w:sz w:val="20"/>
          <w:szCs w:val="20"/>
        </w:rPr>
        <w:footnoteRef/>
      </w:r>
      <w:r w:rsidRPr="00564523">
        <w:rPr>
          <w:rFonts w:ascii="Times New Roman" w:hAnsi="Times New Roman" w:cs="Times New Roman"/>
          <w:sz w:val="20"/>
          <w:szCs w:val="20"/>
        </w:rPr>
        <w:t xml:space="preserve"> Consejo de Estado, Sala de lo Contencioso Administrativo, Sección Tercera, </w:t>
      </w:r>
      <w:r w:rsidRPr="00564523">
        <w:rPr>
          <w:rFonts w:ascii="Times New Roman" w:hAnsi="Times New Roman" w:cs="Times New Roman"/>
          <w:sz w:val="20"/>
          <w:szCs w:val="20"/>
          <w:lang w:val="es-MX"/>
        </w:rPr>
        <w:t>sentencia de 14 de abril de 2005, expediente 14583, C.P. Alier Hernández Enríquez.</w:t>
      </w:r>
    </w:p>
  </w:footnote>
  <w:footnote w:id="26">
    <w:p w14:paraId="5A895F3E" w14:textId="77777777" w:rsidR="008F447A" w:rsidRPr="00564523" w:rsidRDefault="008F447A" w:rsidP="00564523">
      <w:pPr>
        <w:pStyle w:val="Textonotapie"/>
        <w:spacing w:line="240" w:lineRule="auto"/>
        <w:rPr>
          <w:rFonts w:ascii="Times New Roman" w:hAnsi="Times New Roman" w:cs="Times New Roman"/>
          <w:sz w:val="20"/>
          <w:szCs w:val="20"/>
        </w:rPr>
      </w:pPr>
      <w:r w:rsidRPr="00564523">
        <w:rPr>
          <w:rStyle w:val="Refdenotaalpie"/>
          <w:rFonts w:ascii="Times New Roman" w:hAnsi="Times New Roman"/>
          <w:sz w:val="20"/>
          <w:szCs w:val="20"/>
        </w:rPr>
        <w:footnoteRef/>
      </w:r>
      <w:r w:rsidRPr="00564523">
        <w:rPr>
          <w:rFonts w:ascii="Times New Roman" w:hAnsi="Times New Roman" w:cs="Times New Roman"/>
          <w:sz w:val="20"/>
          <w:szCs w:val="20"/>
        </w:rPr>
        <w:t xml:space="preserve"> Consejo de Estado, Sala de lo Contencioso Administrativo, Sección Tercera, sentencia del 22 de abril de 2009, expediente 14667, C.P. Myriam Guerrero de Escobar. </w:t>
      </w:r>
    </w:p>
  </w:footnote>
  <w:footnote w:id="27">
    <w:p w14:paraId="6317B167" w14:textId="77777777" w:rsidR="008C4FC3" w:rsidRPr="00564523" w:rsidRDefault="008C4FC3" w:rsidP="00564523">
      <w:pPr>
        <w:pStyle w:val="Textonotapie"/>
        <w:spacing w:line="240" w:lineRule="auto"/>
        <w:rPr>
          <w:rFonts w:ascii="Times New Roman" w:hAnsi="Times New Roman" w:cs="Times New Roman"/>
          <w:sz w:val="20"/>
          <w:szCs w:val="20"/>
        </w:rPr>
      </w:pPr>
      <w:r w:rsidRPr="00564523">
        <w:rPr>
          <w:rStyle w:val="Refdenotaalpie"/>
          <w:rFonts w:ascii="Times New Roman" w:hAnsi="Times New Roman"/>
          <w:sz w:val="20"/>
          <w:szCs w:val="20"/>
        </w:rPr>
        <w:footnoteRef/>
      </w:r>
      <w:r w:rsidRPr="00564523">
        <w:rPr>
          <w:rFonts w:ascii="Times New Roman" w:hAnsi="Times New Roman" w:cs="Times New Roman"/>
          <w:sz w:val="20"/>
          <w:szCs w:val="20"/>
        </w:rPr>
        <w:t xml:space="preserve"> La Sala considera pertinente señalar, que en los generales de ley, el testigo se limitó a decir que era pensionado, razón por la cual, se desconocen las calidades profesionales de éste y en razón de qué, </w:t>
      </w:r>
      <w:r w:rsidR="004908D9" w:rsidRPr="00564523">
        <w:rPr>
          <w:rFonts w:ascii="Times New Roman" w:hAnsi="Times New Roman" w:cs="Times New Roman"/>
          <w:sz w:val="20"/>
          <w:szCs w:val="20"/>
        </w:rPr>
        <w:t>podría haber participado</w:t>
      </w:r>
      <w:r w:rsidRPr="00564523">
        <w:rPr>
          <w:rFonts w:ascii="Times New Roman" w:hAnsi="Times New Roman" w:cs="Times New Roman"/>
          <w:sz w:val="20"/>
          <w:szCs w:val="20"/>
        </w:rPr>
        <w:t xml:space="preserve"> en las modificaciones de un contrato estatal, como lo afirmó el demandante. </w:t>
      </w:r>
    </w:p>
  </w:footnote>
  <w:footnote w:id="28">
    <w:p w14:paraId="1EFD9B21" w14:textId="77777777" w:rsidR="00C010BA" w:rsidRPr="00564523" w:rsidRDefault="00C010BA" w:rsidP="00564523">
      <w:pPr>
        <w:pStyle w:val="Textonotapie"/>
        <w:spacing w:line="240" w:lineRule="auto"/>
        <w:rPr>
          <w:rFonts w:ascii="Times New Roman" w:hAnsi="Times New Roman" w:cs="Times New Roman"/>
          <w:sz w:val="20"/>
          <w:szCs w:val="20"/>
        </w:rPr>
      </w:pPr>
      <w:r w:rsidRPr="00564523">
        <w:rPr>
          <w:rStyle w:val="Refdenotaalpie"/>
          <w:rFonts w:ascii="Times New Roman" w:hAnsi="Times New Roman"/>
          <w:sz w:val="20"/>
          <w:szCs w:val="20"/>
        </w:rPr>
        <w:footnoteRef/>
      </w:r>
      <w:r w:rsidRPr="00564523">
        <w:rPr>
          <w:rFonts w:ascii="Times New Roman" w:hAnsi="Times New Roman" w:cs="Times New Roman"/>
          <w:sz w:val="20"/>
          <w:szCs w:val="20"/>
        </w:rPr>
        <w:t xml:space="preserve"> El testigo se limitó a decir que se dedicaba a oficios varios, por lo que la Sala, tampoco tiene noción sobre sus calidades profesionales y en razón de qué, podría haber participado en las modificaciones de un contrato estatal, como lo afirmó el demandante.</w:t>
      </w:r>
    </w:p>
  </w:footnote>
  <w:footnote w:id="29">
    <w:p w14:paraId="02350B3F" w14:textId="77777777" w:rsidR="008F447A" w:rsidRPr="00564523" w:rsidRDefault="008F447A" w:rsidP="00564523">
      <w:pPr>
        <w:pStyle w:val="Textonotapie"/>
        <w:spacing w:line="240" w:lineRule="auto"/>
        <w:rPr>
          <w:rFonts w:ascii="Times New Roman" w:hAnsi="Times New Roman" w:cs="Times New Roman"/>
          <w:sz w:val="20"/>
          <w:szCs w:val="20"/>
        </w:rPr>
      </w:pPr>
      <w:r w:rsidRPr="00564523">
        <w:rPr>
          <w:rStyle w:val="Refdenotaalpie"/>
          <w:rFonts w:ascii="Times New Roman" w:hAnsi="Times New Roman"/>
          <w:sz w:val="20"/>
          <w:szCs w:val="20"/>
        </w:rPr>
        <w:footnoteRef/>
      </w:r>
      <w:r w:rsidRPr="00564523">
        <w:rPr>
          <w:rFonts w:ascii="Times New Roman" w:hAnsi="Times New Roman" w:cs="Times New Roman"/>
          <w:sz w:val="20"/>
          <w:szCs w:val="20"/>
        </w:rPr>
        <w:t xml:space="preserve"> Esta labor se realizó conforme a la orden de trabajo n.º GIV 39-98 del 11 de noviembre de 1998 (f.202-204 c.2).</w:t>
      </w:r>
    </w:p>
  </w:footnote>
  <w:footnote w:id="30">
    <w:p w14:paraId="47FD2396" w14:textId="77777777" w:rsidR="008F447A" w:rsidRPr="00564523" w:rsidRDefault="008F447A" w:rsidP="00564523">
      <w:pPr>
        <w:pStyle w:val="Textonotapie"/>
        <w:spacing w:line="240" w:lineRule="auto"/>
        <w:rPr>
          <w:rFonts w:ascii="Times New Roman" w:hAnsi="Times New Roman" w:cs="Times New Roman"/>
          <w:sz w:val="20"/>
          <w:szCs w:val="20"/>
        </w:rPr>
      </w:pPr>
      <w:r w:rsidRPr="00564523">
        <w:rPr>
          <w:rStyle w:val="Refdenotaalpie"/>
          <w:rFonts w:ascii="Times New Roman" w:hAnsi="Times New Roman"/>
          <w:sz w:val="20"/>
          <w:szCs w:val="20"/>
        </w:rPr>
        <w:footnoteRef/>
      </w:r>
      <w:r w:rsidRPr="00564523">
        <w:rPr>
          <w:rFonts w:ascii="Times New Roman" w:hAnsi="Times New Roman" w:cs="Times New Roman"/>
          <w:sz w:val="20"/>
          <w:szCs w:val="20"/>
        </w:rPr>
        <w:t xml:space="preserve"> </w:t>
      </w:r>
      <w:r w:rsidRPr="00564523">
        <w:rPr>
          <w:rFonts w:ascii="Times New Roman" w:hAnsi="Times New Roman" w:cs="Times New Roman"/>
          <w:i/>
          <w:sz w:val="20"/>
          <w:szCs w:val="20"/>
        </w:rPr>
        <w:t xml:space="preserve">“(…) 1.5. </w:t>
      </w:r>
      <w:r w:rsidRPr="00564523">
        <w:rPr>
          <w:rFonts w:ascii="Times New Roman" w:hAnsi="Times New Roman" w:cs="Times New Roman"/>
          <w:b/>
          <w:i/>
          <w:sz w:val="20"/>
          <w:szCs w:val="20"/>
        </w:rPr>
        <w:t xml:space="preserve">AMPARO ESTABILIDAD DE LA OBRA. </w:t>
      </w:r>
      <w:r w:rsidRPr="00564523">
        <w:rPr>
          <w:rFonts w:ascii="Times New Roman" w:hAnsi="Times New Roman" w:cs="Times New Roman"/>
          <w:i/>
          <w:sz w:val="20"/>
          <w:szCs w:val="20"/>
        </w:rPr>
        <w:t>// EL AMPARO DE ESTABILIDAD DE LA OBRA CUBRE A LAS ENTIDADES ESTATALES CONTRATANTES DURANTE EL TIEMPO ESTIPULADO EN CONDICIONES NORMALES DE USO, CONTRA LOS DETERIOROS DE LA OBRA IMPUTABLES A LA CONTRATISTA, QUE IMPIDAN EL SERVICIO PARA EL CUAL SE EJECUTÓ. CUANDO SE TRATE DE EDIFICACIONES, LA ESTABILIDAD SE DETERMINARÁ DE ACUERDO CON EL ESTUDIO DE SUELOS, PLANOS, PROYECTOS, SEGURIDAD Y FIRMEZA DE LA ESTRUCTURA.”</w:t>
      </w:r>
      <w:r w:rsidRPr="00564523">
        <w:rPr>
          <w:rFonts w:ascii="Times New Roman" w:hAnsi="Times New Roman" w:cs="Times New Roman"/>
          <w:sz w:val="20"/>
          <w:szCs w:val="20"/>
        </w:rPr>
        <w:t xml:space="preserve"> (f.12 c.3).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7A0ECD14"/>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436F14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Arial" w:hAnsi="Arial"/>
      </w:rPr>
    </w:lvl>
  </w:abstractNum>
  <w:abstractNum w:abstractNumId="3"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3"/>
    <w:multiLevelType w:val="multilevel"/>
    <w:tmpl w:val="00000003"/>
    <w:name w:val="WW8Num3"/>
    <w:lvl w:ilvl="0">
      <w:start w:val="1"/>
      <w:numFmt w:val="decimal"/>
      <w:lvlText w:val="%1."/>
      <w:lvlJc w:val="left"/>
      <w:pPr>
        <w:tabs>
          <w:tab w:val="num" w:pos="1068"/>
        </w:tabs>
        <w:ind w:left="1068" w:hanging="360"/>
      </w:pPr>
      <w:rPr>
        <w:rFonts w:cs="Times New Roman"/>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5" w15:restartNumberingAfterBreak="0">
    <w:nsid w:val="00000004"/>
    <w:multiLevelType w:val="multilevel"/>
    <w:tmpl w:val="00000004"/>
    <w:name w:val="WW8Num7"/>
    <w:lvl w:ilvl="0">
      <w:start w:val="1"/>
      <w:numFmt w:val="decimal"/>
      <w:lvlText w:val="%1."/>
      <w:lvlJc w:val="left"/>
      <w:pPr>
        <w:tabs>
          <w:tab w:val="num" w:pos="4548"/>
        </w:tabs>
        <w:ind w:left="4548" w:hanging="360"/>
      </w:pPr>
      <w:rPr>
        <w:rFonts w:cs="Times New Roman"/>
      </w:rPr>
    </w:lvl>
    <w:lvl w:ilvl="1">
      <w:start w:val="1"/>
      <w:numFmt w:val="decimal"/>
      <w:lvlText w:val="%2."/>
      <w:lvlJc w:val="left"/>
      <w:pPr>
        <w:tabs>
          <w:tab w:val="num" w:pos="4908"/>
        </w:tabs>
        <w:ind w:left="4908" w:hanging="360"/>
      </w:pPr>
      <w:rPr>
        <w:rFonts w:cs="Times New Roman"/>
      </w:rPr>
    </w:lvl>
    <w:lvl w:ilvl="2">
      <w:start w:val="1"/>
      <w:numFmt w:val="decimal"/>
      <w:lvlText w:val="%3."/>
      <w:lvlJc w:val="left"/>
      <w:pPr>
        <w:tabs>
          <w:tab w:val="num" w:pos="5268"/>
        </w:tabs>
        <w:ind w:left="5268" w:hanging="360"/>
      </w:pPr>
      <w:rPr>
        <w:rFonts w:cs="Times New Roman"/>
      </w:rPr>
    </w:lvl>
    <w:lvl w:ilvl="3">
      <w:start w:val="1"/>
      <w:numFmt w:val="decimal"/>
      <w:lvlText w:val="%4."/>
      <w:lvlJc w:val="left"/>
      <w:pPr>
        <w:tabs>
          <w:tab w:val="num" w:pos="5628"/>
        </w:tabs>
        <w:ind w:left="5628" w:hanging="360"/>
      </w:pPr>
      <w:rPr>
        <w:rFonts w:cs="Times New Roman"/>
      </w:rPr>
    </w:lvl>
    <w:lvl w:ilvl="4">
      <w:start w:val="1"/>
      <w:numFmt w:val="decimal"/>
      <w:lvlText w:val="%5."/>
      <w:lvlJc w:val="left"/>
      <w:pPr>
        <w:tabs>
          <w:tab w:val="num" w:pos="5988"/>
        </w:tabs>
        <w:ind w:left="5988" w:hanging="360"/>
      </w:pPr>
      <w:rPr>
        <w:rFonts w:cs="Times New Roman"/>
      </w:rPr>
    </w:lvl>
    <w:lvl w:ilvl="5">
      <w:start w:val="1"/>
      <w:numFmt w:val="decimal"/>
      <w:lvlText w:val="%6."/>
      <w:lvlJc w:val="left"/>
      <w:pPr>
        <w:tabs>
          <w:tab w:val="num" w:pos="6348"/>
        </w:tabs>
        <w:ind w:left="6348" w:hanging="360"/>
      </w:pPr>
      <w:rPr>
        <w:rFonts w:cs="Times New Roman"/>
      </w:rPr>
    </w:lvl>
    <w:lvl w:ilvl="6">
      <w:start w:val="1"/>
      <w:numFmt w:val="decimal"/>
      <w:lvlText w:val="%7."/>
      <w:lvlJc w:val="left"/>
      <w:pPr>
        <w:tabs>
          <w:tab w:val="num" w:pos="6708"/>
        </w:tabs>
        <w:ind w:left="6708" w:hanging="360"/>
      </w:pPr>
      <w:rPr>
        <w:rFonts w:cs="Times New Roman"/>
      </w:rPr>
    </w:lvl>
    <w:lvl w:ilvl="7">
      <w:start w:val="1"/>
      <w:numFmt w:val="decimal"/>
      <w:lvlText w:val="%8."/>
      <w:lvlJc w:val="left"/>
      <w:pPr>
        <w:tabs>
          <w:tab w:val="num" w:pos="7068"/>
        </w:tabs>
        <w:ind w:left="7068" w:hanging="360"/>
      </w:pPr>
      <w:rPr>
        <w:rFonts w:cs="Times New Roman"/>
      </w:rPr>
    </w:lvl>
    <w:lvl w:ilvl="8">
      <w:start w:val="1"/>
      <w:numFmt w:val="decimal"/>
      <w:lvlText w:val="%9."/>
      <w:lvlJc w:val="left"/>
      <w:pPr>
        <w:tabs>
          <w:tab w:val="num" w:pos="7428"/>
        </w:tabs>
        <w:ind w:left="7428" w:hanging="360"/>
      </w:pPr>
      <w:rPr>
        <w:rFonts w:cs="Times New Roman"/>
      </w:rPr>
    </w:lvl>
  </w:abstractNum>
  <w:abstractNum w:abstractNumId="6" w15:restartNumberingAfterBreak="0">
    <w:nsid w:val="00000005"/>
    <w:multiLevelType w:val="multilevel"/>
    <w:tmpl w:val="00000005"/>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116A2FF5"/>
    <w:multiLevelType w:val="multilevel"/>
    <w:tmpl w:val="04904F78"/>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C00517E"/>
    <w:multiLevelType w:val="multilevel"/>
    <w:tmpl w:val="051A2D9E"/>
    <w:lvl w:ilvl="0">
      <w:start w:val="1"/>
      <w:numFmt w:val="decimal"/>
      <w:lvlText w:val="%1."/>
      <w:lvlJc w:val="left"/>
      <w:pPr>
        <w:tabs>
          <w:tab w:val="num" w:pos="750"/>
        </w:tabs>
        <w:ind w:left="750" w:hanging="750"/>
      </w:pPr>
      <w:rPr>
        <w:rFonts w:cs="Times New Roman" w:hint="default"/>
      </w:rPr>
    </w:lvl>
    <w:lvl w:ilvl="1">
      <w:start w:val="1"/>
      <w:numFmt w:val="decimal"/>
      <w:lvlText w:val="%1.%2."/>
      <w:lvlJc w:val="left"/>
      <w:pPr>
        <w:tabs>
          <w:tab w:val="num" w:pos="750"/>
        </w:tabs>
        <w:ind w:left="750" w:hanging="750"/>
      </w:pPr>
      <w:rPr>
        <w:rFonts w:cs="Times New Roman" w:hint="default"/>
      </w:rPr>
    </w:lvl>
    <w:lvl w:ilvl="2">
      <w:start w:val="1"/>
      <w:numFmt w:val="decimal"/>
      <w:lvlText w:val="%1.%2.%3."/>
      <w:lvlJc w:val="left"/>
      <w:pPr>
        <w:tabs>
          <w:tab w:val="num" w:pos="750"/>
        </w:tabs>
        <w:ind w:left="750" w:hanging="750"/>
      </w:pPr>
      <w:rPr>
        <w:rFonts w:cs="Times New Roman" w:hint="default"/>
        <w:b w:val="0"/>
        <w:bCs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2D902E43"/>
    <w:multiLevelType w:val="hybridMultilevel"/>
    <w:tmpl w:val="62EA04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8C21E36"/>
    <w:multiLevelType w:val="multilevel"/>
    <w:tmpl w:val="C5A82FCA"/>
    <w:lvl w:ilvl="0">
      <w:start w:val="2"/>
      <w:numFmt w:val="decimal"/>
      <w:lvlText w:val="%1"/>
      <w:lvlJc w:val="left"/>
      <w:pPr>
        <w:ind w:left="360" w:hanging="360"/>
      </w:pPr>
    </w:lvl>
    <w:lvl w:ilvl="1">
      <w:start w:val="1"/>
      <w:numFmt w:val="decimal"/>
      <w:lvlText w:val="%1.%2"/>
      <w:lvlJc w:val="left"/>
      <w:pPr>
        <w:ind w:left="720" w:hanging="720"/>
      </w:pPr>
      <w:rPr>
        <w:i w:val="0"/>
        <w:sz w:val="26"/>
        <w:szCs w:val="26"/>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74C74F2C"/>
    <w:multiLevelType w:val="hybridMultilevel"/>
    <w:tmpl w:val="10249D4A"/>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 w:numId="21">
    <w:abstractNumId w:val="1"/>
  </w:num>
  <w:num w:numId="22">
    <w:abstractNumId w:val="0"/>
  </w:num>
  <w:num w:numId="23">
    <w:abstractNumId w:val="1"/>
  </w:num>
  <w:num w:numId="24">
    <w:abstractNumId w:val="0"/>
  </w:num>
  <w:num w:numId="25">
    <w:abstractNumId w:val="1"/>
  </w:num>
  <w:num w:numId="26">
    <w:abstractNumId w:val="0"/>
  </w:num>
  <w:num w:numId="27">
    <w:abstractNumId w:val="1"/>
  </w:num>
  <w:num w:numId="28">
    <w:abstractNumId w:val="0"/>
  </w:num>
  <w:num w:numId="29">
    <w:abstractNumId w:val="1"/>
  </w:num>
  <w:num w:numId="30">
    <w:abstractNumId w:val="0"/>
  </w:num>
  <w:num w:numId="31">
    <w:abstractNumId w:val="1"/>
  </w:num>
  <w:num w:numId="32">
    <w:abstractNumId w:val="0"/>
  </w:num>
  <w:num w:numId="33">
    <w:abstractNumId w:val="1"/>
  </w:num>
  <w:num w:numId="34">
    <w:abstractNumId w:val="0"/>
  </w:num>
  <w:num w:numId="35">
    <w:abstractNumId w:val="8"/>
  </w:num>
  <w:num w:numId="36">
    <w:abstractNumId w:val="7"/>
  </w:num>
  <w:num w:numId="3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642"/>
    <w:rsid w:val="000003FF"/>
    <w:rsid w:val="00000641"/>
    <w:rsid w:val="00000A04"/>
    <w:rsid w:val="00001509"/>
    <w:rsid w:val="00001561"/>
    <w:rsid w:val="00001A05"/>
    <w:rsid w:val="00001A22"/>
    <w:rsid w:val="00001A86"/>
    <w:rsid w:val="000021AD"/>
    <w:rsid w:val="0000256A"/>
    <w:rsid w:val="000030E1"/>
    <w:rsid w:val="0000383F"/>
    <w:rsid w:val="000038FB"/>
    <w:rsid w:val="00003E62"/>
    <w:rsid w:val="00003E69"/>
    <w:rsid w:val="00003F28"/>
    <w:rsid w:val="000046C1"/>
    <w:rsid w:val="00004E58"/>
    <w:rsid w:val="00005724"/>
    <w:rsid w:val="0000683E"/>
    <w:rsid w:val="00006A19"/>
    <w:rsid w:val="00006A73"/>
    <w:rsid w:val="00006B42"/>
    <w:rsid w:val="00006DBB"/>
    <w:rsid w:val="000070A5"/>
    <w:rsid w:val="0000710A"/>
    <w:rsid w:val="000073D3"/>
    <w:rsid w:val="000074F4"/>
    <w:rsid w:val="00007713"/>
    <w:rsid w:val="000108C3"/>
    <w:rsid w:val="00010B2D"/>
    <w:rsid w:val="00010C96"/>
    <w:rsid w:val="00011EC9"/>
    <w:rsid w:val="000121EE"/>
    <w:rsid w:val="00012DE3"/>
    <w:rsid w:val="000143CE"/>
    <w:rsid w:val="00014662"/>
    <w:rsid w:val="00014B38"/>
    <w:rsid w:val="00014FEF"/>
    <w:rsid w:val="00014FF2"/>
    <w:rsid w:val="000154D9"/>
    <w:rsid w:val="0001555A"/>
    <w:rsid w:val="00015658"/>
    <w:rsid w:val="00015DB1"/>
    <w:rsid w:val="00015E56"/>
    <w:rsid w:val="000160CA"/>
    <w:rsid w:val="00016869"/>
    <w:rsid w:val="00016F45"/>
    <w:rsid w:val="00017E08"/>
    <w:rsid w:val="0002002A"/>
    <w:rsid w:val="000206BE"/>
    <w:rsid w:val="000207EB"/>
    <w:rsid w:val="000208ED"/>
    <w:rsid w:val="00020ED5"/>
    <w:rsid w:val="00020F71"/>
    <w:rsid w:val="000217B8"/>
    <w:rsid w:val="000218C6"/>
    <w:rsid w:val="00021BF8"/>
    <w:rsid w:val="00021DBA"/>
    <w:rsid w:val="00022391"/>
    <w:rsid w:val="00022819"/>
    <w:rsid w:val="000229BD"/>
    <w:rsid w:val="00022C43"/>
    <w:rsid w:val="0002318D"/>
    <w:rsid w:val="00023645"/>
    <w:rsid w:val="0002399B"/>
    <w:rsid w:val="00023BF3"/>
    <w:rsid w:val="00023D36"/>
    <w:rsid w:val="00023DA4"/>
    <w:rsid w:val="00024053"/>
    <w:rsid w:val="000241A0"/>
    <w:rsid w:val="000241D8"/>
    <w:rsid w:val="0002499E"/>
    <w:rsid w:val="00024ED6"/>
    <w:rsid w:val="0002577C"/>
    <w:rsid w:val="00025A62"/>
    <w:rsid w:val="00025F40"/>
    <w:rsid w:val="000261D8"/>
    <w:rsid w:val="00026435"/>
    <w:rsid w:val="00026FF5"/>
    <w:rsid w:val="000273DE"/>
    <w:rsid w:val="00027940"/>
    <w:rsid w:val="0003037C"/>
    <w:rsid w:val="000309CF"/>
    <w:rsid w:val="00030D2B"/>
    <w:rsid w:val="00030EE5"/>
    <w:rsid w:val="00031CED"/>
    <w:rsid w:val="00032142"/>
    <w:rsid w:val="00032364"/>
    <w:rsid w:val="000323D0"/>
    <w:rsid w:val="00032916"/>
    <w:rsid w:val="00032B92"/>
    <w:rsid w:val="00032BEE"/>
    <w:rsid w:val="00032DA0"/>
    <w:rsid w:val="00033014"/>
    <w:rsid w:val="000332F2"/>
    <w:rsid w:val="000332FE"/>
    <w:rsid w:val="000335E7"/>
    <w:rsid w:val="00033654"/>
    <w:rsid w:val="00034DEA"/>
    <w:rsid w:val="00035529"/>
    <w:rsid w:val="00035926"/>
    <w:rsid w:val="00035B5D"/>
    <w:rsid w:val="00035F21"/>
    <w:rsid w:val="00036006"/>
    <w:rsid w:val="000368C6"/>
    <w:rsid w:val="000376DA"/>
    <w:rsid w:val="000378F1"/>
    <w:rsid w:val="00037AE1"/>
    <w:rsid w:val="00037B29"/>
    <w:rsid w:val="00037BFB"/>
    <w:rsid w:val="00037FAA"/>
    <w:rsid w:val="000407A3"/>
    <w:rsid w:val="000408BA"/>
    <w:rsid w:val="000415CB"/>
    <w:rsid w:val="00041892"/>
    <w:rsid w:val="00041A1A"/>
    <w:rsid w:val="000425FD"/>
    <w:rsid w:val="00042A98"/>
    <w:rsid w:val="00042E1D"/>
    <w:rsid w:val="00043118"/>
    <w:rsid w:val="000431AD"/>
    <w:rsid w:val="00043247"/>
    <w:rsid w:val="000433E4"/>
    <w:rsid w:val="00043763"/>
    <w:rsid w:val="000437CD"/>
    <w:rsid w:val="00043BA6"/>
    <w:rsid w:val="00043DD0"/>
    <w:rsid w:val="000441B9"/>
    <w:rsid w:val="00044271"/>
    <w:rsid w:val="000456B6"/>
    <w:rsid w:val="000458C2"/>
    <w:rsid w:val="00045CF9"/>
    <w:rsid w:val="00045EDC"/>
    <w:rsid w:val="0004642B"/>
    <w:rsid w:val="00047228"/>
    <w:rsid w:val="00047B63"/>
    <w:rsid w:val="0005008B"/>
    <w:rsid w:val="000500F2"/>
    <w:rsid w:val="00050251"/>
    <w:rsid w:val="00050438"/>
    <w:rsid w:val="00050461"/>
    <w:rsid w:val="000506DF"/>
    <w:rsid w:val="0005074A"/>
    <w:rsid w:val="00050C43"/>
    <w:rsid w:val="00050D88"/>
    <w:rsid w:val="000513E0"/>
    <w:rsid w:val="0005146D"/>
    <w:rsid w:val="000518AF"/>
    <w:rsid w:val="00051B99"/>
    <w:rsid w:val="00052186"/>
    <w:rsid w:val="000525C1"/>
    <w:rsid w:val="00052738"/>
    <w:rsid w:val="00052B4B"/>
    <w:rsid w:val="00052F15"/>
    <w:rsid w:val="000537B1"/>
    <w:rsid w:val="00053CDB"/>
    <w:rsid w:val="0005493F"/>
    <w:rsid w:val="000550D0"/>
    <w:rsid w:val="000552C5"/>
    <w:rsid w:val="00055404"/>
    <w:rsid w:val="00055A0A"/>
    <w:rsid w:val="00055E20"/>
    <w:rsid w:val="00056390"/>
    <w:rsid w:val="00056799"/>
    <w:rsid w:val="00056E5D"/>
    <w:rsid w:val="00056FE7"/>
    <w:rsid w:val="0005703C"/>
    <w:rsid w:val="00057433"/>
    <w:rsid w:val="0006021E"/>
    <w:rsid w:val="0006050B"/>
    <w:rsid w:val="000609CA"/>
    <w:rsid w:val="00060B62"/>
    <w:rsid w:val="00060CBD"/>
    <w:rsid w:val="00061582"/>
    <w:rsid w:val="00061640"/>
    <w:rsid w:val="00061C4E"/>
    <w:rsid w:val="0006256F"/>
    <w:rsid w:val="00062712"/>
    <w:rsid w:val="00062E41"/>
    <w:rsid w:val="00062ECC"/>
    <w:rsid w:val="000632BF"/>
    <w:rsid w:val="00063761"/>
    <w:rsid w:val="00063DD5"/>
    <w:rsid w:val="00064119"/>
    <w:rsid w:val="0006430E"/>
    <w:rsid w:val="000645A6"/>
    <w:rsid w:val="00064632"/>
    <w:rsid w:val="000649C8"/>
    <w:rsid w:val="00064D2E"/>
    <w:rsid w:val="00064EE3"/>
    <w:rsid w:val="00064FA8"/>
    <w:rsid w:val="00065455"/>
    <w:rsid w:val="0006572B"/>
    <w:rsid w:val="000657A8"/>
    <w:rsid w:val="000657FB"/>
    <w:rsid w:val="000659F3"/>
    <w:rsid w:val="00065A13"/>
    <w:rsid w:val="00066271"/>
    <w:rsid w:val="0006675C"/>
    <w:rsid w:val="00066855"/>
    <w:rsid w:val="00067441"/>
    <w:rsid w:val="0006767F"/>
    <w:rsid w:val="00067E11"/>
    <w:rsid w:val="00067EE0"/>
    <w:rsid w:val="00070473"/>
    <w:rsid w:val="00070818"/>
    <w:rsid w:val="00070BA1"/>
    <w:rsid w:val="00070CA4"/>
    <w:rsid w:val="00070D3D"/>
    <w:rsid w:val="00070FA5"/>
    <w:rsid w:val="000712ED"/>
    <w:rsid w:val="000714DE"/>
    <w:rsid w:val="0007172A"/>
    <w:rsid w:val="00071B9F"/>
    <w:rsid w:val="00071EDF"/>
    <w:rsid w:val="00072553"/>
    <w:rsid w:val="0007262A"/>
    <w:rsid w:val="000730F8"/>
    <w:rsid w:val="000736AF"/>
    <w:rsid w:val="00074230"/>
    <w:rsid w:val="0007451F"/>
    <w:rsid w:val="00074A84"/>
    <w:rsid w:val="00075203"/>
    <w:rsid w:val="00075223"/>
    <w:rsid w:val="0007593E"/>
    <w:rsid w:val="00075A17"/>
    <w:rsid w:val="0007627A"/>
    <w:rsid w:val="0007663B"/>
    <w:rsid w:val="00076764"/>
    <w:rsid w:val="000773EA"/>
    <w:rsid w:val="000774FE"/>
    <w:rsid w:val="00077594"/>
    <w:rsid w:val="00077943"/>
    <w:rsid w:val="00080220"/>
    <w:rsid w:val="000805BC"/>
    <w:rsid w:val="00080CE4"/>
    <w:rsid w:val="00080CEA"/>
    <w:rsid w:val="00080EF2"/>
    <w:rsid w:val="00080F4A"/>
    <w:rsid w:val="000810F9"/>
    <w:rsid w:val="000811A7"/>
    <w:rsid w:val="0008136A"/>
    <w:rsid w:val="000816FB"/>
    <w:rsid w:val="00081704"/>
    <w:rsid w:val="00081A8F"/>
    <w:rsid w:val="000821DA"/>
    <w:rsid w:val="0008222B"/>
    <w:rsid w:val="0008223F"/>
    <w:rsid w:val="00082886"/>
    <w:rsid w:val="00082D65"/>
    <w:rsid w:val="00082E0B"/>
    <w:rsid w:val="000831B3"/>
    <w:rsid w:val="000837A1"/>
    <w:rsid w:val="00083D14"/>
    <w:rsid w:val="00084308"/>
    <w:rsid w:val="0008469E"/>
    <w:rsid w:val="00084816"/>
    <w:rsid w:val="000848D7"/>
    <w:rsid w:val="000854F8"/>
    <w:rsid w:val="00085685"/>
    <w:rsid w:val="000857E6"/>
    <w:rsid w:val="00085948"/>
    <w:rsid w:val="00085CCC"/>
    <w:rsid w:val="00085D93"/>
    <w:rsid w:val="000868E1"/>
    <w:rsid w:val="00086E18"/>
    <w:rsid w:val="00087500"/>
    <w:rsid w:val="00087E9F"/>
    <w:rsid w:val="00090145"/>
    <w:rsid w:val="000908F9"/>
    <w:rsid w:val="0009095D"/>
    <w:rsid w:val="00090A17"/>
    <w:rsid w:val="00090E2A"/>
    <w:rsid w:val="0009178D"/>
    <w:rsid w:val="00091896"/>
    <w:rsid w:val="0009191D"/>
    <w:rsid w:val="00092BB9"/>
    <w:rsid w:val="00092F34"/>
    <w:rsid w:val="00093230"/>
    <w:rsid w:val="00093584"/>
    <w:rsid w:val="00093AEA"/>
    <w:rsid w:val="00093B9D"/>
    <w:rsid w:val="00093E4D"/>
    <w:rsid w:val="00094067"/>
    <w:rsid w:val="00094080"/>
    <w:rsid w:val="00094623"/>
    <w:rsid w:val="00094BE7"/>
    <w:rsid w:val="00094D70"/>
    <w:rsid w:val="00094FA4"/>
    <w:rsid w:val="000953F2"/>
    <w:rsid w:val="000954FD"/>
    <w:rsid w:val="000957F6"/>
    <w:rsid w:val="00095A2A"/>
    <w:rsid w:val="00095AB3"/>
    <w:rsid w:val="00095CD1"/>
    <w:rsid w:val="00096027"/>
    <w:rsid w:val="00096426"/>
    <w:rsid w:val="0009685F"/>
    <w:rsid w:val="00096D7A"/>
    <w:rsid w:val="000970B1"/>
    <w:rsid w:val="0009740C"/>
    <w:rsid w:val="00097525"/>
    <w:rsid w:val="00097828"/>
    <w:rsid w:val="0009787C"/>
    <w:rsid w:val="0009793C"/>
    <w:rsid w:val="00097DF4"/>
    <w:rsid w:val="000A021F"/>
    <w:rsid w:val="000A031D"/>
    <w:rsid w:val="000A06D3"/>
    <w:rsid w:val="000A07A4"/>
    <w:rsid w:val="000A0E0D"/>
    <w:rsid w:val="000A100B"/>
    <w:rsid w:val="000A13B7"/>
    <w:rsid w:val="000A1716"/>
    <w:rsid w:val="000A1A99"/>
    <w:rsid w:val="000A1AA9"/>
    <w:rsid w:val="000A2095"/>
    <w:rsid w:val="000A2404"/>
    <w:rsid w:val="000A288A"/>
    <w:rsid w:val="000A2AF7"/>
    <w:rsid w:val="000A2BC3"/>
    <w:rsid w:val="000A2EE9"/>
    <w:rsid w:val="000A3C8E"/>
    <w:rsid w:val="000A3D03"/>
    <w:rsid w:val="000A3D29"/>
    <w:rsid w:val="000A41A2"/>
    <w:rsid w:val="000A5040"/>
    <w:rsid w:val="000A511F"/>
    <w:rsid w:val="000A517F"/>
    <w:rsid w:val="000A5248"/>
    <w:rsid w:val="000A629A"/>
    <w:rsid w:val="000A62DD"/>
    <w:rsid w:val="000A68DE"/>
    <w:rsid w:val="000A6B67"/>
    <w:rsid w:val="000A70E2"/>
    <w:rsid w:val="000A7838"/>
    <w:rsid w:val="000A79D7"/>
    <w:rsid w:val="000A7C90"/>
    <w:rsid w:val="000B042F"/>
    <w:rsid w:val="000B04DA"/>
    <w:rsid w:val="000B075E"/>
    <w:rsid w:val="000B0C20"/>
    <w:rsid w:val="000B0CB5"/>
    <w:rsid w:val="000B144C"/>
    <w:rsid w:val="000B16C3"/>
    <w:rsid w:val="000B192F"/>
    <w:rsid w:val="000B1EFE"/>
    <w:rsid w:val="000B1F3B"/>
    <w:rsid w:val="000B2008"/>
    <w:rsid w:val="000B2294"/>
    <w:rsid w:val="000B27A7"/>
    <w:rsid w:val="000B2BB3"/>
    <w:rsid w:val="000B2BE7"/>
    <w:rsid w:val="000B2FD4"/>
    <w:rsid w:val="000B33F7"/>
    <w:rsid w:val="000B41F3"/>
    <w:rsid w:val="000B4238"/>
    <w:rsid w:val="000B4AF3"/>
    <w:rsid w:val="000B4C5F"/>
    <w:rsid w:val="000B4CAA"/>
    <w:rsid w:val="000B569D"/>
    <w:rsid w:val="000B5C80"/>
    <w:rsid w:val="000B5D69"/>
    <w:rsid w:val="000B5EEC"/>
    <w:rsid w:val="000B60CA"/>
    <w:rsid w:val="000B62CB"/>
    <w:rsid w:val="000B64C0"/>
    <w:rsid w:val="000B671C"/>
    <w:rsid w:val="000B6FFE"/>
    <w:rsid w:val="000B7289"/>
    <w:rsid w:val="000B745C"/>
    <w:rsid w:val="000B7AA2"/>
    <w:rsid w:val="000B7B76"/>
    <w:rsid w:val="000B7DC5"/>
    <w:rsid w:val="000C06C3"/>
    <w:rsid w:val="000C0B96"/>
    <w:rsid w:val="000C13C2"/>
    <w:rsid w:val="000C16E1"/>
    <w:rsid w:val="000C1AC2"/>
    <w:rsid w:val="000C21FE"/>
    <w:rsid w:val="000C22AE"/>
    <w:rsid w:val="000C2314"/>
    <w:rsid w:val="000C233E"/>
    <w:rsid w:val="000C23DF"/>
    <w:rsid w:val="000C2EBD"/>
    <w:rsid w:val="000C2FE3"/>
    <w:rsid w:val="000C354D"/>
    <w:rsid w:val="000C385A"/>
    <w:rsid w:val="000C3CBB"/>
    <w:rsid w:val="000C3CFF"/>
    <w:rsid w:val="000C440A"/>
    <w:rsid w:val="000C4569"/>
    <w:rsid w:val="000C465E"/>
    <w:rsid w:val="000C4A54"/>
    <w:rsid w:val="000C4E8B"/>
    <w:rsid w:val="000C5778"/>
    <w:rsid w:val="000C580A"/>
    <w:rsid w:val="000C5AF2"/>
    <w:rsid w:val="000C5E03"/>
    <w:rsid w:val="000C6BD6"/>
    <w:rsid w:val="000C6D03"/>
    <w:rsid w:val="000C765F"/>
    <w:rsid w:val="000C78A7"/>
    <w:rsid w:val="000C7A54"/>
    <w:rsid w:val="000C7B2F"/>
    <w:rsid w:val="000C7CE0"/>
    <w:rsid w:val="000D00C1"/>
    <w:rsid w:val="000D0125"/>
    <w:rsid w:val="000D09AE"/>
    <w:rsid w:val="000D0DEA"/>
    <w:rsid w:val="000D1B12"/>
    <w:rsid w:val="000D1E2E"/>
    <w:rsid w:val="000D2171"/>
    <w:rsid w:val="000D23AE"/>
    <w:rsid w:val="000D29AA"/>
    <w:rsid w:val="000D2EA5"/>
    <w:rsid w:val="000D382F"/>
    <w:rsid w:val="000D38CF"/>
    <w:rsid w:val="000D3D80"/>
    <w:rsid w:val="000D447D"/>
    <w:rsid w:val="000D4CC6"/>
    <w:rsid w:val="000D51F2"/>
    <w:rsid w:val="000D57FF"/>
    <w:rsid w:val="000D5F81"/>
    <w:rsid w:val="000D60E9"/>
    <w:rsid w:val="000D61EC"/>
    <w:rsid w:val="000D6220"/>
    <w:rsid w:val="000D638E"/>
    <w:rsid w:val="000D651E"/>
    <w:rsid w:val="000D6990"/>
    <w:rsid w:val="000D6A8A"/>
    <w:rsid w:val="000D6AEE"/>
    <w:rsid w:val="000D6AF2"/>
    <w:rsid w:val="000D6C2E"/>
    <w:rsid w:val="000D71FA"/>
    <w:rsid w:val="000D774A"/>
    <w:rsid w:val="000D79E2"/>
    <w:rsid w:val="000D7C73"/>
    <w:rsid w:val="000E050F"/>
    <w:rsid w:val="000E07D2"/>
    <w:rsid w:val="000E0D42"/>
    <w:rsid w:val="000E1632"/>
    <w:rsid w:val="000E187E"/>
    <w:rsid w:val="000E1BED"/>
    <w:rsid w:val="000E1CC1"/>
    <w:rsid w:val="000E1D8C"/>
    <w:rsid w:val="000E23F8"/>
    <w:rsid w:val="000E26DB"/>
    <w:rsid w:val="000E2AF0"/>
    <w:rsid w:val="000E2C65"/>
    <w:rsid w:val="000E2CDF"/>
    <w:rsid w:val="000E3361"/>
    <w:rsid w:val="000E3439"/>
    <w:rsid w:val="000E37D2"/>
    <w:rsid w:val="000E3844"/>
    <w:rsid w:val="000E38CC"/>
    <w:rsid w:val="000E3C61"/>
    <w:rsid w:val="000E4369"/>
    <w:rsid w:val="000E440E"/>
    <w:rsid w:val="000E446D"/>
    <w:rsid w:val="000E44F3"/>
    <w:rsid w:val="000E5121"/>
    <w:rsid w:val="000E5682"/>
    <w:rsid w:val="000E598B"/>
    <w:rsid w:val="000E5DA7"/>
    <w:rsid w:val="000E5ED1"/>
    <w:rsid w:val="000E683B"/>
    <w:rsid w:val="000E6894"/>
    <w:rsid w:val="000E78BE"/>
    <w:rsid w:val="000E7AE5"/>
    <w:rsid w:val="000E7C14"/>
    <w:rsid w:val="000F07F8"/>
    <w:rsid w:val="000F0CE4"/>
    <w:rsid w:val="000F0D48"/>
    <w:rsid w:val="000F0D89"/>
    <w:rsid w:val="000F1621"/>
    <w:rsid w:val="000F16A7"/>
    <w:rsid w:val="000F17E1"/>
    <w:rsid w:val="000F18A1"/>
    <w:rsid w:val="000F1A00"/>
    <w:rsid w:val="000F1CCF"/>
    <w:rsid w:val="000F1F7B"/>
    <w:rsid w:val="000F23E8"/>
    <w:rsid w:val="000F25C8"/>
    <w:rsid w:val="000F2811"/>
    <w:rsid w:val="000F28C8"/>
    <w:rsid w:val="000F2913"/>
    <w:rsid w:val="000F2E83"/>
    <w:rsid w:val="000F3A9F"/>
    <w:rsid w:val="000F3CDC"/>
    <w:rsid w:val="000F3D0B"/>
    <w:rsid w:val="000F4288"/>
    <w:rsid w:val="000F49B3"/>
    <w:rsid w:val="000F51E7"/>
    <w:rsid w:val="000F5BA3"/>
    <w:rsid w:val="000F5EB6"/>
    <w:rsid w:val="000F67E6"/>
    <w:rsid w:val="000F6A3D"/>
    <w:rsid w:val="000F6C8E"/>
    <w:rsid w:val="000F6EEF"/>
    <w:rsid w:val="000F7189"/>
    <w:rsid w:val="000F7535"/>
    <w:rsid w:val="000F77BC"/>
    <w:rsid w:val="000F78C6"/>
    <w:rsid w:val="000F7ED3"/>
    <w:rsid w:val="001009F1"/>
    <w:rsid w:val="00101732"/>
    <w:rsid w:val="00101EAF"/>
    <w:rsid w:val="00101F13"/>
    <w:rsid w:val="00102070"/>
    <w:rsid w:val="00102214"/>
    <w:rsid w:val="00102955"/>
    <w:rsid w:val="00102BBB"/>
    <w:rsid w:val="00102CE9"/>
    <w:rsid w:val="00102F2B"/>
    <w:rsid w:val="00103078"/>
    <w:rsid w:val="00103158"/>
    <w:rsid w:val="001033FF"/>
    <w:rsid w:val="00103687"/>
    <w:rsid w:val="00103B2A"/>
    <w:rsid w:val="00103F24"/>
    <w:rsid w:val="001053C0"/>
    <w:rsid w:val="001054AF"/>
    <w:rsid w:val="00105ECE"/>
    <w:rsid w:val="001062F7"/>
    <w:rsid w:val="00106791"/>
    <w:rsid w:val="001068CF"/>
    <w:rsid w:val="00106F15"/>
    <w:rsid w:val="00107004"/>
    <w:rsid w:val="00107560"/>
    <w:rsid w:val="00107FB8"/>
    <w:rsid w:val="0011094C"/>
    <w:rsid w:val="00110D69"/>
    <w:rsid w:val="00110E48"/>
    <w:rsid w:val="00110F90"/>
    <w:rsid w:val="00110FF6"/>
    <w:rsid w:val="00111209"/>
    <w:rsid w:val="001113FF"/>
    <w:rsid w:val="001115E9"/>
    <w:rsid w:val="00111885"/>
    <w:rsid w:val="00111D6A"/>
    <w:rsid w:val="00111EFE"/>
    <w:rsid w:val="0011247A"/>
    <w:rsid w:val="00112521"/>
    <w:rsid w:val="00112565"/>
    <w:rsid w:val="00112E80"/>
    <w:rsid w:val="00112E88"/>
    <w:rsid w:val="0011314C"/>
    <w:rsid w:val="00113479"/>
    <w:rsid w:val="001147E2"/>
    <w:rsid w:val="00114AA6"/>
    <w:rsid w:val="00114DD3"/>
    <w:rsid w:val="00114E33"/>
    <w:rsid w:val="001150B1"/>
    <w:rsid w:val="00115172"/>
    <w:rsid w:val="001151A8"/>
    <w:rsid w:val="001155A1"/>
    <w:rsid w:val="00116238"/>
    <w:rsid w:val="00116355"/>
    <w:rsid w:val="001165D5"/>
    <w:rsid w:val="0011660E"/>
    <w:rsid w:val="00116718"/>
    <w:rsid w:val="0011692D"/>
    <w:rsid w:val="00116C08"/>
    <w:rsid w:val="001173CE"/>
    <w:rsid w:val="001174C6"/>
    <w:rsid w:val="00117C07"/>
    <w:rsid w:val="00117D1C"/>
    <w:rsid w:val="00120947"/>
    <w:rsid w:val="00121218"/>
    <w:rsid w:val="001215FA"/>
    <w:rsid w:val="001217B9"/>
    <w:rsid w:val="00121BFD"/>
    <w:rsid w:val="00121E5B"/>
    <w:rsid w:val="0012236F"/>
    <w:rsid w:val="00122472"/>
    <w:rsid w:val="00122C4F"/>
    <w:rsid w:val="001236BB"/>
    <w:rsid w:val="00123967"/>
    <w:rsid w:val="00123B67"/>
    <w:rsid w:val="00123D11"/>
    <w:rsid w:val="00123EDB"/>
    <w:rsid w:val="00123FF0"/>
    <w:rsid w:val="00124409"/>
    <w:rsid w:val="00124470"/>
    <w:rsid w:val="00124613"/>
    <w:rsid w:val="00124D89"/>
    <w:rsid w:val="00125059"/>
    <w:rsid w:val="00126136"/>
    <w:rsid w:val="001267B0"/>
    <w:rsid w:val="00126896"/>
    <w:rsid w:val="001268AD"/>
    <w:rsid w:val="00126DA8"/>
    <w:rsid w:val="00126E13"/>
    <w:rsid w:val="00127548"/>
    <w:rsid w:val="001276FC"/>
    <w:rsid w:val="00127FF5"/>
    <w:rsid w:val="001300E9"/>
    <w:rsid w:val="0013064B"/>
    <w:rsid w:val="001308B0"/>
    <w:rsid w:val="00130AC9"/>
    <w:rsid w:val="00130AFA"/>
    <w:rsid w:val="00130F72"/>
    <w:rsid w:val="00131686"/>
    <w:rsid w:val="00131B44"/>
    <w:rsid w:val="00131FD7"/>
    <w:rsid w:val="001325CC"/>
    <w:rsid w:val="00132883"/>
    <w:rsid w:val="00133978"/>
    <w:rsid w:val="00134369"/>
    <w:rsid w:val="001344DF"/>
    <w:rsid w:val="00134931"/>
    <w:rsid w:val="00134A2E"/>
    <w:rsid w:val="00134B76"/>
    <w:rsid w:val="00134D91"/>
    <w:rsid w:val="00136A2D"/>
    <w:rsid w:val="0013729B"/>
    <w:rsid w:val="001372E4"/>
    <w:rsid w:val="00137321"/>
    <w:rsid w:val="00137DDE"/>
    <w:rsid w:val="00137E85"/>
    <w:rsid w:val="001409AF"/>
    <w:rsid w:val="00140B3E"/>
    <w:rsid w:val="00140CCF"/>
    <w:rsid w:val="00140D20"/>
    <w:rsid w:val="001411DD"/>
    <w:rsid w:val="0014129B"/>
    <w:rsid w:val="001416AB"/>
    <w:rsid w:val="00141C43"/>
    <w:rsid w:val="00141CF1"/>
    <w:rsid w:val="00141CFD"/>
    <w:rsid w:val="001424AD"/>
    <w:rsid w:val="001424D0"/>
    <w:rsid w:val="0014254C"/>
    <w:rsid w:val="001425AB"/>
    <w:rsid w:val="00142854"/>
    <w:rsid w:val="00142C4E"/>
    <w:rsid w:val="00142DF9"/>
    <w:rsid w:val="00142F06"/>
    <w:rsid w:val="00142FAD"/>
    <w:rsid w:val="00143319"/>
    <w:rsid w:val="001433C4"/>
    <w:rsid w:val="001435A5"/>
    <w:rsid w:val="00143A3A"/>
    <w:rsid w:val="00143B22"/>
    <w:rsid w:val="00143D7C"/>
    <w:rsid w:val="001449E1"/>
    <w:rsid w:val="00145508"/>
    <w:rsid w:val="00145CB4"/>
    <w:rsid w:val="0014673F"/>
    <w:rsid w:val="00146F34"/>
    <w:rsid w:val="001474C9"/>
    <w:rsid w:val="00147B99"/>
    <w:rsid w:val="00147DBC"/>
    <w:rsid w:val="00147FD9"/>
    <w:rsid w:val="00150090"/>
    <w:rsid w:val="00151033"/>
    <w:rsid w:val="001519CD"/>
    <w:rsid w:val="00151B2E"/>
    <w:rsid w:val="0015247C"/>
    <w:rsid w:val="0015248B"/>
    <w:rsid w:val="0015266C"/>
    <w:rsid w:val="00152C91"/>
    <w:rsid w:val="00152EDE"/>
    <w:rsid w:val="0015312D"/>
    <w:rsid w:val="001533A8"/>
    <w:rsid w:val="00153DA2"/>
    <w:rsid w:val="00153F2C"/>
    <w:rsid w:val="0015416E"/>
    <w:rsid w:val="001543DE"/>
    <w:rsid w:val="00154CC9"/>
    <w:rsid w:val="001552F0"/>
    <w:rsid w:val="00155360"/>
    <w:rsid w:val="0015536C"/>
    <w:rsid w:val="00155D1E"/>
    <w:rsid w:val="00155D3D"/>
    <w:rsid w:val="001565E6"/>
    <w:rsid w:val="00156875"/>
    <w:rsid w:val="00156CF1"/>
    <w:rsid w:val="00156DA3"/>
    <w:rsid w:val="00156FCC"/>
    <w:rsid w:val="00157251"/>
    <w:rsid w:val="00157F74"/>
    <w:rsid w:val="001603CB"/>
    <w:rsid w:val="001607A9"/>
    <w:rsid w:val="00160E03"/>
    <w:rsid w:val="001610FA"/>
    <w:rsid w:val="00161150"/>
    <w:rsid w:val="00161409"/>
    <w:rsid w:val="0016191F"/>
    <w:rsid w:val="00161BB5"/>
    <w:rsid w:val="00162362"/>
    <w:rsid w:val="00162973"/>
    <w:rsid w:val="00162E18"/>
    <w:rsid w:val="0016315A"/>
    <w:rsid w:val="0016383F"/>
    <w:rsid w:val="001640C1"/>
    <w:rsid w:val="00164105"/>
    <w:rsid w:val="001641EB"/>
    <w:rsid w:val="001652F4"/>
    <w:rsid w:val="001655CB"/>
    <w:rsid w:val="00165743"/>
    <w:rsid w:val="00165D60"/>
    <w:rsid w:val="001662D4"/>
    <w:rsid w:val="00166598"/>
    <w:rsid w:val="001669B3"/>
    <w:rsid w:val="00166A56"/>
    <w:rsid w:val="00166B2A"/>
    <w:rsid w:val="0016711E"/>
    <w:rsid w:val="0016722E"/>
    <w:rsid w:val="001675F7"/>
    <w:rsid w:val="00167797"/>
    <w:rsid w:val="00167971"/>
    <w:rsid w:val="00167B46"/>
    <w:rsid w:val="00167D7E"/>
    <w:rsid w:val="00167DC9"/>
    <w:rsid w:val="00167E17"/>
    <w:rsid w:val="0017008A"/>
    <w:rsid w:val="0017023D"/>
    <w:rsid w:val="00170434"/>
    <w:rsid w:val="00170699"/>
    <w:rsid w:val="001706CB"/>
    <w:rsid w:val="0017126D"/>
    <w:rsid w:val="0017136A"/>
    <w:rsid w:val="00171D6E"/>
    <w:rsid w:val="00172667"/>
    <w:rsid w:val="001727C3"/>
    <w:rsid w:val="00172832"/>
    <w:rsid w:val="00172BCF"/>
    <w:rsid w:val="001731D9"/>
    <w:rsid w:val="00173B96"/>
    <w:rsid w:val="00173E30"/>
    <w:rsid w:val="00174135"/>
    <w:rsid w:val="0017421B"/>
    <w:rsid w:val="00174428"/>
    <w:rsid w:val="00174A1D"/>
    <w:rsid w:val="00174B4F"/>
    <w:rsid w:val="00174D6E"/>
    <w:rsid w:val="0017511E"/>
    <w:rsid w:val="0017537F"/>
    <w:rsid w:val="00175383"/>
    <w:rsid w:val="0017543F"/>
    <w:rsid w:val="001755CB"/>
    <w:rsid w:val="00175A46"/>
    <w:rsid w:val="00175B22"/>
    <w:rsid w:val="00175D79"/>
    <w:rsid w:val="001760DC"/>
    <w:rsid w:val="0017628C"/>
    <w:rsid w:val="00176637"/>
    <w:rsid w:val="001768A8"/>
    <w:rsid w:val="001769A4"/>
    <w:rsid w:val="001774F2"/>
    <w:rsid w:val="00177903"/>
    <w:rsid w:val="00177AF3"/>
    <w:rsid w:val="00180085"/>
    <w:rsid w:val="001800A6"/>
    <w:rsid w:val="001802CF"/>
    <w:rsid w:val="00180918"/>
    <w:rsid w:val="00180A41"/>
    <w:rsid w:val="00180F55"/>
    <w:rsid w:val="00181355"/>
    <w:rsid w:val="0018145F"/>
    <w:rsid w:val="001814EE"/>
    <w:rsid w:val="001818ED"/>
    <w:rsid w:val="001818F4"/>
    <w:rsid w:val="00181EA2"/>
    <w:rsid w:val="0018202A"/>
    <w:rsid w:val="001820D4"/>
    <w:rsid w:val="001824FC"/>
    <w:rsid w:val="00182AAF"/>
    <w:rsid w:val="00182C19"/>
    <w:rsid w:val="0018358A"/>
    <w:rsid w:val="00183C28"/>
    <w:rsid w:val="00183DF3"/>
    <w:rsid w:val="001843C0"/>
    <w:rsid w:val="001843F9"/>
    <w:rsid w:val="00184476"/>
    <w:rsid w:val="00184789"/>
    <w:rsid w:val="00184F7D"/>
    <w:rsid w:val="00185712"/>
    <w:rsid w:val="00185938"/>
    <w:rsid w:val="0018593E"/>
    <w:rsid w:val="00185A31"/>
    <w:rsid w:val="00185B8E"/>
    <w:rsid w:val="001863FD"/>
    <w:rsid w:val="00186B1D"/>
    <w:rsid w:val="00186B6C"/>
    <w:rsid w:val="00186D63"/>
    <w:rsid w:val="00187EEA"/>
    <w:rsid w:val="001900E3"/>
    <w:rsid w:val="0019044B"/>
    <w:rsid w:val="001909F5"/>
    <w:rsid w:val="00190DF5"/>
    <w:rsid w:val="00190E60"/>
    <w:rsid w:val="00191371"/>
    <w:rsid w:val="00191D88"/>
    <w:rsid w:val="0019238F"/>
    <w:rsid w:val="001924A9"/>
    <w:rsid w:val="00192B28"/>
    <w:rsid w:val="00192BEB"/>
    <w:rsid w:val="00192C64"/>
    <w:rsid w:val="00193035"/>
    <w:rsid w:val="00193183"/>
    <w:rsid w:val="00193512"/>
    <w:rsid w:val="00193842"/>
    <w:rsid w:val="00193E73"/>
    <w:rsid w:val="00193E7C"/>
    <w:rsid w:val="00193E8E"/>
    <w:rsid w:val="00193EE4"/>
    <w:rsid w:val="001945FF"/>
    <w:rsid w:val="00194804"/>
    <w:rsid w:val="001948F5"/>
    <w:rsid w:val="00194AD7"/>
    <w:rsid w:val="00194F99"/>
    <w:rsid w:val="00194FCD"/>
    <w:rsid w:val="00195413"/>
    <w:rsid w:val="0019570B"/>
    <w:rsid w:val="001959DC"/>
    <w:rsid w:val="00195BB4"/>
    <w:rsid w:val="00195D5D"/>
    <w:rsid w:val="00196907"/>
    <w:rsid w:val="00196BBB"/>
    <w:rsid w:val="001973D3"/>
    <w:rsid w:val="00197D19"/>
    <w:rsid w:val="00197EC0"/>
    <w:rsid w:val="00197F9A"/>
    <w:rsid w:val="001A00B4"/>
    <w:rsid w:val="001A02EA"/>
    <w:rsid w:val="001A0660"/>
    <w:rsid w:val="001A0A32"/>
    <w:rsid w:val="001A0EE3"/>
    <w:rsid w:val="001A17F4"/>
    <w:rsid w:val="001A1AD4"/>
    <w:rsid w:val="001A39CA"/>
    <w:rsid w:val="001A420E"/>
    <w:rsid w:val="001A458E"/>
    <w:rsid w:val="001A4620"/>
    <w:rsid w:val="001A4812"/>
    <w:rsid w:val="001A482A"/>
    <w:rsid w:val="001A4BD1"/>
    <w:rsid w:val="001A4F4F"/>
    <w:rsid w:val="001A51EA"/>
    <w:rsid w:val="001A5932"/>
    <w:rsid w:val="001A605C"/>
    <w:rsid w:val="001A63B3"/>
    <w:rsid w:val="001A64C3"/>
    <w:rsid w:val="001A686C"/>
    <w:rsid w:val="001A6AD7"/>
    <w:rsid w:val="001A6CBD"/>
    <w:rsid w:val="001A7571"/>
    <w:rsid w:val="001A75D2"/>
    <w:rsid w:val="001A77FD"/>
    <w:rsid w:val="001B02B7"/>
    <w:rsid w:val="001B0308"/>
    <w:rsid w:val="001B06F6"/>
    <w:rsid w:val="001B070E"/>
    <w:rsid w:val="001B0A7B"/>
    <w:rsid w:val="001B0BBC"/>
    <w:rsid w:val="001B10F7"/>
    <w:rsid w:val="001B1E5D"/>
    <w:rsid w:val="001B2083"/>
    <w:rsid w:val="001B221F"/>
    <w:rsid w:val="001B390E"/>
    <w:rsid w:val="001B3CA7"/>
    <w:rsid w:val="001B3FCA"/>
    <w:rsid w:val="001B4199"/>
    <w:rsid w:val="001B4396"/>
    <w:rsid w:val="001B4755"/>
    <w:rsid w:val="001B4A0A"/>
    <w:rsid w:val="001B5063"/>
    <w:rsid w:val="001B51EA"/>
    <w:rsid w:val="001B53C9"/>
    <w:rsid w:val="001B57CE"/>
    <w:rsid w:val="001B5A21"/>
    <w:rsid w:val="001B6D11"/>
    <w:rsid w:val="001B6DC3"/>
    <w:rsid w:val="001B7018"/>
    <w:rsid w:val="001B70C6"/>
    <w:rsid w:val="001B724F"/>
    <w:rsid w:val="001B744D"/>
    <w:rsid w:val="001B7F13"/>
    <w:rsid w:val="001C119E"/>
    <w:rsid w:val="001C121E"/>
    <w:rsid w:val="001C13EF"/>
    <w:rsid w:val="001C1979"/>
    <w:rsid w:val="001C205B"/>
    <w:rsid w:val="001C24C3"/>
    <w:rsid w:val="001C2759"/>
    <w:rsid w:val="001C2B3B"/>
    <w:rsid w:val="001C2EDB"/>
    <w:rsid w:val="001C2FED"/>
    <w:rsid w:val="001C33DB"/>
    <w:rsid w:val="001C39A5"/>
    <w:rsid w:val="001C4288"/>
    <w:rsid w:val="001C4790"/>
    <w:rsid w:val="001C4852"/>
    <w:rsid w:val="001C4E27"/>
    <w:rsid w:val="001C50F8"/>
    <w:rsid w:val="001C52B8"/>
    <w:rsid w:val="001C552E"/>
    <w:rsid w:val="001C5AE9"/>
    <w:rsid w:val="001C5B11"/>
    <w:rsid w:val="001C6373"/>
    <w:rsid w:val="001C6D03"/>
    <w:rsid w:val="001C705C"/>
    <w:rsid w:val="001C74D0"/>
    <w:rsid w:val="001C7516"/>
    <w:rsid w:val="001C77CE"/>
    <w:rsid w:val="001C792D"/>
    <w:rsid w:val="001D020E"/>
    <w:rsid w:val="001D11A0"/>
    <w:rsid w:val="001D1CF6"/>
    <w:rsid w:val="001D26E5"/>
    <w:rsid w:val="001D2779"/>
    <w:rsid w:val="001D2838"/>
    <w:rsid w:val="001D291D"/>
    <w:rsid w:val="001D2BFB"/>
    <w:rsid w:val="001D2EE6"/>
    <w:rsid w:val="001D2EEF"/>
    <w:rsid w:val="001D2F5E"/>
    <w:rsid w:val="001D3333"/>
    <w:rsid w:val="001D341F"/>
    <w:rsid w:val="001D3ABC"/>
    <w:rsid w:val="001D4057"/>
    <w:rsid w:val="001D4448"/>
    <w:rsid w:val="001D4BED"/>
    <w:rsid w:val="001D4F59"/>
    <w:rsid w:val="001D5071"/>
    <w:rsid w:val="001D5FA0"/>
    <w:rsid w:val="001D6765"/>
    <w:rsid w:val="001D6C0F"/>
    <w:rsid w:val="001D6C10"/>
    <w:rsid w:val="001D6C72"/>
    <w:rsid w:val="001D76BF"/>
    <w:rsid w:val="001D7A89"/>
    <w:rsid w:val="001D7B46"/>
    <w:rsid w:val="001D7CDC"/>
    <w:rsid w:val="001E0D81"/>
    <w:rsid w:val="001E1442"/>
    <w:rsid w:val="001E1446"/>
    <w:rsid w:val="001E1BF5"/>
    <w:rsid w:val="001E2583"/>
    <w:rsid w:val="001E25E8"/>
    <w:rsid w:val="001E2817"/>
    <w:rsid w:val="001E2A14"/>
    <w:rsid w:val="001E2BE2"/>
    <w:rsid w:val="001E35FB"/>
    <w:rsid w:val="001E36CF"/>
    <w:rsid w:val="001E3719"/>
    <w:rsid w:val="001E3787"/>
    <w:rsid w:val="001E3E5E"/>
    <w:rsid w:val="001E4418"/>
    <w:rsid w:val="001E4A1D"/>
    <w:rsid w:val="001E4F48"/>
    <w:rsid w:val="001E5127"/>
    <w:rsid w:val="001E5245"/>
    <w:rsid w:val="001E530B"/>
    <w:rsid w:val="001E5350"/>
    <w:rsid w:val="001E5968"/>
    <w:rsid w:val="001E5BCB"/>
    <w:rsid w:val="001E5D9C"/>
    <w:rsid w:val="001E5EB1"/>
    <w:rsid w:val="001E651C"/>
    <w:rsid w:val="001E668C"/>
    <w:rsid w:val="001E670F"/>
    <w:rsid w:val="001E6BDC"/>
    <w:rsid w:val="001E76CA"/>
    <w:rsid w:val="001E7852"/>
    <w:rsid w:val="001E79FA"/>
    <w:rsid w:val="001E7F6C"/>
    <w:rsid w:val="001F00E0"/>
    <w:rsid w:val="001F013D"/>
    <w:rsid w:val="001F0988"/>
    <w:rsid w:val="001F0E99"/>
    <w:rsid w:val="001F1EFD"/>
    <w:rsid w:val="001F2195"/>
    <w:rsid w:val="001F280A"/>
    <w:rsid w:val="001F28C1"/>
    <w:rsid w:val="001F2A75"/>
    <w:rsid w:val="001F324B"/>
    <w:rsid w:val="001F3AD9"/>
    <w:rsid w:val="001F3E65"/>
    <w:rsid w:val="001F40DC"/>
    <w:rsid w:val="001F470E"/>
    <w:rsid w:val="001F4A80"/>
    <w:rsid w:val="001F4E07"/>
    <w:rsid w:val="001F66CF"/>
    <w:rsid w:val="001F68C6"/>
    <w:rsid w:val="001F6C54"/>
    <w:rsid w:val="001F7109"/>
    <w:rsid w:val="001F74B3"/>
    <w:rsid w:val="001F7559"/>
    <w:rsid w:val="001F7B93"/>
    <w:rsid w:val="001F7F7A"/>
    <w:rsid w:val="00200306"/>
    <w:rsid w:val="002003DB"/>
    <w:rsid w:val="002013B4"/>
    <w:rsid w:val="0020180C"/>
    <w:rsid w:val="0020190E"/>
    <w:rsid w:val="00201B28"/>
    <w:rsid w:val="00201CB0"/>
    <w:rsid w:val="00201EC6"/>
    <w:rsid w:val="00201F04"/>
    <w:rsid w:val="0020211C"/>
    <w:rsid w:val="002022EE"/>
    <w:rsid w:val="002022F8"/>
    <w:rsid w:val="00202D14"/>
    <w:rsid w:val="00202F3C"/>
    <w:rsid w:val="00203633"/>
    <w:rsid w:val="002037FC"/>
    <w:rsid w:val="002038C7"/>
    <w:rsid w:val="00203CF0"/>
    <w:rsid w:val="0020405D"/>
    <w:rsid w:val="0020533F"/>
    <w:rsid w:val="0020542A"/>
    <w:rsid w:val="00205FE6"/>
    <w:rsid w:val="002063AA"/>
    <w:rsid w:val="00206C83"/>
    <w:rsid w:val="00206CEE"/>
    <w:rsid w:val="0020733E"/>
    <w:rsid w:val="00207343"/>
    <w:rsid w:val="00207D9E"/>
    <w:rsid w:val="0021072C"/>
    <w:rsid w:val="002108D3"/>
    <w:rsid w:val="00211BFC"/>
    <w:rsid w:val="00211DDE"/>
    <w:rsid w:val="0021215B"/>
    <w:rsid w:val="00212569"/>
    <w:rsid w:val="0021269B"/>
    <w:rsid w:val="002137BF"/>
    <w:rsid w:val="002137C3"/>
    <w:rsid w:val="00213C36"/>
    <w:rsid w:val="00213C6C"/>
    <w:rsid w:val="00213CBF"/>
    <w:rsid w:val="002140A6"/>
    <w:rsid w:val="0021450A"/>
    <w:rsid w:val="00214726"/>
    <w:rsid w:val="00214745"/>
    <w:rsid w:val="00214B05"/>
    <w:rsid w:val="00215254"/>
    <w:rsid w:val="0021586B"/>
    <w:rsid w:val="00215A2D"/>
    <w:rsid w:val="00215AEF"/>
    <w:rsid w:val="00215B8C"/>
    <w:rsid w:val="00216E67"/>
    <w:rsid w:val="002170D6"/>
    <w:rsid w:val="00217175"/>
    <w:rsid w:val="002200DD"/>
    <w:rsid w:val="00220441"/>
    <w:rsid w:val="0022062D"/>
    <w:rsid w:val="00220715"/>
    <w:rsid w:val="00220BB8"/>
    <w:rsid w:val="00220C41"/>
    <w:rsid w:val="00221C9C"/>
    <w:rsid w:val="00221D2B"/>
    <w:rsid w:val="00222188"/>
    <w:rsid w:val="00222433"/>
    <w:rsid w:val="0022270B"/>
    <w:rsid w:val="00222EDA"/>
    <w:rsid w:val="0022314F"/>
    <w:rsid w:val="0022353D"/>
    <w:rsid w:val="002235D3"/>
    <w:rsid w:val="002235ED"/>
    <w:rsid w:val="00223773"/>
    <w:rsid w:val="002237B1"/>
    <w:rsid w:val="00223929"/>
    <w:rsid w:val="00223933"/>
    <w:rsid w:val="002241FF"/>
    <w:rsid w:val="002242CD"/>
    <w:rsid w:val="00224395"/>
    <w:rsid w:val="00224449"/>
    <w:rsid w:val="002244D2"/>
    <w:rsid w:val="00224D7E"/>
    <w:rsid w:val="00225436"/>
    <w:rsid w:val="00225689"/>
    <w:rsid w:val="00225845"/>
    <w:rsid w:val="002259E8"/>
    <w:rsid w:val="0022616A"/>
    <w:rsid w:val="00226614"/>
    <w:rsid w:val="00226680"/>
    <w:rsid w:val="0022678F"/>
    <w:rsid w:val="00226998"/>
    <w:rsid w:val="00227165"/>
    <w:rsid w:val="00227511"/>
    <w:rsid w:val="0022768A"/>
    <w:rsid w:val="00227766"/>
    <w:rsid w:val="00230012"/>
    <w:rsid w:val="00230899"/>
    <w:rsid w:val="0023115B"/>
    <w:rsid w:val="002312AC"/>
    <w:rsid w:val="00231BF4"/>
    <w:rsid w:val="00231E0A"/>
    <w:rsid w:val="00232529"/>
    <w:rsid w:val="0023262D"/>
    <w:rsid w:val="00232642"/>
    <w:rsid w:val="00232D14"/>
    <w:rsid w:val="00232F27"/>
    <w:rsid w:val="00233560"/>
    <w:rsid w:val="00233AD9"/>
    <w:rsid w:val="002347A9"/>
    <w:rsid w:val="002352BB"/>
    <w:rsid w:val="00235590"/>
    <w:rsid w:val="0023599D"/>
    <w:rsid w:val="00235A5E"/>
    <w:rsid w:val="00235B6B"/>
    <w:rsid w:val="00235B7B"/>
    <w:rsid w:val="00235D6A"/>
    <w:rsid w:val="0023603C"/>
    <w:rsid w:val="0023614E"/>
    <w:rsid w:val="0023639F"/>
    <w:rsid w:val="00236794"/>
    <w:rsid w:val="00236C69"/>
    <w:rsid w:val="0023705E"/>
    <w:rsid w:val="002375B8"/>
    <w:rsid w:val="002377A4"/>
    <w:rsid w:val="002378A2"/>
    <w:rsid w:val="00237AE5"/>
    <w:rsid w:val="00237ED2"/>
    <w:rsid w:val="002402BB"/>
    <w:rsid w:val="00240C72"/>
    <w:rsid w:val="00240FDA"/>
    <w:rsid w:val="0024123D"/>
    <w:rsid w:val="00242337"/>
    <w:rsid w:val="0024271F"/>
    <w:rsid w:val="00242C88"/>
    <w:rsid w:val="00242F90"/>
    <w:rsid w:val="00243008"/>
    <w:rsid w:val="002438A9"/>
    <w:rsid w:val="00243AAE"/>
    <w:rsid w:val="00243CB9"/>
    <w:rsid w:val="00243CCC"/>
    <w:rsid w:val="00243E60"/>
    <w:rsid w:val="0024428D"/>
    <w:rsid w:val="00244444"/>
    <w:rsid w:val="00244490"/>
    <w:rsid w:val="00244507"/>
    <w:rsid w:val="002446D0"/>
    <w:rsid w:val="0024478E"/>
    <w:rsid w:val="00244B51"/>
    <w:rsid w:val="00244D44"/>
    <w:rsid w:val="0024563B"/>
    <w:rsid w:val="002462F1"/>
    <w:rsid w:val="002469F5"/>
    <w:rsid w:val="00246D1A"/>
    <w:rsid w:val="00247606"/>
    <w:rsid w:val="00247678"/>
    <w:rsid w:val="00247973"/>
    <w:rsid w:val="002479D0"/>
    <w:rsid w:val="00247E13"/>
    <w:rsid w:val="00247E47"/>
    <w:rsid w:val="00247EE0"/>
    <w:rsid w:val="00247FF4"/>
    <w:rsid w:val="002500CA"/>
    <w:rsid w:val="002507C7"/>
    <w:rsid w:val="0025101B"/>
    <w:rsid w:val="00251518"/>
    <w:rsid w:val="0025189C"/>
    <w:rsid w:val="00251E49"/>
    <w:rsid w:val="00252CF3"/>
    <w:rsid w:val="00252D13"/>
    <w:rsid w:val="00252FBA"/>
    <w:rsid w:val="00253BDE"/>
    <w:rsid w:val="00253CFA"/>
    <w:rsid w:val="00254AC3"/>
    <w:rsid w:val="00254B14"/>
    <w:rsid w:val="00254D9F"/>
    <w:rsid w:val="00254EBA"/>
    <w:rsid w:val="00255134"/>
    <w:rsid w:val="00255545"/>
    <w:rsid w:val="00255E4F"/>
    <w:rsid w:val="002568CB"/>
    <w:rsid w:val="00256AAF"/>
    <w:rsid w:val="00256E9D"/>
    <w:rsid w:val="0025734B"/>
    <w:rsid w:val="00257DD0"/>
    <w:rsid w:val="00257F39"/>
    <w:rsid w:val="002604F1"/>
    <w:rsid w:val="00260F13"/>
    <w:rsid w:val="002616E4"/>
    <w:rsid w:val="00261A7B"/>
    <w:rsid w:val="00261D70"/>
    <w:rsid w:val="00261E4B"/>
    <w:rsid w:val="00261F86"/>
    <w:rsid w:val="0026239F"/>
    <w:rsid w:val="00262951"/>
    <w:rsid w:val="00262F96"/>
    <w:rsid w:val="002639A5"/>
    <w:rsid w:val="00263CF7"/>
    <w:rsid w:val="00263D22"/>
    <w:rsid w:val="0026427C"/>
    <w:rsid w:val="00264558"/>
    <w:rsid w:val="002647FE"/>
    <w:rsid w:val="00264B83"/>
    <w:rsid w:val="002658B7"/>
    <w:rsid w:val="00265915"/>
    <w:rsid w:val="00265A1E"/>
    <w:rsid w:val="00265AEA"/>
    <w:rsid w:val="00265DF7"/>
    <w:rsid w:val="002661B9"/>
    <w:rsid w:val="00266222"/>
    <w:rsid w:val="002667EA"/>
    <w:rsid w:val="00266ADB"/>
    <w:rsid w:val="00266D74"/>
    <w:rsid w:val="00266D87"/>
    <w:rsid w:val="00266FA5"/>
    <w:rsid w:val="00267392"/>
    <w:rsid w:val="00267435"/>
    <w:rsid w:val="00267A01"/>
    <w:rsid w:val="00267DF2"/>
    <w:rsid w:val="00267E47"/>
    <w:rsid w:val="00270041"/>
    <w:rsid w:val="00270BC2"/>
    <w:rsid w:val="00270CB0"/>
    <w:rsid w:val="0027147B"/>
    <w:rsid w:val="002718E5"/>
    <w:rsid w:val="00271A51"/>
    <w:rsid w:val="00271A55"/>
    <w:rsid w:val="00271CB7"/>
    <w:rsid w:val="00271E49"/>
    <w:rsid w:val="0027203D"/>
    <w:rsid w:val="002723BE"/>
    <w:rsid w:val="002728E2"/>
    <w:rsid w:val="002728EE"/>
    <w:rsid w:val="00272D1E"/>
    <w:rsid w:val="00273601"/>
    <w:rsid w:val="00273E70"/>
    <w:rsid w:val="00273F75"/>
    <w:rsid w:val="00274382"/>
    <w:rsid w:val="0027477A"/>
    <w:rsid w:val="00275B8C"/>
    <w:rsid w:val="00275D06"/>
    <w:rsid w:val="00275F8D"/>
    <w:rsid w:val="002760C6"/>
    <w:rsid w:val="002762A4"/>
    <w:rsid w:val="00277602"/>
    <w:rsid w:val="00277E52"/>
    <w:rsid w:val="002800F5"/>
    <w:rsid w:val="00280ABD"/>
    <w:rsid w:val="00280E37"/>
    <w:rsid w:val="00281002"/>
    <w:rsid w:val="00281019"/>
    <w:rsid w:val="0028187E"/>
    <w:rsid w:val="002818EA"/>
    <w:rsid w:val="0028193A"/>
    <w:rsid w:val="00281CD4"/>
    <w:rsid w:val="002824E1"/>
    <w:rsid w:val="0028255F"/>
    <w:rsid w:val="002826B9"/>
    <w:rsid w:val="002828F1"/>
    <w:rsid w:val="00282968"/>
    <w:rsid w:val="00282983"/>
    <w:rsid w:val="00282D87"/>
    <w:rsid w:val="00283766"/>
    <w:rsid w:val="0028475A"/>
    <w:rsid w:val="00284C39"/>
    <w:rsid w:val="00284C55"/>
    <w:rsid w:val="00285058"/>
    <w:rsid w:val="002851CC"/>
    <w:rsid w:val="00285523"/>
    <w:rsid w:val="0028596B"/>
    <w:rsid w:val="00285A37"/>
    <w:rsid w:val="00285D76"/>
    <w:rsid w:val="00286209"/>
    <w:rsid w:val="002867A9"/>
    <w:rsid w:val="00286C0A"/>
    <w:rsid w:val="0028706D"/>
    <w:rsid w:val="002875C4"/>
    <w:rsid w:val="00287725"/>
    <w:rsid w:val="002905F1"/>
    <w:rsid w:val="00290CC0"/>
    <w:rsid w:val="00290D5D"/>
    <w:rsid w:val="00291217"/>
    <w:rsid w:val="002914F9"/>
    <w:rsid w:val="002915CA"/>
    <w:rsid w:val="00291895"/>
    <w:rsid w:val="00291F2D"/>
    <w:rsid w:val="002926E9"/>
    <w:rsid w:val="002927A8"/>
    <w:rsid w:val="00293167"/>
    <w:rsid w:val="002934A7"/>
    <w:rsid w:val="00293676"/>
    <w:rsid w:val="0029371E"/>
    <w:rsid w:val="00293888"/>
    <w:rsid w:val="00293F5A"/>
    <w:rsid w:val="00293F92"/>
    <w:rsid w:val="00294497"/>
    <w:rsid w:val="002946D3"/>
    <w:rsid w:val="00294D61"/>
    <w:rsid w:val="00294F36"/>
    <w:rsid w:val="00295044"/>
    <w:rsid w:val="00295297"/>
    <w:rsid w:val="0029586A"/>
    <w:rsid w:val="00295E3B"/>
    <w:rsid w:val="00296665"/>
    <w:rsid w:val="00296C6B"/>
    <w:rsid w:val="00297C76"/>
    <w:rsid w:val="00297F9D"/>
    <w:rsid w:val="002A0396"/>
    <w:rsid w:val="002A0649"/>
    <w:rsid w:val="002A0EA3"/>
    <w:rsid w:val="002A1853"/>
    <w:rsid w:val="002A2291"/>
    <w:rsid w:val="002A2BC5"/>
    <w:rsid w:val="002A2D93"/>
    <w:rsid w:val="002A30C3"/>
    <w:rsid w:val="002A3918"/>
    <w:rsid w:val="002A39E7"/>
    <w:rsid w:val="002A4323"/>
    <w:rsid w:val="002A4A46"/>
    <w:rsid w:val="002A4C26"/>
    <w:rsid w:val="002A4F6A"/>
    <w:rsid w:val="002A51F7"/>
    <w:rsid w:val="002A52C4"/>
    <w:rsid w:val="002A543A"/>
    <w:rsid w:val="002A5786"/>
    <w:rsid w:val="002A58E9"/>
    <w:rsid w:val="002A59F1"/>
    <w:rsid w:val="002A5AD5"/>
    <w:rsid w:val="002A624D"/>
    <w:rsid w:val="002A628D"/>
    <w:rsid w:val="002A6AA6"/>
    <w:rsid w:val="002A6CCF"/>
    <w:rsid w:val="002A789F"/>
    <w:rsid w:val="002A79D3"/>
    <w:rsid w:val="002B049A"/>
    <w:rsid w:val="002B127A"/>
    <w:rsid w:val="002B12B1"/>
    <w:rsid w:val="002B150A"/>
    <w:rsid w:val="002B1646"/>
    <w:rsid w:val="002B17E7"/>
    <w:rsid w:val="002B17EC"/>
    <w:rsid w:val="002B25B3"/>
    <w:rsid w:val="002B2859"/>
    <w:rsid w:val="002B3CF1"/>
    <w:rsid w:val="002B3F87"/>
    <w:rsid w:val="002B476A"/>
    <w:rsid w:val="002B4FF5"/>
    <w:rsid w:val="002B502A"/>
    <w:rsid w:val="002B520E"/>
    <w:rsid w:val="002B5421"/>
    <w:rsid w:val="002B56E7"/>
    <w:rsid w:val="002B57C0"/>
    <w:rsid w:val="002B5C58"/>
    <w:rsid w:val="002B668A"/>
    <w:rsid w:val="002B693E"/>
    <w:rsid w:val="002B6BD4"/>
    <w:rsid w:val="002B729C"/>
    <w:rsid w:val="002B75F3"/>
    <w:rsid w:val="002B760D"/>
    <w:rsid w:val="002B7638"/>
    <w:rsid w:val="002B7AD8"/>
    <w:rsid w:val="002B7F54"/>
    <w:rsid w:val="002C054E"/>
    <w:rsid w:val="002C0669"/>
    <w:rsid w:val="002C08D2"/>
    <w:rsid w:val="002C0AA3"/>
    <w:rsid w:val="002C0AE7"/>
    <w:rsid w:val="002C0C4A"/>
    <w:rsid w:val="002C0CF4"/>
    <w:rsid w:val="002C0FF0"/>
    <w:rsid w:val="002C114A"/>
    <w:rsid w:val="002C1CCF"/>
    <w:rsid w:val="002C1D6B"/>
    <w:rsid w:val="002C257B"/>
    <w:rsid w:val="002C39ED"/>
    <w:rsid w:val="002C3C69"/>
    <w:rsid w:val="002C4B3D"/>
    <w:rsid w:val="002C5BCF"/>
    <w:rsid w:val="002C5CF2"/>
    <w:rsid w:val="002C6B80"/>
    <w:rsid w:val="002C6CA0"/>
    <w:rsid w:val="002C6F6E"/>
    <w:rsid w:val="002C738B"/>
    <w:rsid w:val="002C74E1"/>
    <w:rsid w:val="002C7558"/>
    <w:rsid w:val="002C7BEC"/>
    <w:rsid w:val="002C7E90"/>
    <w:rsid w:val="002D0707"/>
    <w:rsid w:val="002D0F5C"/>
    <w:rsid w:val="002D1064"/>
    <w:rsid w:val="002D12D1"/>
    <w:rsid w:val="002D15D4"/>
    <w:rsid w:val="002D1607"/>
    <w:rsid w:val="002D162D"/>
    <w:rsid w:val="002D1AFE"/>
    <w:rsid w:val="002D1E97"/>
    <w:rsid w:val="002D24C4"/>
    <w:rsid w:val="002D3090"/>
    <w:rsid w:val="002D341F"/>
    <w:rsid w:val="002D37A5"/>
    <w:rsid w:val="002D4369"/>
    <w:rsid w:val="002D4753"/>
    <w:rsid w:val="002D5640"/>
    <w:rsid w:val="002D5DDE"/>
    <w:rsid w:val="002D5E9E"/>
    <w:rsid w:val="002D5F22"/>
    <w:rsid w:val="002D66C4"/>
    <w:rsid w:val="002D6B25"/>
    <w:rsid w:val="002D70BE"/>
    <w:rsid w:val="002D7258"/>
    <w:rsid w:val="002D72E2"/>
    <w:rsid w:val="002D7467"/>
    <w:rsid w:val="002D77B1"/>
    <w:rsid w:val="002D78D5"/>
    <w:rsid w:val="002D7A41"/>
    <w:rsid w:val="002E0000"/>
    <w:rsid w:val="002E03F5"/>
    <w:rsid w:val="002E04A4"/>
    <w:rsid w:val="002E04E7"/>
    <w:rsid w:val="002E0C05"/>
    <w:rsid w:val="002E10BE"/>
    <w:rsid w:val="002E10CA"/>
    <w:rsid w:val="002E115A"/>
    <w:rsid w:val="002E1289"/>
    <w:rsid w:val="002E20A4"/>
    <w:rsid w:val="002E21BF"/>
    <w:rsid w:val="002E2273"/>
    <w:rsid w:val="002E2ABF"/>
    <w:rsid w:val="002E2BE1"/>
    <w:rsid w:val="002E2CB7"/>
    <w:rsid w:val="002E3528"/>
    <w:rsid w:val="002E3678"/>
    <w:rsid w:val="002E46DB"/>
    <w:rsid w:val="002E49AC"/>
    <w:rsid w:val="002E4BC1"/>
    <w:rsid w:val="002E545B"/>
    <w:rsid w:val="002E5A1C"/>
    <w:rsid w:val="002E5B60"/>
    <w:rsid w:val="002E5FEC"/>
    <w:rsid w:val="002E6126"/>
    <w:rsid w:val="002E68D6"/>
    <w:rsid w:val="002E6E92"/>
    <w:rsid w:val="002E7081"/>
    <w:rsid w:val="002E7318"/>
    <w:rsid w:val="002E7B51"/>
    <w:rsid w:val="002F04C1"/>
    <w:rsid w:val="002F0825"/>
    <w:rsid w:val="002F0D69"/>
    <w:rsid w:val="002F1278"/>
    <w:rsid w:val="002F14C1"/>
    <w:rsid w:val="002F1780"/>
    <w:rsid w:val="002F18B4"/>
    <w:rsid w:val="002F1933"/>
    <w:rsid w:val="002F1943"/>
    <w:rsid w:val="002F1B96"/>
    <w:rsid w:val="002F203F"/>
    <w:rsid w:val="002F2572"/>
    <w:rsid w:val="002F25C9"/>
    <w:rsid w:val="002F2667"/>
    <w:rsid w:val="002F2AC6"/>
    <w:rsid w:val="002F2D44"/>
    <w:rsid w:val="002F31DE"/>
    <w:rsid w:val="002F3332"/>
    <w:rsid w:val="002F369F"/>
    <w:rsid w:val="002F38F6"/>
    <w:rsid w:val="002F3AE7"/>
    <w:rsid w:val="002F3F04"/>
    <w:rsid w:val="002F4852"/>
    <w:rsid w:val="002F491F"/>
    <w:rsid w:val="002F4A8C"/>
    <w:rsid w:val="002F4F09"/>
    <w:rsid w:val="002F51E6"/>
    <w:rsid w:val="002F523D"/>
    <w:rsid w:val="002F53B9"/>
    <w:rsid w:val="002F56F1"/>
    <w:rsid w:val="002F5ED4"/>
    <w:rsid w:val="002F66DB"/>
    <w:rsid w:val="002F6748"/>
    <w:rsid w:val="002F6C40"/>
    <w:rsid w:val="002F718B"/>
    <w:rsid w:val="002F71B2"/>
    <w:rsid w:val="002F7274"/>
    <w:rsid w:val="002F783C"/>
    <w:rsid w:val="002F7885"/>
    <w:rsid w:val="002F7BC5"/>
    <w:rsid w:val="00300522"/>
    <w:rsid w:val="0030098E"/>
    <w:rsid w:val="00300B2F"/>
    <w:rsid w:val="00300ECB"/>
    <w:rsid w:val="0030100A"/>
    <w:rsid w:val="003014E3"/>
    <w:rsid w:val="0030167A"/>
    <w:rsid w:val="00301739"/>
    <w:rsid w:val="00301779"/>
    <w:rsid w:val="0030198B"/>
    <w:rsid w:val="003019FD"/>
    <w:rsid w:val="003024A9"/>
    <w:rsid w:val="00302AE8"/>
    <w:rsid w:val="00302F2B"/>
    <w:rsid w:val="003030B2"/>
    <w:rsid w:val="00303313"/>
    <w:rsid w:val="00303520"/>
    <w:rsid w:val="003038DF"/>
    <w:rsid w:val="00303968"/>
    <w:rsid w:val="00303C98"/>
    <w:rsid w:val="003045F5"/>
    <w:rsid w:val="0030460E"/>
    <w:rsid w:val="00304CBE"/>
    <w:rsid w:val="003050FD"/>
    <w:rsid w:val="00305124"/>
    <w:rsid w:val="003053EB"/>
    <w:rsid w:val="0030593E"/>
    <w:rsid w:val="0030599B"/>
    <w:rsid w:val="003059F9"/>
    <w:rsid w:val="00305A09"/>
    <w:rsid w:val="00305AB0"/>
    <w:rsid w:val="00306013"/>
    <w:rsid w:val="0030605A"/>
    <w:rsid w:val="00306134"/>
    <w:rsid w:val="0030687B"/>
    <w:rsid w:val="003068DE"/>
    <w:rsid w:val="00306B3F"/>
    <w:rsid w:val="003076D0"/>
    <w:rsid w:val="00310395"/>
    <w:rsid w:val="003106AB"/>
    <w:rsid w:val="003107BB"/>
    <w:rsid w:val="00310923"/>
    <w:rsid w:val="003113C7"/>
    <w:rsid w:val="00311598"/>
    <w:rsid w:val="003118A3"/>
    <w:rsid w:val="003118EA"/>
    <w:rsid w:val="003123F9"/>
    <w:rsid w:val="0031248A"/>
    <w:rsid w:val="003124DC"/>
    <w:rsid w:val="00312C73"/>
    <w:rsid w:val="00313264"/>
    <w:rsid w:val="003132D4"/>
    <w:rsid w:val="003134AD"/>
    <w:rsid w:val="0031447D"/>
    <w:rsid w:val="00314811"/>
    <w:rsid w:val="00314863"/>
    <w:rsid w:val="00314AA3"/>
    <w:rsid w:val="00314FC3"/>
    <w:rsid w:val="00315075"/>
    <w:rsid w:val="003153F5"/>
    <w:rsid w:val="00315432"/>
    <w:rsid w:val="00315816"/>
    <w:rsid w:val="0031592B"/>
    <w:rsid w:val="00315C8E"/>
    <w:rsid w:val="0031605D"/>
    <w:rsid w:val="00316809"/>
    <w:rsid w:val="00316E94"/>
    <w:rsid w:val="00317198"/>
    <w:rsid w:val="00317404"/>
    <w:rsid w:val="00317D21"/>
    <w:rsid w:val="003201E6"/>
    <w:rsid w:val="00320EAC"/>
    <w:rsid w:val="00321003"/>
    <w:rsid w:val="00321417"/>
    <w:rsid w:val="00321D90"/>
    <w:rsid w:val="00322A2D"/>
    <w:rsid w:val="00322F6B"/>
    <w:rsid w:val="00323A44"/>
    <w:rsid w:val="00323D51"/>
    <w:rsid w:val="00323E31"/>
    <w:rsid w:val="00324259"/>
    <w:rsid w:val="0032431B"/>
    <w:rsid w:val="00324561"/>
    <w:rsid w:val="003246D1"/>
    <w:rsid w:val="0032490D"/>
    <w:rsid w:val="00325099"/>
    <w:rsid w:val="00325103"/>
    <w:rsid w:val="00325868"/>
    <w:rsid w:val="00325C08"/>
    <w:rsid w:val="00327127"/>
    <w:rsid w:val="003271A4"/>
    <w:rsid w:val="00327A19"/>
    <w:rsid w:val="00327B42"/>
    <w:rsid w:val="00327E0E"/>
    <w:rsid w:val="00327F6D"/>
    <w:rsid w:val="00330129"/>
    <w:rsid w:val="0033091B"/>
    <w:rsid w:val="00330A8B"/>
    <w:rsid w:val="00330BF5"/>
    <w:rsid w:val="00330C01"/>
    <w:rsid w:val="00331019"/>
    <w:rsid w:val="003316AB"/>
    <w:rsid w:val="00331DF0"/>
    <w:rsid w:val="003323A1"/>
    <w:rsid w:val="003324F2"/>
    <w:rsid w:val="00332742"/>
    <w:rsid w:val="00333223"/>
    <w:rsid w:val="003335D3"/>
    <w:rsid w:val="00333708"/>
    <w:rsid w:val="00333C5E"/>
    <w:rsid w:val="00333FAC"/>
    <w:rsid w:val="003340D7"/>
    <w:rsid w:val="00334286"/>
    <w:rsid w:val="0033463B"/>
    <w:rsid w:val="00334C39"/>
    <w:rsid w:val="0033520B"/>
    <w:rsid w:val="003352CE"/>
    <w:rsid w:val="003354A4"/>
    <w:rsid w:val="0033558A"/>
    <w:rsid w:val="00335657"/>
    <w:rsid w:val="00335AF9"/>
    <w:rsid w:val="00335B3F"/>
    <w:rsid w:val="00335EB6"/>
    <w:rsid w:val="00336082"/>
    <w:rsid w:val="00336214"/>
    <w:rsid w:val="00336379"/>
    <w:rsid w:val="0033639A"/>
    <w:rsid w:val="00336C3F"/>
    <w:rsid w:val="003373C1"/>
    <w:rsid w:val="003377AF"/>
    <w:rsid w:val="00337B67"/>
    <w:rsid w:val="00337DA1"/>
    <w:rsid w:val="00337EC5"/>
    <w:rsid w:val="00340016"/>
    <w:rsid w:val="00340235"/>
    <w:rsid w:val="00340347"/>
    <w:rsid w:val="00340980"/>
    <w:rsid w:val="00340C47"/>
    <w:rsid w:val="00340CFD"/>
    <w:rsid w:val="00340DC7"/>
    <w:rsid w:val="00341278"/>
    <w:rsid w:val="00341DBA"/>
    <w:rsid w:val="003423AF"/>
    <w:rsid w:val="0034250B"/>
    <w:rsid w:val="0034268A"/>
    <w:rsid w:val="00342F64"/>
    <w:rsid w:val="0034321E"/>
    <w:rsid w:val="003433FF"/>
    <w:rsid w:val="00343702"/>
    <w:rsid w:val="00343B0A"/>
    <w:rsid w:val="00343DA6"/>
    <w:rsid w:val="00343E04"/>
    <w:rsid w:val="00344390"/>
    <w:rsid w:val="0034476D"/>
    <w:rsid w:val="0034485A"/>
    <w:rsid w:val="0034515A"/>
    <w:rsid w:val="003452A6"/>
    <w:rsid w:val="0034551B"/>
    <w:rsid w:val="00345522"/>
    <w:rsid w:val="00345968"/>
    <w:rsid w:val="00345A54"/>
    <w:rsid w:val="00345CF6"/>
    <w:rsid w:val="00345EED"/>
    <w:rsid w:val="003460B2"/>
    <w:rsid w:val="00346392"/>
    <w:rsid w:val="00346D83"/>
    <w:rsid w:val="00346E9D"/>
    <w:rsid w:val="00347261"/>
    <w:rsid w:val="003472B2"/>
    <w:rsid w:val="003475C5"/>
    <w:rsid w:val="00347776"/>
    <w:rsid w:val="00347A4B"/>
    <w:rsid w:val="00347DE5"/>
    <w:rsid w:val="00347F65"/>
    <w:rsid w:val="00350427"/>
    <w:rsid w:val="00350774"/>
    <w:rsid w:val="00350865"/>
    <w:rsid w:val="00350C69"/>
    <w:rsid w:val="0035129F"/>
    <w:rsid w:val="0035150B"/>
    <w:rsid w:val="00352275"/>
    <w:rsid w:val="0035263B"/>
    <w:rsid w:val="00352862"/>
    <w:rsid w:val="00352B79"/>
    <w:rsid w:val="00353196"/>
    <w:rsid w:val="0035332F"/>
    <w:rsid w:val="00353438"/>
    <w:rsid w:val="00353B6A"/>
    <w:rsid w:val="003540A1"/>
    <w:rsid w:val="003541ED"/>
    <w:rsid w:val="00354F4F"/>
    <w:rsid w:val="00354F93"/>
    <w:rsid w:val="00354F9E"/>
    <w:rsid w:val="00355767"/>
    <w:rsid w:val="00356243"/>
    <w:rsid w:val="0035661F"/>
    <w:rsid w:val="003568DD"/>
    <w:rsid w:val="00356E78"/>
    <w:rsid w:val="003571AD"/>
    <w:rsid w:val="003573B8"/>
    <w:rsid w:val="003573CD"/>
    <w:rsid w:val="00360109"/>
    <w:rsid w:val="003611B3"/>
    <w:rsid w:val="003614C7"/>
    <w:rsid w:val="00361C31"/>
    <w:rsid w:val="00361D29"/>
    <w:rsid w:val="00362A6D"/>
    <w:rsid w:val="00362BD5"/>
    <w:rsid w:val="00362E9A"/>
    <w:rsid w:val="00363D4D"/>
    <w:rsid w:val="00364138"/>
    <w:rsid w:val="00364A5C"/>
    <w:rsid w:val="00364ADB"/>
    <w:rsid w:val="00364D44"/>
    <w:rsid w:val="00364EE3"/>
    <w:rsid w:val="00365C0B"/>
    <w:rsid w:val="003660C3"/>
    <w:rsid w:val="0036612E"/>
    <w:rsid w:val="00366AB1"/>
    <w:rsid w:val="00366C59"/>
    <w:rsid w:val="00366C75"/>
    <w:rsid w:val="00366D63"/>
    <w:rsid w:val="00367022"/>
    <w:rsid w:val="00367045"/>
    <w:rsid w:val="0036766F"/>
    <w:rsid w:val="003704D5"/>
    <w:rsid w:val="00370AE5"/>
    <w:rsid w:val="00370C53"/>
    <w:rsid w:val="00370FC1"/>
    <w:rsid w:val="00371433"/>
    <w:rsid w:val="00371975"/>
    <w:rsid w:val="00371AEF"/>
    <w:rsid w:val="00371DCF"/>
    <w:rsid w:val="0037287A"/>
    <w:rsid w:val="00372905"/>
    <w:rsid w:val="00372D79"/>
    <w:rsid w:val="00372F81"/>
    <w:rsid w:val="0037375C"/>
    <w:rsid w:val="00373C6D"/>
    <w:rsid w:val="00373D29"/>
    <w:rsid w:val="00373DAE"/>
    <w:rsid w:val="00373F99"/>
    <w:rsid w:val="0037444C"/>
    <w:rsid w:val="00374BD3"/>
    <w:rsid w:val="00375387"/>
    <w:rsid w:val="00375713"/>
    <w:rsid w:val="00375794"/>
    <w:rsid w:val="003758E8"/>
    <w:rsid w:val="00375FCB"/>
    <w:rsid w:val="00376285"/>
    <w:rsid w:val="00376543"/>
    <w:rsid w:val="00376BB2"/>
    <w:rsid w:val="003770AA"/>
    <w:rsid w:val="0037724C"/>
    <w:rsid w:val="00377516"/>
    <w:rsid w:val="00377EED"/>
    <w:rsid w:val="00377FE5"/>
    <w:rsid w:val="0038009B"/>
    <w:rsid w:val="003803EF"/>
    <w:rsid w:val="0038045B"/>
    <w:rsid w:val="0038088A"/>
    <w:rsid w:val="0038096D"/>
    <w:rsid w:val="00380B22"/>
    <w:rsid w:val="00380B3F"/>
    <w:rsid w:val="00381190"/>
    <w:rsid w:val="003811E8"/>
    <w:rsid w:val="00381275"/>
    <w:rsid w:val="003812E1"/>
    <w:rsid w:val="00381418"/>
    <w:rsid w:val="00381618"/>
    <w:rsid w:val="00381C7B"/>
    <w:rsid w:val="00381CFD"/>
    <w:rsid w:val="00381F55"/>
    <w:rsid w:val="00381F90"/>
    <w:rsid w:val="0038224A"/>
    <w:rsid w:val="003822FC"/>
    <w:rsid w:val="0038288A"/>
    <w:rsid w:val="00382C37"/>
    <w:rsid w:val="00382EA5"/>
    <w:rsid w:val="0038390A"/>
    <w:rsid w:val="00383CE3"/>
    <w:rsid w:val="00383DF8"/>
    <w:rsid w:val="00384243"/>
    <w:rsid w:val="00384825"/>
    <w:rsid w:val="00384AFB"/>
    <w:rsid w:val="003853D4"/>
    <w:rsid w:val="003856B9"/>
    <w:rsid w:val="00385ABF"/>
    <w:rsid w:val="00385B00"/>
    <w:rsid w:val="00385D79"/>
    <w:rsid w:val="0038622A"/>
    <w:rsid w:val="0038792B"/>
    <w:rsid w:val="00387CFE"/>
    <w:rsid w:val="0039053B"/>
    <w:rsid w:val="00390BDB"/>
    <w:rsid w:val="00391125"/>
    <w:rsid w:val="00391250"/>
    <w:rsid w:val="00391954"/>
    <w:rsid w:val="00391A53"/>
    <w:rsid w:val="00391C73"/>
    <w:rsid w:val="00391EA3"/>
    <w:rsid w:val="0039250F"/>
    <w:rsid w:val="00392817"/>
    <w:rsid w:val="00392826"/>
    <w:rsid w:val="003928DB"/>
    <w:rsid w:val="00392E78"/>
    <w:rsid w:val="00393390"/>
    <w:rsid w:val="003936C0"/>
    <w:rsid w:val="003936C5"/>
    <w:rsid w:val="0039385D"/>
    <w:rsid w:val="00393E0D"/>
    <w:rsid w:val="00393E55"/>
    <w:rsid w:val="0039405C"/>
    <w:rsid w:val="00394DA5"/>
    <w:rsid w:val="003957E0"/>
    <w:rsid w:val="0039584D"/>
    <w:rsid w:val="00395F77"/>
    <w:rsid w:val="00396E51"/>
    <w:rsid w:val="003971BD"/>
    <w:rsid w:val="003976A5"/>
    <w:rsid w:val="003A004B"/>
    <w:rsid w:val="003A03BF"/>
    <w:rsid w:val="003A0993"/>
    <w:rsid w:val="003A0B50"/>
    <w:rsid w:val="003A13FF"/>
    <w:rsid w:val="003A1475"/>
    <w:rsid w:val="003A1819"/>
    <w:rsid w:val="003A1C36"/>
    <w:rsid w:val="003A20FC"/>
    <w:rsid w:val="003A2110"/>
    <w:rsid w:val="003A2221"/>
    <w:rsid w:val="003A2E8B"/>
    <w:rsid w:val="003A3781"/>
    <w:rsid w:val="003A3A1C"/>
    <w:rsid w:val="003A3B45"/>
    <w:rsid w:val="003A3EEB"/>
    <w:rsid w:val="003A40DA"/>
    <w:rsid w:val="003A4873"/>
    <w:rsid w:val="003A4FCA"/>
    <w:rsid w:val="003A5422"/>
    <w:rsid w:val="003A55A7"/>
    <w:rsid w:val="003A58A7"/>
    <w:rsid w:val="003A58F5"/>
    <w:rsid w:val="003A5BCB"/>
    <w:rsid w:val="003A5C7E"/>
    <w:rsid w:val="003A609B"/>
    <w:rsid w:val="003A6BB5"/>
    <w:rsid w:val="003A7045"/>
    <w:rsid w:val="003A70DD"/>
    <w:rsid w:val="003A73F2"/>
    <w:rsid w:val="003A7560"/>
    <w:rsid w:val="003A7869"/>
    <w:rsid w:val="003A7C89"/>
    <w:rsid w:val="003A7FB7"/>
    <w:rsid w:val="003B0089"/>
    <w:rsid w:val="003B0174"/>
    <w:rsid w:val="003B026D"/>
    <w:rsid w:val="003B039D"/>
    <w:rsid w:val="003B057C"/>
    <w:rsid w:val="003B0E66"/>
    <w:rsid w:val="003B0E95"/>
    <w:rsid w:val="003B0EF6"/>
    <w:rsid w:val="003B191A"/>
    <w:rsid w:val="003B19A2"/>
    <w:rsid w:val="003B1A48"/>
    <w:rsid w:val="003B1F2D"/>
    <w:rsid w:val="003B2046"/>
    <w:rsid w:val="003B21BE"/>
    <w:rsid w:val="003B2433"/>
    <w:rsid w:val="003B2623"/>
    <w:rsid w:val="003B2989"/>
    <w:rsid w:val="003B3761"/>
    <w:rsid w:val="003B3D80"/>
    <w:rsid w:val="003B4326"/>
    <w:rsid w:val="003B499F"/>
    <w:rsid w:val="003B5F44"/>
    <w:rsid w:val="003B74B0"/>
    <w:rsid w:val="003B764C"/>
    <w:rsid w:val="003B78CD"/>
    <w:rsid w:val="003B7B3B"/>
    <w:rsid w:val="003B7C7F"/>
    <w:rsid w:val="003C0122"/>
    <w:rsid w:val="003C037D"/>
    <w:rsid w:val="003C0BAC"/>
    <w:rsid w:val="003C0D0F"/>
    <w:rsid w:val="003C127F"/>
    <w:rsid w:val="003C12A9"/>
    <w:rsid w:val="003C16E8"/>
    <w:rsid w:val="003C1B7E"/>
    <w:rsid w:val="003C2A04"/>
    <w:rsid w:val="003C2C16"/>
    <w:rsid w:val="003C34A8"/>
    <w:rsid w:val="003C34E0"/>
    <w:rsid w:val="003C3CAE"/>
    <w:rsid w:val="003C3D6C"/>
    <w:rsid w:val="003C412A"/>
    <w:rsid w:val="003C4626"/>
    <w:rsid w:val="003C5B32"/>
    <w:rsid w:val="003C5BE4"/>
    <w:rsid w:val="003C6152"/>
    <w:rsid w:val="003C6606"/>
    <w:rsid w:val="003C689E"/>
    <w:rsid w:val="003C694A"/>
    <w:rsid w:val="003C6958"/>
    <w:rsid w:val="003C69D1"/>
    <w:rsid w:val="003C6B13"/>
    <w:rsid w:val="003C6D64"/>
    <w:rsid w:val="003C7004"/>
    <w:rsid w:val="003C718E"/>
    <w:rsid w:val="003C723E"/>
    <w:rsid w:val="003D0219"/>
    <w:rsid w:val="003D0227"/>
    <w:rsid w:val="003D0486"/>
    <w:rsid w:val="003D067E"/>
    <w:rsid w:val="003D0E07"/>
    <w:rsid w:val="003D0E3E"/>
    <w:rsid w:val="003D0F6B"/>
    <w:rsid w:val="003D1452"/>
    <w:rsid w:val="003D14CD"/>
    <w:rsid w:val="003D1846"/>
    <w:rsid w:val="003D2212"/>
    <w:rsid w:val="003D24EA"/>
    <w:rsid w:val="003D2AC4"/>
    <w:rsid w:val="003D2DDA"/>
    <w:rsid w:val="003D2EE2"/>
    <w:rsid w:val="003D2F34"/>
    <w:rsid w:val="003D2F40"/>
    <w:rsid w:val="003D30A0"/>
    <w:rsid w:val="003D3C8F"/>
    <w:rsid w:val="003D40AE"/>
    <w:rsid w:val="003D4287"/>
    <w:rsid w:val="003D4950"/>
    <w:rsid w:val="003D4CF3"/>
    <w:rsid w:val="003D4D81"/>
    <w:rsid w:val="003D4D84"/>
    <w:rsid w:val="003D52A3"/>
    <w:rsid w:val="003D5FE1"/>
    <w:rsid w:val="003D613E"/>
    <w:rsid w:val="003D61DC"/>
    <w:rsid w:val="003D65C2"/>
    <w:rsid w:val="003D67CB"/>
    <w:rsid w:val="003D68D9"/>
    <w:rsid w:val="003D6C05"/>
    <w:rsid w:val="003D759F"/>
    <w:rsid w:val="003D77B0"/>
    <w:rsid w:val="003D7B22"/>
    <w:rsid w:val="003D7ED4"/>
    <w:rsid w:val="003E0088"/>
    <w:rsid w:val="003E024A"/>
    <w:rsid w:val="003E05A0"/>
    <w:rsid w:val="003E0739"/>
    <w:rsid w:val="003E08D4"/>
    <w:rsid w:val="003E08DF"/>
    <w:rsid w:val="003E0940"/>
    <w:rsid w:val="003E0F54"/>
    <w:rsid w:val="003E1110"/>
    <w:rsid w:val="003E1121"/>
    <w:rsid w:val="003E1220"/>
    <w:rsid w:val="003E180B"/>
    <w:rsid w:val="003E2B5B"/>
    <w:rsid w:val="003E2BA6"/>
    <w:rsid w:val="003E2CED"/>
    <w:rsid w:val="003E3050"/>
    <w:rsid w:val="003E34A1"/>
    <w:rsid w:val="003E3D5B"/>
    <w:rsid w:val="003E3FCF"/>
    <w:rsid w:val="003E474A"/>
    <w:rsid w:val="003E4ACA"/>
    <w:rsid w:val="003E4CAE"/>
    <w:rsid w:val="003E4E27"/>
    <w:rsid w:val="003E539E"/>
    <w:rsid w:val="003E55E1"/>
    <w:rsid w:val="003E571A"/>
    <w:rsid w:val="003E62B7"/>
    <w:rsid w:val="003E656A"/>
    <w:rsid w:val="003E65AE"/>
    <w:rsid w:val="003E68E6"/>
    <w:rsid w:val="003E6973"/>
    <w:rsid w:val="003E6A68"/>
    <w:rsid w:val="003E6DB5"/>
    <w:rsid w:val="003E7338"/>
    <w:rsid w:val="003E7B16"/>
    <w:rsid w:val="003E7EE2"/>
    <w:rsid w:val="003F03DE"/>
    <w:rsid w:val="003F0E07"/>
    <w:rsid w:val="003F10F2"/>
    <w:rsid w:val="003F1D72"/>
    <w:rsid w:val="003F2016"/>
    <w:rsid w:val="003F2078"/>
    <w:rsid w:val="003F26CC"/>
    <w:rsid w:val="003F2E0E"/>
    <w:rsid w:val="003F2E2B"/>
    <w:rsid w:val="003F2E69"/>
    <w:rsid w:val="003F36A9"/>
    <w:rsid w:val="003F436D"/>
    <w:rsid w:val="003F45B9"/>
    <w:rsid w:val="003F4D56"/>
    <w:rsid w:val="003F5370"/>
    <w:rsid w:val="003F6113"/>
    <w:rsid w:val="003F66B7"/>
    <w:rsid w:val="003F685F"/>
    <w:rsid w:val="003F6DB3"/>
    <w:rsid w:val="003F7027"/>
    <w:rsid w:val="003F70B2"/>
    <w:rsid w:val="003F7DD0"/>
    <w:rsid w:val="004006E5"/>
    <w:rsid w:val="0040081C"/>
    <w:rsid w:val="00400A04"/>
    <w:rsid w:val="00400FE9"/>
    <w:rsid w:val="00401137"/>
    <w:rsid w:val="004012E1"/>
    <w:rsid w:val="0040131C"/>
    <w:rsid w:val="0040178C"/>
    <w:rsid w:val="00401FDC"/>
    <w:rsid w:val="004020E3"/>
    <w:rsid w:val="0040250C"/>
    <w:rsid w:val="004025AB"/>
    <w:rsid w:val="004029C4"/>
    <w:rsid w:val="004035A2"/>
    <w:rsid w:val="00403EE1"/>
    <w:rsid w:val="00404217"/>
    <w:rsid w:val="00404414"/>
    <w:rsid w:val="004044B0"/>
    <w:rsid w:val="00404687"/>
    <w:rsid w:val="00404AAD"/>
    <w:rsid w:val="004052CF"/>
    <w:rsid w:val="00405D74"/>
    <w:rsid w:val="00406D71"/>
    <w:rsid w:val="00407106"/>
    <w:rsid w:val="004075EB"/>
    <w:rsid w:val="00407CBB"/>
    <w:rsid w:val="00407E23"/>
    <w:rsid w:val="0041043E"/>
    <w:rsid w:val="0041067E"/>
    <w:rsid w:val="00410CB5"/>
    <w:rsid w:val="00411351"/>
    <w:rsid w:val="00411900"/>
    <w:rsid w:val="004119EE"/>
    <w:rsid w:val="00411DF7"/>
    <w:rsid w:val="00412141"/>
    <w:rsid w:val="00412519"/>
    <w:rsid w:val="004129B1"/>
    <w:rsid w:val="0041317A"/>
    <w:rsid w:val="0041323C"/>
    <w:rsid w:val="00413E60"/>
    <w:rsid w:val="004147B0"/>
    <w:rsid w:val="00414A10"/>
    <w:rsid w:val="00414C58"/>
    <w:rsid w:val="004152E5"/>
    <w:rsid w:val="00416282"/>
    <w:rsid w:val="00416533"/>
    <w:rsid w:val="0041683B"/>
    <w:rsid w:val="00416B76"/>
    <w:rsid w:val="00417032"/>
    <w:rsid w:val="0041749F"/>
    <w:rsid w:val="004179ED"/>
    <w:rsid w:val="00417FD8"/>
    <w:rsid w:val="00420142"/>
    <w:rsid w:val="00420175"/>
    <w:rsid w:val="0042022E"/>
    <w:rsid w:val="0042074A"/>
    <w:rsid w:val="004208F7"/>
    <w:rsid w:val="00420B8B"/>
    <w:rsid w:val="00420C79"/>
    <w:rsid w:val="00420E51"/>
    <w:rsid w:val="00421160"/>
    <w:rsid w:val="00421D69"/>
    <w:rsid w:val="004228A8"/>
    <w:rsid w:val="00422E2E"/>
    <w:rsid w:val="004230F9"/>
    <w:rsid w:val="00423479"/>
    <w:rsid w:val="004237AC"/>
    <w:rsid w:val="00423A98"/>
    <w:rsid w:val="00423B00"/>
    <w:rsid w:val="00423C36"/>
    <w:rsid w:val="00423C62"/>
    <w:rsid w:val="00423D6E"/>
    <w:rsid w:val="00424077"/>
    <w:rsid w:val="00424181"/>
    <w:rsid w:val="004245D3"/>
    <w:rsid w:val="004246A3"/>
    <w:rsid w:val="00424716"/>
    <w:rsid w:val="00424E56"/>
    <w:rsid w:val="004253A4"/>
    <w:rsid w:val="004256F1"/>
    <w:rsid w:val="00425B9B"/>
    <w:rsid w:val="00426001"/>
    <w:rsid w:val="004261B0"/>
    <w:rsid w:val="0042621D"/>
    <w:rsid w:val="00426841"/>
    <w:rsid w:val="00426A3B"/>
    <w:rsid w:val="00426C21"/>
    <w:rsid w:val="004272BE"/>
    <w:rsid w:val="0042750F"/>
    <w:rsid w:val="00427CA7"/>
    <w:rsid w:val="00427D21"/>
    <w:rsid w:val="00427E54"/>
    <w:rsid w:val="004304F7"/>
    <w:rsid w:val="004307BD"/>
    <w:rsid w:val="00430C19"/>
    <w:rsid w:val="00430FCA"/>
    <w:rsid w:val="00431980"/>
    <w:rsid w:val="00431C16"/>
    <w:rsid w:val="00433013"/>
    <w:rsid w:val="004332B5"/>
    <w:rsid w:val="00433324"/>
    <w:rsid w:val="004339DB"/>
    <w:rsid w:val="00433F5B"/>
    <w:rsid w:val="004340F6"/>
    <w:rsid w:val="00434114"/>
    <w:rsid w:val="00434124"/>
    <w:rsid w:val="004346BC"/>
    <w:rsid w:val="00434EF7"/>
    <w:rsid w:val="0043577B"/>
    <w:rsid w:val="00435CDA"/>
    <w:rsid w:val="00436248"/>
    <w:rsid w:val="004362A7"/>
    <w:rsid w:val="004364CE"/>
    <w:rsid w:val="00436698"/>
    <w:rsid w:val="00436C27"/>
    <w:rsid w:val="00437896"/>
    <w:rsid w:val="00437A43"/>
    <w:rsid w:val="00437CA9"/>
    <w:rsid w:val="00437F0B"/>
    <w:rsid w:val="004402CD"/>
    <w:rsid w:val="004406C1"/>
    <w:rsid w:val="00440820"/>
    <w:rsid w:val="00440E87"/>
    <w:rsid w:val="00441359"/>
    <w:rsid w:val="00441F5D"/>
    <w:rsid w:val="0044217A"/>
    <w:rsid w:val="00442D15"/>
    <w:rsid w:val="00442FE7"/>
    <w:rsid w:val="004434D4"/>
    <w:rsid w:val="0044361C"/>
    <w:rsid w:val="004436A1"/>
    <w:rsid w:val="00443EC2"/>
    <w:rsid w:val="004447C8"/>
    <w:rsid w:val="00444965"/>
    <w:rsid w:val="00444D23"/>
    <w:rsid w:val="00444DAD"/>
    <w:rsid w:val="00444DE5"/>
    <w:rsid w:val="00444ED0"/>
    <w:rsid w:val="004452D3"/>
    <w:rsid w:val="004462FF"/>
    <w:rsid w:val="00446AC4"/>
    <w:rsid w:val="00446D37"/>
    <w:rsid w:val="00447478"/>
    <w:rsid w:val="00447756"/>
    <w:rsid w:val="004477C9"/>
    <w:rsid w:val="00447B2F"/>
    <w:rsid w:val="004500CE"/>
    <w:rsid w:val="00451C5F"/>
    <w:rsid w:val="00451FDD"/>
    <w:rsid w:val="004520AA"/>
    <w:rsid w:val="004528DB"/>
    <w:rsid w:val="00452C14"/>
    <w:rsid w:val="00452C59"/>
    <w:rsid w:val="00452FF0"/>
    <w:rsid w:val="0045322F"/>
    <w:rsid w:val="00453496"/>
    <w:rsid w:val="00453657"/>
    <w:rsid w:val="00453BB2"/>
    <w:rsid w:val="00453EA6"/>
    <w:rsid w:val="00453FE9"/>
    <w:rsid w:val="0045409B"/>
    <w:rsid w:val="0045425C"/>
    <w:rsid w:val="004542A0"/>
    <w:rsid w:val="004545E5"/>
    <w:rsid w:val="00454927"/>
    <w:rsid w:val="00455708"/>
    <w:rsid w:val="004557BD"/>
    <w:rsid w:val="004557DA"/>
    <w:rsid w:val="00455B0B"/>
    <w:rsid w:val="00455DF7"/>
    <w:rsid w:val="0045600E"/>
    <w:rsid w:val="0045637C"/>
    <w:rsid w:val="004565C2"/>
    <w:rsid w:val="004568BF"/>
    <w:rsid w:val="00456B7E"/>
    <w:rsid w:val="00456C2A"/>
    <w:rsid w:val="00456DB6"/>
    <w:rsid w:val="00457669"/>
    <w:rsid w:val="00460C20"/>
    <w:rsid w:val="00460C82"/>
    <w:rsid w:val="004610A3"/>
    <w:rsid w:val="0046160E"/>
    <w:rsid w:val="0046164F"/>
    <w:rsid w:val="0046189A"/>
    <w:rsid w:val="00461BAD"/>
    <w:rsid w:val="00461C6D"/>
    <w:rsid w:val="0046257D"/>
    <w:rsid w:val="004626D3"/>
    <w:rsid w:val="00462763"/>
    <w:rsid w:val="00462BD7"/>
    <w:rsid w:val="00462BE5"/>
    <w:rsid w:val="00462DCB"/>
    <w:rsid w:val="00462FD2"/>
    <w:rsid w:val="00463094"/>
    <w:rsid w:val="0046309E"/>
    <w:rsid w:val="00463536"/>
    <w:rsid w:val="004641D7"/>
    <w:rsid w:val="00464A54"/>
    <w:rsid w:val="00464DFC"/>
    <w:rsid w:val="0046536B"/>
    <w:rsid w:val="00465518"/>
    <w:rsid w:val="00465E72"/>
    <w:rsid w:val="004664CA"/>
    <w:rsid w:val="00466D7F"/>
    <w:rsid w:val="004671B9"/>
    <w:rsid w:val="004705E4"/>
    <w:rsid w:val="0047096D"/>
    <w:rsid w:val="00470B4A"/>
    <w:rsid w:val="00470C07"/>
    <w:rsid w:val="00470CD6"/>
    <w:rsid w:val="004710B2"/>
    <w:rsid w:val="0047139E"/>
    <w:rsid w:val="0047150B"/>
    <w:rsid w:val="00471599"/>
    <w:rsid w:val="004717A8"/>
    <w:rsid w:val="00471B09"/>
    <w:rsid w:val="00472011"/>
    <w:rsid w:val="004721E3"/>
    <w:rsid w:val="00472808"/>
    <w:rsid w:val="00472AAB"/>
    <w:rsid w:val="00472BA6"/>
    <w:rsid w:val="0047327C"/>
    <w:rsid w:val="00473615"/>
    <w:rsid w:val="00473E08"/>
    <w:rsid w:val="00473E33"/>
    <w:rsid w:val="00474BDD"/>
    <w:rsid w:val="00474CCC"/>
    <w:rsid w:val="00474FA5"/>
    <w:rsid w:val="004750DA"/>
    <w:rsid w:val="00475206"/>
    <w:rsid w:val="004752B2"/>
    <w:rsid w:val="00475649"/>
    <w:rsid w:val="00475705"/>
    <w:rsid w:val="00475AF8"/>
    <w:rsid w:val="00475C16"/>
    <w:rsid w:val="004760E1"/>
    <w:rsid w:val="00476373"/>
    <w:rsid w:val="0047645E"/>
    <w:rsid w:val="00476AC9"/>
    <w:rsid w:val="00476C76"/>
    <w:rsid w:val="00477575"/>
    <w:rsid w:val="00477863"/>
    <w:rsid w:val="00480489"/>
    <w:rsid w:val="00480717"/>
    <w:rsid w:val="0048073F"/>
    <w:rsid w:val="0048098B"/>
    <w:rsid w:val="00480A6E"/>
    <w:rsid w:val="00480F65"/>
    <w:rsid w:val="004815F9"/>
    <w:rsid w:val="00481627"/>
    <w:rsid w:val="0048187D"/>
    <w:rsid w:val="00481ADB"/>
    <w:rsid w:val="004821DF"/>
    <w:rsid w:val="004822AE"/>
    <w:rsid w:val="004825EF"/>
    <w:rsid w:val="0048277A"/>
    <w:rsid w:val="0048292E"/>
    <w:rsid w:val="00482A30"/>
    <w:rsid w:val="00482DB4"/>
    <w:rsid w:val="00483484"/>
    <w:rsid w:val="0048381B"/>
    <w:rsid w:val="00483A88"/>
    <w:rsid w:val="00483CC8"/>
    <w:rsid w:val="00483D70"/>
    <w:rsid w:val="00483DDC"/>
    <w:rsid w:val="004842D4"/>
    <w:rsid w:val="00484498"/>
    <w:rsid w:val="00484EB3"/>
    <w:rsid w:val="00485234"/>
    <w:rsid w:val="0048576B"/>
    <w:rsid w:val="00485F3D"/>
    <w:rsid w:val="00486470"/>
    <w:rsid w:val="0048678E"/>
    <w:rsid w:val="00486B5A"/>
    <w:rsid w:val="00486C16"/>
    <w:rsid w:val="00486DE7"/>
    <w:rsid w:val="004872FA"/>
    <w:rsid w:val="00487386"/>
    <w:rsid w:val="00487880"/>
    <w:rsid w:val="00487B17"/>
    <w:rsid w:val="00490481"/>
    <w:rsid w:val="00490831"/>
    <w:rsid w:val="004908D9"/>
    <w:rsid w:val="004912EA"/>
    <w:rsid w:val="00491876"/>
    <w:rsid w:val="00491997"/>
    <w:rsid w:val="00491D21"/>
    <w:rsid w:val="00492DD7"/>
    <w:rsid w:val="00493221"/>
    <w:rsid w:val="0049323E"/>
    <w:rsid w:val="0049344D"/>
    <w:rsid w:val="004940AF"/>
    <w:rsid w:val="004945D9"/>
    <w:rsid w:val="004949C8"/>
    <w:rsid w:val="0049514F"/>
    <w:rsid w:val="004955BA"/>
    <w:rsid w:val="004956D8"/>
    <w:rsid w:val="004957B1"/>
    <w:rsid w:val="0049589B"/>
    <w:rsid w:val="00495B49"/>
    <w:rsid w:val="00495E68"/>
    <w:rsid w:val="00496397"/>
    <w:rsid w:val="004975CE"/>
    <w:rsid w:val="004977C9"/>
    <w:rsid w:val="00497CA3"/>
    <w:rsid w:val="00497FB5"/>
    <w:rsid w:val="004A06FD"/>
    <w:rsid w:val="004A1C23"/>
    <w:rsid w:val="004A1D10"/>
    <w:rsid w:val="004A1D32"/>
    <w:rsid w:val="004A1D73"/>
    <w:rsid w:val="004A1E5F"/>
    <w:rsid w:val="004A20E5"/>
    <w:rsid w:val="004A2133"/>
    <w:rsid w:val="004A220E"/>
    <w:rsid w:val="004A27B7"/>
    <w:rsid w:val="004A2C05"/>
    <w:rsid w:val="004A2D54"/>
    <w:rsid w:val="004A3FBC"/>
    <w:rsid w:val="004A409A"/>
    <w:rsid w:val="004A40BF"/>
    <w:rsid w:val="004A4205"/>
    <w:rsid w:val="004A4379"/>
    <w:rsid w:val="004A44CB"/>
    <w:rsid w:val="004A4831"/>
    <w:rsid w:val="004A54B1"/>
    <w:rsid w:val="004A58E9"/>
    <w:rsid w:val="004A58F5"/>
    <w:rsid w:val="004A5A01"/>
    <w:rsid w:val="004A6014"/>
    <w:rsid w:val="004A655D"/>
    <w:rsid w:val="004A69F8"/>
    <w:rsid w:val="004A7021"/>
    <w:rsid w:val="004A7291"/>
    <w:rsid w:val="004A74B5"/>
    <w:rsid w:val="004A7D1D"/>
    <w:rsid w:val="004A7F5A"/>
    <w:rsid w:val="004B026E"/>
    <w:rsid w:val="004B0480"/>
    <w:rsid w:val="004B05DA"/>
    <w:rsid w:val="004B089F"/>
    <w:rsid w:val="004B08CA"/>
    <w:rsid w:val="004B10EA"/>
    <w:rsid w:val="004B13CB"/>
    <w:rsid w:val="004B153F"/>
    <w:rsid w:val="004B15C6"/>
    <w:rsid w:val="004B1621"/>
    <w:rsid w:val="004B1E2A"/>
    <w:rsid w:val="004B1EB7"/>
    <w:rsid w:val="004B21B7"/>
    <w:rsid w:val="004B2679"/>
    <w:rsid w:val="004B295C"/>
    <w:rsid w:val="004B2D27"/>
    <w:rsid w:val="004B2E8E"/>
    <w:rsid w:val="004B31B8"/>
    <w:rsid w:val="004B40BD"/>
    <w:rsid w:val="004B49D3"/>
    <w:rsid w:val="004B5616"/>
    <w:rsid w:val="004B56A4"/>
    <w:rsid w:val="004B5908"/>
    <w:rsid w:val="004B5B1D"/>
    <w:rsid w:val="004B5F4A"/>
    <w:rsid w:val="004B67E9"/>
    <w:rsid w:val="004B6950"/>
    <w:rsid w:val="004B695B"/>
    <w:rsid w:val="004B7112"/>
    <w:rsid w:val="004B71E7"/>
    <w:rsid w:val="004B7372"/>
    <w:rsid w:val="004B7734"/>
    <w:rsid w:val="004B7B2C"/>
    <w:rsid w:val="004B7DE6"/>
    <w:rsid w:val="004B7F76"/>
    <w:rsid w:val="004C00C5"/>
    <w:rsid w:val="004C1324"/>
    <w:rsid w:val="004C1420"/>
    <w:rsid w:val="004C15B6"/>
    <w:rsid w:val="004C1A64"/>
    <w:rsid w:val="004C1BB7"/>
    <w:rsid w:val="004C1E35"/>
    <w:rsid w:val="004C1F57"/>
    <w:rsid w:val="004C207B"/>
    <w:rsid w:val="004C2145"/>
    <w:rsid w:val="004C2438"/>
    <w:rsid w:val="004C244F"/>
    <w:rsid w:val="004C2547"/>
    <w:rsid w:val="004C25C4"/>
    <w:rsid w:val="004C267C"/>
    <w:rsid w:val="004C29B1"/>
    <w:rsid w:val="004C2AE2"/>
    <w:rsid w:val="004C2D3C"/>
    <w:rsid w:val="004C3DC6"/>
    <w:rsid w:val="004C3F0F"/>
    <w:rsid w:val="004C45BC"/>
    <w:rsid w:val="004C4757"/>
    <w:rsid w:val="004C50D3"/>
    <w:rsid w:val="004C5317"/>
    <w:rsid w:val="004C5AA5"/>
    <w:rsid w:val="004C5D1B"/>
    <w:rsid w:val="004C5E3D"/>
    <w:rsid w:val="004C6997"/>
    <w:rsid w:val="004C6ABD"/>
    <w:rsid w:val="004C6E45"/>
    <w:rsid w:val="004C6F68"/>
    <w:rsid w:val="004C71CB"/>
    <w:rsid w:val="004C7E5C"/>
    <w:rsid w:val="004D0335"/>
    <w:rsid w:val="004D0737"/>
    <w:rsid w:val="004D0995"/>
    <w:rsid w:val="004D1130"/>
    <w:rsid w:val="004D17DA"/>
    <w:rsid w:val="004D18C3"/>
    <w:rsid w:val="004D1978"/>
    <w:rsid w:val="004D1BC9"/>
    <w:rsid w:val="004D1BED"/>
    <w:rsid w:val="004D24CA"/>
    <w:rsid w:val="004D2590"/>
    <w:rsid w:val="004D26FF"/>
    <w:rsid w:val="004D27DA"/>
    <w:rsid w:val="004D2C77"/>
    <w:rsid w:val="004D32E9"/>
    <w:rsid w:val="004D3855"/>
    <w:rsid w:val="004D3A4B"/>
    <w:rsid w:val="004D3ABE"/>
    <w:rsid w:val="004D3AC7"/>
    <w:rsid w:val="004D4934"/>
    <w:rsid w:val="004D4AA5"/>
    <w:rsid w:val="004D4AAD"/>
    <w:rsid w:val="004D4C01"/>
    <w:rsid w:val="004D4C2D"/>
    <w:rsid w:val="004D60F9"/>
    <w:rsid w:val="004D61F1"/>
    <w:rsid w:val="004D634D"/>
    <w:rsid w:val="004D6DAD"/>
    <w:rsid w:val="004D6E0E"/>
    <w:rsid w:val="004D6E62"/>
    <w:rsid w:val="004D6F67"/>
    <w:rsid w:val="004D7769"/>
    <w:rsid w:val="004D779D"/>
    <w:rsid w:val="004D780B"/>
    <w:rsid w:val="004D7C4C"/>
    <w:rsid w:val="004E043B"/>
    <w:rsid w:val="004E059C"/>
    <w:rsid w:val="004E0703"/>
    <w:rsid w:val="004E08A5"/>
    <w:rsid w:val="004E0FA9"/>
    <w:rsid w:val="004E122C"/>
    <w:rsid w:val="004E124A"/>
    <w:rsid w:val="004E1383"/>
    <w:rsid w:val="004E140E"/>
    <w:rsid w:val="004E1678"/>
    <w:rsid w:val="004E1C39"/>
    <w:rsid w:val="004E23D7"/>
    <w:rsid w:val="004E26E9"/>
    <w:rsid w:val="004E275D"/>
    <w:rsid w:val="004E2CD7"/>
    <w:rsid w:val="004E36C4"/>
    <w:rsid w:val="004E3792"/>
    <w:rsid w:val="004E3D54"/>
    <w:rsid w:val="004E43A8"/>
    <w:rsid w:val="004E4870"/>
    <w:rsid w:val="004E4E8F"/>
    <w:rsid w:val="004E4FAA"/>
    <w:rsid w:val="004E506F"/>
    <w:rsid w:val="004E5355"/>
    <w:rsid w:val="004E53CE"/>
    <w:rsid w:val="004E57DE"/>
    <w:rsid w:val="004E5839"/>
    <w:rsid w:val="004E58CE"/>
    <w:rsid w:val="004E5B06"/>
    <w:rsid w:val="004E5B93"/>
    <w:rsid w:val="004E6009"/>
    <w:rsid w:val="004E6088"/>
    <w:rsid w:val="004E6A5E"/>
    <w:rsid w:val="004E6E91"/>
    <w:rsid w:val="004E7566"/>
    <w:rsid w:val="004E76A3"/>
    <w:rsid w:val="004E7F2A"/>
    <w:rsid w:val="004F030E"/>
    <w:rsid w:val="004F0723"/>
    <w:rsid w:val="004F0739"/>
    <w:rsid w:val="004F0AB0"/>
    <w:rsid w:val="004F0FA7"/>
    <w:rsid w:val="004F1289"/>
    <w:rsid w:val="004F20E9"/>
    <w:rsid w:val="004F283F"/>
    <w:rsid w:val="004F2F23"/>
    <w:rsid w:val="004F3469"/>
    <w:rsid w:val="004F348B"/>
    <w:rsid w:val="004F37CC"/>
    <w:rsid w:val="004F3966"/>
    <w:rsid w:val="004F5134"/>
    <w:rsid w:val="004F5137"/>
    <w:rsid w:val="004F608A"/>
    <w:rsid w:val="004F6C58"/>
    <w:rsid w:val="004F6C9A"/>
    <w:rsid w:val="004F6CA5"/>
    <w:rsid w:val="004F7088"/>
    <w:rsid w:val="004F785E"/>
    <w:rsid w:val="004F7F5A"/>
    <w:rsid w:val="005000B4"/>
    <w:rsid w:val="005001DD"/>
    <w:rsid w:val="0050035F"/>
    <w:rsid w:val="00500B96"/>
    <w:rsid w:val="00500E12"/>
    <w:rsid w:val="00501B77"/>
    <w:rsid w:val="00502194"/>
    <w:rsid w:val="00502583"/>
    <w:rsid w:val="00502CBB"/>
    <w:rsid w:val="00503327"/>
    <w:rsid w:val="005034BC"/>
    <w:rsid w:val="00503573"/>
    <w:rsid w:val="00503E61"/>
    <w:rsid w:val="00504085"/>
    <w:rsid w:val="005042FD"/>
    <w:rsid w:val="0050502B"/>
    <w:rsid w:val="00505580"/>
    <w:rsid w:val="00505867"/>
    <w:rsid w:val="0050697A"/>
    <w:rsid w:val="00506A5D"/>
    <w:rsid w:val="00506C73"/>
    <w:rsid w:val="00506D70"/>
    <w:rsid w:val="00506F67"/>
    <w:rsid w:val="0050735F"/>
    <w:rsid w:val="005079D1"/>
    <w:rsid w:val="005079F8"/>
    <w:rsid w:val="00507A66"/>
    <w:rsid w:val="00507B8B"/>
    <w:rsid w:val="00507D7D"/>
    <w:rsid w:val="0051004A"/>
    <w:rsid w:val="00510685"/>
    <w:rsid w:val="0051077C"/>
    <w:rsid w:val="0051149A"/>
    <w:rsid w:val="00511BA8"/>
    <w:rsid w:val="00511EDE"/>
    <w:rsid w:val="00512517"/>
    <w:rsid w:val="00512836"/>
    <w:rsid w:val="0051302F"/>
    <w:rsid w:val="005131EF"/>
    <w:rsid w:val="0051327E"/>
    <w:rsid w:val="00513607"/>
    <w:rsid w:val="00513DF7"/>
    <w:rsid w:val="005148A8"/>
    <w:rsid w:val="00514BFB"/>
    <w:rsid w:val="00514D4B"/>
    <w:rsid w:val="00514F5B"/>
    <w:rsid w:val="005150F7"/>
    <w:rsid w:val="0051513F"/>
    <w:rsid w:val="005152FC"/>
    <w:rsid w:val="005154DA"/>
    <w:rsid w:val="005157F7"/>
    <w:rsid w:val="00515DDA"/>
    <w:rsid w:val="00517ED0"/>
    <w:rsid w:val="00520A14"/>
    <w:rsid w:val="00520BE6"/>
    <w:rsid w:val="00520EF2"/>
    <w:rsid w:val="0052125A"/>
    <w:rsid w:val="00521FDA"/>
    <w:rsid w:val="00522B22"/>
    <w:rsid w:val="0052328B"/>
    <w:rsid w:val="00523401"/>
    <w:rsid w:val="005234F6"/>
    <w:rsid w:val="005237C6"/>
    <w:rsid w:val="0052440D"/>
    <w:rsid w:val="005247AE"/>
    <w:rsid w:val="00524A4B"/>
    <w:rsid w:val="00524ED6"/>
    <w:rsid w:val="005251EE"/>
    <w:rsid w:val="0052564E"/>
    <w:rsid w:val="00525843"/>
    <w:rsid w:val="00525928"/>
    <w:rsid w:val="005259FB"/>
    <w:rsid w:val="00526102"/>
    <w:rsid w:val="00526378"/>
    <w:rsid w:val="005263A2"/>
    <w:rsid w:val="005268F6"/>
    <w:rsid w:val="0052696E"/>
    <w:rsid w:val="00526A0F"/>
    <w:rsid w:val="00526EBE"/>
    <w:rsid w:val="00526ED0"/>
    <w:rsid w:val="00527E30"/>
    <w:rsid w:val="00527F55"/>
    <w:rsid w:val="0053057A"/>
    <w:rsid w:val="00530856"/>
    <w:rsid w:val="00530CFF"/>
    <w:rsid w:val="00530EF1"/>
    <w:rsid w:val="0053181C"/>
    <w:rsid w:val="00531D2C"/>
    <w:rsid w:val="00531DA2"/>
    <w:rsid w:val="00531FC7"/>
    <w:rsid w:val="005320FC"/>
    <w:rsid w:val="0053244B"/>
    <w:rsid w:val="00532703"/>
    <w:rsid w:val="005329EF"/>
    <w:rsid w:val="00532F03"/>
    <w:rsid w:val="00533762"/>
    <w:rsid w:val="0053389F"/>
    <w:rsid w:val="00533B89"/>
    <w:rsid w:val="00533F7B"/>
    <w:rsid w:val="00534006"/>
    <w:rsid w:val="00534491"/>
    <w:rsid w:val="005345E5"/>
    <w:rsid w:val="005346C4"/>
    <w:rsid w:val="00534828"/>
    <w:rsid w:val="00534B56"/>
    <w:rsid w:val="00534E67"/>
    <w:rsid w:val="0053510D"/>
    <w:rsid w:val="0053520C"/>
    <w:rsid w:val="005354CC"/>
    <w:rsid w:val="0053552A"/>
    <w:rsid w:val="00535909"/>
    <w:rsid w:val="00535936"/>
    <w:rsid w:val="00536DB9"/>
    <w:rsid w:val="00537369"/>
    <w:rsid w:val="00537D59"/>
    <w:rsid w:val="0054013F"/>
    <w:rsid w:val="005401B2"/>
    <w:rsid w:val="00540520"/>
    <w:rsid w:val="0054076E"/>
    <w:rsid w:val="00540D60"/>
    <w:rsid w:val="00540F19"/>
    <w:rsid w:val="005416B3"/>
    <w:rsid w:val="0054196A"/>
    <w:rsid w:val="00541C21"/>
    <w:rsid w:val="00541C8B"/>
    <w:rsid w:val="00541E40"/>
    <w:rsid w:val="00541E6D"/>
    <w:rsid w:val="00541F67"/>
    <w:rsid w:val="00542343"/>
    <w:rsid w:val="005429BA"/>
    <w:rsid w:val="00542A81"/>
    <w:rsid w:val="00542B3A"/>
    <w:rsid w:val="00543438"/>
    <w:rsid w:val="00543822"/>
    <w:rsid w:val="00543F03"/>
    <w:rsid w:val="00543F1B"/>
    <w:rsid w:val="00543F44"/>
    <w:rsid w:val="005441B3"/>
    <w:rsid w:val="00544AEF"/>
    <w:rsid w:val="00545113"/>
    <w:rsid w:val="00545419"/>
    <w:rsid w:val="00545B06"/>
    <w:rsid w:val="00545BEE"/>
    <w:rsid w:val="00545D96"/>
    <w:rsid w:val="00545F3D"/>
    <w:rsid w:val="00545FCC"/>
    <w:rsid w:val="005462AE"/>
    <w:rsid w:val="00546366"/>
    <w:rsid w:val="0054659B"/>
    <w:rsid w:val="00546E26"/>
    <w:rsid w:val="00546F12"/>
    <w:rsid w:val="00546F2D"/>
    <w:rsid w:val="0054702C"/>
    <w:rsid w:val="005475C6"/>
    <w:rsid w:val="00547F38"/>
    <w:rsid w:val="005500E9"/>
    <w:rsid w:val="00550FFA"/>
    <w:rsid w:val="00551691"/>
    <w:rsid w:val="005516C8"/>
    <w:rsid w:val="0055170C"/>
    <w:rsid w:val="00551888"/>
    <w:rsid w:val="00551891"/>
    <w:rsid w:val="005525D4"/>
    <w:rsid w:val="00552C2D"/>
    <w:rsid w:val="00552E66"/>
    <w:rsid w:val="005534A6"/>
    <w:rsid w:val="00553DA9"/>
    <w:rsid w:val="00554160"/>
    <w:rsid w:val="00554407"/>
    <w:rsid w:val="00554813"/>
    <w:rsid w:val="00555A65"/>
    <w:rsid w:val="00555C5A"/>
    <w:rsid w:val="00555D4E"/>
    <w:rsid w:val="00555EDF"/>
    <w:rsid w:val="00555EFC"/>
    <w:rsid w:val="00556ECC"/>
    <w:rsid w:val="00556F26"/>
    <w:rsid w:val="00557658"/>
    <w:rsid w:val="00557910"/>
    <w:rsid w:val="005579E9"/>
    <w:rsid w:val="00557AE2"/>
    <w:rsid w:val="00560163"/>
    <w:rsid w:val="0056019B"/>
    <w:rsid w:val="00560624"/>
    <w:rsid w:val="005606FB"/>
    <w:rsid w:val="00561491"/>
    <w:rsid w:val="005615C1"/>
    <w:rsid w:val="00561EB2"/>
    <w:rsid w:val="00562ACA"/>
    <w:rsid w:val="0056303D"/>
    <w:rsid w:val="0056348E"/>
    <w:rsid w:val="00563A4F"/>
    <w:rsid w:val="00564435"/>
    <w:rsid w:val="00564523"/>
    <w:rsid w:val="005647BB"/>
    <w:rsid w:val="00564B00"/>
    <w:rsid w:val="00564E0E"/>
    <w:rsid w:val="00564F7C"/>
    <w:rsid w:val="005659AE"/>
    <w:rsid w:val="00565AC3"/>
    <w:rsid w:val="0056662B"/>
    <w:rsid w:val="00566ACB"/>
    <w:rsid w:val="00566CCA"/>
    <w:rsid w:val="005678F7"/>
    <w:rsid w:val="00567EB7"/>
    <w:rsid w:val="005701AD"/>
    <w:rsid w:val="00570615"/>
    <w:rsid w:val="005707B0"/>
    <w:rsid w:val="005712DB"/>
    <w:rsid w:val="005714C2"/>
    <w:rsid w:val="005718E4"/>
    <w:rsid w:val="005718EB"/>
    <w:rsid w:val="00571B54"/>
    <w:rsid w:val="00571BF9"/>
    <w:rsid w:val="00571F48"/>
    <w:rsid w:val="005722C5"/>
    <w:rsid w:val="00572E6D"/>
    <w:rsid w:val="00573662"/>
    <w:rsid w:val="00574AC3"/>
    <w:rsid w:val="0057516F"/>
    <w:rsid w:val="00575565"/>
    <w:rsid w:val="00575DC7"/>
    <w:rsid w:val="00575EF5"/>
    <w:rsid w:val="00577022"/>
    <w:rsid w:val="005770E7"/>
    <w:rsid w:val="0057722F"/>
    <w:rsid w:val="00577A3A"/>
    <w:rsid w:val="00577C7E"/>
    <w:rsid w:val="00577D2E"/>
    <w:rsid w:val="00577D4F"/>
    <w:rsid w:val="00581122"/>
    <w:rsid w:val="005820B0"/>
    <w:rsid w:val="005821EA"/>
    <w:rsid w:val="00582200"/>
    <w:rsid w:val="0058224E"/>
    <w:rsid w:val="005826D6"/>
    <w:rsid w:val="00582904"/>
    <w:rsid w:val="00582946"/>
    <w:rsid w:val="005829D9"/>
    <w:rsid w:val="0058302D"/>
    <w:rsid w:val="005837EA"/>
    <w:rsid w:val="0058383B"/>
    <w:rsid w:val="00583A00"/>
    <w:rsid w:val="00583FF1"/>
    <w:rsid w:val="0058402E"/>
    <w:rsid w:val="00584AAA"/>
    <w:rsid w:val="005852BE"/>
    <w:rsid w:val="00585B42"/>
    <w:rsid w:val="005861AB"/>
    <w:rsid w:val="00586817"/>
    <w:rsid w:val="00586A5D"/>
    <w:rsid w:val="00586C54"/>
    <w:rsid w:val="00587B52"/>
    <w:rsid w:val="00587BC3"/>
    <w:rsid w:val="00587F0F"/>
    <w:rsid w:val="005900AD"/>
    <w:rsid w:val="0059039C"/>
    <w:rsid w:val="005911B3"/>
    <w:rsid w:val="0059138E"/>
    <w:rsid w:val="005917EB"/>
    <w:rsid w:val="0059190F"/>
    <w:rsid w:val="005924FD"/>
    <w:rsid w:val="00592508"/>
    <w:rsid w:val="00592886"/>
    <w:rsid w:val="00592944"/>
    <w:rsid w:val="00592967"/>
    <w:rsid w:val="00592C4D"/>
    <w:rsid w:val="00593588"/>
    <w:rsid w:val="00594418"/>
    <w:rsid w:val="005944B0"/>
    <w:rsid w:val="0059458D"/>
    <w:rsid w:val="00594BD8"/>
    <w:rsid w:val="00595169"/>
    <w:rsid w:val="005952AE"/>
    <w:rsid w:val="005953F9"/>
    <w:rsid w:val="00595570"/>
    <w:rsid w:val="0059571E"/>
    <w:rsid w:val="00595B92"/>
    <w:rsid w:val="00596087"/>
    <w:rsid w:val="00596274"/>
    <w:rsid w:val="0059649A"/>
    <w:rsid w:val="005966B1"/>
    <w:rsid w:val="005969F3"/>
    <w:rsid w:val="00596C63"/>
    <w:rsid w:val="00597383"/>
    <w:rsid w:val="005974FE"/>
    <w:rsid w:val="00597A90"/>
    <w:rsid w:val="00597B61"/>
    <w:rsid w:val="005A0934"/>
    <w:rsid w:val="005A0A99"/>
    <w:rsid w:val="005A0B2B"/>
    <w:rsid w:val="005A0B87"/>
    <w:rsid w:val="005A0DE0"/>
    <w:rsid w:val="005A149E"/>
    <w:rsid w:val="005A1668"/>
    <w:rsid w:val="005A1799"/>
    <w:rsid w:val="005A1AB4"/>
    <w:rsid w:val="005A1BF9"/>
    <w:rsid w:val="005A1D7D"/>
    <w:rsid w:val="005A231B"/>
    <w:rsid w:val="005A2329"/>
    <w:rsid w:val="005A239B"/>
    <w:rsid w:val="005A2469"/>
    <w:rsid w:val="005A278E"/>
    <w:rsid w:val="005A2806"/>
    <w:rsid w:val="005A29A4"/>
    <w:rsid w:val="005A2E5B"/>
    <w:rsid w:val="005A3321"/>
    <w:rsid w:val="005A3365"/>
    <w:rsid w:val="005A35D7"/>
    <w:rsid w:val="005A39D5"/>
    <w:rsid w:val="005A4284"/>
    <w:rsid w:val="005A44B4"/>
    <w:rsid w:val="005A45AA"/>
    <w:rsid w:val="005A47D1"/>
    <w:rsid w:val="005A47D5"/>
    <w:rsid w:val="005A500C"/>
    <w:rsid w:val="005A53F5"/>
    <w:rsid w:val="005A59F5"/>
    <w:rsid w:val="005A5B46"/>
    <w:rsid w:val="005A5EAF"/>
    <w:rsid w:val="005A60C7"/>
    <w:rsid w:val="005A6257"/>
    <w:rsid w:val="005A6333"/>
    <w:rsid w:val="005A67A8"/>
    <w:rsid w:val="005A6C11"/>
    <w:rsid w:val="005A7204"/>
    <w:rsid w:val="005A7494"/>
    <w:rsid w:val="005A77BB"/>
    <w:rsid w:val="005A7922"/>
    <w:rsid w:val="005B04E2"/>
    <w:rsid w:val="005B05BB"/>
    <w:rsid w:val="005B0753"/>
    <w:rsid w:val="005B0DFC"/>
    <w:rsid w:val="005B0DFD"/>
    <w:rsid w:val="005B1778"/>
    <w:rsid w:val="005B1ABC"/>
    <w:rsid w:val="005B2025"/>
    <w:rsid w:val="005B20A4"/>
    <w:rsid w:val="005B2377"/>
    <w:rsid w:val="005B2760"/>
    <w:rsid w:val="005B2995"/>
    <w:rsid w:val="005B2CA6"/>
    <w:rsid w:val="005B3397"/>
    <w:rsid w:val="005B35BF"/>
    <w:rsid w:val="005B3848"/>
    <w:rsid w:val="005B3C81"/>
    <w:rsid w:val="005B46A9"/>
    <w:rsid w:val="005B511C"/>
    <w:rsid w:val="005B544B"/>
    <w:rsid w:val="005B54B3"/>
    <w:rsid w:val="005B553F"/>
    <w:rsid w:val="005B5980"/>
    <w:rsid w:val="005B5B63"/>
    <w:rsid w:val="005B6939"/>
    <w:rsid w:val="005B6CEF"/>
    <w:rsid w:val="005B6E4F"/>
    <w:rsid w:val="005B7160"/>
    <w:rsid w:val="005B738B"/>
    <w:rsid w:val="005B75D3"/>
    <w:rsid w:val="005B766D"/>
    <w:rsid w:val="005B7790"/>
    <w:rsid w:val="005B77C7"/>
    <w:rsid w:val="005B7915"/>
    <w:rsid w:val="005C0532"/>
    <w:rsid w:val="005C071E"/>
    <w:rsid w:val="005C0A71"/>
    <w:rsid w:val="005C0FE1"/>
    <w:rsid w:val="005C16AE"/>
    <w:rsid w:val="005C176E"/>
    <w:rsid w:val="005C1780"/>
    <w:rsid w:val="005C1B56"/>
    <w:rsid w:val="005C1D79"/>
    <w:rsid w:val="005C215C"/>
    <w:rsid w:val="005C266F"/>
    <w:rsid w:val="005C29AB"/>
    <w:rsid w:val="005C329A"/>
    <w:rsid w:val="005C3542"/>
    <w:rsid w:val="005C360F"/>
    <w:rsid w:val="005C375F"/>
    <w:rsid w:val="005C3C42"/>
    <w:rsid w:val="005C3C6F"/>
    <w:rsid w:val="005C3CAB"/>
    <w:rsid w:val="005C4709"/>
    <w:rsid w:val="005C472B"/>
    <w:rsid w:val="005C5158"/>
    <w:rsid w:val="005C5412"/>
    <w:rsid w:val="005C55A5"/>
    <w:rsid w:val="005C55D1"/>
    <w:rsid w:val="005C599F"/>
    <w:rsid w:val="005C59C8"/>
    <w:rsid w:val="005C5A9C"/>
    <w:rsid w:val="005C5AE1"/>
    <w:rsid w:val="005C5F80"/>
    <w:rsid w:val="005C6012"/>
    <w:rsid w:val="005C6230"/>
    <w:rsid w:val="005C6899"/>
    <w:rsid w:val="005C6C29"/>
    <w:rsid w:val="005C6C9F"/>
    <w:rsid w:val="005C718B"/>
    <w:rsid w:val="005C796B"/>
    <w:rsid w:val="005C7AF3"/>
    <w:rsid w:val="005C7BC2"/>
    <w:rsid w:val="005C7BF9"/>
    <w:rsid w:val="005D00C4"/>
    <w:rsid w:val="005D0225"/>
    <w:rsid w:val="005D0547"/>
    <w:rsid w:val="005D0798"/>
    <w:rsid w:val="005D08B5"/>
    <w:rsid w:val="005D092B"/>
    <w:rsid w:val="005D0C9C"/>
    <w:rsid w:val="005D0F38"/>
    <w:rsid w:val="005D1016"/>
    <w:rsid w:val="005D1475"/>
    <w:rsid w:val="005D1C7C"/>
    <w:rsid w:val="005D2154"/>
    <w:rsid w:val="005D2155"/>
    <w:rsid w:val="005D274E"/>
    <w:rsid w:val="005D30A4"/>
    <w:rsid w:val="005D3455"/>
    <w:rsid w:val="005D36D7"/>
    <w:rsid w:val="005D4114"/>
    <w:rsid w:val="005D424D"/>
    <w:rsid w:val="005D43A8"/>
    <w:rsid w:val="005D4B6B"/>
    <w:rsid w:val="005D527A"/>
    <w:rsid w:val="005D5437"/>
    <w:rsid w:val="005D5600"/>
    <w:rsid w:val="005D5A12"/>
    <w:rsid w:val="005D5BA1"/>
    <w:rsid w:val="005D5FD1"/>
    <w:rsid w:val="005D68BC"/>
    <w:rsid w:val="005D6B81"/>
    <w:rsid w:val="005D6C2F"/>
    <w:rsid w:val="005D6E6D"/>
    <w:rsid w:val="005D6FA2"/>
    <w:rsid w:val="005D6FBA"/>
    <w:rsid w:val="005D7071"/>
    <w:rsid w:val="005D7BB0"/>
    <w:rsid w:val="005D7E29"/>
    <w:rsid w:val="005E0146"/>
    <w:rsid w:val="005E08F8"/>
    <w:rsid w:val="005E10F5"/>
    <w:rsid w:val="005E1BFD"/>
    <w:rsid w:val="005E2BA3"/>
    <w:rsid w:val="005E2D07"/>
    <w:rsid w:val="005E2D32"/>
    <w:rsid w:val="005E3328"/>
    <w:rsid w:val="005E3A3E"/>
    <w:rsid w:val="005E493C"/>
    <w:rsid w:val="005E4BFA"/>
    <w:rsid w:val="005E4F23"/>
    <w:rsid w:val="005E58DB"/>
    <w:rsid w:val="005E5A04"/>
    <w:rsid w:val="005E608B"/>
    <w:rsid w:val="005E62FB"/>
    <w:rsid w:val="005E65B8"/>
    <w:rsid w:val="005E68F7"/>
    <w:rsid w:val="005E6BD6"/>
    <w:rsid w:val="005E730A"/>
    <w:rsid w:val="005E7A08"/>
    <w:rsid w:val="005E7BC4"/>
    <w:rsid w:val="005E7D69"/>
    <w:rsid w:val="005F0135"/>
    <w:rsid w:val="005F07C8"/>
    <w:rsid w:val="005F0834"/>
    <w:rsid w:val="005F0980"/>
    <w:rsid w:val="005F0B01"/>
    <w:rsid w:val="005F0BA3"/>
    <w:rsid w:val="005F0CCB"/>
    <w:rsid w:val="005F0FE3"/>
    <w:rsid w:val="005F1092"/>
    <w:rsid w:val="005F1578"/>
    <w:rsid w:val="005F160B"/>
    <w:rsid w:val="005F177F"/>
    <w:rsid w:val="005F196B"/>
    <w:rsid w:val="005F21BE"/>
    <w:rsid w:val="005F2242"/>
    <w:rsid w:val="005F23BC"/>
    <w:rsid w:val="005F23F8"/>
    <w:rsid w:val="005F2E80"/>
    <w:rsid w:val="005F30F1"/>
    <w:rsid w:val="005F44E1"/>
    <w:rsid w:val="005F49E8"/>
    <w:rsid w:val="005F4B4A"/>
    <w:rsid w:val="005F4CD2"/>
    <w:rsid w:val="005F65D5"/>
    <w:rsid w:val="005F6823"/>
    <w:rsid w:val="005F6B53"/>
    <w:rsid w:val="005F6BB7"/>
    <w:rsid w:val="005F6D79"/>
    <w:rsid w:val="005F6E7B"/>
    <w:rsid w:val="005F6F22"/>
    <w:rsid w:val="005F71C9"/>
    <w:rsid w:val="005F7CA8"/>
    <w:rsid w:val="005F7CC9"/>
    <w:rsid w:val="005F7EC8"/>
    <w:rsid w:val="005F7F65"/>
    <w:rsid w:val="0060053F"/>
    <w:rsid w:val="00600694"/>
    <w:rsid w:val="006009D4"/>
    <w:rsid w:val="00601086"/>
    <w:rsid w:val="006010CD"/>
    <w:rsid w:val="00601155"/>
    <w:rsid w:val="00601A03"/>
    <w:rsid w:val="00601E3B"/>
    <w:rsid w:val="0060293A"/>
    <w:rsid w:val="00602AA6"/>
    <w:rsid w:val="00603987"/>
    <w:rsid w:val="00603A03"/>
    <w:rsid w:val="00603C9F"/>
    <w:rsid w:val="00604595"/>
    <w:rsid w:val="006047E3"/>
    <w:rsid w:val="0060574D"/>
    <w:rsid w:val="00605997"/>
    <w:rsid w:val="00605A0A"/>
    <w:rsid w:val="00605A7F"/>
    <w:rsid w:val="006062ED"/>
    <w:rsid w:val="00606426"/>
    <w:rsid w:val="00606966"/>
    <w:rsid w:val="00606AE8"/>
    <w:rsid w:val="00606B13"/>
    <w:rsid w:val="006070F0"/>
    <w:rsid w:val="00607394"/>
    <w:rsid w:val="0060739B"/>
    <w:rsid w:val="00607818"/>
    <w:rsid w:val="00610488"/>
    <w:rsid w:val="0061092D"/>
    <w:rsid w:val="00610935"/>
    <w:rsid w:val="006109DA"/>
    <w:rsid w:val="00610B2C"/>
    <w:rsid w:val="00610CF2"/>
    <w:rsid w:val="00610EE5"/>
    <w:rsid w:val="006115FB"/>
    <w:rsid w:val="00611848"/>
    <w:rsid w:val="00611D92"/>
    <w:rsid w:val="00612E80"/>
    <w:rsid w:val="0061319B"/>
    <w:rsid w:val="00613598"/>
    <w:rsid w:val="00613690"/>
    <w:rsid w:val="00613758"/>
    <w:rsid w:val="00613DD6"/>
    <w:rsid w:val="006147CE"/>
    <w:rsid w:val="006147D6"/>
    <w:rsid w:val="0061481D"/>
    <w:rsid w:val="00614829"/>
    <w:rsid w:val="00615AF4"/>
    <w:rsid w:val="00615FFA"/>
    <w:rsid w:val="00616275"/>
    <w:rsid w:val="006162DD"/>
    <w:rsid w:val="00616D40"/>
    <w:rsid w:val="00616E34"/>
    <w:rsid w:val="0061714A"/>
    <w:rsid w:val="006174B2"/>
    <w:rsid w:val="006177BA"/>
    <w:rsid w:val="006179FC"/>
    <w:rsid w:val="00617AF9"/>
    <w:rsid w:val="00617B98"/>
    <w:rsid w:val="00620122"/>
    <w:rsid w:val="0062055B"/>
    <w:rsid w:val="006206C7"/>
    <w:rsid w:val="00620D25"/>
    <w:rsid w:val="0062105A"/>
    <w:rsid w:val="00621124"/>
    <w:rsid w:val="0062146D"/>
    <w:rsid w:val="00621C9A"/>
    <w:rsid w:val="00621E43"/>
    <w:rsid w:val="00622363"/>
    <w:rsid w:val="0062278E"/>
    <w:rsid w:val="0062290B"/>
    <w:rsid w:val="00622941"/>
    <w:rsid w:val="0062294A"/>
    <w:rsid w:val="00622F8C"/>
    <w:rsid w:val="0062304C"/>
    <w:rsid w:val="0062376F"/>
    <w:rsid w:val="00623929"/>
    <w:rsid w:val="00623BC6"/>
    <w:rsid w:val="00623E04"/>
    <w:rsid w:val="0062491F"/>
    <w:rsid w:val="00624BB4"/>
    <w:rsid w:val="006252D8"/>
    <w:rsid w:val="00625336"/>
    <w:rsid w:val="00625925"/>
    <w:rsid w:val="00625E5F"/>
    <w:rsid w:val="00625F86"/>
    <w:rsid w:val="006260B9"/>
    <w:rsid w:val="006264EC"/>
    <w:rsid w:val="00626852"/>
    <w:rsid w:val="0062685A"/>
    <w:rsid w:val="00626DCC"/>
    <w:rsid w:val="00626F95"/>
    <w:rsid w:val="00627145"/>
    <w:rsid w:val="006271D0"/>
    <w:rsid w:val="0063016D"/>
    <w:rsid w:val="00630789"/>
    <w:rsid w:val="00630CD9"/>
    <w:rsid w:val="00630CF0"/>
    <w:rsid w:val="006311FC"/>
    <w:rsid w:val="0063121B"/>
    <w:rsid w:val="0063156F"/>
    <w:rsid w:val="00631871"/>
    <w:rsid w:val="0063235D"/>
    <w:rsid w:val="00632B3E"/>
    <w:rsid w:val="00633004"/>
    <w:rsid w:val="00633736"/>
    <w:rsid w:val="006338F1"/>
    <w:rsid w:val="00633AF6"/>
    <w:rsid w:val="00633E71"/>
    <w:rsid w:val="00633F79"/>
    <w:rsid w:val="006343D2"/>
    <w:rsid w:val="006349F4"/>
    <w:rsid w:val="00634A89"/>
    <w:rsid w:val="006355DB"/>
    <w:rsid w:val="0063568E"/>
    <w:rsid w:val="00635A47"/>
    <w:rsid w:val="00635BCC"/>
    <w:rsid w:val="00636386"/>
    <w:rsid w:val="006364B4"/>
    <w:rsid w:val="00636B89"/>
    <w:rsid w:val="00636C76"/>
    <w:rsid w:val="00637280"/>
    <w:rsid w:val="00637556"/>
    <w:rsid w:val="0063768F"/>
    <w:rsid w:val="0064061D"/>
    <w:rsid w:val="00640F76"/>
    <w:rsid w:val="00641B48"/>
    <w:rsid w:val="00642447"/>
    <w:rsid w:val="00642A4B"/>
    <w:rsid w:val="00642EC6"/>
    <w:rsid w:val="00642F14"/>
    <w:rsid w:val="006432D5"/>
    <w:rsid w:val="006433E7"/>
    <w:rsid w:val="0064350C"/>
    <w:rsid w:val="0064365F"/>
    <w:rsid w:val="00643CD2"/>
    <w:rsid w:val="006445CE"/>
    <w:rsid w:val="0064485D"/>
    <w:rsid w:val="006448A6"/>
    <w:rsid w:val="00645060"/>
    <w:rsid w:val="0064541D"/>
    <w:rsid w:val="006460E8"/>
    <w:rsid w:val="00646114"/>
    <w:rsid w:val="006462AA"/>
    <w:rsid w:val="0064662D"/>
    <w:rsid w:val="00646D27"/>
    <w:rsid w:val="00647239"/>
    <w:rsid w:val="00647C5D"/>
    <w:rsid w:val="00647E24"/>
    <w:rsid w:val="0065189C"/>
    <w:rsid w:val="00651996"/>
    <w:rsid w:val="00651E07"/>
    <w:rsid w:val="006522B5"/>
    <w:rsid w:val="006522EA"/>
    <w:rsid w:val="00652A25"/>
    <w:rsid w:val="00652E61"/>
    <w:rsid w:val="00652EDA"/>
    <w:rsid w:val="00653015"/>
    <w:rsid w:val="006532C3"/>
    <w:rsid w:val="00654107"/>
    <w:rsid w:val="006541B3"/>
    <w:rsid w:val="00654360"/>
    <w:rsid w:val="00654491"/>
    <w:rsid w:val="006544AF"/>
    <w:rsid w:val="006546C1"/>
    <w:rsid w:val="006546E5"/>
    <w:rsid w:val="0065482F"/>
    <w:rsid w:val="006549B6"/>
    <w:rsid w:val="00654A05"/>
    <w:rsid w:val="0065517A"/>
    <w:rsid w:val="00655495"/>
    <w:rsid w:val="0065561B"/>
    <w:rsid w:val="0065607C"/>
    <w:rsid w:val="00656631"/>
    <w:rsid w:val="00656842"/>
    <w:rsid w:val="006569A3"/>
    <w:rsid w:val="00657162"/>
    <w:rsid w:val="00657587"/>
    <w:rsid w:val="006575A9"/>
    <w:rsid w:val="006575D0"/>
    <w:rsid w:val="0065763D"/>
    <w:rsid w:val="00657E2C"/>
    <w:rsid w:val="006601B4"/>
    <w:rsid w:val="006608C1"/>
    <w:rsid w:val="00660950"/>
    <w:rsid w:val="0066101D"/>
    <w:rsid w:val="00661332"/>
    <w:rsid w:val="0066139A"/>
    <w:rsid w:val="00661A3C"/>
    <w:rsid w:val="00661B0A"/>
    <w:rsid w:val="00662258"/>
    <w:rsid w:val="00662414"/>
    <w:rsid w:val="00662429"/>
    <w:rsid w:val="00662EC2"/>
    <w:rsid w:val="00663065"/>
    <w:rsid w:val="006630B2"/>
    <w:rsid w:val="0066347C"/>
    <w:rsid w:val="0066394C"/>
    <w:rsid w:val="00663E9C"/>
    <w:rsid w:val="00664075"/>
    <w:rsid w:val="0066494B"/>
    <w:rsid w:val="00664A0E"/>
    <w:rsid w:val="00664FF6"/>
    <w:rsid w:val="006656D9"/>
    <w:rsid w:val="00665CC8"/>
    <w:rsid w:val="00665F88"/>
    <w:rsid w:val="006667D6"/>
    <w:rsid w:val="00666B2F"/>
    <w:rsid w:val="00667247"/>
    <w:rsid w:val="006674D8"/>
    <w:rsid w:val="006703B6"/>
    <w:rsid w:val="0067040B"/>
    <w:rsid w:val="00670747"/>
    <w:rsid w:val="00670E6E"/>
    <w:rsid w:val="00671784"/>
    <w:rsid w:val="0067265A"/>
    <w:rsid w:val="00672EB1"/>
    <w:rsid w:val="00672FD2"/>
    <w:rsid w:val="006731CB"/>
    <w:rsid w:val="00673CCB"/>
    <w:rsid w:val="00674017"/>
    <w:rsid w:val="006749FF"/>
    <w:rsid w:val="00675221"/>
    <w:rsid w:val="00675B36"/>
    <w:rsid w:val="00676D30"/>
    <w:rsid w:val="0067758A"/>
    <w:rsid w:val="006775C5"/>
    <w:rsid w:val="00680142"/>
    <w:rsid w:val="006806A7"/>
    <w:rsid w:val="00680C6F"/>
    <w:rsid w:val="00681255"/>
    <w:rsid w:val="006814CE"/>
    <w:rsid w:val="00681738"/>
    <w:rsid w:val="00681DCC"/>
    <w:rsid w:val="006820E9"/>
    <w:rsid w:val="0068238A"/>
    <w:rsid w:val="00682407"/>
    <w:rsid w:val="00682D65"/>
    <w:rsid w:val="00682DE2"/>
    <w:rsid w:val="006831F8"/>
    <w:rsid w:val="00683738"/>
    <w:rsid w:val="00683786"/>
    <w:rsid w:val="00683862"/>
    <w:rsid w:val="00683CDD"/>
    <w:rsid w:val="00683FFC"/>
    <w:rsid w:val="0068409F"/>
    <w:rsid w:val="00684B3B"/>
    <w:rsid w:val="00684CCA"/>
    <w:rsid w:val="006858CE"/>
    <w:rsid w:val="0068603A"/>
    <w:rsid w:val="00686049"/>
    <w:rsid w:val="00686066"/>
    <w:rsid w:val="00686590"/>
    <w:rsid w:val="00686A50"/>
    <w:rsid w:val="0068700D"/>
    <w:rsid w:val="0068707B"/>
    <w:rsid w:val="00687173"/>
    <w:rsid w:val="006874CC"/>
    <w:rsid w:val="00687743"/>
    <w:rsid w:val="006878B0"/>
    <w:rsid w:val="00687BD8"/>
    <w:rsid w:val="00687D54"/>
    <w:rsid w:val="00687E87"/>
    <w:rsid w:val="006906B7"/>
    <w:rsid w:val="00690E5C"/>
    <w:rsid w:val="006913E6"/>
    <w:rsid w:val="00691409"/>
    <w:rsid w:val="0069184B"/>
    <w:rsid w:val="00691998"/>
    <w:rsid w:val="00691C8C"/>
    <w:rsid w:val="00691D22"/>
    <w:rsid w:val="006920F2"/>
    <w:rsid w:val="006922AE"/>
    <w:rsid w:val="006923F9"/>
    <w:rsid w:val="0069270B"/>
    <w:rsid w:val="0069312F"/>
    <w:rsid w:val="00693241"/>
    <w:rsid w:val="00693370"/>
    <w:rsid w:val="0069356B"/>
    <w:rsid w:val="0069387A"/>
    <w:rsid w:val="006939DD"/>
    <w:rsid w:val="00693CDA"/>
    <w:rsid w:val="00693E66"/>
    <w:rsid w:val="00694680"/>
    <w:rsid w:val="00694728"/>
    <w:rsid w:val="006947A0"/>
    <w:rsid w:val="006947B5"/>
    <w:rsid w:val="0069484B"/>
    <w:rsid w:val="00694CC2"/>
    <w:rsid w:val="00694D3A"/>
    <w:rsid w:val="00694EDA"/>
    <w:rsid w:val="00695AAA"/>
    <w:rsid w:val="00695AF7"/>
    <w:rsid w:val="006962FD"/>
    <w:rsid w:val="006969DC"/>
    <w:rsid w:val="00696A5E"/>
    <w:rsid w:val="00696CEA"/>
    <w:rsid w:val="00697350"/>
    <w:rsid w:val="006974F6"/>
    <w:rsid w:val="0069780F"/>
    <w:rsid w:val="00697A72"/>
    <w:rsid w:val="006A02E8"/>
    <w:rsid w:val="006A03E0"/>
    <w:rsid w:val="006A063C"/>
    <w:rsid w:val="006A08F0"/>
    <w:rsid w:val="006A0DEC"/>
    <w:rsid w:val="006A0F25"/>
    <w:rsid w:val="006A137A"/>
    <w:rsid w:val="006A1417"/>
    <w:rsid w:val="006A14C8"/>
    <w:rsid w:val="006A14CF"/>
    <w:rsid w:val="006A19B1"/>
    <w:rsid w:val="006A21E8"/>
    <w:rsid w:val="006A226E"/>
    <w:rsid w:val="006A28E4"/>
    <w:rsid w:val="006A2F25"/>
    <w:rsid w:val="006A330B"/>
    <w:rsid w:val="006A332E"/>
    <w:rsid w:val="006A3344"/>
    <w:rsid w:val="006A353A"/>
    <w:rsid w:val="006A357C"/>
    <w:rsid w:val="006A3B4A"/>
    <w:rsid w:val="006A3C4A"/>
    <w:rsid w:val="006A3EFF"/>
    <w:rsid w:val="006A3FE9"/>
    <w:rsid w:val="006A3FFF"/>
    <w:rsid w:val="006A4125"/>
    <w:rsid w:val="006A476A"/>
    <w:rsid w:val="006A49F1"/>
    <w:rsid w:val="006A4F06"/>
    <w:rsid w:val="006A5268"/>
    <w:rsid w:val="006A5D7D"/>
    <w:rsid w:val="006A5EF1"/>
    <w:rsid w:val="006A6045"/>
    <w:rsid w:val="006A6311"/>
    <w:rsid w:val="006A64A8"/>
    <w:rsid w:val="006A6C1A"/>
    <w:rsid w:val="006A6D60"/>
    <w:rsid w:val="006A6F82"/>
    <w:rsid w:val="006A701A"/>
    <w:rsid w:val="006A72AA"/>
    <w:rsid w:val="006A78F1"/>
    <w:rsid w:val="006A7DCE"/>
    <w:rsid w:val="006B0805"/>
    <w:rsid w:val="006B0901"/>
    <w:rsid w:val="006B0C72"/>
    <w:rsid w:val="006B119C"/>
    <w:rsid w:val="006B11FA"/>
    <w:rsid w:val="006B165A"/>
    <w:rsid w:val="006B1DE6"/>
    <w:rsid w:val="006B1F91"/>
    <w:rsid w:val="006B21C5"/>
    <w:rsid w:val="006B2C16"/>
    <w:rsid w:val="006B374C"/>
    <w:rsid w:val="006B38D1"/>
    <w:rsid w:val="006B38EA"/>
    <w:rsid w:val="006B3C05"/>
    <w:rsid w:val="006B3ED1"/>
    <w:rsid w:val="006B406D"/>
    <w:rsid w:val="006B40F8"/>
    <w:rsid w:val="006B4260"/>
    <w:rsid w:val="006B443A"/>
    <w:rsid w:val="006B5240"/>
    <w:rsid w:val="006B56C6"/>
    <w:rsid w:val="006B5CAA"/>
    <w:rsid w:val="006B658C"/>
    <w:rsid w:val="006B6D56"/>
    <w:rsid w:val="006B737D"/>
    <w:rsid w:val="006B73A8"/>
    <w:rsid w:val="006B7694"/>
    <w:rsid w:val="006B7976"/>
    <w:rsid w:val="006B7A40"/>
    <w:rsid w:val="006B7ED0"/>
    <w:rsid w:val="006C0383"/>
    <w:rsid w:val="006C1080"/>
    <w:rsid w:val="006C10AB"/>
    <w:rsid w:val="006C12DB"/>
    <w:rsid w:val="006C14DB"/>
    <w:rsid w:val="006C1607"/>
    <w:rsid w:val="006C1BC0"/>
    <w:rsid w:val="006C1C2E"/>
    <w:rsid w:val="006C1ED6"/>
    <w:rsid w:val="006C22F8"/>
    <w:rsid w:val="006C311A"/>
    <w:rsid w:val="006C3500"/>
    <w:rsid w:val="006C3CAF"/>
    <w:rsid w:val="006C3CCC"/>
    <w:rsid w:val="006C43D6"/>
    <w:rsid w:val="006C43FF"/>
    <w:rsid w:val="006C4441"/>
    <w:rsid w:val="006C44ED"/>
    <w:rsid w:val="006C469F"/>
    <w:rsid w:val="006C4802"/>
    <w:rsid w:val="006C48F0"/>
    <w:rsid w:val="006C499F"/>
    <w:rsid w:val="006C4E73"/>
    <w:rsid w:val="006C58EA"/>
    <w:rsid w:val="006C5ACD"/>
    <w:rsid w:val="006C5D59"/>
    <w:rsid w:val="006C5F9E"/>
    <w:rsid w:val="006C649D"/>
    <w:rsid w:val="006C6BC3"/>
    <w:rsid w:val="006C7895"/>
    <w:rsid w:val="006C7F43"/>
    <w:rsid w:val="006D0390"/>
    <w:rsid w:val="006D05D1"/>
    <w:rsid w:val="006D063C"/>
    <w:rsid w:val="006D102E"/>
    <w:rsid w:val="006D1153"/>
    <w:rsid w:val="006D168C"/>
    <w:rsid w:val="006D1A92"/>
    <w:rsid w:val="006D20FC"/>
    <w:rsid w:val="006D2633"/>
    <w:rsid w:val="006D2F5F"/>
    <w:rsid w:val="006D3289"/>
    <w:rsid w:val="006D38B0"/>
    <w:rsid w:val="006D3E13"/>
    <w:rsid w:val="006D415F"/>
    <w:rsid w:val="006D4377"/>
    <w:rsid w:val="006D4C33"/>
    <w:rsid w:val="006D5237"/>
    <w:rsid w:val="006D5AC4"/>
    <w:rsid w:val="006D5E00"/>
    <w:rsid w:val="006D6078"/>
    <w:rsid w:val="006D64BA"/>
    <w:rsid w:val="006D6788"/>
    <w:rsid w:val="006D68C3"/>
    <w:rsid w:val="006D6A99"/>
    <w:rsid w:val="006D6DCF"/>
    <w:rsid w:val="006D6FD6"/>
    <w:rsid w:val="006D731E"/>
    <w:rsid w:val="006D7424"/>
    <w:rsid w:val="006D756C"/>
    <w:rsid w:val="006D7F46"/>
    <w:rsid w:val="006E013F"/>
    <w:rsid w:val="006E0177"/>
    <w:rsid w:val="006E0527"/>
    <w:rsid w:val="006E0599"/>
    <w:rsid w:val="006E0DFE"/>
    <w:rsid w:val="006E1433"/>
    <w:rsid w:val="006E1ACA"/>
    <w:rsid w:val="006E1FF5"/>
    <w:rsid w:val="006E2102"/>
    <w:rsid w:val="006E2867"/>
    <w:rsid w:val="006E28F8"/>
    <w:rsid w:val="006E367C"/>
    <w:rsid w:val="006E3691"/>
    <w:rsid w:val="006E3A1C"/>
    <w:rsid w:val="006E3BA3"/>
    <w:rsid w:val="006E3C45"/>
    <w:rsid w:val="006E45F6"/>
    <w:rsid w:val="006E4662"/>
    <w:rsid w:val="006E5084"/>
    <w:rsid w:val="006E51A5"/>
    <w:rsid w:val="006E5308"/>
    <w:rsid w:val="006E5D9E"/>
    <w:rsid w:val="006E6261"/>
    <w:rsid w:val="006E63EE"/>
    <w:rsid w:val="006E64D8"/>
    <w:rsid w:val="006E676A"/>
    <w:rsid w:val="006E6C9F"/>
    <w:rsid w:val="006E6CB0"/>
    <w:rsid w:val="006E6F7A"/>
    <w:rsid w:val="006E71EC"/>
    <w:rsid w:val="006E77A7"/>
    <w:rsid w:val="006E7C35"/>
    <w:rsid w:val="006F098F"/>
    <w:rsid w:val="006F0B39"/>
    <w:rsid w:val="006F0F71"/>
    <w:rsid w:val="006F1066"/>
    <w:rsid w:val="006F1D01"/>
    <w:rsid w:val="006F222C"/>
    <w:rsid w:val="006F232F"/>
    <w:rsid w:val="006F2493"/>
    <w:rsid w:val="006F2773"/>
    <w:rsid w:val="006F3621"/>
    <w:rsid w:val="006F3778"/>
    <w:rsid w:val="006F3E5B"/>
    <w:rsid w:val="006F4A17"/>
    <w:rsid w:val="006F4AA0"/>
    <w:rsid w:val="006F4E0D"/>
    <w:rsid w:val="006F5515"/>
    <w:rsid w:val="006F5997"/>
    <w:rsid w:val="006F59BA"/>
    <w:rsid w:val="006F5EF4"/>
    <w:rsid w:val="006F706E"/>
    <w:rsid w:val="006F75A4"/>
    <w:rsid w:val="006F75FC"/>
    <w:rsid w:val="006F76C5"/>
    <w:rsid w:val="006F78E6"/>
    <w:rsid w:val="006F7966"/>
    <w:rsid w:val="006F7999"/>
    <w:rsid w:val="006F7A2D"/>
    <w:rsid w:val="006F7E92"/>
    <w:rsid w:val="006F7FE2"/>
    <w:rsid w:val="00700861"/>
    <w:rsid w:val="00700DBB"/>
    <w:rsid w:val="00701134"/>
    <w:rsid w:val="007012C8"/>
    <w:rsid w:val="007016BE"/>
    <w:rsid w:val="00701FD0"/>
    <w:rsid w:val="007024D2"/>
    <w:rsid w:val="00702BFF"/>
    <w:rsid w:val="00702C45"/>
    <w:rsid w:val="00703829"/>
    <w:rsid w:val="00703C71"/>
    <w:rsid w:val="00703EFB"/>
    <w:rsid w:val="00704008"/>
    <w:rsid w:val="00704071"/>
    <w:rsid w:val="007043BC"/>
    <w:rsid w:val="00704723"/>
    <w:rsid w:val="007047BE"/>
    <w:rsid w:val="00705166"/>
    <w:rsid w:val="0070567F"/>
    <w:rsid w:val="00705D64"/>
    <w:rsid w:val="00705E79"/>
    <w:rsid w:val="00705FA7"/>
    <w:rsid w:val="00706410"/>
    <w:rsid w:val="00706D8E"/>
    <w:rsid w:val="00706DB8"/>
    <w:rsid w:val="00707ACF"/>
    <w:rsid w:val="007102F8"/>
    <w:rsid w:val="00710583"/>
    <w:rsid w:val="00710B4E"/>
    <w:rsid w:val="0071107C"/>
    <w:rsid w:val="0071129A"/>
    <w:rsid w:val="007116B0"/>
    <w:rsid w:val="00711902"/>
    <w:rsid w:val="00711940"/>
    <w:rsid w:val="00711EA9"/>
    <w:rsid w:val="0071219B"/>
    <w:rsid w:val="00712245"/>
    <w:rsid w:val="00712644"/>
    <w:rsid w:val="007127E6"/>
    <w:rsid w:val="0071287E"/>
    <w:rsid w:val="00712AEE"/>
    <w:rsid w:val="00712CB9"/>
    <w:rsid w:val="00712D3B"/>
    <w:rsid w:val="007135FF"/>
    <w:rsid w:val="00713868"/>
    <w:rsid w:val="007146A9"/>
    <w:rsid w:val="00714BF1"/>
    <w:rsid w:val="00714C74"/>
    <w:rsid w:val="00714CAE"/>
    <w:rsid w:val="00714D2D"/>
    <w:rsid w:val="00714DB6"/>
    <w:rsid w:val="00715246"/>
    <w:rsid w:val="00715591"/>
    <w:rsid w:val="007158DC"/>
    <w:rsid w:val="00715F31"/>
    <w:rsid w:val="00716327"/>
    <w:rsid w:val="007167A3"/>
    <w:rsid w:val="007167FA"/>
    <w:rsid w:val="00716892"/>
    <w:rsid w:val="00716ABA"/>
    <w:rsid w:val="00717210"/>
    <w:rsid w:val="0071784F"/>
    <w:rsid w:val="00717883"/>
    <w:rsid w:val="00717D55"/>
    <w:rsid w:val="00720269"/>
    <w:rsid w:val="0072083D"/>
    <w:rsid w:val="007208D5"/>
    <w:rsid w:val="00720AD7"/>
    <w:rsid w:val="00721627"/>
    <w:rsid w:val="007228F5"/>
    <w:rsid w:val="00722E59"/>
    <w:rsid w:val="00723196"/>
    <w:rsid w:val="0072352E"/>
    <w:rsid w:val="007236F3"/>
    <w:rsid w:val="00723BEC"/>
    <w:rsid w:val="00723DE1"/>
    <w:rsid w:val="007244CB"/>
    <w:rsid w:val="00724786"/>
    <w:rsid w:val="00724C92"/>
    <w:rsid w:val="00724E2E"/>
    <w:rsid w:val="00724FEF"/>
    <w:rsid w:val="00725466"/>
    <w:rsid w:val="00725548"/>
    <w:rsid w:val="00725EB3"/>
    <w:rsid w:val="007263EF"/>
    <w:rsid w:val="007269CC"/>
    <w:rsid w:val="00727478"/>
    <w:rsid w:val="0073003A"/>
    <w:rsid w:val="007300DD"/>
    <w:rsid w:val="0073014B"/>
    <w:rsid w:val="00730BD6"/>
    <w:rsid w:val="007311A6"/>
    <w:rsid w:val="00731313"/>
    <w:rsid w:val="00731D08"/>
    <w:rsid w:val="00731F5D"/>
    <w:rsid w:val="0073246D"/>
    <w:rsid w:val="0073284F"/>
    <w:rsid w:val="00732D84"/>
    <w:rsid w:val="007334E2"/>
    <w:rsid w:val="0073368E"/>
    <w:rsid w:val="00733885"/>
    <w:rsid w:val="00733C73"/>
    <w:rsid w:val="00734271"/>
    <w:rsid w:val="0073451F"/>
    <w:rsid w:val="0073493A"/>
    <w:rsid w:val="00734CE1"/>
    <w:rsid w:val="00734F2B"/>
    <w:rsid w:val="00737335"/>
    <w:rsid w:val="00737980"/>
    <w:rsid w:val="00740240"/>
    <w:rsid w:val="007404E2"/>
    <w:rsid w:val="007408FF"/>
    <w:rsid w:val="00740B9C"/>
    <w:rsid w:val="00741009"/>
    <w:rsid w:val="0074146E"/>
    <w:rsid w:val="00741669"/>
    <w:rsid w:val="00741CA3"/>
    <w:rsid w:val="00741D6B"/>
    <w:rsid w:val="007424AE"/>
    <w:rsid w:val="00742599"/>
    <w:rsid w:val="007426CD"/>
    <w:rsid w:val="007427F8"/>
    <w:rsid w:val="00742AED"/>
    <w:rsid w:val="00742CB2"/>
    <w:rsid w:val="00742D39"/>
    <w:rsid w:val="007431E1"/>
    <w:rsid w:val="00743395"/>
    <w:rsid w:val="00743679"/>
    <w:rsid w:val="00743762"/>
    <w:rsid w:val="00743C14"/>
    <w:rsid w:val="0074410D"/>
    <w:rsid w:val="00744267"/>
    <w:rsid w:val="007442AA"/>
    <w:rsid w:val="00744BD1"/>
    <w:rsid w:val="00744FF5"/>
    <w:rsid w:val="00745367"/>
    <w:rsid w:val="00745636"/>
    <w:rsid w:val="00745AB8"/>
    <w:rsid w:val="00745B50"/>
    <w:rsid w:val="00745C91"/>
    <w:rsid w:val="00745ED4"/>
    <w:rsid w:val="00745FD2"/>
    <w:rsid w:val="0074663C"/>
    <w:rsid w:val="00746701"/>
    <w:rsid w:val="00746838"/>
    <w:rsid w:val="00746ADD"/>
    <w:rsid w:val="00747094"/>
    <w:rsid w:val="00747498"/>
    <w:rsid w:val="00747556"/>
    <w:rsid w:val="0074780E"/>
    <w:rsid w:val="0074784A"/>
    <w:rsid w:val="00747DFC"/>
    <w:rsid w:val="00750251"/>
    <w:rsid w:val="00750527"/>
    <w:rsid w:val="00750B24"/>
    <w:rsid w:val="00750D1D"/>
    <w:rsid w:val="00750F34"/>
    <w:rsid w:val="00751B3D"/>
    <w:rsid w:val="00751D29"/>
    <w:rsid w:val="007524AF"/>
    <w:rsid w:val="00752585"/>
    <w:rsid w:val="00753197"/>
    <w:rsid w:val="00753365"/>
    <w:rsid w:val="0075345A"/>
    <w:rsid w:val="007536A4"/>
    <w:rsid w:val="00753BFD"/>
    <w:rsid w:val="0075422F"/>
    <w:rsid w:val="00754683"/>
    <w:rsid w:val="00754877"/>
    <w:rsid w:val="00755185"/>
    <w:rsid w:val="0075527C"/>
    <w:rsid w:val="00755584"/>
    <w:rsid w:val="00755A17"/>
    <w:rsid w:val="00755EA6"/>
    <w:rsid w:val="00755FAB"/>
    <w:rsid w:val="0075639F"/>
    <w:rsid w:val="00756418"/>
    <w:rsid w:val="00756960"/>
    <w:rsid w:val="0075735E"/>
    <w:rsid w:val="00757387"/>
    <w:rsid w:val="00757532"/>
    <w:rsid w:val="00757B85"/>
    <w:rsid w:val="00757FC9"/>
    <w:rsid w:val="007600F3"/>
    <w:rsid w:val="0076029F"/>
    <w:rsid w:val="00760A69"/>
    <w:rsid w:val="007612C5"/>
    <w:rsid w:val="007615B9"/>
    <w:rsid w:val="007615ED"/>
    <w:rsid w:val="00761FE7"/>
    <w:rsid w:val="0076247F"/>
    <w:rsid w:val="00762BBB"/>
    <w:rsid w:val="007633BE"/>
    <w:rsid w:val="00763419"/>
    <w:rsid w:val="00763472"/>
    <w:rsid w:val="007635EC"/>
    <w:rsid w:val="00763756"/>
    <w:rsid w:val="00763B29"/>
    <w:rsid w:val="00763B66"/>
    <w:rsid w:val="00763D00"/>
    <w:rsid w:val="00764084"/>
    <w:rsid w:val="007641D7"/>
    <w:rsid w:val="00764C4E"/>
    <w:rsid w:val="00764FA0"/>
    <w:rsid w:val="00765239"/>
    <w:rsid w:val="00765812"/>
    <w:rsid w:val="00766601"/>
    <w:rsid w:val="0076719A"/>
    <w:rsid w:val="0076742C"/>
    <w:rsid w:val="00767445"/>
    <w:rsid w:val="007677A9"/>
    <w:rsid w:val="0077032F"/>
    <w:rsid w:val="0077054F"/>
    <w:rsid w:val="007708FA"/>
    <w:rsid w:val="00770A69"/>
    <w:rsid w:val="00770B2C"/>
    <w:rsid w:val="0077139F"/>
    <w:rsid w:val="007726A6"/>
    <w:rsid w:val="00772C69"/>
    <w:rsid w:val="00772CE8"/>
    <w:rsid w:val="00772D04"/>
    <w:rsid w:val="00772E06"/>
    <w:rsid w:val="00773702"/>
    <w:rsid w:val="0077386C"/>
    <w:rsid w:val="00773EAC"/>
    <w:rsid w:val="00773FA0"/>
    <w:rsid w:val="00775D70"/>
    <w:rsid w:val="00775EAB"/>
    <w:rsid w:val="00775F6C"/>
    <w:rsid w:val="0077613C"/>
    <w:rsid w:val="007761EE"/>
    <w:rsid w:val="007768F7"/>
    <w:rsid w:val="00776FC1"/>
    <w:rsid w:val="007774A7"/>
    <w:rsid w:val="00777658"/>
    <w:rsid w:val="0078007C"/>
    <w:rsid w:val="007800BF"/>
    <w:rsid w:val="0078081E"/>
    <w:rsid w:val="00780A9D"/>
    <w:rsid w:val="00780D98"/>
    <w:rsid w:val="00781287"/>
    <w:rsid w:val="007817C2"/>
    <w:rsid w:val="0078197A"/>
    <w:rsid w:val="007828DB"/>
    <w:rsid w:val="00782B73"/>
    <w:rsid w:val="00782F22"/>
    <w:rsid w:val="00783441"/>
    <w:rsid w:val="0078394D"/>
    <w:rsid w:val="00783DE8"/>
    <w:rsid w:val="00784440"/>
    <w:rsid w:val="007844FA"/>
    <w:rsid w:val="007849A1"/>
    <w:rsid w:val="00784B54"/>
    <w:rsid w:val="00784CFF"/>
    <w:rsid w:val="0078600D"/>
    <w:rsid w:val="007861B0"/>
    <w:rsid w:val="00786872"/>
    <w:rsid w:val="00786E59"/>
    <w:rsid w:val="007879E2"/>
    <w:rsid w:val="00787AF4"/>
    <w:rsid w:val="00787FFE"/>
    <w:rsid w:val="007905C5"/>
    <w:rsid w:val="00790DD9"/>
    <w:rsid w:val="00790EC1"/>
    <w:rsid w:val="007911EA"/>
    <w:rsid w:val="0079127C"/>
    <w:rsid w:val="007912F6"/>
    <w:rsid w:val="007913A6"/>
    <w:rsid w:val="007915D5"/>
    <w:rsid w:val="0079176E"/>
    <w:rsid w:val="00791803"/>
    <w:rsid w:val="00791933"/>
    <w:rsid w:val="00791BFF"/>
    <w:rsid w:val="00791C98"/>
    <w:rsid w:val="0079275C"/>
    <w:rsid w:val="007928EB"/>
    <w:rsid w:val="00792F01"/>
    <w:rsid w:val="00793295"/>
    <w:rsid w:val="0079333C"/>
    <w:rsid w:val="007933D4"/>
    <w:rsid w:val="00793E58"/>
    <w:rsid w:val="007941B8"/>
    <w:rsid w:val="007944BB"/>
    <w:rsid w:val="007946C7"/>
    <w:rsid w:val="0079471A"/>
    <w:rsid w:val="00794728"/>
    <w:rsid w:val="00794A13"/>
    <w:rsid w:val="00794B7E"/>
    <w:rsid w:val="00794BD3"/>
    <w:rsid w:val="00794DC0"/>
    <w:rsid w:val="00794FCA"/>
    <w:rsid w:val="00795270"/>
    <w:rsid w:val="0079527E"/>
    <w:rsid w:val="007954FB"/>
    <w:rsid w:val="00795747"/>
    <w:rsid w:val="00795AE6"/>
    <w:rsid w:val="00795B4B"/>
    <w:rsid w:val="007961A0"/>
    <w:rsid w:val="007964E0"/>
    <w:rsid w:val="007967F2"/>
    <w:rsid w:val="00796E4E"/>
    <w:rsid w:val="00796F9A"/>
    <w:rsid w:val="00797087"/>
    <w:rsid w:val="00797126"/>
    <w:rsid w:val="0079728E"/>
    <w:rsid w:val="0079752F"/>
    <w:rsid w:val="00797595"/>
    <w:rsid w:val="007976CD"/>
    <w:rsid w:val="007977F5"/>
    <w:rsid w:val="00797CB9"/>
    <w:rsid w:val="00797E6C"/>
    <w:rsid w:val="007A0294"/>
    <w:rsid w:val="007A0773"/>
    <w:rsid w:val="007A08DF"/>
    <w:rsid w:val="007A0C90"/>
    <w:rsid w:val="007A104A"/>
    <w:rsid w:val="007A1D04"/>
    <w:rsid w:val="007A1FC4"/>
    <w:rsid w:val="007A2205"/>
    <w:rsid w:val="007A3123"/>
    <w:rsid w:val="007A31F5"/>
    <w:rsid w:val="007A3570"/>
    <w:rsid w:val="007A37DD"/>
    <w:rsid w:val="007A3C1C"/>
    <w:rsid w:val="007A432A"/>
    <w:rsid w:val="007A43A3"/>
    <w:rsid w:val="007A4AE9"/>
    <w:rsid w:val="007A4CFC"/>
    <w:rsid w:val="007A52F1"/>
    <w:rsid w:val="007A5A36"/>
    <w:rsid w:val="007A68BD"/>
    <w:rsid w:val="007A6AEA"/>
    <w:rsid w:val="007A6F60"/>
    <w:rsid w:val="007A76CA"/>
    <w:rsid w:val="007A7F24"/>
    <w:rsid w:val="007A7F40"/>
    <w:rsid w:val="007B0E28"/>
    <w:rsid w:val="007B12A7"/>
    <w:rsid w:val="007B12AA"/>
    <w:rsid w:val="007B1AB5"/>
    <w:rsid w:val="007B1CC6"/>
    <w:rsid w:val="007B24E9"/>
    <w:rsid w:val="007B2DAD"/>
    <w:rsid w:val="007B325A"/>
    <w:rsid w:val="007B32A3"/>
    <w:rsid w:val="007B3477"/>
    <w:rsid w:val="007B3A75"/>
    <w:rsid w:val="007B3CCD"/>
    <w:rsid w:val="007B44A2"/>
    <w:rsid w:val="007B4618"/>
    <w:rsid w:val="007B510F"/>
    <w:rsid w:val="007B52A9"/>
    <w:rsid w:val="007B557F"/>
    <w:rsid w:val="007B5874"/>
    <w:rsid w:val="007B5882"/>
    <w:rsid w:val="007B5925"/>
    <w:rsid w:val="007B5FA2"/>
    <w:rsid w:val="007B607D"/>
    <w:rsid w:val="007B60D3"/>
    <w:rsid w:val="007B61BC"/>
    <w:rsid w:val="007B6371"/>
    <w:rsid w:val="007B6951"/>
    <w:rsid w:val="007B6FE3"/>
    <w:rsid w:val="007B7107"/>
    <w:rsid w:val="007B7250"/>
    <w:rsid w:val="007B72C7"/>
    <w:rsid w:val="007B73F1"/>
    <w:rsid w:val="007B7434"/>
    <w:rsid w:val="007B76E2"/>
    <w:rsid w:val="007B77DC"/>
    <w:rsid w:val="007B7D69"/>
    <w:rsid w:val="007C03C3"/>
    <w:rsid w:val="007C0846"/>
    <w:rsid w:val="007C084E"/>
    <w:rsid w:val="007C09D9"/>
    <w:rsid w:val="007C0B59"/>
    <w:rsid w:val="007C0B7C"/>
    <w:rsid w:val="007C134B"/>
    <w:rsid w:val="007C1C3E"/>
    <w:rsid w:val="007C1E78"/>
    <w:rsid w:val="007C20CD"/>
    <w:rsid w:val="007C20DA"/>
    <w:rsid w:val="007C2559"/>
    <w:rsid w:val="007C272B"/>
    <w:rsid w:val="007C2976"/>
    <w:rsid w:val="007C2989"/>
    <w:rsid w:val="007C2AB6"/>
    <w:rsid w:val="007C2C6C"/>
    <w:rsid w:val="007C3289"/>
    <w:rsid w:val="007C33E3"/>
    <w:rsid w:val="007C3B38"/>
    <w:rsid w:val="007C3B9E"/>
    <w:rsid w:val="007C40C0"/>
    <w:rsid w:val="007C44D5"/>
    <w:rsid w:val="007C4899"/>
    <w:rsid w:val="007C4974"/>
    <w:rsid w:val="007C4A2D"/>
    <w:rsid w:val="007C4A80"/>
    <w:rsid w:val="007C4B9C"/>
    <w:rsid w:val="007C5D11"/>
    <w:rsid w:val="007C5EC8"/>
    <w:rsid w:val="007C6015"/>
    <w:rsid w:val="007C6733"/>
    <w:rsid w:val="007C69A5"/>
    <w:rsid w:val="007C6A9C"/>
    <w:rsid w:val="007C6F15"/>
    <w:rsid w:val="007C7409"/>
    <w:rsid w:val="007C788C"/>
    <w:rsid w:val="007C7C45"/>
    <w:rsid w:val="007D08A9"/>
    <w:rsid w:val="007D0A59"/>
    <w:rsid w:val="007D0C40"/>
    <w:rsid w:val="007D101C"/>
    <w:rsid w:val="007D18F8"/>
    <w:rsid w:val="007D1ABE"/>
    <w:rsid w:val="007D1DE9"/>
    <w:rsid w:val="007D20C3"/>
    <w:rsid w:val="007D20FF"/>
    <w:rsid w:val="007D24E1"/>
    <w:rsid w:val="007D29C3"/>
    <w:rsid w:val="007D3099"/>
    <w:rsid w:val="007D31AE"/>
    <w:rsid w:val="007D3509"/>
    <w:rsid w:val="007D3F36"/>
    <w:rsid w:val="007D3FEA"/>
    <w:rsid w:val="007D40CB"/>
    <w:rsid w:val="007D41CC"/>
    <w:rsid w:val="007D4615"/>
    <w:rsid w:val="007D4851"/>
    <w:rsid w:val="007D4BBF"/>
    <w:rsid w:val="007D5220"/>
    <w:rsid w:val="007D536B"/>
    <w:rsid w:val="007D5692"/>
    <w:rsid w:val="007D57DF"/>
    <w:rsid w:val="007D5886"/>
    <w:rsid w:val="007D5C98"/>
    <w:rsid w:val="007D5CE3"/>
    <w:rsid w:val="007D5CF3"/>
    <w:rsid w:val="007D618D"/>
    <w:rsid w:val="007D6537"/>
    <w:rsid w:val="007D6952"/>
    <w:rsid w:val="007D6AD8"/>
    <w:rsid w:val="007D6C0D"/>
    <w:rsid w:val="007D6DFD"/>
    <w:rsid w:val="007D6FAE"/>
    <w:rsid w:val="007D70D6"/>
    <w:rsid w:val="007D7470"/>
    <w:rsid w:val="007D7586"/>
    <w:rsid w:val="007D77AF"/>
    <w:rsid w:val="007D7C06"/>
    <w:rsid w:val="007D7F1C"/>
    <w:rsid w:val="007E07A9"/>
    <w:rsid w:val="007E0A0A"/>
    <w:rsid w:val="007E0F89"/>
    <w:rsid w:val="007E1E1B"/>
    <w:rsid w:val="007E1E2B"/>
    <w:rsid w:val="007E29F3"/>
    <w:rsid w:val="007E2A5D"/>
    <w:rsid w:val="007E2FA3"/>
    <w:rsid w:val="007E2FB2"/>
    <w:rsid w:val="007E3779"/>
    <w:rsid w:val="007E481A"/>
    <w:rsid w:val="007E4884"/>
    <w:rsid w:val="007E4A8C"/>
    <w:rsid w:val="007E514B"/>
    <w:rsid w:val="007E535F"/>
    <w:rsid w:val="007E5904"/>
    <w:rsid w:val="007E5A08"/>
    <w:rsid w:val="007E5C11"/>
    <w:rsid w:val="007E5D81"/>
    <w:rsid w:val="007E6278"/>
    <w:rsid w:val="007E6509"/>
    <w:rsid w:val="007E67C2"/>
    <w:rsid w:val="007E6C5B"/>
    <w:rsid w:val="007E7364"/>
    <w:rsid w:val="007E73C3"/>
    <w:rsid w:val="007E7442"/>
    <w:rsid w:val="007E762F"/>
    <w:rsid w:val="007E7BE0"/>
    <w:rsid w:val="007E7F3B"/>
    <w:rsid w:val="007F0072"/>
    <w:rsid w:val="007F02CF"/>
    <w:rsid w:val="007F06A2"/>
    <w:rsid w:val="007F0783"/>
    <w:rsid w:val="007F0977"/>
    <w:rsid w:val="007F0A3D"/>
    <w:rsid w:val="007F110B"/>
    <w:rsid w:val="007F11A4"/>
    <w:rsid w:val="007F12F8"/>
    <w:rsid w:val="007F1A31"/>
    <w:rsid w:val="007F2118"/>
    <w:rsid w:val="007F2302"/>
    <w:rsid w:val="007F232E"/>
    <w:rsid w:val="007F2F87"/>
    <w:rsid w:val="007F30D5"/>
    <w:rsid w:val="007F30EC"/>
    <w:rsid w:val="007F31BF"/>
    <w:rsid w:val="007F386A"/>
    <w:rsid w:val="007F3C10"/>
    <w:rsid w:val="007F42C2"/>
    <w:rsid w:val="007F4431"/>
    <w:rsid w:val="007F4BDD"/>
    <w:rsid w:val="007F5666"/>
    <w:rsid w:val="007F5CAE"/>
    <w:rsid w:val="007F5D31"/>
    <w:rsid w:val="007F614B"/>
    <w:rsid w:val="007F6185"/>
    <w:rsid w:val="007F61F7"/>
    <w:rsid w:val="007F6923"/>
    <w:rsid w:val="007F6B9F"/>
    <w:rsid w:val="007F6F11"/>
    <w:rsid w:val="007F714F"/>
    <w:rsid w:val="007F7244"/>
    <w:rsid w:val="007F72E4"/>
    <w:rsid w:val="007F7704"/>
    <w:rsid w:val="007F7BA7"/>
    <w:rsid w:val="007F7D4A"/>
    <w:rsid w:val="007F7E8D"/>
    <w:rsid w:val="0080017D"/>
    <w:rsid w:val="00800460"/>
    <w:rsid w:val="00800572"/>
    <w:rsid w:val="00800837"/>
    <w:rsid w:val="00800869"/>
    <w:rsid w:val="00800D81"/>
    <w:rsid w:val="0080100A"/>
    <w:rsid w:val="0080140B"/>
    <w:rsid w:val="008014EF"/>
    <w:rsid w:val="00801D86"/>
    <w:rsid w:val="00802057"/>
    <w:rsid w:val="00802320"/>
    <w:rsid w:val="00802AC9"/>
    <w:rsid w:val="00802B59"/>
    <w:rsid w:val="00802BFA"/>
    <w:rsid w:val="00802D40"/>
    <w:rsid w:val="00802F39"/>
    <w:rsid w:val="00802FFA"/>
    <w:rsid w:val="00803983"/>
    <w:rsid w:val="00803FA4"/>
    <w:rsid w:val="0080412E"/>
    <w:rsid w:val="00804326"/>
    <w:rsid w:val="0080461C"/>
    <w:rsid w:val="00804FF0"/>
    <w:rsid w:val="008063CF"/>
    <w:rsid w:val="0080760D"/>
    <w:rsid w:val="0080764C"/>
    <w:rsid w:val="008079D7"/>
    <w:rsid w:val="008103EE"/>
    <w:rsid w:val="0081053E"/>
    <w:rsid w:val="00810A7C"/>
    <w:rsid w:val="00811201"/>
    <w:rsid w:val="008116C0"/>
    <w:rsid w:val="00811B34"/>
    <w:rsid w:val="008123D4"/>
    <w:rsid w:val="00812FFB"/>
    <w:rsid w:val="008153FF"/>
    <w:rsid w:val="00816593"/>
    <w:rsid w:val="00816802"/>
    <w:rsid w:val="00816D29"/>
    <w:rsid w:val="00816E2D"/>
    <w:rsid w:val="00817441"/>
    <w:rsid w:val="00817872"/>
    <w:rsid w:val="008178CB"/>
    <w:rsid w:val="00817AFB"/>
    <w:rsid w:val="00820076"/>
    <w:rsid w:val="008200C3"/>
    <w:rsid w:val="0082034D"/>
    <w:rsid w:val="0082059F"/>
    <w:rsid w:val="008206CC"/>
    <w:rsid w:val="00820700"/>
    <w:rsid w:val="0082098B"/>
    <w:rsid w:val="00820FEB"/>
    <w:rsid w:val="008213F7"/>
    <w:rsid w:val="00821469"/>
    <w:rsid w:val="0082175B"/>
    <w:rsid w:val="00821CDE"/>
    <w:rsid w:val="00821DF1"/>
    <w:rsid w:val="00822083"/>
    <w:rsid w:val="008220A4"/>
    <w:rsid w:val="00822479"/>
    <w:rsid w:val="0082308D"/>
    <w:rsid w:val="008231F7"/>
    <w:rsid w:val="008233F4"/>
    <w:rsid w:val="0082354F"/>
    <w:rsid w:val="00824109"/>
    <w:rsid w:val="008244EC"/>
    <w:rsid w:val="00824574"/>
    <w:rsid w:val="0082484C"/>
    <w:rsid w:val="00824D0B"/>
    <w:rsid w:val="008252D7"/>
    <w:rsid w:val="00825706"/>
    <w:rsid w:val="00826036"/>
    <w:rsid w:val="00826111"/>
    <w:rsid w:val="0082630A"/>
    <w:rsid w:val="0082753A"/>
    <w:rsid w:val="0082779C"/>
    <w:rsid w:val="008278A5"/>
    <w:rsid w:val="008278DC"/>
    <w:rsid w:val="0083082A"/>
    <w:rsid w:val="00830AD2"/>
    <w:rsid w:val="00830B45"/>
    <w:rsid w:val="00830BBC"/>
    <w:rsid w:val="00831092"/>
    <w:rsid w:val="0083173B"/>
    <w:rsid w:val="008317BA"/>
    <w:rsid w:val="008317DF"/>
    <w:rsid w:val="008326B1"/>
    <w:rsid w:val="00832977"/>
    <w:rsid w:val="00832AEE"/>
    <w:rsid w:val="00832C99"/>
    <w:rsid w:val="0083317B"/>
    <w:rsid w:val="00833255"/>
    <w:rsid w:val="00833407"/>
    <w:rsid w:val="00833426"/>
    <w:rsid w:val="00833AF8"/>
    <w:rsid w:val="00833CF6"/>
    <w:rsid w:val="00833D65"/>
    <w:rsid w:val="008345F3"/>
    <w:rsid w:val="0083476D"/>
    <w:rsid w:val="00834A92"/>
    <w:rsid w:val="00834DC4"/>
    <w:rsid w:val="00834F36"/>
    <w:rsid w:val="008354E4"/>
    <w:rsid w:val="00835575"/>
    <w:rsid w:val="008358AB"/>
    <w:rsid w:val="00835C53"/>
    <w:rsid w:val="00835D81"/>
    <w:rsid w:val="008360A0"/>
    <w:rsid w:val="00836275"/>
    <w:rsid w:val="008376D1"/>
    <w:rsid w:val="00837B3C"/>
    <w:rsid w:val="00840087"/>
    <w:rsid w:val="008411B4"/>
    <w:rsid w:val="00841448"/>
    <w:rsid w:val="008415B8"/>
    <w:rsid w:val="00841F65"/>
    <w:rsid w:val="00841FBF"/>
    <w:rsid w:val="0084207C"/>
    <w:rsid w:val="00842351"/>
    <w:rsid w:val="008425AC"/>
    <w:rsid w:val="00842759"/>
    <w:rsid w:val="00842788"/>
    <w:rsid w:val="00842EE0"/>
    <w:rsid w:val="00843504"/>
    <w:rsid w:val="00843B73"/>
    <w:rsid w:val="008440DC"/>
    <w:rsid w:val="00844256"/>
    <w:rsid w:val="00844266"/>
    <w:rsid w:val="008442C2"/>
    <w:rsid w:val="00844418"/>
    <w:rsid w:val="0084484E"/>
    <w:rsid w:val="00844AF8"/>
    <w:rsid w:val="00845646"/>
    <w:rsid w:val="00845AFD"/>
    <w:rsid w:val="008465BE"/>
    <w:rsid w:val="00846BA3"/>
    <w:rsid w:val="00846BE7"/>
    <w:rsid w:val="00846ED4"/>
    <w:rsid w:val="00846ED9"/>
    <w:rsid w:val="0084749E"/>
    <w:rsid w:val="00847771"/>
    <w:rsid w:val="00847938"/>
    <w:rsid w:val="00847ACE"/>
    <w:rsid w:val="00847C3E"/>
    <w:rsid w:val="00850188"/>
    <w:rsid w:val="00850902"/>
    <w:rsid w:val="008509CB"/>
    <w:rsid w:val="00850A8B"/>
    <w:rsid w:val="00850F12"/>
    <w:rsid w:val="00850FF6"/>
    <w:rsid w:val="00851104"/>
    <w:rsid w:val="00851123"/>
    <w:rsid w:val="00851689"/>
    <w:rsid w:val="00851F94"/>
    <w:rsid w:val="00852201"/>
    <w:rsid w:val="00852FA3"/>
    <w:rsid w:val="00853F39"/>
    <w:rsid w:val="00853F3A"/>
    <w:rsid w:val="0085439A"/>
    <w:rsid w:val="008546AB"/>
    <w:rsid w:val="0085470B"/>
    <w:rsid w:val="008547A0"/>
    <w:rsid w:val="008548C6"/>
    <w:rsid w:val="0085528D"/>
    <w:rsid w:val="0085533C"/>
    <w:rsid w:val="0085583B"/>
    <w:rsid w:val="00856527"/>
    <w:rsid w:val="00856A1E"/>
    <w:rsid w:val="00856D36"/>
    <w:rsid w:val="00856E66"/>
    <w:rsid w:val="00857454"/>
    <w:rsid w:val="00857727"/>
    <w:rsid w:val="00857B81"/>
    <w:rsid w:val="00857BB2"/>
    <w:rsid w:val="008600B4"/>
    <w:rsid w:val="008604FF"/>
    <w:rsid w:val="008609A6"/>
    <w:rsid w:val="00860A45"/>
    <w:rsid w:val="00861374"/>
    <w:rsid w:val="00861889"/>
    <w:rsid w:val="00861898"/>
    <w:rsid w:val="008621B1"/>
    <w:rsid w:val="0086227F"/>
    <w:rsid w:val="008624E0"/>
    <w:rsid w:val="00862614"/>
    <w:rsid w:val="008631B5"/>
    <w:rsid w:val="00863AA8"/>
    <w:rsid w:val="00863D42"/>
    <w:rsid w:val="00863ECD"/>
    <w:rsid w:val="0086406E"/>
    <w:rsid w:val="00864292"/>
    <w:rsid w:val="00864314"/>
    <w:rsid w:val="008644A0"/>
    <w:rsid w:val="00864855"/>
    <w:rsid w:val="00864ED8"/>
    <w:rsid w:val="00864FD8"/>
    <w:rsid w:val="0086515C"/>
    <w:rsid w:val="008652BE"/>
    <w:rsid w:val="008653E2"/>
    <w:rsid w:val="00865835"/>
    <w:rsid w:val="00865AAF"/>
    <w:rsid w:val="00865BA7"/>
    <w:rsid w:val="00866D61"/>
    <w:rsid w:val="0086707C"/>
    <w:rsid w:val="008672AC"/>
    <w:rsid w:val="00867A9D"/>
    <w:rsid w:val="00867E10"/>
    <w:rsid w:val="0087025F"/>
    <w:rsid w:val="00870D15"/>
    <w:rsid w:val="0087105D"/>
    <w:rsid w:val="008710B5"/>
    <w:rsid w:val="00871E1B"/>
    <w:rsid w:val="008720B4"/>
    <w:rsid w:val="0087214A"/>
    <w:rsid w:val="00872217"/>
    <w:rsid w:val="008726CF"/>
    <w:rsid w:val="00872A79"/>
    <w:rsid w:val="00872AD7"/>
    <w:rsid w:val="00872DC4"/>
    <w:rsid w:val="008730DE"/>
    <w:rsid w:val="008734A2"/>
    <w:rsid w:val="0087355B"/>
    <w:rsid w:val="0087370D"/>
    <w:rsid w:val="00873D03"/>
    <w:rsid w:val="00873D93"/>
    <w:rsid w:val="008741BE"/>
    <w:rsid w:val="0087456F"/>
    <w:rsid w:val="00874974"/>
    <w:rsid w:val="0087497B"/>
    <w:rsid w:val="00875227"/>
    <w:rsid w:val="008753DD"/>
    <w:rsid w:val="00876F36"/>
    <w:rsid w:val="00877475"/>
    <w:rsid w:val="0088023C"/>
    <w:rsid w:val="008806DA"/>
    <w:rsid w:val="00880EB3"/>
    <w:rsid w:val="00881A5A"/>
    <w:rsid w:val="00882234"/>
    <w:rsid w:val="00882594"/>
    <w:rsid w:val="008825DC"/>
    <w:rsid w:val="00882622"/>
    <w:rsid w:val="00882CCA"/>
    <w:rsid w:val="008835FB"/>
    <w:rsid w:val="0088391C"/>
    <w:rsid w:val="00884209"/>
    <w:rsid w:val="0088431C"/>
    <w:rsid w:val="00884324"/>
    <w:rsid w:val="00884542"/>
    <w:rsid w:val="008847BD"/>
    <w:rsid w:val="00884F48"/>
    <w:rsid w:val="0088537B"/>
    <w:rsid w:val="00885C3C"/>
    <w:rsid w:val="00885FE1"/>
    <w:rsid w:val="0088604B"/>
    <w:rsid w:val="008860D1"/>
    <w:rsid w:val="008867A5"/>
    <w:rsid w:val="00886AFF"/>
    <w:rsid w:val="008871C1"/>
    <w:rsid w:val="008871CA"/>
    <w:rsid w:val="0088772E"/>
    <w:rsid w:val="00887E08"/>
    <w:rsid w:val="00890030"/>
    <w:rsid w:val="0089010E"/>
    <w:rsid w:val="00890498"/>
    <w:rsid w:val="0089105F"/>
    <w:rsid w:val="008913DA"/>
    <w:rsid w:val="00891845"/>
    <w:rsid w:val="008918E0"/>
    <w:rsid w:val="00891964"/>
    <w:rsid w:val="00891C28"/>
    <w:rsid w:val="00891DE2"/>
    <w:rsid w:val="00891E0B"/>
    <w:rsid w:val="008921E5"/>
    <w:rsid w:val="008925C5"/>
    <w:rsid w:val="0089288E"/>
    <w:rsid w:val="00892A64"/>
    <w:rsid w:val="00892BCB"/>
    <w:rsid w:val="00892BDE"/>
    <w:rsid w:val="00894242"/>
    <w:rsid w:val="00894365"/>
    <w:rsid w:val="008946E8"/>
    <w:rsid w:val="00894717"/>
    <w:rsid w:val="008948E8"/>
    <w:rsid w:val="008953FC"/>
    <w:rsid w:val="008955BD"/>
    <w:rsid w:val="00895B33"/>
    <w:rsid w:val="00895CA9"/>
    <w:rsid w:val="00896290"/>
    <w:rsid w:val="008964A2"/>
    <w:rsid w:val="008967D0"/>
    <w:rsid w:val="008977E8"/>
    <w:rsid w:val="00897B4E"/>
    <w:rsid w:val="008A0152"/>
    <w:rsid w:val="008A07E5"/>
    <w:rsid w:val="008A08CD"/>
    <w:rsid w:val="008A106C"/>
    <w:rsid w:val="008A1409"/>
    <w:rsid w:val="008A174A"/>
    <w:rsid w:val="008A19CA"/>
    <w:rsid w:val="008A1E2F"/>
    <w:rsid w:val="008A1E99"/>
    <w:rsid w:val="008A2071"/>
    <w:rsid w:val="008A22B2"/>
    <w:rsid w:val="008A25DB"/>
    <w:rsid w:val="008A2B13"/>
    <w:rsid w:val="008A2D47"/>
    <w:rsid w:val="008A2EAA"/>
    <w:rsid w:val="008A3CFB"/>
    <w:rsid w:val="008A3DD8"/>
    <w:rsid w:val="008A3F08"/>
    <w:rsid w:val="008A4152"/>
    <w:rsid w:val="008A4170"/>
    <w:rsid w:val="008A4302"/>
    <w:rsid w:val="008A5127"/>
    <w:rsid w:val="008A5451"/>
    <w:rsid w:val="008A55C4"/>
    <w:rsid w:val="008A5F8F"/>
    <w:rsid w:val="008A610F"/>
    <w:rsid w:val="008A6607"/>
    <w:rsid w:val="008A6616"/>
    <w:rsid w:val="008A6BE8"/>
    <w:rsid w:val="008A71AB"/>
    <w:rsid w:val="008A742A"/>
    <w:rsid w:val="008A7551"/>
    <w:rsid w:val="008A7B1D"/>
    <w:rsid w:val="008B0560"/>
    <w:rsid w:val="008B0708"/>
    <w:rsid w:val="008B0A16"/>
    <w:rsid w:val="008B0BE4"/>
    <w:rsid w:val="008B1412"/>
    <w:rsid w:val="008B185E"/>
    <w:rsid w:val="008B1994"/>
    <w:rsid w:val="008B1EBC"/>
    <w:rsid w:val="008B1FDE"/>
    <w:rsid w:val="008B202E"/>
    <w:rsid w:val="008B20DF"/>
    <w:rsid w:val="008B2408"/>
    <w:rsid w:val="008B2C3D"/>
    <w:rsid w:val="008B31AC"/>
    <w:rsid w:val="008B37AB"/>
    <w:rsid w:val="008B3F28"/>
    <w:rsid w:val="008B40A6"/>
    <w:rsid w:val="008B40D3"/>
    <w:rsid w:val="008B43D9"/>
    <w:rsid w:val="008B43F3"/>
    <w:rsid w:val="008B49C5"/>
    <w:rsid w:val="008B4DDD"/>
    <w:rsid w:val="008B52FF"/>
    <w:rsid w:val="008B543B"/>
    <w:rsid w:val="008B54DF"/>
    <w:rsid w:val="008B5534"/>
    <w:rsid w:val="008B5D3C"/>
    <w:rsid w:val="008B5E8B"/>
    <w:rsid w:val="008B6039"/>
    <w:rsid w:val="008B61EC"/>
    <w:rsid w:val="008B69A6"/>
    <w:rsid w:val="008B707E"/>
    <w:rsid w:val="008B7157"/>
    <w:rsid w:val="008B73D5"/>
    <w:rsid w:val="008B7CFE"/>
    <w:rsid w:val="008B7E32"/>
    <w:rsid w:val="008B7E49"/>
    <w:rsid w:val="008B7FA0"/>
    <w:rsid w:val="008C04B6"/>
    <w:rsid w:val="008C0BBE"/>
    <w:rsid w:val="008C0CAC"/>
    <w:rsid w:val="008C0EFB"/>
    <w:rsid w:val="008C126A"/>
    <w:rsid w:val="008C12FC"/>
    <w:rsid w:val="008C130A"/>
    <w:rsid w:val="008C138D"/>
    <w:rsid w:val="008C1455"/>
    <w:rsid w:val="008C1CD7"/>
    <w:rsid w:val="008C1DED"/>
    <w:rsid w:val="008C2E91"/>
    <w:rsid w:val="008C3140"/>
    <w:rsid w:val="008C3194"/>
    <w:rsid w:val="008C33BC"/>
    <w:rsid w:val="008C3744"/>
    <w:rsid w:val="008C37CD"/>
    <w:rsid w:val="008C3D39"/>
    <w:rsid w:val="008C3D40"/>
    <w:rsid w:val="008C4025"/>
    <w:rsid w:val="008C4733"/>
    <w:rsid w:val="008C4FC3"/>
    <w:rsid w:val="008C52CD"/>
    <w:rsid w:val="008C533F"/>
    <w:rsid w:val="008C5549"/>
    <w:rsid w:val="008C5FFB"/>
    <w:rsid w:val="008C61C8"/>
    <w:rsid w:val="008C62F3"/>
    <w:rsid w:val="008C6384"/>
    <w:rsid w:val="008C6425"/>
    <w:rsid w:val="008C650A"/>
    <w:rsid w:val="008C6F64"/>
    <w:rsid w:val="008C7261"/>
    <w:rsid w:val="008C7A79"/>
    <w:rsid w:val="008C7CF0"/>
    <w:rsid w:val="008D00C4"/>
    <w:rsid w:val="008D041A"/>
    <w:rsid w:val="008D0A5F"/>
    <w:rsid w:val="008D0DC1"/>
    <w:rsid w:val="008D0FE0"/>
    <w:rsid w:val="008D104B"/>
    <w:rsid w:val="008D1591"/>
    <w:rsid w:val="008D1BA6"/>
    <w:rsid w:val="008D1E15"/>
    <w:rsid w:val="008D22BD"/>
    <w:rsid w:val="008D230E"/>
    <w:rsid w:val="008D2585"/>
    <w:rsid w:val="008D2591"/>
    <w:rsid w:val="008D314C"/>
    <w:rsid w:val="008D3252"/>
    <w:rsid w:val="008D39CF"/>
    <w:rsid w:val="008D3A18"/>
    <w:rsid w:val="008D3C83"/>
    <w:rsid w:val="008D436B"/>
    <w:rsid w:val="008D43CB"/>
    <w:rsid w:val="008D488B"/>
    <w:rsid w:val="008D4F29"/>
    <w:rsid w:val="008D5155"/>
    <w:rsid w:val="008D5408"/>
    <w:rsid w:val="008D574C"/>
    <w:rsid w:val="008D5799"/>
    <w:rsid w:val="008D6512"/>
    <w:rsid w:val="008D65AC"/>
    <w:rsid w:val="008D695D"/>
    <w:rsid w:val="008D6E2E"/>
    <w:rsid w:val="008D7399"/>
    <w:rsid w:val="008D745E"/>
    <w:rsid w:val="008D7EF7"/>
    <w:rsid w:val="008E0022"/>
    <w:rsid w:val="008E0365"/>
    <w:rsid w:val="008E03EE"/>
    <w:rsid w:val="008E048E"/>
    <w:rsid w:val="008E081B"/>
    <w:rsid w:val="008E0B3B"/>
    <w:rsid w:val="008E0DB9"/>
    <w:rsid w:val="008E0E61"/>
    <w:rsid w:val="008E13C7"/>
    <w:rsid w:val="008E1847"/>
    <w:rsid w:val="008E1A09"/>
    <w:rsid w:val="008E1B26"/>
    <w:rsid w:val="008E238B"/>
    <w:rsid w:val="008E2AEF"/>
    <w:rsid w:val="008E2C2B"/>
    <w:rsid w:val="008E3ECE"/>
    <w:rsid w:val="008E4267"/>
    <w:rsid w:val="008E43D6"/>
    <w:rsid w:val="008E4762"/>
    <w:rsid w:val="008E4AB2"/>
    <w:rsid w:val="008E583E"/>
    <w:rsid w:val="008E5A45"/>
    <w:rsid w:val="008E6A43"/>
    <w:rsid w:val="008E6BF8"/>
    <w:rsid w:val="008E6E4C"/>
    <w:rsid w:val="008E6FE8"/>
    <w:rsid w:val="008E7331"/>
    <w:rsid w:val="008E73DE"/>
    <w:rsid w:val="008E7BA4"/>
    <w:rsid w:val="008F085F"/>
    <w:rsid w:val="008F08FE"/>
    <w:rsid w:val="008F0909"/>
    <w:rsid w:val="008F095C"/>
    <w:rsid w:val="008F1B25"/>
    <w:rsid w:val="008F1C21"/>
    <w:rsid w:val="008F23F2"/>
    <w:rsid w:val="008F2503"/>
    <w:rsid w:val="008F29BE"/>
    <w:rsid w:val="008F2F86"/>
    <w:rsid w:val="008F348C"/>
    <w:rsid w:val="008F34C9"/>
    <w:rsid w:val="008F3798"/>
    <w:rsid w:val="008F3AE3"/>
    <w:rsid w:val="008F447A"/>
    <w:rsid w:val="008F4D43"/>
    <w:rsid w:val="008F5296"/>
    <w:rsid w:val="008F59B6"/>
    <w:rsid w:val="008F5B78"/>
    <w:rsid w:val="008F5FD5"/>
    <w:rsid w:val="008F5FE5"/>
    <w:rsid w:val="008F60D9"/>
    <w:rsid w:val="008F6E65"/>
    <w:rsid w:val="008F703B"/>
    <w:rsid w:val="008F7056"/>
    <w:rsid w:val="008F7116"/>
    <w:rsid w:val="008F75E5"/>
    <w:rsid w:val="008F7FCA"/>
    <w:rsid w:val="00900567"/>
    <w:rsid w:val="00900710"/>
    <w:rsid w:val="00901122"/>
    <w:rsid w:val="00901692"/>
    <w:rsid w:val="00901F2B"/>
    <w:rsid w:val="00902008"/>
    <w:rsid w:val="009022C5"/>
    <w:rsid w:val="009033DB"/>
    <w:rsid w:val="009033E0"/>
    <w:rsid w:val="00904293"/>
    <w:rsid w:val="00904294"/>
    <w:rsid w:val="00904959"/>
    <w:rsid w:val="00904A7C"/>
    <w:rsid w:val="00904B45"/>
    <w:rsid w:val="00904CFC"/>
    <w:rsid w:val="0090558C"/>
    <w:rsid w:val="00905BC1"/>
    <w:rsid w:val="00905C98"/>
    <w:rsid w:val="0090631A"/>
    <w:rsid w:val="00906594"/>
    <w:rsid w:val="00906778"/>
    <w:rsid w:val="009069BE"/>
    <w:rsid w:val="00907234"/>
    <w:rsid w:val="0090791B"/>
    <w:rsid w:val="00907DB9"/>
    <w:rsid w:val="00907FCB"/>
    <w:rsid w:val="00910F9E"/>
    <w:rsid w:val="0091159D"/>
    <w:rsid w:val="009116F8"/>
    <w:rsid w:val="00911730"/>
    <w:rsid w:val="00911D34"/>
    <w:rsid w:val="00911D6A"/>
    <w:rsid w:val="00911EA4"/>
    <w:rsid w:val="009124EE"/>
    <w:rsid w:val="00912A62"/>
    <w:rsid w:val="00912CD3"/>
    <w:rsid w:val="00912E3E"/>
    <w:rsid w:val="00912F3E"/>
    <w:rsid w:val="00912FB4"/>
    <w:rsid w:val="00913575"/>
    <w:rsid w:val="009138C3"/>
    <w:rsid w:val="009139C9"/>
    <w:rsid w:val="00915906"/>
    <w:rsid w:val="0091637F"/>
    <w:rsid w:val="009163E1"/>
    <w:rsid w:val="00916C2F"/>
    <w:rsid w:val="00916E09"/>
    <w:rsid w:val="00917D26"/>
    <w:rsid w:val="00917DCD"/>
    <w:rsid w:val="00917F62"/>
    <w:rsid w:val="00917FA3"/>
    <w:rsid w:val="009203A6"/>
    <w:rsid w:val="00920C09"/>
    <w:rsid w:val="00920F36"/>
    <w:rsid w:val="00921284"/>
    <w:rsid w:val="00921327"/>
    <w:rsid w:val="009216F9"/>
    <w:rsid w:val="0092177D"/>
    <w:rsid w:val="0092248E"/>
    <w:rsid w:val="00923D03"/>
    <w:rsid w:val="00923D63"/>
    <w:rsid w:val="0092434B"/>
    <w:rsid w:val="00924754"/>
    <w:rsid w:val="00924781"/>
    <w:rsid w:val="00924A69"/>
    <w:rsid w:val="00925987"/>
    <w:rsid w:val="00925BFF"/>
    <w:rsid w:val="00925C16"/>
    <w:rsid w:val="00925D71"/>
    <w:rsid w:val="0092685D"/>
    <w:rsid w:val="0092779D"/>
    <w:rsid w:val="00927AD5"/>
    <w:rsid w:val="00927CB5"/>
    <w:rsid w:val="00927D94"/>
    <w:rsid w:val="009301E1"/>
    <w:rsid w:val="009304C2"/>
    <w:rsid w:val="009304C7"/>
    <w:rsid w:val="009306D5"/>
    <w:rsid w:val="00930E02"/>
    <w:rsid w:val="00930E4C"/>
    <w:rsid w:val="00931865"/>
    <w:rsid w:val="00931934"/>
    <w:rsid w:val="00932363"/>
    <w:rsid w:val="009325ED"/>
    <w:rsid w:val="00932841"/>
    <w:rsid w:val="00932845"/>
    <w:rsid w:val="009329B1"/>
    <w:rsid w:val="00932D8D"/>
    <w:rsid w:val="00933868"/>
    <w:rsid w:val="0093493A"/>
    <w:rsid w:val="00934A9E"/>
    <w:rsid w:val="00934EA0"/>
    <w:rsid w:val="009356BF"/>
    <w:rsid w:val="00935889"/>
    <w:rsid w:val="0093590E"/>
    <w:rsid w:val="00935A15"/>
    <w:rsid w:val="00935C0E"/>
    <w:rsid w:val="00935D17"/>
    <w:rsid w:val="00935D56"/>
    <w:rsid w:val="00936722"/>
    <w:rsid w:val="0093686A"/>
    <w:rsid w:val="00936951"/>
    <w:rsid w:val="00936FF6"/>
    <w:rsid w:val="0093717F"/>
    <w:rsid w:val="00937321"/>
    <w:rsid w:val="00937328"/>
    <w:rsid w:val="0093742A"/>
    <w:rsid w:val="0093789D"/>
    <w:rsid w:val="00937B11"/>
    <w:rsid w:val="00941B14"/>
    <w:rsid w:val="00941EB7"/>
    <w:rsid w:val="00941FE3"/>
    <w:rsid w:val="00942020"/>
    <w:rsid w:val="00942451"/>
    <w:rsid w:val="009427A9"/>
    <w:rsid w:val="009429A5"/>
    <w:rsid w:val="009429DA"/>
    <w:rsid w:val="00942F1C"/>
    <w:rsid w:val="00943311"/>
    <w:rsid w:val="009435AC"/>
    <w:rsid w:val="00943BD0"/>
    <w:rsid w:val="00943CEF"/>
    <w:rsid w:val="00943D6A"/>
    <w:rsid w:val="00943F82"/>
    <w:rsid w:val="0094414B"/>
    <w:rsid w:val="0094434F"/>
    <w:rsid w:val="00944BF1"/>
    <w:rsid w:val="00945335"/>
    <w:rsid w:val="009457BF"/>
    <w:rsid w:val="00945CC7"/>
    <w:rsid w:val="00945DFE"/>
    <w:rsid w:val="00945E33"/>
    <w:rsid w:val="00945E87"/>
    <w:rsid w:val="009461AB"/>
    <w:rsid w:val="00946257"/>
    <w:rsid w:val="009463C6"/>
    <w:rsid w:val="0094653F"/>
    <w:rsid w:val="00947666"/>
    <w:rsid w:val="00947F38"/>
    <w:rsid w:val="00947F6A"/>
    <w:rsid w:val="00950C8E"/>
    <w:rsid w:val="00951290"/>
    <w:rsid w:val="00951B16"/>
    <w:rsid w:val="00952355"/>
    <w:rsid w:val="00952B28"/>
    <w:rsid w:val="00952B5D"/>
    <w:rsid w:val="00952BA6"/>
    <w:rsid w:val="00952EB9"/>
    <w:rsid w:val="009536FD"/>
    <w:rsid w:val="009537D5"/>
    <w:rsid w:val="009537DF"/>
    <w:rsid w:val="00953BBD"/>
    <w:rsid w:val="00953EA9"/>
    <w:rsid w:val="00953FDB"/>
    <w:rsid w:val="00954062"/>
    <w:rsid w:val="00955BA8"/>
    <w:rsid w:val="00956721"/>
    <w:rsid w:val="009573F5"/>
    <w:rsid w:val="00957815"/>
    <w:rsid w:val="00957852"/>
    <w:rsid w:val="009578F9"/>
    <w:rsid w:val="009579E7"/>
    <w:rsid w:val="00957E09"/>
    <w:rsid w:val="009602C4"/>
    <w:rsid w:val="00960482"/>
    <w:rsid w:val="00960505"/>
    <w:rsid w:val="00960832"/>
    <w:rsid w:val="00960EE8"/>
    <w:rsid w:val="009610AB"/>
    <w:rsid w:val="00961620"/>
    <w:rsid w:val="0096195E"/>
    <w:rsid w:val="00961F87"/>
    <w:rsid w:val="009621D7"/>
    <w:rsid w:val="009624AA"/>
    <w:rsid w:val="0096299D"/>
    <w:rsid w:val="00962C53"/>
    <w:rsid w:val="00963004"/>
    <w:rsid w:val="0096335B"/>
    <w:rsid w:val="00963454"/>
    <w:rsid w:val="009637A1"/>
    <w:rsid w:val="00964648"/>
    <w:rsid w:val="009647AB"/>
    <w:rsid w:val="009648C6"/>
    <w:rsid w:val="009648CA"/>
    <w:rsid w:val="00964973"/>
    <w:rsid w:val="00964AB5"/>
    <w:rsid w:val="00964EA0"/>
    <w:rsid w:val="00964F43"/>
    <w:rsid w:val="0096501C"/>
    <w:rsid w:val="009651D4"/>
    <w:rsid w:val="009652B5"/>
    <w:rsid w:val="00965372"/>
    <w:rsid w:val="00965477"/>
    <w:rsid w:val="00965692"/>
    <w:rsid w:val="00965C6A"/>
    <w:rsid w:val="00966107"/>
    <w:rsid w:val="0096629A"/>
    <w:rsid w:val="0096638C"/>
    <w:rsid w:val="0096662F"/>
    <w:rsid w:val="00966796"/>
    <w:rsid w:val="00966912"/>
    <w:rsid w:val="00966C1C"/>
    <w:rsid w:val="00967424"/>
    <w:rsid w:val="00967869"/>
    <w:rsid w:val="0096792B"/>
    <w:rsid w:val="00967AEB"/>
    <w:rsid w:val="00967CBE"/>
    <w:rsid w:val="00970331"/>
    <w:rsid w:val="00970739"/>
    <w:rsid w:val="00970841"/>
    <w:rsid w:val="00970AEB"/>
    <w:rsid w:val="009712AE"/>
    <w:rsid w:val="009717AA"/>
    <w:rsid w:val="009718E8"/>
    <w:rsid w:val="0097195F"/>
    <w:rsid w:val="00971AF2"/>
    <w:rsid w:val="00971C26"/>
    <w:rsid w:val="0097213E"/>
    <w:rsid w:val="009725E8"/>
    <w:rsid w:val="00972D3F"/>
    <w:rsid w:val="009730D1"/>
    <w:rsid w:val="00973120"/>
    <w:rsid w:val="00973242"/>
    <w:rsid w:val="009734CB"/>
    <w:rsid w:val="009741C3"/>
    <w:rsid w:val="0097448B"/>
    <w:rsid w:val="009746BC"/>
    <w:rsid w:val="0097490C"/>
    <w:rsid w:val="00974B03"/>
    <w:rsid w:val="00974D52"/>
    <w:rsid w:val="00974FEA"/>
    <w:rsid w:val="009752B4"/>
    <w:rsid w:val="00975454"/>
    <w:rsid w:val="0097575A"/>
    <w:rsid w:val="00975887"/>
    <w:rsid w:val="00975DBC"/>
    <w:rsid w:val="00976064"/>
    <w:rsid w:val="009764CC"/>
    <w:rsid w:val="0097695A"/>
    <w:rsid w:val="00976BF1"/>
    <w:rsid w:val="00976E51"/>
    <w:rsid w:val="00976E54"/>
    <w:rsid w:val="00976FD6"/>
    <w:rsid w:val="00977625"/>
    <w:rsid w:val="0097799F"/>
    <w:rsid w:val="009779A3"/>
    <w:rsid w:val="00977D61"/>
    <w:rsid w:val="0098025E"/>
    <w:rsid w:val="009806EF"/>
    <w:rsid w:val="009807E8"/>
    <w:rsid w:val="009808CC"/>
    <w:rsid w:val="00980C2C"/>
    <w:rsid w:val="009810D9"/>
    <w:rsid w:val="009817CD"/>
    <w:rsid w:val="00981BE4"/>
    <w:rsid w:val="009822B7"/>
    <w:rsid w:val="0098249E"/>
    <w:rsid w:val="0098277A"/>
    <w:rsid w:val="00982B23"/>
    <w:rsid w:val="00982FDC"/>
    <w:rsid w:val="009838B6"/>
    <w:rsid w:val="009838EE"/>
    <w:rsid w:val="00983DCB"/>
    <w:rsid w:val="0098405A"/>
    <w:rsid w:val="00984084"/>
    <w:rsid w:val="00984101"/>
    <w:rsid w:val="00984390"/>
    <w:rsid w:val="0098477B"/>
    <w:rsid w:val="00984B4A"/>
    <w:rsid w:val="00984FD9"/>
    <w:rsid w:val="009850A5"/>
    <w:rsid w:val="009853DA"/>
    <w:rsid w:val="00985591"/>
    <w:rsid w:val="00985601"/>
    <w:rsid w:val="00985EAF"/>
    <w:rsid w:val="00986D2D"/>
    <w:rsid w:val="00987B2D"/>
    <w:rsid w:val="00987B4F"/>
    <w:rsid w:val="00987C82"/>
    <w:rsid w:val="00987DF8"/>
    <w:rsid w:val="00987FDB"/>
    <w:rsid w:val="009900F1"/>
    <w:rsid w:val="00990242"/>
    <w:rsid w:val="00990392"/>
    <w:rsid w:val="009906D7"/>
    <w:rsid w:val="00990850"/>
    <w:rsid w:val="00990946"/>
    <w:rsid w:val="00990CAE"/>
    <w:rsid w:val="00990DD2"/>
    <w:rsid w:val="00991214"/>
    <w:rsid w:val="0099157D"/>
    <w:rsid w:val="009928A2"/>
    <w:rsid w:val="0099337A"/>
    <w:rsid w:val="00993933"/>
    <w:rsid w:val="00993D9C"/>
    <w:rsid w:val="00994282"/>
    <w:rsid w:val="00994508"/>
    <w:rsid w:val="009950BC"/>
    <w:rsid w:val="009950BF"/>
    <w:rsid w:val="0099513C"/>
    <w:rsid w:val="009955F9"/>
    <w:rsid w:val="009957CE"/>
    <w:rsid w:val="00995854"/>
    <w:rsid w:val="00995A5C"/>
    <w:rsid w:val="00995AEF"/>
    <w:rsid w:val="00995D01"/>
    <w:rsid w:val="00996076"/>
    <w:rsid w:val="009967DD"/>
    <w:rsid w:val="0099680E"/>
    <w:rsid w:val="009971E3"/>
    <w:rsid w:val="009973BE"/>
    <w:rsid w:val="00997948"/>
    <w:rsid w:val="009979AC"/>
    <w:rsid w:val="00997AE4"/>
    <w:rsid w:val="00997BEF"/>
    <w:rsid w:val="00997F58"/>
    <w:rsid w:val="009A06F1"/>
    <w:rsid w:val="009A0708"/>
    <w:rsid w:val="009A0AB8"/>
    <w:rsid w:val="009A1386"/>
    <w:rsid w:val="009A276B"/>
    <w:rsid w:val="009A29FE"/>
    <w:rsid w:val="009A2DC7"/>
    <w:rsid w:val="009A2E7A"/>
    <w:rsid w:val="009A3017"/>
    <w:rsid w:val="009A3172"/>
    <w:rsid w:val="009A3677"/>
    <w:rsid w:val="009A42C0"/>
    <w:rsid w:val="009A43FE"/>
    <w:rsid w:val="009A46A6"/>
    <w:rsid w:val="009A49E2"/>
    <w:rsid w:val="009A49FB"/>
    <w:rsid w:val="009A4E08"/>
    <w:rsid w:val="009A5181"/>
    <w:rsid w:val="009A530E"/>
    <w:rsid w:val="009A5366"/>
    <w:rsid w:val="009A5C00"/>
    <w:rsid w:val="009A5E89"/>
    <w:rsid w:val="009A7498"/>
    <w:rsid w:val="009A7E30"/>
    <w:rsid w:val="009B05A8"/>
    <w:rsid w:val="009B06EC"/>
    <w:rsid w:val="009B0B9A"/>
    <w:rsid w:val="009B0CC4"/>
    <w:rsid w:val="009B0E32"/>
    <w:rsid w:val="009B0E3A"/>
    <w:rsid w:val="009B0F27"/>
    <w:rsid w:val="009B1055"/>
    <w:rsid w:val="009B1F90"/>
    <w:rsid w:val="009B218C"/>
    <w:rsid w:val="009B27A8"/>
    <w:rsid w:val="009B2AA0"/>
    <w:rsid w:val="009B2EDC"/>
    <w:rsid w:val="009B31D4"/>
    <w:rsid w:val="009B41AB"/>
    <w:rsid w:val="009B41BD"/>
    <w:rsid w:val="009B4578"/>
    <w:rsid w:val="009B479B"/>
    <w:rsid w:val="009B4993"/>
    <w:rsid w:val="009B4CDB"/>
    <w:rsid w:val="009B4D49"/>
    <w:rsid w:val="009B4D9F"/>
    <w:rsid w:val="009B5DA3"/>
    <w:rsid w:val="009B5EAC"/>
    <w:rsid w:val="009B5EC8"/>
    <w:rsid w:val="009B5F8C"/>
    <w:rsid w:val="009B6003"/>
    <w:rsid w:val="009B661D"/>
    <w:rsid w:val="009B6B85"/>
    <w:rsid w:val="009B6D10"/>
    <w:rsid w:val="009B6EA7"/>
    <w:rsid w:val="009B6F3E"/>
    <w:rsid w:val="009B7049"/>
    <w:rsid w:val="009B7632"/>
    <w:rsid w:val="009B7BB6"/>
    <w:rsid w:val="009B7E21"/>
    <w:rsid w:val="009C07BD"/>
    <w:rsid w:val="009C0907"/>
    <w:rsid w:val="009C0DD5"/>
    <w:rsid w:val="009C122E"/>
    <w:rsid w:val="009C14BB"/>
    <w:rsid w:val="009C1525"/>
    <w:rsid w:val="009C167F"/>
    <w:rsid w:val="009C19D5"/>
    <w:rsid w:val="009C1E86"/>
    <w:rsid w:val="009C264C"/>
    <w:rsid w:val="009C2AFE"/>
    <w:rsid w:val="009C2D42"/>
    <w:rsid w:val="009C332E"/>
    <w:rsid w:val="009C36D4"/>
    <w:rsid w:val="009C3B4A"/>
    <w:rsid w:val="009C3E43"/>
    <w:rsid w:val="009C44F0"/>
    <w:rsid w:val="009C4841"/>
    <w:rsid w:val="009C4FDF"/>
    <w:rsid w:val="009C52C9"/>
    <w:rsid w:val="009C5313"/>
    <w:rsid w:val="009C5921"/>
    <w:rsid w:val="009C63B8"/>
    <w:rsid w:val="009C6EB7"/>
    <w:rsid w:val="009C7024"/>
    <w:rsid w:val="009C723B"/>
    <w:rsid w:val="009C74DC"/>
    <w:rsid w:val="009C7634"/>
    <w:rsid w:val="009C7F41"/>
    <w:rsid w:val="009C7F7E"/>
    <w:rsid w:val="009D0000"/>
    <w:rsid w:val="009D0C70"/>
    <w:rsid w:val="009D1389"/>
    <w:rsid w:val="009D1738"/>
    <w:rsid w:val="009D1D7C"/>
    <w:rsid w:val="009D2093"/>
    <w:rsid w:val="009D346E"/>
    <w:rsid w:val="009D35FC"/>
    <w:rsid w:val="009D39F4"/>
    <w:rsid w:val="009D3DCE"/>
    <w:rsid w:val="009D3F44"/>
    <w:rsid w:val="009D3FCF"/>
    <w:rsid w:val="009D4089"/>
    <w:rsid w:val="009D4742"/>
    <w:rsid w:val="009D4FFE"/>
    <w:rsid w:val="009D51C8"/>
    <w:rsid w:val="009D5D53"/>
    <w:rsid w:val="009D6DC9"/>
    <w:rsid w:val="009D7109"/>
    <w:rsid w:val="009D7459"/>
    <w:rsid w:val="009D7537"/>
    <w:rsid w:val="009D782E"/>
    <w:rsid w:val="009D78DE"/>
    <w:rsid w:val="009D7A10"/>
    <w:rsid w:val="009E0299"/>
    <w:rsid w:val="009E0404"/>
    <w:rsid w:val="009E04E9"/>
    <w:rsid w:val="009E07A3"/>
    <w:rsid w:val="009E09B8"/>
    <w:rsid w:val="009E0EA3"/>
    <w:rsid w:val="009E12F0"/>
    <w:rsid w:val="009E1AD3"/>
    <w:rsid w:val="009E2282"/>
    <w:rsid w:val="009E29BA"/>
    <w:rsid w:val="009E2D9E"/>
    <w:rsid w:val="009E31C8"/>
    <w:rsid w:val="009E3AA4"/>
    <w:rsid w:val="009E3D06"/>
    <w:rsid w:val="009E3F49"/>
    <w:rsid w:val="009E415A"/>
    <w:rsid w:val="009E4345"/>
    <w:rsid w:val="009E4460"/>
    <w:rsid w:val="009E46B0"/>
    <w:rsid w:val="009E4A9E"/>
    <w:rsid w:val="009E4B11"/>
    <w:rsid w:val="009E4D66"/>
    <w:rsid w:val="009E53D3"/>
    <w:rsid w:val="009E561F"/>
    <w:rsid w:val="009E5A2E"/>
    <w:rsid w:val="009E60EC"/>
    <w:rsid w:val="009E613B"/>
    <w:rsid w:val="009E71E3"/>
    <w:rsid w:val="009E724B"/>
    <w:rsid w:val="009E7732"/>
    <w:rsid w:val="009E7CF5"/>
    <w:rsid w:val="009F0104"/>
    <w:rsid w:val="009F02A8"/>
    <w:rsid w:val="009F0444"/>
    <w:rsid w:val="009F06C8"/>
    <w:rsid w:val="009F078E"/>
    <w:rsid w:val="009F104D"/>
    <w:rsid w:val="009F1701"/>
    <w:rsid w:val="009F171A"/>
    <w:rsid w:val="009F1813"/>
    <w:rsid w:val="009F1E93"/>
    <w:rsid w:val="009F1FD6"/>
    <w:rsid w:val="009F25F3"/>
    <w:rsid w:val="009F2835"/>
    <w:rsid w:val="009F3500"/>
    <w:rsid w:val="009F362D"/>
    <w:rsid w:val="009F3767"/>
    <w:rsid w:val="009F3828"/>
    <w:rsid w:val="009F3CC0"/>
    <w:rsid w:val="009F46B7"/>
    <w:rsid w:val="009F4BBE"/>
    <w:rsid w:val="009F4F1B"/>
    <w:rsid w:val="009F5C71"/>
    <w:rsid w:val="009F60F1"/>
    <w:rsid w:val="009F6475"/>
    <w:rsid w:val="009F6527"/>
    <w:rsid w:val="009F66D0"/>
    <w:rsid w:val="009F66FA"/>
    <w:rsid w:val="009F6B57"/>
    <w:rsid w:val="009F6E87"/>
    <w:rsid w:val="009F72FE"/>
    <w:rsid w:val="009F7596"/>
    <w:rsid w:val="009F7778"/>
    <w:rsid w:val="009F7ADB"/>
    <w:rsid w:val="00A0008F"/>
    <w:rsid w:val="00A00459"/>
    <w:rsid w:val="00A00802"/>
    <w:rsid w:val="00A00893"/>
    <w:rsid w:val="00A0098C"/>
    <w:rsid w:val="00A00A94"/>
    <w:rsid w:val="00A00E20"/>
    <w:rsid w:val="00A0159D"/>
    <w:rsid w:val="00A017A6"/>
    <w:rsid w:val="00A0187E"/>
    <w:rsid w:val="00A02057"/>
    <w:rsid w:val="00A0207F"/>
    <w:rsid w:val="00A02285"/>
    <w:rsid w:val="00A02EFE"/>
    <w:rsid w:val="00A034DD"/>
    <w:rsid w:val="00A037FB"/>
    <w:rsid w:val="00A03929"/>
    <w:rsid w:val="00A039A1"/>
    <w:rsid w:val="00A03A16"/>
    <w:rsid w:val="00A03BF9"/>
    <w:rsid w:val="00A04091"/>
    <w:rsid w:val="00A041DF"/>
    <w:rsid w:val="00A042A2"/>
    <w:rsid w:val="00A043CB"/>
    <w:rsid w:val="00A0493E"/>
    <w:rsid w:val="00A05130"/>
    <w:rsid w:val="00A05D8D"/>
    <w:rsid w:val="00A05DF7"/>
    <w:rsid w:val="00A05E4A"/>
    <w:rsid w:val="00A060C3"/>
    <w:rsid w:val="00A06985"/>
    <w:rsid w:val="00A06FCD"/>
    <w:rsid w:val="00A0723A"/>
    <w:rsid w:val="00A073EE"/>
    <w:rsid w:val="00A07722"/>
    <w:rsid w:val="00A07727"/>
    <w:rsid w:val="00A07763"/>
    <w:rsid w:val="00A07CB1"/>
    <w:rsid w:val="00A07DE9"/>
    <w:rsid w:val="00A07EA2"/>
    <w:rsid w:val="00A100DD"/>
    <w:rsid w:val="00A103D2"/>
    <w:rsid w:val="00A1105A"/>
    <w:rsid w:val="00A11A7E"/>
    <w:rsid w:val="00A12488"/>
    <w:rsid w:val="00A1293C"/>
    <w:rsid w:val="00A1333B"/>
    <w:rsid w:val="00A13345"/>
    <w:rsid w:val="00A14055"/>
    <w:rsid w:val="00A142E4"/>
    <w:rsid w:val="00A14927"/>
    <w:rsid w:val="00A14963"/>
    <w:rsid w:val="00A149CE"/>
    <w:rsid w:val="00A15598"/>
    <w:rsid w:val="00A16437"/>
    <w:rsid w:val="00A164C0"/>
    <w:rsid w:val="00A164D3"/>
    <w:rsid w:val="00A16E11"/>
    <w:rsid w:val="00A17092"/>
    <w:rsid w:val="00A17742"/>
    <w:rsid w:val="00A17758"/>
    <w:rsid w:val="00A178AC"/>
    <w:rsid w:val="00A17B63"/>
    <w:rsid w:val="00A20567"/>
    <w:rsid w:val="00A20928"/>
    <w:rsid w:val="00A20D18"/>
    <w:rsid w:val="00A20DAD"/>
    <w:rsid w:val="00A21335"/>
    <w:rsid w:val="00A214B5"/>
    <w:rsid w:val="00A216E6"/>
    <w:rsid w:val="00A2181A"/>
    <w:rsid w:val="00A21D03"/>
    <w:rsid w:val="00A21DC1"/>
    <w:rsid w:val="00A21FE6"/>
    <w:rsid w:val="00A22165"/>
    <w:rsid w:val="00A224C5"/>
    <w:rsid w:val="00A22961"/>
    <w:rsid w:val="00A22FEF"/>
    <w:rsid w:val="00A231D5"/>
    <w:rsid w:val="00A23344"/>
    <w:rsid w:val="00A23424"/>
    <w:rsid w:val="00A2354E"/>
    <w:rsid w:val="00A23C68"/>
    <w:rsid w:val="00A23F36"/>
    <w:rsid w:val="00A241CA"/>
    <w:rsid w:val="00A24758"/>
    <w:rsid w:val="00A2481F"/>
    <w:rsid w:val="00A24A70"/>
    <w:rsid w:val="00A250C1"/>
    <w:rsid w:val="00A2537B"/>
    <w:rsid w:val="00A25395"/>
    <w:rsid w:val="00A25418"/>
    <w:rsid w:val="00A25830"/>
    <w:rsid w:val="00A25BEC"/>
    <w:rsid w:val="00A261D4"/>
    <w:rsid w:val="00A261DC"/>
    <w:rsid w:val="00A26713"/>
    <w:rsid w:val="00A26AE9"/>
    <w:rsid w:val="00A26BB5"/>
    <w:rsid w:val="00A272A9"/>
    <w:rsid w:val="00A274AC"/>
    <w:rsid w:val="00A2775E"/>
    <w:rsid w:val="00A27D33"/>
    <w:rsid w:val="00A27EC3"/>
    <w:rsid w:val="00A30491"/>
    <w:rsid w:val="00A30C6A"/>
    <w:rsid w:val="00A3109A"/>
    <w:rsid w:val="00A3173A"/>
    <w:rsid w:val="00A31978"/>
    <w:rsid w:val="00A31D4B"/>
    <w:rsid w:val="00A31E55"/>
    <w:rsid w:val="00A32143"/>
    <w:rsid w:val="00A328FD"/>
    <w:rsid w:val="00A32A0A"/>
    <w:rsid w:val="00A32A8F"/>
    <w:rsid w:val="00A3335D"/>
    <w:rsid w:val="00A33643"/>
    <w:rsid w:val="00A33A6C"/>
    <w:rsid w:val="00A34234"/>
    <w:rsid w:val="00A349ED"/>
    <w:rsid w:val="00A3509C"/>
    <w:rsid w:val="00A3564A"/>
    <w:rsid w:val="00A356D5"/>
    <w:rsid w:val="00A358E8"/>
    <w:rsid w:val="00A35CEF"/>
    <w:rsid w:val="00A35DC7"/>
    <w:rsid w:val="00A35FBB"/>
    <w:rsid w:val="00A36B01"/>
    <w:rsid w:val="00A37222"/>
    <w:rsid w:val="00A3722E"/>
    <w:rsid w:val="00A378E7"/>
    <w:rsid w:val="00A37F24"/>
    <w:rsid w:val="00A37FC0"/>
    <w:rsid w:val="00A400E6"/>
    <w:rsid w:val="00A401D3"/>
    <w:rsid w:val="00A40A32"/>
    <w:rsid w:val="00A40E1C"/>
    <w:rsid w:val="00A41242"/>
    <w:rsid w:val="00A416EA"/>
    <w:rsid w:val="00A417B2"/>
    <w:rsid w:val="00A418FE"/>
    <w:rsid w:val="00A41EFF"/>
    <w:rsid w:val="00A426AF"/>
    <w:rsid w:val="00A4275D"/>
    <w:rsid w:val="00A42D36"/>
    <w:rsid w:val="00A43052"/>
    <w:rsid w:val="00A43CDB"/>
    <w:rsid w:val="00A44A15"/>
    <w:rsid w:val="00A44EF5"/>
    <w:rsid w:val="00A4541A"/>
    <w:rsid w:val="00A454D2"/>
    <w:rsid w:val="00A457CC"/>
    <w:rsid w:val="00A459BA"/>
    <w:rsid w:val="00A4656E"/>
    <w:rsid w:val="00A465FF"/>
    <w:rsid w:val="00A46884"/>
    <w:rsid w:val="00A46F73"/>
    <w:rsid w:val="00A47030"/>
    <w:rsid w:val="00A472EF"/>
    <w:rsid w:val="00A477CF"/>
    <w:rsid w:val="00A47832"/>
    <w:rsid w:val="00A47F97"/>
    <w:rsid w:val="00A506AC"/>
    <w:rsid w:val="00A506CA"/>
    <w:rsid w:val="00A50DCD"/>
    <w:rsid w:val="00A50E2D"/>
    <w:rsid w:val="00A50F29"/>
    <w:rsid w:val="00A51259"/>
    <w:rsid w:val="00A514AD"/>
    <w:rsid w:val="00A519CB"/>
    <w:rsid w:val="00A51AA3"/>
    <w:rsid w:val="00A520A5"/>
    <w:rsid w:val="00A5227F"/>
    <w:rsid w:val="00A523C3"/>
    <w:rsid w:val="00A526D4"/>
    <w:rsid w:val="00A52914"/>
    <w:rsid w:val="00A52B02"/>
    <w:rsid w:val="00A530CC"/>
    <w:rsid w:val="00A531E2"/>
    <w:rsid w:val="00A53575"/>
    <w:rsid w:val="00A53B08"/>
    <w:rsid w:val="00A53CEE"/>
    <w:rsid w:val="00A54287"/>
    <w:rsid w:val="00A54403"/>
    <w:rsid w:val="00A54762"/>
    <w:rsid w:val="00A54940"/>
    <w:rsid w:val="00A549B0"/>
    <w:rsid w:val="00A54F30"/>
    <w:rsid w:val="00A55216"/>
    <w:rsid w:val="00A55654"/>
    <w:rsid w:val="00A5588D"/>
    <w:rsid w:val="00A55B55"/>
    <w:rsid w:val="00A55E8C"/>
    <w:rsid w:val="00A56527"/>
    <w:rsid w:val="00A56FA8"/>
    <w:rsid w:val="00A5785C"/>
    <w:rsid w:val="00A5796A"/>
    <w:rsid w:val="00A57A8D"/>
    <w:rsid w:val="00A57CC4"/>
    <w:rsid w:val="00A57DCD"/>
    <w:rsid w:val="00A601FE"/>
    <w:rsid w:val="00A602B3"/>
    <w:rsid w:val="00A6043A"/>
    <w:rsid w:val="00A604C9"/>
    <w:rsid w:val="00A605D3"/>
    <w:rsid w:val="00A605E0"/>
    <w:rsid w:val="00A60678"/>
    <w:rsid w:val="00A60A41"/>
    <w:rsid w:val="00A60AD2"/>
    <w:rsid w:val="00A60D69"/>
    <w:rsid w:val="00A6143D"/>
    <w:rsid w:val="00A61446"/>
    <w:rsid w:val="00A61883"/>
    <w:rsid w:val="00A61FCE"/>
    <w:rsid w:val="00A62B6D"/>
    <w:rsid w:val="00A62C3D"/>
    <w:rsid w:val="00A6318A"/>
    <w:rsid w:val="00A63331"/>
    <w:rsid w:val="00A63D3C"/>
    <w:rsid w:val="00A641D8"/>
    <w:rsid w:val="00A643CD"/>
    <w:rsid w:val="00A6446E"/>
    <w:rsid w:val="00A64745"/>
    <w:rsid w:val="00A64876"/>
    <w:rsid w:val="00A64BC1"/>
    <w:rsid w:val="00A6500E"/>
    <w:rsid w:val="00A6509A"/>
    <w:rsid w:val="00A65A7E"/>
    <w:rsid w:val="00A65BE8"/>
    <w:rsid w:val="00A65EA1"/>
    <w:rsid w:val="00A65F2B"/>
    <w:rsid w:val="00A66216"/>
    <w:rsid w:val="00A6628C"/>
    <w:rsid w:val="00A664CA"/>
    <w:rsid w:val="00A6754A"/>
    <w:rsid w:val="00A67572"/>
    <w:rsid w:val="00A67944"/>
    <w:rsid w:val="00A67B84"/>
    <w:rsid w:val="00A701F5"/>
    <w:rsid w:val="00A70577"/>
    <w:rsid w:val="00A7094F"/>
    <w:rsid w:val="00A712F2"/>
    <w:rsid w:val="00A71619"/>
    <w:rsid w:val="00A71AA7"/>
    <w:rsid w:val="00A72452"/>
    <w:rsid w:val="00A727D4"/>
    <w:rsid w:val="00A72B11"/>
    <w:rsid w:val="00A72B38"/>
    <w:rsid w:val="00A72F3A"/>
    <w:rsid w:val="00A735BF"/>
    <w:rsid w:val="00A739DD"/>
    <w:rsid w:val="00A73A5E"/>
    <w:rsid w:val="00A741DC"/>
    <w:rsid w:val="00A74445"/>
    <w:rsid w:val="00A7552D"/>
    <w:rsid w:val="00A75BBC"/>
    <w:rsid w:val="00A75E4C"/>
    <w:rsid w:val="00A7604A"/>
    <w:rsid w:val="00A761DA"/>
    <w:rsid w:val="00A76464"/>
    <w:rsid w:val="00A7678F"/>
    <w:rsid w:val="00A769DD"/>
    <w:rsid w:val="00A76ACB"/>
    <w:rsid w:val="00A76FD4"/>
    <w:rsid w:val="00A772EC"/>
    <w:rsid w:val="00A77954"/>
    <w:rsid w:val="00A80337"/>
    <w:rsid w:val="00A8037E"/>
    <w:rsid w:val="00A80558"/>
    <w:rsid w:val="00A80672"/>
    <w:rsid w:val="00A80B09"/>
    <w:rsid w:val="00A80B1C"/>
    <w:rsid w:val="00A8122D"/>
    <w:rsid w:val="00A8126C"/>
    <w:rsid w:val="00A81336"/>
    <w:rsid w:val="00A8188F"/>
    <w:rsid w:val="00A81AC0"/>
    <w:rsid w:val="00A81DC9"/>
    <w:rsid w:val="00A81EC4"/>
    <w:rsid w:val="00A81FB3"/>
    <w:rsid w:val="00A82101"/>
    <w:rsid w:val="00A823CA"/>
    <w:rsid w:val="00A823FD"/>
    <w:rsid w:val="00A828B5"/>
    <w:rsid w:val="00A82985"/>
    <w:rsid w:val="00A82A18"/>
    <w:rsid w:val="00A82CAB"/>
    <w:rsid w:val="00A82D82"/>
    <w:rsid w:val="00A82FE9"/>
    <w:rsid w:val="00A832A8"/>
    <w:rsid w:val="00A8358D"/>
    <w:rsid w:val="00A8406B"/>
    <w:rsid w:val="00A843B6"/>
    <w:rsid w:val="00A846E5"/>
    <w:rsid w:val="00A84E93"/>
    <w:rsid w:val="00A851AD"/>
    <w:rsid w:val="00A853B1"/>
    <w:rsid w:val="00A856DE"/>
    <w:rsid w:val="00A8575D"/>
    <w:rsid w:val="00A85E88"/>
    <w:rsid w:val="00A86642"/>
    <w:rsid w:val="00A86D18"/>
    <w:rsid w:val="00A86D1D"/>
    <w:rsid w:val="00A86FFF"/>
    <w:rsid w:val="00A874E8"/>
    <w:rsid w:val="00A87950"/>
    <w:rsid w:val="00A87971"/>
    <w:rsid w:val="00A87B54"/>
    <w:rsid w:val="00A87ED0"/>
    <w:rsid w:val="00A87F30"/>
    <w:rsid w:val="00A909FC"/>
    <w:rsid w:val="00A90A55"/>
    <w:rsid w:val="00A90B6F"/>
    <w:rsid w:val="00A90C58"/>
    <w:rsid w:val="00A91445"/>
    <w:rsid w:val="00A9190B"/>
    <w:rsid w:val="00A91E27"/>
    <w:rsid w:val="00A91FEA"/>
    <w:rsid w:val="00A9214B"/>
    <w:rsid w:val="00A92288"/>
    <w:rsid w:val="00A9251F"/>
    <w:rsid w:val="00A9259A"/>
    <w:rsid w:val="00A92689"/>
    <w:rsid w:val="00A927B7"/>
    <w:rsid w:val="00A927DC"/>
    <w:rsid w:val="00A92B7D"/>
    <w:rsid w:val="00A92CDE"/>
    <w:rsid w:val="00A92D04"/>
    <w:rsid w:val="00A92D31"/>
    <w:rsid w:val="00A931D3"/>
    <w:rsid w:val="00A934BB"/>
    <w:rsid w:val="00A9379D"/>
    <w:rsid w:val="00A937C6"/>
    <w:rsid w:val="00A93A0D"/>
    <w:rsid w:val="00A944CE"/>
    <w:rsid w:val="00A94691"/>
    <w:rsid w:val="00A94970"/>
    <w:rsid w:val="00A94FF5"/>
    <w:rsid w:val="00A950A7"/>
    <w:rsid w:val="00A9510B"/>
    <w:rsid w:val="00A95522"/>
    <w:rsid w:val="00A959EE"/>
    <w:rsid w:val="00A95C86"/>
    <w:rsid w:val="00A95E68"/>
    <w:rsid w:val="00A9623E"/>
    <w:rsid w:val="00A96B71"/>
    <w:rsid w:val="00A96E2B"/>
    <w:rsid w:val="00A971F0"/>
    <w:rsid w:val="00A97364"/>
    <w:rsid w:val="00A97CB6"/>
    <w:rsid w:val="00AA0061"/>
    <w:rsid w:val="00AA009E"/>
    <w:rsid w:val="00AA0107"/>
    <w:rsid w:val="00AA04DE"/>
    <w:rsid w:val="00AA0504"/>
    <w:rsid w:val="00AA09A1"/>
    <w:rsid w:val="00AA0A30"/>
    <w:rsid w:val="00AA14BD"/>
    <w:rsid w:val="00AA17E7"/>
    <w:rsid w:val="00AA1B48"/>
    <w:rsid w:val="00AA1BEB"/>
    <w:rsid w:val="00AA1F1C"/>
    <w:rsid w:val="00AA2393"/>
    <w:rsid w:val="00AA24B3"/>
    <w:rsid w:val="00AA2667"/>
    <w:rsid w:val="00AA2901"/>
    <w:rsid w:val="00AA29BC"/>
    <w:rsid w:val="00AA2BD6"/>
    <w:rsid w:val="00AA2F89"/>
    <w:rsid w:val="00AA30B8"/>
    <w:rsid w:val="00AA3222"/>
    <w:rsid w:val="00AA3226"/>
    <w:rsid w:val="00AA3400"/>
    <w:rsid w:val="00AA34D8"/>
    <w:rsid w:val="00AA3744"/>
    <w:rsid w:val="00AA37F4"/>
    <w:rsid w:val="00AA3854"/>
    <w:rsid w:val="00AA3EC6"/>
    <w:rsid w:val="00AA4156"/>
    <w:rsid w:val="00AA469F"/>
    <w:rsid w:val="00AA4A6B"/>
    <w:rsid w:val="00AA4DE5"/>
    <w:rsid w:val="00AA5324"/>
    <w:rsid w:val="00AA5497"/>
    <w:rsid w:val="00AA6339"/>
    <w:rsid w:val="00AA64C4"/>
    <w:rsid w:val="00AA6AC0"/>
    <w:rsid w:val="00AA6B57"/>
    <w:rsid w:val="00AA6BE8"/>
    <w:rsid w:val="00AA6F48"/>
    <w:rsid w:val="00AA6FD6"/>
    <w:rsid w:val="00AA7676"/>
    <w:rsid w:val="00AA7C90"/>
    <w:rsid w:val="00AA7D4C"/>
    <w:rsid w:val="00AA7F86"/>
    <w:rsid w:val="00AA7FAF"/>
    <w:rsid w:val="00AB0080"/>
    <w:rsid w:val="00AB00AD"/>
    <w:rsid w:val="00AB058C"/>
    <w:rsid w:val="00AB05E4"/>
    <w:rsid w:val="00AB0901"/>
    <w:rsid w:val="00AB11BA"/>
    <w:rsid w:val="00AB1220"/>
    <w:rsid w:val="00AB12A3"/>
    <w:rsid w:val="00AB12D8"/>
    <w:rsid w:val="00AB2114"/>
    <w:rsid w:val="00AB21DF"/>
    <w:rsid w:val="00AB2418"/>
    <w:rsid w:val="00AB2B1E"/>
    <w:rsid w:val="00AB2C69"/>
    <w:rsid w:val="00AB2C72"/>
    <w:rsid w:val="00AB3261"/>
    <w:rsid w:val="00AB3262"/>
    <w:rsid w:val="00AB32AE"/>
    <w:rsid w:val="00AB354A"/>
    <w:rsid w:val="00AB35EC"/>
    <w:rsid w:val="00AB36C5"/>
    <w:rsid w:val="00AB380D"/>
    <w:rsid w:val="00AB4310"/>
    <w:rsid w:val="00AB44B0"/>
    <w:rsid w:val="00AB4E5B"/>
    <w:rsid w:val="00AB526F"/>
    <w:rsid w:val="00AB5365"/>
    <w:rsid w:val="00AB5777"/>
    <w:rsid w:val="00AB5976"/>
    <w:rsid w:val="00AB5B3E"/>
    <w:rsid w:val="00AB5C99"/>
    <w:rsid w:val="00AB5F06"/>
    <w:rsid w:val="00AB66FB"/>
    <w:rsid w:val="00AB6999"/>
    <w:rsid w:val="00AB6E96"/>
    <w:rsid w:val="00AB72C9"/>
    <w:rsid w:val="00AB750A"/>
    <w:rsid w:val="00AB7629"/>
    <w:rsid w:val="00AB76E2"/>
    <w:rsid w:val="00AB7829"/>
    <w:rsid w:val="00AB7892"/>
    <w:rsid w:val="00AB7912"/>
    <w:rsid w:val="00AB7EEB"/>
    <w:rsid w:val="00AC0038"/>
    <w:rsid w:val="00AC03F7"/>
    <w:rsid w:val="00AC051D"/>
    <w:rsid w:val="00AC0884"/>
    <w:rsid w:val="00AC0889"/>
    <w:rsid w:val="00AC09DE"/>
    <w:rsid w:val="00AC0E7E"/>
    <w:rsid w:val="00AC0EAE"/>
    <w:rsid w:val="00AC11EA"/>
    <w:rsid w:val="00AC1A24"/>
    <w:rsid w:val="00AC1C61"/>
    <w:rsid w:val="00AC20F2"/>
    <w:rsid w:val="00AC2362"/>
    <w:rsid w:val="00AC2610"/>
    <w:rsid w:val="00AC286F"/>
    <w:rsid w:val="00AC3091"/>
    <w:rsid w:val="00AC327E"/>
    <w:rsid w:val="00AC329D"/>
    <w:rsid w:val="00AC33B7"/>
    <w:rsid w:val="00AC37EE"/>
    <w:rsid w:val="00AC3AC8"/>
    <w:rsid w:val="00AC3BAC"/>
    <w:rsid w:val="00AC3FF6"/>
    <w:rsid w:val="00AC470F"/>
    <w:rsid w:val="00AC4BBC"/>
    <w:rsid w:val="00AC4FC2"/>
    <w:rsid w:val="00AC522C"/>
    <w:rsid w:val="00AC549D"/>
    <w:rsid w:val="00AC574D"/>
    <w:rsid w:val="00AC577F"/>
    <w:rsid w:val="00AC5888"/>
    <w:rsid w:val="00AC5A07"/>
    <w:rsid w:val="00AC5CC8"/>
    <w:rsid w:val="00AC5D15"/>
    <w:rsid w:val="00AC5DD3"/>
    <w:rsid w:val="00AC6302"/>
    <w:rsid w:val="00AC657E"/>
    <w:rsid w:val="00AC67A1"/>
    <w:rsid w:val="00AC6A9A"/>
    <w:rsid w:val="00AC70A8"/>
    <w:rsid w:val="00AC7358"/>
    <w:rsid w:val="00AC7773"/>
    <w:rsid w:val="00AC7E27"/>
    <w:rsid w:val="00AD0AF8"/>
    <w:rsid w:val="00AD0CEB"/>
    <w:rsid w:val="00AD10FE"/>
    <w:rsid w:val="00AD1351"/>
    <w:rsid w:val="00AD1806"/>
    <w:rsid w:val="00AD1E80"/>
    <w:rsid w:val="00AD25D4"/>
    <w:rsid w:val="00AD2792"/>
    <w:rsid w:val="00AD2814"/>
    <w:rsid w:val="00AD2842"/>
    <w:rsid w:val="00AD28FA"/>
    <w:rsid w:val="00AD2960"/>
    <w:rsid w:val="00AD3883"/>
    <w:rsid w:val="00AD3B34"/>
    <w:rsid w:val="00AD4A4C"/>
    <w:rsid w:val="00AD4AE0"/>
    <w:rsid w:val="00AD5080"/>
    <w:rsid w:val="00AD51E6"/>
    <w:rsid w:val="00AD5F45"/>
    <w:rsid w:val="00AD5F7F"/>
    <w:rsid w:val="00AD62C2"/>
    <w:rsid w:val="00AD66A4"/>
    <w:rsid w:val="00AD6DA4"/>
    <w:rsid w:val="00AD6F1F"/>
    <w:rsid w:val="00AD70A8"/>
    <w:rsid w:val="00AD71C7"/>
    <w:rsid w:val="00AD73B7"/>
    <w:rsid w:val="00AD7921"/>
    <w:rsid w:val="00AD7B28"/>
    <w:rsid w:val="00AE06F9"/>
    <w:rsid w:val="00AE098B"/>
    <w:rsid w:val="00AE0D3E"/>
    <w:rsid w:val="00AE0DBD"/>
    <w:rsid w:val="00AE0F12"/>
    <w:rsid w:val="00AE12B0"/>
    <w:rsid w:val="00AE1833"/>
    <w:rsid w:val="00AE1D16"/>
    <w:rsid w:val="00AE1F07"/>
    <w:rsid w:val="00AE1FD5"/>
    <w:rsid w:val="00AE2064"/>
    <w:rsid w:val="00AE2363"/>
    <w:rsid w:val="00AE2504"/>
    <w:rsid w:val="00AE2641"/>
    <w:rsid w:val="00AE2C4B"/>
    <w:rsid w:val="00AE2CDB"/>
    <w:rsid w:val="00AE2F49"/>
    <w:rsid w:val="00AE3328"/>
    <w:rsid w:val="00AE37A2"/>
    <w:rsid w:val="00AE3B02"/>
    <w:rsid w:val="00AE3F6E"/>
    <w:rsid w:val="00AE4308"/>
    <w:rsid w:val="00AE4648"/>
    <w:rsid w:val="00AE46F2"/>
    <w:rsid w:val="00AE4B0E"/>
    <w:rsid w:val="00AE4B5D"/>
    <w:rsid w:val="00AE4C15"/>
    <w:rsid w:val="00AE4D5D"/>
    <w:rsid w:val="00AE4DB4"/>
    <w:rsid w:val="00AE5601"/>
    <w:rsid w:val="00AE62BA"/>
    <w:rsid w:val="00AE6B18"/>
    <w:rsid w:val="00AE6B98"/>
    <w:rsid w:val="00AE6C74"/>
    <w:rsid w:val="00AE751D"/>
    <w:rsid w:val="00AE7926"/>
    <w:rsid w:val="00AE7A7D"/>
    <w:rsid w:val="00AF05B4"/>
    <w:rsid w:val="00AF06DE"/>
    <w:rsid w:val="00AF0BFB"/>
    <w:rsid w:val="00AF0DC9"/>
    <w:rsid w:val="00AF1958"/>
    <w:rsid w:val="00AF1F06"/>
    <w:rsid w:val="00AF1FEA"/>
    <w:rsid w:val="00AF3B3C"/>
    <w:rsid w:val="00AF3DB5"/>
    <w:rsid w:val="00AF4844"/>
    <w:rsid w:val="00AF4B19"/>
    <w:rsid w:val="00AF4B75"/>
    <w:rsid w:val="00AF5029"/>
    <w:rsid w:val="00AF50F7"/>
    <w:rsid w:val="00AF517F"/>
    <w:rsid w:val="00AF5263"/>
    <w:rsid w:val="00AF5316"/>
    <w:rsid w:val="00AF5663"/>
    <w:rsid w:val="00AF5707"/>
    <w:rsid w:val="00AF605B"/>
    <w:rsid w:val="00AF6231"/>
    <w:rsid w:val="00AF6CA3"/>
    <w:rsid w:val="00AF6F6C"/>
    <w:rsid w:val="00AF70C6"/>
    <w:rsid w:val="00AF7142"/>
    <w:rsid w:val="00AF7481"/>
    <w:rsid w:val="00AF7517"/>
    <w:rsid w:val="00AF7598"/>
    <w:rsid w:val="00AF7B71"/>
    <w:rsid w:val="00B0005A"/>
    <w:rsid w:val="00B0056B"/>
    <w:rsid w:val="00B00754"/>
    <w:rsid w:val="00B00AC2"/>
    <w:rsid w:val="00B00BD0"/>
    <w:rsid w:val="00B00D70"/>
    <w:rsid w:val="00B012AE"/>
    <w:rsid w:val="00B01690"/>
    <w:rsid w:val="00B0169D"/>
    <w:rsid w:val="00B016A9"/>
    <w:rsid w:val="00B0199D"/>
    <w:rsid w:val="00B01AED"/>
    <w:rsid w:val="00B01FD1"/>
    <w:rsid w:val="00B020FA"/>
    <w:rsid w:val="00B029B4"/>
    <w:rsid w:val="00B02DC4"/>
    <w:rsid w:val="00B02ECE"/>
    <w:rsid w:val="00B02FBD"/>
    <w:rsid w:val="00B033BD"/>
    <w:rsid w:val="00B04073"/>
    <w:rsid w:val="00B045D8"/>
    <w:rsid w:val="00B046B3"/>
    <w:rsid w:val="00B04F58"/>
    <w:rsid w:val="00B04F96"/>
    <w:rsid w:val="00B06C03"/>
    <w:rsid w:val="00B06E1D"/>
    <w:rsid w:val="00B06E49"/>
    <w:rsid w:val="00B0742C"/>
    <w:rsid w:val="00B0747F"/>
    <w:rsid w:val="00B0769A"/>
    <w:rsid w:val="00B101C5"/>
    <w:rsid w:val="00B1068E"/>
    <w:rsid w:val="00B10B19"/>
    <w:rsid w:val="00B10CFC"/>
    <w:rsid w:val="00B10E92"/>
    <w:rsid w:val="00B111A4"/>
    <w:rsid w:val="00B11487"/>
    <w:rsid w:val="00B11827"/>
    <w:rsid w:val="00B118AB"/>
    <w:rsid w:val="00B11BBA"/>
    <w:rsid w:val="00B11D80"/>
    <w:rsid w:val="00B12335"/>
    <w:rsid w:val="00B129F1"/>
    <w:rsid w:val="00B12D2B"/>
    <w:rsid w:val="00B12EC0"/>
    <w:rsid w:val="00B12EC4"/>
    <w:rsid w:val="00B12F89"/>
    <w:rsid w:val="00B1306B"/>
    <w:rsid w:val="00B13205"/>
    <w:rsid w:val="00B13561"/>
    <w:rsid w:val="00B13E08"/>
    <w:rsid w:val="00B13F0D"/>
    <w:rsid w:val="00B13F80"/>
    <w:rsid w:val="00B1416B"/>
    <w:rsid w:val="00B142A3"/>
    <w:rsid w:val="00B14491"/>
    <w:rsid w:val="00B144F2"/>
    <w:rsid w:val="00B15EE4"/>
    <w:rsid w:val="00B164C6"/>
    <w:rsid w:val="00B1651D"/>
    <w:rsid w:val="00B167BC"/>
    <w:rsid w:val="00B16C87"/>
    <w:rsid w:val="00B17469"/>
    <w:rsid w:val="00B17C7E"/>
    <w:rsid w:val="00B17D3B"/>
    <w:rsid w:val="00B17E81"/>
    <w:rsid w:val="00B20243"/>
    <w:rsid w:val="00B20418"/>
    <w:rsid w:val="00B20615"/>
    <w:rsid w:val="00B20A3D"/>
    <w:rsid w:val="00B20B33"/>
    <w:rsid w:val="00B20CBA"/>
    <w:rsid w:val="00B20FEA"/>
    <w:rsid w:val="00B212BA"/>
    <w:rsid w:val="00B214D2"/>
    <w:rsid w:val="00B215B2"/>
    <w:rsid w:val="00B216A7"/>
    <w:rsid w:val="00B21E97"/>
    <w:rsid w:val="00B2226A"/>
    <w:rsid w:val="00B22AE4"/>
    <w:rsid w:val="00B22BA7"/>
    <w:rsid w:val="00B22F59"/>
    <w:rsid w:val="00B22FAE"/>
    <w:rsid w:val="00B23F98"/>
    <w:rsid w:val="00B24082"/>
    <w:rsid w:val="00B24343"/>
    <w:rsid w:val="00B2443E"/>
    <w:rsid w:val="00B24566"/>
    <w:rsid w:val="00B247D5"/>
    <w:rsid w:val="00B24A41"/>
    <w:rsid w:val="00B25644"/>
    <w:rsid w:val="00B25980"/>
    <w:rsid w:val="00B25F7B"/>
    <w:rsid w:val="00B26B79"/>
    <w:rsid w:val="00B26BB8"/>
    <w:rsid w:val="00B2737D"/>
    <w:rsid w:val="00B275B6"/>
    <w:rsid w:val="00B27759"/>
    <w:rsid w:val="00B27D0C"/>
    <w:rsid w:val="00B30040"/>
    <w:rsid w:val="00B306E7"/>
    <w:rsid w:val="00B3090E"/>
    <w:rsid w:val="00B30A51"/>
    <w:rsid w:val="00B3145A"/>
    <w:rsid w:val="00B318FA"/>
    <w:rsid w:val="00B3272F"/>
    <w:rsid w:val="00B32E69"/>
    <w:rsid w:val="00B32EA4"/>
    <w:rsid w:val="00B33274"/>
    <w:rsid w:val="00B334FD"/>
    <w:rsid w:val="00B33655"/>
    <w:rsid w:val="00B34D6A"/>
    <w:rsid w:val="00B34FD7"/>
    <w:rsid w:val="00B3517B"/>
    <w:rsid w:val="00B35315"/>
    <w:rsid w:val="00B3589C"/>
    <w:rsid w:val="00B35910"/>
    <w:rsid w:val="00B3601F"/>
    <w:rsid w:val="00B36101"/>
    <w:rsid w:val="00B3653D"/>
    <w:rsid w:val="00B36645"/>
    <w:rsid w:val="00B3676A"/>
    <w:rsid w:val="00B3676C"/>
    <w:rsid w:val="00B36851"/>
    <w:rsid w:val="00B36A7D"/>
    <w:rsid w:val="00B36C82"/>
    <w:rsid w:val="00B36EB9"/>
    <w:rsid w:val="00B37D96"/>
    <w:rsid w:val="00B37F0C"/>
    <w:rsid w:val="00B40311"/>
    <w:rsid w:val="00B406D2"/>
    <w:rsid w:val="00B40A9E"/>
    <w:rsid w:val="00B40D39"/>
    <w:rsid w:val="00B41310"/>
    <w:rsid w:val="00B4139C"/>
    <w:rsid w:val="00B414C6"/>
    <w:rsid w:val="00B418B7"/>
    <w:rsid w:val="00B41A7C"/>
    <w:rsid w:val="00B4257B"/>
    <w:rsid w:val="00B425E3"/>
    <w:rsid w:val="00B42850"/>
    <w:rsid w:val="00B42856"/>
    <w:rsid w:val="00B429C8"/>
    <w:rsid w:val="00B42B09"/>
    <w:rsid w:val="00B42BE7"/>
    <w:rsid w:val="00B43325"/>
    <w:rsid w:val="00B43570"/>
    <w:rsid w:val="00B43F25"/>
    <w:rsid w:val="00B44A7E"/>
    <w:rsid w:val="00B44C4A"/>
    <w:rsid w:val="00B45489"/>
    <w:rsid w:val="00B45673"/>
    <w:rsid w:val="00B459E4"/>
    <w:rsid w:val="00B45C63"/>
    <w:rsid w:val="00B45C6D"/>
    <w:rsid w:val="00B46ADA"/>
    <w:rsid w:val="00B46C98"/>
    <w:rsid w:val="00B46CA9"/>
    <w:rsid w:val="00B46D68"/>
    <w:rsid w:val="00B46F2C"/>
    <w:rsid w:val="00B471F4"/>
    <w:rsid w:val="00B475A7"/>
    <w:rsid w:val="00B475D7"/>
    <w:rsid w:val="00B476B9"/>
    <w:rsid w:val="00B476FF"/>
    <w:rsid w:val="00B47B27"/>
    <w:rsid w:val="00B47D3D"/>
    <w:rsid w:val="00B501AA"/>
    <w:rsid w:val="00B502B7"/>
    <w:rsid w:val="00B50A33"/>
    <w:rsid w:val="00B516FC"/>
    <w:rsid w:val="00B5171E"/>
    <w:rsid w:val="00B51977"/>
    <w:rsid w:val="00B51D05"/>
    <w:rsid w:val="00B51FB5"/>
    <w:rsid w:val="00B5217D"/>
    <w:rsid w:val="00B521E9"/>
    <w:rsid w:val="00B523C9"/>
    <w:rsid w:val="00B5254A"/>
    <w:rsid w:val="00B52666"/>
    <w:rsid w:val="00B52BAF"/>
    <w:rsid w:val="00B52E2E"/>
    <w:rsid w:val="00B53562"/>
    <w:rsid w:val="00B5379A"/>
    <w:rsid w:val="00B53D93"/>
    <w:rsid w:val="00B53D97"/>
    <w:rsid w:val="00B53EE0"/>
    <w:rsid w:val="00B5421E"/>
    <w:rsid w:val="00B549C3"/>
    <w:rsid w:val="00B54D44"/>
    <w:rsid w:val="00B550F9"/>
    <w:rsid w:val="00B55519"/>
    <w:rsid w:val="00B55DC4"/>
    <w:rsid w:val="00B560E4"/>
    <w:rsid w:val="00B5654C"/>
    <w:rsid w:val="00B57147"/>
    <w:rsid w:val="00B5776B"/>
    <w:rsid w:val="00B57B0E"/>
    <w:rsid w:val="00B57DD3"/>
    <w:rsid w:val="00B60351"/>
    <w:rsid w:val="00B604CB"/>
    <w:rsid w:val="00B609B9"/>
    <w:rsid w:val="00B60CB5"/>
    <w:rsid w:val="00B61294"/>
    <w:rsid w:val="00B61708"/>
    <w:rsid w:val="00B61771"/>
    <w:rsid w:val="00B61C97"/>
    <w:rsid w:val="00B62BA1"/>
    <w:rsid w:val="00B62DCF"/>
    <w:rsid w:val="00B62E06"/>
    <w:rsid w:val="00B63415"/>
    <w:rsid w:val="00B63630"/>
    <w:rsid w:val="00B63957"/>
    <w:rsid w:val="00B63B23"/>
    <w:rsid w:val="00B641D2"/>
    <w:rsid w:val="00B6439F"/>
    <w:rsid w:val="00B64825"/>
    <w:rsid w:val="00B6488C"/>
    <w:rsid w:val="00B6493D"/>
    <w:rsid w:val="00B65075"/>
    <w:rsid w:val="00B6527B"/>
    <w:rsid w:val="00B656D8"/>
    <w:rsid w:val="00B65872"/>
    <w:rsid w:val="00B65C0C"/>
    <w:rsid w:val="00B65F52"/>
    <w:rsid w:val="00B662C0"/>
    <w:rsid w:val="00B6700D"/>
    <w:rsid w:val="00B671EC"/>
    <w:rsid w:val="00B6722F"/>
    <w:rsid w:val="00B67A4A"/>
    <w:rsid w:val="00B67D01"/>
    <w:rsid w:val="00B67D46"/>
    <w:rsid w:val="00B70658"/>
    <w:rsid w:val="00B7090D"/>
    <w:rsid w:val="00B70A48"/>
    <w:rsid w:val="00B70A8D"/>
    <w:rsid w:val="00B70B49"/>
    <w:rsid w:val="00B71074"/>
    <w:rsid w:val="00B714CA"/>
    <w:rsid w:val="00B716EF"/>
    <w:rsid w:val="00B71D78"/>
    <w:rsid w:val="00B7282E"/>
    <w:rsid w:val="00B72987"/>
    <w:rsid w:val="00B72CDA"/>
    <w:rsid w:val="00B736E4"/>
    <w:rsid w:val="00B73C72"/>
    <w:rsid w:val="00B74716"/>
    <w:rsid w:val="00B749BE"/>
    <w:rsid w:val="00B74A64"/>
    <w:rsid w:val="00B74C87"/>
    <w:rsid w:val="00B74F01"/>
    <w:rsid w:val="00B75767"/>
    <w:rsid w:val="00B75A9D"/>
    <w:rsid w:val="00B75BC0"/>
    <w:rsid w:val="00B75C44"/>
    <w:rsid w:val="00B75D13"/>
    <w:rsid w:val="00B761EE"/>
    <w:rsid w:val="00B764F3"/>
    <w:rsid w:val="00B76BA8"/>
    <w:rsid w:val="00B76CD2"/>
    <w:rsid w:val="00B77525"/>
    <w:rsid w:val="00B7770F"/>
    <w:rsid w:val="00B77790"/>
    <w:rsid w:val="00B77834"/>
    <w:rsid w:val="00B77893"/>
    <w:rsid w:val="00B77CC3"/>
    <w:rsid w:val="00B77FC0"/>
    <w:rsid w:val="00B800C8"/>
    <w:rsid w:val="00B809B1"/>
    <w:rsid w:val="00B80E06"/>
    <w:rsid w:val="00B80E2A"/>
    <w:rsid w:val="00B81707"/>
    <w:rsid w:val="00B820D6"/>
    <w:rsid w:val="00B823A4"/>
    <w:rsid w:val="00B8347D"/>
    <w:rsid w:val="00B83668"/>
    <w:rsid w:val="00B83698"/>
    <w:rsid w:val="00B83E69"/>
    <w:rsid w:val="00B8422B"/>
    <w:rsid w:val="00B846E0"/>
    <w:rsid w:val="00B8475E"/>
    <w:rsid w:val="00B8484B"/>
    <w:rsid w:val="00B84E55"/>
    <w:rsid w:val="00B84EE5"/>
    <w:rsid w:val="00B84EFC"/>
    <w:rsid w:val="00B854E0"/>
    <w:rsid w:val="00B85BB1"/>
    <w:rsid w:val="00B85F69"/>
    <w:rsid w:val="00B8602B"/>
    <w:rsid w:val="00B8719B"/>
    <w:rsid w:val="00B878B1"/>
    <w:rsid w:val="00B87E58"/>
    <w:rsid w:val="00B900BF"/>
    <w:rsid w:val="00B906C0"/>
    <w:rsid w:val="00B90C89"/>
    <w:rsid w:val="00B91010"/>
    <w:rsid w:val="00B9109E"/>
    <w:rsid w:val="00B910A2"/>
    <w:rsid w:val="00B91233"/>
    <w:rsid w:val="00B91306"/>
    <w:rsid w:val="00B91890"/>
    <w:rsid w:val="00B9199F"/>
    <w:rsid w:val="00B91A0F"/>
    <w:rsid w:val="00B91AB5"/>
    <w:rsid w:val="00B91B12"/>
    <w:rsid w:val="00B91F7D"/>
    <w:rsid w:val="00B92045"/>
    <w:rsid w:val="00B92660"/>
    <w:rsid w:val="00B928DB"/>
    <w:rsid w:val="00B929C6"/>
    <w:rsid w:val="00B931C0"/>
    <w:rsid w:val="00B9451F"/>
    <w:rsid w:val="00B9488D"/>
    <w:rsid w:val="00B949B0"/>
    <w:rsid w:val="00B949B2"/>
    <w:rsid w:val="00B94FB1"/>
    <w:rsid w:val="00B95100"/>
    <w:rsid w:val="00B9512F"/>
    <w:rsid w:val="00B9531E"/>
    <w:rsid w:val="00B9567C"/>
    <w:rsid w:val="00B9575E"/>
    <w:rsid w:val="00B95965"/>
    <w:rsid w:val="00B9607D"/>
    <w:rsid w:val="00B960A0"/>
    <w:rsid w:val="00B960B6"/>
    <w:rsid w:val="00B96241"/>
    <w:rsid w:val="00B966B9"/>
    <w:rsid w:val="00B9673C"/>
    <w:rsid w:val="00B97212"/>
    <w:rsid w:val="00B9762D"/>
    <w:rsid w:val="00B976FE"/>
    <w:rsid w:val="00B97B3B"/>
    <w:rsid w:val="00B97E91"/>
    <w:rsid w:val="00BA0281"/>
    <w:rsid w:val="00BA03A8"/>
    <w:rsid w:val="00BA03F9"/>
    <w:rsid w:val="00BA099F"/>
    <w:rsid w:val="00BA0C9F"/>
    <w:rsid w:val="00BA1B1A"/>
    <w:rsid w:val="00BA1DF6"/>
    <w:rsid w:val="00BA1FC9"/>
    <w:rsid w:val="00BA2018"/>
    <w:rsid w:val="00BA2431"/>
    <w:rsid w:val="00BA2592"/>
    <w:rsid w:val="00BA2A01"/>
    <w:rsid w:val="00BA2EDD"/>
    <w:rsid w:val="00BA302A"/>
    <w:rsid w:val="00BA3478"/>
    <w:rsid w:val="00BA3589"/>
    <w:rsid w:val="00BA35B7"/>
    <w:rsid w:val="00BA3CAF"/>
    <w:rsid w:val="00BA4075"/>
    <w:rsid w:val="00BA409D"/>
    <w:rsid w:val="00BA42F1"/>
    <w:rsid w:val="00BA4356"/>
    <w:rsid w:val="00BA45C1"/>
    <w:rsid w:val="00BA4B5C"/>
    <w:rsid w:val="00BA4BC1"/>
    <w:rsid w:val="00BA4C6E"/>
    <w:rsid w:val="00BA5652"/>
    <w:rsid w:val="00BA5A2D"/>
    <w:rsid w:val="00BA5BDE"/>
    <w:rsid w:val="00BA61B0"/>
    <w:rsid w:val="00BA67BB"/>
    <w:rsid w:val="00BA6B9E"/>
    <w:rsid w:val="00BA6D5F"/>
    <w:rsid w:val="00BA6FFB"/>
    <w:rsid w:val="00BA7165"/>
    <w:rsid w:val="00BA739E"/>
    <w:rsid w:val="00BA76A3"/>
    <w:rsid w:val="00BA79AA"/>
    <w:rsid w:val="00BA79E0"/>
    <w:rsid w:val="00BA7E5E"/>
    <w:rsid w:val="00BA7F72"/>
    <w:rsid w:val="00BB0159"/>
    <w:rsid w:val="00BB04BC"/>
    <w:rsid w:val="00BB0601"/>
    <w:rsid w:val="00BB0CFC"/>
    <w:rsid w:val="00BB0F38"/>
    <w:rsid w:val="00BB1061"/>
    <w:rsid w:val="00BB1A67"/>
    <w:rsid w:val="00BB1E9B"/>
    <w:rsid w:val="00BB2370"/>
    <w:rsid w:val="00BB2CFB"/>
    <w:rsid w:val="00BB346E"/>
    <w:rsid w:val="00BB35E6"/>
    <w:rsid w:val="00BB3A0F"/>
    <w:rsid w:val="00BB3B21"/>
    <w:rsid w:val="00BB44FB"/>
    <w:rsid w:val="00BB4933"/>
    <w:rsid w:val="00BB5080"/>
    <w:rsid w:val="00BB54F8"/>
    <w:rsid w:val="00BB5A03"/>
    <w:rsid w:val="00BB5B2A"/>
    <w:rsid w:val="00BB5D2F"/>
    <w:rsid w:val="00BB5F41"/>
    <w:rsid w:val="00BB6251"/>
    <w:rsid w:val="00BB6571"/>
    <w:rsid w:val="00BB6601"/>
    <w:rsid w:val="00BB6E12"/>
    <w:rsid w:val="00BB7578"/>
    <w:rsid w:val="00BB77DC"/>
    <w:rsid w:val="00BB7AD5"/>
    <w:rsid w:val="00BC075A"/>
    <w:rsid w:val="00BC07DF"/>
    <w:rsid w:val="00BC0A05"/>
    <w:rsid w:val="00BC0C1E"/>
    <w:rsid w:val="00BC18A1"/>
    <w:rsid w:val="00BC1CF5"/>
    <w:rsid w:val="00BC209D"/>
    <w:rsid w:val="00BC2603"/>
    <w:rsid w:val="00BC303D"/>
    <w:rsid w:val="00BC3123"/>
    <w:rsid w:val="00BC3E85"/>
    <w:rsid w:val="00BC4208"/>
    <w:rsid w:val="00BC44EA"/>
    <w:rsid w:val="00BC45C0"/>
    <w:rsid w:val="00BC4ABA"/>
    <w:rsid w:val="00BC4DD3"/>
    <w:rsid w:val="00BC5FF7"/>
    <w:rsid w:val="00BC628C"/>
    <w:rsid w:val="00BC645F"/>
    <w:rsid w:val="00BC6555"/>
    <w:rsid w:val="00BC6AA9"/>
    <w:rsid w:val="00BC6E7D"/>
    <w:rsid w:val="00BC73E8"/>
    <w:rsid w:val="00BC7D5F"/>
    <w:rsid w:val="00BC7D90"/>
    <w:rsid w:val="00BC7E02"/>
    <w:rsid w:val="00BD009D"/>
    <w:rsid w:val="00BD0633"/>
    <w:rsid w:val="00BD13A5"/>
    <w:rsid w:val="00BD14D5"/>
    <w:rsid w:val="00BD1A37"/>
    <w:rsid w:val="00BD1B88"/>
    <w:rsid w:val="00BD2389"/>
    <w:rsid w:val="00BD321F"/>
    <w:rsid w:val="00BD3CDC"/>
    <w:rsid w:val="00BD4203"/>
    <w:rsid w:val="00BD4250"/>
    <w:rsid w:val="00BD42F7"/>
    <w:rsid w:val="00BD4324"/>
    <w:rsid w:val="00BD4552"/>
    <w:rsid w:val="00BD4F10"/>
    <w:rsid w:val="00BD518B"/>
    <w:rsid w:val="00BD5C49"/>
    <w:rsid w:val="00BD5D20"/>
    <w:rsid w:val="00BD60E1"/>
    <w:rsid w:val="00BD6B8C"/>
    <w:rsid w:val="00BD6BBD"/>
    <w:rsid w:val="00BD6DDC"/>
    <w:rsid w:val="00BD70C3"/>
    <w:rsid w:val="00BD7728"/>
    <w:rsid w:val="00BD78BD"/>
    <w:rsid w:val="00BD7FCA"/>
    <w:rsid w:val="00BE012F"/>
    <w:rsid w:val="00BE019F"/>
    <w:rsid w:val="00BE04E8"/>
    <w:rsid w:val="00BE0917"/>
    <w:rsid w:val="00BE0ED3"/>
    <w:rsid w:val="00BE1080"/>
    <w:rsid w:val="00BE10A5"/>
    <w:rsid w:val="00BE12B5"/>
    <w:rsid w:val="00BE13B2"/>
    <w:rsid w:val="00BE1697"/>
    <w:rsid w:val="00BE1DD3"/>
    <w:rsid w:val="00BE2567"/>
    <w:rsid w:val="00BE27D0"/>
    <w:rsid w:val="00BE2C91"/>
    <w:rsid w:val="00BE316E"/>
    <w:rsid w:val="00BE3719"/>
    <w:rsid w:val="00BE3888"/>
    <w:rsid w:val="00BE3890"/>
    <w:rsid w:val="00BE4097"/>
    <w:rsid w:val="00BE40A4"/>
    <w:rsid w:val="00BE4401"/>
    <w:rsid w:val="00BE454D"/>
    <w:rsid w:val="00BE484B"/>
    <w:rsid w:val="00BE4D18"/>
    <w:rsid w:val="00BE4DEC"/>
    <w:rsid w:val="00BE4F4B"/>
    <w:rsid w:val="00BE52E1"/>
    <w:rsid w:val="00BE5B65"/>
    <w:rsid w:val="00BE5D7F"/>
    <w:rsid w:val="00BE5EB7"/>
    <w:rsid w:val="00BE67AF"/>
    <w:rsid w:val="00BE6C8D"/>
    <w:rsid w:val="00BE7807"/>
    <w:rsid w:val="00BF0373"/>
    <w:rsid w:val="00BF098C"/>
    <w:rsid w:val="00BF1142"/>
    <w:rsid w:val="00BF1B56"/>
    <w:rsid w:val="00BF1E4A"/>
    <w:rsid w:val="00BF1EF7"/>
    <w:rsid w:val="00BF20B1"/>
    <w:rsid w:val="00BF2261"/>
    <w:rsid w:val="00BF2509"/>
    <w:rsid w:val="00BF2C0F"/>
    <w:rsid w:val="00BF323D"/>
    <w:rsid w:val="00BF3833"/>
    <w:rsid w:val="00BF3856"/>
    <w:rsid w:val="00BF3D2D"/>
    <w:rsid w:val="00BF3E32"/>
    <w:rsid w:val="00BF42DD"/>
    <w:rsid w:val="00BF479E"/>
    <w:rsid w:val="00BF4D4B"/>
    <w:rsid w:val="00BF4E4B"/>
    <w:rsid w:val="00BF4E66"/>
    <w:rsid w:val="00BF5124"/>
    <w:rsid w:val="00BF51A4"/>
    <w:rsid w:val="00BF574E"/>
    <w:rsid w:val="00BF57B9"/>
    <w:rsid w:val="00BF587A"/>
    <w:rsid w:val="00BF6631"/>
    <w:rsid w:val="00BF6765"/>
    <w:rsid w:val="00BF67AC"/>
    <w:rsid w:val="00BF6A5C"/>
    <w:rsid w:val="00BF6A9A"/>
    <w:rsid w:val="00BF6B38"/>
    <w:rsid w:val="00BF6CD7"/>
    <w:rsid w:val="00BF6D97"/>
    <w:rsid w:val="00BF6EB1"/>
    <w:rsid w:val="00BF709F"/>
    <w:rsid w:val="00BF717C"/>
    <w:rsid w:val="00BF7589"/>
    <w:rsid w:val="00BF7F7B"/>
    <w:rsid w:val="00C00554"/>
    <w:rsid w:val="00C00663"/>
    <w:rsid w:val="00C00F58"/>
    <w:rsid w:val="00C010BA"/>
    <w:rsid w:val="00C015CE"/>
    <w:rsid w:val="00C0208D"/>
    <w:rsid w:val="00C0240A"/>
    <w:rsid w:val="00C0267C"/>
    <w:rsid w:val="00C027CC"/>
    <w:rsid w:val="00C02A17"/>
    <w:rsid w:val="00C02C0C"/>
    <w:rsid w:val="00C03398"/>
    <w:rsid w:val="00C03681"/>
    <w:rsid w:val="00C03966"/>
    <w:rsid w:val="00C03994"/>
    <w:rsid w:val="00C0508E"/>
    <w:rsid w:val="00C05940"/>
    <w:rsid w:val="00C06860"/>
    <w:rsid w:val="00C0688C"/>
    <w:rsid w:val="00C0690A"/>
    <w:rsid w:val="00C06B41"/>
    <w:rsid w:val="00C06F58"/>
    <w:rsid w:val="00C0709F"/>
    <w:rsid w:val="00C0727B"/>
    <w:rsid w:val="00C1095D"/>
    <w:rsid w:val="00C10DAD"/>
    <w:rsid w:val="00C10DD4"/>
    <w:rsid w:val="00C110A8"/>
    <w:rsid w:val="00C11167"/>
    <w:rsid w:val="00C113A5"/>
    <w:rsid w:val="00C11740"/>
    <w:rsid w:val="00C11AC8"/>
    <w:rsid w:val="00C11BAA"/>
    <w:rsid w:val="00C11DAE"/>
    <w:rsid w:val="00C11F9C"/>
    <w:rsid w:val="00C121D1"/>
    <w:rsid w:val="00C12B44"/>
    <w:rsid w:val="00C12B71"/>
    <w:rsid w:val="00C131C5"/>
    <w:rsid w:val="00C13431"/>
    <w:rsid w:val="00C13823"/>
    <w:rsid w:val="00C13ED0"/>
    <w:rsid w:val="00C14177"/>
    <w:rsid w:val="00C1441A"/>
    <w:rsid w:val="00C148EB"/>
    <w:rsid w:val="00C14910"/>
    <w:rsid w:val="00C151F8"/>
    <w:rsid w:val="00C15300"/>
    <w:rsid w:val="00C15716"/>
    <w:rsid w:val="00C15888"/>
    <w:rsid w:val="00C15993"/>
    <w:rsid w:val="00C1599B"/>
    <w:rsid w:val="00C15A80"/>
    <w:rsid w:val="00C15B21"/>
    <w:rsid w:val="00C15B36"/>
    <w:rsid w:val="00C15FA2"/>
    <w:rsid w:val="00C1615F"/>
    <w:rsid w:val="00C16387"/>
    <w:rsid w:val="00C16D2A"/>
    <w:rsid w:val="00C1707D"/>
    <w:rsid w:val="00C172C4"/>
    <w:rsid w:val="00C173E5"/>
    <w:rsid w:val="00C17BD3"/>
    <w:rsid w:val="00C17CFF"/>
    <w:rsid w:val="00C20067"/>
    <w:rsid w:val="00C2026B"/>
    <w:rsid w:val="00C20C51"/>
    <w:rsid w:val="00C20C99"/>
    <w:rsid w:val="00C20CCF"/>
    <w:rsid w:val="00C20D22"/>
    <w:rsid w:val="00C20DE6"/>
    <w:rsid w:val="00C21517"/>
    <w:rsid w:val="00C21615"/>
    <w:rsid w:val="00C2167F"/>
    <w:rsid w:val="00C216A7"/>
    <w:rsid w:val="00C217E0"/>
    <w:rsid w:val="00C218DC"/>
    <w:rsid w:val="00C219A2"/>
    <w:rsid w:val="00C2281F"/>
    <w:rsid w:val="00C22DA2"/>
    <w:rsid w:val="00C22F7E"/>
    <w:rsid w:val="00C23311"/>
    <w:rsid w:val="00C23749"/>
    <w:rsid w:val="00C23A6E"/>
    <w:rsid w:val="00C23B88"/>
    <w:rsid w:val="00C23CCB"/>
    <w:rsid w:val="00C245DE"/>
    <w:rsid w:val="00C24D85"/>
    <w:rsid w:val="00C25776"/>
    <w:rsid w:val="00C257DA"/>
    <w:rsid w:val="00C25969"/>
    <w:rsid w:val="00C25A27"/>
    <w:rsid w:val="00C260FA"/>
    <w:rsid w:val="00C264B4"/>
    <w:rsid w:val="00C26FC5"/>
    <w:rsid w:val="00C27773"/>
    <w:rsid w:val="00C308AF"/>
    <w:rsid w:val="00C30F4A"/>
    <w:rsid w:val="00C31297"/>
    <w:rsid w:val="00C31299"/>
    <w:rsid w:val="00C31360"/>
    <w:rsid w:val="00C31386"/>
    <w:rsid w:val="00C3150B"/>
    <w:rsid w:val="00C31BF0"/>
    <w:rsid w:val="00C31C96"/>
    <w:rsid w:val="00C3201E"/>
    <w:rsid w:val="00C3218F"/>
    <w:rsid w:val="00C321CA"/>
    <w:rsid w:val="00C324CD"/>
    <w:rsid w:val="00C32533"/>
    <w:rsid w:val="00C32669"/>
    <w:rsid w:val="00C3275D"/>
    <w:rsid w:val="00C32915"/>
    <w:rsid w:val="00C329DA"/>
    <w:rsid w:val="00C32A37"/>
    <w:rsid w:val="00C331B8"/>
    <w:rsid w:val="00C337B7"/>
    <w:rsid w:val="00C339D1"/>
    <w:rsid w:val="00C33CB5"/>
    <w:rsid w:val="00C33EC7"/>
    <w:rsid w:val="00C34152"/>
    <w:rsid w:val="00C34755"/>
    <w:rsid w:val="00C3486E"/>
    <w:rsid w:val="00C34925"/>
    <w:rsid w:val="00C3531E"/>
    <w:rsid w:val="00C356D6"/>
    <w:rsid w:val="00C357C4"/>
    <w:rsid w:val="00C35987"/>
    <w:rsid w:val="00C35E0E"/>
    <w:rsid w:val="00C35EBD"/>
    <w:rsid w:val="00C3677F"/>
    <w:rsid w:val="00C3680D"/>
    <w:rsid w:val="00C37647"/>
    <w:rsid w:val="00C3797F"/>
    <w:rsid w:val="00C40082"/>
    <w:rsid w:val="00C40572"/>
    <w:rsid w:val="00C409AF"/>
    <w:rsid w:val="00C40B4D"/>
    <w:rsid w:val="00C40DAB"/>
    <w:rsid w:val="00C40DCD"/>
    <w:rsid w:val="00C40F72"/>
    <w:rsid w:val="00C4108D"/>
    <w:rsid w:val="00C4121C"/>
    <w:rsid w:val="00C417DC"/>
    <w:rsid w:val="00C41867"/>
    <w:rsid w:val="00C41AEB"/>
    <w:rsid w:val="00C41DCB"/>
    <w:rsid w:val="00C423F1"/>
    <w:rsid w:val="00C42A8F"/>
    <w:rsid w:val="00C42D24"/>
    <w:rsid w:val="00C42F79"/>
    <w:rsid w:val="00C43062"/>
    <w:rsid w:val="00C43201"/>
    <w:rsid w:val="00C4333A"/>
    <w:rsid w:val="00C438B5"/>
    <w:rsid w:val="00C43947"/>
    <w:rsid w:val="00C43ABC"/>
    <w:rsid w:val="00C43C13"/>
    <w:rsid w:val="00C43D49"/>
    <w:rsid w:val="00C44209"/>
    <w:rsid w:val="00C4516A"/>
    <w:rsid w:val="00C45591"/>
    <w:rsid w:val="00C457FD"/>
    <w:rsid w:val="00C45988"/>
    <w:rsid w:val="00C459E6"/>
    <w:rsid w:val="00C45B08"/>
    <w:rsid w:val="00C462CF"/>
    <w:rsid w:val="00C466A1"/>
    <w:rsid w:val="00C46895"/>
    <w:rsid w:val="00C468BE"/>
    <w:rsid w:val="00C46E50"/>
    <w:rsid w:val="00C46E60"/>
    <w:rsid w:val="00C46F86"/>
    <w:rsid w:val="00C47891"/>
    <w:rsid w:val="00C47F56"/>
    <w:rsid w:val="00C50367"/>
    <w:rsid w:val="00C50B36"/>
    <w:rsid w:val="00C50F1A"/>
    <w:rsid w:val="00C51113"/>
    <w:rsid w:val="00C51175"/>
    <w:rsid w:val="00C51193"/>
    <w:rsid w:val="00C514B8"/>
    <w:rsid w:val="00C515CF"/>
    <w:rsid w:val="00C518A0"/>
    <w:rsid w:val="00C52675"/>
    <w:rsid w:val="00C528A1"/>
    <w:rsid w:val="00C528B8"/>
    <w:rsid w:val="00C52BD1"/>
    <w:rsid w:val="00C52C54"/>
    <w:rsid w:val="00C52FBB"/>
    <w:rsid w:val="00C5311F"/>
    <w:rsid w:val="00C532C3"/>
    <w:rsid w:val="00C53563"/>
    <w:rsid w:val="00C538FF"/>
    <w:rsid w:val="00C53D88"/>
    <w:rsid w:val="00C53EA7"/>
    <w:rsid w:val="00C54411"/>
    <w:rsid w:val="00C54622"/>
    <w:rsid w:val="00C54799"/>
    <w:rsid w:val="00C55698"/>
    <w:rsid w:val="00C55708"/>
    <w:rsid w:val="00C55AAC"/>
    <w:rsid w:val="00C56373"/>
    <w:rsid w:val="00C56730"/>
    <w:rsid w:val="00C56758"/>
    <w:rsid w:val="00C56AB3"/>
    <w:rsid w:val="00C56B69"/>
    <w:rsid w:val="00C56D9C"/>
    <w:rsid w:val="00C575DE"/>
    <w:rsid w:val="00C6029C"/>
    <w:rsid w:val="00C602EF"/>
    <w:rsid w:val="00C609C0"/>
    <w:rsid w:val="00C60C70"/>
    <w:rsid w:val="00C60DE7"/>
    <w:rsid w:val="00C60F00"/>
    <w:rsid w:val="00C60F85"/>
    <w:rsid w:val="00C61048"/>
    <w:rsid w:val="00C61351"/>
    <w:rsid w:val="00C613AC"/>
    <w:rsid w:val="00C61661"/>
    <w:rsid w:val="00C61A0B"/>
    <w:rsid w:val="00C61DB9"/>
    <w:rsid w:val="00C630BE"/>
    <w:rsid w:val="00C634C9"/>
    <w:rsid w:val="00C6365D"/>
    <w:rsid w:val="00C639CD"/>
    <w:rsid w:val="00C63B22"/>
    <w:rsid w:val="00C63C78"/>
    <w:rsid w:val="00C63D5B"/>
    <w:rsid w:val="00C64815"/>
    <w:rsid w:val="00C64841"/>
    <w:rsid w:val="00C64AE4"/>
    <w:rsid w:val="00C64B9C"/>
    <w:rsid w:val="00C64F63"/>
    <w:rsid w:val="00C65170"/>
    <w:rsid w:val="00C655A4"/>
    <w:rsid w:val="00C65772"/>
    <w:rsid w:val="00C65B12"/>
    <w:rsid w:val="00C65B3A"/>
    <w:rsid w:val="00C65CDD"/>
    <w:rsid w:val="00C65E17"/>
    <w:rsid w:val="00C66DA5"/>
    <w:rsid w:val="00C66DC0"/>
    <w:rsid w:val="00C67092"/>
    <w:rsid w:val="00C67205"/>
    <w:rsid w:val="00C6747E"/>
    <w:rsid w:val="00C67DC1"/>
    <w:rsid w:val="00C7018F"/>
    <w:rsid w:val="00C70556"/>
    <w:rsid w:val="00C70915"/>
    <w:rsid w:val="00C70A6B"/>
    <w:rsid w:val="00C70B92"/>
    <w:rsid w:val="00C713F9"/>
    <w:rsid w:val="00C7143A"/>
    <w:rsid w:val="00C7158D"/>
    <w:rsid w:val="00C71832"/>
    <w:rsid w:val="00C71EB6"/>
    <w:rsid w:val="00C723C6"/>
    <w:rsid w:val="00C7311E"/>
    <w:rsid w:val="00C73196"/>
    <w:rsid w:val="00C732F2"/>
    <w:rsid w:val="00C741F6"/>
    <w:rsid w:val="00C744E2"/>
    <w:rsid w:val="00C74617"/>
    <w:rsid w:val="00C747BF"/>
    <w:rsid w:val="00C74ACB"/>
    <w:rsid w:val="00C751C4"/>
    <w:rsid w:val="00C7520C"/>
    <w:rsid w:val="00C75236"/>
    <w:rsid w:val="00C75484"/>
    <w:rsid w:val="00C75B06"/>
    <w:rsid w:val="00C75B7D"/>
    <w:rsid w:val="00C75E98"/>
    <w:rsid w:val="00C7641C"/>
    <w:rsid w:val="00C77071"/>
    <w:rsid w:val="00C7710B"/>
    <w:rsid w:val="00C77196"/>
    <w:rsid w:val="00C77427"/>
    <w:rsid w:val="00C7743C"/>
    <w:rsid w:val="00C777D5"/>
    <w:rsid w:val="00C77816"/>
    <w:rsid w:val="00C77A6E"/>
    <w:rsid w:val="00C8038A"/>
    <w:rsid w:val="00C805C4"/>
    <w:rsid w:val="00C805FE"/>
    <w:rsid w:val="00C80B68"/>
    <w:rsid w:val="00C80B84"/>
    <w:rsid w:val="00C80C77"/>
    <w:rsid w:val="00C80E0F"/>
    <w:rsid w:val="00C80ECB"/>
    <w:rsid w:val="00C81011"/>
    <w:rsid w:val="00C8118F"/>
    <w:rsid w:val="00C8143A"/>
    <w:rsid w:val="00C8156F"/>
    <w:rsid w:val="00C815FA"/>
    <w:rsid w:val="00C8162C"/>
    <w:rsid w:val="00C8195D"/>
    <w:rsid w:val="00C81B30"/>
    <w:rsid w:val="00C81B54"/>
    <w:rsid w:val="00C829E9"/>
    <w:rsid w:val="00C83036"/>
    <w:rsid w:val="00C830EA"/>
    <w:rsid w:val="00C8386D"/>
    <w:rsid w:val="00C83F60"/>
    <w:rsid w:val="00C85087"/>
    <w:rsid w:val="00C85361"/>
    <w:rsid w:val="00C8538A"/>
    <w:rsid w:val="00C8550D"/>
    <w:rsid w:val="00C855F7"/>
    <w:rsid w:val="00C858B2"/>
    <w:rsid w:val="00C85EAF"/>
    <w:rsid w:val="00C85F71"/>
    <w:rsid w:val="00C8631E"/>
    <w:rsid w:val="00C86850"/>
    <w:rsid w:val="00C86ABE"/>
    <w:rsid w:val="00C86B73"/>
    <w:rsid w:val="00C86D1C"/>
    <w:rsid w:val="00C87195"/>
    <w:rsid w:val="00C874CA"/>
    <w:rsid w:val="00C8795F"/>
    <w:rsid w:val="00C902FA"/>
    <w:rsid w:val="00C90325"/>
    <w:rsid w:val="00C904E0"/>
    <w:rsid w:val="00C90C57"/>
    <w:rsid w:val="00C90EDA"/>
    <w:rsid w:val="00C910F2"/>
    <w:rsid w:val="00C911D1"/>
    <w:rsid w:val="00C91807"/>
    <w:rsid w:val="00C91D2D"/>
    <w:rsid w:val="00C91DFD"/>
    <w:rsid w:val="00C925AB"/>
    <w:rsid w:val="00C926CC"/>
    <w:rsid w:val="00C9274C"/>
    <w:rsid w:val="00C927B8"/>
    <w:rsid w:val="00C92A72"/>
    <w:rsid w:val="00C92BB8"/>
    <w:rsid w:val="00C92CC2"/>
    <w:rsid w:val="00C931DA"/>
    <w:rsid w:val="00C93295"/>
    <w:rsid w:val="00C932F3"/>
    <w:rsid w:val="00C935DD"/>
    <w:rsid w:val="00C93AB1"/>
    <w:rsid w:val="00C93BEE"/>
    <w:rsid w:val="00C94108"/>
    <w:rsid w:val="00C9433F"/>
    <w:rsid w:val="00C94700"/>
    <w:rsid w:val="00C94736"/>
    <w:rsid w:val="00C9494D"/>
    <w:rsid w:val="00C94CCB"/>
    <w:rsid w:val="00C9548F"/>
    <w:rsid w:val="00C9582E"/>
    <w:rsid w:val="00C95859"/>
    <w:rsid w:val="00C95A8E"/>
    <w:rsid w:val="00C95FDC"/>
    <w:rsid w:val="00C963E5"/>
    <w:rsid w:val="00C96B74"/>
    <w:rsid w:val="00C96BE6"/>
    <w:rsid w:val="00C9770A"/>
    <w:rsid w:val="00C977DF"/>
    <w:rsid w:val="00C97993"/>
    <w:rsid w:val="00C97A61"/>
    <w:rsid w:val="00C97E04"/>
    <w:rsid w:val="00C97F1E"/>
    <w:rsid w:val="00CA023B"/>
    <w:rsid w:val="00CA0449"/>
    <w:rsid w:val="00CA0B7D"/>
    <w:rsid w:val="00CA11C8"/>
    <w:rsid w:val="00CA1403"/>
    <w:rsid w:val="00CA17EB"/>
    <w:rsid w:val="00CA1A55"/>
    <w:rsid w:val="00CA1CB3"/>
    <w:rsid w:val="00CA207F"/>
    <w:rsid w:val="00CA20EE"/>
    <w:rsid w:val="00CA25A3"/>
    <w:rsid w:val="00CA2600"/>
    <w:rsid w:val="00CA26BA"/>
    <w:rsid w:val="00CA3136"/>
    <w:rsid w:val="00CA3222"/>
    <w:rsid w:val="00CA3486"/>
    <w:rsid w:val="00CA3629"/>
    <w:rsid w:val="00CA3743"/>
    <w:rsid w:val="00CA3832"/>
    <w:rsid w:val="00CA3864"/>
    <w:rsid w:val="00CA3B75"/>
    <w:rsid w:val="00CA3E55"/>
    <w:rsid w:val="00CA49A0"/>
    <w:rsid w:val="00CA49F0"/>
    <w:rsid w:val="00CA4C0B"/>
    <w:rsid w:val="00CA4D79"/>
    <w:rsid w:val="00CA4E6D"/>
    <w:rsid w:val="00CA597E"/>
    <w:rsid w:val="00CA5BAD"/>
    <w:rsid w:val="00CA6255"/>
    <w:rsid w:val="00CA648A"/>
    <w:rsid w:val="00CA651A"/>
    <w:rsid w:val="00CA6D5C"/>
    <w:rsid w:val="00CA75F1"/>
    <w:rsid w:val="00CA7EC4"/>
    <w:rsid w:val="00CB0432"/>
    <w:rsid w:val="00CB0439"/>
    <w:rsid w:val="00CB08F9"/>
    <w:rsid w:val="00CB1651"/>
    <w:rsid w:val="00CB181A"/>
    <w:rsid w:val="00CB18DE"/>
    <w:rsid w:val="00CB1A5F"/>
    <w:rsid w:val="00CB1BCE"/>
    <w:rsid w:val="00CB1F43"/>
    <w:rsid w:val="00CB23BE"/>
    <w:rsid w:val="00CB2566"/>
    <w:rsid w:val="00CB2A77"/>
    <w:rsid w:val="00CB2B95"/>
    <w:rsid w:val="00CB2E03"/>
    <w:rsid w:val="00CB2E0E"/>
    <w:rsid w:val="00CB3211"/>
    <w:rsid w:val="00CB419C"/>
    <w:rsid w:val="00CB450B"/>
    <w:rsid w:val="00CB46E9"/>
    <w:rsid w:val="00CB46EC"/>
    <w:rsid w:val="00CB5026"/>
    <w:rsid w:val="00CB5183"/>
    <w:rsid w:val="00CB51EF"/>
    <w:rsid w:val="00CB5B31"/>
    <w:rsid w:val="00CB5D8E"/>
    <w:rsid w:val="00CB5E41"/>
    <w:rsid w:val="00CB67F4"/>
    <w:rsid w:val="00CB6C3A"/>
    <w:rsid w:val="00CB6CA9"/>
    <w:rsid w:val="00CB7252"/>
    <w:rsid w:val="00CB7957"/>
    <w:rsid w:val="00CB79E7"/>
    <w:rsid w:val="00CB7F11"/>
    <w:rsid w:val="00CC0029"/>
    <w:rsid w:val="00CC1E85"/>
    <w:rsid w:val="00CC2D44"/>
    <w:rsid w:val="00CC326E"/>
    <w:rsid w:val="00CC34E5"/>
    <w:rsid w:val="00CC3718"/>
    <w:rsid w:val="00CC3A07"/>
    <w:rsid w:val="00CC3BD8"/>
    <w:rsid w:val="00CC3BDC"/>
    <w:rsid w:val="00CC3C61"/>
    <w:rsid w:val="00CC3C7D"/>
    <w:rsid w:val="00CC425D"/>
    <w:rsid w:val="00CC4264"/>
    <w:rsid w:val="00CC52A4"/>
    <w:rsid w:val="00CC5319"/>
    <w:rsid w:val="00CC5ABB"/>
    <w:rsid w:val="00CC5D66"/>
    <w:rsid w:val="00CC6688"/>
    <w:rsid w:val="00CC680E"/>
    <w:rsid w:val="00CC6B58"/>
    <w:rsid w:val="00CC7172"/>
    <w:rsid w:val="00CC7378"/>
    <w:rsid w:val="00CC78B3"/>
    <w:rsid w:val="00CD04FE"/>
    <w:rsid w:val="00CD0809"/>
    <w:rsid w:val="00CD0969"/>
    <w:rsid w:val="00CD105C"/>
    <w:rsid w:val="00CD16A0"/>
    <w:rsid w:val="00CD1E12"/>
    <w:rsid w:val="00CD1E7B"/>
    <w:rsid w:val="00CD1F5F"/>
    <w:rsid w:val="00CD1FF2"/>
    <w:rsid w:val="00CD21FD"/>
    <w:rsid w:val="00CD24E9"/>
    <w:rsid w:val="00CD2731"/>
    <w:rsid w:val="00CD2CB4"/>
    <w:rsid w:val="00CD2F7C"/>
    <w:rsid w:val="00CD31BB"/>
    <w:rsid w:val="00CD32F7"/>
    <w:rsid w:val="00CD34DE"/>
    <w:rsid w:val="00CD4519"/>
    <w:rsid w:val="00CD463F"/>
    <w:rsid w:val="00CD4AAA"/>
    <w:rsid w:val="00CD593D"/>
    <w:rsid w:val="00CD5D34"/>
    <w:rsid w:val="00CD6217"/>
    <w:rsid w:val="00CD672C"/>
    <w:rsid w:val="00CD6957"/>
    <w:rsid w:val="00CD69FF"/>
    <w:rsid w:val="00CD6B2F"/>
    <w:rsid w:val="00CD7AC8"/>
    <w:rsid w:val="00CE0128"/>
    <w:rsid w:val="00CE0CB7"/>
    <w:rsid w:val="00CE0D13"/>
    <w:rsid w:val="00CE0F33"/>
    <w:rsid w:val="00CE151F"/>
    <w:rsid w:val="00CE1557"/>
    <w:rsid w:val="00CE19FE"/>
    <w:rsid w:val="00CE1E40"/>
    <w:rsid w:val="00CE1EA8"/>
    <w:rsid w:val="00CE2804"/>
    <w:rsid w:val="00CE2B6A"/>
    <w:rsid w:val="00CE3103"/>
    <w:rsid w:val="00CE36D0"/>
    <w:rsid w:val="00CE3706"/>
    <w:rsid w:val="00CE37AD"/>
    <w:rsid w:val="00CE3E42"/>
    <w:rsid w:val="00CE3F4B"/>
    <w:rsid w:val="00CE4509"/>
    <w:rsid w:val="00CE53DC"/>
    <w:rsid w:val="00CE637D"/>
    <w:rsid w:val="00CE657E"/>
    <w:rsid w:val="00CE6615"/>
    <w:rsid w:val="00CE6867"/>
    <w:rsid w:val="00CE691D"/>
    <w:rsid w:val="00CE6C26"/>
    <w:rsid w:val="00CE6F41"/>
    <w:rsid w:val="00CE70E3"/>
    <w:rsid w:val="00CE7B08"/>
    <w:rsid w:val="00CE7E10"/>
    <w:rsid w:val="00CE7FBC"/>
    <w:rsid w:val="00CF0383"/>
    <w:rsid w:val="00CF03CC"/>
    <w:rsid w:val="00CF07D2"/>
    <w:rsid w:val="00CF07F9"/>
    <w:rsid w:val="00CF0B69"/>
    <w:rsid w:val="00CF0BAB"/>
    <w:rsid w:val="00CF0D6E"/>
    <w:rsid w:val="00CF0F42"/>
    <w:rsid w:val="00CF178D"/>
    <w:rsid w:val="00CF225F"/>
    <w:rsid w:val="00CF2902"/>
    <w:rsid w:val="00CF29B2"/>
    <w:rsid w:val="00CF2A09"/>
    <w:rsid w:val="00CF2C1C"/>
    <w:rsid w:val="00CF30AF"/>
    <w:rsid w:val="00CF32A9"/>
    <w:rsid w:val="00CF33BC"/>
    <w:rsid w:val="00CF373B"/>
    <w:rsid w:val="00CF3781"/>
    <w:rsid w:val="00CF39B9"/>
    <w:rsid w:val="00CF3F26"/>
    <w:rsid w:val="00CF41A1"/>
    <w:rsid w:val="00CF433D"/>
    <w:rsid w:val="00CF439F"/>
    <w:rsid w:val="00CF444E"/>
    <w:rsid w:val="00CF4567"/>
    <w:rsid w:val="00CF5834"/>
    <w:rsid w:val="00CF5AC8"/>
    <w:rsid w:val="00CF5DF6"/>
    <w:rsid w:val="00CF605E"/>
    <w:rsid w:val="00CF6702"/>
    <w:rsid w:val="00CF67CA"/>
    <w:rsid w:val="00CF6C74"/>
    <w:rsid w:val="00CF6E7B"/>
    <w:rsid w:val="00CF6F36"/>
    <w:rsid w:val="00CF7F8E"/>
    <w:rsid w:val="00D00048"/>
    <w:rsid w:val="00D000A2"/>
    <w:rsid w:val="00D0053B"/>
    <w:rsid w:val="00D007C8"/>
    <w:rsid w:val="00D00D08"/>
    <w:rsid w:val="00D00E97"/>
    <w:rsid w:val="00D0104F"/>
    <w:rsid w:val="00D0105E"/>
    <w:rsid w:val="00D011D5"/>
    <w:rsid w:val="00D012B7"/>
    <w:rsid w:val="00D012C6"/>
    <w:rsid w:val="00D0164D"/>
    <w:rsid w:val="00D01B41"/>
    <w:rsid w:val="00D01BA4"/>
    <w:rsid w:val="00D022DE"/>
    <w:rsid w:val="00D027C4"/>
    <w:rsid w:val="00D02848"/>
    <w:rsid w:val="00D02889"/>
    <w:rsid w:val="00D02BB7"/>
    <w:rsid w:val="00D02F10"/>
    <w:rsid w:val="00D03174"/>
    <w:rsid w:val="00D0330C"/>
    <w:rsid w:val="00D0335C"/>
    <w:rsid w:val="00D03732"/>
    <w:rsid w:val="00D038E4"/>
    <w:rsid w:val="00D03A21"/>
    <w:rsid w:val="00D03E4F"/>
    <w:rsid w:val="00D03F8A"/>
    <w:rsid w:val="00D040CE"/>
    <w:rsid w:val="00D042D4"/>
    <w:rsid w:val="00D04576"/>
    <w:rsid w:val="00D047D8"/>
    <w:rsid w:val="00D048B8"/>
    <w:rsid w:val="00D04A11"/>
    <w:rsid w:val="00D0509D"/>
    <w:rsid w:val="00D051BC"/>
    <w:rsid w:val="00D05394"/>
    <w:rsid w:val="00D05680"/>
    <w:rsid w:val="00D05BB5"/>
    <w:rsid w:val="00D05D64"/>
    <w:rsid w:val="00D05E7E"/>
    <w:rsid w:val="00D060FD"/>
    <w:rsid w:val="00D06792"/>
    <w:rsid w:val="00D06DE1"/>
    <w:rsid w:val="00D06F5A"/>
    <w:rsid w:val="00D0723C"/>
    <w:rsid w:val="00D07832"/>
    <w:rsid w:val="00D07A80"/>
    <w:rsid w:val="00D07D93"/>
    <w:rsid w:val="00D101C8"/>
    <w:rsid w:val="00D10260"/>
    <w:rsid w:val="00D10696"/>
    <w:rsid w:val="00D10D4E"/>
    <w:rsid w:val="00D10E83"/>
    <w:rsid w:val="00D113C8"/>
    <w:rsid w:val="00D11856"/>
    <w:rsid w:val="00D1191A"/>
    <w:rsid w:val="00D11C0D"/>
    <w:rsid w:val="00D122B0"/>
    <w:rsid w:val="00D12327"/>
    <w:rsid w:val="00D124D1"/>
    <w:rsid w:val="00D127FF"/>
    <w:rsid w:val="00D12855"/>
    <w:rsid w:val="00D12B1F"/>
    <w:rsid w:val="00D12D31"/>
    <w:rsid w:val="00D13030"/>
    <w:rsid w:val="00D1328A"/>
    <w:rsid w:val="00D132A0"/>
    <w:rsid w:val="00D14952"/>
    <w:rsid w:val="00D15125"/>
    <w:rsid w:val="00D153BB"/>
    <w:rsid w:val="00D153F8"/>
    <w:rsid w:val="00D15509"/>
    <w:rsid w:val="00D15F2F"/>
    <w:rsid w:val="00D160DB"/>
    <w:rsid w:val="00D160EA"/>
    <w:rsid w:val="00D168F6"/>
    <w:rsid w:val="00D16DDF"/>
    <w:rsid w:val="00D170E7"/>
    <w:rsid w:val="00D17339"/>
    <w:rsid w:val="00D178F2"/>
    <w:rsid w:val="00D1792A"/>
    <w:rsid w:val="00D207CD"/>
    <w:rsid w:val="00D20B96"/>
    <w:rsid w:val="00D20D70"/>
    <w:rsid w:val="00D20E53"/>
    <w:rsid w:val="00D21086"/>
    <w:rsid w:val="00D21608"/>
    <w:rsid w:val="00D21613"/>
    <w:rsid w:val="00D2164E"/>
    <w:rsid w:val="00D2183F"/>
    <w:rsid w:val="00D21928"/>
    <w:rsid w:val="00D22873"/>
    <w:rsid w:val="00D22A42"/>
    <w:rsid w:val="00D2321E"/>
    <w:rsid w:val="00D2389A"/>
    <w:rsid w:val="00D23D44"/>
    <w:rsid w:val="00D23E73"/>
    <w:rsid w:val="00D2419A"/>
    <w:rsid w:val="00D247E6"/>
    <w:rsid w:val="00D24A41"/>
    <w:rsid w:val="00D2524B"/>
    <w:rsid w:val="00D252EA"/>
    <w:rsid w:val="00D25C9B"/>
    <w:rsid w:val="00D2619B"/>
    <w:rsid w:val="00D26B3D"/>
    <w:rsid w:val="00D26C1C"/>
    <w:rsid w:val="00D26EA0"/>
    <w:rsid w:val="00D270A9"/>
    <w:rsid w:val="00D27410"/>
    <w:rsid w:val="00D2752D"/>
    <w:rsid w:val="00D278A9"/>
    <w:rsid w:val="00D27B22"/>
    <w:rsid w:val="00D30233"/>
    <w:rsid w:val="00D30FE2"/>
    <w:rsid w:val="00D3120E"/>
    <w:rsid w:val="00D32BD4"/>
    <w:rsid w:val="00D32BF6"/>
    <w:rsid w:val="00D32BF8"/>
    <w:rsid w:val="00D32F06"/>
    <w:rsid w:val="00D331B9"/>
    <w:rsid w:val="00D337B3"/>
    <w:rsid w:val="00D33908"/>
    <w:rsid w:val="00D33D9F"/>
    <w:rsid w:val="00D35116"/>
    <w:rsid w:val="00D35254"/>
    <w:rsid w:val="00D3591D"/>
    <w:rsid w:val="00D35C92"/>
    <w:rsid w:val="00D35D59"/>
    <w:rsid w:val="00D36044"/>
    <w:rsid w:val="00D364D0"/>
    <w:rsid w:val="00D364F1"/>
    <w:rsid w:val="00D36BF5"/>
    <w:rsid w:val="00D36ED2"/>
    <w:rsid w:val="00D3714D"/>
    <w:rsid w:val="00D3723D"/>
    <w:rsid w:val="00D372C7"/>
    <w:rsid w:val="00D37A1C"/>
    <w:rsid w:val="00D37AB6"/>
    <w:rsid w:val="00D40166"/>
    <w:rsid w:val="00D402B5"/>
    <w:rsid w:val="00D404B2"/>
    <w:rsid w:val="00D4083B"/>
    <w:rsid w:val="00D410ED"/>
    <w:rsid w:val="00D41E88"/>
    <w:rsid w:val="00D425DF"/>
    <w:rsid w:val="00D42663"/>
    <w:rsid w:val="00D426D9"/>
    <w:rsid w:val="00D4273D"/>
    <w:rsid w:val="00D429D6"/>
    <w:rsid w:val="00D42E60"/>
    <w:rsid w:val="00D43381"/>
    <w:rsid w:val="00D435C1"/>
    <w:rsid w:val="00D43EC4"/>
    <w:rsid w:val="00D43EF2"/>
    <w:rsid w:val="00D44916"/>
    <w:rsid w:val="00D44AD2"/>
    <w:rsid w:val="00D4509B"/>
    <w:rsid w:val="00D456B3"/>
    <w:rsid w:val="00D45DA0"/>
    <w:rsid w:val="00D45DA8"/>
    <w:rsid w:val="00D45EEA"/>
    <w:rsid w:val="00D46FFB"/>
    <w:rsid w:val="00D4736A"/>
    <w:rsid w:val="00D475E7"/>
    <w:rsid w:val="00D47614"/>
    <w:rsid w:val="00D47AE9"/>
    <w:rsid w:val="00D47D0E"/>
    <w:rsid w:val="00D47D3E"/>
    <w:rsid w:val="00D505A9"/>
    <w:rsid w:val="00D505F9"/>
    <w:rsid w:val="00D508D4"/>
    <w:rsid w:val="00D50AF8"/>
    <w:rsid w:val="00D50C11"/>
    <w:rsid w:val="00D50D4B"/>
    <w:rsid w:val="00D51494"/>
    <w:rsid w:val="00D515D9"/>
    <w:rsid w:val="00D51D3D"/>
    <w:rsid w:val="00D52064"/>
    <w:rsid w:val="00D5208B"/>
    <w:rsid w:val="00D5215D"/>
    <w:rsid w:val="00D526B7"/>
    <w:rsid w:val="00D52A92"/>
    <w:rsid w:val="00D52ADD"/>
    <w:rsid w:val="00D52B5C"/>
    <w:rsid w:val="00D52C90"/>
    <w:rsid w:val="00D52DC6"/>
    <w:rsid w:val="00D52EE3"/>
    <w:rsid w:val="00D53120"/>
    <w:rsid w:val="00D533C4"/>
    <w:rsid w:val="00D53750"/>
    <w:rsid w:val="00D53A43"/>
    <w:rsid w:val="00D54852"/>
    <w:rsid w:val="00D549CA"/>
    <w:rsid w:val="00D55658"/>
    <w:rsid w:val="00D5568D"/>
    <w:rsid w:val="00D5583C"/>
    <w:rsid w:val="00D55DCF"/>
    <w:rsid w:val="00D55E4F"/>
    <w:rsid w:val="00D5659F"/>
    <w:rsid w:val="00D567EC"/>
    <w:rsid w:val="00D572E1"/>
    <w:rsid w:val="00D573BE"/>
    <w:rsid w:val="00D578FD"/>
    <w:rsid w:val="00D57AEF"/>
    <w:rsid w:val="00D60445"/>
    <w:rsid w:val="00D60913"/>
    <w:rsid w:val="00D61ED5"/>
    <w:rsid w:val="00D623CD"/>
    <w:rsid w:val="00D62689"/>
    <w:rsid w:val="00D62A33"/>
    <w:rsid w:val="00D62AF3"/>
    <w:rsid w:val="00D631DE"/>
    <w:rsid w:val="00D63232"/>
    <w:rsid w:val="00D63502"/>
    <w:rsid w:val="00D636ED"/>
    <w:rsid w:val="00D63893"/>
    <w:rsid w:val="00D63AA9"/>
    <w:rsid w:val="00D63D4A"/>
    <w:rsid w:val="00D63E89"/>
    <w:rsid w:val="00D64491"/>
    <w:rsid w:val="00D647E5"/>
    <w:rsid w:val="00D64D28"/>
    <w:rsid w:val="00D64D9E"/>
    <w:rsid w:val="00D64E65"/>
    <w:rsid w:val="00D64E98"/>
    <w:rsid w:val="00D64F5C"/>
    <w:rsid w:val="00D660D9"/>
    <w:rsid w:val="00D664FB"/>
    <w:rsid w:val="00D6663B"/>
    <w:rsid w:val="00D6670F"/>
    <w:rsid w:val="00D6675A"/>
    <w:rsid w:val="00D66773"/>
    <w:rsid w:val="00D66BA8"/>
    <w:rsid w:val="00D66E1F"/>
    <w:rsid w:val="00D67020"/>
    <w:rsid w:val="00D675F7"/>
    <w:rsid w:val="00D705EF"/>
    <w:rsid w:val="00D70686"/>
    <w:rsid w:val="00D70747"/>
    <w:rsid w:val="00D71142"/>
    <w:rsid w:val="00D717F2"/>
    <w:rsid w:val="00D71B6E"/>
    <w:rsid w:val="00D72687"/>
    <w:rsid w:val="00D727F1"/>
    <w:rsid w:val="00D72876"/>
    <w:rsid w:val="00D7289E"/>
    <w:rsid w:val="00D72CC6"/>
    <w:rsid w:val="00D731C0"/>
    <w:rsid w:val="00D73F7B"/>
    <w:rsid w:val="00D742CB"/>
    <w:rsid w:val="00D75B46"/>
    <w:rsid w:val="00D75BF0"/>
    <w:rsid w:val="00D75FDB"/>
    <w:rsid w:val="00D7611C"/>
    <w:rsid w:val="00D76429"/>
    <w:rsid w:val="00D767F4"/>
    <w:rsid w:val="00D7685C"/>
    <w:rsid w:val="00D7691A"/>
    <w:rsid w:val="00D7692C"/>
    <w:rsid w:val="00D76B4C"/>
    <w:rsid w:val="00D76DBC"/>
    <w:rsid w:val="00D7781B"/>
    <w:rsid w:val="00D77A45"/>
    <w:rsid w:val="00D77E77"/>
    <w:rsid w:val="00D801E1"/>
    <w:rsid w:val="00D80275"/>
    <w:rsid w:val="00D804B3"/>
    <w:rsid w:val="00D8059A"/>
    <w:rsid w:val="00D806DF"/>
    <w:rsid w:val="00D81B27"/>
    <w:rsid w:val="00D81D1E"/>
    <w:rsid w:val="00D8238C"/>
    <w:rsid w:val="00D8264B"/>
    <w:rsid w:val="00D827D8"/>
    <w:rsid w:val="00D82AE6"/>
    <w:rsid w:val="00D82B7C"/>
    <w:rsid w:val="00D82E2E"/>
    <w:rsid w:val="00D82F8A"/>
    <w:rsid w:val="00D83104"/>
    <w:rsid w:val="00D8337A"/>
    <w:rsid w:val="00D83FE2"/>
    <w:rsid w:val="00D8480B"/>
    <w:rsid w:val="00D84B43"/>
    <w:rsid w:val="00D85017"/>
    <w:rsid w:val="00D851BA"/>
    <w:rsid w:val="00D8538C"/>
    <w:rsid w:val="00D8577F"/>
    <w:rsid w:val="00D85948"/>
    <w:rsid w:val="00D85D8C"/>
    <w:rsid w:val="00D85F02"/>
    <w:rsid w:val="00D861F5"/>
    <w:rsid w:val="00D86621"/>
    <w:rsid w:val="00D869BA"/>
    <w:rsid w:val="00D87169"/>
    <w:rsid w:val="00D878CB"/>
    <w:rsid w:val="00D9013D"/>
    <w:rsid w:val="00D90187"/>
    <w:rsid w:val="00D903F4"/>
    <w:rsid w:val="00D905D3"/>
    <w:rsid w:val="00D90CAD"/>
    <w:rsid w:val="00D90D5C"/>
    <w:rsid w:val="00D91482"/>
    <w:rsid w:val="00D91F72"/>
    <w:rsid w:val="00D92138"/>
    <w:rsid w:val="00D92639"/>
    <w:rsid w:val="00D92A42"/>
    <w:rsid w:val="00D92DF2"/>
    <w:rsid w:val="00D93539"/>
    <w:rsid w:val="00D9356A"/>
    <w:rsid w:val="00D9392C"/>
    <w:rsid w:val="00D93AC8"/>
    <w:rsid w:val="00D93DA6"/>
    <w:rsid w:val="00D9423B"/>
    <w:rsid w:val="00D9425D"/>
    <w:rsid w:val="00D945DA"/>
    <w:rsid w:val="00D94AFB"/>
    <w:rsid w:val="00D94B5F"/>
    <w:rsid w:val="00D95511"/>
    <w:rsid w:val="00D9553A"/>
    <w:rsid w:val="00D956D0"/>
    <w:rsid w:val="00D95E0D"/>
    <w:rsid w:val="00D96210"/>
    <w:rsid w:val="00D9735F"/>
    <w:rsid w:val="00D97659"/>
    <w:rsid w:val="00D97F20"/>
    <w:rsid w:val="00DA08F8"/>
    <w:rsid w:val="00DA0968"/>
    <w:rsid w:val="00DA0E69"/>
    <w:rsid w:val="00DA13B9"/>
    <w:rsid w:val="00DA1412"/>
    <w:rsid w:val="00DA26DE"/>
    <w:rsid w:val="00DA2D55"/>
    <w:rsid w:val="00DA2D65"/>
    <w:rsid w:val="00DA341F"/>
    <w:rsid w:val="00DA3789"/>
    <w:rsid w:val="00DA3DC2"/>
    <w:rsid w:val="00DA42B2"/>
    <w:rsid w:val="00DA467C"/>
    <w:rsid w:val="00DA4DF5"/>
    <w:rsid w:val="00DA5530"/>
    <w:rsid w:val="00DA558A"/>
    <w:rsid w:val="00DA5A92"/>
    <w:rsid w:val="00DA5C71"/>
    <w:rsid w:val="00DA5FB1"/>
    <w:rsid w:val="00DA60E3"/>
    <w:rsid w:val="00DA61AF"/>
    <w:rsid w:val="00DA6826"/>
    <w:rsid w:val="00DA689A"/>
    <w:rsid w:val="00DA6BBD"/>
    <w:rsid w:val="00DA70D3"/>
    <w:rsid w:val="00DA737F"/>
    <w:rsid w:val="00DA74F6"/>
    <w:rsid w:val="00DA74FF"/>
    <w:rsid w:val="00DA7964"/>
    <w:rsid w:val="00DA7CDF"/>
    <w:rsid w:val="00DA7D4E"/>
    <w:rsid w:val="00DA7DBA"/>
    <w:rsid w:val="00DA7E34"/>
    <w:rsid w:val="00DB09E7"/>
    <w:rsid w:val="00DB0E1A"/>
    <w:rsid w:val="00DB0EEA"/>
    <w:rsid w:val="00DB0F3A"/>
    <w:rsid w:val="00DB134D"/>
    <w:rsid w:val="00DB1F91"/>
    <w:rsid w:val="00DB289D"/>
    <w:rsid w:val="00DB2BCF"/>
    <w:rsid w:val="00DB349E"/>
    <w:rsid w:val="00DB35D8"/>
    <w:rsid w:val="00DB3B4C"/>
    <w:rsid w:val="00DB41F1"/>
    <w:rsid w:val="00DB4468"/>
    <w:rsid w:val="00DB4CD1"/>
    <w:rsid w:val="00DB52FD"/>
    <w:rsid w:val="00DB549D"/>
    <w:rsid w:val="00DB5505"/>
    <w:rsid w:val="00DB57C1"/>
    <w:rsid w:val="00DB5A9B"/>
    <w:rsid w:val="00DB5BF8"/>
    <w:rsid w:val="00DB5C2C"/>
    <w:rsid w:val="00DB5DE2"/>
    <w:rsid w:val="00DB63CC"/>
    <w:rsid w:val="00DB6866"/>
    <w:rsid w:val="00DB6A67"/>
    <w:rsid w:val="00DB6C3D"/>
    <w:rsid w:val="00DB6DD9"/>
    <w:rsid w:val="00DB7202"/>
    <w:rsid w:val="00DB7217"/>
    <w:rsid w:val="00DB7999"/>
    <w:rsid w:val="00DB7E33"/>
    <w:rsid w:val="00DB7FF9"/>
    <w:rsid w:val="00DC02AD"/>
    <w:rsid w:val="00DC02F2"/>
    <w:rsid w:val="00DC038A"/>
    <w:rsid w:val="00DC0684"/>
    <w:rsid w:val="00DC07AD"/>
    <w:rsid w:val="00DC0870"/>
    <w:rsid w:val="00DC0933"/>
    <w:rsid w:val="00DC0A41"/>
    <w:rsid w:val="00DC0A48"/>
    <w:rsid w:val="00DC0C42"/>
    <w:rsid w:val="00DC1025"/>
    <w:rsid w:val="00DC1621"/>
    <w:rsid w:val="00DC1AB7"/>
    <w:rsid w:val="00DC1CE2"/>
    <w:rsid w:val="00DC1F94"/>
    <w:rsid w:val="00DC2609"/>
    <w:rsid w:val="00DC26E4"/>
    <w:rsid w:val="00DC2780"/>
    <w:rsid w:val="00DC29D2"/>
    <w:rsid w:val="00DC2B87"/>
    <w:rsid w:val="00DC2DAD"/>
    <w:rsid w:val="00DC2E07"/>
    <w:rsid w:val="00DC2E99"/>
    <w:rsid w:val="00DC342A"/>
    <w:rsid w:val="00DC38AE"/>
    <w:rsid w:val="00DC4825"/>
    <w:rsid w:val="00DC4B0A"/>
    <w:rsid w:val="00DC4B19"/>
    <w:rsid w:val="00DC4C9E"/>
    <w:rsid w:val="00DC4F2D"/>
    <w:rsid w:val="00DC5333"/>
    <w:rsid w:val="00DC5707"/>
    <w:rsid w:val="00DC5732"/>
    <w:rsid w:val="00DC5778"/>
    <w:rsid w:val="00DC5832"/>
    <w:rsid w:val="00DC5E08"/>
    <w:rsid w:val="00DC5E5A"/>
    <w:rsid w:val="00DC5FF6"/>
    <w:rsid w:val="00DC62B3"/>
    <w:rsid w:val="00DC6499"/>
    <w:rsid w:val="00DC66C8"/>
    <w:rsid w:val="00DC6A67"/>
    <w:rsid w:val="00DC6BD4"/>
    <w:rsid w:val="00DC7127"/>
    <w:rsid w:val="00DC7298"/>
    <w:rsid w:val="00DC75CF"/>
    <w:rsid w:val="00DD026A"/>
    <w:rsid w:val="00DD05E5"/>
    <w:rsid w:val="00DD071B"/>
    <w:rsid w:val="00DD0750"/>
    <w:rsid w:val="00DD14C8"/>
    <w:rsid w:val="00DD1724"/>
    <w:rsid w:val="00DD1A2E"/>
    <w:rsid w:val="00DD1AD9"/>
    <w:rsid w:val="00DD2196"/>
    <w:rsid w:val="00DD233F"/>
    <w:rsid w:val="00DD2408"/>
    <w:rsid w:val="00DD2461"/>
    <w:rsid w:val="00DD26C7"/>
    <w:rsid w:val="00DD28DB"/>
    <w:rsid w:val="00DD293F"/>
    <w:rsid w:val="00DD2F84"/>
    <w:rsid w:val="00DD3138"/>
    <w:rsid w:val="00DD36AC"/>
    <w:rsid w:val="00DD3856"/>
    <w:rsid w:val="00DD395E"/>
    <w:rsid w:val="00DD3972"/>
    <w:rsid w:val="00DD3E3E"/>
    <w:rsid w:val="00DD3E83"/>
    <w:rsid w:val="00DD404E"/>
    <w:rsid w:val="00DD43C0"/>
    <w:rsid w:val="00DD45AF"/>
    <w:rsid w:val="00DD4C8D"/>
    <w:rsid w:val="00DD5C80"/>
    <w:rsid w:val="00DD62D3"/>
    <w:rsid w:val="00DD6829"/>
    <w:rsid w:val="00DD6EB7"/>
    <w:rsid w:val="00DD7145"/>
    <w:rsid w:val="00DD7670"/>
    <w:rsid w:val="00DD780E"/>
    <w:rsid w:val="00DD79BA"/>
    <w:rsid w:val="00DD7DDF"/>
    <w:rsid w:val="00DE021D"/>
    <w:rsid w:val="00DE0298"/>
    <w:rsid w:val="00DE05B8"/>
    <w:rsid w:val="00DE0763"/>
    <w:rsid w:val="00DE081D"/>
    <w:rsid w:val="00DE117E"/>
    <w:rsid w:val="00DE158D"/>
    <w:rsid w:val="00DE190D"/>
    <w:rsid w:val="00DE1A9C"/>
    <w:rsid w:val="00DE1E8A"/>
    <w:rsid w:val="00DE28F2"/>
    <w:rsid w:val="00DE2ADF"/>
    <w:rsid w:val="00DE2B8D"/>
    <w:rsid w:val="00DE31C7"/>
    <w:rsid w:val="00DE39F6"/>
    <w:rsid w:val="00DE3AD8"/>
    <w:rsid w:val="00DE42A8"/>
    <w:rsid w:val="00DE4AAA"/>
    <w:rsid w:val="00DE555D"/>
    <w:rsid w:val="00DE596C"/>
    <w:rsid w:val="00DE6058"/>
    <w:rsid w:val="00DE7DE9"/>
    <w:rsid w:val="00DF05E0"/>
    <w:rsid w:val="00DF0A17"/>
    <w:rsid w:val="00DF0E6D"/>
    <w:rsid w:val="00DF0F49"/>
    <w:rsid w:val="00DF1468"/>
    <w:rsid w:val="00DF149F"/>
    <w:rsid w:val="00DF187F"/>
    <w:rsid w:val="00DF19CD"/>
    <w:rsid w:val="00DF22F9"/>
    <w:rsid w:val="00DF23A5"/>
    <w:rsid w:val="00DF23BE"/>
    <w:rsid w:val="00DF255A"/>
    <w:rsid w:val="00DF2785"/>
    <w:rsid w:val="00DF2D92"/>
    <w:rsid w:val="00DF2E3F"/>
    <w:rsid w:val="00DF341A"/>
    <w:rsid w:val="00DF3FF7"/>
    <w:rsid w:val="00DF4007"/>
    <w:rsid w:val="00DF4236"/>
    <w:rsid w:val="00DF4EBC"/>
    <w:rsid w:val="00DF50B5"/>
    <w:rsid w:val="00DF5594"/>
    <w:rsid w:val="00DF58CA"/>
    <w:rsid w:val="00DF59FB"/>
    <w:rsid w:val="00DF5C82"/>
    <w:rsid w:val="00DF5DF0"/>
    <w:rsid w:val="00DF605D"/>
    <w:rsid w:val="00DF6796"/>
    <w:rsid w:val="00DF6830"/>
    <w:rsid w:val="00DF6E83"/>
    <w:rsid w:val="00DF7357"/>
    <w:rsid w:val="00DF7FFA"/>
    <w:rsid w:val="00E003CD"/>
    <w:rsid w:val="00E0041D"/>
    <w:rsid w:val="00E00513"/>
    <w:rsid w:val="00E0066E"/>
    <w:rsid w:val="00E0094D"/>
    <w:rsid w:val="00E00997"/>
    <w:rsid w:val="00E00A35"/>
    <w:rsid w:val="00E01051"/>
    <w:rsid w:val="00E01570"/>
    <w:rsid w:val="00E015B2"/>
    <w:rsid w:val="00E01656"/>
    <w:rsid w:val="00E01AD9"/>
    <w:rsid w:val="00E02486"/>
    <w:rsid w:val="00E02B59"/>
    <w:rsid w:val="00E02C88"/>
    <w:rsid w:val="00E02D19"/>
    <w:rsid w:val="00E02D57"/>
    <w:rsid w:val="00E03372"/>
    <w:rsid w:val="00E03FBC"/>
    <w:rsid w:val="00E041EB"/>
    <w:rsid w:val="00E04423"/>
    <w:rsid w:val="00E04AB9"/>
    <w:rsid w:val="00E04AD6"/>
    <w:rsid w:val="00E04D29"/>
    <w:rsid w:val="00E04F68"/>
    <w:rsid w:val="00E0517C"/>
    <w:rsid w:val="00E05515"/>
    <w:rsid w:val="00E05D2F"/>
    <w:rsid w:val="00E05DB2"/>
    <w:rsid w:val="00E061B9"/>
    <w:rsid w:val="00E065F9"/>
    <w:rsid w:val="00E066F0"/>
    <w:rsid w:val="00E06F59"/>
    <w:rsid w:val="00E106E7"/>
    <w:rsid w:val="00E10792"/>
    <w:rsid w:val="00E1104C"/>
    <w:rsid w:val="00E11087"/>
    <w:rsid w:val="00E119EA"/>
    <w:rsid w:val="00E11D54"/>
    <w:rsid w:val="00E1247D"/>
    <w:rsid w:val="00E1259C"/>
    <w:rsid w:val="00E1265F"/>
    <w:rsid w:val="00E12B3F"/>
    <w:rsid w:val="00E12D1B"/>
    <w:rsid w:val="00E12DEA"/>
    <w:rsid w:val="00E13CA0"/>
    <w:rsid w:val="00E14620"/>
    <w:rsid w:val="00E14749"/>
    <w:rsid w:val="00E149CD"/>
    <w:rsid w:val="00E14ACE"/>
    <w:rsid w:val="00E14FF9"/>
    <w:rsid w:val="00E15162"/>
    <w:rsid w:val="00E15509"/>
    <w:rsid w:val="00E15B58"/>
    <w:rsid w:val="00E15C40"/>
    <w:rsid w:val="00E161EB"/>
    <w:rsid w:val="00E162A5"/>
    <w:rsid w:val="00E16363"/>
    <w:rsid w:val="00E16410"/>
    <w:rsid w:val="00E1645A"/>
    <w:rsid w:val="00E16499"/>
    <w:rsid w:val="00E165D4"/>
    <w:rsid w:val="00E169CD"/>
    <w:rsid w:val="00E16F18"/>
    <w:rsid w:val="00E170FC"/>
    <w:rsid w:val="00E1737C"/>
    <w:rsid w:val="00E173A1"/>
    <w:rsid w:val="00E17CEF"/>
    <w:rsid w:val="00E17D5E"/>
    <w:rsid w:val="00E17EB3"/>
    <w:rsid w:val="00E200B0"/>
    <w:rsid w:val="00E201E4"/>
    <w:rsid w:val="00E2030A"/>
    <w:rsid w:val="00E20B48"/>
    <w:rsid w:val="00E20B93"/>
    <w:rsid w:val="00E20E2A"/>
    <w:rsid w:val="00E21049"/>
    <w:rsid w:val="00E210A8"/>
    <w:rsid w:val="00E21381"/>
    <w:rsid w:val="00E21728"/>
    <w:rsid w:val="00E218C4"/>
    <w:rsid w:val="00E219AB"/>
    <w:rsid w:val="00E22344"/>
    <w:rsid w:val="00E22937"/>
    <w:rsid w:val="00E22D57"/>
    <w:rsid w:val="00E236E4"/>
    <w:rsid w:val="00E23B0B"/>
    <w:rsid w:val="00E24329"/>
    <w:rsid w:val="00E24372"/>
    <w:rsid w:val="00E24385"/>
    <w:rsid w:val="00E24EE0"/>
    <w:rsid w:val="00E24F1F"/>
    <w:rsid w:val="00E250A9"/>
    <w:rsid w:val="00E25453"/>
    <w:rsid w:val="00E25471"/>
    <w:rsid w:val="00E2547D"/>
    <w:rsid w:val="00E2586A"/>
    <w:rsid w:val="00E25AD7"/>
    <w:rsid w:val="00E26537"/>
    <w:rsid w:val="00E2689B"/>
    <w:rsid w:val="00E268B1"/>
    <w:rsid w:val="00E26B62"/>
    <w:rsid w:val="00E26EEB"/>
    <w:rsid w:val="00E272ED"/>
    <w:rsid w:val="00E273B4"/>
    <w:rsid w:val="00E2775D"/>
    <w:rsid w:val="00E277B8"/>
    <w:rsid w:val="00E30589"/>
    <w:rsid w:val="00E308D7"/>
    <w:rsid w:val="00E30D2D"/>
    <w:rsid w:val="00E310CD"/>
    <w:rsid w:val="00E31934"/>
    <w:rsid w:val="00E31F58"/>
    <w:rsid w:val="00E31FAE"/>
    <w:rsid w:val="00E322AE"/>
    <w:rsid w:val="00E329B3"/>
    <w:rsid w:val="00E32A5C"/>
    <w:rsid w:val="00E32BE1"/>
    <w:rsid w:val="00E32CF0"/>
    <w:rsid w:val="00E331E5"/>
    <w:rsid w:val="00E337EA"/>
    <w:rsid w:val="00E33903"/>
    <w:rsid w:val="00E33B31"/>
    <w:rsid w:val="00E33B3A"/>
    <w:rsid w:val="00E3442A"/>
    <w:rsid w:val="00E34A31"/>
    <w:rsid w:val="00E34A99"/>
    <w:rsid w:val="00E34D6B"/>
    <w:rsid w:val="00E3542F"/>
    <w:rsid w:val="00E35584"/>
    <w:rsid w:val="00E357C2"/>
    <w:rsid w:val="00E3599F"/>
    <w:rsid w:val="00E36104"/>
    <w:rsid w:val="00E3629B"/>
    <w:rsid w:val="00E364DB"/>
    <w:rsid w:val="00E36790"/>
    <w:rsid w:val="00E36A7B"/>
    <w:rsid w:val="00E37078"/>
    <w:rsid w:val="00E37484"/>
    <w:rsid w:val="00E37825"/>
    <w:rsid w:val="00E37A19"/>
    <w:rsid w:val="00E37C47"/>
    <w:rsid w:val="00E40D3D"/>
    <w:rsid w:val="00E412E3"/>
    <w:rsid w:val="00E41799"/>
    <w:rsid w:val="00E419F3"/>
    <w:rsid w:val="00E41DD5"/>
    <w:rsid w:val="00E41FD9"/>
    <w:rsid w:val="00E420F5"/>
    <w:rsid w:val="00E4229D"/>
    <w:rsid w:val="00E424DF"/>
    <w:rsid w:val="00E42860"/>
    <w:rsid w:val="00E430F3"/>
    <w:rsid w:val="00E44CC6"/>
    <w:rsid w:val="00E45F00"/>
    <w:rsid w:val="00E45F25"/>
    <w:rsid w:val="00E462F8"/>
    <w:rsid w:val="00E4633E"/>
    <w:rsid w:val="00E468E4"/>
    <w:rsid w:val="00E46EEC"/>
    <w:rsid w:val="00E47509"/>
    <w:rsid w:val="00E47BB4"/>
    <w:rsid w:val="00E50594"/>
    <w:rsid w:val="00E5070A"/>
    <w:rsid w:val="00E50BF0"/>
    <w:rsid w:val="00E50CC7"/>
    <w:rsid w:val="00E50E4E"/>
    <w:rsid w:val="00E51068"/>
    <w:rsid w:val="00E51178"/>
    <w:rsid w:val="00E51F01"/>
    <w:rsid w:val="00E5202C"/>
    <w:rsid w:val="00E52470"/>
    <w:rsid w:val="00E52648"/>
    <w:rsid w:val="00E52735"/>
    <w:rsid w:val="00E52828"/>
    <w:rsid w:val="00E52851"/>
    <w:rsid w:val="00E5285E"/>
    <w:rsid w:val="00E52EA3"/>
    <w:rsid w:val="00E52F6A"/>
    <w:rsid w:val="00E53213"/>
    <w:rsid w:val="00E535DD"/>
    <w:rsid w:val="00E53666"/>
    <w:rsid w:val="00E53AAD"/>
    <w:rsid w:val="00E53C89"/>
    <w:rsid w:val="00E53CF0"/>
    <w:rsid w:val="00E53E64"/>
    <w:rsid w:val="00E543FD"/>
    <w:rsid w:val="00E54480"/>
    <w:rsid w:val="00E544A2"/>
    <w:rsid w:val="00E546B0"/>
    <w:rsid w:val="00E54DC0"/>
    <w:rsid w:val="00E54ED2"/>
    <w:rsid w:val="00E54F6F"/>
    <w:rsid w:val="00E54FD3"/>
    <w:rsid w:val="00E5507C"/>
    <w:rsid w:val="00E5527B"/>
    <w:rsid w:val="00E5535B"/>
    <w:rsid w:val="00E5543A"/>
    <w:rsid w:val="00E558C7"/>
    <w:rsid w:val="00E56414"/>
    <w:rsid w:val="00E565FE"/>
    <w:rsid w:val="00E56CCD"/>
    <w:rsid w:val="00E570FA"/>
    <w:rsid w:val="00E60063"/>
    <w:rsid w:val="00E605AF"/>
    <w:rsid w:val="00E605E6"/>
    <w:rsid w:val="00E60730"/>
    <w:rsid w:val="00E6091C"/>
    <w:rsid w:val="00E60E91"/>
    <w:rsid w:val="00E60F8E"/>
    <w:rsid w:val="00E61350"/>
    <w:rsid w:val="00E618F6"/>
    <w:rsid w:val="00E6216C"/>
    <w:rsid w:val="00E62F10"/>
    <w:rsid w:val="00E6314E"/>
    <w:rsid w:val="00E63196"/>
    <w:rsid w:val="00E632EC"/>
    <w:rsid w:val="00E63453"/>
    <w:rsid w:val="00E6356C"/>
    <w:rsid w:val="00E6360F"/>
    <w:rsid w:val="00E63786"/>
    <w:rsid w:val="00E637AA"/>
    <w:rsid w:val="00E63829"/>
    <w:rsid w:val="00E64662"/>
    <w:rsid w:val="00E65677"/>
    <w:rsid w:val="00E65682"/>
    <w:rsid w:val="00E65CB6"/>
    <w:rsid w:val="00E65D10"/>
    <w:rsid w:val="00E65F2B"/>
    <w:rsid w:val="00E668A3"/>
    <w:rsid w:val="00E66EE2"/>
    <w:rsid w:val="00E67CF6"/>
    <w:rsid w:val="00E67DE8"/>
    <w:rsid w:val="00E706A7"/>
    <w:rsid w:val="00E70AE8"/>
    <w:rsid w:val="00E70B23"/>
    <w:rsid w:val="00E70B77"/>
    <w:rsid w:val="00E70EC0"/>
    <w:rsid w:val="00E71298"/>
    <w:rsid w:val="00E712DE"/>
    <w:rsid w:val="00E71EA2"/>
    <w:rsid w:val="00E721B2"/>
    <w:rsid w:val="00E7241D"/>
    <w:rsid w:val="00E728F4"/>
    <w:rsid w:val="00E72D32"/>
    <w:rsid w:val="00E72FF6"/>
    <w:rsid w:val="00E7381F"/>
    <w:rsid w:val="00E73A6F"/>
    <w:rsid w:val="00E73ADC"/>
    <w:rsid w:val="00E73DC4"/>
    <w:rsid w:val="00E741D5"/>
    <w:rsid w:val="00E7434D"/>
    <w:rsid w:val="00E74770"/>
    <w:rsid w:val="00E750B3"/>
    <w:rsid w:val="00E752AB"/>
    <w:rsid w:val="00E7559F"/>
    <w:rsid w:val="00E75807"/>
    <w:rsid w:val="00E75DA5"/>
    <w:rsid w:val="00E75F15"/>
    <w:rsid w:val="00E75F91"/>
    <w:rsid w:val="00E7639B"/>
    <w:rsid w:val="00E76D93"/>
    <w:rsid w:val="00E7774B"/>
    <w:rsid w:val="00E77905"/>
    <w:rsid w:val="00E77E41"/>
    <w:rsid w:val="00E80202"/>
    <w:rsid w:val="00E8055D"/>
    <w:rsid w:val="00E807E3"/>
    <w:rsid w:val="00E81CF9"/>
    <w:rsid w:val="00E820E3"/>
    <w:rsid w:val="00E82B97"/>
    <w:rsid w:val="00E82C04"/>
    <w:rsid w:val="00E83030"/>
    <w:rsid w:val="00E8315E"/>
    <w:rsid w:val="00E835CB"/>
    <w:rsid w:val="00E838B7"/>
    <w:rsid w:val="00E839FF"/>
    <w:rsid w:val="00E83B72"/>
    <w:rsid w:val="00E83C01"/>
    <w:rsid w:val="00E83F41"/>
    <w:rsid w:val="00E844D8"/>
    <w:rsid w:val="00E859FF"/>
    <w:rsid w:val="00E85C68"/>
    <w:rsid w:val="00E860B7"/>
    <w:rsid w:val="00E861EB"/>
    <w:rsid w:val="00E86298"/>
    <w:rsid w:val="00E86812"/>
    <w:rsid w:val="00E86DCB"/>
    <w:rsid w:val="00E878DF"/>
    <w:rsid w:val="00E878F4"/>
    <w:rsid w:val="00E87A92"/>
    <w:rsid w:val="00E90AF5"/>
    <w:rsid w:val="00E90B01"/>
    <w:rsid w:val="00E90D96"/>
    <w:rsid w:val="00E90DAD"/>
    <w:rsid w:val="00E90EA2"/>
    <w:rsid w:val="00E9173B"/>
    <w:rsid w:val="00E918F3"/>
    <w:rsid w:val="00E9191C"/>
    <w:rsid w:val="00E91C7E"/>
    <w:rsid w:val="00E91D37"/>
    <w:rsid w:val="00E92482"/>
    <w:rsid w:val="00E92B69"/>
    <w:rsid w:val="00E92E67"/>
    <w:rsid w:val="00E9339C"/>
    <w:rsid w:val="00E9377C"/>
    <w:rsid w:val="00E93888"/>
    <w:rsid w:val="00E9397E"/>
    <w:rsid w:val="00E93A77"/>
    <w:rsid w:val="00E93AC2"/>
    <w:rsid w:val="00E93E28"/>
    <w:rsid w:val="00E94491"/>
    <w:rsid w:val="00E950EE"/>
    <w:rsid w:val="00E9527C"/>
    <w:rsid w:val="00E952A6"/>
    <w:rsid w:val="00E95525"/>
    <w:rsid w:val="00E955BA"/>
    <w:rsid w:val="00E9589C"/>
    <w:rsid w:val="00E95E63"/>
    <w:rsid w:val="00E95FF0"/>
    <w:rsid w:val="00E96ADB"/>
    <w:rsid w:val="00E96BE3"/>
    <w:rsid w:val="00E96FF4"/>
    <w:rsid w:val="00E970BA"/>
    <w:rsid w:val="00E974F0"/>
    <w:rsid w:val="00EA02FD"/>
    <w:rsid w:val="00EA04B0"/>
    <w:rsid w:val="00EA22DC"/>
    <w:rsid w:val="00EA2870"/>
    <w:rsid w:val="00EA2ABC"/>
    <w:rsid w:val="00EA2D74"/>
    <w:rsid w:val="00EA3213"/>
    <w:rsid w:val="00EA32A4"/>
    <w:rsid w:val="00EA349E"/>
    <w:rsid w:val="00EA3602"/>
    <w:rsid w:val="00EA3971"/>
    <w:rsid w:val="00EA3B8B"/>
    <w:rsid w:val="00EA3C20"/>
    <w:rsid w:val="00EA3FE4"/>
    <w:rsid w:val="00EA43D6"/>
    <w:rsid w:val="00EA4985"/>
    <w:rsid w:val="00EA51EC"/>
    <w:rsid w:val="00EA5AA4"/>
    <w:rsid w:val="00EA65F0"/>
    <w:rsid w:val="00EA6D13"/>
    <w:rsid w:val="00EB00DB"/>
    <w:rsid w:val="00EB03A9"/>
    <w:rsid w:val="00EB0B7D"/>
    <w:rsid w:val="00EB10B8"/>
    <w:rsid w:val="00EB14AE"/>
    <w:rsid w:val="00EB18D6"/>
    <w:rsid w:val="00EB21EC"/>
    <w:rsid w:val="00EB2B3A"/>
    <w:rsid w:val="00EB348E"/>
    <w:rsid w:val="00EB3E13"/>
    <w:rsid w:val="00EB3F30"/>
    <w:rsid w:val="00EB43A1"/>
    <w:rsid w:val="00EB4432"/>
    <w:rsid w:val="00EB47B1"/>
    <w:rsid w:val="00EB615F"/>
    <w:rsid w:val="00EB641B"/>
    <w:rsid w:val="00EB7384"/>
    <w:rsid w:val="00EC0050"/>
    <w:rsid w:val="00EC0086"/>
    <w:rsid w:val="00EC033D"/>
    <w:rsid w:val="00EC038D"/>
    <w:rsid w:val="00EC043C"/>
    <w:rsid w:val="00EC1275"/>
    <w:rsid w:val="00EC142E"/>
    <w:rsid w:val="00EC1558"/>
    <w:rsid w:val="00EC2EBB"/>
    <w:rsid w:val="00EC2F44"/>
    <w:rsid w:val="00EC2FCD"/>
    <w:rsid w:val="00EC2FF1"/>
    <w:rsid w:val="00EC3168"/>
    <w:rsid w:val="00EC35C8"/>
    <w:rsid w:val="00EC3A33"/>
    <w:rsid w:val="00EC3C09"/>
    <w:rsid w:val="00EC3E5B"/>
    <w:rsid w:val="00EC40A6"/>
    <w:rsid w:val="00EC46B2"/>
    <w:rsid w:val="00EC4811"/>
    <w:rsid w:val="00EC4A7E"/>
    <w:rsid w:val="00EC51BE"/>
    <w:rsid w:val="00EC52BD"/>
    <w:rsid w:val="00EC539D"/>
    <w:rsid w:val="00EC57E1"/>
    <w:rsid w:val="00EC5EE5"/>
    <w:rsid w:val="00EC65E4"/>
    <w:rsid w:val="00EC6DFB"/>
    <w:rsid w:val="00EC6FA9"/>
    <w:rsid w:val="00EC75BF"/>
    <w:rsid w:val="00EC77D6"/>
    <w:rsid w:val="00EC77F4"/>
    <w:rsid w:val="00EC78EE"/>
    <w:rsid w:val="00EC7F6E"/>
    <w:rsid w:val="00ED0652"/>
    <w:rsid w:val="00ED09AC"/>
    <w:rsid w:val="00ED0D68"/>
    <w:rsid w:val="00ED0E1B"/>
    <w:rsid w:val="00ED146A"/>
    <w:rsid w:val="00ED1749"/>
    <w:rsid w:val="00ED19B8"/>
    <w:rsid w:val="00ED19C0"/>
    <w:rsid w:val="00ED1A72"/>
    <w:rsid w:val="00ED1E65"/>
    <w:rsid w:val="00ED208B"/>
    <w:rsid w:val="00ED251A"/>
    <w:rsid w:val="00ED2BBB"/>
    <w:rsid w:val="00ED2BFD"/>
    <w:rsid w:val="00ED2E3F"/>
    <w:rsid w:val="00ED2E50"/>
    <w:rsid w:val="00ED3736"/>
    <w:rsid w:val="00ED4692"/>
    <w:rsid w:val="00ED473A"/>
    <w:rsid w:val="00ED476E"/>
    <w:rsid w:val="00ED4AA8"/>
    <w:rsid w:val="00ED4B66"/>
    <w:rsid w:val="00ED5266"/>
    <w:rsid w:val="00ED536A"/>
    <w:rsid w:val="00ED557B"/>
    <w:rsid w:val="00ED5839"/>
    <w:rsid w:val="00ED59C2"/>
    <w:rsid w:val="00ED5A51"/>
    <w:rsid w:val="00ED5E29"/>
    <w:rsid w:val="00ED6DE4"/>
    <w:rsid w:val="00ED6FB8"/>
    <w:rsid w:val="00ED7033"/>
    <w:rsid w:val="00ED732C"/>
    <w:rsid w:val="00ED73C7"/>
    <w:rsid w:val="00ED7ECC"/>
    <w:rsid w:val="00ED7F24"/>
    <w:rsid w:val="00EE007A"/>
    <w:rsid w:val="00EE0137"/>
    <w:rsid w:val="00EE03EF"/>
    <w:rsid w:val="00EE0468"/>
    <w:rsid w:val="00EE0616"/>
    <w:rsid w:val="00EE0621"/>
    <w:rsid w:val="00EE0AEE"/>
    <w:rsid w:val="00EE0CB7"/>
    <w:rsid w:val="00EE0FA7"/>
    <w:rsid w:val="00EE15D5"/>
    <w:rsid w:val="00EE1AAC"/>
    <w:rsid w:val="00EE1EC4"/>
    <w:rsid w:val="00EE22B7"/>
    <w:rsid w:val="00EE243C"/>
    <w:rsid w:val="00EE2F94"/>
    <w:rsid w:val="00EE3E0D"/>
    <w:rsid w:val="00EE3FBA"/>
    <w:rsid w:val="00EE3FC9"/>
    <w:rsid w:val="00EE3FF5"/>
    <w:rsid w:val="00EE4160"/>
    <w:rsid w:val="00EE442C"/>
    <w:rsid w:val="00EE491F"/>
    <w:rsid w:val="00EE4AB2"/>
    <w:rsid w:val="00EE4B91"/>
    <w:rsid w:val="00EE4CCF"/>
    <w:rsid w:val="00EE5B8C"/>
    <w:rsid w:val="00EE60ED"/>
    <w:rsid w:val="00EE626B"/>
    <w:rsid w:val="00EE6A69"/>
    <w:rsid w:val="00EE7278"/>
    <w:rsid w:val="00EE7506"/>
    <w:rsid w:val="00EE7E2A"/>
    <w:rsid w:val="00EF02EC"/>
    <w:rsid w:val="00EF0767"/>
    <w:rsid w:val="00EF0BB0"/>
    <w:rsid w:val="00EF0D19"/>
    <w:rsid w:val="00EF17E6"/>
    <w:rsid w:val="00EF182D"/>
    <w:rsid w:val="00EF1888"/>
    <w:rsid w:val="00EF19DC"/>
    <w:rsid w:val="00EF2412"/>
    <w:rsid w:val="00EF2804"/>
    <w:rsid w:val="00EF2A4F"/>
    <w:rsid w:val="00EF31EB"/>
    <w:rsid w:val="00EF359E"/>
    <w:rsid w:val="00EF3FC2"/>
    <w:rsid w:val="00EF403F"/>
    <w:rsid w:val="00EF407E"/>
    <w:rsid w:val="00EF40D0"/>
    <w:rsid w:val="00EF4724"/>
    <w:rsid w:val="00EF48D5"/>
    <w:rsid w:val="00EF5019"/>
    <w:rsid w:val="00EF552E"/>
    <w:rsid w:val="00EF564E"/>
    <w:rsid w:val="00EF5E0B"/>
    <w:rsid w:val="00EF638B"/>
    <w:rsid w:val="00EF63A4"/>
    <w:rsid w:val="00EF63E5"/>
    <w:rsid w:val="00EF67F2"/>
    <w:rsid w:val="00EF6812"/>
    <w:rsid w:val="00EF6B88"/>
    <w:rsid w:val="00EF7002"/>
    <w:rsid w:val="00F00A33"/>
    <w:rsid w:val="00F00AF7"/>
    <w:rsid w:val="00F00E79"/>
    <w:rsid w:val="00F00FC9"/>
    <w:rsid w:val="00F0118F"/>
    <w:rsid w:val="00F01296"/>
    <w:rsid w:val="00F01A06"/>
    <w:rsid w:val="00F01E4A"/>
    <w:rsid w:val="00F02188"/>
    <w:rsid w:val="00F02294"/>
    <w:rsid w:val="00F023C1"/>
    <w:rsid w:val="00F0251E"/>
    <w:rsid w:val="00F0271E"/>
    <w:rsid w:val="00F03372"/>
    <w:rsid w:val="00F04383"/>
    <w:rsid w:val="00F044D6"/>
    <w:rsid w:val="00F04506"/>
    <w:rsid w:val="00F04F7E"/>
    <w:rsid w:val="00F050E3"/>
    <w:rsid w:val="00F051D2"/>
    <w:rsid w:val="00F05216"/>
    <w:rsid w:val="00F054A0"/>
    <w:rsid w:val="00F054AB"/>
    <w:rsid w:val="00F055EF"/>
    <w:rsid w:val="00F056AC"/>
    <w:rsid w:val="00F05B0E"/>
    <w:rsid w:val="00F05C81"/>
    <w:rsid w:val="00F0626C"/>
    <w:rsid w:val="00F06A50"/>
    <w:rsid w:val="00F06F2B"/>
    <w:rsid w:val="00F07025"/>
    <w:rsid w:val="00F073FC"/>
    <w:rsid w:val="00F07468"/>
    <w:rsid w:val="00F0762C"/>
    <w:rsid w:val="00F10334"/>
    <w:rsid w:val="00F10514"/>
    <w:rsid w:val="00F11449"/>
    <w:rsid w:val="00F116B4"/>
    <w:rsid w:val="00F1219F"/>
    <w:rsid w:val="00F1221D"/>
    <w:rsid w:val="00F123D6"/>
    <w:rsid w:val="00F123F5"/>
    <w:rsid w:val="00F12703"/>
    <w:rsid w:val="00F12CB4"/>
    <w:rsid w:val="00F13317"/>
    <w:rsid w:val="00F13508"/>
    <w:rsid w:val="00F1395C"/>
    <w:rsid w:val="00F13A64"/>
    <w:rsid w:val="00F13CCE"/>
    <w:rsid w:val="00F1426A"/>
    <w:rsid w:val="00F14277"/>
    <w:rsid w:val="00F142CC"/>
    <w:rsid w:val="00F143EF"/>
    <w:rsid w:val="00F150C7"/>
    <w:rsid w:val="00F15163"/>
    <w:rsid w:val="00F157FE"/>
    <w:rsid w:val="00F15D08"/>
    <w:rsid w:val="00F15D17"/>
    <w:rsid w:val="00F15D55"/>
    <w:rsid w:val="00F15FBB"/>
    <w:rsid w:val="00F16466"/>
    <w:rsid w:val="00F16A69"/>
    <w:rsid w:val="00F16E9C"/>
    <w:rsid w:val="00F17122"/>
    <w:rsid w:val="00F17768"/>
    <w:rsid w:val="00F17CDA"/>
    <w:rsid w:val="00F17E3C"/>
    <w:rsid w:val="00F20168"/>
    <w:rsid w:val="00F2023F"/>
    <w:rsid w:val="00F20749"/>
    <w:rsid w:val="00F208FA"/>
    <w:rsid w:val="00F20D07"/>
    <w:rsid w:val="00F20D77"/>
    <w:rsid w:val="00F20F9A"/>
    <w:rsid w:val="00F2142C"/>
    <w:rsid w:val="00F21551"/>
    <w:rsid w:val="00F21826"/>
    <w:rsid w:val="00F21CEA"/>
    <w:rsid w:val="00F22310"/>
    <w:rsid w:val="00F22A5B"/>
    <w:rsid w:val="00F22E61"/>
    <w:rsid w:val="00F23814"/>
    <w:rsid w:val="00F239BC"/>
    <w:rsid w:val="00F24935"/>
    <w:rsid w:val="00F24B35"/>
    <w:rsid w:val="00F24B47"/>
    <w:rsid w:val="00F250D3"/>
    <w:rsid w:val="00F25779"/>
    <w:rsid w:val="00F2591C"/>
    <w:rsid w:val="00F26469"/>
    <w:rsid w:val="00F26669"/>
    <w:rsid w:val="00F268B7"/>
    <w:rsid w:val="00F27720"/>
    <w:rsid w:val="00F27736"/>
    <w:rsid w:val="00F27792"/>
    <w:rsid w:val="00F27EA7"/>
    <w:rsid w:val="00F3001D"/>
    <w:rsid w:val="00F300DF"/>
    <w:rsid w:val="00F3019E"/>
    <w:rsid w:val="00F31100"/>
    <w:rsid w:val="00F3155A"/>
    <w:rsid w:val="00F3188C"/>
    <w:rsid w:val="00F31CF0"/>
    <w:rsid w:val="00F32BEB"/>
    <w:rsid w:val="00F33175"/>
    <w:rsid w:val="00F3366F"/>
    <w:rsid w:val="00F339FF"/>
    <w:rsid w:val="00F33A83"/>
    <w:rsid w:val="00F341F8"/>
    <w:rsid w:val="00F34343"/>
    <w:rsid w:val="00F3454C"/>
    <w:rsid w:val="00F34C00"/>
    <w:rsid w:val="00F3502E"/>
    <w:rsid w:val="00F35131"/>
    <w:rsid w:val="00F35ACC"/>
    <w:rsid w:val="00F35D40"/>
    <w:rsid w:val="00F35DE6"/>
    <w:rsid w:val="00F36244"/>
    <w:rsid w:val="00F36581"/>
    <w:rsid w:val="00F36619"/>
    <w:rsid w:val="00F3662A"/>
    <w:rsid w:val="00F36849"/>
    <w:rsid w:val="00F36F5C"/>
    <w:rsid w:val="00F370C4"/>
    <w:rsid w:val="00F37D2B"/>
    <w:rsid w:val="00F40077"/>
    <w:rsid w:val="00F401C0"/>
    <w:rsid w:val="00F40ADD"/>
    <w:rsid w:val="00F41119"/>
    <w:rsid w:val="00F4111B"/>
    <w:rsid w:val="00F411D1"/>
    <w:rsid w:val="00F41778"/>
    <w:rsid w:val="00F42CAD"/>
    <w:rsid w:val="00F43500"/>
    <w:rsid w:val="00F4378F"/>
    <w:rsid w:val="00F437D4"/>
    <w:rsid w:val="00F43EB0"/>
    <w:rsid w:val="00F44222"/>
    <w:rsid w:val="00F443F7"/>
    <w:rsid w:val="00F443FF"/>
    <w:rsid w:val="00F44400"/>
    <w:rsid w:val="00F44558"/>
    <w:rsid w:val="00F4471A"/>
    <w:rsid w:val="00F454E6"/>
    <w:rsid w:val="00F4615C"/>
    <w:rsid w:val="00F461E4"/>
    <w:rsid w:val="00F46941"/>
    <w:rsid w:val="00F46B12"/>
    <w:rsid w:val="00F46B72"/>
    <w:rsid w:val="00F473AC"/>
    <w:rsid w:val="00F4743A"/>
    <w:rsid w:val="00F47632"/>
    <w:rsid w:val="00F47B5B"/>
    <w:rsid w:val="00F47CF2"/>
    <w:rsid w:val="00F47D49"/>
    <w:rsid w:val="00F47F63"/>
    <w:rsid w:val="00F502BE"/>
    <w:rsid w:val="00F50756"/>
    <w:rsid w:val="00F50A79"/>
    <w:rsid w:val="00F51181"/>
    <w:rsid w:val="00F5127E"/>
    <w:rsid w:val="00F513B5"/>
    <w:rsid w:val="00F516D7"/>
    <w:rsid w:val="00F51822"/>
    <w:rsid w:val="00F519C9"/>
    <w:rsid w:val="00F51B7D"/>
    <w:rsid w:val="00F51C06"/>
    <w:rsid w:val="00F51ECF"/>
    <w:rsid w:val="00F52363"/>
    <w:rsid w:val="00F52569"/>
    <w:rsid w:val="00F52574"/>
    <w:rsid w:val="00F52BB3"/>
    <w:rsid w:val="00F53158"/>
    <w:rsid w:val="00F53578"/>
    <w:rsid w:val="00F53953"/>
    <w:rsid w:val="00F53FB0"/>
    <w:rsid w:val="00F54265"/>
    <w:rsid w:val="00F54A22"/>
    <w:rsid w:val="00F54F6A"/>
    <w:rsid w:val="00F55317"/>
    <w:rsid w:val="00F55514"/>
    <w:rsid w:val="00F55692"/>
    <w:rsid w:val="00F56295"/>
    <w:rsid w:val="00F57C26"/>
    <w:rsid w:val="00F57EF1"/>
    <w:rsid w:val="00F604F5"/>
    <w:rsid w:val="00F60872"/>
    <w:rsid w:val="00F609D4"/>
    <w:rsid w:val="00F60E2C"/>
    <w:rsid w:val="00F61058"/>
    <w:rsid w:val="00F610BF"/>
    <w:rsid w:val="00F612CF"/>
    <w:rsid w:val="00F6145B"/>
    <w:rsid w:val="00F6148C"/>
    <w:rsid w:val="00F6185B"/>
    <w:rsid w:val="00F61E61"/>
    <w:rsid w:val="00F61E78"/>
    <w:rsid w:val="00F61F5E"/>
    <w:rsid w:val="00F62507"/>
    <w:rsid w:val="00F62635"/>
    <w:rsid w:val="00F62A65"/>
    <w:rsid w:val="00F62AEE"/>
    <w:rsid w:val="00F62C1B"/>
    <w:rsid w:val="00F62D0C"/>
    <w:rsid w:val="00F62E01"/>
    <w:rsid w:val="00F62E26"/>
    <w:rsid w:val="00F62F40"/>
    <w:rsid w:val="00F62F67"/>
    <w:rsid w:val="00F62FBD"/>
    <w:rsid w:val="00F63CD2"/>
    <w:rsid w:val="00F642B4"/>
    <w:rsid w:val="00F64AA0"/>
    <w:rsid w:val="00F64EA6"/>
    <w:rsid w:val="00F64EBA"/>
    <w:rsid w:val="00F653F5"/>
    <w:rsid w:val="00F65405"/>
    <w:rsid w:val="00F65443"/>
    <w:rsid w:val="00F65841"/>
    <w:rsid w:val="00F65BA5"/>
    <w:rsid w:val="00F66091"/>
    <w:rsid w:val="00F663B9"/>
    <w:rsid w:val="00F663DB"/>
    <w:rsid w:val="00F672EA"/>
    <w:rsid w:val="00F67809"/>
    <w:rsid w:val="00F7007E"/>
    <w:rsid w:val="00F7070B"/>
    <w:rsid w:val="00F7081B"/>
    <w:rsid w:val="00F7093B"/>
    <w:rsid w:val="00F70A84"/>
    <w:rsid w:val="00F71019"/>
    <w:rsid w:val="00F71220"/>
    <w:rsid w:val="00F7143D"/>
    <w:rsid w:val="00F715EE"/>
    <w:rsid w:val="00F719C9"/>
    <w:rsid w:val="00F728ED"/>
    <w:rsid w:val="00F7292D"/>
    <w:rsid w:val="00F72A72"/>
    <w:rsid w:val="00F72CC4"/>
    <w:rsid w:val="00F73AB6"/>
    <w:rsid w:val="00F73AFE"/>
    <w:rsid w:val="00F73BCA"/>
    <w:rsid w:val="00F7473E"/>
    <w:rsid w:val="00F74994"/>
    <w:rsid w:val="00F7499F"/>
    <w:rsid w:val="00F74A57"/>
    <w:rsid w:val="00F75519"/>
    <w:rsid w:val="00F755C8"/>
    <w:rsid w:val="00F755DC"/>
    <w:rsid w:val="00F7567F"/>
    <w:rsid w:val="00F75737"/>
    <w:rsid w:val="00F75747"/>
    <w:rsid w:val="00F75844"/>
    <w:rsid w:val="00F759EF"/>
    <w:rsid w:val="00F75A39"/>
    <w:rsid w:val="00F75AC8"/>
    <w:rsid w:val="00F75F90"/>
    <w:rsid w:val="00F7622D"/>
    <w:rsid w:val="00F76D13"/>
    <w:rsid w:val="00F76DAE"/>
    <w:rsid w:val="00F76F5D"/>
    <w:rsid w:val="00F77045"/>
    <w:rsid w:val="00F773CF"/>
    <w:rsid w:val="00F77576"/>
    <w:rsid w:val="00F77737"/>
    <w:rsid w:val="00F77B35"/>
    <w:rsid w:val="00F801D6"/>
    <w:rsid w:val="00F80611"/>
    <w:rsid w:val="00F80E92"/>
    <w:rsid w:val="00F80FE7"/>
    <w:rsid w:val="00F81834"/>
    <w:rsid w:val="00F81E39"/>
    <w:rsid w:val="00F821F1"/>
    <w:rsid w:val="00F82559"/>
    <w:rsid w:val="00F829FA"/>
    <w:rsid w:val="00F82E39"/>
    <w:rsid w:val="00F82E7D"/>
    <w:rsid w:val="00F82E93"/>
    <w:rsid w:val="00F8312F"/>
    <w:rsid w:val="00F8327B"/>
    <w:rsid w:val="00F8347F"/>
    <w:rsid w:val="00F83B2A"/>
    <w:rsid w:val="00F83EF1"/>
    <w:rsid w:val="00F842D6"/>
    <w:rsid w:val="00F84BD6"/>
    <w:rsid w:val="00F85251"/>
    <w:rsid w:val="00F85FB1"/>
    <w:rsid w:val="00F86515"/>
    <w:rsid w:val="00F869F5"/>
    <w:rsid w:val="00F86E39"/>
    <w:rsid w:val="00F8727F"/>
    <w:rsid w:val="00F874E6"/>
    <w:rsid w:val="00F87BC5"/>
    <w:rsid w:val="00F90138"/>
    <w:rsid w:val="00F905BC"/>
    <w:rsid w:val="00F90C33"/>
    <w:rsid w:val="00F90FA2"/>
    <w:rsid w:val="00F9134A"/>
    <w:rsid w:val="00F9196F"/>
    <w:rsid w:val="00F91C1B"/>
    <w:rsid w:val="00F92FAF"/>
    <w:rsid w:val="00F92FF9"/>
    <w:rsid w:val="00F9326C"/>
    <w:rsid w:val="00F934CE"/>
    <w:rsid w:val="00F9355C"/>
    <w:rsid w:val="00F93A46"/>
    <w:rsid w:val="00F93E29"/>
    <w:rsid w:val="00F94133"/>
    <w:rsid w:val="00F94314"/>
    <w:rsid w:val="00F94367"/>
    <w:rsid w:val="00F947A6"/>
    <w:rsid w:val="00F94929"/>
    <w:rsid w:val="00F94D55"/>
    <w:rsid w:val="00F95731"/>
    <w:rsid w:val="00F95B11"/>
    <w:rsid w:val="00F95BED"/>
    <w:rsid w:val="00F95C16"/>
    <w:rsid w:val="00F95C2C"/>
    <w:rsid w:val="00F96002"/>
    <w:rsid w:val="00F96106"/>
    <w:rsid w:val="00F9631E"/>
    <w:rsid w:val="00F9639A"/>
    <w:rsid w:val="00F968B4"/>
    <w:rsid w:val="00F96D16"/>
    <w:rsid w:val="00F97490"/>
    <w:rsid w:val="00F97729"/>
    <w:rsid w:val="00F978EC"/>
    <w:rsid w:val="00F97A53"/>
    <w:rsid w:val="00FA00F8"/>
    <w:rsid w:val="00FA0145"/>
    <w:rsid w:val="00FA01BC"/>
    <w:rsid w:val="00FA0369"/>
    <w:rsid w:val="00FA0543"/>
    <w:rsid w:val="00FA05BE"/>
    <w:rsid w:val="00FA0606"/>
    <w:rsid w:val="00FA0B35"/>
    <w:rsid w:val="00FA10CC"/>
    <w:rsid w:val="00FA127D"/>
    <w:rsid w:val="00FA1478"/>
    <w:rsid w:val="00FA1926"/>
    <w:rsid w:val="00FA1E11"/>
    <w:rsid w:val="00FA2064"/>
    <w:rsid w:val="00FA2253"/>
    <w:rsid w:val="00FA2B34"/>
    <w:rsid w:val="00FA2B9C"/>
    <w:rsid w:val="00FA2BBE"/>
    <w:rsid w:val="00FA44FA"/>
    <w:rsid w:val="00FA4A56"/>
    <w:rsid w:val="00FA53C3"/>
    <w:rsid w:val="00FA5B0F"/>
    <w:rsid w:val="00FA5D2E"/>
    <w:rsid w:val="00FA5E5A"/>
    <w:rsid w:val="00FA5ECF"/>
    <w:rsid w:val="00FA7008"/>
    <w:rsid w:val="00FA7106"/>
    <w:rsid w:val="00FA729B"/>
    <w:rsid w:val="00FA74FB"/>
    <w:rsid w:val="00FA7568"/>
    <w:rsid w:val="00FA7AF4"/>
    <w:rsid w:val="00FB030A"/>
    <w:rsid w:val="00FB1069"/>
    <w:rsid w:val="00FB2074"/>
    <w:rsid w:val="00FB218A"/>
    <w:rsid w:val="00FB3189"/>
    <w:rsid w:val="00FB33FE"/>
    <w:rsid w:val="00FB35F1"/>
    <w:rsid w:val="00FB374C"/>
    <w:rsid w:val="00FB3DA1"/>
    <w:rsid w:val="00FB442B"/>
    <w:rsid w:val="00FB46D9"/>
    <w:rsid w:val="00FB4B3C"/>
    <w:rsid w:val="00FB5025"/>
    <w:rsid w:val="00FB52C6"/>
    <w:rsid w:val="00FB55CB"/>
    <w:rsid w:val="00FB5702"/>
    <w:rsid w:val="00FB5868"/>
    <w:rsid w:val="00FB5A36"/>
    <w:rsid w:val="00FB65A0"/>
    <w:rsid w:val="00FB6A95"/>
    <w:rsid w:val="00FB70D9"/>
    <w:rsid w:val="00FB745B"/>
    <w:rsid w:val="00FB74B0"/>
    <w:rsid w:val="00FB7B55"/>
    <w:rsid w:val="00FB7E1D"/>
    <w:rsid w:val="00FC022B"/>
    <w:rsid w:val="00FC0696"/>
    <w:rsid w:val="00FC0699"/>
    <w:rsid w:val="00FC0751"/>
    <w:rsid w:val="00FC0BF7"/>
    <w:rsid w:val="00FC0CC1"/>
    <w:rsid w:val="00FC0E1C"/>
    <w:rsid w:val="00FC137D"/>
    <w:rsid w:val="00FC16DA"/>
    <w:rsid w:val="00FC1731"/>
    <w:rsid w:val="00FC1866"/>
    <w:rsid w:val="00FC1C2A"/>
    <w:rsid w:val="00FC1FA2"/>
    <w:rsid w:val="00FC2735"/>
    <w:rsid w:val="00FC27C5"/>
    <w:rsid w:val="00FC30D1"/>
    <w:rsid w:val="00FC33DC"/>
    <w:rsid w:val="00FC40E9"/>
    <w:rsid w:val="00FC46E6"/>
    <w:rsid w:val="00FC4AE3"/>
    <w:rsid w:val="00FC526D"/>
    <w:rsid w:val="00FC546C"/>
    <w:rsid w:val="00FC6DBC"/>
    <w:rsid w:val="00FC6E77"/>
    <w:rsid w:val="00FC71BA"/>
    <w:rsid w:val="00FC7342"/>
    <w:rsid w:val="00FC7447"/>
    <w:rsid w:val="00FC78B0"/>
    <w:rsid w:val="00FC79C5"/>
    <w:rsid w:val="00FC7CFD"/>
    <w:rsid w:val="00FD04C5"/>
    <w:rsid w:val="00FD0696"/>
    <w:rsid w:val="00FD0801"/>
    <w:rsid w:val="00FD0C42"/>
    <w:rsid w:val="00FD0F9C"/>
    <w:rsid w:val="00FD1135"/>
    <w:rsid w:val="00FD15D0"/>
    <w:rsid w:val="00FD1688"/>
    <w:rsid w:val="00FD1956"/>
    <w:rsid w:val="00FD1D03"/>
    <w:rsid w:val="00FD1E99"/>
    <w:rsid w:val="00FD2322"/>
    <w:rsid w:val="00FD2B48"/>
    <w:rsid w:val="00FD2DF5"/>
    <w:rsid w:val="00FD2E37"/>
    <w:rsid w:val="00FD30C7"/>
    <w:rsid w:val="00FD33A2"/>
    <w:rsid w:val="00FD3866"/>
    <w:rsid w:val="00FD472E"/>
    <w:rsid w:val="00FD4C9F"/>
    <w:rsid w:val="00FD4E14"/>
    <w:rsid w:val="00FD541A"/>
    <w:rsid w:val="00FD57B0"/>
    <w:rsid w:val="00FD5BD9"/>
    <w:rsid w:val="00FD5C83"/>
    <w:rsid w:val="00FD61F3"/>
    <w:rsid w:val="00FD67DB"/>
    <w:rsid w:val="00FD6E30"/>
    <w:rsid w:val="00FD6F84"/>
    <w:rsid w:val="00FD703A"/>
    <w:rsid w:val="00FD73D7"/>
    <w:rsid w:val="00FD77B2"/>
    <w:rsid w:val="00FD7879"/>
    <w:rsid w:val="00FD7ED5"/>
    <w:rsid w:val="00FE030A"/>
    <w:rsid w:val="00FE031C"/>
    <w:rsid w:val="00FE066D"/>
    <w:rsid w:val="00FE12DF"/>
    <w:rsid w:val="00FE1628"/>
    <w:rsid w:val="00FE17FF"/>
    <w:rsid w:val="00FE218A"/>
    <w:rsid w:val="00FE232A"/>
    <w:rsid w:val="00FE267C"/>
    <w:rsid w:val="00FE2A48"/>
    <w:rsid w:val="00FE3188"/>
    <w:rsid w:val="00FE34F5"/>
    <w:rsid w:val="00FE392B"/>
    <w:rsid w:val="00FE3C06"/>
    <w:rsid w:val="00FE4502"/>
    <w:rsid w:val="00FE45DF"/>
    <w:rsid w:val="00FE46CF"/>
    <w:rsid w:val="00FE4BDE"/>
    <w:rsid w:val="00FE4EAE"/>
    <w:rsid w:val="00FE4EB3"/>
    <w:rsid w:val="00FE5014"/>
    <w:rsid w:val="00FE6114"/>
    <w:rsid w:val="00FE643D"/>
    <w:rsid w:val="00FE68EB"/>
    <w:rsid w:val="00FE7F1D"/>
    <w:rsid w:val="00FF061C"/>
    <w:rsid w:val="00FF06C1"/>
    <w:rsid w:val="00FF0A28"/>
    <w:rsid w:val="00FF0ACD"/>
    <w:rsid w:val="00FF1045"/>
    <w:rsid w:val="00FF1898"/>
    <w:rsid w:val="00FF1952"/>
    <w:rsid w:val="00FF1C36"/>
    <w:rsid w:val="00FF2103"/>
    <w:rsid w:val="00FF2BBB"/>
    <w:rsid w:val="00FF3DDF"/>
    <w:rsid w:val="00FF3F5D"/>
    <w:rsid w:val="00FF40DB"/>
    <w:rsid w:val="00FF4434"/>
    <w:rsid w:val="00FF470E"/>
    <w:rsid w:val="00FF480C"/>
    <w:rsid w:val="00FF481E"/>
    <w:rsid w:val="00FF48B5"/>
    <w:rsid w:val="00FF4C06"/>
    <w:rsid w:val="00FF5034"/>
    <w:rsid w:val="00FF51AC"/>
    <w:rsid w:val="00FF573B"/>
    <w:rsid w:val="00FF57B3"/>
    <w:rsid w:val="00FF59C6"/>
    <w:rsid w:val="00FF5B3C"/>
    <w:rsid w:val="00FF5CEC"/>
    <w:rsid w:val="00FF6006"/>
    <w:rsid w:val="00FF66A6"/>
    <w:rsid w:val="00FF6A63"/>
    <w:rsid w:val="00FF6ABE"/>
    <w:rsid w:val="00FF6B0E"/>
    <w:rsid w:val="00FF7850"/>
    <w:rsid w:val="00FF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10BDFD53"/>
  <w14:defaultImageDpi w14:val="0"/>
  <w15:docId w15:val="{CB3504C1-A952-482C-A768-72C8B32C0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qFormat="1"/>
    <w:lsdException w:name="header" w:uiPriority="0"/>
    <w:lsdException w:name="footer" w:locked="1"/>
    <w:lsdException w:name="caption" w:locked="1" w:semiHidden="1" w:uiPriority="0" w:unhideWhenUsed="1" w:qFormat="1"/>
    <w:lsdException w:name="footnote reference" w:locked="1" w:uiPriority="0"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lock Text" w:locked="1" w:uiPriority="0"/>
    <w:lsdException w:name="Strong" w:locked="1" w:uiPriority="22" w:qFormat="1"/>
    <w:lsdException w:name="Emphasis" w:locked="1"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9A2"/>
    <w:pPr>
      <w:suppressAutoHyphens/>
      <w:overflowPunct w:val="0"/>
      <w:autoSpaceDE w:val="0"/>
      <w:spacing w:line="360" w:lineRule="auto"/>
      <w:jc w:val="both"/>
      <w:textAlignment w:val="baseline"/>
    </w:pPr>
    <w:rPr>
      <w:rFonts w:ascii="Arial" w:hAnsi="Arial" w:cs="Arial"/>
      <w:sz w:val="24"/>
      <w:szCs w:val="24"/>
      <w:lang w:val="es-ES_tradnl" w:eastAsia="ar-SA"/>
    </w:rPr>
  </w:style>
  <w:style w:type="paragraph" w:styleId="Ttulo1">
    <w:name w:val="heading 1"/>
    <w:basedOn w:val="Normal"/>
    <w:next w:val="Normal"/>
    <w:link w:val="Ttulo1Car"/>
    <w:uiPriority w:val="9"/>
    <w:qFormat/>
    <w:locked/>
    <w:rsid w:val="004557BD"/>
    <w:pPr>
      <w:keepNext/>
      <w:spacing w:before="240" w:after="60"/>
      <w:outlineLvl w:val="0"/>
    </w:pPr>
    <w:rPr>
      <w:rFonts w:ascii="Cambria" w:hAnsi="Cambria" w:cs="Times New Roman"/>
      <w:b/>
      <w:bCs/>
      <w:kern w:val="32"/>
      <w:sz w:val="32"/>
      <w:szCs w:val="32"/>
    </w:rPr>
  </w:style>
  <w:style w:type="paragraph" w:styleId="Ttulo2">
    <w:name w:val="heading 2"/>
    <w:basedOn w:val="Normal"/>
    <w:next w:val="Normal"/>
    <w:link w:val="Ttulo2Car"/>
    <w:uiPriority w:val="9"/>
    <w:unhideWhenUsed/>
    <w:qFormat/>
    <w:locked/>
    <w:rsid w:val="004557BD"/>
    <w:pPr>
      <w:keepNext/>
      <w:spacing w:before="240" w:after="60"/>
      <w:outlineLvl w:val="1"/>
    </w:pPr>
    <w:rPr>
      <w:rFonts w:ascii="Cambria" w:hAnsi="Cambria" w:cs="Times New Roman"/>
      <w:b/>
      <w:bCs/>
      <w:i/>
      <w:iCs/>
      <w:sz w:val="28"/>
      <w:szCs w:val="28"/>
    </w:rPr>
  </w:style>
  <w:style w:type="paragraph" w:styleId="Ttulo3">
    <w:name w:val="heading 3"/>
    <w:basedOn w:val="Normal"/>
    <w:next w:val="Normal"/>
    <w:link w:val="Ttulo3Car"/>
    <w:uiPriority w:val="99"/>
    <w:qFormat/>
    <w:rsid w:val="00080EF2"/>
    <w:pPr>
      <w:keepNext/>
      <w:spacing w:before="240" w:after="60"/>
      <w:outlineLvl w:val="2"/>
    </w:pPr>
    <w:rPr>
      <w:b/>
      <w:bCs/>
      <w:sz w:val="26"/>
      <w:szCs w:val="26"/>
    </w:rPr>
  </w:style>
  <w:style w:type="paragraph" w:styleId="Ttulo4">
    <w:name w:val="heading 4"/>
    <w:basedOn w:val="Normal"/>
    <w:next w:val="Normal"/>
    <w:link w:val="Ttulo4Car"/>
    <w:uiPriority w:val="99"/>
    <w:qFormat/>
    <w:locked/>
    <w:rsid w:val="00D9735F"/>
    <w:pPr>
      <w:keepNext/>
      <w:spacing w:before="240" w:after="60"/>
      <w:outlineLvl w:val="3"/>
    </w:pPr>
    <w:rPr>
      <w:b/>
      <w:bCs/>
      <w:sz w:val="28"/>
      <w:szCs w:val="28"/>
    </w:rPr>
  </w:style>
  <w:style w:type="paragraph" w:styleId="Ttulo5">
    <w:name w:val="heading 5"/>
    <w:basedOn w:val="Normal"/>
    <w:next w:val="Normal"/>
    <w:link w:val="Ttulo5Car"/>
    <w:uiPriority w:val="99"/>
    <w:qFormat/>
    <w:pPr>
      <w:keepNext/>
      <w:tabs>
        <w:tab w:val="left" w:pos="0"/>
      </w:tabs>
      <w:jc w:val="center"/>
      <w:outlineLvl w:val="4"/>
    </w:pPr>
    <w:rPr>
      <w:b/>
      <w:bCs/>
      <w:lang w:val="es-ES"/>
    </w:rPr>
  </w:style>
  <w:style w:type="paragraph" w:styleId="Ttulo6">
    <w:name w:val="heading 6"/>
    <w:basedOn w:val="Normal"/>
    <w:next w:val="Normal"/>
    <w:link w:val="Ttulo6Car"/>
    <w:uiPriority w:val="9"/>
    <w:unhideWhenUsed/>
    <w:qFormat/>
    <w:locked/>
    <w:rsid w:val="004557BD"/>
    <w:pPr>
      <w:spacing w:before="240" w:after="60"/>
      <w:outlineLvl w:val="5"/>
    </w:pPr>
    <w:rPr>
      <w:rFonts w:ascii="Calibri" w:hAnsi="Calibri" w:cs="Times New Roman"/>
      <w:b/>
      <w:bCs/>
      <w:sz w:val="22"/>
      <w:szCs w:val="22"/>
    </w:rPr>
  </w:style>
  <w:style w:type="paragraph" w:styleId="Ttulo7">
    <w:name w:val="heading 7"/>
    <w:basedOn w:val="Normal"/>
    <w:next w:val="Normal"/>
    <w:link w:val="Ttulo7Car"/>
    <w:uiPriority w:val="9"/>
    <w:unhideWhenUsed/>
    <w:qFormat/>
    <w:locked/>
    <w:rsid w:val="004557BD"/>
    <w:pPr>
      <w:spacing w:before="240" w:after="60"/>
      <w:outlineLvl w:val="6"/>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4557BD"/>
    <w:rPr>
      <w:rFonts w:ascii="Cambria" w:eastAsia="Times New Roman" w:hAnsi="Cambria" w:cs="Times New Roman"/>
      <w:b/>
      <w:bCs/>
      <w:kern w:val="32"/>
      <w:sz w:val="32"/>
      <w:szCs w:val="32"/>
      <w:lang w:val="es-ES_tradnl" w:eastAsia="ar-SA" w:bidi="ar-SA"/>
    </w:rPr>
  </w:style>
  <w:style w:type="character" w:customStyle="1" w:styleId="Ttulo2Car">
    <w:name w:val="Título 2 Car"/>
    <w:link w:val="Ttulo2"/>
    <w:uiPriority w:val="9"/>
    <w:locked/>
    <w:rsid w:val="004557BD"/>
    <w:rPr>
      <w:rFonts w:ascii="Cambria" w:eastAsia="Times New Roman" w:hAnsi="Cambria" w:cs="Times New Roman"/>
      <w:b/>
      <w:bCs/>
      <w:i/>
      <w:iCs/>
      <w:sz w:val="28"/>
      <w:szCs w:val="28"/>
      <w:lang w:val="es-ES_tradnl" w:eastAsia="ar-SA" w:bidi="ar-SA"/>
    </w:rPr>
  </w:style>
  <w:style w:type="character" w:customStyle="1" w:styleId="Ttulo3Car">
    <w:name w:val="Título 3 Car"/>
    <w:link w:val="Ttulo3"/>
    <w:uiPriority w:val="99"/>
    <w:semiHidden/>
    <w:locked/>
    <w:rPr>
      <w:rFonts w:ascii="Cambria" w:hAnsi="Cambria" w:cs="Cambria"/>
      <w:b/>
      <w:bCs/>
      <w:sz w:val="26"/>
      <w:szCs w:val="26"/>
      <w:lang w:val="es-ES_tradnl" w:eastAsia="ar-SA" w:bidi="ar-SA"/>
    </w:rPr>
  </w:style>
  <w:style w:type="character" w:customStyle="1" w:styleId="Ttulo4Car">
    <w:name w:val="Título 4 Car"/>
    <w:link w:val="Ttulo4"/>
    <w:uiPriority w:val="99"/>
    <w:semiHidden/>
    <w:locked/>
    <w:rPr>
      <w:rFonts w:ascii="Calibri" w:hAnsi="Calibri" w:cs="Calibri"/>
      <w:b/>
      <w:bCs/>
      <w:sz w:val="28"/>
      <w:szCs w:val="28"/>
      <w:lang w:val="es-ES_tradnl" w:eastAsia="ar-SA" w:bidi="ar-SA"/>
    </w:rPr>
  </w:style>
  <w:style w:type="character" w:customStyle="1" w:styleId="Ttulo5Car">
    <w:name w:val="Título 5 Car"/>
    <w:link w:val="Ttulo5"/>
    <w:uiPriority w:val="99"/>
    <w:semiHidden/>
    <w:locked/>
    <w:rPr>
      <w:rFonts w:ascii="Calibri" w:hAnsi="Calibri" w:cs="Calibri"/>
      <w:b/>
      <w:bCs/>
      <w:i/>
      <w:iCs/>
      <w:sz w:val="26"/>
      <w:szCs w:val="26"/>
      <w:lang w:val="es-ES_tradnl" w:eastAsia="ar-SA" w:bidi="ar-SA"/>
    </w:rPr>
  </w:style>
  <w:style w:type="character" w:customStyle="1" w:styleId="Ttulo6Car">
    <w:name w:val="Título 6 Car"/>
    <w:link w:val="Ttulo6"/>
    <w:uiPriority w:val="9"/>
    <w:locked/>
    <w:rsid w:val="004557BD"/>
    <w:rPr>
      <w:rFonts w:ascii="Calibri" w:eastAsia="Times New Roman" w:hAnsi="Calibri" w:cs="Times New Roman"/>
      <w:b/>
      <w:bCs/>
      <w:lang w:val="es-ES_tradnl" w:eastAsia="ar-SA" w:bidi="ar-SA"/>
    </w:rPr>
  </w:style>
  <w:style w:type="character" w:customStyle="1" w:styleId="Ttulo7Car">
    <w:name w:val="Título 7 Car"/>
    <w:link w:val="Ttulo7"/>
    <w:uiPriority w:val="9"/>
    <w:locked/>
    <w:rsid w:val="004557BD"/>
    <w:rPr>
      <w:rFonts w:ascii="Calibri" w:eastAsia="Times New Roman" w:hAnsi="Calibri" w:cs="Times New Roman"/>
      <w:sz w:val="24"/>
      <w:szCs w:val="24"/>
      <w:lang w:val="es-ES_tradnl" w:eastAsia="ar-SA" w:bidi="ar-SA"/>
    </w:rPr>
  </w:style>
  <w:style w:type="character" w:customStyle="1" w:styleId="WW8Num1z0">
    <w:name w:val="WW8Num1z0"/>
    <w:uiPriority w:val="99"/>
    <w:rPr>
      <w:rFonts w:ascii="Arial" w:hAnsi="Arial"/>
    </w:rPr>
  </w:style>
  <w:style w:type="character" w:customStyle="1" w:styleId="WW8Num2z0">
    <w:name w:val="WW8Num2z0"/>
    <w:uiPriority w:val="99"/>
    <w:rPr>
      <w:rFonts w:ascii="Arial" w:hAnsi="Arial"/>
    </w:rPr>
  </w:style>
  <w:style w:type="character" w:customStyle="1" w:styleId="Fuentedeprrafopredeter3">
    <w:name w:val="Fuente de párrafo predeter.3"/>
    <w:uiPriority w:val="99"/>
  </w:style>
  <w:style w:type="character" w:customStyle="1" w:styleId="Absatz-Standardschriftart">
    <w:name w:val="Absatz-Standardschriftart"/>
    <w:uiPriority w:val="99"/>
  </w:style>
  <w:style w:type="character" w:customStyle="1" w:styleId="WW8Num3z0">
    <w:name w:val="WW8Num3z0"/>
    <w:uiPriority w:val="99"/>
    <w:rPr>
      <w:rFonts w:ascii="Symbol" w:hAnsi="Symbol"/>
      <w:sz w:val="18"/>
    </w:rPr>
  </w:style>
  <w:style w:type="character" w:customStyle="1" w:styleId="WW8Num5z0">
    <w:name w:val="WW8Num5z0"/>
    <w:uiPriority w:val="99"/>
    <w:rPr>
      <w:rFonts w:ascii="Arial" w:hAnsi="Arial"/>
    </w:rPr>
  </w:style>
  <w:style w:type="character" w:customStyle="1" w:styleId="WW8Num5z1">
    <w:name w:val="WW8Num5z1"/>
    <w:uiPriority w:val="99"/>
    <w:rPr>
      <w:rFonts w:ascii="Courier New" w:hAnsi="Courier New"/>
    </w:rPr>
  </w:style>
  <w:style w:type="character" w:customStyle="1" w:styleId="WW8Num5z2">
    <w:name w:val="WW8Num5z2"/>
    <w:uiPriority w:val="99"/>
    <w:rPr>
      <w:rFonts w:ascii="Wingdings" w:hAnsi="Wingdings"/>
    </w:rPr>
  </w:style>
  <w:style w:type="character" w:customStyle="1" w:styleId="WW8Num5z3">
    <w:name w:val="WW8Num5z3"/>
    <w:uiPriority w:val="99"/>
    <w:rPr>
      <w:rFonts w:ascii="Symbol" w:hAnsi="Symbol"/>
    </w:rPr>
  </w:style>
  <w:style w:type="character" w:customStyle="1" w:styleId="WW8Num7z0">
    <w:name w:val="WW8Num7z0"/>
    <w:uiPriority w:val="99"/>
    <w:rPr>
      <w:rFonts w:ascii="Symbol" w:hAnsi="Symbol"/>
    </w:rPr>
  </w:style>
  <w:style w:type="character" w:customStyle="1" w:styleId="WW8Num7z1">
    <w:name w:val="WW8Num7z1"/>
    <w:uiPriority w:val="99"/>
    <w:rPr>
      <w:rFonts w:ascii="Courier New" w:hAnsi="Courier New"/>
    </w:rPr>
  </w:style>
  <w:style w:type="character" w:customStyle="1" w:styleId="WW8Num7z2">
    <w:name w:val="WW8Num7z2"/>
    <w:uiPriority w:val="99"/>
    <w:rPr>
      <w:rFonts w:ascii="Wingdings" w:hAnsi="Wingdings"/>
    </w:rPr>
  </w:style>
  <w:style w:type="character" w:customStyle="1" w:styleId="Fuentedeprrafopredeter2">
    <w:name w:val="Fuente de párrafo predeter.2"/>
    <w:uiPriority w:val="99"/>
  </w:style>
  <w:style w:type="character" w:customStyle="1" w:styleId="WW8Num4z0">
    <w:name w:val="WW8Num4z0"/>
    <w:uiPriority w:val="99"/>
    <w:rPr>
      <w:rFonts w:ascii="Symbol" w:hAnsi="Symbol"/>
    </w:rPr>
  </w:style>
  <w:style w:type="character" w:customStyle="1" w:styleId="Fuentedeprrafopredeter1">
    <w:name w:val="Fuente de párrafo predeter.1"/>
    <w:uiPriority w:val="99"/>
  </w:style>
  <w:style w:type="character" w:styleId="Nmerodepgina">
    <w:name w:val="page number"/>
    <w:uiPriority w:val="99"/>
    <w:rPr>
      <w:rFonts w:cs="Times New Roman"/>
    </w:rPr>
  </w:style>
  <w:style w:type="character" w:customStyle="1" w:styleId="Smbolodenotaalpie">
    <w:name w:val="Símbolo de nota al pie"/>
    <w:uiPriority w:val="99"/>
    <w:rPr>
      <w:vertAlign w:val="superscript"/>
    </w:rPr>
  </w:style>
  <w:style w:type="character" w:styleId="Hipervnculo">
    <w:name w:val="Hyperlink"/>
    <w:uiPriority w:val="99"/>
    <w:rPr>
      <w:rFonts w:cs="Times New Roman"/>
      <w:color w:val="0000FF"/>
      <w:u w:val="single"/>
    </w:rPr>
  </w:style>
  <w:style w:type="character" w:customStyle="1" w:styleId="Refdenotaalpie1">
    <w:name w:val="Ref. de nota al pie1"/>
    <w:uiPriority w:val="99"/>
    <w:rPr>
      <w:vertAlign w:val="superscript"/>
    </w:rPr>
  </w:style>
  <w:style w:type="character" w:customStyle="1" w:styleId="Refdenotaalpie2">
    <w:name w:val="Ref. de nota al pie2"/>
    <w:uiPriority w:val="99"/>
    <w:rPr>
      <w:vertAlign w:val="superscript"/>
    </w:rPr>
  </w:style>
  <w:style w:type="character" w:customStyle="1" w:styleId="Refdenotaalpie3">
    <w:name w:val="Ref. de nota al pie3"/>
    <w:uiPriority w:val="99"/>
    <w:rPr>
      <w:vertAlign w:val="superscript"/>
    </w:rPr>
  </w:style>
  <w:style w:type="character" w:customStyle="1" w:styleId="Refdenotaalpie4">
    <w:name w:val="Ref. de nota al pie4"/>
    <w:uiPriority w:val="99"/>
    <w:rPr>
      <w:vertAlign w:val="superscript"/>
    </w:rPr>
  </w:style>
  <w:style w:type="character" w:customStyle="1" w:styleId="Vietas">
    <w:name w:val="Viñetas"/>
    <w:uiPriority w:val="99"/>
    <w:rPr>
      <w:rFonts w:ascii="StarSymbol" w:eastAsia="StarSymbol" w:hAnsi="StarSymbol"/>
      <w:sz w:val="18"/>
    </w:rPr>
  </w:style>
  <w:style w:type="character" w:customStyle="1" w:styleId="Smbolodenotafinal">
    <w:name w:val="Símbolo de nota final"/>
    <w:uiPriority w:val="99"/>
    <w:rPr>
      <w:vertAlign w:val="superscript"/>
    </w:rPr>
  </w:style>
  <w:style w:type="character" w:customStyle="1" w:styleId="WW-Smbolodenotafinal">
    <w:name w:val="WW-Símbolo de nota final"/>
    <w:uiPriority w:val="99"/>
  </w:style>
  <w:style w:type="character" w:customStyle="1" w:styleId="Refdenotaalpie5">
    <w:name w:val="Ref. de nota al pie5"/>
    <w:uiPriority w:val="99"/>
    <w:rPr>
      <w:vertAlign w:val="superscript"/>
    </w:rPr>
  </w:style>
  <w:style w:type="character" w:customStyle="1" w:styleId="Carcterdenumeracin">
    <w:name w:val="Carácter de numeración"/>
    <w:uiPriority w:val="99"/>
  </w:style>
  <w:style w:type="character" w:customStyle="1" w:styleId="Refdenotaalfinal1">
    <w:name w:val="Ref. de nota al final1"/>
    <w:uiPriority w:val="99"/>
    <w:rPr>
      <w:vertAlign w:val="superscript"/>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Pie de Pàgi"/>
    <w:qFormat/>
    <w:rPr>
      <w:rFonts w:cs="Times New Roman"/>
      <w:vertAlign w:val="superscript"/>
    </w:rPr>
  </w:style>
  <w:style w:type="character" w:styleId="Refdenotaalfinal">
    <w:name w:val="endnote reference"/>
    <w:uiPriority w:val="99"/>
    <w:semiHidden/>
    <w:rPr>
      <w:rFonts w:cs="Times New Roman"/>
      <w:vertAlign w:val="superscript"/>
    </w:rPr>
  </w:style>
  <w:style w:type="paragraph" w:customStyle="1" w:styleId="Encabezado3">
    <w:name w:val="Encabezado3"/>
    <w:basedOn w:val="Normal"/>
    <w:next w:val="Textoindependiente"/>
    <w:uiPriority w:val="99"/>
    <w:pPr>
      <w:keepNext/>
      <w:spacing w:before="240" w:after="120"/>
    </w:pPr>
    <w:rPr>
      <w:rFonts w:eastAsia="MS Mincho"/>
      <w:sz w:val="28"/>
      <w:szCs w:val="28"/>
    </w:rPr>
  </w:style>
  <w:style w:type="paragraph" w:styleId="Textoindependiente">
    <w:name w:val="Body Text"/>
    <w:basedOn w:val="Normal"/>
    <w:link w:val="TextoindependienteCar"/>
    <w:uiPriority w:val="99"/>
  </w:style>
  <w:style w:type="character" w:customStyle="1" w:styleId="TextoindependienteCar">
    <w:name w:val="Texto independiente Car"/>
    <w:link w:val="Textoindependiente"/>
    <w:uiPriority w:val="99"/>
    <w:semiHidden/>
    <w:locked/>
    <w:rPr>
      <w:rFonts w:ascii="Arial" w:hAnsi="Arial" w:cs="Arial"/>
      <w:sz w:val="24"/>
      <w:szCs w:val="24"/>
      <w:lang w:val="es-ES_tradnl" w:eastAsia="ar-SA" w:bidi="ar-SA"/>
    </w:rPr>
  </w:style>
  <w:style w:type="paragraph" w:styleId="Lista">
    <w:name w:val="List"/>
    <w:basedOn w:val="Textoindependiente"/>
    <w:uiPriority w:val="99"/>
  </w:style>
  <w:style w:type="paragraph" w:customStyle="1" w:styleId="Etiqueta">
    <w:name w:val="Etiqueta"/>
    <w:basedOn w:val="Normal"/>
    <w:uiPriority w:val="99"/>
    <w:pPr>
      <w:suppressLineNumbers/>
      <w:spacing w:before="120" w:after="120"/>
    </w:pPr>
    <w:rPr>
      <w:i/>
      <w:iCs/>
    </w:rPr>
  </w:style>
  <w:style w:type="paragraph" w:customStyle="1" w:styleId="ndice">
    <w:name w:val="Índice"/>
    <w:basedOn w:val="Normal"/>
    <w:uiPriority w:val="99"/>
    <w:pPr>
      <w:suppressLineNumbers/>
    </w:pPr>
  </w:style>
  <w:style w:type="paragraph" w:customStyle="1" w:styleId="Encabezado2">
    <w:name w:val="Encabezado2"/>
    <w:basedOn w:val="Normal"/>
    <w:next w:val="Textoindependiente"/>
    <w:uiPriority w:val="99"/>
    <w:pPr>
      <w:keepNext/>
      <w:spacing w:before="240" w:after="120"/>
    </w:pPr>
    <w:rPr>
      <w:rFonts w:eastAsia="MS Mincho"/>
      <w:sz w:val="28"/>
      <w:szCs w:val="28"/>
    </w:rPr>
  </w:style>
  <w:style w:type="paragraph" w:customStyle="1" w:styleId="Encabezado1">
    <w:name w:val="Encabezado1"/>
    <w:basedOn w:val="Normal"/>
    <w:next w:val="Textoindependiente"/>
    <w:uiPriority w:val="99"/>
    <w:pPr>
      <w:keepNext/>
      <w:spacing w:before="240" w:after="120"/>
    </w:pPr>
    <w:rPr>
      <w:rFonts w:eastAsia="MS Mincho"/>
      <w:sz w:val="28"/>
      <w:szCs w:val="28"/>
    </w:rPr>
  </w:style>
  <w:style w:type="paragraph" w:styleId="Encabezado">
    <w:name w:val="header"/>
    <w:basedOn w:val="Normal"/>
    <w:link w:val="EncabezadoCar"/>
    <w:pPr>
      <w:tabs>
        <w:tab w:val="center" w:pos="4252"/>
        <w:tab w:val="right" w:pos="8504"/>
      </w:tabs>
    </w:pPr>
  </w:style>
  <w:style w:type="character" w:customStyle="1" w:styleId="EncabezadoCar">
    <w:name w:val="Encabezado Car"/>
    <w:link w:val="Encabezado"/>
    <w:semiHidden/>
    <w:locked/>
    <w:rPr>
      <w:rFonts w:ascii="Arial" w:hAnsi="Arial" w:cs="Arial"/>
      <w:sz w:val="24"/>
      <w:szCs w:val="24"/>
      <w:lang w:val="es-ES_tradnl" w:eastAsia="ar-SA" w:bidi="ar-SA"/>
    </w:rPr>
  </w:style>
  <w:style w:type="paragraph" w:styleId="Textoindependiente2">
    <w:name w:val="Body Text 2"/>
    <w:basedOn w:val="Normal"/>
    <w:link w:val="Textoindependiente2Car"/>
    <w:uiPriority w:val="99"/>
    <w:rsid w:val="00D9735F"/>
    <w:pPr>
      <w:suppressAutoHyphens w:val="0"/>
      <w:autoSpaceDN w:val="0"/>
      <w:adjustRightInd w:val="0"/>
    </w:pPr>
    <w:rPr>
      <w:lang w:eastAsia="es-ES"/>
    </w:rPr>
  </w:style>
  <w:style w:type="character" w:customStyle="1" w:styleId="Textoindependiente2Car">
    <w:name w:val="Texto independiente 2 Car"/>
    <w:link w:val="Textoindependiente2"/>
    <w:uiPriority w:val="99"/>
    <w:semiHidden/>
    <w:locked/>
    <w:rPr>
      <w:rFonts w:ascii="Arial" w:hAnsi="Arial" w:cs="Arial"/>
      <w:sz w:val="24"/>
      <w:szCs w:val="24"/>
      <w:lang w:val="es-ES_tradnl" w:eastAsia="ar-SA" w:bidi="ar-SA"/>
    </w:rPr>
  </w:style>
  <w:style w:type="paragraph" w:styleId="Textonotapie">
    <w:name w:val="footnote text"/>
    <w:aliases w:val="Footnote Text Char Char Char Char Char,Footnote Text Char Char Char Char,Ref. de nota al pie11,FA Fu,Footnote Text Cha,Footnote Text Char Char Char,FA Fußnotentext,FA Fuﬂnotentext,Texto nota pie Car,Footnote Text Char Char,FA Fu?notentext"/>
    <w:basedOn w:val="Normal"/>
    <w:link w:val="TextonotapieCar1"/>
    <w:qFormat/>
    <w:rPr>
      <w:lang w:val="es-CO"/>
    </w:rPr>
  </w:style>
  <w:style w:type="character" w:customStyle="1" w:styleId="TextonotapieCar1">
    <w:name w:val="Texto nota pie Car1"/>
    <w:aliases w:val="Footnote Text Char Char Char Char Char Car,Footnote Text Char Char Char Char Car,Ref. de nota al pie11 Car,FA Fu Car,Footnote Text Cha Car,Footnote Text Char Char Char Car,FA Fußnotentext Car,FA Fuﬂnotentext Car,FA Fu?notentext Car"/>
    <w:link w:val="Textonotapie"/>
    <w:locked/>
    <w:rsid w:val="00A00893"/>
    <w:rPr>
      <w:rFonts w:ascii="Arial" w:hAnsi="Arial" w:cs="Arial"/>
      <w:sz w:val="24"/>
      <w:szCs w:val="24"/>
      <w:lang w:val="es-CO" w:eastAsia="ar-SA" w:bidi="ar-SA"/>
    </w:rPr>
  </w:style>
  <w:style w:type="character" w:customStyle="1" w:styleId="Refdenotaalpie7">
    <w:name w:val="Ref. de nota al pie7"/>
    <w:uiPriority w:val="99"/>
    <w:rsid w:val="00080EF2"/>
    <w:rPr>
      <w:vertAlign w:val="superscript"/>
    </w:rPr>
  </w:style>
  <w:style w:type="paragraph" w:customStyle="1" w:styleId="Contenidodelmarco">
    <w:name w:val="Contenido del marco"/>
    <w:basedOn w:val="Textoindependiente"/>
    <w:uiPriority w:val="99"/>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link w:val="Piedepgina"/>
    <w:uiPriority w:val="99"/>
    <w:locked/>
    <w:rsid w:val="006F706E"/>
    <w:rPr>
      <w:rFonts w:ascii="Arial" w:hAnsi="Arial" w:cs="Arial"/>
      <w:sz w:val="24"/>
      <w:szCs w:val="24"/>
      <w:lang w:val="es-ES_tradnl" w:eastAsia="ar-SA" w:bidi="ar-SA"/>
    </w:rPr>
  </w:style>
  <w:style w:type="paragraph" w:styleId="NormalWeb">
    <w:name w:val="Normal (Web)"/>
    <w:basedOn w:val="Normal"/>
    <w:uiPriority w:val="99"/>
    <w:rsid w:val="00927AD5"/>
    <w:pPr>
      <w:suppressAutoHyphens w:val="0"/>
      <w:overflowPunct/>
      <w:autoSpaceDE/>
      <w:spacing w:line="240" w:lineRule="auto"/>
      <w:jc w:val="left"/>
      <w:textAlignment w:val="auto"/>
    </w:pPr>
    <w:rPr>
      <w:lang w:val="es-ES" w:eastAsia="es-ES"/>
    </w:rPr>
  </w:style>
  <w:style w:type="paragraph" w:styleId="Sangra2detindependiente">
    <w:name w:val="Body Text Indent 2"/>
    <w:basedOn w:val="Normal"/>
    <w:link w:val="Sangra2detindependienteCar"/>
    <w:uiPriority w:val="99"/>
    <w:rsid w:val="00483DDC"/>
    <w:pPr>
      <w:spacing w:after="120" w:line="480" w:lineRule="auto"/>
      <w:ind w:left="283"/>
    </w:pPr>
  </w:style>
  <w:style w:type="character" w:customStyle="1" w:styleId="Sangra2detindependienteCar">
    <w:name w:val="Sangría 2 de t. independiente Car"/>
    <w:link w:val="Sangra2detindependiente"/>
    <w:uiPriority w:val="99"/>
    <w:semiHidden/>
    <w:locked/>
    <w:rPr>
      <w:rFonts w:ascii="Arial" w:hAnsi="Arial" w:cs="Arial"/>
      <w:sz w:val="24"/>
      <w:szCs w:val="24"/>
      <w:lang w:val="es-ES_tradnl" w:eastAsia="ar-SA" w:bidi="ar-SA"/>
    </w:rPr>
  </w:style>
  <w:style w:type="paragraph" w:styleId="Textodebloque">
    <w:name w:val="Block Text"/>
    <w:basedOn w:val="Normal"/>
    <w:link w:val="TextodebloqueCar"/>
    <w:uiPriority w:val="99"/>
    <w:rsid w:val="00FF3F5D"/>
    <w:pPr>
      <w:suppressAutoHyphens w:val="0"/>
      <w:autoSpaceDN w:val="0"/>
      <w:adjustRightInd w:val="0"/>
      <w:spacing w:line="240" w:lineRule="auto"/>
      <w:ind w:left="576" w:right="576" w:firstLine="706"/>
    </w:pPr>
    <w:rPr>
      <w:rFonts w:ascii="Century Gothic" w:hAnsi="Century Gothic" w:cs="Century Gothic"/>
      <w:sz w:val="22"/>
      <w:szCs w:val="22"/>
      <w:lang w:eastAsia="es-ES"/>
    </w:rPr>
  </w:style>
  <w:style w:type="character" w:customStyle="1" w:styleId="Refdenotaalpie6">
    <w:name w:val="Ref. de nota al pie6"/>
    <w:uiPriority w:val="99"/>
    <w:rsid w:val="00265915"/>
    <w:rPr>
      <w:vertAlign w:val="superscript"/>
    </w:rPr>
  </w:style>
  <w:style w:type="character" w:customStyle="1" w:styleId="Refdenotaalpie8">
    <w:name w:val="Ref. de nota al pie8"/>
    <w:uiPriority w:val="99"/>
    <w:rsid w:val="00265915"/>
    <w:rPr>
      <w:vertAlign w:val="superscript"/>
    </w:rPr>
  </w:style>
  <w:style w:type="character" w:customStyle="1" w:styleId="Refdenotaalpie9">
    <w:name w:val="Ref. de nota al pie9"/>
    <w:uiPriority w:val="99"/>
    <w:rsid w:val="00265915"/>
    <w:rPr>
      <w:vertAlign w:val="superscript"/>
    </w:rPr>
  </w:style>
  <w:style w:type="character" w:customStyle="1" w:styleId="Refdenotaalpie10">
    <w:name w:val="Ref. de nota al pie10"/>
    <w:uiPriority w:val="99"/>
    <w:rsid w:val="00265915"/>
    <w:rPr>
      <w:vertAlign w:val="superscript"/>
    </w:rPr>
  </w:style>
  <w:style w:type="paragraph" w:styleId="Sangradetextonormal">
    <w:name w:val="Body Text Indent"/>
    <w:basedOn w:val="Normal"/>
    <w:link w:val="SangradetextonormalCar"/>
    <w:uiPriority w:val="99"/>
    <w:rsid w:val="00483DDC"/>
    <w:pPr>
      <w:suppressAutoHyphens w:val="0"/>
      <w:overflowPunct/>
      <w:autoSpaceDE/>
      <w:spacing w:after="120" w:line="240" w:lineRule="auto"/>
      <w:ind w:left="283"/>
      <w:jc w:val="left"/>
      <w:textAlignment w:val="auto"/>
    </w:pPr>
    <w:rPr>
      <w:lang w:val="es-ES" w:eastAsia="es-ES"/>
    </w:rPr>
  </w:style>
  <w:style w:type="character" w:customStyle="1" w:styleId="SangradetextonormalCar">
    <w:name w:val="Sangría de texto normal Car"/>
    <w:link w:val="Sangradetextonormal"/>
    <w:uiPriority w:val="99"/>
    <w:semiHidden/>
    <w:locked/>
    <w:rPr>
      <w:rFonts w:ascii="Arial" w:hAnsi="Arial" w:cs="Arial"/>
      <w:sz w:val="24"/>
      <w:szCs w:val="24"/>
      <w:lang w:val="es-ES_tradnl" w:eastAsia="ar-SA" w:bidi="ar-SA"/>
    </w:rPr>
  </w:style>
  <w:style w:type="paragraph" w:customStyle="1" w:styleId="BodyText21">
    <w:name w:val="Body Text 21"/>
    <w:basedOn w:val="Normal"/>
    <w:uiPriority w:val="99"/>
    <w:rsid w:val="00C8118F"/>
    <w:pPr>
      <w:suppressAutoHyphens w:val="0"/>
      <w:autoSpaceDN w:val="0"/>
      <w:adjustRightInd w:val="0"/>
      <w:spacing w:line="480" w:lineRule="auto"/>
    </w:pPr>
    <w:rPr>
      <w:lang w:eastAsia="es-ES"/>
    </w:rPr>
  </w:style>
  <w:style w:type="paragraph" w:styleId="Prrafodelista">
    <w:name w:val="List Paragraph"/>
    <w:basedOn w:val="Normal"/>
    <w:qFormat/>
    <w:rsid w:val="002A2BC5"/>
    <w:pPr>
      <w:suppressAutoHyphens w:val="0"/>
      <w:overflowPunct/>
      <w:autoSpaceDE/>
      <w:spacing w:line="240" w:lineRule="auto"/>
      <w:ind w:left="708"/>
      <w:jc w:val="left"/>
      <w:textAlignment w:val="auto"/>
    </w:pPr>
    <w:rPr>
      <w:lang w:val="es-ES" w:eastAsia="es-ES"/>
    </w:rPr>
  </w:style>
  <w:style w:type="paragraph" w:styleId="Textodeglobo">
    <w:name w:val="Balloon Text"/>
    <w:basedOn w:val="Normal"/>
    <w:link w:val="TextodegloboCar"/>
    <w:uiPriority w:val="99"/>
    <w:semiHidden/>
    <w:rsid w:val="006F706E"/>
    <w:pPr>
      <w:spacing w:line="240" w:lineRule="auto"/>
    </w:pPr>
    <w:rPr>
      <w:rFonts w:ascii="Tahoma" w:hAnsi="Tahoma" w:cs="Tahoma"/>
      <w:sz w:val="16"/>
      <w:szCs w:val="16"/>
    </w:rPr>
  </w:style>
  <w:style w:type="character" w:customStyle="1" w:styleId="TextodegloboCar">
    <w:name w:val="Texto de globo Car"/>
    <w:link w:val="Textodeglobo"/>
    <w:uiPriority w:val="99"/>
    <w:locked/>
    <w:rsid w:val="006F706E"/>
    <w:rPr>
      <w:rFonts w:ascii="Tahoma" w:hAnsi="Tahoma" w:cs="Tahoma"/>
      <w:sz w:val="16"/>
      <w:szCs w:val="16"/>
      <w:lang w:val="es-ES_tradnl" w:eastAsia="ar-SA" w:bidi="ar-SA"/>
    </w:rPr>
  </w:style>
  <w:style w:type="character" w:customStyle="1" w:styleId="apple-style-span">
    <w:name w:val="apple-style-span"/>
    <w:uiPriority w:val="99"/>
    <w:rsid w:val="005C718B"/>
    <w:rPr>
      <w:rFonts w:cs="Times New Roman"/>
    </w:rPr>
  </w:style>
  <w:style w:type="character" w:customStyle="1" w:styleId="apple-converted-space">
    <w:name w:val="apple-converted-space"/>
    <w:rsid w:val="0073003A"/>
    <w:rPr>
      <w:rFonts w:cs="Times New Roman"/>
    </w:rPr>
  </w:style>
  <w:style w:type="paragraph" w:customStyle="1" w:styleId="Estilo">
    <w:name w:val="Estilo"/>
    <w:uiPriority w:val="99"/>
    <w:rsid w:val="00F04383"/>
    <w:pPr>
      <w:widowControl w:val="0"/>
      <w:autoSpaceDE w:val="0"/>
      <w:autoSpaceDN w:val="0"/>
      <w:adjustRightInd w:val="0"/>
    </w:pPr>
    <w:rPr>
      <w:rFonts w:ascii="Arial" w:hAnsi="Arial" w:cs="Arial"/>
      <w:sz w:val="24"/>
      <w:szCs w:val="24"/>
      <w:lang w:val="es-ES" w:eastAsia="es-ES"/>
    </w:rPr>
  </w:style>
  <w:style w:type="paragraph" w:styleId="Textoindependiente3">
    <w:name w:val="Body Text 3"/>
    <w:basedOn w:val="Normal"/>
    <w:link w:val="Textoindependiente3Car"/>
    <w:uiPriority w:val="99"/>
    <w:rsid w:val="00DB5505"/>
    <w:pPr>
      <w:suppressAutoHyphens w:val="0"/>
      <w:overflowPunct/>
      <w:autoSpaceDE/>
      <w:spacing w:after="120" w:line="240" w:lineRule="auto"/>
      <w:jc w:val="left"/>
      <w:textAlignment w:val="auto"/>
    </w:pPr>
    <w:rPr>
      <w:sz w:val="16"/>
      <w:szCs w:val="16"/>
      <w:lang w:val="es-ES" w:eastAsia="es-ES"/>
    </w:rPr>
  </w:style>
  <w:style w:type="character" w:customStyle="1" w:styleId="Textoindependiente3Car">
    <w:name w:val="Texto independiente 3 Car"/>
    <w:link w:val="Textoindependiente3"/>
    <w:uiPriority w:val="99"/>
    <w:semiHidden/>
    <w:locked/>
    <w:rPr>
      <w:rFonts w:ascii="Arial" w:hAnsi="Arial" w:cs="Arial"/>
      <w:sz w:val="16"/>
      <w:szCs w:val="16"/>
      <w:lang w:val="es-ES_tradnl" w:eastAsia="ar-SA" w:bidi="ar-SA"/>
    </w:rPr>
  </w:style>
  <w:style w:type="character" w:customStyle="1" w:styleId="TextodebloqueCar">
    <w:name w:val="Texto de bloque Car"/>
    <w:link w:val="Textodebloque"/>
    <w:uiPriority w:val="99"/>
    <w:locked/>
    <w:rsid w:val="00FF3F5D"/>
    <w:rPr>
      <w:rFonts w:ascii="Century Gothic" w:hAnsi="Century Gothic" w:cs="Century Gothic"/>
      <w:sz w:val="22"/>
      <w:szCs w:val="22"/>
      <w:lang w:val="es-ES_tradnl" w:eastAsia="es-ES"/>
    </w:rPr>
  </w:style>
  <w:style w:type="paragraph" w:styleId="Sangra3detindependiente">
    <w:name w:val="Body Text Indent 3"/>
    <w:basedOn w:val="Normal"/>
    <w:link w:val="Sangra3detindependienteCar"/>
    <w:uiPriority w:val="99"/>
    <w:rsid w:val="00D24A41"/>
    <w:pPr>
      <w:spacing w:after="120"/>
      <w:ind w:left="283"/>
    </w:pPr>
    <w:rPr>
      <w:sz w:val="16"/>
      <w:szCs w:val="16"/>
    </w:rPr>
  </w:style>
  <w:style w:type="character" w:customStyle="1" w:styleId="Sangra3detindependienteCar">
    <w:name w:val="Sangría 3 de t. independiente Car"/>
    <w:link w:val="Sangra3detindependiente"/>
    <w:uiPriority w:val="99"/>
    <w:semiHidden/>
    <w:locked/>
    <w:rPr>
      <w:rFonts w:ascii="Arial" w:hAnsi="Arial" w:cs="Arial"/>
      <w:sz w:val="16"/>
      <w:szCs w:val="16"/>
      <w:lang w:val="es-ES_tradnl" w:eastAsia="ar-SA" w:bidi="ar-SA"/>
    </w:rPr>
  </w:style>
  <w:style w:type="character" w:customStyle="1" w:styleId="textonavy">
    <w:name w:val="texto_navy"/>
    <w:uiPriority w:val="99"/>
    <w:rsid w:val="00A56527"/>
    <w:rPr>
      <w:rFonts w:cs="Times New Roman"/>
    </w:rPr>
  </w:style>
  <w:style w:type="paragraph" w:customStyle="1" w:styleId="nueve">
    <w:name w:val="nueve"/>
    <w:basedOn w:val="Normal"/>
    <w:uiPriority w:val="99"/>
    <w:rsid w:val="00885FE1"/>
    <w:pPr>
      <w:suppressAutoHyphens w:val="0"/>
      <w:overflowPunct/>
      <w:autoSpaceDE/>
      <w:spacing w:before="100" w:beforeAutospacing="1" w:after="100" w:afterAutospacing="1" w:line="240" w:lineRule="auto"/>
      <w:jc w:val="left"/>
      <w:textAlignment w:val="auto"/>
    </w:pPr>
    <w:rPr>
      <w:lang w:val="es-CO" w:eastAsia="es-CO"/>
    </w:rPr>
  </w:style>
  <w:style w:type="paragraph" w:customStyle="1" w:styleId="Car">
    <w:name w:val="Car"/>
    <w:basedOn w:val="Normal"/>
    <w:uiPriority w:val="99"/>
    <w:rsid w:val="009E2D9E"/>
    <w:pPr>
      <w:suppressAutoHyphens w:val="0"/>
      <w:overflowPunct/>
      <w:autoSpaceDE/>
      <w:spacing w:after="160" w:line="240" w:lineRule="exact"/>
      <w:jc w:val="left"/>
      <w:textAlignment w:val="auto"/>
    </w:pPr>
    <w:rPr>
      <w:noProof/>
      <w:color w:val="000000"/>
      <w:sz w:val="20"/>
      <w:szCs w:val="20"/>
      <w:lang w:val="es-CO" w:eastAsia="es-ES"/>
    </w:rPr>
  </w:style>
  <w:style w:type="paragraph" w:styleId="Lista2">
    <w:name w:val="List 2"/>
    <w:basedOn w:val="Normal"/>
    <w:uiPriority w:val="99"/>
    <w:unhideWhenUsed/>
    <w:rsid w:val="004557BD"/>
    <w:pPr>
      <w:ind w:left="566" w:hanging="283"/>
      <w:contextualSpacing/>
    </w:pPr>
  </w:style>
  <w:style w:type="paragraph" w:styleId="Lista3">
    <w:name w:val="List 3"/>
    <w:basedOn w:val="Normal"/>
    <w:uiPriority w:val="99"/>
    <w:unhideWhenUsed/>
    <w:rsid w:val="004557BD"/>
    <w:pPr>
      <w:ind w:left="849" w:hanging="283"/>
      <w:contextualSpacing/>
    </w:pPr>
  </w:style>
  <w:style w:type="paragraph" w:styleId="Lista4">
    <w:name w:val="List 4"/>
    <w:basedOn w:val="Normal"/>
    <w:uiPriority w:val="99"/>
    <w:unhideWhenUsed/>
    <w:rsid w:val="004557BD"/>
    <w:pPr>
      <w:ind w:left="1132" w:hanging="283"/>
      <w:contextualSpacing/>
    </w:pPr>
  </w:style>
  <w:style w:type="paragraph" w:styleId="Listaconvietas2">
    <w:name w:val="List Bullet 2"/>
    <w:basedOn w:val="Normal"/>
    <w:uiPriority w:val="99"/>
    <w:unhideWhenUsed/>
    <w:rsid w:val="004557BD"/>
    <w:pPr>
      <w:numPr>
        <w:numId w:val="1"/>
      </w:numPr>
      <w:contextualSpacing/>
    </w:pPr>
  </w:style>
  <w:style w:type="paragraph" w:styleId="Listaconvietas3">
    <w:name w:val="List Bullet 3"/>
    <w:basedOn w:val="Normal"/>
    <w:uiPriority w:val="99"/>
    <w:unhideWhenUsed/>
    <w:rsid w:val="004557BD"/>
    <w:pPr>
      <w:numPr>
        <w:numId w:val="2"/>
      </w:numPr>
      <w:contextualSpacing/>
    </w:pPr>
  </w:style>
  <w:style w:type="paragraph" w:styleId="Continuarlista">
    <w:name w:val="List Continue"/>
    <w:basedOn w:val="Normal"/>
    <w:uiPriority w:val="99"/>
    <w:unhideWhenUsed/>
    <w:rsid w:val="004557BD"/>
    <w:pPr>
      <w:spacing w:after="120"/>
      <w:ind w:left="283"/>
      <w:contextualSpacing/>
    </w:pPr>
  </w:style>
  <w:style w:type="paragraph" w:styleId="Continuarlista2">
    <w:name w:val="List Continue 2"/>
    <w:basedOn w:val="Normal"/>
    <w:uiPriority w:val="99"/>
    <w:unhideWhenUsed/>
    <w:rsid w:val="004557BD"/>
    <w:pPr>
      <w:spacing w:after="120"/>
      <w:ind w:left="566"/>
      <w:contextualSpacing/>
    </w:pPr>
  </w:style>
  <w:style w:type="paragraph" w:styleId="Textoindependienteprimerasangra">
    <w:name w:val="Body Text First Indent"/>
    <w:basedOn w:val="Textoindependiente"/>
    <w:link w:val="TextoindependienteprimerasangraCar"/>
    <w:uiPriority w:val="99"/>
    <w:unhideWhenUsed/>
    <w:rsid w:val="004557BD"/>
    <w:pPr>
      <w:spacing w:after="120"/>
      <w:ind w:firstLine="210"/>
    </w:pPr>
  </w:style>
  <w:style w:type="character" w:customStyle="1" w:styleId="TextoindependienteprimerasangraCar">
    <w:name w:val="Texto independiente primera sangría Car"/>
    <w:link w:val="Textoindependienteprimerasangra"/>
    <w:uiPriority w:val="99"/>
    <w:locked/>
    <w:rsid w:val="004557BD"/>
    <w:rPr>
      <w:rFonts w:ascii="Arial" w:hAnsi="Arial" w:cs="Arial"/>
      <w:sz w:val="24"/>
      <w:szCs w:val="24"/>
      <w:lang w:val="es-ES_tradnl" w:eastAsia="ar-SA" w:bidi="ar-SA"/>
    </w:rPr>
  </w:style>
  <w:style w:type="paragraph" w:styleId="Textoindependienteprimerasangra2">
    <w:name w:val="Body Text First Indent 2"/>
    <w:basedOn w:val="Sangradetextonormal"/>
    <w:link w:val="Textoindependienteprimerasangra2Car"/>
    <w:uiPriority w:val="99"/>
    <w:unhideWhenUsed/>
    <w:rsid w:val="004557BD"/>
    <w:pPr>
      <w:suppressAutoHyphens/>
      <w:overflowPunct w:val="0"/>
      <w:autoSpaceDE w:val="0"/>
      <w:spacing w:line="360" w:lineRule="auto"/>
      <w:ind w:firstLine="210"/>
      <w:jc w:val="both"/>
      <w:textAlignment w:val="baseline"/>
    </w:pPr>
    <w:rPr>
      <w:lang w:val="es-ES_tradnl" w:eastAsia="ar-SA"/>
    </w:rPr>
  </w:style>
  <w:style w:type="character" w:customStyle="1" w:styleId="Textoindependienteprimerasangra2Car">
    <w:name w:val="Texto independiente primera sangría 2 Car"/>
    <w:link w:val="Textoindependienteprimerasangra2"/>
    <w:uiPriority w:val="99"/>
    <w:locked/>
    <w:rsid w:val="004557BD"/>
    <w:rPr>
      <w:rFonts w:ascii="Arial" w:hAnsi="Arial" w:cs="Arial"/>
      <w:sz w:val="24"/>
      <w:szCs w:val="24"/>
      <w:lang w:val="es-ES_tradnl" w:eastAsia="ar-SA" w:bidi="ar-SA"/>
    </w:rPr>
  </w:style>
  <w:style w:type="paragraph" w:customStyle="1" w:styleId="BodyText22">
    <w:name w:val="Body Text 22"/>
    <w:basedOn w:val="Normal"/>
    <w:rsid w:val="000A2095"/>
    <w:pPr>
      <w:suppressAutoHyphens w:val="0"/>
      <w:autoSpaceDN w:val="0"/>
      <w:adjustRightInd w:val="0"/>
      <w:ind w:firstLine="709"/>
      <w:textAlignment w:val="auto"/>
    </w:pPr>
    <w:rPr>
      <w:rFonts w:ascii="Century Gothic" w:hAnsi="Century Gothic" w:cs="Times New Roman"/>
      <w:kern w:val="28"/>
      <w:sz w:val="22"/>
      <w:szCs w:val="20"/>
      <w:lang w:eastAsia="es-ES"/>
    </w:rPr>
  </w:style>
  <w:style w:type="character" w:customStyle="1" w:styleId="Bodytext">
    <w:name w:val="Body text_"/>
    <w:link w:val="Textoindependiente1"/>
    <w:locked/>
    <w:rsid w:val="00495B49"/>
    <w:rPr>
      <w:rFonts w:ascii="Arial" w:eastAsia="Arial" w:hAnsi="Arial" w:cs="Arial"/>
      <w:shd w:val="clear" w:color="auto" w:fill="FFFFFF"/>
    </w:rPr>
  </w:style>
  <w:style w:type="paragraph" w:customStyle="1" w:styleId="Textoindependiente1">
    <w:name w:val="Texto independiente1"/>
    <w:basedOn w:val="Normal"/>
    <w:link w:val="Bodytext"/>
    <w:rsid w:val="00495B49"/>
    <w:pPr>
      <w:shd w:val="clear" w:color="auto" w:fill="FFFFFF"/>
      <w:suppressAutoHyphens w:val="0"/>
      <w:overflowPunct/>
      <w:autoSpaceDE/>
      <w:spacing w:after="360" w:line="408" w:lineRule="exact"/>
      <w:textAlignment w:val="auto"/>
    </w:pPr>
    <w:rPr>
      <w:rFonts w:eastAsia="Arial"/>
      <w:sz w:val="22"/>
      <w:szCs w:val="22"/>
      <w:lang w:val="es-CO" w:eastAsia="es-CO"/>
    </w:rPr>
  </w:style>
  <w:style w:type="table" w:styleId="Tablaconcuadrcula">
    <w:name w:val="Table Grid"/>
    <w:basedOn w:val="Tablanormal"/>
    <w:locked/>
    <w:rsid w:val="00426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rado">
    <w:name w:val="centrado"/>
    <w:basedOn w:val="Normal"/>
    <w:rsid w:val="005E4BFA"/>
    <w:pPr>
      <w:suppressAutoHyphens w:val="0"/>
      <w:overflowPunct/>
      <w:autoSpaceDE/>
      <w:spacing w:before="100" w:beforeAutospacing="1" w:after="100" w:afterAutospacing="1" w:line="240" w:lineRule="auto"/>
      <w:jc w:val="left"/>
      <w:textAlignment w:val="auto"/>
    </w:pPr>
    <w:rPr>
      <w:rFonts w:ascii="Times New Roman" w:hAnsi="Times New Roman" w:cs="Times New Roman"/>
      <w:lang w:val="es-CO" w:eastAsia="es-CO"/>
    </w:rPr>
  </w:style>
  <w:style w:type="character" w:customStyle="1" w:styleId="baj">
    <w:name w:val="b_aj"/>
    <w:basedOn w:val="Fuentedeprrafopredeter"/>
    <w:rsid w:val="005E4BFA"/>
  </w:style>
  <w:style w:type="character" w:styleId="Textoennegrita">
    <w:name w:val="Strong"/>
    <w:uiPriority w:val="22"/>
    <w:qFormat/>
    <w:locked/>
    <w:rsid w:val="002A4C26"/>
    <w:rPr>
      <w:b/>
      <w:bCs/>
    </w:rPr>
  </w:style>
  <w:style w:type="character" w:styleId="nfasis">
    <w:name w:val="Emphasis"/>
    <w:uiPriority w:val="20"/>
    <w:qFormat/>
    <w:locked/>
    <w:rsid w:val="006B737D"/>
    <w:rPr>
      <w:i/>
      <w:iCs/>
    </w:rPr>
  </w:style>
  <w:style w:type="paragraph" w:customStyle="1" w:styleId="Textoindependiente22">
    <w:name w:val="Texto independiente 22"/>
    <w:basedOn w:val="Normal"/>
    <w:rsid w:val="009537DF"/>
    <w:pPr>
      <w:suppressAutoHyphens w:val="0"/>
      <w:autoSpaceDN w:val="0"/>
      <w:adjustRightInd w:val="0"/>
      <w:ind w:firstLine="710"/>
    </w:pPr>
    <w:rPr>
      <w:rFonts w:cs="Times New Roman"/>
      <w:szCs w:val="20"/>
      <w:lang w:val="es-CO" w:eastAsia="es-ES"/>
    </w:rPr>
  </w:style>
  <w:style w:type="paragraph" w:customStyle="1" w:styleId="Textoindependiente23">
    <w:name w:val="Texto independiente 23"/>
    <w:basedOn w:val="Normal"/>
    <w:rsid w:val="009537DF"/>
    <w:pPr>
      <w:suppressAutoHyphens w:val="0"/>
      <w:autoSpaceDN w:val="0"/>
      <w:adjustRightInd w:val="0"/>
      <w:ind w:firstLine="710"/>
    </w:pPr>
    <w:rPr>
      <w:rFonts w:cs="Times New Roman"/>
      <w:szCs w:val="20"/>
      <w:lang w:val="es-CO" w:eastAsia="es-ES"/>
    </w:rPr>
  </w:style>
  <w:style w:type="paragraph" w:customStyle="1" w:styleId="Sangra2detindependiente1">
    <w:name w:val="Sangría 2 de t. independiente1"/>
    <w:basedOn w:val="Normal"/>
    <w:rsid w:val="00F073FC"/>
    <w:pPr>
      <w:ind w:firstLine="567"/>
      <w:textAlignment w:val="auto"/>
    </w:pPr>
    <w:rPr>
      <w:rFonts w:cs="Times New Roman"/>
      <w:szCs w:val="20"/>
      <w:lang w:val="es-CO"/>
    </w:rPr>
  </w:style>
  <w:style w:type="paragraph" w:customStyle="1" w:styleId="Textoindependiente21">
    <w:name w:val="Texto independiente 21"/>
    <w:basedOn w:val="Normal"/>
    <w:uiPriority w:val="99"/>
    <w:rsid w:val="00A1333B"/>
    <w:pPr>
      <w:suppressAutoHyphens w:val="0"/>
      <w:autoSpaceDN w:val="0"/>
      <w:adjustRightInd w:val="0"/>
      <w:ind w:firstLine="1418"/>
      <w:textAlignment w:val="auto"/>
    </w:pPr>
    <w:rPr>
      <w:rFonts w:cs="Times New Roman"/>
      <w:szCs w:val="20"/>
      <w:lang w:val="es-ES" w:eastAsia="es-ES"/>
    </w:rPr>
  </w:style>
  <w:style w:type="paragraph" w:styleId="Sinespaciado">
    <w:name w:val="No Spacing"/>
    <w:uiPriority w:val="1"/>
    <w:qFormat/>
    <w:rsid w:val="00062712"/>
    <w:rPr>
      <w:rFonts w:ascii="Calibri" w:eastAsia="Calibri" w:hAnsi="Calibr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18009">
      <w:bodyDiv w:val="1"/>
      <w:marLeft w:val="0"/>
      <w:marRight w:val="0"/>
      <w:marTop w:val="0"/>
      <w:marBottom w:val="0"/>
      <w:divBdr>
        <w:top w:val="none" w:sz="0" w:space="0" w:color="auto"/>
        <w:left w:val="none" w:sz="0" w:space="0" w:color="auto"/>
        <w:bottom w:val="none" w:sz="0" w:space="0" w:color="auto"/>
        <w:right w:val="none" w:sz="0" w:space="0" w:color="auto"/>
      </w:divBdr>
    </w:div>
    <w:div w:id="19939525">
      <w:bodyDiv w:val="1"/>
      <w:marLeft w:val="0"/>
      <w:marRight w:val="0"/>
      <w:marTop w:val="0"/>
      <w:marBottom w:val="0"/>
      <w:divBdr>
        <w:top w:val="none" w:sz="0" w:space="0" w:color="auto"/>
        <w:left w:val="none" w:sz="0" w:space="0" w:color="auto"/>
        <w:bottom w:val="none" w:sz="0" w:space="0" w:color="auto"/>
        <w:right w:val="none" w:sz="0" w:space="0" w:color="auto"/>
      </w:divBdr>
    </w:div>
    <w:div w:id="29916808">
      <w:bodyDiv w:val="1"/>
      <w:marLeft w:val="0"/>
      <w:marRight w:val="0"/>
      <w:marTop w:val="0"/>
      <w:marBottom w:val="0"/>
      <w:divBdr>
        <w:top w:val="none" w:sz="0" w:space="0" w:color="auto"/>
        <w:left w:val="none" w:sz="0" w:space="0" w:color="auto"/>
        <w:bottom w:val="none" w:sz="0" w:space="0" w:color="auto"/>
        <w:right w:val="none" w:sz="0" w:space="0" w:color="auto"/>
      </w:divBdr>
    </w:div>
    <w:div w:id="38743708">
      <w:bodyDiv w:val="1"/>
      <w:marLeft w:val="0"/>
      <w:marRight w:val="0"/>
      <w:marTop w:val="0"/>
      <w:marBottom w:val="0"/>
      <w:divBdr>
        <w:top w:val="none" w:sz="0" w:space="0" w:color="auto"/>
        <w:left w:val="none" w:sz="0" w:space="0" w:color="auto"/>
        <w:bottom w:val="none" w:sz="0" w:space="0" w:color="auto"/>
        <w:right w:val="none" w:sz="0" w:space="0" w:color="auto"/>
      </w:divBdr>
    </w:div>
    <w:div w:id="65153110">
      <w:bodyDiv w:val="1"/>
      <w:marLeft w:val="0"/>
      <w:marRight w:val="0"/>
      <w:marTop w:val="0"/>
      <w:marBottom w:val="0"/>
      <w:divBdr>
        <w:top w:val="none" w:sz="0" w:space="0" w:color="auto"/>
        <w:left w:val="none" w:sz="0" w:space="0" w:color="auto"/>
        <w:bottom w:val="none" w:sz="0" w:space="0" w:color="auto"/>
        <w:right w:val="none" w:sz="0" w:space="0" w:color="auto"/>
      </w:divBdr>
    </w:div>
    <w:div w:id="81266073">
      <w:bodyDiv w:val="1"/>
      <w:marLeft w:val="0"/>
      <w:marRight w:val="0"/>
      <w:marTop w:val="0"/>
      <w:marBottom w:val="0"/>
      <w:divBdr>
        <w:top w:val="none" w:sz="0" w:space="0" w:color="auto"/>
        <w:left w:val="none" w:sz="0" w:space="0" w:color="auto"/>
        <w:bottom w:val="none" w:sz="0" w:space="0" w:color="auto"/>
        <w:right w:val="none" w:sz="0" w:space="0" w:color="auto"/>
      </w:divBdr>
    </w:div>
    <w:div w:id="93017429">
      <w:bodyDiv w:val="1"/>
      <w:marLeft w:val="0"/>
      <w:marRight w:val="0"/>
      <w:marTop w:val="0"/>
      <w:marBottom w:val="0"/>
      <w:divBdr>
        <w:top w:val="none" w:sz="0" w:space="0" w:color="auto"/>
        <w:left w:val="none" w:sz="0" w:space="0" w:color="auto"/>
        <w:bottom w:val="none" w:sz="0" w:space="0" w:color="auto"/>
        <w:right w:val="none" w:sz="0" w:space="0" w:color="auto"/>
      </w:divBdr>
    </w:div>
    <w:div w:id="131294295">
      <w:bodyDiv w:val="1"/>
      <w:marLeft w:val="0"/>
      <w:marRight w:val="0"/>
      <w:marTop w:val="0"/>
      <w:marBottom w:val="0"/>
      <w:divBdr>
        <w:top w:val="none" w:sz="0" w:space="0" w:color="auto"/>
        <w:left w:val="none" w:sz="0" w:space="0" w:color="auto"/>
        <w:bottom w:val="none" w:sz="0" w:space="0" w:color="auto"/>
        <w:right w:val="none" w:sz="0" w:space="0" w:color="auto"/>
      </w:divBdr>
    </w:div>
    <w:div w:id="157578631">
      <w:bodyDiv w:val="1"/>
      <w:marLeft w:val="0"/>
      <w:marRight w:val="0"/>
      <w:marTop w:val="0"/>
      <w:marBottom w:val="0"/>
      <w:divBdr>
        <w:top w:val="none" w:sz="0" w:space="0" w:color="auto"/>
        <w:left w:val="none" w:sz="0" w:space="0" w:color="auto"/>
        <w:bottom w:val="none" w:sz="0" w:space="0" w:color="auto"/>
        <w:right w:val="none" w:sz="0" w:space="0" w:color="auto"/>
      </w:divBdr>
    </w:div>
    <w:div w:id="181480582">
      <w:bodyDiv w:val="1"/>
      <w:marLeft w:val="0"/>
      <w:marRight w:val="0"/>
      <w:marTop w:val="0"/>
      <w:marBottom w:val="0"/>
      <w:divBdr>
        <w:top w:val="none" w:sz="0" w:space="0" w:color="auto"/>
        <w:left w:val="none" w:sz="0" w:space="0" w:color="auto"/>
        <w:bottom w:val="none" w:sz="0" w:space="0" w:color="auto"/>
        <w:right w:val="none" w:sz="0" w:space="0" w:color="auto"/>
      </w:divBdr>
    </w:div>
    <w:div w:id="241960762">
      <w:bodyDiv w:val="1"/>
      <w:marLeft w:val="0"/>
      <w:marRight w:val="0"/>
      <w:marTop w:val="0"/>
      <w:marBottom w:val="0"/>
      <w:divBdr>
        <w:top w:val="none" w:sz="0" w:space="0" w:color="auto"/>
        <w:left w:val="none" w:sz="0" w:space="0" w:color="auto"/>
        <w:bottom w:val="none" w:sz="0" w:space="0" w:color="auto"/>
        <w:right w:val="none" w:sz="0" w:space="0" w:color="auto"/>
      </w:divBdr>
    </w:div>
    <w:div w:id="245304388">
      <w:bodyDiv w:val="1"/>
      <w:marLeft w:val="0"/>
      <w:marRight w:val="0"/>
      <w:marTop w:val="0"/>
      <w:marBottom w:val="0"/>
      <w:divBdr>
        <w:top w:val="none" w:sz="0" w:space="0" w:color="auto"/>
        <w:left w:val="none" w:sz="0" w:space="0" w:color="auto"/>
        <w:bottom w:val="none" w:sz="0" w:space="0" w:color="auto"/>
        <w:right w:val="none" w:sz="0" w:space="0" w:color="auto"/>
      </w:divBdr>
    </w:div>
    <w:div w:id="267548451">
      <w:bodyDiv w:val="1"/>
      <w:marLeft w:val="0"/>
      <w:marRight w:val="0"/>
      <w:marTop w:val="0"/>
      <w:marBottom w:val="0"/>
      <w:divBdr>
        <w:top w:val="none" w:sz="0" w:space="0" w:color="auto"/>
        <w:left w:val="none" w:sz="0" w:space="0" w:color="auto"/>
        <w:bottom w:val="none" w:sz="0" w:space="0" w:color="auto"/>
        <w:right w:val="none" w:sz="0" w:space="0" w:color="auto"/>
      </w:divBdr>
    </w:div>
    <w:div w:id="277762314">
      <w:bodyDiv w:val="1"/>
      <w:marLeft w:val="0"/>
      <w:marRight w:val="0"/>
      <w:marTop w:val="0"/>
      <w:marBottom w:val="0"/>
      <w:divBdr>
        <w:top w:val="none" w:sz="0" w:space="0" w:color="auto"/>
        <w:left w:val="none" w:sz="0" w:space="0" w:color="auto"/>
        <w:bottom w:val="none" w:sz="0" w:space="0" w:color="auto"/>
        <w:right w:val="none" w:sz="0" w:space="0" w:color="auto"/>
      </w:divBdr>
    </w:div>
    <w:div w:id="294723730">
      <w:bodyDiv w:val="1"/>
      <w:marLeft w:val="0"/>
      <w:marRight w:val="0"/>
      <w:marTop w:val="0"/>
      <w:marBottom w:val="0"/>
      <w:divBdr>
        <w:top w:val="none" w:sz="0" w:space="0" w:color="auto"/>
        <w:left w:val="none" w:sz="0" w:space="0" w:color="auto"/>
        <w:bottom w:val="none" w:sz="0" w:space="0" w:color="auto"/>
        <w:right w:val="none" w:sz="0" w:space="0" w:color="auto"/>
      </w:divBdr>
    </w:div>
    <w:div w:id="309672594">
      <w:bodyDiv w:val="1"/>
      <w:marLeft w:val="0"/>
      <w:marRight w:val="0"/>
      <w:marTop w:val="0"/>
      <w:marBottom w:val="0"/>
      <w:divBdr>
        <w:top w:val="none" w:sz="0" w:space="0" w:color="auto"/>
        <w:left w:val="none" w:sz="0" w:space="0" w:color="auto"/>
        <w:bottom w:val="none" w:sz="0" w:space="0" w:color="auto"/>
        <w:right w:val="none" w:sz="0" w:space="0" w:color="auto"/>
      </w:divBdr>
    </w:div>
    <w:div w:id="320693140">
      <w:bodyDiv w:val="1"/>
      <w:marLeft w:val="0"/>
      <w:marRight w:val="0"/>
      <w:marTop w:val="0"/>
      <w:marBottom w:val="0"/>
      <w:divBdr>
        <w:top w:val="none" w:sz="0" w:space="0" w:color="auto"/>
        <w:left w:val="none" w:sz="0" w:space="0" w:color="auto"/>
        <w:bottom w:val="none" w:sz="0" w:space="0" w:color="auto"/>
        <w:right w:val="none" w:sz="0" w:space="0" w:color="auto"/>
      </w:divBdr>
    </w:div>
    <w:div w:id="332034613">
      <w:bodyDiv w:val="1"/>
      <w:marLeft w:val="0"/>
      <w:marRight w:val="0"/>
      <w:marTop w:val="0"/>
      <w:marBottom w:val="0"/>
      <w:divBdr>
        <w:top w:val="none" w:sz="0" w:space="0" w:color="auto"/>
        <w:left w:val="none" w:sz="0" w:space="0" w:color="auto"/>
        <w:bottom w:val="none" w:sz="0" w:space="0" w:color="auto"/>
        <w:right w:val="none" w:sz="0" w:space="0" w:color="auto"/>
      </w:divBdr>
    </w:div>
    <w:div w:id="352654777">
      <w:bodyDiv w:val="1"/>
      <w:marLeft w:val="0"/>
      <w:marRight w:val="0"/>
      <w:marTop w:val="0"/>
      <w:marBottom w:val="0"/>
      <w:divBdr>
        <w:top w:val="none" w:sz="0" w:space="0" w:color="auto"/>
        <w:left w:val="none" w:sz="0" w:space="0" w:color="auto"/>
        <w:bottom w:val="none" w:sz="0" w:space="0" w:color="auto"/>
        <w:right w:val="none" w:sz="0" w:space="0" w:color="auto"/>
      </w:divBdr>
    </w:div>
    <w:div w:id="360866141">
      <w:bodyDiv w:val="1"/>
      <w:marLeft w:val="0"/>
      <w:marRight w:val="0"/>
      <w:marTop w:val="0"/>
      <w:marBottom w:val="0"/>
      <w:divBdr>
        <w:top w:val="none" w:sz="0" w:space="0" w:color="auto"/>
        <w:left w:val="none" w:sz="0" w:space="0" w:color="auto"/>
        <w:bottom w:val="none" w:sz="0" w:space="0" w:color="auto"/>
        <w:right w:val="none" w:sz="0" w:space="0" w:color="auto"/>
      </w:divBdr>
    </w:div>
    <w:div w:id="374619800">
      <w:bodyDiv w:val="1"/>
      <w:marLeft w:val="0"/>
      <w:marRight w:val="0"/>
      <w:marTop w:val="0"/>
      <w:marBottom w:val="0"/>
      <w:divBdr>
        <w:top w:val="none" w:sz="0" w:space="0" w:color="auto"/>
        <w:left w:val="none" w:sz="0" w:space="0" w:color="auto"/>
        <w:bottom w:val="none" w:sz="0" w:space="0" w:color="auto"/>
        <w:right w:val="none" w:sz="0" w:space="0" w:color="auto"/>
      </w:divBdr>
    </w:div>
    <w:div w:id="378363866">
      <w:bodyDiv w:val="1"/>
      <w:marLeft w:val="0"/>
      <w:marRight w:val="0"/>
      <w:marTop w:val="0"/>
      <w:marBottom w:val="0"/>
      <w:divBdr>
        <w:top w:val="none" w:sz="0" w:space="0" w:color="auto"/>
        <w:left w:val="none" w:sz="0" w:space="0" w:color="auto"/>
        <w:bottom w:val="none" w:sz="0" w:space="0" w:color="auto"/>
        <w:right w:val="none" w:sz="0" w:space="0" w:color="auto"/>
      </w:divBdr>
    </w:div>
    <w:div w:id="395130861">
      <w:bodyDiv w:val="1"/>
      <w:marLeft w:val="0"/>
      <w:marRight w:val="0"/>
      <w:marTop w:val="0"/>
      <w:marBottom w:val="0"/>
      <w:divBdr>
        <w:top w:val="none" w:sz="0" w:space="0" w:color="auto"/>
        <w:left w:val="none" w:sz="0" w:space="0" w:color="auto"/>
        <w:bottom w:val="none" w:sz="0" w:space="0" w:color="auto"/>
        <w:right w:val="none" w:sz="0" w:space="0" w:color="auto"/>
      </w:divBdr>
    </w:div>
    <w:div w:id="404226544">
      <w:bodyDiv w:val="1"/>
      <w:marLeft w:val="0"/>
      <w:marRight w:val="0"/>
      <w:marTop w:val="0"/>
      <w:marBottom w:val="0"/>
      <w:divBdr>
        <w:top w:val="none" w:sz="0" w:space="0" w:color="auto"/>
        <w:left w:val="none" w:sz="0" w:space="0" w:color="auto"/>
        <w:bottom w:val="none" w:sz="0" w:space="0" w:color="auto"/>
        <w:right w:val="none" w:sz="0" w:space="0" w:color="auto"/>
      </w:divBdr>
    </w:div>
    <w:div w:id="438257002">
      <w:bodyDiv w:val="1"/>
      <w:marLeft w:val="0"/>
      <w:marRight w:val="0"/>
      <w:marTop w:val="0"/>
      <w:marBottom w:val="0"/>
      <w:divBdr>
        <w:top w:val="none" w:sz="0" w:space="0" w:color="auto"/>
        <w:left w:val="none" w:sz="0" w:space="0" w:color="auto"/>
        <w:bottom w:val="none" w:sz="0" w:space="0" w:color="auto"/>
        <w:right w:val="none" w:sz="0" w:space="0" w:color="auto"/>
      </w:divBdr>
    </w:div>
    <w:div w:id="446706356">
      <w:bodyDiv w:val="1"/>
      <w:marLeft w:val="0"/>
      <w:marRight w:val="0"/>
      <w:marTop w:val="0"/>
      <w:marBottom w:val="0"/>
      <w:divBdr>
        <w:top w:val="none" w:sz="0" w:space="0" w:color="auto"/>
        <w:left w:val="none" w:sz="0" w:space="0" w:color="auto"/>
        <w:bottom w:val="none" w:sz="0" w:space="0" w:color="auto"/>
        <w:right w:val="none" w:sz="0" w:space="0" w:color="auto"/>
      </w:divBdr>
    </w:div>
    <w:div w:id="455107125">
      <w:bodyDiv w:val="1"/>
      <w:marLeft w:val="0"/>
      <w:marRight w:val="0"/>
      <w:marTop w:val="0"/>
      <w:marBottom w:val="0"/>
      <w:divBdr>
        <w:top w:val="none" w:sz="0" w:space="0" w:color="auto"/>
        <w:left w:val="none" w:sz="0" w:space="0" w:color="auto"/>
        <w:bottom w:val="none" w:sz="0" w:space="0" w:color="auto"/>
        <w:right w:val="none" w:sz="0" w:space="0" w:color="auto"/>
      </w:divBdr>
    </w:div>
    <w:div w:id="485242529">
      <w:bodyDiv w:val="1"/>
      <w:marLeft w:val="0"/>
      <w:marRight w:val="0"/>
      <w:marTop w:val="0"/>
      <w:marBottom w:val="0"/>
      <w:divBdr>
        <w:top w:val="none" w:sz="0" w:space="0" w:color="auto"/>
        <w:left w:val="none" w:sz="0" w:space="0" w:color="auto"/>
        <w:bottom w:val="none" w:sz="0" w:space="0" w:color="auto"/>
        <w:right w:val="none" w:sz="0" w:space="0" w:color="auto"/>
      </w:divBdr>
    </w:div>
    <w:div w:id="485782896">
      <w:bodyDiv w:val="1"/>
      <w:marLeft w:val="0"/>
      <w:marRight w:val="0"/>
      <w:marTop w:val="0"/>
      <w:marBottom w:val="0"/>
      <w:divBdr>
        <w:top w:val="none" w:sz="0" w:space="0" w:color="auto"/>
        <w:left w:val="none" w:sz="0" w:space="0" w:color="auto"/>
        <w:bottom w:val="none" w:sz="0" w:space="0" w:color="auto"/>
        <w:right w:val="none" w:sz="0" w:space="0" w:color="auto"/>
      </w:divBdr>
    </w:div>
    <w:div w:id="501815496">
      <w:bodyDiv w:val="1"/>
      <w:marLeft w:val="0"/>
      <w:marRight w:val="0"/>
      <w:marTop w:val="0"/>
      <w:marBottom w:val="0"/>
      <w:divBdr>
        <w:top w:val="none" w:sz="0" w:space="0" w:color="auto"/>
        <w:left w:val="none" w:sz="0" w:space="0" w:color="auto"/>
        <w:bottom w:val="none" w:sz="0" w:space="0" w:color="auto"/>
        <w:right w:val="none" w:sz="0" w:space="0" w:color="auto"/>
      </w:divBdr>
    </w:div>
    <w:div w:id="507062747">
      <w:bodyDiv w:val="1"/>
      <w:marLeft w:val="0"/>
      <w:marRight w:val="0"/>
      <w:marTop w:val="0"/>
      <w:marBottom w:val="0"/>
      <w:divBdr>
        <w:top w:val="none" w:sz="0" w:space="0" w:color="auto"/>
        <w:left w:val="none" w:sz="0" w:space="0" w:color="auto"/>
        <w:bottom w:val="none" w:sz="0" w:space="0" w:color="auto"/>
        <w:right w:val="none" w:sz="0" w:space="0" w:color="auto"/>
      </w:divBdr>
    </w:div>
    <w:div w:id="516579680">
      <w:bodyDiv w:val="1"/>
      <w:marLeft w:val="0"/>
      <w:marRight w:val="0"/>
      <w:marTop w:val="0"/>
      <w:marBottom w:val="0"/>
      <w:divBdr>
        <w:top w:val="none" w:sz="0" w:space="0" w:color="auto"/>
        <w:left w:val="none" w:sz="0" w:space="0" w:color="auto"/>
        <w:bottom w:val="none" w:sz="0" w:space="0" w:color="auto"/>
        <w:right w:val="none" w:sz="0" w:space="0" w:color="auto"/>
      </w:divBdr>
    </w:div>
    <w:div w:id="516652888">
      <w:bodyDiv w:val="1"/>
      <w:marLeft w:val="0"/>
      <w:marRight w:val="0"/>
      <w:marTop w:val="0"/>
      <w:marBottom w:val="0"/>
      <w:divBdr>
        <w:top w:val="none" w:sz="0" w:space="0" w:color="auto"/>
        <w:left w:val="none" w:sz="0" w:space="0" w:color="auto"/>
        <w:bottom w:val="none" w:sz="0" w:space="0" w:color="auto"/>
        <w:right w:val="none" w:sz="0" w:space="0" w:color="auto"/>
      </w:divBdr>
    </w:div>
    <w:div w:id="524053085">
      <w:bodyDiv w:val="1"/>
      <w:marLeft w:val="0"/>
      <w:marRight w:val="0"/>
      <w:marTop w:val="0"/>
      <w:marBottom w:val="0"/>
      <w:divBdr>
        <w:top w:val="none" w:sz="0" w:space="0" w:color="auto"/>
        <w:left w:val="none" w:sz="0" w:space="0" w:color="auto"/>
        <w:bottom w:val="none" w:sz="0" w:space="0" w:color="auto"/>
        <w:right w:val="none" w:sz="0" w:space="0" w:color="auto"/>
      </w:divBdr>
    </w:div>
    <w:div w:id="534272337">
      <w:bodyDiv w:val="1"/>
      <w:marLeft w:val="0"/>
      <w:marRight w:val="0"/>
      <w:marTop w:val="0"/>
      <w:marBottom w:val="0"/>
      <w:divBdr>
        <w:top w:val="none" w:sz="0" w:space="0" w:color="auto"/>
        <w:left w:val="none" w:sz="0" w:space="0" w:color="auto"/>
        <w:bottom w:val="none" w:sz="0" w:space="0" w:color="auto"/>
        <w:right w:val="none" w:sz="0" w:space="0" w:color="auto"/>
      </w:divBdr>
    </w:div>
    <w:div w:id="559442046">
      <w:bodyDiv w:val="1"/>
      <w:marLeft w:val="0"/>
      <w:marRight w:val="0"/>
      <w:marTop w:val="0"/>
      <w:marBottom w:val="0"/>
      <w:divBdr>
        <w:top w:val="none" w:sz="0" w:space="0" w:color="auto"/>
        <w:left w:val="none" w:sz="0" w:space="0" w:color="auto"/>
        <w:bottom w:val="none" w:sz="0" w:space="0" w:color="auto"/>
        <w:right w:val="none" w:sz="0" w:space="0" w:color="auto"/>
      </w:divBdr>
    </w:div>
    <w:div w:id="582757686">
      <w:bodyDiv w:val="1"/>
      <w:marLeft w:val="0"/>
      <w:marRight w:val="0"/>
      <w:marTop w:val="0"/>
      <w:marBottom w:val="0"/>
      <w:divBdr>
        <w:top w:val="none" w:sz="0" w:space="0" w:color="auto"/>
        <w:left w:val="none" w:sz="0" w:space="0" w:color="auto"/>
        <w:bottom w:val="none" w:sz="0" w:space="0" w:color="auto"/>
        <w:right w:val="none" w:sz="0" w:space="0" w:color="auto"/>
      </w:divBdr>
    </w:div>
    <w:div w:id="600527693">
      <w:bodyDiv w:val="1"/>
      <w:marLeft w:val="0"/>
      <w:marRight w:val="0"/>
      <w:marTop w:val="0"/>
      <w:marBottom w:val="0"/>
      <w:divBdr>
        <w:top w:val="none" w:sz="0" w:space="0" w:color="auto"/>
        <w:left w:val="none" w:sz="0" w:space="0" w:color="auto"/>
        <w:bottom w:val="none" w:sz="0" w:space="0" w:color="auto"/>
        <w:right w:val="none" w:sz="0" w:space="0" w:color="auto"/>
      </w:divBdr>
    </w:div>
    <w:div w:id="604312497">
      <w:bodyDiv w:val="1"/>
      <w:marLeft w:val="0"/>
      <w:marRight w:val="0"/>
      <w:marTop w:val="0"/>
      <w:marBottom w:val="0"/>
      <w:divBdr>
        <w:top w:val="none" w:sz="0" w:space="0" w:color="auto"/>
        <w:left w:val="none" w:sz="0" w:space="0" w:color="auto"/>
        <w:bottom w:val="none" w:sz="0" w:space="0" w:color="auto"/>
        <w:right w:val="none" w:sz="0" w:space="0" w:color="auto"/>
      </w:divBdr>
    </w:div>
    <w:div w:id="608465735">
      <w:bodyDiv w:val="1"/>
      <w:marLeft w:val="0"/>
      <w:marRight w:val="0"/>
      <w:marTop w:val="0"/>
      <w:marBottom w:val="0"/>
      <w:divBdr>
        <w:top w:val="none" w:sz="0" w:space="0" w:color="auto"/>
        <w:left w:val="none" w:sz="0" w:space="0" w:color="auto"/>
        <w:bottom w:val="none" w:sz="0" w:space="0" w:color="auto"/>
        <w:right w:val="none" w:sz="0" w:space="0" w:color="auto"/>
      </w:divBdr>
    </w:div>
    <w:div w:id="627593385">
      <w:bodyDiv w:val="1"/>
      <w:marLeft w:val="0"/>
      <w:marRight w:val="0"/>
      <w:marTop w:val="0"/>
      <w:marBottom w:val="0"/>
      <w:divBdr>
        <w:top w:val="none" w:sz="0" w:space="0" w:color="auto"/>
        <w:left w:val="none" w:sz="0" w:space="0" w:color="auto"/>
        <w:bottom w:val="none" w:sz="0" w:space="0" w:color="auto"/>
        <w:right w:val="none" w:sz="0" w:space="0" w:color="auto"/>
      </w:divBdr>
    </w:div>
    <w:div w:id="650403605">
      <w:bodyDiv w:val="1"/>
      <w:marLeft w:val="0"/>
      <w:marRight w:val="0"/>
      <w:marTop w:val="0"/>
      <w:marBottom w:val="0"/>
      <w:divBdr>
        <w:top w:val="none" w:sz="0" w:space="0" w:color="auto"/>
        <w:left w:val="none" w:sz="0" w:space="0" w:color="auto"/>
        <w:bottom w:val="none" w:sz="0" w:space="0" w:color="auto"/>
        <w:right w:val="none" w:sz="0" w:space="0" w:color="auto"/>
      </w:divBdr>
    </w:div>
    <w:div w:id="670377753">
      <w:bodyDiv w:val="1"/>
      <w:marLeft w:val="0"/>
      <w:marRight w:val="0"/>
      <w:marTop w:val="0"/>
      <w:marBottom w:val="0"/>
      <w:divBdr>
        <w:top w:val="none" w:sz="0" w:space="0" w:color="auto"/>
        <w:left w:val="none" w:sz="0" w:space="0" w:color="auto"/>
        <w:bottom w:val="none" w:sz="0" w:space="0" w:color="auto"/>
        <w:right w:val="none" w:sz="0" w:space="0" w:color="auto"/>
      </w:divBdr>
    </w:div>
    <w:div w:id="671030554">
      <w:bodyDiv w:val="1"/>
      <w:marLeft w:val="0"/>
      <w:marRight w:val="0"/>
      <w:marTop w:val="0"/>
      <w:marBottom w:val="0"/>
      <w:divBdr>
        <w:top w:val="none" w:sz="0" w:space="0" w:color="auto"/>
        <w:left w:val="none" w:sz="0" w:space="0" w:color="auto"/>
        <w:bottom w:val="none" w:sz="0" w:space="0" w:color="auto"/>
        <w:right w:val="none" w:sz="0" w:space="0" w:color="auto"/>
      </w:divBdr>
    </w:div>
    <w:div w:id="706873277">
      <w:bodyDiv w:val="1"/>
      <w:marLeft w:val="0"/>
      <w:marRight w:val="0"/>
      <w:marTop w:val="0"/>
      <w:marBottom w:val="0"/>
      <w:divBdr>
        <w:top w:val="none" w:sz="0" w:space="0" w:color="auto"/>
        <w:left w:val="none" w:sz="0" w:space="0" w:color="auto"/>
        <w:bottom w:val="none" w:sz="0" w:space="0" w:color="auto"/>
        <w:right w:val="none" w:sz="0" w:space="0" w:color="auto"/>
      </w:divBdr>
    </w:div>
    <w:div w:id="715931668">
      <w:bodyDiv w:val="1"/>
      <w:marLeft w:val="0"/>
      <w:marRight w:val="0"/>
      <w:marTop w:val="0"/>
      <w:marBottom w:val="0"/>
      <w:divBdr>
        <w:top w:val="none" w:sz="0" w:space="0" w:color="auto"/>
        <w:left w:val="none" w:sz="0" w:space="0" w:color="auto"/>
        <w:bottom w:val="none" w:sz="0" w:space="0" w:color="auto"/>
        <w:right w:val="none" w:sz="0" w:space="0" w:color="auto"/>
      </w:divBdr>
    </w:div>
    <w:div w:id="717750719">
      <w:bodyDiv w:val="1"/>
      <w:marLeft w:val="0"/>
      <w:marRight w:val="0"/>
      <w:marTop w:val="0"/>
      <w:marBottom w:val="0"/>
      <w:divBdr>
        <w:top w:val="none" w:sz="0" w:space="0" w:color="auto"/>
        <w:left w:val="none" w:sz="0" w:space="0" w:color="auto"/>
        <w:bottom w:val="none" w:sz="0" w:space="0" w:color="auto"/>
        <w:right w:val="none" w:sz="0" w:space="0" w:color="auto"/>
      </w:divBdr>
    </w:div>
    <w:div w:id="726880025">
      <w:bodyDiv w:val="1"/>
      <w:marLeft w:val="0"/>
      <w:marRight w:val="0"/>
      <w:marTop w:val="0"/>
      <w:marBottom w:val="0"/>
      <w:divBdr>
        <w:top w:val="none" w:sz="0" w:space="0" w:color="auto"/>
        <w:left w:val="none" w:sz="0" w:space="0" w:color="auto"/>
        <w:bottom w:val="none" w:sz="0" w:space="0" w:color="auto"/>
        <w:right w:val="none" w:sz="0" w:space="0" w:color="auto"/>
      </w:divBdr>
    </w:div>
    <w:div w:id="752241169">
      <w:bodyDiv w:val="1"/>
      <w:marLeft w:val="0"/>
      <w:marRight w:val="0"/>
      <w:marTop w:val="0"/>
      <w:marBottom w:val="0"/>
      <w:divBdr>
        <w:top w:val="none" w:sz="0" w:space="0" w:color="auto"/>
        <w:left w:val="none" w:sz="0" w:space="0" w:color="auto"/>
        <w:bottom w:val="none" w:sz="0" w:space="0" w:color="auto"/>
        <w:right w:val="none" w:sz="0" w:space="0" w:color="auto"/>
      </w:divBdr>
    </w:div>
    <w:div w:id="763770766">
      <w:bodyDiv w:val="1"/>
      <w:marLeft w:val="0"/>
      <w:marRight w:val="0"/>
      <w:marTop w:val="0"/>
      <w:marBottom w:val="0"/>
      <w:divBdr>
        <w:top w:val="none" w:sz="0" w:space="0" w:color="auto"/>
        <w:left w:val="none" w:sz="0" w:space="0" w:color="auto"/>
        <w:bottom w:val="none" w:sz="0" w:space="0" w:color="auto"/>
        <w:right w:val="none" w:sz="0" w:space="0" w:color="auto"/>
      </w:divBdr>
    </w:div>
    <w:div w:id="777021503">
      <w:bodyDiv w:val="1"/>
      <w:marLeft w:val="0"/>
      <w:marRight w:val="0"/>
      <w:marTop w:val="0"/>
      <w:marBottom w:val="0"/>
      <w:divBdr>
        <w:top w:val="none" w:sz="0" w:space="0" w:color="auto"/>
        <w:left w:val="none" w:sz="0" w:space="0" w:color="auto"/>
        <w:bottom w:val="none" w:sz="0" w:space="0" w:color="auto"/>
        <w:right w:val="none" w:sz="0" w:space="0" w:color="auto"/>
      </w:divBdr>
    </w:div>
    <w:div w:id="777483290">
      <w:bodyDiv w:val="1"/>
      <w:marLeft w:val="0"/>
      <w:marRight w:val="0"/>
      <w:marTop w:val="0"/>
      <w:marBottom w:val="0"/>
      <w:divBdr>
        <w:top w:val="none" w:sz="0" w:space="0" w:color="auto"/>
        <w:left w:val="none" w:sz="0" w:space="0" w:color="auto"/>
        <w:bottom w:val="none" w:sz="0" w:space="0" w:color="auto"/>
        <w:right w:val="none" w:sz="0" w:space="0" w:color="auto"/>
      </w:divBdr>
    </w:div>
    <w:div w:id="799030681">
      <w:bodyDiv w:val="1"/>
      <w:marLeft w:val="0"/>
      <w:marRight w:val="0"/>
      <w:marTop w:val="0"/>
      <w:marBottom w:val="0"/>
      <w:divBdr>
        <w:top w:val="none" w:sz="0" w:space="0" w:color="auto"/>
        <w:left w:val="none" w:sz="0" w:space="0" w:color="auto"/>
        <w:bottom w:val="none" w:sz="0" w:space="0" w:color="auto"/>
        <w:right w:val="none" w:sz="0" w:space="0" w:color="auto"/>
      </w:divBdr>
    </w:div>
    <w:div w:id="801464571">
      <w:bodyDiv w:val="1"/>
      <w:marLeft w:val="0"/>
      <w:marRight w:val="0"/>
      <w:marTop w:val="0"/>
      <w:marBottom w:val="0"/>
      <w:divBdr>
        <w:top w:val="none" w:sz="0" w:space="0" w:color="auto"/>
        <w:left w:val="none" w:sz="0" w:space="0" w:color="auto"/>
        <w:bottom w:val="none" w:sz="0" w:space="0" w:color="auto"/>
        <w:right w:val="none" w:sz="0" w:space="0" w:color="auto"/>
      </w:divBdr>
    </w:div>
    <w:div w:id="824585952">
      <w:bodyDiv w:val="1"/>
      <w:marLeft w:val="0"/>
      <w:marRight w:val="0"/>
      <w:marTop w:val="0"/>
      <w:marBottom w:val="0"/>
      <w:divBdr>
        <w:top w:val="none" w:sz="0" w:space="0" w:color="auto"/>
        <w:left w:val="none" w:sz="0" w:space="0" w:color="auto"/>
        <w:bottom w:val="none" w:sz="0" w:space="0" w:color="auto"/>
        <w:right w:val="none" w:sz="0" w:space="0" w:color="auto"/>
      </w:divBdr>
    </w:div>
    <w:div w:id="841625324">
      <w:bodyDiv w:val="1"/>
      <w:marLeft w:val="0"/>
      <w:marRight w:val="0"/>
      <w:marTop w:val="0"/>
      <w:marBottom w:val="0"/>
      <w:divBdr>
        <w:top w:val="none" w:sz="0" w:space="0" w:color="auto"/>
        <w:left w:val="none" w:sz="0" w:space="0" w:color="auto"/>
        <w:bottom w:val="none" w:sz="0" w:space="0" w:color="auto"/>
        <w:right w:val="none" w:sz="0" w:space="0" w:color="auto"/>
      </w:divBdr>
    </w:div>
    <w:div w:id="904603841">
      <w:bodyDiv w:val="1"/>
      <w:marLeft w:val="0"/>
      <w:marRight w:val="0"/>
      <w:marTop w:val="0"/>
      <w:marBottom w:val="0"/>
      <w:divBdr>
        <w:top w:val="none" w:sz="0" w:space="0" w:color="auto"/>
        <w:left w:val="none" w:sz="0" w:space="0" w:color="auto"/>
        <w:bottom w:val="none" w:sz="0" w:space="0" w:color="auto"/>
        <w:right w:val="none" w:sz="0" w:space="0" w:color="auto"/>
      </w:divBdr>
    </w:div>
    <w:div w:id="954562899">
      <w:bodyDiv w:val="1"/>
      <w:marLeft w:val="0"/>
      <w:marRight w:val="0"/>
      <w:marTop w:val="0"/>
      <w:marBottom w:val="0"/>
      <w:divBdr>
        <w:top w:val="none" w:sz="0" w:space="0" w:color="auto"/>
        <w:left w:val="none" w:sz="0" w:space="0" w:color="auto"/>
        <w:bottom w:val="none" w:sz="0" w:space="0" w:color="auto"/>
        <w:right w:val="none" w:sz="0" w:space="0" w:color="auto"/>
      </w:divBdr>
    </w:div>
    <w:div w:id="958147249">
      <w:bodyDiv w:val="1"/>
      <w:marLeft w:val="0"/>
      <w:marRight w:val="0"/>
      <w:marTop w:val="0"/>
      <w:marBottom w:val="0"/>
      <w:divBdr>
        <w:top w:val="none" w:sz="0" w:space="0" w:color="auto"/>
        <w:left w:val="none" w:sz="0" w:space="0" w:color="auto"/>
        <w:bottom w:val="none" w:sz="0" w:space="0" w:color="auto"/>
        <w:right w:val="none" w:sz="0" w:space="0" w:color="auto"/>
      </w:divBdr>
    </w:div>
    <w:div w:id="965769979">
      <w:bodyDiv w:val="1"/>
      <w:marLeft w:val="0"/>
      <w:marRight w:val="0"/>
      <w:marTop w:val="0"/>
      <w:marBottom w:val="0"/>
      <w:divBdr>
        <w:top w:val="none" w:sz="0" w:space="0" w:color="auto"/>
        <w:left w:val="none" w:sz="0" w:space="0" w:color="auto"/>
        <w:bottom w:val="none" w:sz="0" w:space="0" w:color="auto"/>
        <w:right w:val="none" w:sz="0" w:space="0" w:color="auto"/>
      </w:divBdr>
    </w:div>
    <w:div w:id="969818910">
      <w:bodyDiv w:val="1"/>
      <w:marLeft w:val="0"/>
      <w:marRight w:val="0"/>
      <w:marTop w:val="0"/>
      <w:marBottom w:val="0"/>
      <w:divBdr>
        <w:top w:val="none" w:sz="0" w:space="0" w:color="auto"/>
        <w:left w:val="none" w:sz="0" w:space="0" w:color="auto"/>
        <w:bottom w:val="none" w:sz="0" w:space="0" w:color="auto"/>
        <w:right w:val="none" w:sz="0" w:space="0" w:color="auto"/>
      </w:divBdr>
    </w:div>
    <w:div w:id="970549125">
      <w:bodyDiv w:val="1"/>
      <w:marLeft w:val="0"/>
      <w:marRight w:val="0"/>
      <w:marTop w:val="0"/>
      <w:marBottom w:val="0"/>
      <w:divBdr>
        <w:top w:val="none" w:sz="0" w:space="0" w:color="auto"/>
        <w:left w:val="none" w:sz="0" w:space="0" w:color="auto"/>
        <w:bottom w:val="none" w:sz="0" w:space="0" w:color="auto"/>
        <w:right w:val="none" w:sz="0" w:space="0" w:color="auto"/>
      </w:divBdr>
    </w:div>
    <w:div w:id="986855552">
      <w:bodyDiv w:val="1"/>
      <w:marLeft w:val="0"/>
      <w:marRight w:val="0"/>
      <w:marTop w:val="0"/>
      <w:marBottom w:val="0"/>
      <w:divBdr>
        <w:top w:val="none" w:sz="0" w:space="0" w:color="auto"/>
        <w:left w:val="none" w:sz="0" w:space="0" w:color="auto"/>
        <w:bottom w:val="none" w:sz="0" w:space="0" w:color="auto"/>
        <w:right w:val="none" w:sz="0" w:space="0" w:color="auto"/>
      </w:divBdr>
    </w:div>
    <w:div w:id="1003313079">
      <w:bodyDiv w:val="1"/>
      <w:marLeft w:val="0"/>
      <w:marRight w:val="0"/>
      <w:marTop w:val="0"/>
      <w:marBottom w:val="0"/>
      <w:divBdr>
        <w:top w:val="none" w:sz="0" w:space="0" w:color="auto"/>
        <w:left w:val="none" w:sz="0" w:space="0" w:color="auto"/>
        <w:bottom w:val="none" w:sz="0" w:space="0" w:color="auto"/>
        <w:right w:val="none" w:sz="0" w:space="0" w:color="auto"/>
      </w:divBdr>
    </w:div>
    <w:div w:id="1011494599">
      <w:bodyDiv w:val="1"/>
      <w:marLeft w:val="0"/>
      <w:marRight w:val="0"/>
      <w:marTop w:val="0"/>
      <w:marBottom w:val="0"/>
      <w:divBdr>
        <w:top w:val="none" w:sz="0" w:space="0" w:color="auto"/>
        <w:left w:val="none" w:sz="0" w:space="0" w:color="auto"/>
        <w:bottom w:val="none" w:sz="0" w:space="0" w:color="auto"/>
        <w:right w:val="none" w:sz="0" w:space="0" w:color="auto"/>
      </w:divBdr>
    </w:div>
    <w:div w:id="1014956667">
      <w:bodyDiv w:val="1"/>
      <w:marLeft w:val="0"/>
      <w:marRight w:val="0"/>
      <w:marTop w:val="0"/>
      <w:marBottom w:val="0"/>
      <w:divBdr>
        <w:top w:val="none" w:sz="0" w:space="0" w:color="auto"/>
        <w:left w:val="none" w:sz="0" w:space="0" w:color="auto"/>
        <w:bottom w:val="none" w:sz="0" w:space="0" w:color="auto"/>
        <w:right w:val="none" w:sz="0" w:space="0" w:color="auto"/>
      </w:divBdr>
    </w:div>
    <w:div w:id="1052650726">
      <w:bodyDiv w:val="1"/>
      <w:marLeft w:val="0"/>
      <w:marRight w:val="0"/>
      <w:marTop w:val="0"/>
      <w:marBottom w:val="0"/>
      <w:divBdr>
        <w:top w:val="none" w:sz="0" w:space="0" w:color="auto"/>
        <w:left w:val="none" w:sz="0" w:space="0" w:color="auto"/>
        <w:bottom w:val="none" w:sz="0" w:space="0" w:color="auto"/>
        <w:right w:val="none" w:sz="0" w:space="0" w:color="auto"/>
      </w:divBdr>
    </w:div>
    <w:div w:id="1054700779">
      <w:bodyDiv w:val="1"/>
      <w:marLeft w:val="0"/>
      <w:marRight w:val="0"/>
      <w:marTop w:val="0"/>
      <w:marBottom w:val="0"/>
      <w:divBdr>
        <w:top w:val="none" w:sz="0" w:space="0" w:color="auto"/>
        <w:left w:val="none" w:sz="0" w:space="0" w:color="auto"/>
        <w:bottom w:val="none" w:sz="0" w:space="0" w:color="auto"/>
        <w:right w:val="none" w:sz="0" w:space="0" w:color="auto"/>
      </w:divBdr>
    </w:div>
    <w:div w:id="1073577278">
      <w:bodyDiv w:val="1"/>
      <w:marLeft w:val="0"/>
      <w:marRight w:val="0"/>
      <w:marTop w:val="0"/>
      <w:marBottom w:val="0"/>
      <w:divBdr>
        <w:top w:val="none" w:sz="0" w:space="0" w:color="auto"/>
        <w:left w:val="none" w:sz="0" w:space="0" w:color="auto"/>
        <w:bottom w:val="none" w:sz="0" w:space="0" w:color="auto"/>
        <w:right w:val="none" w:sz="0" w:space="0" w:color="auto"/>
      </w:divBdr>
    </w:div>
    <w:div w:id="1081215508">
      <w:bodyDiv w:val="1"/>
      <w:marLeft w:val="0"/>
      <w:marRight w:val="0"/>
      <w:marTop w:val="0"/>
      <w:marBottom w:val="0"/>
      <w:divBdr>
        <w:top w:val="none" w:sz="0" w:space="0" w:color="auto"/>
        <w:left w:val="none" w:sz="0" w:space="0" w:color="auto"/>
        <w:bottom w:val="none" w:sz="0" w:space="0" w:color="auto"/>
        <w:right w:val="none" w:sz="0" w:space="0" w:color="auto"/>
      </w:divBdr>
    </w:div>
    <w:div w:id="1106730739">
      <w:marLeft w:val="0"/>
      <w:marRight w:val="0"/>
      <w:marTop w:val="0"/>
      <w:marBottom w:val="0"/>
      <w:divBdr>
        <w:top w:val="none" w:sz="0" w:space="0" w:color="auto"/>
        <w:left w:val="none" w:sz="0" w:space="0" w:color="auto"/>
        <w:bottom w:val="none" w:sz="0" w:space="0" w:color="auto"/>
        <w:right w:val="none" w:sz="0" w:space="0" w:color="auto"/>
      </w:divBdr>
    </w:div>
    <w:div w:id="1106730740">
      <w:marLeft w:val="0"/>
      <w:marRight w:val="0"/>
      <w:marTop w:val="0"/>
      <w:marBottom w:val="0"/>
      <w:divBdr>
        <w:top w:val="none" w:sz="0" w:space="0" w:color="auto"/>
        <w:left w:val="none" w:sz="0" w:space="0" w:color="auto"/>
        <w:bottom w:val="none" w:sz="0" w:space="0" w:color="auto"/>
        <w:right w:val="none" w:sz="0" w:space="0" w:color="auto"/>
      </w:divBdr>
    </w:div>
    <w:div w:id="1106730741">
      <w:marLeft w:val="0"/>
      <w:marRight w:val="0"/>
      <w:marTop w:val="0"/>
      <w:marBottom w:val="0"/>
      <w:divBdr>
        <w:top w:val="none" w:sz="0" w:space="0" w:color="auto"/>
        <w:left w:val="none" w:sz="0" w:space="0" w:color="auto"/>
        <w:bottom w:val="none" w:sz="0" w:space="0" w:color="auto"/>
        <w:right w:val="none" w:sz="0" w:space="0" w:color="auto"/>
      </w:divBdr>
    </w:div>
    <w:div w:id="1106730743">
      <w:marLeft w:val="0"/>
      <w:marRight w:val="0"/>
      <w:marTop w:val="0"/>
      <w:marBottom w:val="0"/>
      <w:divBdr>
        <w:top w:val="none" w:sz="0" w:space="0" w:color="auto"/>
        <w:left w:val="none" w:sz="0" w:space="0" w:color="auto"/>
        <w:bottom w:val="none" w:sz="0" w:space="0" w:color="auto"/>
        <w:right w:val="none" w:sz="0" w:space="0" w:color="auto"/>
      </w:divBdr>
    </w:div>
    <w:div w:id="1106730744">
      <w:marLeft w:val="90"/>
      <w:marRight w:val="90"/>
      <w:marTop w:val="90"/>
      <w:marBottom w:val="90"/>
      <w:divBdr>
        <w:top w:val="none" w:sz="0" w:space="0" w:color="auto"/>
        <w:left w:val="none" w:sz="0" w:space="0" w:color="auto"/>
        <w:bottom w:val="none" w:sz="0" w:space="0" w:color="auto"/>
        <w:right w:val="none" w:sz="0" w:space="0" w:color="auto"/>
      </w:divBdr>
      <w:divsChild>
        <w:div w:id="1106730742">
          <w:marLeft w:val="0"/>
          <w:marRight w:val="0"/>
          <w:marTop w:val="0"/>
          <w:marBottom w:val="0"/>
          <w:divBdr>
            <w:top w:val="none" w:sz="0" w:space="0" w:color="auto"/>
            <w:left w:val="none" w:sz="0" w:space="0" w:color="auto"/>
            <w:bottom w:val="none" w:sz="0" w:space="0" w:color="auto"/>
            <w:right w:val="none" w:sz="0" w:space="0" w:color="auto"/>
          </w:divBdr>
        </w:div>
      </w:divsChild>
    </w:div>
    <w:div w:id="1106730747">
      <w:marLeft w:val="0"/>
      <w:marRight w:val="0"/>
      <w:marTop w:val="0"/>
      <w:marBottom w:val="0"/>
      <w:divBdr>
        <w:top w:val="none" w:sz="0" w:space="0" w:color="auto"/>
        <w:left w:val="none" w:sz="0" w:space="0" w:color="auto"/>
        <w:bottom w:val="none" w:sz="0" w:space="0" w:color="auto"/>
        <w:right w:val="none" w:sz="0" w:space="0" w:color="auto"/>
      </w:divBdr>
    </w:div>
    <w:div w:id="1106730750">
      <w:marLeft w:val="0"/>
      <w:marRight w:val="0"/>
      <w:marTop w:val="0"/>
      <w:marBottom w:val="0"/>
      <w:divBdr>
        <w:top w:val="none" w:sz="0" w:space="0" w:color="auto"/>
        <w:left w:val="none" w:sz="0" w:space="0" w:color="auto"/>
        <w:bottom w:val="none" w:sz="0" w:space="0" w:color="auto"/>
        <w:right w:val="none" w:sz="0" w:space="0" w:color="auto"/>
      </w:divBdr>
      <w:divsChild>
        <w:div w:id="1106730746">
          <w:marLeft w:val="0"/>
          <w:marRight w:val="0"/>
          <w:marTop w:val="0"/>
          <w:marBottom w:val="0"/>
          <w:divBdr>
            <w:top w:val="none" w:sz="0" w:space="0" w:color="auto"/>
            <w:left w:val="none" w:sz="0" w:space="0" w:color="auto"/>
            <w:bottom w:val="none" w:sz="0" w:space="0" w:color="auto"/>
            <w:right w:val="none" w:sz="0" w:space="0" w:color="auto"/>
          </w:divBdr>
        </w:div>
        <w:div w:id="1106730749">
          <w:marLeft w:val="0"/>
          <w:marRight w:val="0"/>
          <w:marTop w:val="0"/>
          <w:marBottom w:val="0"/>
          <w:divBdr>
            <w:top w:val="none" w:sz="0" w:space="0" w:color="auto"/>
            <w:left w:val="none" w:sz="0" w:space="0" w:color="auto"/>
            <w:bottom w:val="none" w:sz="0" w:space="0" w:color="auto"/>
            <w:right w:val="none" w:sz="0" w:space="0" w:color="auto"/>
          </w:divBdr>
        </w:div>
        <w:div w:id="1106730753">
          <w:marLeft w:val="0"/>
          <w:marRight w:val="0"/>
          <w:marTop w:val="0"/>
          <w:marBottom w:val="0"/>
          <w:divBdr>
            <w:top w:val="none" w:sz="0" w:space="0" w:color="auto"/>
            <w:left w:val="none" w:sz="0" w:space="0" w:color="auto"/>
            <w:bottom w:val="none" w:sz="0" w:space="0" w:color="auto"/>
            <w:right w:val="none" w:sz="0" w:space="0" w:color="auto"/>
          </w:divBdr>
        </w:div>
      </w:divsChild>
    </w:div>
    <w:div w:id="1106730752">
      <w:marLeft w:val="0"/>
      <w:marRight w:val="0"/>
      <w:marTop w:val="0"/>
      <w:marBottom w:val="0"/>
      <w:divBdr>
        <w:top w:val="none" w:sz="0" w:space="0" w:color="auto"/>
        <w:left w:val="none" w:sz="0" w:space="0" w:color="auto"/>
        <w:bottom w:val="none" w:sz="0" w:space="0" w:color="auto"/>
        <w:right w:val="none" w:sz="0" w:space="0" w:color="auto"/>
      </w:divBdr>
      <w:divsChild>
        <w:div w:id="1106730745">
          <w:marLeft w:val="0"/>
          <w:marRight w:val="0"/>
          <w:marTop w:val="0"/>
          <w:marBottom w:val="0"/>
          <w:divBdr>
            <w:top w:val="none" w:sz="0" w:space="0" w:color="auto"/>
            <w:left w:val="none" w:sz="0" w:space="0" w:color="auto"/>
            <w:bottom w:val="none" w:sz="0" w:space="0" w:color="auto"/>
            <w:right w:val="none" w:sz="0" w:space="0" w:color="auto"/>
          </w:divBdr>
        </w:div>
        <w:div w:id="1106730748">
          <w:marLeft w:val="0"/>
          <w:marRight w:val="0"/>
          <w:marTop w:val="0"/>
          <w:marBottom w:val="0"/>
          <w:divBdr>
            <w:top w:val="none" w:sz="0" w:space="0" w:color="auto"/>
            <w:left w:val="none" w:sz="0" w:space="0" w:color="auto"/>
            <w:bottom w:val="none" w:sz="0" w:space="0" w:color="auto"/>
            <w:right w:val="none" w:sz="0" w:space="0" w:color="auto"/>
          </w:divBdr>
        </w:div>
        <w:div w:id="1106730751">
          <w:marLeft w:val="0"/>
          <w:marRight w:val="0"/>
          <w:marTop w:val="0"/>
          <w:marBottom w:val="0"/>
          <w:divBdr>
            <w:top w:val="none" w:sz="0" w:space="0" w:color="auto"/>
            <w:left w:val="none" w:sz="0" w:space="0" w:color="auto"/>
            <w:bottom w:val="none" w:sz="0" w:space="0" w:color="auto"/>
            <w:right w:val="none" w:sz="0" w:space="0" w:color="auto"/>
          </w:divBdr>
        </w:div>
      </w:divsChild>
    </w:div>
    <w:div w:id="1106730754">
      <w:marLeft w:val="0"/>
      <w:marRight w:val="0"/>
      <w:marTop w:val="0"/>
      <w:marBottom w:val="0"/>
      <w:divBdr>
        <w:top w:val="none" w:sz="0" w:space="0" w:color="auto"/>
        <w:left w:val="none" w:sz="0" w:space="0" w:color="auto"/>
        <w:bottom w:val="none" w:sz="0" w:space="0" w:color="auto"/>
        <w:right w:val="none" w:sz="0" w:space="0" w:color="auto"/>
      </w:divBdr>
    </w:div>
    <w:div w:id="1106730755">
      <w:marLeft w:val="0"/>
      <w:marRight w:val="0"/>
      <w:marTop w:val="0"/>
      <w:marBottom w:val="0"/>
      <w:divBdr>
        <w:top w:val="none" w:sz="0" w:space="0" w:color="auto"/>
        <w:left w:val="none" w:sz="0" w:space="0" w:color="auto"/>
        <w:bottom w:val="none" w:sz="0" w:space="0" w:color="auto"/>
        <w:right w:val="none" w:sz="0" w:space="0" w:color="auto"/>
      </w:divBdr>
    </w:div>
    <w:div w:id="1106730756">
      <w:marLeft w:val="0"/>
      <w:marRight w:val="0"/>
      <w:marTop w:val="0"/>
      <w:marBottom w:val="0"/>
      <w:divBdr>
        <w:top w:val="none" w:sz="0" w:space="0" w:color="auto"/>
        <w:left w:val="none" w:sz="0" w:space="0" w:color="auto"/>
        <w:bottom w:val="none" w:sz="0" w:space="0" w:color="auto"/>
        <w:right w:val="none" w:sz="0" w:space="0" w:color="auto"/>
      </w:divBdr>
    </w:div>
    <w:div w:id="1106730757">
      <w:marLeft w:val="0"/>
      <w:marRight w:val="0"/>
      <w:marTop w:val="0"/>
      <w:marBottom w:val="0"/>
      <w:divBdr>
        <w:top w:val="none" w:sz="0" w:space="0" w:color="auto"/>
        <w:left w:val="none" w:sz="0" w:space="0" w:color="auto"/>
        <w:bottom w:val="none" w:sz="0" w:space="0" w:color="auto"/>
        <w:right w:val="none" w:sz="0" w:space="0" w:color="auto"/>
      </w:divBdr>
    </w:div>
    <w:div w:id="1106730758">
      <w:marLeft w:val="0"/>
      <w:marRight w:val="0"/>
      <w:marTop w:val="0"/>
      <w:marBottom w:val="0"/>
      <w:divBdr>
        <w:top w:val="none" w:sz="0" w:space="0" w:color="auto"/>
        <w:left w:val="none" w:sz="0" w:space="0" w:color="auto"/>
        <w:bottom w:val="none" w:sz="0" w:space="0" w:color="auto"/>
        <w:right w:val="none" w:sz="0" w:space="0" w:color="auto"/>
      </w:divBdr>
    </w:div>
    <w:div w:id="1106730759">
      <w:marLeft w:val="0"/>
      <w:marRight w:val="0"/>
      <w:marTop w:val="0"/>
      <w:marBottom w:val="0"/>
      <w:divBdr>
        <w:top w:val="none" w:sz="0" w:space="0" w:color="auto"/>
        <w:left w:val="none" w:sz="0" w:space="0" w:color="auto"/>
        <w:bottom w:val="none" w:sz="0" w:space="0" w:color="auto"/>
        <w:right w:val="none" w:sz="0" w:space="0" w:color="auto"/>
      </w:divBdr>
    </w:div>
    <w:div w:id="1106730760">
      <w:marLeft w:val="0"/>
      <w:marRight w:val="0"/>
      <w:marTop w:val="0"/>
      <w:marBottom w:val="0"/>
      <w:divBdr>
        <w:top w:val="none" w:sz="0" w:space="0" w:color="auto"/>
        <w:left w:val="none" w:sz="0" w:space="0" w:color="auto"/>
        <w:bottom w:val="none" w:sz="0" w:space="0" w:color="auto"/>
        <w:right w:val="none" w:sz="0" w:space="0" w:color="auto"/>
      </w:divBdr>
    </w:div>
    <w:div w:id="1106730761">
      <w:marLeft w:val="0"/>
      <w:marRight w:val="0"/>
      <w:marTop w:val="0"/>
      <w:marBottom w:val="0"/>
      <w:divBdr>
        <w:top w:val="none" w:sz="0" w:space="0" w:color="auto"/>
        <w:left w:val="none" w:sz="0" w:space="0" w:color="auto"/>
        <w:bottom w:val="none" w:sz="0" w:space="0" w:color="auto"/>
        <w:right w:val="none" w:sz="0" w:space="0" w:color="auto"/>
      </w:divBdr>
    </w:div>
    <w:div w:id="1106730762">
      <w:marLeft w:val="0"/>
      <w:marRight w:val="0"/>
      <w:marTop w:val="0"/>
      <w:marBottom w:val="0"/>
      <w:divBdr>
        <w:top w:val="none" w:sz="0" w:space="0" w:color="auto"/>
        <w:left w:val="none" w:sz="0" w:space="0" w:color="auto"/>
        <w:bottom w:val="none" w:sz="0" w:space="0" w:color="auto"/>
        <w:right w:val="none" w:sz="0" w:space="0" w:color="auto"/>
      </w:divBdr>
    </w:div>
    <w:div w:id="1106730763">
      <w:marLeft w:val="0"/>
      <w:marRight w:val="0"/>
      <w:marTop w:val="0"/>
      <w:marBottom w:val="0"/>
      <w:divBdr>
        <w:top w:val="none" w:sz="0" w:space="0" w:color="auto"/>
        <w:left w:val="none" w:sz="0" w:space="0" w:color="auto"/>
        <w:bottom w:val="none" w:sz="0" w:space="0" w:color="auto"/>
        <w:right w:val="none" w:sz="0" w:space="0" w:color="auto"/>
      </w:divBdr>
    </w:div>
    <w:div w:id="1106730764">
      <w:marLeft w:val="0"/>
      <w:marRight w:val="0"/>
      <w:marTop w:val="0"/>
      <w:marBottom w:val="0"/>
      <w:divBdr>
        <w:top w:val="none" w:sz="0" w:space="0" w:color="auto"/>
        <w:left w:val="none" w:sz="0" w:space="0" w:color="auto"/>
        <w:bottom w:val="none" w:sz="0" w:space="0" w:color="auto"/>
        <w:right w:val="none" w:sz="0" w:space="0" w:color="auto"/>
      </w:divBdr>
    </w:div>
    <w:div w:id="1106730765">
      <w:marLeft w:val="0"/>
      <w:marRight w:val="0"/>
      <w:marTop w:val="0"/>
      <w:marBottom w:val="0"/>
      <w:divBdr>
        <w:top w:val="none" w:sz="0" w:space="0" w:color="auto"/>
        <w:left w:val="none" w:sz="0" w:space="0" w:color="auto"/>
        <w:bottom w:val="none" w:sz="0" w:space="0" w:color="auto"/>
        <w:right w:val="none" w:sz="0" w:space="0" w:color="auto"/>
      </w:divBdr>
    </w:div>
    <w:div w:id="1106730766">
      <w:marLeft w:val="0"/>
      <w:marRight w:val="0"/>
      <w:marTop w:val="0"/>
      <w:marBottom w:val="0"/>
      <w:divBdr>
        <w:top w:val="none" w:sz="0" w:space="0" w:color="auto"/>
        <w:left w:val="none" w:sz="0" w:space="0" w:color="auto"/>
        <w:bottom w:val="none" w:sz="0" w:space="0" w:color="auto"/>
        <w:right w:val="none" w:sz="0" w:space="0" w:color="auto"/>
      </w:divBdr>
    </w:div>
    <w:div w:id="1106730767">
      <w:marLeft w:val="0"/>
      <w:marRight w:val="0"/>
      <w:marTop w:val="0"/>
      <w:marBottom w:val="0"/>
      <w:divBdr>
        <w:top w:val="none" w:sz="0" w:space="0" w:color="auto"/>
        <w:left w:val="none" w:sz="0" w:space="0" w:color="auto"/>
        <w:bottom w:val="none" w:sz="0" w:space="0" w:color="auto"/>
        <w:right w:val="none" w:sz="0" w:space="0" w:color="auto"/>
      </w:divBdr>
    </w:div>
    <w:div w:id="1106730768">
      <w:marLeft w:val="0"/>
      <w:marRight w:val="0"/>
      <w:marTop w:val="0"/>
      <w:marBottom w:val="0"/>
      <w:divBdr>
        <w:top w:val="none" w:sz="0" w:space="0" w:color="auto"/>
        <w:left w:val="none" w:sz="0" w:space="0" w:color="auto"/>
        <w:bottom w:val="none" w:sz="0" w:space="0" w:color="auto"/>
        <w:right w:val="none" w:sz="0" w:space="0" w:color="auto"/>
      </w:divBdr>
    </w:div>
    <w:div w:id="1106730769">
      <w:marLeft w:val="0"/>
      <w:marRight w:val="0"/>
      <w:marTop w:val="0"/>
      <w:marBottom w:val="0"/>
      <w:divBdr>
        <w:top w:val="none" w:sz="0" w:space="0" w:color="auto"/>
        <w:left w:val="none" w:sz="0" w:space="0" w:color="auto"/>
        <w:bottom w:val="none" w:sz="0" w:space="0" w:color="auto"/>
        <w:right w:val="none" w:sz="0" w:space="0" w:color="auto"/>
      </w:divBdr>
    </w:div>
    <w:div w:id="1106730770">
      <w:marLeft w:val="0"/>
      <w:marRight w:val="0"/>
      <w:marTop w:val="0"/>
      <w:marBottom w:val="0"/>
      <w:divBdr>
        <w:top w:val="none" w:sz="0" w:space="0" w:color="auto"/>
        <w:left w:val="none" w:sz="0" w:space="0" w:color="auto"/>
        <w:bottom w:val="none" w:sz="0" w:space="0" w:color="auto"/>
        <w:right w:val="none" w:sz="0" w:space="0" w:color="auto"/>
      </w:divBdr>
    </w:div>
    <w:div w:id="1106730771">
      <w:marLeft w:val="0"/>
      <w:marRight w:val="0"/>
      <w:marTop w:val="0"/>
      <w:marBottom w:val="0"/>
      <w:divBdr>
        <w:top w:val="none" w:sz="0" w:space="0" w:color="auto"/>
        <w:left w:val="none" w:sz="0" w:space="0" w:color="auto"/>
        <w:bottom w:val="none" w:sz="0" w:space="0" w:color="auto"/>
        <w:right w:val="none" w:sz="0" w:space="0" w:color="auto"/>
      </w:divBdr>
    </w:div>
    <w:div w:id="1106730772">
      <w:marLeft w:val="0"/>
      <w:marRight w:val="0"/>
      <w:marTop w:val="0"/>
      <w:marBottom w:val="0"/>
      <w:divBdr>
        <w:top w:val="none" w:sz="0" w:space="0" w:color="auto"/>
        <w:left w:val="none" w:sz="0" w:space="0" w:color="auto"/>
        <w:bottom w:val="none" w:sz="0" w:space="0" w:color="auto"/>
        <w:right w:val="none" w:sz="0" w:space="0" w:color="auto"/>
      </w:divBdr>
    </w:div>
    <w:div w:id="1106730773">
      <w:marLeft w:val="0"/>
      <w:marRight w:val="0"/>
      <w:marTop w:val="0"/>
      <w:marBottom w:val="0"/>
      <w:divBdr>
        <w:top w:val="none" w:sz="0" w:space="0" w:color="auto"/>
        <w:left w:val="none" w:sz="0" w:space="0" w:color="auto"/>
        <w:bottom w:val="none" w:sz="0" w:space="0" w:color="auto"/>
        <w:right w:val="none" w:sz="0" w:space="0" w:color="auto"/>
      </w:divBdr>
    </w:div>
    <w:div w:id="1106730774">
      <w:marLeft w:val="0"/>
      <w:marRight w:val="0"/>
      <w:marTop w:val="0"/>
      <w:marBottom w:val="0"/>
      <w:divBdr>
        <w:top w:val="none" w:sz="0" w:space="0" w:color="auto"/>
        <w:left w:val="none" w:sz="0" w:space="0" w:color="auto"/>
        <w:bottom w:val="none" w:sz="0" w:space="0" w:color="auto"/>
        <w:right w:val="none" w:sz="0" w:space="0" w:color="auto"/>
      </w:divBdr>
    </w:div>
    <w:div w:id="1106730775">
      <w:marLeft w:val="0"/>
      <w:marRight w:val="0"/>
      <w:marTop w:val="0"/>
      <w:marBottom w:val="0"/>
      <w:divBdr>
        <w:top w:val="none" w:sz="0" w:space="0" w:color="auto"/>
        <w:left w:val="none" w:sz="0" w:space="0" w:color="auto"/>
        <w:bottom w:val="none" w:sz="0" w:space="0" w:color="auto"/>
        <w:right w:val="none" w:sz="0" w:space="0" w:color="auto"/>
      </w:divBdr>
    </w:div>
    <w:div w:id="1106730776">
      <w:marLeft w:val="0"/>
      <w:marRight w:val="0"/>
      <w:marTop w:val="0"/>
      <w:marBottom w:val="0"/>
      <w:divBdr>
        <w:top w:val="none" w:sz="0" w:space="0" w:color="auto"/>
        <w:left w:val="none" w:sz="0" w:space="0" w:color="auto"/>
        <w:bottom w:val="none" w:sz="0" w:space="0" w:color="auto"/>
        <w:right w:val="none" w:sz="0" w:space="0" w:color="auto"/>
      </w:divBdr>
    </w:div>
    <w:div w:id="1130243820">
      <w:bodyDiv w:val="1"/>
      <w:marLeft w:val="0"/>
      <w:marRight w:val="0"/>
      <w:marTop w:val="0"/>
      <w:marBottom w:val="0"/>
      <w:divBdr>
        <w:top w:val="none" w:sz="0" w:space="0" w:color="auto"/>
        <w:left w:val="none" w:sz="0" w:space="0" w:color="auto"/>
        <w:bottom w:val="none" w:sz="0" w:space="0" w:color="auto"/>
        <w:right w:val="none" w:sz="0" w:space="0" w:color="auto"/>
      </w:divBdr>
    </w:div>
    <w:div w:id="1144199963">
      <w:bodyDiv w:val="1"/>
      <w:marLeft w:val="0"/>
      <w:marRight w:val="0"/>
      <w:marTop w:val="0"/>
      <w:marBottom w:val="0"/>
      <w:divBdr>
        <w:top w:val="none" w:sz="0" w:space="0" w:color="auto"/>
        <w:left w:val="none" w:sz="0" w:space="0" w:color="auto"/>
        <w:bottom w:val="none" w:sz="0" w:space="0" w:color="auto"/>
        <w:right w:val="none" w:sz="0" w:space="0" w:color="auto"/>
      </w:divBdr>
    </w:div>
    <w:div w:id="1178614596">
      <w:bodyDiv w:val="1"/>
      <w:marLeft w:val="0"/>
      <w:marRight w:val="0"/>
      <w:marTop w:val="0"/>
      <w:marBottom w:val="0"/>
      <w:divBdr>
        <w:top w:val="none" w:sz="0" w:space="0" w:color="auto"/>
        <w:left w:val="none" w:sz="0" w:space="0" w:color="auto"/>
        <w:bottom w:val="none" w:sz="0" w:space="0" w:color="auto"/>
        <w:right w:val="none" w:sz="0" w:space="0" w:color="auto"/>
      </w:divBdr>
    </w:div>
    <w:div w:id="1187980740">
      <w:bodyDiv w:val="1"/>
      <w:marLeft w:val="0"/>
      <w:marRight w:val="0"/>
      <w:marTop w:val="0"/>
      <w:marBottom w:val="0"/>
      <w:divBdr>
        <w:top w:val="none" w:sz="0" w:space="0" w:color="auto"/>
        <w:left w:val="none" w:sz="0" w:space="0" w:color="auto"/>
        <w:bottom w:val="none" w:sz="0" w:space="0" w:color="auto"/>
        <w:right w:val="none" w:sz="0" w:space="0" w:color="auto"/>
      </w:divBdr>
    </w:div>
    <w:div w:id="1228959481">
      <w:bodyDiv w:val="1"/>
      <w:marLeft w:val="0"/>
      <w:marRight w:val="0"/>
      <w:marTop w:val="0"/>
      <w:marBottom w:val="0"/>
      <w:divBdr>
        <w:top w:val="none" w:sz="0" w:space="0" w:color="auto"/>
        <w:left w:val="none" w:sz="0" w:space="0" w:color="auto"/>
        <w:bottom w:val="none" w:sz="0" w:space="0" w:color="auto"/>
        <w:right w:val="none" w:sz="0" w:space="0" w:color="auto"/>
      </w:divBdr>
    </w:div>
    <w:div w:id="1233079492">
      <w:bodyDiv w:val="1"/>
      <w:marLeft w:val="0"/>
      <w:marRight w:val="0"/>
      <w:marTop w:val="0"/>
      <w:marBottom w:val="0"/>
      <w:divBdr>
        <w:top w:val="none" w:sz="0" w:space="0" w:color="auto"/>
        <w:left w:val="none" w:sz="0" w:space="0" w:color="auto"/>
        <w:bottom w:val="none" w:sz="0" w:space="0" w:color="auto"/>
        <w:right w:val="none" w:sz="0" w:space="0" w:color="auto"/>
      </w:divBdr>
    </w:div>
    <w:div w:id="1243249440">
      <w:bodyDiv w:val="1"/>
      <w:marLeft w:val="0"/>
      <w:marRight w:val="0"/>
      <w:marTop w:val="0"/>
      <w:marBottom w:val="0"/>
      <w:divBdr>
        <w:top w:val="none" w:sz="0" w:space="0" w:color="auto"/>
        <w:left w:val="none" w:sz="0" w:space="0" w:color="auto"/>
        <w:bottom w:val="none" w:sz="0" w:space="0" w:color="auto"/>
        <w:right w:val="none" w:sz="0" w:space="0" w:color="auto"/>
      </w:divBdr>
    </w:div>
    <w:div w:id="1256203854">
      <w:bodyDiv w:val="1"/>
      <w:marLeft w:val="0"/>
      <w:marRight w:val="0"/>
      <w:marTop w:val="0"/>
      <w:marBottom w:val="0"/>
      <w:divBdr>
        <w:top w:val="none" w:sz="0" w:space="0" w:color="auto"/>
        <w:left w:val="none" w:sz="0" w:space="0" w:color="auto"/>
        <w:bottom w:val="none" w:sz="0" w:space="0" w:color="auto"/>
        <w:right w:val="none" w:sz="0" w:space="0" w:color="auto"/>
      </w:divBdr>
    </w:div>
    <w:div w:id="1257055330">
      <w:bodyDiv w:val="1"/>
      <w:marLeft w:val="0"/>
      <w:marRight w:val="0"/>
      <w:marTop w:val="0"/>
      <w:marBottom w:val="0"/>
      <w:divBdr>
        <w:top w:val="none" w:sz="0" w:space="0" w:color="auto"/>
        <w:left w:val="none" w:sz="0" w:space="0" w:color="auto"/>
        <w:bottom w:val="none" w:sz="0" w:space="0" w:color="auto"/>
        <w:right w:val="none" w:sz="0" w:space="0" w:color="auto"/>
      </w:divBdr>
    </w:div>
    <w:div w:id="1330139006">
      <w:bodyDiv w:val="1"/>
      <w:marLeft w:val="0"/>
      <w:marRight w:val="0"/>
      <w:marTop w:val="0"/>
      <w:marBottom w:val="0"/>
      <w:divBdr>
        <w:top w:val="none" w:sz="0" w:space="0" w:color="auto"/>
        <w:left w:val="none" w:sz="0" w:space="0" w:color="auto"/>
        <w:bottom w:val="none" w:sz="0" w:space="0" w:color="auto"/>
        <w:right w:val="none" w:sz="0" w:space="0" w:color="auto"/>
      </w:divBdr>
    </w:div>
    <w:div w:id="1335105786">
      <w:bodyDiv w:val="1"/>
      <w:marLeft w:val="0"/>
      <w:marRight w:val="0"/>
      <w:marTop w:val="0"/>
      <w:marBottom w:val="0"/>
      <w:divBdr>
        <w:top w:val="none" w:sz="0" w:space="0" w:color="auto"/>
        <w:left w:val="none" w:sz="0" w:space="0" w:color="auto"/>
        <w:bottom w:val="none" w:sz="0" w:space="0" w:color="auto"/>
        <w:right w:val="none" w:sz="0" w:space="0" w:color="auto"/>
      </w:divBdr>
    </w:div>
    <w:div w:id="1338658582">
      <w:bodyDiv w:val="1"/>
      <w:marLeft w:val="0"/>
      <w:marRight w:val="0"/>
      <w:marTop w:val="0"/>
      <w:marBottom w:val="0"/>
      <w:divBdr>
        <w:top w:val="none" w:sz="0" w:space="0" w:color="auto"/>
        <w:left w:val="none" w:sz="0" w:space="0" w:color="auto"/>
        <w:bottom w:val="none" w:sz="0" w:space="0" w:color="auto"/>
        <w:right w:val="none" w:sz="0" w:space="0" w:color="auto"/>
      </w:divBdr>
    </w:div>
    <w:div w:id="1406799979">
      <w:bodyDiv w:val="1"/>
      <w:marLeft w:val="0"/>
      <w:marRight w:val="0"/>
      <w:marTop w:val="0"/>
      <w:marBottom w:val="0"/>
      <w:divBdr>
        <w:top w:val="none" w:sz="0" w:space="0" w:color="auto"/>
        <w:left w:val="none" w:sz="0" w:space="0" w:color="auto"/>
        <w:bottom w:val="none" w:sz="0" w:space="0" w:color="auto"/>
        <w:right w:val="none" w:sz="0" w:space="0" w:color="auto"/>
      </w:divBdr>
    </w:div>
    <w:div w:id="1453547875">
      <w:bodyDiv w:val="1"/>
      <w:marLeft w:val="0"/>
      <w:marRight w:val="0"/>
      <w:marTop w:val="0"/>
      <w:marBottom w:val="0"/>
      <w:divBdr>
        <w:top w:val="none" w:sz="0" w:space="0" w:color="auto"/>
        <w:left w:val="none" w:sz="0" w:space="0" w:color="auto"/>
        <w:bottom w:val="none" w:sz="0" w:space="0" w:color="auto"/>
        <w:right w:val="none" w:sz="0" w:space="0" w:color="auto"/>
      </w:divBdr>
    </w:div>
    <w:div w:id="1498502064">
      <w:bodyDiv w:val="1"/>
      <w:marLeft w:val="0"/>
      <w:marRight w:val="0"/>
      <w:marTop w:val="0"/>
      <w:marBottom w:val="0"/>
      <w:divBdr>
        <w:top w:val="none" w:sz="0" w:space="0" w:color="auto"/>
        <w:left w:val="none" w:sz="0" w:space="0" w:color="auto"/>
        <w:bottom w:val="none" w:sz="0" w:space="0" w:color="auto"/>
        <w:right w:val="none" w:sz="0" w:space="0" w:color="auto"/>
      </w:divBdr>
    </w:div>
    <w:div w:id="1500736193">
      <w:bodyDiv w:val="1"/>
      <w:marLeft w:val="0"/>
      <w:marRight w:val="0"/>
      <w:marTop w:val="0"/>
      <w:marBottom w:val="0"/>
      <w:divBdr>
        <w:top w:val="none" w:sz="0" w:space="0" w:color="auto"/>
        <w:left w:val="none" w:sz="0" w:space="0" w:color="auto"/>
        <w:bottom w:val="none" w:sz="0" w:space="0" w:color="auto"/>
        <w:right w:val="none" w:sz="0" w:space="0" w:color="auto"/>
      </w:divBdr>
    </w:div>
    <w:div w:id="1524711332">
      <w:bodyDiv w:val="1"/>
      <w:marLeft w:val="0"/>
      <w:marRight w:val="0"/>
      <w:marTop w:val="0"/>
      <w:marBottom w:val="0"/>
      <w:divBdr>
        <w:top w:val="none" w:sz="0" w:space="0" w:color="auto"/>
        <w:left w:val="none" w:sz="0" w:space="0" w:color="auto"/>
        <w:bottom w:val="none" w:sz="0" w:space="0" w:color="auto"/>
        <w:right w:val="none" w:sz="0" w:space="0" w:color="auto"/>
      </w:divBdr>
    </w:div>
    <w:div w:id="1539077781">
      <w:bodyDiv w:val="1"/>
      <w:marLeft w:val="0"/>
      <w:marRight w:val="0"/>
      <w:marTop w:val="0"/>
      <w:marBottom w:val="0"/>
      <w:divBdr>
        <w:top w:val="none" w:sz="0" w:space="0" w:color="auto"/>
        <w:left w:val="none" w:sz="0" w:space="0" w:color="auto"/>
        <w:bottom w:val="none" w:sz="0" w:space="0" w:color="auto"/>
        <w:right w:val="none" w:sz="0" w:space="0" w:color="auto"/>
      </w:divBdr>
    </w:div>
    <w:div w:id="1559318437">
      <w:bodyDiv w:val="1"/>
      <w:marLeft w:val="0"/>
      <w:marRight w:val="0"/>
      <w:marTop w:val="0"/>
      <w:marBottom w:val="0"/>
      <w:divBdr>
        <w:top w:val="none" w:sz="0" w:space="0" w:color="auto"/>
        <w:left w:val="none" w:sz="0" w:space="0" w:color="auto"/>
        <w:bottom w:val="none" w:sz="0" w:space="0" w:color="auto"/>
        <w:right w:val="none" w:sz="0" w:space="0" w:color="auto"/>
      </w:divBdr>
    </w:div>
    <w:div w:id="1563906564">
      <w:bodyDiv w:val="1"/>
      <w:marLeft w:val="0"/>
      <w:marRight w:val="0"/>
      <w:marTop w:val="0"/>
      <w:marBottom w:val="0"/>
      <w:divBdr>
        <w:top w:val="none" w:sz="0" w:space="0" w:color="auto"/>
        <w:left w:val="none" w:sz="0" w:space="0" w:color="auto"/>
        <w:bottom w:val="none" w:sz="0" w:space="0" w:color="auto"/>
        <w:right w:val="none" w:sz="0" w:space="0" w:color="auto"/>
      </w:divBdr>
    </w:div>
    <w:div w:id="1600945923">
      <w:bodyDiv w:val="1"/>
      <w:marLeft w:val="0"/>
      <w:marRight w:val="0"/>
      <w:marTop w:val="0"/>
      <w:marBottom w:val="0"/>
      <w:divBdr>
        <w:top w:val="none" w:sz="0" w:space="0" w:color="auto"/>
        <w:left w:val="none" w:sz="0" w:space="0" w:color="auto"/>
        <w:bottom w:val="none" w:sz="0" w:space="0" w:color="auto"/>
        <w:right w:val="none" w:sz="0" w:space="0" w:color="auto"/>
      </w:divBdr>
    </w:div>
    <w:div w:id="1634213285">
      <w:bodyDiv w:val="1"/>
      <w:marLeft w:val="0"/>
      <w:marRight w:val="0"/>
      <w:marTop w:val="0"/>
      <w:marBottom w:val="0"/>
      <w:divBdr>
        <w:top w:val="none" w:sz="0" w:space="0" w:color="auto"/>
        <w:left w:val="none" w:sz="0" w:space="0" w:color="auto"/>
        <w:bottom w:val="none" w:sz="0" w:space="0" w:color="auto"/>
        <w:right w:val="none" w:sz="0" w:space="0" w:color="auto"/>
      </w:divBdr>
    </w:div>
    <w:div w:id="1686327558">
      <w:bodyDiv w:val="1"/>
      <w:marLeft w:val="0"/>
      <w:marRight w:val="0"/>
      <w:marTop w:val="0"/>
      <w:marBottom w:val="0"/>
      <w:divBdr>
        <w:top w:val="none" w:sz="0" w:space="0" w:color="auto"/>
        <w:left w:val="none" w:sz="0" w:space="0" w:color="auto"/>
        <w:bottom w:val="none" w:sz="0" w:space="0" w:color="auto"/>
        <w:right w:val="none" w:sz="0" w:space="0" w:color="auto"/>
      </w:divBdr>
    </w:div>
    <w:div w:id="1725643683">
      <w:bodyDiv w:val="1"/>
      <w:marLeft w:val="0"/>
      <w:marRight w:val="0"/>
      <w:marTop w:val="0"/>
      <w:marBottom w:val="0"/>
      <w:divBdr>
        <w:top w:val="none" w:sz="0" w:space="0" w:color="auto"/>
        <w:left w:val="none" w:sz="0" w:space="0" w:color="auto"/>
        <w:bottom w:val="none" w:sz="0" w:space="0" w:color="auto"/>
        <w:right w:val="none" w:sz="0" w:space="0" w:color="auto"/>
      </w:divBdr>
    </w:div>
    <w:div w:id="1776092097">
      <w:bodyDiv w:val="1"/>
      <w:marLeft w:val="0"/>
      <w:marRight w:val="0"/>
      <w:marTop w:val="0"/>
      <w:marBottom w:val="0"/>
      <w:divBdr>
        <w:top w:val="none" w:sz="0" w:space="0" w:color="auto"/>
        <w:left w:val="none" w:sz="0" w:space="0" w:color="auto"/>
        <w:bottom w:val="none" w:sz="0" w:space="0" w:color="auto"/>
        <w:right w:val="none" w:sz="0" w:space="0" w:color="auto"/>
      </w:divBdr>
    </w:div>
    <w:div w:id="1801920012">
      <w:bodyDiv w:val="1"/>
      <w:marLeft w:val="0"/>
      <w:marRight w:val="0"/>
      <w:marTop w:val="0"/>
      <w:marBottom w:val="0"/>
      <w:divBdr>
        <w:top w:val="none" w:sz="0" w:space="0" w:color="auto"/>
        <w:left w:val="none" w:sz="0" w:space="0" w:color="auto"/>
        <w:bottom w:val="none" w:sz="0" w:space="0" w:color="auto"/>
        <w:right w:val="none" w:sz="0" w:space="0" w:color="auto"/>
      </w:divBdr>
    </w:div>
    <w:div w:id="1824471250">
      <w:bodyDiv w:val="1"/>
      <w:marLeft w:val="0"/>
      <w:marRight w:val="0"/>
      <w:marTop w:val="0"/>
      <w:marBottom w:val="0"/>
      <w:divBdr>
        <w:top w:val="none" w:sz="0" w:space="0" w:color="auto"/>
        <w:left w:val="none" w:sz="0" w:space="0" w:color="auto"/>
        <w:bottom w:val="none" w:sz="0" w:space="0" w:color="auto"/>
        <w:right w:val="none" w:sz="0" w:space="0" w:color="auto"/>
      </w:divBdr>
    </w:div>
    <w:div w:id="1845973004">
      <w:bodyDiv w:val="1"/>
      <w:marLeft w:val="0"/>
      <w:marRight w:val="0"/>
      <w:marTop w:val="0"/>
      <w:marBottom w:val="0"/>
      <w:divBdr>
        <w:top w:val="none" w:sz="0" w:space="0" w:color="auto"/>
        <w:left w:val="none" w:sz="0" w:space="0" w:color="auto"/>
        <w:bottom w:val="none" w:sz="0" w:space="0" w:color="auto"/>
        <w:right w:val="none" w:sz="0" w:space="0" w:color="auto"/>
      </w:divBdr>
    </w:div>
    <w:div w:id="1856074974">
      <w:bodyDiv w:val="1"/>
      <w:marLeft w:val="0"/>
      <w:marRight w:val="0"/>
      <w:marTop w:val="0"/>
      <w:marBottom w:val="0"/>
      <w:divBdr>
        <w:top w:val="none" w:sz="0" w:space="0" w:color="auto"/>
        <w:left w:val="none" w:sz="0" w:space="0" w:color="auto"/>
        <w:bottom w:val="none" w:sz="0" w:space="0" w:color="auto"/>
        <w:right w:val="none" w:sz="0" w:space="0" w:color="auto"/>
      </w:divBdr>
    </w:div>
    <w:div w:id="1859270139">
      <w:bodyDiv w:val="1"/>
      <w:marLeft w:val="0"/>
      <w:marRight w:val="0"/>
      <w:marTop w:val="0"/>
      <w:marBottom w:val="0"/>
      <w:divBdr>
        <w:top w:val="none" w:sz="0" w:space="0" w:color="auto"/>
        <w:left w:val="none" w:sz="0" w:space="0" w:color="auto"/>
        <w:bottom w:val="none" w:sz="0" w:space="0" w:color="auto"/>
        <w:right w:val="none" w:sz="0" w:space="0" w:color="auto"/>
      </w:divBdr>
    </w:div>
    <w:div w:id="1895657815">
      <w:bodyDiv w:val="1"/>
      <w:marLeft w:val="0"/>
      <w:marRight w:val="0"/>
      <w:marTop w:val="0"/>
      <w:marBottom w:val="0"/>
      <w:divBdr>
        <w:top w:val="none" w:sz="0" w:space="0" w:color="auto"/>
        <w:left w:val="none" w:sz="0" w:space="0" w:color="auto"/>
        <w:bottom w:val="none" w:sz="0" w:space="0" w:color="auto"/>
        <w:right w:val="none" w:sz="0" w:space="0" w:color="auto"/>
      </w:divBdr>
    </w:div>
    <w:div w:id="1935046149">
      <w:bodyDiv w:val="1"/>
      <w:marLeft w:val="0"/>
      <w:marRight w:val="0"/>
      <w:marTop w:val="0"/>
      <w:marBottom w:val="0"/>
      <w:divBdr>
        <w:top w:val="none" w:sz="0" w:space="0" w:color="auto"/>
        <w:left w:val="none" w:sz="0" w:space="0" w:color="auto"/>
        <w:bottom w:val="none" w:sz="0" w:space="0" w:color="auto"/>
        <w:right w:val="none" w:sz="0" w:space="0" w:color="auto"/>
      </w:divBdr>
    </w:div>
    <w:div w:id="1944876115">
      <w:bodyDiv w:val="1"/>
      <w:marLeft w:val="0"/>
      <w:marRight w:val="0"/>
      <w:marTop w:val="0"/>
      <w:marBottom w:val="0"/>
      <w:divBdr>
        <w:top w:val="none" w:sz="0" w:space="0" w:color="auto"/>
        <w:left w:val="none" w:sz="0" w:space="0" w:color="auto"/>
        <w:bottom w:val="none" w:sz="0" w:space="0" w:color="auto"/>
        <w:right w:val="none" w:sz="0" w:space="0" w:color="auto"/>
      </w:divBdr>
    </w:div>
    <w:div w:id="2075351829">
      <w:bodyDiv w:val="1"/>
      <w:marLeft w:val="0"/>
      <w:marRight w:val="0"/>
      <w:marTop w:val="0"/>
      <w:marBottom w:val="0"/>
      <w:divBdr>
        <w:top w:val="none" w:sz="0" w:space="0" w:color="auto"/>
        <w:left w:val="none" w:sz="0" w:space="0" w:color="auto"/>
        <w:bottom w:val="none" w:sz="0" w:space="0" w:color="auto"/>
        <w:right w:val="none" w:sz="0" w:space="0" w:color="auto"/>
      </w:divBdr>
    </w:div>
    <w:div w:id="2077701654">
      <w:bodyDiv w:val="1"/>
      <w:marLeft w:val="0"/>
      <w:marRight w:val="0"/>
      <w:marTop w:val="0"/>
      <w:marBottom w:val="0"/>
      <w:divBdr>
        <w:top w:val="none" w:sz="0" w:space="0" w:color="auto"/>
        <w:left w:val="none" w:sz="0" w:space="0" w:color="auto"/>
        <w:bottom w:val="none" w:sz="0" w:space="0" w:color="auto"/>
        <w:right w:val="none" w:sz="0" w:space="0" w:color="auto"/>
      </w:divBdr>
    </w:div>
    <w:div w:id="2080402674">
      <w:bodyDiv w:val="1"/>
      <w:marLeft w:val="0"/>
      <w:marRight w:val="0"/>
      <w:marTop w:val="0"/>
      <w:marBottom w:val="0"/>
      <w:divBdr>
        <w:top w:val="none" w:sz="0" w:space="0" w:color="auto"/>
        <w:left w:val="none" w:sz="0" w:space="0" w:color="auto"/>
        <w:bottom w:val="none" w:sz="0" w:space="0" w:color="auto"/>
        <w:right w:val="none" w:sz="0" w:space="0" w:color="auto"/>
      </w:divBdr>
    </w:div>
    <w:div w:id="2097435223">
      <w:bodyDiv w:val="1"/>
      <w:marLeft w:val="0"/>
      <w:marRight w:val="0"/>
      <w:marTop w:val="0"/>
      <w:marBottom w:val="0"/>
      <w:divBdr>
        <w:top w:val="none" w:sz="0" w:space="0" w:color="auto"/>
        <w:left w:val="none" w:sz="0" w:space="0" w:color="auto"/>
        <w:bottom w:val="none" w:sz="0" w:space="0" w:color="auto"/>
        <w:right w:val="none" w:sz="0" w:space="0" w:color="auto"/>
      </w:divBdr>
    </w:div>
    <w:div w:id="2111968608">
      <w:bodyDiv w:val="1"/>
      <w:marLeft w:val="0"/>
      <w:marRight w:val="0"/>
      <w:marTop w:val="0"/>
      <w:marBottom w:val="0"/>
      <w:divBdr>
        <w:top w:val="none" w:sz="0" w:space="0" w:color="auto"/>
        <w:left w:val="none" w:sz="0" w:space="0" w:color="auto"/>
        <w:bottom w:val="none" w:sz="0" w:space="0" w:color="auto"/>
        <w:right w:val="none" w:sz="0" w:space="0" w:color="auto"/>
      </w:divBdr>
    </w:div>
    <w:div w:id="214172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78538-1DF3-4615-A8E1-51CBB778CC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24E3C3-0B75-4F1C-84D7-633F70B24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50A737-80BB-4843-8204-759F11D6409D}">
  <ds:schemaRefs>
    <ds:schemaRef ds:uri="http://schemas.microsoft.com/sharepoint/v3/contenttype/forms"/>
  </ds:schemaRefs>
</ds:datastoreItem>
</file>

<file path=customXml/itemProps4.xml><?xml version="1.0" encoding="utf-8"?>
<ds:datastoreItem xmlns:ds="http://schemas.openxmlformats.org/officeDocument/2006/customXml" ds:itemID="{2E532740-E1EA-4B89-981F-0EF6036F5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13772</Words>
  <Characters>75750</Characters>
  <Application>Microsoft Office Word</Application>
  <DocSecurity>0</DocSecurity>
  <Lines>631</Lines>
  <Paragraphs>178</Paragraphs>
  <ScaleCrop>false</ScaleCrop>
  <HeadingPairs>
    <vt:vector size="2" baseType="variant">
      <vt:variant>
        <vt:lpstr>Título</vt:lpstr>
      </vt:variant>
      <vt:variant>
        <vt:i4>1</vt:i4>
      </vt:variant>
    </vt:vector>
  </HeadingPairs>
  <TitlesOfParts>
    <vt:vector size="1" baseType="lpstr">
      <vt:lpstr>Consejero Ponente: Danilo Rojas Betancourth</vt:lpstr>
    </vt:vector>
  </TitlesOfParts>
  <Company>Consejo Superior de la Judicatura</Company>
  <LinksUpToDate>false</LinksUpToDate>
  <CharactersWithSpaces>89344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Consejero Ponente: Danilo Rojas Betancourth</dc:title>
  <dc:subject>Contractual</dc:subject>
  <dc:creator>Ana María</dc:creator>
  <cp:keywords>cosa juzgada, contrato concesión minera, licencia acto separable</cp:keywords>
  <dc:description>COSA JUZGADA - 
El actor solicitó la nulidad de las Resoluciones No. 701595 del 23 de octubre de 1997 y 012-99 del 17 de junio de 1999, así como la nulidad y terminación del contrato de concesión minera No. 16223 del 26 de marzo de 1996, con fundamento en los artículos 44 y 45 de la Ley 80 de 1993 ante la anulación de las resoluciones por medio de las cuales se otorgó la licencia de exploración No. 16223.</dc:description>
  <cp:lastModifiedBy>FLOR ANGELA Aldana</cp:lastModifiedBy>
  <cp:revision>2</cp:revision>
  <cp:lastPrinted>2017-11-30T16:05:00Z</cp:lastPrinted>
  <dcterms:created xsi:type="dcterms:W3CDTF">2020-06-27T04:21:00Z</dcterms:created>
  <dcterms:modified xsi:type="dcterms:W3CDTF">2020-06-27T04:21:00Z</dcterms:modified>
  <cp:category>Niega</cp:category>
</cp:coreProperties>
</file>