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7F808" w14:textId="77777777" w:rsidR="000E6009" w:rsidRPr="00143B30" w:rsidRDefault="000E6009" w:rsidP="00B81005">
      <w:pPr>
        <w:pStyle w:val="Ttulo"/>
        <w:jc w:val="both"/>
        <w:rPr>
          <w:szCs w:val="22"/>
        </w:rPr>
      </w:pPr>
      <w:r w:rsidRPr="00143B30">
        <w:rPr>
          <w:szCs w:val="22"/>
        </w:rPr>
        <w:t xml:space="preserve">CADUCIDAD </w:t>
      </w:r>
      <w:r w:rsidR="00524CBF" w:rsidRPr="00143B30">
        <w:rPr>
          <w:szCs w:val="22"/>
        </w:rPr>
        <w:t>DE LA ACCIÓN</w:t>
      </w:r>
      <w:r w:rsidRPr="00143B30">
        <w:rPr>
          <w:szCs w:val="22"/>
        </w:rPr>
        <w:t xml:space="preserve"> </w:t>
      </w:r>
      <w:r w:rsidR="00524CBF" w:rsidRPr="00143B30">
        <w:rPr>
          <w:szCs w:val="22"/>
        </w:rPr>
        <w:t>-</w:t>
      </w:r>
      <w:r w:rsidRPr="00143B30">
        <w:rPr>
          <w:szCs w:val="22"/>
        </w:rPr>
        <w:t xml:space="preserve"> </w:t>
      </w:r>
      <w:r w:rsidR="00524CBF" w:rsidRPr="00143B30">
        <w:rPr>
          <w:szCs w:val="22"/>
        </w:rPr>
        <w:t>Laudo</w:t>
      </w:r>
      <w:r w:rsidR="00BC5E93" w:rsidRPr="00143B30">
        <w:rPr>
          <w:szCs w:val="22"/>
        </w:rPr>
        <w:t xml:space="preserve"> arbitral</w:t>
      </w:r>
      <w:r w:rsidR="00440089" w:rsidRPr="00143B30">
        <w:rPr>
          <w:szCs w:val="22"/>
        </w:rPr>
        <w:t xml:space="preserve"> </w:t>
      </w:r>
      <w:r w:rsidR="00524CBF" w:rsidRPr="00143B30">
        <w:rPr>
          <w:szCs w:val="22"/>
        </w:rPr>
        <w:t>- Nulidad -</w:t>
      </w:r>
      <w:r w:rsidR="00440089" w:rsidRPr="00143B30">
        <w:rPr>
          <w:szCs w:val="22"/>
        </w:rPr>
        <w:t xml:space="preserve"> </w:t>
      </w:r>
      <w:r w:rsidR="0049504D" w:rsidRPr="00143B30">
        <w:rPr>
          <w:szCs w:val="22"/>
        </w:rPr>
        <w:t>Característica</w:t>
      </w:r>
      <w:r w:rsidR="00C928E7" w:rsidRPr="00143B30">
        <w:rPr>
          <w:szCs w:val="22"/>
        </w:rPr>
        <w:t>s</w:t>
      </w:r>
      <w:r w:rsidR="0049504D" w:rsidRPr="00143B30">
        <w:rPr>
          <w:szCs w:val="22"/>
        </w:rPr>
        <w:t xml:space="preserve"> </w:t>
      </w:r>
    </w:p>
    <w:p w14:paraId="45630D4B" w14:textId="77777777" w:rsidR="006874B0" w:rsidRPr="00143B30" w:rsidRDefault="006874B0" w:rsidP="00B81005">
      <w:pPr>
        <w:pStyle w:val="Ttulo"/>
        <w:jc w:val="both"/>
        <w:rPr>
          <w:b w:val="0"/>
          <w:bCs w:val="0"/>
          <w:szCs w:val="22"/>
        </w:rPr>
      </w:pPr>
    </w:p>
    <w:p w14:paraId="0401CD8B" w14:textId="77777777" w:rsidR="006874B0" w:rsidRPr="00143B30" w:rsidRDefault="006874B0" w:rsidP="00B81005">
      <w:pPr>
        <w:pStyle w:val="NormalWeb"/>
        <w:shd w:val="clear" w:color="auto" w:fill="FFFFFF"/>
        <w:spacing w:before="0" w:beforeAutospacing="0" w:after="0" w:afterAutospacing="0" w:line="240" w:lineRule="auto"/>
        <w:rPr>
          <w:rFonts w:cs="Arial"/>
          <w:sz w:val="22"/>
          <w:szCs w:val="22"/>
        </w:rPr>
      </w:pPr>
      <w:r w:rsidRPr="00143B30">
        <w:rPr>
          <w:rFonts w:cs="Arial"/>
          <w:sz w:val="22"/>
          <w:szCs w:val="22"/>
        </w:rPr>
        <w:t xml:space="preserve">La caducidad de la acción es una de las causales que en forma taxativa ha sido prevista por el estatuto de arbitraje contenido en la Ley 1563 de 2012, para fundar la anulación del Laudo Arbitral, </w:t>
      </w:r>
      <w:r w:rsidR="0082399A" w:rsidRPr="00143B30">
        <w:rPr>
          <w:rFonts w:cs="Arial"/>
          <w:sz w:val="22"/>
          <w:szCs w:val="22"/>
        </w:rPr>
        <w:t>…</w:t>
      </w:r>
      <w:r w:rsidRPr="00143B30">
        <w:rPr>
          <w:rFonts w:cs="Arial"/>
          <w:sz w:val="22"/>
          <w:szCs w:val="22"/>
        </w:rPr>
        <w:t xml:space="preserve">La </w:t>
      </w:r>
      <w:proofErr w:type="spellStart"/>
      <w:r w:rsidRPr="00143B30">
        <w:rPr>
          <w:rFonts w:cs="Arial"/>
          <w:sz w:val="22"/>
          <w:szCs w:val="22"/>
        </w:rPr>
        <w:t>operancia</w:t>
      </w:r>
      <w:proofErr w:type="spellEnd"/>
      <w:r w:rsidRPr="00143B30">
        <w:rPr>
          <w:rFonts w:cs="Arial"/>
          <w:sz w:val="22"/>
          <w:szCs w:val="22"/>
        </w:rPr>
        <w:t xml:space="preserve"> de la caducidad de la acción constituye un obstáculo legal infranqueable en virtud del cual por el hecho de la no presentación de la demanda en el lapso fijado por la ley, se extingue el derecho a incoar la acción y por ende se inhibe la potestad para administrar justicia (bien sea en la jurisdicción arbitral o en la que naturalmente correspondería en caso de no existir la cláusula compromisoria) y por tanto para desatar el fondo de la controversia. En vigencia de la Ley 1563 de 2012 la tipificación de la caducidad de la acción como causa idónea para fundar la nulidad del laudo arbitral no reviste discusión, -como tampoco se presentó en este proceso- toda vez que a la luz del nuevo estatuto de arbitraje fue expresamente contemplada en la ley, en la causal 2º del artículo 41.</w:t>
      </w:r>
      <w:r w:rsidR="00BB421E" w:rsidRPr="00143B30">
        <w:rPr>
          <w:rFonts w:cs="Arial"/>
          <w:sz w:val="22"/>
          <w:szCs w:val="22"/>
        </w:rPr>
        <w:t xml:space="preserve"> </w:t>
      </w:r>
      <w:r w:rsidRPr="00143B30">
        <w:rPr>
          <w:rFonts w:cs="Arial"/>
          <w:sz w:val="22"/>
          <w:szCs w:val="22"/>
        </w:rPr>
        <w:t>Es importante precisar que siguiendo los dictados del citado artículo 41 de la Ley 1563 de 2012, la procedencia de la caducidad de la acción como causal del recurso de anulación del laudo arbitral está sometida a la condición de haber sido alegada por el demandado previamente dentro del proceso arbitral, “</w:t>
      </w:r>
      <w:r w:rsidRPr="00143B30">
        <w:rPr>
          <w:rFonts w:cs="Arial"/>
          <w:color w:val="000000"/>
          <w:sz w:val="22"/>
          <w:szCs w:val="22"/>
        </w:rPr>
        <w:t>mediante recurso de reposición contra el auto de asunción de competencia”</w:t>
      </w:r>
      <w:r w:rsidRPr="00143B30">
        <w:rPr>
          <w:rFonts w:cs="Arial"/>
          <w:sz w:val="22"/>
          <w:szCs w:val="22"/>
        </w:rPr>
        <w:t xml:space="preserve">. </w:t>
      </w:r>
    </w:p>
    <w:p w14:paraId="5436F20F" w14:textId="77777777" w:rsidR="006874B0" w:rsidRPr="00143B30" w:rsidRDefault="006874B0" w:rsidP="00B81005">
      <w:pPr>
        <w:pStyle w:val="Continuarlista2"/>
        <w:spacing w:after="0" w:line="240" w:lineRule="auto"/>
        <w:ind w:left="0"/>
        <w:rPr>
          <w:rFonts w:cs="Arial"/>
          <w:sz w:val="22"/>
          <w:szCs w:val="22"/>
        </w:rPr>
      </w:pPr>
    </w:p>
    <w:p w14:paraId="5AF11BDD" w14:textId="77777777" w:rsidR="00BB421E" w:rsidRPr="00143B30" w:rsidRDefault="00BB421E" w:rsidP="00B81005">
      <w:pPr>
        <w:pStyle w:val="Continuarlista2"/>
        <w:spacing w:after="0" w:line="240" w:lineRule="auto"/>
        <w:ind w:left="0"/>
        <w:rPr>
          <w:rFonts w:cs="Arial"/>
          <w:b/>
          <w:bCs/>
          <w:sz w:val="22"/>
          <w:szCs w:val="22"/>
        </w:rPr>
      </w:pPr>
      <w:r w:rsidRPr="00143B30">
        <w:rPr>
          <w:rFonts w:cs="Arial"/>
          <w:b/>
          <w:bCs/>
          <w:sz w:val="22"/>
          <w:szCs w:val="22"/>
        </w:rPr>
        <w:t xml:space="preserve">CADUCIDAD </w:t>
      </w:r>
      <w:r w:rsidR="00C928E7" w:rsidRPr="00143B30">
        <w:rPr>
          <w:rFonts w:cs="Arial"/>
          <w:b/>
          <w:bCs/>
          <w:sz w:val="22"/>
          <w:szCs w:val="22"/>
        </w:rPr>
        <w:t xml:space="preserve">DE LA ACCIÓN - Controversias contractuales - </w:t>
      </w:r>
      <w:r w:rsidR="00941DE3" w:rsidRPr="00143B30">
        <w:rPr>
          <w:rFonts w:cs="Arial"/>
          <w:b/>
          <w:bCs/>
          <w:sz w:val="22"/>
          <w:szCs w:val="22"/>
        </w:rPr>
        <w:t xml:space="preserve">Cómputo </w:t>
      </w:r>
      <w:r w:rsidR="00C928E7" w:rsidRPr="00143B30">
        <w:rPr>
          <w:rFonts w:cs="Arial"/>
          <w:b/>
          <w:bCs/>
          <w:sz w:val="22"/>
          <w:szCs w:val="22"/>
        </w:rPr>
        <w:t>- Término</w:t>
      </w:r>
    </w:p>
    <w:p w14:paraId="6EC6D522" w14:textId="77777777" w:rsidR="006874B0" w:rsidRPr="00143B30" w:rsidRDefault="006874B0" w:rsidP="00B81005">
      <w:pPr>
        <w:pStyle w:val="Continuarlista2"/>
        <w:spacing w:after="0" w:line="240" w:lineRule="auto"/>
        <w:ind w:left="0"/>
        <w:rPr>
          <w:rFonts w:cs="Arial"/>
          <w:sz w:val="22"/>
          <w:szCs w:val="22"/>
        </w:rPr>
      </w:pPr>
    </w:p>
    <w:p w14:paraId="5CEB701D" w14:textId="77777777" w:rsidR="006874B0" w:rsidRPr="00143B30" w:rsidRDefault="006874B0" w:rsidP="00B81005">
      <w:pPr>
        <w:pStyle w:val="Continuarlista2"/>
        <w:spacing w:after="0" w:line="240" w:lineRule="auto"/>
        <w:ind w:left="0"/>
        <w:rPr>
          <w:rFonts w:cs="Arial"/>
          <w:sz w:val="22"/>
          <w:szCs w:val="22"/>
        </w:rPr>
      </w:pPr>
      <w:r w:rsidRPr="00143B30">
        <w:rPr>
          <w:rFonts w:cs="Arial"/>
          <w:sz w:val="22"/>
          <w:szCs w:val="22"/>
        </w:rPr>
        <w:t xml:space="preserve">Se puntualiza que en tratándose del contrato estatal las reglas de la caducidad de la acción ante la jurisdicción arbitral, son las mismas que rigen la “oportunidad para presentar la demanda” en el procedimiento judicial ante la Jurisdicción de lo Contencioso Administrativo y se encuentran previstas para cada uno de los “medios de control” establecidos en el Código de Procedimiento Administrativo y de lo Contencioso Administrativo (C.P.A.C.A) contenido en la Ley 1437 de 2011 que entró en vigencia el 2 de julio de 2012, con anterioridad a la presentación de la demanda en el presente caso. Por último, se debe tener claro que la oportunidad en la presentación de la demanda -y por ende la no ocurrencia a de la caducidad de la acción-, hace parte de los presupuestos procesales de la acción o medio de control de controversias contractuales, con independencia de que el contrato se rija por el derecho privado. Cosa distinta es que en los contratos que se rigen por el derecho privado no aplica el imperativo legal de la liquidación del contrato ni el plazo supletivo de cuatro meses establecido para la etapa de liquidación de acuerdo con el artículo 60 de la Ley 80 de 1993 y el artículo 11 de la ley 1150 de 2007. </w:t>
      </w:r>
    </w:p>
    <w:p w14:paraId="4F38DEA1" w14:textId="77777777" w:rsidR="006874B0" w:rsidRPr="00143B30" w:rsidRDefault="006874B0" w:rsidP="00B81005">
      <w:pPr>
        <w:pStyle w:val="Continuarlista2"/>
        <w:spacing w:after="0" w:line="240" w:lineRule="auto"/>
        <w:ind w:left="0"/>
        <w:rPr>
          <w:rFonts w:cs="Arial"/>
          <w:sz w:val="22"/>
          <w:szCs w:val="22"/>
        </w:rPr>
      </w:pPr>
    </w:p>
    <w:p w14:paraId="53C19503" w14:textId="77777777" w:rsidR="00C928E7" w:rsidRPr="00143B30" w:rsidRDefault="00C928E7" w:rsidP="00B81005">
      <w:pPr>
        <w:pStyle w:val="Continuarlista2"/>
        <w:spacing w:after="0" w:line="240" w:lineRule="auto"/>
        <w:ind w:left="0"/>
        <w:rPr>
          <w:rFonts w:cs="Arial"/>
          <w:b/>
          <w:bCs/>
          <w:sz w:val="22"/>
          <w:szCs w:val="22"/>
        </w:rPr>
      </w:pPr>
      <w:r w:rsidRPr="00143B30">
        <w:rPr>
          <w:rFonts w:cs="Arial"/>
          <w:b/>
          <w:bCs/>
          <w:sz w:val="22"/>
          <w:szCs w:val="22"/>
        </w:rPr>
        <w:t>CADUCIDAD DE LA ACCIÓN - Cómputo - T</w:t>
      </w:r>
      <w:r w:rsidR="00566BC5" w:rsidRPr="00143B30">
        <w:rPr>
          <w:rFonts w:cs="Arial"/>
          <w:b/>
          <w:bCs/>
          <w:sz w:val="22"/>
          <w:szCs w:val="22"/>
        </w:rPr>
        <w:t>érmino</w:t>
      </w:r>
      <w:r w:rsidRPr="00143B30">
        <w:rPr>
          <w:rFonts w:cs="Arial"/>
          <w:b/>
          <w:bCs/>
          <w:sz w:val="22"/>
          <w:szCs w:val="22"/>
        </w:rPr>
        <w:t xml:space="preserve"> - Suspensión - </w:t>
      </w:r>
      <w:r w:rsidRPr="00143B30">
        <w:rPr>
          <w:rFonts w:cs="Arial"/>
          <w:b/>
          <w:sz w:val="22"/>
          <w:szCs w:val="22"/>
        </w:rPr>
        <w:t>Conciliación prejudicial</w:t>
      </w:r>
    </w:p>
    <w:p w14:paraId="447E7BB7" w14:textId="77777777" w:rsidR="00C928E7" w:rsidRPr="00143B30" w:rsidRDefault="00C928E7" w:rsidP="00B81005">
      <w:pPr>
        <w:pStyle w:val="Continuarlista2"/>
        <w:spacing w:after="0" w:line="240" w:lineRule="auto"/>
        <w:ind w:left="0"/>
        <w:rPr>
          <w:rFonts w:cs="Arial"/>
          <w:b/>
          <w:bCs/>
          <w:sz w:val="22"/>
          <w:szCs w:val="22"/>
        </w:rPr>
      </w:pPr>
    </w:p>
    <w:p w14:paraId="435CFD56" w14:textId="77777777" w:rsidR="006874B0" w:rsidRPr="00143B30" w:rsidRDefault="006874B0" w:rsidP="00B81005">
      <w:pPr>
        <w:pStyle w:val="Continuarlista2"/>
        <w:spacing w:after="0" w:line="240" w:lineRule="auto"/>
        <w:ind w:left="0"/>
        <w:rPr>
          <w:rFonts w:cs="Arial"/>
          <w:sz w:val="22"/>
          <w:szCs w:val="22"/>
        </w:rPr>
      </w:pPr>
      <w:r w:rsidRPr="00143B30">
        <w:rPr>
          <w:rFonts w:cs="Arial"/>
          <w:sz w:val="22"/>
          <w:szCs w:val="22"/>
        </w:rPr>
        <w:t>Es contrario a la hermenéutica jurídica entender que el término del contrato -referido en el artículo 164 del C.P.C.A. para efectos de la caducidad de la acción- incluye el plazo de liquidación del contrato, toda vez que se caería en el absurdo de sumar dos veces el mismo lapso. Se tiene en cuenta que el artículo 164 del C.P.A.C.A. se refiere al término del contrato y a la adición del plazo para liquidar el mismo, de manera que resulta evidente que, para los efectos de la precitada norma, la expresión “terminación del contrato” hace alusión al vencimiento del plazo de ejecución.</w:t>
      </w:r>
      <w:r w:rsidR="00323495" w:rsidRPr="00143B30">
        <w:rPr>
          <w:rFonts w:cs="Arial"/>
          <w:sz w:val="22"/>
          <w:szCs w:val="22"/>
        </w:rPr>
        <w:t xml:space="preserve"> …</w:t>
      </w:r>
      <w:r w:rsidRPr="00143B30">
        <w:rPr>
          <w:rFonts w:cs="Arial"/>
          <w:sz w:val="22"/>
          <w:szCs w:val="22"/>
        </w:rPr>
        <w:t>Ahora bien, teniendo en cuenta en este caso se surtió el trámite de conciliación prejudicial y que el cómputo de la suspensión del término fue materia de los argumentos presentados en el recurso de anulación, la Sala pasa a considerar el cómputo del plazo correspondiente con el fin de arribar a una conclusión acerca de la procedencia de la causal de nulidad del laudo arbitral por razón de la caducidad de la acción.</w:t>
      </w:r>
      <w:r w:rsidR="00DB1CBF" w:rsidRPr="00143B30">
        <w:rPr>
          <w:rFonts w:cs="Arial"/>
          <w:sz w:val="22"/>
          <w:szCs w:val="22"/>
        </w:rPr>
        <w:t xml:space="preserve"> </w:t>
      </w:r>
      <w:r w:rsidRPr="00143B30">
        <w:rPr>
          <w:rFonts w:cs="Arial"/>
          <w:sz w:val="22"/>
          <w:szCs w:val="22"/>
        </w:rPr>
        <w:t xml:space="preserve">Desde la perspectiva de la regulación de los medios alternativos de solución de conflictos, ha sido una constante legal la de establecer la suspensión en el cómputo del término de la caducidad de la acción cuando se presenta la solicitud de conciliación prejudicial. </w:t>
      </w:r>
      <w:r w:rsidR="00DB1CBF" w:rsidRPr="00143B30">
        <w:rPr>
          <w:rFonts w:cs="Arial"/>
          <w:sz w:val="22"/>
          <w:szCs w:val="22"/>
        </w:rPr>
        <w:t>…</w:t>
      </w:r>
      <w:r w:rsidRPr="00143B30">
        <w:rPr>
          <w:rFonts w:cs="Arial"/>
          <w:sz w:val="22"/>
          <w:szCs w:val="22"/>
        </w:rPr>
        <w:t>Sin embargo, el aspecto de la adición del plazo correspondiente a las diligencias de conciliación se aclaró y se modificó en la regulación contenida en la Ley 640 de 2001 y su Decreto Reglamentario 1716 de 2009, en cuya norma se eliminó la alusión a la adición de términos y se refirió únicamente la suspensión del término de caducidad. A su vez, ese nuevo precepto jurídico pasó a fijar el término máximo de la suspensión para efectos del cómputo de la caducidad de la acción, en tres meses</w:t>
      </w:r>
      <w:r w:rsidR="00992788" w:rsidRPr="00143B30">
        <w:rPr>
          <w:rFonts w:cs="Arial"/>
          <w:sz w:val="22"/>
          <w:szCs w:val="22"/>
        </w:rPr>
        <w:t>…</w:t>
      </w:r>
      <w:r w:rsidR="00C403F9" w:rsidRPr="00143B30">
        <w:rPr>
          <w:rFonts w:cs="Arial"/>
          <w:sz w:val="22"/>
          <w:szCs w:val="22"/>
        </w:rPr>
        <w:t xml:space="preserve"> </w:t>
      </w:r>
      <w:r w:rsidRPr="00143B30">
        <w:rPr>
          <w:rFonts w:cs="Arial"/>
          <w:sz w:val="22"/>
          <w:szCs w:val="22"/>
        </w:rPr>
        <w:t xml:space="preserve">Un aspecto de importancia en el cómputo de la suspensión del término que se presenta con ocasión del </w:t>
      </w:r>
      <w:r w:rsidRPr="00143B30">
        <w:rPr>
          <w:rFonts w:cs="Arial"/>
          <w:sz w:val="22"/>
          <w:szCs w:val="22"/>
        </w:rPr>
        <w:lastRenderedPageBreak/>
        <w:t xml:space="preserve">trámite de conciliación prejudicial es el límite temporal que la ley fija en un plazo máximo de tres meses desde la fecha en que se presente la solicitud de conciliación. El imperativo del plazo máximo que se puede computar se establece con fundamento en la estipulación de la suspensión en las distintas hipótesis que regula la Ley 640 de 2001 o hasta que venza el plazo de tres meses, “lo que ocurra primero”, según se observa en las disposiciones ya citadas. </w:t>
      </w:r>
    </w:p>
    <w:p w14:paraId="616FAE9F" w14:textId="77777777" w:rsidR="006874B0" w:rsidRPr="00143B30" w:rsidRDefault="006874B0" w:rsidP="00C928E7">
      <w:pPr>
        <w:pStyle w:val="Continuarlista2"/>
        <w:spacing w:after="0" w:line="240" w:lineRule="auto"/>
        <w:rPr>
          <w:rFonts w:cs="Arial"/>
          <w:sz w:val="22"/>
          <w:szCs w:val="22"/>
        </w:rPr>
      </w:pPr>
    </w:p>
    <w:p w14:paraId="148AF690" w14:textId="77777777" w:rsidR="00E528B6" w:rsidRPr="00143B30" w:rsidRDefault="00C928E7" w:rsidP="00B81005">
      <w:pPr>
        <w:pStyle w:val="Continuarlista2"/>
        <w:spacing w:after="0" w:line="240" w:lineRule="auto"/>
        <w:ind w:left="0"/>
        <w:rPr>
          <w:rFonts w:cs="Arial"/>
          <w:b/>
          <w:bCs/>
          <w:sz w:val="22"/>
          <w:szCs w:val="22"/>
        </w:rPr>
      </w:pPr>
      <w:r w:rsidRPr="00143B30">
        <w:rPr>
          <w:rFonts w:cs="Arial"/>
          <w:b/>
          <w:bCs/>
          <w:sz w:val="22"/>
          <w:szCs w:val="22"/>
        </w:rPr>
        <w:t>LAUDO ARBITRAL - Recurso extraordinario de anulación - Fallo en conciencia - Fallo en equidad</w:t>
      </w:r>
      <w:r w:rsidR="00E528B6" w:rsidRPr="00143B30">
        <w:rPr>
          <w:rFonts w:cs="Arial"/>
          <w:b/>
          <w:bCs/>
          <w:sz w:val="22"/>
          <w:szCs w:val="22"/>
        </w:rPr>
        <w:t xml:space="preserve"> </w:t>
      </w:r>
    </w:p>
    <w:p w14:paraId="32219BE6" w14:textId="77777777" w:rsidR="00B81005" w:rsidRPr="00143B30" w:rsidRDefault="00B81005" w:rsidP="00B81005">
      <w:pPr>
        <w:pStyle w:val="Textoindependiente22"/>
        <w:numPr>
          <w:ilvl w:val="12"/>
          <w:numId w:val="0"/>
        </w:numPr>
        <w:overflowPunct/>
        <w:autoSpaceDE/>
        <w:autoSpaceDN/>
        <w:adjustRightInd/>
        <w:spacing w:line="240" w:lineRule="auto"/>
        <w:textAlignment w:val="auto"/>
        <w:rPr>
          <w:rFonts w:cs="Arial"/>
          <w:sz w:val="22"/>
          <w:szCs w:val="22"/>
        </w:rPr>
      </w:pPr>
    </w:p>
    <w:p w14:paraId="4E669920" w14:textId="77777777" w:rsidR="006874B0" w:rsidRPr="00143B30" w:rsidRDefault="006874B0" w:rsidP="00B81005">
      <w:pPr>
        <w:pStyle w:val="Textoindependiente22"/>
        <w:numPr>
          <w:ilvl w:val="12"/>
          <w:numId w:val="0"/>
        </w:numPr>
        <w:overflowPunct/>
        <w:autoSpaceDE/>
        <w:autoSpaceDN/>
        <w:adjustRightInd/>
        <w:spacing w:line="240" w:lineRule="auto"/>
        <w:textAlignment w:val="auto"/>
        <w:rPr>
          <w:rFonts w:cs="Arial"/>
          <w:sz w:val="22"/>
          <w:szCs w:val="22"/>
        </w:rPr>
      </w:pPr>
      <w:r w:rsidRPr="00143B30">
        <w:rPr>
          <w:rFonts w:cs="Arial"/>
          <w:sz w:val="22"/>
          <w:szCs w:val="22"/>
        </w:rPr>
        <w:t xml:space="preserve">No procede el segundo cargo de anulación el cual se estructuró con base en el supuesto del fallo en conciencia o en equidad debiendo ser en derecho. Se advierte que el referido fallo en conciencia o en equidad no se puede estructurar rebatiendo el análisis de las pruebas que realizó el Tribunal de Arbitramento, toda vez que el recurso extraordinario de anulación no constituye una segunda instancia en el proceso arbitral. </w:t>
      </w:r>
      <w:r w:rsidR="00E565A5" w:rsidRPr="00143B30">
        <w:rPr>
          <w:rFonts w:cs="Arial"/>
          <w:sz w:val="22"/>
          <w:szCs w:val="22"/>
        </w:rPr>
        <w:t>…</w:t>
      </w:r>
      <w:r w:rsidRPr="00143B30">
        <w:rPr>
          <w:rFonts w:cs="Arial"/>
          <w:sz w:val="22"/>
          <w:szCs w:val="22"/>
        </w:rPr>
        <w:t>Para concluir el análisis del supuesto fallo en conciencia basta con observar que los argumentos de la parte demandada sobre el alcance de los testimonios y las razones que alegó sobre la estimación de los mismos no incluyen la identificación de una violación de la ley aplicable al contrato o a la validez de la prueba. Por el contrario, el recurrente expresó su inconformidad con el peso específico que el Tribunal de Arbitramento dio a los distintos elementos de prueba obrantes en el plenario, lo cual no constituye causal del recurso de anulación del laudo arbitral.</w:t>
      </w:r>
    </w:p>
    <w:p w14:paraId="510D40E8" w14:textId="77777777" w:rsidR="006874B0" w:rsidRPr="00143B30" w:rsidRDefault="006874B0" w:rsidP="00B81005">
      <w:pPr>
        <w:pStyle w:val="Textoindependiente22"/>
        <w:numPr>
          <w:ilvl w:val="12"/>
          <w:numId w:val="0"/>
        </w:numPr>
        <w:overflowPunct/>
        <w:autoSpaceDE/>
        <w:autoSpaceDN/>
        <w:adjustRightInd/>
        <w:spacing w:line="240" w:lineRule="auto"/>
        <w:textAlignment w:val="auto"/>
        <w:rPr>
          <w:rFonts w:cs="Arial"/>
          <w:sz w:val="22"/>
          <w:szCs w:val="22"/>
        </w:rPr>
      </w:pPr>
    </w:p>
    <w:p w14:paraId="047FEDC9" w14:textId="77777777" w:rsidR="006874B0" w:rsidRPr="00143B30" w:rsidRDefault="00953DBA" w:rsidP="00B81005">
      <w:pPr>
        <w:spacing w:line="240" w:lineRule="auto"/>
        <w:rPr>
          <w:rFonts w:cs="Arial"/>
          <w:b/>
          <w:sz w:val="22"/>
          <w:szCs w:val="22"/>
        </w:rPr>
      </w:pPr>
      <w:r w:rsidRPr="00143B30">
        <w:rPr>
          <w:rFonts w:cs="Arial"/>
          <w:b/>
          <w:sz w:val="22"/>
          <w:szCs w:val="22"/>
        </w:rPr>
        <w:t>COSTAS</w:t>
      </w:r>
      <w:r w:rsidR="0011692B" w:rsidRPr="00143B30">
        <w:rPr>
          <w:rFonts w:cs="Arial"/>
          <w:b/>
          <w:sz w:val="22"/>
          <w:szCs w:val="22"/>
        </w:rPr>
        <w:t xml:space="preserve"> </w:t>
      </w:r>
      <w:r w:rsidR="00C928E7" w:rsidRPr="00143B30">
        <w:rPr>
          <w:rFonts w:cs="Arial"/>
          <w:b/>
          <w:sz w:val="22"/>
          <w:szCs w:val="22"/>
        </w:rPr>
        <w:t>-</w:t>
      </w:r>
      <w:r w:rsidR="0011692B" w:rsidRPr="00143B30">
        <w:rPr>
          <w:rFonts w:cs="Arial"/>
          <w:b/>
          <w:sz w:val="22"/>
          <w:szCs w:val="22"/>
        </w:rPr>
        <w:t xml:space="preserve"> AGENCIAS EN DERECHO</w:t>
      </w:r>
      <w:r w:rsidRPr="00143B30">
        <w:rPr>
          <w:rFonts w:cs="Arial"/>
          <w:b/>
          <w:sz w:val="22"/>
          <w:szCs w:val="22"/>
        </w:rPr>
        <w:t xml:space="preserve"> </w:t>
      </w:r>
      <w:r w:rsidR="00C928E7" w:rsidRPr="00143B30">
        <w:rPr>
          <w:rFonts w:cs="Arial"/>
          <w:b/>
          <w:sz w:val="22"/>
          <w:szCs w:val="22"/>
        </w:rPr>
        <w:t>- Procedencia</w:t>
      </w:r>
    </w:p>
    <w:p w14:paraId="3AD1E1E8" w14:textId="77777777" w:rsidR="006874B0" w:rsidRPr="00143B30" w:rsidRDefault="006874B0" w:rsidP="00B81005">
      <w:pPr>
        <w:spacing w:line="240" w:lineRule="auto"/>
        <w:rPr>
          <w:rFonts w:cs="Arial"/>
          <w:b/>
          <w:sz w:val="22"/>
          <w:szCs w:val="22"/>
        </w:rPr>
      </w:pPr>
    </w:p>
    <w:p w14:paraId="20D4495D" w14:textId="77777777" w:rsidR="006874B0" w:rsidRPr="00143B30" w:rsidRDefault="006874B0" w:rsidP="00B81005">
      <w:pPr>
        <w:spacing w:line="240" w:lineRule="auto"/>
        <w:rPr>
          <w:rFonts w:cs="Arial"/>
          <w:sz w:val="22"/>
          <w:szCs w:val="22"/>
        </w:rPr>
      </w:pPr>
      <w:r w:rsidRPr="00143B30">
        <w:rPr>
          <w:rFonts w:cs="Arial"/>
          <w:sz w:val="22"/>
          <w:szCs w:val="22"/>
        </w:rPr>
        <w:t xml:space="preserve">El inciso quinto del artículo 43 de la Ley 1563 de 2012 dispone que si ninguna de las causales prospera, se declarará infundado el recurso y se condenará en costas al recurrente, salvo que éste haya sido presentado por el Ministerio Público. En este asunto no aparecen acreditados expensas o gastos que se hubieren efectuado con ocasión del recurso de anulación, razón por la cual sólo habrá lugar a la condena por las agencias en derecho que se estiman en este caso dentro del marco del Acuerdo </w:t>
      </w:r>
      <w:r w:rsidRPr="00143B30">
        <w:rPr>
          <w:rFonts w:cs="Arial"/>
          <w:sz w:val="22"/>
          <w:szCs w:val="22"/>
          <w:lang w:val="es-CO"/>
        </w:rPr>
        <w:t xml:space="preserve">No. 1887 del 26 de junio de 2003 expedido por la Sala Administrativa del Consejo Superior de la Judicatura y de conformidad </w:t>
      </w:r>
      <w:r w:rsidRPr="00143B30">
        <w:rPr>
          <w:rFonts w:cs="Arial"/>
          <w:sz w:val="22"/>
          <w:szCs w:val="22"/>
        </w:rPr>
        <w:t xml:space="preserve">con la complejidad y la duración de la actuación que tuvo que desplegar la parte vencedora dentro del respectivo recurso. </w:t>
      </w:r>
    </w:p>
    <w:p w14:paraId="0B0F4496" w14:textId="77777777" w:rsidR="00F96C55" w:rsidRDefault="00F96C55" w:rsidP="00B81005">
      <w:pPr>
        <w:pStyle w:val="Ttulo"/>
        <w:jc w:val="both"/>
        <w:rPr>
          <w:b w:val="0"/>
          <w:sz w:val="24"/>
        </w:rPr>
      </w:pPr>
    </w:p>
    <w:p w14:paraId="4201EE24" w14:textId="77777777" w:rsidR="0065730C" w:rsidRDefault="0065730C" w:rsidP="00B81005">
      <w:pPr>
        <w:pStyle w:val="Ttulo"/>
        <w:jc w:val="both"/>
        <w:rPr>
          <w:b w:val="0"/>
          <w:sz w:val="24"/>
        </w:rPr>
      </w:pPr>
      <w:bookmarkStart w:id="0" w:name="_GoBack"/>
      <w:bookmarkEnd w:id="0"/>
    </w:p>
    <w:p w14:paraId="2FE1ED49" w14:textId="77777777" w:rsidR="00C85395" w:rsidRPr="009F61AF" w:rsidRDefault="00C85395" w:rsidP="0081115F">
      <w:pPr>
        <w:pStyle w:val="Ttulo"/>
        <w:rPr>
          <w:sz w:val="24"/>
        </w:rPr>
      </w:pPr>
      <w:r w:rsidRPr="009F61AF">
        <w:rPr>
          <w:sz w:val="24"/>
        </w:rPr>
        <w:t>CONSEJO DE ESTADO</w:t>
      </w:r>
    </w:p>
    <w:p w14:paraId="0958C41E" w14:textId="77777777" w:rsidR="00A92F84" w:rsidRPr="009F61AF" w:rsidRDefault="00A92F84" w:rsidP="0081115F">
      <w:pPr>
        <w:pStyle w:val="Ttulo"/>
        <w:rPr>
          <w:sz w:val="24"/>
        </w:rPr>
      </w:pPr>
    </w:p>
    <w:p w14:paraId="2D686806" w14:textId="77777777" w:rsidR="00C85395" w:rsidRPr="009F61AF" w:rsidRDefault="00C85395" w:rsidP="0081115F">
      <w:pPr>
        <w:pStyle w:val="Ttulo"/>
        <w:rPr>
          <w:sz w:val="24"/>
        </w:rPr>
      </w:pPr>
      <w:r w:rsidRPr="009F61AF">
        <w:rPr>
          <w:sz w:val="24"/>
        </w:rPr>
        <w:t>SALA DE LO CONTENCIOSO ADMINISTRATIVO</w:t>
      </w:r>
    </w:p>
    <w:p w14:paraId="196B7FB4" w14:textId="77777777" w:rsidR="00A92F84" w:rsidRPr="009F61AF" w:rsidRDefault="00A92F84" w:rsidP="0081115F">
      <w:pPr>
        <w:pStyle w:val="Ttulo"/>
        <w:rPr>
          <w:sz w:val="24"/>
        </w:rPr>
      </w:pPr>
    </w:p>
    <w:p w14:paraId="4C0EE7D8" w14:textId="77777777" w:rsidR="00CA111E" w:rsidRPr="009F61AF" w:rsidRDefault="00CA111E" w:rsidP="0081115F">
      <w:pPr>
        <w:pStyle w:val="Ttulo"/>
        <w:rPr>
          <w:sz w:val="24"/>
        </w:rPr>
      </w:pPr>
      <w:r w:rsidRPr="009F61AF">
        <w:rPr>
          <w:sz w:val="24"/>
        </w:rPr>
        <w:t>SECCIO</w:t>
      </w:r>
      <w:r w:rsidR="00C85395" w:rsidRPr="009F61AF">
        <w:rPr>
          <w:sz w:val="24"/>
        </w:rPr>
        <w:t>N TERCERA</w:t>
      </w:r>
    </w:p>
    <w:p w14:paraId="72E11FEF" w14:textId="77777777" w:rsidR="00CA111E" w:rsidRPr="009F61AF" w:rsidRDefault="00CA111E" w:rsidP="0081115F">
      <w:pPr>
        <w:pStyle w:val="Ttulo"/>
        <w:rPr>
          <w:sz w:val="24"/>
        </w:rPr>
      </w:pPr>
    </w:p>
    <w:p w14:paraId="41930531" w14:textId="77777777" w:rsidR="00C85395" w:rsidRPr="009F61AF" w:rsidRDefault="000E6697" w:rsidP="0081115F">
      <w:pPr>
        <w:pStyle w:val="Ttulo"/>
        <w:rPr>
          <w:sz w:val="24"/>
        </w:rPr>
      </w:pPr>
      <w:r w:rsidRPr="009F61AF">
        <w:rPr>
          <w:sz w:val="24"/>
        </w:rPr>
        <w:t>SUBSECCI</w:t>
      </w:r>
      <w:r w:rsidR="0003199D" w:rsidRPr="009F61AF">
        <w:rPr>
          <w:sz w:val="24"/>
        </w:rPr>
        <w:t>O</w:t>
      </w:r>
      <w:r w:rsidR="009479F7" w:rsidRPr="009F61AF">
        <w:rPr>
          <w:sz w:val="24"/>
        </w:rPr>
        <w:t>N A</w:t>
      </w:r>
    </w:p>
    <w:p w14:paraId="403AFBE6" w14:textId="77777777" w:rsidR="00C85395" w:rsidRPr="009F61AF" w:rsidRDefault="00C85395" w:rsidP="0081115F">
      <w:pPr>
        <w:pStyle w:val="Encabezado"/>
        <w:spacing w:line="240" w:lineRule="auto"/>
        <w:jc w:val="center"/>
        <w:rPr>
          <w:rFonts w:cs="Arial"/>
          <w:b/>
          <w:szCs w:val="24"/>
          <w:lang w:val="es-CO"/>
        </w:rPr>
      </w:pPr>
    </w:p>
    <w:p w14:paraId="31DE6AE4" w14:textId="77777777" w:rsidR="00C85395" w:rsidRPr="009F61AF" w:rsidRDefault="00C85395" w:rsidP="0081115F">
      <w:pPr>
        <w:pStyle w:val="Encabezado"/>
        <w:spacing w:line="240" w:lineRule="auto"/>
        <w:jc w:val="center"/>
        <w:rPr>
          <w:rFonts w:cs="Arial"/>
          <w:spacing w:val="-3"/>
          <w:szCs w:val="24"/>
          <w:lang w:val="es-CO"/>
        </w:rPr>
      </w:pPr>
      <w:r w:rsidRPr="009F61AF">
        <w:rPr>
          <w:rFonts w:cs="Arial"/>
          <w:b/>
          <w:szCs w:val="24"/>
          <w:lang w:val="es-CO"/>
        </w:rPr>
        <w:t>Consej</w:t>
      </w:r>
      <w:r w:rsidR="00F556DB" w:rsidRPr="009F61AF">
        <w:rPr>
          <w:rFonts w:cs="Arial"/>
          <w:b/>
          <w:szCs w:val="24"/>
          <w:lang w:val="es-CO"/>
        </w:rPr>
        <w:t>er</w:t>
      </w:r>
      <w:r w:rsidR="00961FDA" w:rsidRPr="009F61AF">
        <w:rPr>
          <w:rFonts w:cs="Arial"/>
          <w:b/>
          <w:szCs w:val="24"/>
          <w:lang w:val="es-CO"/>
        </w:rPr>
        <w:t>a</w:t>
      </w:r>
      <w:r w:rsidR="00F556DB" w:rsidRPr="009F61AF">
        <w:rPr>
          <w:rFonts w:cs="Arial"/>
          <w:b/>
          <w:szCs w:val="24"/>
          <w:lang w:val="es-CO"/>
        </w:rPr>
        <w:t xml:space="preserve"> </w:t>
      </w:r>
      <w:r w:rsidR="00CA111E" w:rsidRPr="009F61AF">
        <w:rPr>
          <w:rFonts w:cs="Arial"/>
          <w:b/>
          <w:szCs w:val="24"/>
          <w:lang w:val="es-CO"/>
        </w:rPr>
        <w:t>p</w:t>
      </w:r>
      <w:r w:rsidR="00F556DB" w:rsidRPr="009F61AF">
        <w:rPr>
          <w:rFonts w:cs="Arial"/>
          <w:b/>
          <w:szCs w:val="24"/>
          <w:lang w:val="es-CO"/>
        </w:rPr>
        <w:t xml:space="preserve">onente: </w:t>
      </w:r>
      <w:r w:rsidR="00A92F84" w:rsidRPr="009F61AF">
        <w:rPr>
          <w:rFonts w:cs="Arial"/>
          <w:b/>
          <w:szCs w:val="24"/>
          <w:lang w:val="es-CO"/>
        </w:rPr>
        <w:t>MARTA NUBIA VEL</w:t>
      </w:r>
      <w:r w:rsidR="0003199D" w:rsidRPr="009F61AF">
        <w:rPr>
          <w:rFonts w:cs="Arial"/>
          <w:b/>
          <w:szCs w:val="24"/>
          <w:lang w:val="es-CO"/>
        </w:rPr>
        <w:t>A</w:t>
      </w:r>
      <w:r w:rsidR="00A92F84" w:rsidRPr="009F61AF">
        <w:rPr>
          <w:rFonts w:cs="Arial"/>
          <w:b/>
          <w:szCs w:val="24"/>
          <w:lang w:val="es-CO"/>
        </w:rPr>
        <w:t>SQUEZ RICO</w:t>
      </w:r>
    </w:p>
    <w:p w14:paraId="3CB7797B" w14:textId="77777777" w:rsidR="008F2EA9" w:rsidRPr="009F61AF" w:rsidRDefault="008F2EA9" w:rsidP="0081115F">
      <w:pPr>
        <w:spacing w:line="240" w:lineRule="auto"/>
        <w:rPr>
          <w:rFonts w:cs="Arial"/>
        </w:rPr>
      </w:pPr>
    </w:p>
    <w:p w14:paraId="65BC368D" w14:textId="77777777" w:rsidR="00F21484" w:rsidRPr="009F61AF" w:rsidRDefault="00F21484" w:rsidP="0081115F">
      <w:pPr>
        <w:pStyle w:val="Saludo"/>
        <w:spacing w:line="240" w:lineRule="auto"/>
        <w:rPr>
          <w:rFonts w:cs="Arial"/>
        </w:rPr>
      </w:pPr>
      <w:r w:rsidRPr="009F61AF">
        <w:rPr>
          <w:rFonts w:cs="Arial"/>
        </w:rPr>
        <w:t>B</w:t>
      </w:r>
      <w:r w:rsidR="00025C7D" w:rsidRPr="009F61AF">
        <w:rPr>
          <w:rFonts w:cs="Arial"/>
        </w:rPr>
        <w:t>ogotá</w:t>
      </w:r>
      <w:r w:rsidR="00CA111E" w:rsidRPr="009F61AF">
        <w:rPr>
          <w:rFonts w:cs="Arial"/>
        </w:rPr>
        <w:t>,</w:t>
      </w:r>
      <w:r w:rsidR="00025C7D" w:rsidRPr="009F61AF">
        <w:rPr>
          <w:rFonts w:cs="Arial"/>
        </w:rPr>
        <w:t xml:space="preserve"> D.C.,</w:t>
      </w:r>
      <w:r w:rsidR="004B7D27" w:rsidRPr="009F61AF">
        <w:rPr>
          <w:rFonts w:cs="Arial"/>
        </w:rPr>
        <w:t xml:space="preserve"> nueve (9) marzo </w:t>
      </w:r>
      <w:r w:rsidR="00C6529F" w:rsidRPr="009F61AF">
        <w:rPr>
          <w:rFonts w:cs="Arial"/>
        </w:rPr>
        <w:t xml:space="preserve">de </w:t>
      </w:r>
      <w:r w:rsidR="003D2359" w:rsidRPr="009F61AF">
        <w:rPr>
          <w:rFonts w:cs="Arial"/>
        </w:rPr>
        <w:t xml:space="preserve">dos mil </w:t>
      </w:r>
      <w:r w:rsidR="00F773C8" w:rsidRPr="009F61AF">
        <w:rPr>
          <w:rFonts w:cs="Arial"/>
        </w:rPr>
        <w:t>dieciséis</w:t>
      </w:r>
      <w:r w:rsidR="003D2359" w:rsidRPr="009F61AF">
        <w:rPr>
          <w:rFonts w:cs="Arial"/>
        </w:rPr>
        <w:t xml:space="preserve"> (201</w:t>
      </w:r>
      <w:r w:rsidR="00F773C8" w:rsidRPr="009F61AF">
        <w:rPr>
          <w:rFonts w:cs="Arial"/>
        </w:rPr>
        <w:t>6</w:t>
      </w:r>
      <w:r w:rsidR="003D2359" w:rsidRPr="009F61AF">
        <w:rPr>
          <w:rFonts w:cs="Arial"/>
        </w:rPr>
        <w:t>)</w:t>
      </w:r>
    </w:p>
    <w:p w14:paraId="0085BB62" w14:textId="77777777" w:rsidR="0009687C" w:rsidRPr="009F61AF" w:rsidRDefault="0009687C" w:rsidP="0081115F">
      <w:pPr>
        <w:spacing w:line="240" w:lineRule="auto"/>
        <w:rPr>
          <w:rFonts w:cs="Arial"/>
          <w:b/>
        </w:rPr>
      </w:pPr>
    </w:p>
    <w:p w14:paraId="25725141" w14:textId="77777777" w:rsidR="00ED77A2" w:rsidRPr="009F61AF" w:rsidRDefault="007537D1" w:rsidP="0081115F">
      <w:pPr>
        <w:spacing w:line="240" w:lineRule="auto"/>
        <w:rPr>
          <w:rFonts w:cs="Arial"/>
          <w:b/>
        </w:rPr>
      </w:pPr>
      <w:r w:rsidRPr="009F61AF">
        <w:rPr>
          <w:rFonts w:cs="Arial"/>
          <w:b/>
        </w:rPr>
        <w:t>Radicación</w:t>
      </w:r>
      <w:r w:rsidR="00CA111E" w:rsidRPr="009F61AF">
        <w:rPr>
          <w:rFonts w:cs="Arial"/>
          <w:b/>
        </w:rPr>
        <w:t xml:space="preserve"> número</w:t>
      </w:r>
      <w:r w:rsidR="00A92F84" w:rsidRPr="009F61AF">
        <w:rPr>
          <w:rFonts w:cs="Arial"/>
          <w:b/>
        </w:rPr>
        <w:t>: 11001</w:t>
      </w:r>
      <w:r w:rsidR="007B2C70" w:rsidRPr="009F61AF">
        <w:rPr>
          <w:rFonts w:cs="Arial"/>
          <w:b/>
        </w:rPr>
        <w:t>-</w:t>
      </w:r>
      <w:r w:rsidR="00A92F84" w:rsidRPr="009F61AF">
        <w:rPr>
          <w:rFonts w:cs="Arial"/>
          <w:b/>
        </w:rPr>
        <w:t>03</w:t>
      </w:r>
      <w:r w:rsidR="007B2C70" w:rsidRPr="009F61AF">
        <w:rPr>
          <w:rFonts w:cs="Arial"/>
          <w:b/>
        </w:rPr>
        <w:t>-</w:t>
      </w:r>
      <w:r w:rsidR="00A92F84" w:rsidRPr="009F61AF">
        <w:rPr>
          <w:rFonts w:cs="Arial"/>
          <w:b/>
        </w:rPr>
        <w:t>26</w:t>
      </w:r>
      <w:r w:rsidR="007B2C70" w:rsidRPr="009F61AF">
        <w:rPr>
          <w:rFonts w:cs="Arial"/>
          <w:b/>
        </w:rPr>
        <w:t>-</w:t>
      </w:r>
      <w:r w:rsidR="00A92F84" w:rsidRPr="009F61AF">
        <w:rPr>
          <w:rFonts w:cs="Arial"/>
          <w:b/>
        </w:rPr>
        <w:t>000</w:t>
      </w:r>
      <w:r w:rsidR="007B2C70" w:rsidRPr="009F61AF">
        <w:rPr>
          <w:rFonts w:cs="Arial"/>
          <w:b/>
        </w:rPr>
        <w:t>-</w:t>
      </w:r>
      <w:r w:rsidR="00A92F84" w:rsidRPr="009F61AF">
        <w:rPr>
          <w:rFonts w:cs="Arial"/>
          <w:b/>
        </w:rPr>
        <w:t>2015</w:t>
      </w:r>
      <w:r w:rsidR="007B2C70" w:rsidRPr="009F61AF">
        <w:rPr>
          <w:rFonts w:cs="Arial"/>
          <w:b/>
        </w:rPr>
        <w:t>-</w:t>
      </w:r>
      <w:r w:rsidR="00A92F84" w:rsidRPr="009F61AF">
        <w:rPr>
          <w:rFonts w:cs="Arial"/>
          <w:b/>
        </w:rPr>
        <w:t>00144</w:t>
      </w:r>
      <w:r w:rsidR="007B2C70" w:rsidRPr="009F61AF">
        <w:rPr>
          <w:rFonts w:cs="Arial"/>
          <w:b/>
        </w:rPr>
        <w:t>-00</w:t>
      </w:r>
      <w:r w:rsidR="00A92F84" w:rsidRPr="009F61AF">
        <w:rPr>
          <w:rFonts w:cs="Arial"/>
          <w:b/>
        </w:rPr>
        <w:t>(55319)</w:t>
      </w:r>
    </w:p>
    <w:p w14:paraId="2DA3FC5D" w14:textId="77777777" w:rsidR="007B2C70" w:rsidRPr="009F61AF" w:rsidRDefault="007B2C70" w:rsidP="0081115F">
      <w:pPr>
        <w:spacing w:line="240" w:lineRule="auto"/>
        <w:rPr>
          <w:rFonts w:cs="Arial"/>
          <w:b/>
        </w:rPr>
      </w:pPr>
    </w:p>
    <w:p w14:paraId="07154149" w14:textId="77777777" w:rsidR="00A92F84" w:rsidRPr="009F61AF" w:rsidRDefault="007537D1" w:rsidP="0081115F">
      <w:pPr>
        <w:spacing w:line="240" w:lineRule="auto"/>
        <w:rPr>
          <w:rFonts w:cs="Arial"/>
          <w:b/>
        </w:rPr>
      </w:pPr>
      <w:r w:rsidRPr="009F61AF">
        <w:rPr>
          <w:rFonts w:cs="Arial"/>
          <w:b/>
        </w:rPr>
        <w:t>Actor</w:t>
      </w:r>
      <w:r w:rsidR="00A92F84" w:rsidRPr="009F61AF">
        <w:rPr>
          <w:rFonts w:cs="Arial"/>
          <w:b/>
        </w:rPr>
        <w:t>: FUN</w:t>
      </w:r>
      <w:r w:rsidR="00CA111E" w:rsidRPr="009F61AF">
        <w:rPr>
          <w:rFonts w:cs="Arial"/>
          <w:b/>
        </w:rPr>
        <w:t>DACIO</w:t>
      </w:r>
      <w:r w:rsidR="00A92F84" w:rsidRPr="009F61AF">
        <w:rPr>
          <w:rFonts w:cs="Arial"/>
          <w:b/>
        </w:rPr>
        <w:t>N SUPERIOR PARA EL DE</w:t>
      </w:r>
      <w:r w:rsidR="00CA111E" w:rsidRPr="009F61AF">
        <w:rPr>
          <w:rFonts w:cs="Arial"/>
          <w:b/>
        </w:rPr>
        <w:t>SARROLLO INTEGRAL FUNDASUPERIOR</w:t>
      </w:r>
    </w:p>
    <w:p w14:paraId="55763FE8" w14:textId="77777777" w:rsidR="00CA111E" w:rsidRPr="009F61AF" w:rsidRDefault="00CA111E" w:rsidP="0081115F">
      <w:pPr>
        <w:spacing w:line="240" w:lineRule="auto"/>
        <w:rPr>
          <w:rFonts w:cs="Arial"/>
          <w:b/>
        </w:rPr>
      </w:pPr>
    </w:p>
    <w:p w14:paraId="347E9A2F" w14:textId="77777777" w:rsidR="007537D1" w:rsidRDefault="007537D1" w:rsidP="0081115F">
      <w:pPr>
        <w:spacing w:line="240" w:lineRule="auto"/>
        <w:rPr>
          <w:rFonts w:cs="Arial"/>
          <w:b/>
        </w:rPr>
      </w:pPr>
      <w:r w:rsidRPr="009F61AF">
        <w:rPr>
          <w:rFonts w:cs="Arial"/>
          <w:b/>
        </w:rPr>
        <w:t>Demandado</w:t>
      </w:r>
      <w:r w:rsidR="00A92F84" w:rsidRPr="009F61AF">
        <w:rPr>
          <w:rFonts w:cs="Arial"/>
          <w:b/>
        </w:rPr>
        <w:t>: INSTITUTO COLOMB</w:t>
      </w:r>
      <w:r w:rsidR="00CA111E" w:rsidRPr="009F61AF">
        <w:rPr>
          <w:rFonts w:cs="Arial"/>
          <w:b/>
        </w:rPr>
        <w:t xml:space="preserve">IANO DE BIENESTAR FAMILIAR </w:t>
      </w:r>
    </w:p>
    <w:p w14:paraId="77EDD8A2" w14:textId="77777777" w:rsidR="0098538A" w:rsidRPr="009F61AF" w:rsidRDefault="0098538A" w:rsidP="0081115F">
      <w:pPr>
        <w:spacing w:line="240" w:lineRule="auto"/>
        <w:rPr>
          <w:rFonts w:cs="Arial"/>
          <w:b/>
        </w:rPr>
      </w:pPr>
    </w:p>
    <w:p w14:paraId="7A9CBDB4" w14:textId="77777777" w:rsidR="00CA111E" w:rsidRPr="009F61AF" w:rsidRDefault="00CA111E" w:rsidP="0081115F">
      <w:pPr>
        <w:spacing w:line="240" w:lineRule="auto"/>
        <w:rPr>
          <w:rFonts w:cs="Arial"/>
          <w:b/>
        </w:rPr>
      </w:pPr>
    </w:p>
    <w:p w14:paraId="6A269029" w14:textId="77777777" w:rsidR="00CA111E" w:rsidRPr="009F61AF" w:rsidRDefault="00CA111E" w:rsidP="0081115F">
      <w:pPr>
        <w:spacing w:line="240" w:lineRule="auto"/>
        <w:rPr>
          <w:rFonts w:cs="Arial"/>
          <w:b/>
        </w:rPr>
      </w:pPr>
    </w:p>
    <w:p w14:paraId="647552C7" w14:textId="77777777" w:rsidR="00E05FFD" w:rsidRPr="009F61AF" w:rsidRDefault="007537D1" w:rsidP="0081115F">
      <w:pPr>
        <w:spacing w:line="240" w:lineRule="auto"/>
        <w:rPr>
          <w:rFonts w:cs="Arial"/>
          <w:b/>
        </w:rPr>
      </w:pPr>
      <w:r w:rsidRPr="009F61AF">
        <w:rPr>
          <w:rFonts w:cs="Arial"/>
          <w:b/>
        </w:rPr>
        <w:lastRenderedPageBreak/>
        <w:t>Referencia</w:t>
      </w:r>
      <w:r w:rsidR="003A1949" w:rsidRPr="009F61AF">
        <w:rPr>
          <w:rFonts w:cs="Arial"/>
          <w:b/>
        </w:rPr>
        <w:t>: RECURSO</w:t>
      </w:r>
      <w:r w:rsidR="00CA111E" w:rsidRPr="009F61AF">
        <w:rPr>
          <w:rFonts w:cs="Arial"/>
          <w:b/>
        </w:rPr>
        <w:t xml:space="preserve"> EXTRAORDINARIO DE ANULACION</w:t>
      </w:r>
      <w:r w:rsidR="00CE490A" w:rsidRPr="009F61AF">
        <w:rPr>
          <w:rFonts w:cs="Arial"/>
          <w:b/>
        </w:rPr>
        <w:t xml:space="preserve"> DE LAUDO ARBITRAL - LEY 14237 DE 2011</w:t>
      </w:r>
    </w:p>
    <w:p w14:paraId="03F58CFD" w14:textId="77777777" w:rsidR="00CA111E" w:rsidRPr="009F61AF" w:rsidRDefault="00CA111E" w:rsidP="0081115F">
      <w:pPr>
        <w:spacing w:line="240" w:lineRule="auto"/>
        <w:rPr>
          <w:rFonts w:cs="Arial"/>
          <w:b/>
        </w:rPr>
      </w:pPr>
    </w:p>
    <w:p w14:paraId="7E2E8093" w14:textId="77777777" w:rsidR="00CA111E" w:rsidRPr="009F61AF" w:rsidRDefault="00CA111E" w:rsidP="0081115F">
      <w:pPr>
        <w:spacing w:line="240" w:lineRule="auto"/>
        <w:rPr>
          <w:rFonts w:cs="Arial"/>
          <w:b/>
        </w:rPr>
      </w:pPr>
    </w:p>
    <w:p w14:paraId="59079038" w14:textId="77777777" w:rsidR="00CA111E" w:rsidRPr="009F61AF" w:rsidRDefault="00CA111E" w:rsidP="0081115F">
      <w:pPr>
        <w:spacing w:line="240" w:lineRule="auto"/>
        <w:rPr>
          <w:rFonts w:cs="Arial"/>
          <w:b/>
        </w:rPr>
      </w:pPr>
    </w:p>
    <w:p w14:paraId="1234A843" w14:textId="77777777" w:rsidR="00D6735C" w:rsidRPr="009F61AF" w:rsidRDefault="00D6735C" w:rsidP="0081115F">
      <w:pPr>
        <w:spacing w:line="240" w:lineRule="auto"/>
        <w:rPr>
          <w:rFonts w:cs="Arial"/>
          <w:b/>
        </w:rPr>
      </w:pPr>
      <w:r w:rsidRPr="009F61AF">
        <w:rPr>
          <w:rFonts w:cs="Arial"/>
          <w:b/>
        </w:rPr>
        <w:t xml:space="preserve">Temas: </w:t>
      </w:r>
      <w:r w:rsidRPr="009F61AF">
        <w:rPr>
          <w:rFonts w:cs="Arial"/>
        </w:rPr>
        <w:t>Caducidad de la acción. Causal de anulación del laudo arbitral. Cómputo de término de la caducidad. Fallo en conciencia o equidad</w:t>
      </w:r>
    </w:p>
    <w:p w14:paraId="0927C5BF" w14:textId="77777777" w:rsidR="00F21484" w:rsidRPr="009F61AF" w:rsidRDefault="00F21484" w:rsidP="0081115F">
      <w:pPr>
        <w:spacing w:line="240" w:lineRule="auto"/>
        <w:rPr>
          <w:rFonts w:cs="Arial"/>
          <w:b/>
        </w:rPr>
      </w:pPr>
    </w:p>
    <w:p w14:paraId="55D9D4BA" w14:textId="77777777" w:rsidR="00D6735C" w:rsidRPr="009F61AF" w:rsidRDefault="00D6735C" w:rsidP="0081115F">
      <w:pPr>
        <w:spacing w:line="240" w:lineRule="auto"/>
        <w:rPr>
          <w:rFonts w:cs="Arial"/>
          <w:b/>
        </w:rPr>
      </w:pPr>
    </w:p>
    <w:p w14:paraId="20C2C115" w14:textId="77777777" w:rsidR="00F21484" w:rsidRPr="009F61AF" w:rsidRDefault="00F21484" w:rsidP="0098538A">
      <w:pPr>
        <w:widowControl w:val="0"/>
        <w:autoSpaceDE w:val="0"/>
        <w:autoSpaceDN w:val="0"/>
        <w:adjustRightInd w:val="0"/>
        <w:spacing w:line="240" w:lineRule="auto"/>
        <w:rPr>
          <w:rFonts w:cs="Arial"/>
        </w:rPr>
      </w:pPr>
    </w:p>
    <w:p w14:paraId="6A76107A" w14:textId="77777777" w:rsidR="00B875AD" w:rsidRPr="009F61AF" w:rsidRDefault="00B875AD" w:rsidP="0081115F">
      <w:pPr>
        <w:widowControl w:val="0"/>
        <w:rPr>
          <w:rFonts w:cs="Arial"/>
        </w:rPr>
      </w:pPr>
      <w:r w:rsidRPr="009F61AF">
        <w:rPr>
          <w:rFonts w:cs="Arial"/>
        </w:rPr>
        <w:t>Decide la Sala el recurso extraordinario de anulación interpuesto por el I</w:t>
      </w:r>
      <w:r w:rsidR="00FA0C4E" w:rsidRPr="009F61AF">
        <w:rPr>
          <w:rFonts w:cs="Arial"/>
        </w:rPr>
        <w:t>NSTITUTO COLOMBIANO DE BIENESTAR FAMILIAR</w:t>
      </w:r>
      <w:r w:rsidR="0067346B" w:rsidRPr="009F61AF">
        <w:rPr>
          <w:rFonts w:cs="Arial"/>
        </w:rPr>
        <w:t xml:space="preserve"> ICBF</w:t>
      </w:r>
      <w:r w:rsidR="00FA0C4E" w:rsidRPr="009F61AF">
        <w:rPr>
          <w:rStyle w:val="Refdenotaalpie"/>
          <w:rFonts w:cs="Arial"/>
        </w:rPr>
        <w:footnoteReference w:id="1"/>
      </w:r>
      <w:r w:rsidR="00FA0C4E" w:rsidRPr="009F61AF">
        <w:rPr>
          <w:rFonts w:cs="Arial"/>
        </w:rPr>
        <w:t xml:space="preserve">, </w:t>
      </w:r>
      <w:r w:rsidRPr="009F61AF">
        <w:rPr>
          <w:rFonts w:cs="Arial"/>
        </w:rPr>
        <w:t xml:space="preserve">contra el laudo que profirió </w:t>
      </w:r>
      <w:r w:rsidR="00B952C7" w:rsidRPr="009F61AF">
        <w:rPr>
          <w:rFonts w:cs="Arial"/>
        </w:rPr>
        <w:t xml:space="preserve">el Tribunal de Arbitramento </w:t>
      </w:r>
      <w:r w:rsidRPr="009F61AF">
        <w:rPr>
          <w:rFonts w:cs="Arial"/>
        </w:rPr>
        <w:t>dentro del asunto de la referencia</w:t>
      </w:r>
      <w:r w:rsidR="00B952C7" w:rsidRPr="009F61AF">
        <w:rPr>
          <w:rFonts w:cs="Arial"/>
        </w:rPr>
        <w:t>,</w:t>
      </w:r>
      <w:r w:rsidRPr="009F61AF">
        <w:rPr>
          <w:rFonts w:cs="Arial"/>
        </w:rPr>
        <w:t xml:space="preserve"> el día </w:t>
      </w:r>
      <w:r w:rsidR="00FA0C4E" w:rsidRPr="009F61AF">
        <w:rPr>
          <w:rFonts w:cs="Arial"/>
        </w:rPr>
        <w:t>18</w:t>
      </w:r>
      <w:r w:rsidRPr="009F61AF">
        <w:rPr>
          <w:rFonts w:cs="Arial"/>
        </w:rPr>
        <w:t xml:space="preserve"> de </w:t>
      </w:r>
      <w:r w:rsidR="00393B8C" w:rsidRPr="009F61AF">
        <w:rPr>
          <w:rFonts w:cs="Arial"/>
        </w:rPr>
        <w:t xml:space="preserve">junio </w:t>
      </w:r>
      <w:r w:rsidRPr="009F61AF">
        <w:rPr>
          <w:rFonts w:cs="Arial"/>
        </w:rPr>
        <w:t>de 201</w:t>
      </w:r>
      <w:r w:rsidR="00393B8C" w:rsidRPr="009F61AF">
        <w:rPr>
          <w:rFonts w:cs="Arial"/>
        </w:rPr>
        <w:t>5</w:t>
      </w:r>
      <w:r w:rsidRPr="009F61AF">
        <w:rPr>
          <w:rFonts w:cs="Arial"/>
        </w:rPr>
        <w:t>, en el cual se resolvió lo siguiente:</w:t>
      </w:r>
    </w:p>
    <w:p w14:paraId="4E630DF5" w14:textId="77777777" w:rsidR="00C71714" w:rsidRPr="009F61AF" w:rsidRDefault="00C71714" w:rsidP="0081115F">
      <w:pPr>
        <w:pStyle w:val="Textoindependienteprimerasangra2"/>
        <w:ind w:left="0" w:firstLine="0"/>
        <w:rPr>
          <w:rFonts w:cs="Arial"/>
          <w:b/>
          <w:i/>
        </w:rPr>
      </w:pPr>
    </w:p>
    <w:p w14:paraId="491B5096" w14:textId="77777777" w:rsidR="00F773C8" w:rsidRPr="009F61AF" w:rsidRDefault="00312E2A" w:rsidP="0081115F">
      <w:pPr>
        <w:pStyle w:val="Textoindependienteprimerasangra2"/>
        <w:spacing w:line="240" w:lineRule="auto"/>
        <w:ind w:left="0" w:firstLine="0"/>
        <w:rPr>
          <w:rFonts w:cs="Arial"/>
          <w:b/>
          <w:i/>
        </w:rPr>
      </w:pPr>
      <w:r w:rsidRPr="009F61AF">
        <w:rPr>
          <w:rFonts w:cs="Arial"/>
          <w:i/>
        </w:rPr>
        <w:t>“</w:t>
      </w:r>
      <w:r w:rsidR="00393B8C" w:rsidRPr="009F61AF">
        <w:rPr>
          <w:rFonts w:cs="Arial"/>
          <w:b/>
          <w:i/>
        </w:rPr>
        <w:t xml:space="preserve">PRIMERO: </w:t>
      </w:r>
      <w:r w:rsidR="00393B8C" w:rsidRPr="009F61AF">
        <w:rPr>
          <w:rFonts w:cs="Arial"/>
          <w:i/>
        </w:rPr>
        <w:t>Declarar liquidado el contrato No. 067 de 2009 celebrado entre</w:t>
      </w:r>
      <w:r w:rsidR="00393B8C" w:rsidRPr="009F61AF">
        <w:rPr>
          <w:rFonts w:cs="Arial"/>
          <w:b/>
          <w:i/>
        </w:rPr>
        <w:t xml:space="preserve"> FUNDACIÓN SUPERIOR PARA EL DESARROLLO INTEGRAL FUNDASUPERIOR </w:t>
      </w:r>
      <w:r w:rsidR="00393B8C" w:rsidRPr="009F61AF">
        <w:rPr>
          <w:rFonts w:cs="Arial"/>
          <w:i/>
        </w:rPr>
        <w:t>y el</w:t>
      </w:r>
      <w:r w:rsidR="00393B8C" w:rsidRPr="009F61AF">
        <w:rPr>
          <w:rFonts w:cs="Arial"/>
          <w:b/>
          <w:i/>
        </w:rPr>
        <w:t xml:space="preserve"> INSTITUTO COLOMBIANO DE BIENESTAR FAMILIAR</w:t>
      </w:r>
      <w:r w:rsidR="007A1ED1" w:rsidRPr="009F61AF">
        <w:rPr>
          <w:rFonts w:cs="Arial"/>
          <w:b/>
          <w:i/>
        </w:rPr>
        <w:t xml:space="preserve">, </w:t>
      </w:r>
      <w:r w:rsidR="007A1ED1" w:rsidRPr="009F61AF">
        <w:rPr>
          <w:rFonts w:cs="Arial"/>
          <w:i/>
        </w:rPr>
        <w:t>así como la</w:t>
      </w:r>
      <w:r w:rsidR="007A1ED1" w:rsidRPr="009F61AF">
        <w:rPr>
          <w:rFonts w:cs="Arial"/>
          <w:b/>
          <w:i/>
        </w:rPr>
        <w:t xml:space="preserve"> MODIFICACIÓN 1 – ADICIÓN 1; ADICIÓN 2 – PRÓRROGA 2; MODIFICACIÓN 2 – ADICIÓN Y PRÓRROGA 3.</w:t>
      </w:r>
    </w:p>
    <w:p w14:paraId="37EF6981" w14:textId="77777777" w:rsidR="007A1ED1" w:rsidRPr="009F61AF" w:rsidRDefault="007A1ED1" w:rsidP="0081115F">
      <w:pPr>
        <w:pStyle w:val="Textoindependienteprimerasangra2"/>
        <w:spacing w:line="240" w:lineRule="auto"/>
        <w:ind w:left="0" w:firstLine="0"/>
        <w:rPr>
          <w:rFonts w:cs="Arial"/>
          <w:i/>
        </w:rPr>
      </w:pPr>
    </w:p>
    <w:p w14:paraId="76AF39A0" w14:textId="77777777" w:rsidR="00A47ECE" w:rsidRPr="009F61AF" w:rsidRDefault="001A45EE" w:rsidP="0081115F">
      <w:pPr>
        <w:pStyle w:val="Textoindependienteprimerasangra2"/>
        <w:spacing w:line="240" w:lineRule="auto"/>
        <w:ind w:left="0" w:firstLine="0"/>
        <w:rPr>
          <w:rFonts w:cs="Arial"/>
          <w:i/>
        </w:rPr>
      </w:pPr>
      <w:r w:rsidRPr="009F61AF">
        <w:rPr>
          <w:rFonts w:cs="Arial"/>
          <w:i/>
        </w:rPr>
        <w:t>”</w:t>
      </w:r>
      <w:r w:rsidR="007A1ED1" w:rsidRPr="009F61AF">
        <w:rPr>
          <w:rFonts w:cs="Arial"/>
          <w:b/>
          <w:i/>
        </w:rPr>
        <w:t>SEGUNDO</w:t>
      </w:r>
      <w:r w:rsidR="007A1ED1" w:rsidRPr="009F61AF">
        <w:rPr>
          <w:rFonts w:cs="Arial"/>
          <w:i/>
        </w:rPr>
        <w:t xml:space="preserve">: Declarar que dentro de la liquidación anterior el </w:t>
      </w:r>
      <w:r w:rsidR="007A1ED1" w:rsidRPr="009F61AF">
        <w:rPr>
          <w:rFonts w:cs="Arial"/>
          <w:b/>
          <w:i/>
        </w:rPr>
        <w:t>INSTITUTO C</w:t>
      </w:r>
      <w:r w:rsidR="00CE4B2A" w:rsidRPr="009F61AF">
        <w:rPr>
          <w:rFonts w:cs="Arial"/>
          <w:b/>
          <w:i/>
        </w:rPr>
        <w:t>O</w:t>
      </w:r>
      <w:r w:rsidR="007A1ED1" w:rsidRPr="009F61AF">
        <w:rPr>
          <w:rFonts w:cs="Arial"/>
          <w:b/>
          <w:i/>
        </w:rPr>
        <w:t>LOMBIANO DE BIENESTAR FAMILIAR</w:t>
      </w:r>
      <w:r w:rsidR="007A1ED1" w:rsidRPr="009F61AF">
        <w:rPr>
          <w:rFonts w:cs="Arial"/>
          <w:i/>
        </w:rPr>
        <w:t>, ad</w:t>
      </w:r>
      <w:r w:rsidR="00B77108" w:rsidRPr="009F61AF">
        <w:rPr>
          <w:rFonts w:cs="Arial"/>
          <w:i/>
        </w:rPr>
        <w:t>e</w:t>
      </w:r>
      <w:r w:rsidR="007A1ED1" w:rsidRPr="009F61AF">
        <w:rPr>
          <w:rFonts w:cs="Arial"/>
          <w:i/>
        </w:rPr>
        <w:t xml:space="preserve">uda la suma de </w:t>
      </w:r>
      <w:r w:rsidR="007A1ED1" w:rsidRPr="009F61AF">
        <w:rPr>
          <w:rFonts w:cs="Arial"/>
          <w:b/>
          <w:i/>
        </w:rPr>
        <w:t>$115’160.310</w:t>
      </w:r>
      <w:r w:rsidR="007A1ED1" w:rsidRPr="009F61AF">
        <w:rPr>
          <w:rFonts w:cs="Arial"/>
          <w:i/>
        </w:rPr>
        <w:t xml:space="preserve"> (CIENTO QUINCE </w:t>
      </w:r>
      <w:r w:rsidR="00B77108" w:rsidRPr="009F61AF">
        <w:rPr>
          <w:rFonts w:cs="Arial"/>
          <w:i/>
        </w:rPr>
        <w:t xml:space="preserve">MILLONES CIENTO SESENTA MIL TRESCIENTOS </w:t>
      </w:r>
      <w:r w:rsidR="00095974" w:rsidRPr="009F61AF">
        <w:rPr>
          <w:rFonts w:cs="Arial"/>
          <w:i/>
        </w:rPr>
        <w:t xml:space="preserve">DIEZ PESOS MCTE) correspondiente al valor insoluto de la factura </w:t>
      </w:r>
      <w:r w:rsidR="00095974" w:rsidRPr="009F61AF">
        <w:rPr>
          <w:rFonts w:cs="Arial"/>
          <w:b/>
          <w:i/>
        </w:rPr>
        <w:t>No. 0129</w:t>
      </w:r>
      <w:r w:rsidR="00095974" w:rsidRPr="009F61AF">
        <w:rPr>
          <w:rFonts w:cs="Arial"/>
          <w:i/>
        </w:rPr>
        <w:t xml:space="preserve"> generada durante el desarrollo en la prestación de servicios durante</w:t>
      </w:r>
      <w:r w:rsidR="00293A85" w:rsidRPr="009F61AF">
        <w:rPr>
          <w:rFonts w:cs="Arial"/>
          <w:i/>
        </w:rPr>
        <w:t xml:space="preserve"> (sic)</w:t>
      </w:r>
      <w:r w:rsidR="00095974" w:rsidRPr="009F61AF">
        <w:rPr>
          <w:rFonts w:cs="Arial"/>
          <w:i/>
        </w:rPr>
        <w:t xml:space="preserve"> el </w:t>
      </w:r>
      <w:r w:rsidR="00A47ECE" w:rsidRPr="009F61AF">
        <w:rPr>
          <w:rFonts w:cs="Arial"/>
          <w:i/>
        </w:rPr>
        <w:t>mes de noviembre de 2010.</w:t>
      </w:r>
    </w:p>
    <w:p w14:paraId="3B429F12" w14:textId="77777777" w:rsidR="00A47ECE" w:rsidRPr="009F61AF" w:rsidRDefault="00A47ECE" w:rsidP="0081115F">
      <w:pPr>
        <w:pStyle w:val="Textoindependienteprimerasangra2"/>
        <w:spacing w:line="240" w:lineRule="auto"/>
        <w:ind w:left="0" w:firstLine="0"/>
        <w:rPr>
          <w:rFonts w:cs="Arial"/>
          <w:i/>
        </w:rPr>
      </w:pPr>
    </w:p>
    <w:p w14:paraId="05DD3768" w14:textId="77777777" w:rsidR="00785835" w:rsidRPr="009F61AF" w:rsidRDefault="00A47ECE" w:rsidP="0081115F">
      <w:pPr>
        <w:pStyle w:val="Textoindependienteprimerasangra2"/>
        <w:spacing w:line="240" w:lineRule="auto"/>
        <w:ind w:left="0" w:firstLine="0"/>
        <w:rPr>
          <w:rFonts w:cs="Arial"/>
          <w:i/>
        </w:rPr>
      </w:pPr>
      <w:r w:rsidRPr="009F61AF">
        <w:rPr>
          <w:rFonts w:cs="Arial"/>
          <w:i/>
        </w:rPr>
        <w:t>“</w:t>
      </w:r>
      <w:r w:rsidRPr="009F61AF">
        <w:rPr>
          <w:rFonts w:cs="Arial"/>
          <w:b/>
          <w:i/>
        </w:rPr>
        <w:t>TERCERO:</w:t>
      </w:r>
      <w:r w:rsidRPr="009F61AF">
        <w:rPr>
          <w:rFonts w:cs="Arial"/>
          <w:i/>
        </w:rPr>
        <w:t xml:space="preserve"> Condenar al </w:t>
      </w:r>
      <w:r w:rsidRPr="009F61AF">
        <w:rPr>
          <w:rFonts w:cs="Arial"/>
          <w:b/>
          <w:i/>
        </w:rPr>
        <w:t>INSTITUTO COLOMBIANO DE BIENESTAR FAMILIAR a pagar F</w:t>
      </w:r>
      <w:r w:rsidR="00DC24A4" w:rsidRPr="009F61AF">
        <w:rPr>
          <w:rFonts w:cs="Arial"/>
          <w:b/>
          <w:i/>
        </w:rPr>
        <w:t>U</w:t>
      </w:r>
      <w:r w:rsidRPr="009F61AF">
        <w:rPr>
          <w:rFonts w:cs="Arial"/>
          <w:b/>
          <w:i/>
        </w:rPr>
        <w:t>NDASUPERIOR</w:t>
      </w:r>
      <w:r w:rsidRPr="009F61AF">
        <w:rPr>
          <w:rFonts w:cs="Arial"/>
          <w:i/>
        </w:rPr>
        <w:t xml:space="preserve">, a título de intereses moratorios la suma de $62’574.424.10 (SESENTA Y DOS MILLONES QUINIENTOS SETENTA Y CUATRO MIL </w:t>
      </w:r>
      <w:r w:rsidR="00785835" w:rsidRPr="009F61AF">
        <w:rPr>
          <w:rFonts w:cs="Arial"/>
          <w:i/>
        </w:rPr>
        <w:t>CUATROCIENTOS VEINTICUATRO PESOS CON DIEZ CENTAVOS) contabilizados a partir del veinticinco (25) de diciembre de 2010 hasta la fecha del presente laudo, por las razones expuestas en la parte motiva.</w:t>
      </w:r>
    </w:p>
    <w:p w14:paraId="12A3374C" w14:textId="77777777" w:rsidR="00785835" w:rsidRPr="009F61AF" w:rsidRDefault="00785835" w:rsidP="0081115F">
      <w:pPr>
        <w:pStyle w:val="Textoindependienteprimerasangra2"/>
        <w:spacing w:line="240" w:lineRule="auto"/>
        <w:ind w:left="0" w:firstLine="0"/>
        <w:rPr>
          <w:rFonts w:cs="Arial"/>
          <w:i/>
        </w:rPr>
      </w:pPr>
    </w:p>
    <w:p w14:paraId="1A8D2006" w14:textId="77777777" w:rsidR="000E1918" w:rsidRPr="009F61AF" w:rsidRDefault="001C397A" w:rsidP="0081115F">
      <w:pPr>
        <w:pStyle w:val="Textoindependienteprimerasangra2"/>
        <w:spacing w:line="240" w:lineRule="auto"/>
        <w:ind w:left="0" w:firstLine="0"/>
        <w:rPr>
          <w:rFonts w:cs="Arial"/>
          <w:i/>
        </w:rPr>
      </w:pPr>
      <w:r w:rsidRPr="009F61AF">
        <w:rPr>
          <w:rFonts w:cs="Arial"/>
          <w:i/>
        </w:rPr>
        <w:t>“</w:t>
      </w:r>
      <w:r w:rsidR="00785835" w:rsidRPr="009F61AF">
        <w:rPr>
          <w:rFonts w:cs="Arial"/>
          <w:b/>
          <w:i/>
        </w:rPr>
        <w:t>CUARTO:</w:t>
      </w:r>
      <w:r w:rsidR="00785835" w:rsidRPr="009F61AF">
        <w:rPr>
          <w:rFonts w:cs="Arial"/>
          <w:i/>
        </w:rPr>
        <w:t xml:space="preserve"> Declarar que no prosperan las pretensiones subsidiarias por lo expuesto en la parte motiva de esta providencia.</w:t>
      </w:r>
    </w:p>
    <w:p w14:paraId="33124F9C" w14:textId="77777777" w:rsidR="000E1918" w:rsidRPr="009F61AF" w:rsidRDefault="000E1918" w:rsidP="0081115F">
      <w:pPr>
        <w:pStyle w:val="Textoindependienteprimerasangra2"/>
        <w:spacing w:line="240" w:lineRule="auto"/>
        <w:ind w:left="0" w:firstLine="0"/>
        <w:rPr>
          <w:rFonts w:cs="Arial"/>
          <w:i/>
        </w:rPr>
      </w:pPr>
    </w:p>
    <w:p w14:paraId="6084EDCF" w14:textId="77777777" w:rsidR="000E1918" w:rsidRPr="009F61AF" w:rsidRDefault="001C397A" w:rsidP="0081115F">
      <w:pPr>
        <w:pStyle w:val="Textoindependienteprimerasangra2"/>
        <w:spacing w:line="240" w:lineRule="auto"/>
        <w:ind w:left="0" w:firstLine="0"/>
        <w:rPr>
          <w:rFonts w:cs="Arial"/>
          <w:i/>
        </w:rPr>
      </w:pPr>
      <w:r w:rsidRPr="009F61AF">
        <w:rPr>
          <w:rFonts w:cs="Arial"/>
          <w:i/>
        </w:rPr>
        <w:t>“</w:t>
      </w:r>
      <w:r w:rsidR="000E1918" w:rsidRPr="009F61AF">
        <w:rPr>
          <w:rFonts w:cs="Arial"/>
          <w:b/>
          <w:i/>
        </w:rPr>
        <w:t>QUINTO:</w:t>
      </w:r>
      <w:r w:rsidR="000E1918" w:rsidRPr="009F61AF">
        <w:rPr>
          <w:rFonts w:cs="Arial"/>
          <w:i/>
        </w:rPr>
        <w:t xml:space="preserve"> Declarar no probadas las excepciones denominadas, caducidad, falta de legitimación en la causa y la genérica. </w:t>
      </w:r>
    </w:p>
    <w:p w14:paraId="66A40BBE" w14:textId="77777777" w:rsidR="00CE4B2A" w:rsidRPr="009F61AF" w:rsidRDefault="00CE4B2A" w:rsidP="0081115F">
      <w:pPr>
        <w:pStyle w:val="Textoindependienteprimerasangra2"/>
        <w:spacing w:line="240" w:lineRule="auto"/>
        <w:ind w:left="0" w:firstLine="0"/>
        <w:rPr>
          <w:rFonts w:cs="Arial"/>
          <w:i/>
        </w:rPr>
      </w:pPr>
    </w:p>
    <w:p w14:paraId="3E63674B" w14:textId="77777777" w:rsidR="006A1049" w:rsidRPr="009F61AF" w:rsidRDefault="001C397A" w:rsidP="0081115F">
      <w:pPr>
        <w:pStyle w:val="Textoindependienteprimerasangra2"/>
        <w:spacing w:line="240" w:lineRule="auto"/>
        <w:ind w:left="0" w:firstLine="0"/>
        <w:rPr>
          <w:rFonts w:cs="Arial"/>
          <w:i/>
        </w:rPr>
      </w:pPr>
      <w:r w:rsidRPr="009F61AF">
        <w:rPr>
          <w:rFonts w:cs="Arial"/>
          <w:i/>
        </w:rPr>
        <w:t>“</w:t>
      </w:r>
      <w:r w:rsidR="000E1918" w:rsidRPr="009F61AF">
        <w:rPr>
          <w:rFonts w:cs="Arial"/>
          <w:b/>
          <w:i/>
        </w:rPr>
        <w:t>SEXTO:</w:t>
      </w:r>
      <w:r w:rsidR="000E1918" w:rsidRPr="009F61AF">
        <w:rPr>
          <w:rFonts w:cs="Arial"/>
          <w:i/>
        </w:rPr>
        <w:t xml:space="preserve"> Condenar al </w:t>
      </w:r>
      <w:r w:rsidR="000E1918" w:rsidRPr="009F61AF">
        <w:rPr>
          <w:rFonts w:cs="Arial"/>
          <w:b/>
          <w:i/>
        </w:rPr>
        <w:t>INSTITUTO COLOMBIANO DE BIENESTAR FAMILIAR</w:t>
      </w:r>
      <w:r w:rsidR="000E1918" w:rsidRPr="009F61AF">
        <w:rPr>
          <w:rFonts w:cs="Arial"/>
          <w:i/>
        </w:rPr>
        <w:t xml:space="preserve"> a pagar a la </w:t>
      </w:r>
      <w:r w:rsidR="000E1918" w:rsidRPr="009F61AF">
        <w:rPr>
          <w:rFonts w:cs="Arial"/>
          <w:b/>
          <w:i/>
        </w:rPr>
        <w:t>FUNDACIÓN SUPERI</w:t>
      </w:r>
      <w:r w:rsidR="006A1049" w:rsidRPr="009F61AF">
        <w:rPr>
          <w:rFonts w:cs="Arial"/>
          <w:b/>
          <w:i/>
        </w:rPr>
        <w:t>OR PARA EL DESARROLLO INTEGRAL  - FUNDASUPERIOR</w:t>
      </w:r>
      <w:r w:rsidR="006A1049" w:rsidRPr="009F61AF">
        <w:rPr>
          <w:rFonts w:cs="Arial"/>
          <w:i/>
        </w:rPr>
        <w:t>-, la suma de VEINTISIETE MILLONES SEISCIENTOS OCHENTA Y TRES MIL DOSCIENTOS VEINTISIETE PESOS ($27’683.227), por concepto de costas y agencias en derecho.</w:t>
      </w:r>
    </w:p>
    <w:p w14:paraId="067E77F9" w14:textId="77777777" w:rsidR="006A1049" w:rsidRPr="009F61AF" w:rsidRDefault="006A1049" w:rsidP="0081115F">
      <w:pPr>
        <w:pStyle w:val="Textoindependienteprimerasangra2"/>
        <w:spacing w:line="240" w:lineRule="auto"/>
        <w:ind w:left="0" w:firstLine="0"/>
        <w:rPr>
          <w:rFonts w:cs="Arial"/>
          <w:i/>
        </w:rPr>
      </w:pPr>
    </w:p>
    <w:p w14:paraId="3CCD4920" w14:textId="77777777" w:rsidR="006A1049" w:rsidRPr="009F61AF" w:rsidRDefault="001C397A" w:rsidP="0081115F">
      <w:pPr>
        <w:pStyle w:val="Textoindependienteprimerasangra2"/>
        <w:spacing w:line="240" w:lineRule="auto"/>
        <w:ind w:left="0" w:firstLine="0"/>
        <w:rPr>
          <w:rFonts w:cs="Arial"/>
          <w:i/>
        </w:rPr>
      </w:pPr>
      <w:r w:rsidRPr="009F61AF">
        <w:rPr>
          <w:rFonts w:cs="Arial"/>
          <w:i/>
        </w:rPr>
        <w:t>“</w:t>
      </w:r>
      <w:r w:rsidR="006A1049" w:rsidRPr="009F61AF">
        <w:rPr>
          <w:rFonts w:cs="Arial"/>
          <w:b/>
          <w:i/>
        </w:rPr>
        <w:t>SÉPTIMO:</w:t>
      </w:r>
      <w:r w:rsidR="006A1049" w:rsidRPr="009F61AF">
        <w:rPr>
          <w:rFonts w:cs="Arial"/>
          <w:i/>
        </w:rPr>
        <w:t xml:space="preserve"> Declarar causado el saldo final de honorarios de los árbitros y de la secretaria del Tribunal, y ordenar su pago. </w:t>
      </w:r>
    </w:p>
    <w:p w14:paraId="2A7B16E9" w14:textId="77777777" w:rsidR="006A1049" w:rsidRPr="009F61AF" w:rsidRDefault="006A1049" w:rsidP="0081115F">
      <w:pPr>
        <w:pStyle w:val="Textoindependienteprimerasangra2"/>
        <w:spacing w:line="240" w:lineRule="auto"/>
        <w:ind w:left="0" w:firstLine="0"/>
        <w:rPr>
          <w:rFonts w:cs="Arial"/>
          <w:i/>
        </w:rPr>
      </w:pPr>
    </w:p>
    <w:p w14:paraId="4F2AAAA8" w14:textId="77777777" w:rsidR="00120BC6" w:rsidRPr="009F61AF" w:rsidRDefault="001C397A" w:rsidP="0081115F">
      <w:pPr>
        <w:pStyle w:val="Textoindependienteprimerasangra2"/>
        <w:spacing w:line="240" w:lineRule="auto"/>
        <w:ind w:left="0" w:firstLine="0"/>
        <w:rPr>
          <w:rFonts w:cs="Arial"/>
          <w:i/>
        </w:rPr>
      </w:pPr>
      <w:r w:rsidRPr="009F61AF">
        <w:rPr>
          <w:rFonts w:cs="Arial"/>
          <w:i/>
        </w:rPr>
        <w:lastRenderedPageBreak/>
        <w:t>“</w:t>
      </w:r>
      <w:r w:rsidR="006A1049" w:rsidRPr="009F61AF">
        <w:rPr>
          <w:rFonts w:cs="Arial"/>
          <w:b/>
          <w:i/>
        </w:rPr>
        <w:t>OCTAVO:</w:t>
      </w:r>
      <w:r w:rsidR="006A1049" w:rsidRPr="009F61AF">
        <w:rPr>
          <w:rFonts w:cs="Arial"/>
          <w:i/>
        </w:rPr>
        <w:t xml:space="preserve"> Disponer que el Presidente del Tribunal rinda cuentas a las partes de las sumas</w:t>
      </w:r>
      <w:r w:rsidR="00120BC6" w:rsidRPr="009F61AF">
        <w:rPr>
          <w:rFonts w:cs="Arial"/>
          <w:i/>
        </w:rPr>
        <w:t xml:space="preserve"> que estuvieron bajo su cuidado y haga los reembolsos que correspondan de la partida de “Otros” que no sea utilizada.</w:t>
      </w:r>
    </w:p>
    <w:p w14:paraId="32E1C9D8" w14:textId="77777777" w:rsidR="00120BC6" w:rsidRPr="009F61AF" w:rsidRDefault="00120BC6" w:rsidP="0081115F">
      <w:pPr>
        <w:pStyle w:val="Textoindependienteprimerasangra2"/>
        <w:spacing w:line="240" w:lineRule="auto"/>
        <w:ind w:left="0" w:firstLine="0"/>
        <w:rPr>
          <w:rFonts w:cs="Arial"/>
          <w:i/>
        </w:rPr>
      </w:pPr>
    </w:p>
    <w:p w14:paraId="1B094301" w14:textId="77777777" w:rsidR="008248C3" w:rsidRPr="009F61AF" w:rsidRDefault="001C397A" w:rsidP="0081115F">
      <w:pPr>
        <w:pStyle w:val="Textoindependienteprimerasangra2"/>
        <w:spacing w:line="240" w:lineRule="auto"/>
        <w:ind w:left="0" w:firstLine="0"/>
        <w:rPr>
          <w:rFonts w:cs="Arial"/>
          <w:i/>
        </w:rPr>
      </w:pPr>
      <w:r w:rsidRPr="009F61AF">
        <w:rPr>
          <w:rFonts w:cs="Arial"/>
          <w:i/>
        </w:rPr>
        <w:t>“</w:t>
      </w:r>
      <w:r w:rsidR="00120BC6" w:rsidRPr="009F61AF">
        <w:rPr>
          <w:rFonts w:cs="Arial"/>
          <w:b/>
          <w:i/>
        </w:rPr>
        <w:t>NOVEN</w:t>
      </w:r>
      <w:r w:rsidR="008B7FC7" w:rsidRPr="009F61AF">
        <w:rPr>
          <w:rFonts w:cs="Arial"/>
          <w:b/>
          <w:i/>
        </w:rPr>
        <w:t>O</w:t>
      </w:r>
      <w:r w:rsidR="00120BC6" w:rsidRPr="009F61AF">
        <w:rPr>
          <w:rFonts w:cs="Arial"/>
          <w:b/>
          <w:i/>
        </w:rPr>
        <w:t>:</w:t>
      </w:r>
      <w:r w:rsidR="00120BC6" w:rsidRPr="009F61AF">
        <w:rPr>
          <w:rFonts w:cs="Arial"/>
          <w:i/>
        </w:rPr>
        <w:t xml:space="preserve"> Ordenar que por Secretar</w:t>
      </w:r>
      <w:r w:rsidR="00DC24A4" w:rsidRPr="009F61AF">
        <w:rPr>
          <w:rFonts w:cs="Arial"/>
          <w:i/>
        </w:rPr>
        <w:t>í</w:t>
      </w:r>
      <w:r w:rsidR="00120BC6" w:rsidRPr="009F61AF">
        <w:rPr>
          <w:rFonts w:cs="Arial"/>
          <w:i/>
        </w:rPr>
        <w:t>a se expidan copias auténticas de este Laudo con las co</w:t>
      </w:r>
      <w:r w:rsidR="008248C3" w:rsidRPr="009F61AF">
        <w:rPr>
          <w:rFonts w:cs="Arial"/>
          <w:i/>
        </w:rPr>
        <w:t>nstancias de ley para cada una de las partes, y copia simple para el Centro de Conciliación y Arbitraje de la Cámara de Comercio de Bogotá.</w:t>
      </w:r>
    </w:p>
    <w:p w14:paraId="4D5C478B" w14:textId="77777777" w:rsidR="008248C3" w:rsidRPr="009F61AF" w:rsidRDefault="008248C3" w:rsidP="0081115F">
      <w:pPr>
        <w:pStyle w:val="Textoindependienteprimerasangra2"/>
        <w:spacing w:line="240" w:lineRule="auto"/>
        <w:ind w:left="0" w:firstLine="0"/>
        <w:rPr>
          <w:rFonts w:cs="Arial"/>
          <w:i/>
        </w:rPr>
      </w:pPr>
    </w:p>
    <w:p w14:paraId="68317297" w14:textId="77777777" w:rsidR="001C397A" w:rsidRPr="009F61AF" w:rsidRDefault="001C397A" w:rsidP="0081115F">
      <w:pPr>
        <w:pStyle w:val="Textoindependienteprimerasangra2"/>
        <w:spacing w:line="240" w:lineRule="auto"/>
        <w:ind w:left="0" w:firstLine="0"/>
        <w:rPr>
          <w:rFonts w:cs="Arial"/>
          <w:i/>
        </w:rPr>
      </w:pPr>
      <w:r w:rsidRPr="009F61AF">
        <w:rPr>
          <w:rFonts w:cs="Arial"/>
          <w:i/>
        </w:rPr>
        <w:t>“</w:t>
      </w:r>
      <w:r w:rsidR="008248C3" w:rsidRPr="009F61AF">
        <w:rPr>
          <w:rFonts w:cs="Arial"/>
          <w:b/>
          <w:i/>
        </w:rPr>
        <w:t>DÉCIMO:</w:t>
      </w:r>
      <w:r w:rsidR="008248C3" w:rsidRPr="009F61AF">
        <w:rPr>
          <w:rFonts w:cs="Arial"/>
          <w:i/>
        </w:rPr>
        <w:t xml:space="preserve"> Disponer que en firme esta providencia, se archive el expediente en el Centro de Conciliación </w:t>
      </w:r>
      <w:r w:rsidRPr="009F61AF">
        <w:rPr>
          <w:rFonts w:cs="Arial"/>
          <w:i/>
        </w:rPr>
        <w:t>y Arbitraje de la Cámara de Comercio de Bogotá”.</w:t>
      </w:r>
    </w:p>
    <w:p w14:paraId="4C05F58E" w14:textId="77777777" w:rsidR="001C397A" w:rsidRPr="009F61AF" w:rsidRDefault="001C397A" w:rsidP="0081115F">
      <w:pPr>
        <w:pStyle w:val="Textoindependienteprimerasangra2"/>
        <w:spacing w:line="240" w:lineRule="auto"/>
        <w:ind w:left="0" w:firstLine="0"/>
        <w:rPr>
          <w:rFonts w:cs="Arial"/>
          <w:i/>
        </w:rPr>
      </w:pPr>
    </w:p>
    <w:p w14:paraId="1BAA153D" w14:textId="77777777" w:rsidR="00F21484" w:rsidRPr="009F61AF" w:rsidRDefault="00F21484" w:rsidP="0081115F">
      <w:pPr>
        <w:pStyle w:val="Lista"/>
        <w:ind w:left="0"/>
        <w:jc w:val="center"/>
        <w:rPr>
          <w:rFonts w:ascii="Arial" w:hAnsi="Arial" w:cs="Arial"/>
          <w:b/>
        </w:rPr>
      </w:pPr>
      <w:r w:rsidRPr="009F61AF">
        <w:rPr>
          <w:rFonts w:ascii="Arial" w:hAnsi="Arial" w:cs="Arial"/>
          <w:b/>
        </w:rPr>
        <w:t>I.</w:t>
      </w:r>
      <w:r w:rsidR="00E759BE" w:rsidRPr="009F61AF">
        <w:rPr>
          <w:rFonts w:ascii="Arial" w:hAnsi="Arial" w:cs="Arial"/>
          <w:b/>
        </w:rPr>
        <w:tab/>
      </w:r>
      <w:r w:rsidRPr="009F61AF">
        <w:rPr>
          <w:rFonts w:ascii="Arial" w:hAnsi="Arial" w:cs="Arial"/>
          <w:b/>
        </w:rPr>
        <w:t>A N T E C E D E N T E S</w:t>
      </w:r>
    </w:p>
    <w:p w14:paraId="66FD9807" w14:textId="77777777" w:rsidR="00F00A7F" w:rsidRPr="009F61AF" w:rsidRDefault="00F00A7F" w:rsidP="0081115F">
      <w:pPr>
        <w:rPr>
          <w:rFonts w:cs="Arial"/>
          <w:b/>
        </w:rPr>
      </w:pPr>
    </w:p>
    <w:p w14:paraId="29BE40B3" w14:textId="77777777" w:rsidR="00F21484" w:rsidRPr="009F61AF" w:rsidRDefault="00F21484" w:rsidP="0081115F">
      <w:pPr>
        <w:pStyle w:val="Lista2"/>
        <w:spacing w:line="240" w:lineRule="auto"/>
        <w:ind w:left="0" w:firstLine="0"/>
        <w:rPr>
          <w:rFonts w:cs="Arial"/>
          <w:b/>
        </w:rPr>
      </w:pPr>
      <w:r w:rsidRPr="009F61AF">
        <w:rPr>
          <w:rFonts w:cs="Arial"/>
          <w:b/>
        </w:rPr>
        <w:t>1.</w:t>
      </w:r>
      <w:r w:rsidR="009D0836" w:rsidRPr="009F61AF">
        <w:rPr>
          <w:rFonts w:cs="Arial"/>
          <w:b/>
        </w:rPr>
        <w:t xml:space="preserve"> </w:t>
      </w:r>
      <w:r w:rsidR="00C47424" w:rsidRPr="009F61AF">
        <w:rPr>
          <w:rFonts w:cs="Arial"/>
          <w:b/>
        </w:rPr>
        <w:t xml:space="preserve">El procedimiento arbitral </w:t>
      </w:r>
    </w:p>
    <w:p w14:paraId="02C4EC0C" w14:textId="77777777" w:rsidR="00F21484" w:rsidRPr="009F61AF" w:rsidRDefault="00F21484" w:rsidP="0081115F">
      <w:pPr>
        <w:widowControl w:val="0"/>
        <w:autoSpaceDE w:val="0"/>
        <w:autoSpaceDN w:val="0"/>
        <w:adjustRightInd w:val="0"/>
        <w:rPr>
          <w:rFonts w:cs="Arial"/>
        </w:rPr>
      </w:pPr>
    </w:p>
    <w:p w14:paraId="57A033BE" w14:textId="77777777" w:rsidR="002F4A3A" w:rsidRPr="009F61AF" w:rsidRDefault="00286A5E" w:rsidP="0081115F">
      <w:pPr>
        <w:pStyle w:val="Continuarlista2"/>
        <w:spacing w:after="0"/>
        <w:ind w:left="0"/>
        <w:rPr>
          <w:rFonts w:cs="Arial"/>
        </w:rPr>
      </w:pPr>
      <w:r w:rsidRPr="009F61AF">
        <w:rPr>
          <w:rFonts w:cs="Arial"/>
        </w:rPr>
        <w:t>Con fundamento en la cláusula compr</w:t>
      </w:r>
      <w:r w:rsidR="00E2356F" w:rsidRPr="009F61AF">
        <w:rPr>
          <w:rFonts w:cs="Arial"/>
        </w:rPr>
        <w:t>o</w:t>
      </w:r>
      <w:r w:rsidRPr="009F61AF">
        <w:rPr>
          <w:rFonts w:cs="Arial"/>
        </w:rPr>
        <w:t xml:space="preserve">misoria </w:t>
      </w:r>
      <w:r w:rsidR="00E2356F" w:rsidRPr="009F61AF">
        <w:rPr>
          <w:rFonts w:cs="Arial"/>
        </w:rPr>
        <w:t xml:space="preserve">que se encontró pactada en el contrato </w:t>
      </w:r>
      <w:r w:rsidR="004E400D" w:rsidRPr="009F61AF">
        <w:rPr>
          <w:rFonts w:cs="Arial"/>
        </w:rPr>
        <w:t>No. 067 de 20</w:t>
      </w:r>
      <w:r w:rsidR="008A6AFB" w:rsidRPr="009F61AF">
        <w:rPr>
          <w:rFonts w:cs="Arial"/>
        </w:rPr>
        <w:t>09</w:t>
      </w:r>
      <w:r w:rsidR="004E400D" w:rsidRPr="009F61AF">
        <w:rPr>
          <w:rFonts w:cs="Arial"/>
        </w:rPr>
        <w:t xml:space="preserve"> </w:t>
      </w:r>
      <w:r w:rsidR="00092B04" w:rsidRPr="009F61AF">
        <w:rPr>
          <w:rFonts w:cs="Arial"/>
        </w:rPr>
        <w:t xml:space="preserve">se integró un </w:t>
      </w:r>
      <w:r w:rsidR="004E400D" w:rsidRPr="009F61AF">
        <w:rPr>
          <w:rFonts w:cs="Arial"/>
        </w:rPr>
        <w:t xml:space="preserve">Tribunal de Arbitramento </w:t>
      </w:r>
      <w:r w:rsidR="00684428" w:rsidRPr="009F61AF">
        <w:rPr>
          <w:rFonts w:cs="Arial"/>
        </w:rPr>
        <w:t xml:space="preserve">para conocer de la </w:t>
      </w:r>
      <w:r w:rsidR="00092B04" w:rsidRPr="009F61AF">
        <w:rPr>
          <w:rFonts w:cs="Arial"/>
        </w:rPr>
        <w:t>d</w:t>
      </w:r>
      <w:r w:rsidR="00684428" w:rsidRPr="009F61AF">
        <w:rPr>
          <w:rFonts w:cs="Arial"/>
        </w:rPr>
        <w:t xml:space="preserve">emanda </w:t>
      </w:r>
      <w:r w:rsidR="006F0F5A" w:rsidRPr="009F61AF">
        <w:rPr>
          <w:rFonts w:cs="Arial"/>
        </w:rPr>
        <w:t xml:space="preserve">instaurada </w:t>
      </w:r>
      <w:r w:rsidR="00B61D8F" w:rsidRPr="009F61AF">
        <w:rPr>
          <w:rFonts w:cs="Arial"/>
        </w:rPr>
        <w:t xml:space="preserve">el 22 de agosto de 2013, </w:t>
      </w:r>
      <w:r w:rsidR="00684428" w:rsidRPr="009F61AF">
        <w:rPr>
          <w:rFonts w:cs="Arial"/>
        </w:rPr>
        <w:t>por FU</w:t>
      </w:r>
      <w:r w:rsidR="008A6AFB" w:rsidRPr="009F61AF">
        <w:rPr>
          <w:rFonts w:cs="Arial"/>
        </w:rPr>
        <w:t>N</w:t>
      </w:r>
      <w:r w:rsidR="00684428" w:rsidRPr="009F61AF">
        <w:rPr>
          <w:rFonts w:cs="Arial"/>
        </w:rPr>
        <w:t xml:space="preserve">DASUPERIOR en contra del ICBF, en la cual </w:t>
      </w:r>
      <w:r w:rsidR="004A414F" w:rsidRPr="009F61AF">
        <w:rPr>
          <w:rFonts w:cs="Arial"/>
        </w:rPr>
        <w:t xml:space="preserve">se </w:t>
      </w:r>
      <w:r w:rsidR="00267C21" w:rsidRPr="009F61AF">
        <w:rPr>
          <w:rFonts w:cs="Arial"/>
        </w:rPr>
        <w:t xml:space="preserve">presentó la pretensión </w:t>
      </w:r>
      <w:r w:rsidR="000F5D11" w:rsidRPr="009F61AF">
        <w:rPr>
          <w:rFonts w:cs="Arial"/>
        </w:rPr>
        <w:t xml:space="preserve">principal </w:t>
      </w:r>
      <w:r w:rsidR="00267C21" w:rsidRPr="009F61AF">
        <w:rPr>
          <w:rFonts w:cs="Arial"/>
        </w:rPr>
        <w:t xml:space="preserve">de liquidación judicial del </w:t>
      </w:r>
      <w:r w:rsidR="006F0F5A" w:rsidRPr="009F61AF">
        <w:rPr>
          <w:rFonts w:cs="Arial"/>
        </w:rPr>
        <w:t xml:space="preserve">citado </w:t>
      </w:r>
      <w:r w:rsidR="00267C21" w:rsidRPr="009F61AF">
        <w:rPr>
          <w:rFonts w:cs="Arial"/>
        </w:rPr>
        <w:t>contrato y</w:t>
      </w:r>
      <w:r w:rsidR="006F0F5A" w:rsidRPr="009F61AF">
        <w:rPr>
          <w:rFonts w:cs="Arial"/>
        </w:rPr>
        <w:t>,</w:t>
      </w:r>
      <w:r w:rsidR="00267C21" w:rsidRPr="009F61AF">
        <w:rPr>
          <w:rFonts w:cs="Arial"/>
        </w:rPr>
        <w:t xml:space="preserve"> dentro de ella, la </w:t>
      </w:r>
      <w:r w:rsidR="004A414F" w:rsidRPr="009F61AF">
        <w:rPr>
          <w:rFonts w:cs="Arial"/>
        </w:rPr>
        <w:t xml:space="preserve">condena al pago </w:t>
      </w:r>
      <w:r w:rsidR="00162D60" w:rsidRPr="009F61AF">
        <w:rPr>
          <w:rFonts w:cs="Arial"/>
        </w:rPr>
        <w:t xml:space="preserve">por </w:t>
      </w:r>
      <w:r w:rsidR="004A414F" w:rsidRPr="009F61AF">
        <w:rPr>
          <w:rFonts w:cs="Arial"/>
        </w:rPr>
        <w:t>e</w:t>
      </w:r>
      <w:r w:rsidR="00162D60" w:rsidRPr="009F61AF">
        <w:rPr>
          <w:rFonts w:cs="Arial"/>
        </w:rPr>
        <w:t xml:space="preserve">l valor insoluto de </w:t>
      </w:r>
      <w:r w:rsidR="004A414F" w:rsidRPr="009F61AF">
        <w:rPr>
          <w:rFonts w:cs="Arial"/>
        </w:rPr>
        <w:t xml:space="preserve">la factura No. 0129, </w:t>
      </w:r>
      <w:r w:rsidR="00162D60" w:rsidRPr="009F61AF">
        <w:rPr>
          <w:rFonts w:cs="Arial"/>
        </w:rPr>
        <w:t>más</w:t>
      </w:r>
      <w:r w:rsidR="004A414F" w:rsidRPr="009F61AF">
        <w:rPr>
          <w:rFonts w:cs="Arial"/>
        </w:rPr>
        <w:t xml:space="preserve"> los intereses moratorios correspondientes</w:t>
      </w:r>
      <w:r w:rsidR="002F4A3A" w:rsidRPr="009F61AF">
        <w:rPr>
          <w:rFonts w:cs="Arial"/>
        </w:rPr>
        <w:t>.</w:t>
      </w:r>
      <w:r w:rsidR="004F07A6" w:rsidRPr="009F61AF">
        <w:rPr>
          <w:rFonts w:cs="Arial"/>
        </w:rPr>
        <w:t xml:space="preserve"> </w:t>
      </w:r>
      <w:r w:rsidR="000F5D11" w:rsidRPr="009F61AF">
        <w:rPr>
          <w:rFonts w:cs="Arial"/>
        </w:rPr>
        <w:t>En las pretensiones subsidiarias la demandante solicitó declarar el enriquecim</w:t>
      </w:r>
      <w:r w:rsidR="00D319FB" w:rsidRPr="009F61AF">
        <w:rPr>
          <w:rFonts w:cs="Arial"/>
        </w:rPr>
        <w:t>i</w:t>
      </w:r>
      <w:r w:rsidR="000F5D11" w:rsidRPr="009F61AF">
        <w:rPr>
          <w:rFonts w:cs="Arial"/>
        </w:rPr>
        <w:t xml:space="preserve">ento sin causa por el valor insoluto de la </w:t>
      </w:r>
      <w:r w:rsidR="00B952C7" w:rsidRPr="009F61AF">
        <w:rPr>
          <w:rFonts w:cs="Arial"/>
        </w:rPr>
        <w:t xml:space="preserve">referida </w:t>
      </w:r>
      <w:r w:rsidR="000F5D11" w:rsidRPr="009F61AF">
        <w:rPr>
          <w:rFonts w:cs="Arial"/>
        </w:rPr>
        <w:t>factura</w:t>
      </w:r>
      <w:r w:rsidR="002F4A3A" w:rsidRPr="009F61AF">
        <w:rPr>
          <w:rFonts w:cs="Arial"/>
        </w:rPr>
        <w:t>, a título de daño emergente</w:t>
      </w:r>
      <w:r w:rsidR="00D9139C" w:rsidRPr="009F61AF">
        <w:rPr>
          <w:rFonts w:cs="Arial"/>
        </w:rPr>
        <w:t xml:space="preserve">, </w:t>
      </w:r>
      <w:r w:rsidR="002F4A3A" w:rsidRPr="009F61AF">
        <w:rPr>
          <w:rFonts w:cs="Arial"/>
        </w:rPr>
        <w:t xml:space="preserve">y los intereses moratorios, a título de lucro cesante. </w:t>
      </w:r>
    </w:p>
    <w:p w14:paraId="37EDE062" w14:textId="77777777" w:rsidR="002F4A3A" w:rsidRPr="009F61AF" w:rsidRDefault="002F4A3A" w:rsidP="0081115F">
      <w:pPr>
        <w:pStyle w:val="Continuarlista2"/>
        <w:spacing w:after="0"/>
        <w:ind w:left="0"/>
        <w:rPr>
          <w:rFonts w:cs="Arial"/>
        </w:rPr>
      </w:pPr>
    </w:p>
    <w:p w14:paraId="3BC5F0B6" w14:textId="77777777" w:rsidR="00C47424" w:rsidRPr="009F61AF" w:rsidRDefault="00C47424" w:rsidP="0081115F">
      <w:pPr>
        <w:pStyle w:val="Continuarlista2"/>
        <w:spacing w:after="0"/>
        <w:ind w:left="0"/>
        <w:rPr>
          <w:rFonts w:cs="Arial"/>
          <w:b/>
        </w:rPr>
      </w:pPr>
      <w:r w:rsidRPr="009F61AF">
        <w:rPr>
          <w:rFonts w:cs="Arial"/>
          <w:b/>
        </w:rPr>
        <w:t>1.1. La demanda</w:t>
      </w:r>
    </w:p>
    <w:p w14:paraId="33B0392E" w14:textId="77777777" w:rsidR="00C47424" w:rsidRPr="009F61AF" w:rsidRDefault="00C47424" w:rsidP="0081115F">
      <w:pPr>
        <w:pStyle w:val="Continuarlista2"/>
        <w:spacing w:after="0"/>
        <w:ind w:left="0"/>
        <w:rPr>
          <w:rFonts w:cs="Arial"/>
        </w:rPr>
      </w:pPr>
    </w:p>
    <w:p w14:paraId="0A8E62FF" w14:textId="77777777" w:rsidR="00DC073C" w:rsidRPr="009F61AF" w:rsidRDefault="002F4A3A" w:rsidP="0081115F">
      <w:pPr>
        <w:pStyle w:val="Continuarlista2"/>
        <w:spacing w:after="0"/>
        <w:ind w:left="0"/>
        <w:rPr>
          <w:rFonts w:cs="Arial"/>
        </w:rPr>
      </w:pPr>
      <w:r w:rsidRPr="009F61AF">
        <w:rPr>
          <w:rFonts w:cs="Arial"/>
        </w:rPr>
        <w:t>E</w:t>
      </w:r>
      <w:r w:rsidR="006F0F5A" w:rsidRPr="009F61AF">
        <w:rPr>
          <w:rFonts w:cs="Arial"/>
        </w:rPr>
        <w:t>n los hechos de la demanda, FU</w:t>
      </w:r>
      <w:r w:rsidR="008B4B87" w:rsidRPr="009F61AF">
        <w:rPr>
          <w:rFonts w:cs="Arial"/>
        </w:rPr>
        <w:t>N</w:t>
      </w:r>
      <w:r w:rsidR="006F0F5A" w:rsidRPr="009F61AF">
        <w:rPr>
          <w:rFonts w:cs="Arial"/>
        </w:rPr>
        <w:t xml:space="preserve">DASUPERIOR narró que se trató de un contrato denominado de </w:t>
      </w:r>
      <w:r w:rsidR="00D9139C" w:rsidRPr="009F61AF">
        <w:rPr>
          <w:rFonts w:cs="Arial"/>
          <w:i/>
        </w:rPr>
        <w:t>“APORTE ENTRE EL ICBF Y FUNDASUPERIOR</w:t>
      </w:r>
      <w:r w:rsidR="006F0F5A" w:rsidRPr="009F61AF">
        <w:rPr>
          <w:rFonts w:cs="Arial"/>
        </w:rPr>
        <w:t xml:space="preserve">” </w:t>
      </w:r>
      <w:r w:rsidR="00ED08BE" w:rsidRPr="009F61AF">
        <w:rPr>
          <w:rFonts w:cs="Arial"/>
        </w:rPr>
        <w:t xml:space="preserve">celebrado con el objeto de </w:t>
      </w:r>
      <w:r w:rsidR="00ED08BE" w:rsidRPr="009F61AF">
        <w:rPr>
          <w:rFonts w:cs="Arial"/>
          <w:i/>
        </w:rPr>
        <w:t xml:space="preserve">“BRINDAR COMPLEMENTACIÓN ALIMENTARIA </w:t>
      </w:r>
      <w:r w:rsidR="00E55358" w:rsidRPr="009F61AF">
        <w:rPr>
          <w:rFonts w:cs="Arial"/>
          <w:i/>
        </w:rPr>
        <w:t xml:space="preserve">A </w:t>
      </w:r>
      <w:r w:rsidR="00ED08BE" w:rsidRPr="009F61AF">
        <w:rPr>
          <w:rFonts w:cs="Arial"/>
          <w:i/>
        </w:rPr>
        <w:t>ADULTOS MAYORES EN CONDICIONES DE EXTREMA VULNERABILIDAD ECONÓMICA Y SOCIAL, MEDIANTE EL SERVIC</w:t>
      </w:r>
      <w:r w:rsidR="00FE13B7" w:rsidRPr="009F61AF">
        <w:rPr>
          <w:rFonts w:cs="Arial"/>
          <w:i/>
        </w:rPr>
        <w:t>I</w:t>
      </w:r>
      <w:r w:rsidR="00ED08BE" w:rsidRPr="009F61AF">
        <w:rPr>
          <w:rFonts w:cs="Arial"/>
          <w:i/>
        </w:rPr>
        <w:t>O PÚBLICO DE BIENESTAR EN EL DEPARTAMENTO DE RISARALDA</w:t>
      </w:r>
      <w:r w:rsidR="00871C9D" w:rsidRPr="009F61AF">
        <w:rPr>
          <w:rFonts w:cs="Arial"/>
          <w:i/>
        </w:rPr>
        <w:t>”</w:t>
      </w:r>
      <w:r w:rsidR="00D9139C" w:rsidRPr="009F61AF">
        <w:rPr>
          <w:rFonts w:cs="Arial"/>
        </w:rPr>
        <w:t>. A</w:t>
      </w:r>
      <w:r w:rsidR="00EF2B2E" w:rsidRPr="009F61AF">
        <w:rPr>
          <w:rFonts w:cs="Arial"/>
        </w:rPr>
        <w:t xml:space="preserve">firmó que el ICBF </w:t>
      </w:r>
      <w:r w:rsidR="00DC073C" w:rsidRPr="009F61AF">
        <w:rPr>
          <w:rFonts w:cs="Arial"/>
        </w:rPr>
        <w:t xml:space="preserve">no </w:t>
      </w:r>
      <w:r w:rsidR="00C80521" w:rsidRPr="009F61AF">
        <w:rPr>
          <w:rFonts w:cs="Arial"/>
        </w:rPr>
        <w:t xml:space="preserve">cumplió con la obligación de gestionar </w:t>
      </w:r>
      <w:r w:rsidR="00DC073C" w:rsidRPr="009F61AF">
        <w:rPr>
          <w:rFonts w:cs="Arial"/>
        </w:rPr>
        <w:t>l</w:t>
      </w:r>
      <w:r w:rsidR="00C80521" w:rsidRPr="009F61AF">
        <w:rPr>
          <w:rFonts w:cs="Arial"/>
        </w:rPr>
        <w:t xml:space="preserve">as cuentas ni efectuó el desembolso correspondiente a la </w:t>
      </w:r>
      <w:r w:rsidR="00DC073C" w:rsidRPr="009F61AF">
        <w:rPr>
          <w:rFonts w:cs="Arial"/>
        </w:rPr>
        <w:t xml:space="preserve">factura No. 129 </w:t>
      </w:r>
      <w:r w:rsidR="00280A2A" w:rsidRPr="009F61AF">
        <w:rPr>
          <w:rFonts w:cs="Arial"/>
        </w:rPr>
        <w:t xml:space="preserve">que </w:t>
      </w:r>
      <w:r w:rsidR="008B7FC7" w:rsidRPr="009F61AF">
        <w:rPr>
          <w:rFonts w:cs="Arial"/>
        </w:rPr>
        <w:t xml:space="preserve">se presentó por concepto de </w:t>
      </w:r>
      <w:r w:rsidR="00C80521" w:rsidRPr="009F61AF">
        <w:rPr>
          <w:rFonts w:cs="Arial"/>
        </w:rPr>
        <w:t xml:space="preserve">29.196 raciones alimenticias preparadas en </w:t>
      </w:r>
      <w:r w:rsidR="00DC073C" w:rsidRPr="009F61AF">
        <w:rPr>
          <w:rFonts w:cs="Arial"/>
        </w:rPr>
        <w:t xml:space="preserve">el mes de noviembre de 2010, dentro del término de ejecución del contrato. </w:t>
      </w:r>
    </w:p>
    <w:p w14:paraId="1378767B" w14:textId="77777777" w:rsidR="002F4A3A" w:rsidRPr="009F61AF" w:rsidRDefault="002F4A3A" w:rsidP="0081115F">
      <w:pPr>
        <w:pStyle w:val="Continuarlista2"/>
        <w:spacing w:after="0"/>
        <w:ind w:left="0"/>
        <w:rPr>
          <w:rFonts w:cs="Arial"/>
        </w:rPr>
      </w:pPr>
    </w:p>
    <w:p w14:paraId="0F65F5BF" w14:textId="77777777" w:rsidR="00A27BD8" w:rsidRPr="009F61AF" w:rsidRDefault="00C47424" w:rsidP="0081115F">
      <w:pPr>
        <w:pStyle w:val="Continuarlista2"/>
        <w:spacing w:after="0"/>
        <w:ind w:left="0"/>
        <w:rPr>
          <w:rFonts w:cs="Arial"/>
        </w:rPr>
      </w:pPr>
      <w:r w:rsidRPr="009F61AF">
        <w:rPr>
          <w:rFonts w:cs="Arial"/>
          <w:b/>
        </w:rPr>
        <w:t xml:space="preserve">1.2. </w:t>
      </w:r>
      <w:r w:rsidR="00A27BD8" w:rsidRPr="009F61AF">
        <w:rPr>
          <w:rFonts w:cs="Arial"/>
          <w:b/>
        </w:rPr>
        <w:t>Contestación de la demanda</w:t>
      </w:r>
      <w:r w:rsidR="00A27BD8" w:rsidRPr="009F61AF">
        <w:rPr>
          <w:rFonts w:cs="Arial"/>
        </w:rPr>
        <w:t xml:space="preserve"> </w:t>
      </w:r>
    </w:p>
    <w:p w14:paraId="5591688B" w14:textId="77777777" w:rsidR="00A27BD8" w:rsidRPr="009F61AF" w:rsidRDefault="00A27BD8" w:rsidP="0081115F">
      <w:pPr>
        <w:pStyle w:val="Continuarlista2"/>
        <w:spacing w:after="0"/>
        <w:ind w:left="0"/>
        <w:rPr>
          <w:rFonts w:cs="Arial"/>
        </w:rPr>
      </w:pPr>
    </w:p>
    <w:p w14:paraId="46647343" w14:textId="77777777" w:rsidR="00923225" w:rsidRPr="009F61AF" w:rsidRDefault="00E71B0F" w:rsidP="0081115F">
      <w:pPr>
        <w:pStyle w:val="Continuarlista2"/>
        <w:spacing w:after="0"/>
        <w:ind w:left="0"/>
        <w:rPr>
          <w:rFonts w:cs="Arial"/>
        </w:rPr>
      </w:pPr>
      <w:r w:rsidRPr="009F61AF">
        <w:rPr>
          <w:rFonts w:cs="Arial"/>
        </w:rPr>
        <w:lastRenderedPageBreak/>
        <w:t xml:space="preserve">El ICBF </w:t>
      </w:r>
      <w:r w:rsidR="00644EF6" w:rsidRPr="009F61AF">
        <w:rPr>
          <w:rFonts w:cs="Arial"/>
        </w:rPr>
        <w:t xml:space="preserve">contestó la demanda, </w:t>
      </w:r>
      <w:r w:rsidR="003E13DB" w:rsidRPr="009F61AF">
        <w:rPr>
          <w:rFonts w:cs="Arial"/>
        </w:rPr>
        <w:t>aceptó parcialmente los hechos</w:t>
      </w:r>
      <w:r w:rsidR="007A1468" w:rsidRPr="009F61AF">
        <w:rPr>
          <w:rFonts w:cs="Arial"/>
        </w:rPr>
        <w:t xml:space="preserve">, negó el incumplimiento del contrato por parte de la entidad </w:t>
      </w:r>
      <w:r w:rsidR="003E13DB" w:rsidRPr="009F61AF">
        <w:rPr>
          <w:rFonts w:cs="Arial"/>
        </w:rPr>
        <w:t xml:space="preserve">y </w:t>
      </w:r>
      <w:r w:rsidR="00644EF6" w:rsidRPr="009F61AF">
        <w:rPr>
          <w:rFonts w:cs="Arial"/>
        </w:rPr>
        <w:t>se opuso a las pretensiones</w:t>
      </w:r>
      <w:r w:rsidR="003E13DB" w:rsidRPr="009F61AF">
        <w:rPr>
          <w:rFonts w:cs="Arial"/>
        </w:rPr>
        <w:t xml:space="preserve">. Afirmó que la demandante </w:t>
      </w:r>
      <w:r w:rsidR="00923225" w:rsidRPr="009F61AF">
        <w:rPr>
          <w:rFonts w:cs="Arial"/>
        </w:rPr>
        <w:t>reconoció en la demanda que el servicio correspondió al mes de noviembre de 2010, en el cual terminó el contrato.</w:t>
      </w:r>
    </w:p>
    <w:p w14:paraId="16A6B838" w14:textId="77777777" w:rsidR="00B04237" w:rsidRPr="009F61AF" w:rsidRDefault="00B04237" w:rsidP="0081115F">
      <w:pPr>
        <w:pStyle w:val="Continuarlista2"/>
        <w:spacing w:after="0"/>
        <w:ind w:left="0"/>
        <w:rPr>
          <w:rFonts w:cs="Arial"/>
        </w:rPr>
      </w:pPr>
    </w:p>
    <w:p w14:paraId="14F5FEE2" w14:textId="77777777" w:rsidR="001841DE" w:rsidRPr="009F61AF" w:rsidRDefault="00C47424" w:rsidP="0081115F">
      <w:pPr>
        <w:pStyle w:val="Continuarlista2"/>
        <w:spacing w:after="0"/>
        <w:ind w:left="0"/>
        <w:rPr>
          <w:rFonts w:cs="Arial"/>
          <w:b/>
        </w:rPr>
      </w:pPr>
      <w:r w:rsidRPr="009F61AF">
        <w:rPr>
          <w:rFonts w:cs="Arial"/>
          <w:b/>
        </w:rPr>
        <w:t xml:space="preserve">1.3. </w:t>
      </w:r>
      <w:r w:rsidR="001841DE" w:rsidRPr="009F61AF">
        <w:rPr>
          <w:rFonts w:cs="Arial"/>
          <w:b/>
        </w:rPr>
        <w:t>Excepciones</w:t>
      </w:r>
    </w:p>
    <w:p w14:paraId="3C3FE2F8" w14:textId="77777777" w:rsidR="001841DE" w:rsidRPr="009F61AF" w:rsidRDefault="001841DE" w:rsidP="0081115F">
      <w:pPr>
        <w:pStyle w:val="Continuarlista2"/>
        <w:spacing w:after="0"/>
        <w:ind w:left="0"/>
        <w:rPr>
          <w:rFonts w:cs="Arial"/>
        </w:rPr>
      </w:pPr>
    </w:p>
    <w:p w14:paraId="79F306C7" w14:textId="77777777" w:rsidR="00A62347" w:rsidRPr="009F61AF" w:rsidRDefault="00225401" w:rsidP="0081115F">
      <w:pPr>
        <w:pStyle w:val="Continuarlista2"/>
        <w:spacing w:after="0"/>
        <w:ind w:left="0"/>
        <w:rPr>
          <w:rFonts w:cs="Arial"/>
        </w:rPr>
      </w:pPr>
      <w:r w:rsidRPr="009F61AF">
        <w:rPr>
          <w:rFonts w:cs="Arial"/>
        </w:rPr>
        <w:t>E</w:t>
      </w:r>
      <w:r w:rsidR="00306380" w:rsidRPr="009F61AF">
        <w:rPr>
          <w:rFonts w:cs="Arial"/>
        </w:rPr>
        <w:t>n el proceso arbitral el</w:t>
      </w:r>
      <w:r w:rsidRPr="009F61AF">
        <w:rPr>
          <w:rFonts w:cs="Arial"/>
        </w:rPr>
        <w:t xml:space="preserve"> ICBF p</w:t>
      </w:r>
      <w:r w:rsidR="00C45A3B" w:rsidRPr="009F61AF">
        <w:rPr>
          <w:rFonts w:cs="Arial"/>
        </w:rPr>
        <w:t xml:space="preserve">resentó las </w:t>
      </w:r>
      <w:r w:rsidR="00EF2B2E" w:rsidRPr="009F61AF">
        <w:rPr>
          <w:rFonts w:cs="Arial"/>
        </w:rPr>
        <w:t xml:space="preserve">siguientes </w:t>
      </w:r>
      <w:r w:rsidR="00C45A3B" w:rsidRPr="009F61AF">
        <w:rPr>
          <w:rFonts w:cs="Arial"/>
        </w:rPr>
        <w:t>excepciones</w:t>
      </w:r>
      <w:r w:rsidR="00CA53BF" w:rsidRPr="009F61AF">
        <w:rPr>
          <w:rFonts w:cs="Arial"/>
        </w:rPr>
        <w:t xml:space="preserve">: </w:t>
      </w:r>
      <w:r w:rsidR="009E5E59" w:rsidRPr="009F61AF">
        <w:rPr>
          <w:rFonts w:cs="Arial"/>
          <w:b/>
        </w:rPr>
        <w:t>i</w:t>
      </w:r>
      <w:r w:rsidR="00CA53BF" w:rsidRPr="009F61AF">
        <w:rPr>
          <w:rFonts w:cs="Arial"/>
          <w:b/>
        </w:rPr>
        <w:t>)</w:t>
      </w:r>
      <w:r w:rsidR="00CA53BF" w:rsidRPr="009F61AF">
        <w:rPr>
          <w:rFonts w:cs="Arial"/>
        </w:rPr>
        <w:t xml:space="preserve"> </w:t>
      </w:r>
      <w:r w:rsidR="00B56B48" w:rsidRPr="009F61AF">
        <w:rPr>
          <w:rFonts w:cs="Arial"/>
        </w:rPr>
        <w:t>C</w:t>
      </w:r>
      <w:r w:rsidR="00C45A3B" w:rsidRPr="009F61AF">
        <w:rPr>
          <w:rFonts w:cs="Arial"/>
        </w:rPr>
        <w:t>aducidad</w:t>
      </w:r>
      <w:r w:rsidR="00A11EB3" w:rsidRPr="009F61AF">
        <w:rPr>
          <w:rFonts w:cs="Arial"/>
        </w:rPr>
        <w:t xml:space="preserve"> </w:t>
      </w:r>
      <w:r w:rsidR="00CA53BF" w:rsidRPr="009F61AF">
        <w:rPr>
          <w:rFonts w:cs="Arial"/>
        </w:rPr>
        <w:t xml:space="preserve">de la acción, </w:t>
      </w:r>
      <w:r w:rsidR="00A11EB3" w:rsidRPr="009F61AF">
        <w:rPr>
          <w:rFonts w:cs="Arial"/>
        </w:rPr>
        <w:t xml:space="preserve">la cual apoyó en que la demanda se presentó habiendo transcurrido más de tres años desde </w:t>
      </w:r>
      <w:r w:rsidR="00132529" w:rsidRPr="009F61AF">
        <w:rPr>
          <w:rFonts w:cs="Arial"/>
        </w:rPr>
        <w:t xml:space="preserve">la fecha de terminación del contrato que </w:t>
      </w:r>
      <w:r w:rsidR="00A77155" w:rsidRPr="009F61AF">
        <w:rPr>
          <w:rFonts w:cs="Arial"/>
        </w:rPr>
        <w:t xml:space="preserve">a su juicio </w:t>
      </w:r>
      <w:r w:rsidR="00132529" w:rsidRPr="009F61AF">
        <w:rPr>
          <w:rFonts w:cs="Arial"/>
        </w:rPr>
        <w:t>ocurri</w:t>
      </w:r>
      <w:r w:rsidR="00A77155" w:rsidRPr="009F61AF">
        <w:rPr>
          <w:rFonts w:cs="Arial"/>
        </w:rPr>
        <w:t>ó</w:t>
      </w:r>
      <w:r w:rsidR="00132529" w:rsidRPr="009F61AF">
        <w:rPr>
          <w:rFonts w:cs="Arial"/>
        </w:rPr>
        <w:t xml:space="preserve"> el 30 de noviembre de 2010</w:t>
      </w:r>
      <w:r w:rsidR="00CA53BF" w:rsidRPr="009F61AF">
        <w:rPr>
          <w:rFonts w:cs="Arial"/>
        </w:rPr>
        <w:t xml:space="preserve">. Puntualizó que tuvo lugar </w:t>
      </w:r>
      <w:r w:rsidR="00A87496" w:rsidRPr="009F61AF">
        <w:rPr>
          <w:rFonts w:cs="Arial"/>
        </w:rPr>
        <w:t xml:space="preserve">la caducidad </w:t>
      </w:r>
      <w:r w:rsidR="00A4012B" w:rsidRPr="009F61AF">
        <w:rPr>
          <w:rFonts w:cs="Arial"/>
        </w:rPr>
        <w:t xml:space="preserve">de la acción </w:t>
      </w:r>
      <w:r w:rsidR="00A87496" w:rsidRPr="009F61AF">
        <w:rPr>
          <w:rFonts w:cs="Arial"/>
        </w:rPr>
        <w:t xml:space="preserve">aun descontando el término </w:t>
      </w:r>
      <w:r w:rsidR="006160BF" w:rsidRPr="009F61AF">
        <w:rPr>
          <w:rFonts w:cs="Arial"/>
        </w:rPr>
        <w:t>del trámite de conciliación</w:t>
      </w:r>
      <w:r w:rsidR="00F86F94" w:rsidRPr="009F61AF">
        <w:rPr>
          <w:rFonts w:cs="Arial"/>
        </w:rPr>
        <w:t xml:space="preserve"> prejudicial</w:t>
      </w:r>
      <w:r w:rsidR="00A77155" w:rsidRPr="009F61AF">
        <w:rPr>
          <w:rFonts w:cs="Arial"/>
        </w:rPr>
        <w:t xml:space="preserve"> que se adelantó ante la Procuraduría. </w:t>
      </w:r>
      <w:r w:rsidR="006160BF" w:rsidRPr="009F61AF">
        <w:rPr>
          <w:rFonts w:cs="Arial"/>
        </w:rPr>
        <w:t>A</w:t>
      </w:r>
      <w:r w:rsidR="00F86F94" w:rsidRPr="009F61AF">
        <w:rPr>
          <w:rFonts w:cs="Arial"/>
        </w:rPr>
        <w:t>gregó que a</w:t>
      </w:r>
      <w:r w:rsidR="006160BF" w:rsidRPr="009F61AF">
        <w:rPr>
          <w:rFonts w:cs="Arial"/>
        </w:rPr>
        <w:t xml:space="preserve"> su juicio no procedía </w:t>
      </w:r>
      <w:r w:rsidR="00CA53BF" w:rsidRPr="009F61AF">
        <w:rPr>
          <w:rFonts w:cs="Arial"/>
        </w:rPr>
        <w:t xml:space="preserve">considerar </w:t>
      </w:r>
      <w:r w:rsidR="006160BF" w:rsidRPr="009F61AF">
        <w:rPr>
          <w:rFonts w:cs="Arial"/>
        </w:rPr>
        <w:t>el plazo de liquidación del contrato</w:t>
      </w:r>
      <w:r w:rsidR="00CA53BF" w:rsidRPr="009F61AF">
        <w:rPr>
          <w:rFonts w:cs="Arial"/>
        </w:rPr>
        <w:t xml:space="preserve"> para efectos de establecer la caducidad</w:t>
      </w:r>
      <w:r w:rsidR="006160BF" w:rsidRPr="009F61AF">
        <w:rPr>
          <w:rFonts w:cs="Arial"/>
        </w:rPr>
        <w:t xml:space="preserve">, de acuerdo con el régimen aplicable al </w:t>
      </w:r>
      <w:r w:rsidR="00CA53BF" w:rsidRPr="009F61AF">
        <w:rPr>
          <w:rFonts w:cs="Arial"/>
        </w:rPr>
        <w:t>contrato</w:t>
      </w:r>
      <w:r w:rsidR="008E5039" w:rsidRPr="009F61AF">
        <w:rPr>
          <w:rFonts w:cs="Arial"/>
        </w:rPr>
        <w:t>.</w:t>
      </w:r>
      <w:r w:rsidR="00C60C38" w:rsidRPr="009F61AF">
        <w:rPr>
          <w:rFonts w:cs="Arial"/>
        </w:rPr>
        <w:t xml:space="preserve"> </w:t>
      </w:r>
      <w:r w:rsidR="00F84030" w:rsidRPr="009F61AF">
        <w:rPr>
          <w:rFonts w:cs="Arial"/>
          <w:b/>
        </w:rPr>
        <w:t>ii)</w:t>
      </w:r>
      <w:r w:rsidR="00F84030" w:rsidRPr="009F61AF">
        <w:rPr>
          <w:rFonts w:cs="Arial"/>
        </w:rPr>
        <w:t xml:space="preserve"> </w:t>
      </w:r>
      <w:r w:rsidR="008E5039" w:rsidRPr="009F61AF">
        <w:rPr>
          <w:rFonts w:cs="Arial"/>
        </w:rPr>
        <w:t>F</w:t>
      </w:r>
      <w:r w:rsidR="00F84030" w:rsidRPr="009F61AF">
        <w:rPr>
          <w:rFonts w:cs="Arial"/>
        </w:rPr>
        <w:t xml:space="preserve">alta de legitimación pasiva </w:t>
      </w:r>
      <w:r w:rsidR="00EF66DC" w:rsidRPr="009F61AF">
        <w:rPr>
          <w:rFonts w:cs="Arial"/>
        </w:rPr>
        <w:t xml:space="preserve">toda vez que </w:t>
      </w:r>
      <w:r w:rsidR="008E5039" w:rsidRPr="009F61AF">
        <w:rPr>
          <w:rFonts w:cs="Arial"/>
        </w:rPr>
        <w:t xml:space="preserve">observó que </w:t>
      </w:r>
      <w:r w:rsidR="00EF66DC" w:rsidRPr="009F61AF">
        <w:rPr>
          <w:rFonts w:cs="Arial"/>
        </w:rPr>
        <w:t xml:space="preserve">la demandante no </w:t>
      </w:r>
      <w:r w:rsidR="008E5039" w:rsidRPr="009F61AF">
        <w:rPr>
          <w:rFonts w:cs="Arial"/>
        </w:rPr>
        <w:t xml:space="preserve">acreditó </w:t>
      </w:r>
      <w:r w:rsidR="00EF66DC" w:rsidRPr="009F61AF">
        <w:rPr>
          <w:rFonts w:cs="Arial"/>
        </w:rPr>
        <w:t>la prestación del servicio que pretend</w:t>
      </w:r>
      <w:r w:rsidR="00A62347" w:rsidRPr="009F61AF">
        <w:rPr>
          <w:rFonts w:cs="Arial"/>
        </w:rPr>
        <w:t>ió</w:t>
      </w:r>
      <w:r w:rsidR="00EF66DC" w:rsidRPr="009F61AF">
        <w:rPr>
          <w:rFonts w:cs="Arial"/>
        </w:rPr>
        <w:t xml:space="preserve"> cobrar</w:t>
      </w:r>
      <w:r w:rsidR="00A62347" w:rsidRPr="009F61AF">
        <w:rPr>
          <w:rFonts w:cs="Arial"/>
        </w:rPr>
        <w:t>.</w:t>
      </w:r>
    </w:p>
    <w:p w14:paraId="7B57F374" w14:textId="77777777" w:rsidR="00EF66DC" w:rsidRPr="009F61AF" w:rsidRDefault="00EF66DC" w:rsidP="0081115F">
      <w:pPr>
        <w:pStyle w:val="Continuarlista2"/>
        <w:spacing w:after="0"/>
        <w:ind w:left="0"/>
        <w:rPr>
          <w:rFonts w:cs="Arial"/>
        </w:rPr>
      </w:pPr>
    </w:p>
    <w:p w14:paraId="7823B062" w14:textId="77777777" w:rsidR="0049442C" w:rsidRPr="009F61AF" w:rsidRDefault="0049442C" w:rsidP="0081115F">
      <w:pPr>
        <w:pStyle w:val="Continuarlista2"/>
        <w:spacing w:after="0"/>
        <w:ind w:left="0"/>
        <w:rPr>
          <w:rFonts w:cs="Arial"/>
        </w:rPr>
      </w:pPr>
      <w:r w:rsidRPr="009F61AF">
        <w:rPr>
          <w:rFonts w:cs="Arial"/>
        </w:rPr>
        <w:t xml:space="preserve">En la oportunidad para descorrer el traslado de excepciones, FUNDASUPERIOR </w:t>
      </w:r>
      <w:r w:rsidR="006F5A05" w:rsidRPr="009F61AF">
        <w:rPr>
          <w:rFonts w:cs="Arial"/>
        </w:rPr>
        <w:t xml:space="preserve">transcribió </w:t>
      </w:r>
      <w:r w:rsidR="00997F05" w:rsidRPr="009F61AF">
        <w:rPr>
          <w:rFonts w:cs="Arial"/>
        </w:rPr>
        <w:t xml:space="preserve">el </w:t>
      </w:r>
      <w:r w:rsidR="006F5A05" w:rsidRPr="009F61AF">
        <w:rPr>
          <w:rFonts w:cs="Arial"/>
        </w:rPr>
        <w:t>literal j) del a</w:t>
      </w:r>
      <w:r w:rsidR="00997F05" w:rsidRPr="009F61AF">
        <w:rPr>
          <w:rFonts w:cs="Arial"/>
        </w:rPr>
        <w:t xml:space="preserve">rtículo 164 del C.P.C.A. </w:t>
      </w:r>
      <w:r w:rsidR="006F5A05" w:rsidRPr="009F61AF">
        <w:rPr>
          <w:rFonts w:cs="Arial"/>
        </w:rPr>
        <w:t xml:space="preserve">en el cual se determinó la caducidad de la acción </w:t>
      </w:r>
      <w:r w:rsidR="00A62347" w:rsidRPr="009F61AF">
        <w:rPr>
          <w:rFonts w:cs="Arial"/>
        </w:rPr>
        <w:t xml:space="preserve">para </w:t>
      </w:r>
      <w:r w:rsidR="006F5A05" w:rsidRPr="009F61AF">
        <w:rPr>
          <w:rFonts w:cs="Arial"/>
        </w:rPr>
        <w:t xml:space="preserve">el medio de control de controversias contractuales </w:t>
      </w:r>
      <w:r w:rsidR="00997F05" w:rsidRPr="009F61AF">
        <w:rPr>
          <w:rFonts w:cs="Arial"/>
        </w:rPr>
        <w:t>y afirmó</w:t>
      </w:r>
      <w:r w:rsidR="00870F44" w:rsidRPr="009F61AF">
        <w:rPr>
          <w:rFonts w:cs="Arial"/>
        </w:rPr>
        <w:t xml:space="preserve"> que la suspensión del término tuvo lugar hasta la fecha de la audiencia celebrada el 21 de febrero de 2013. </w:t>
      </w:r>
    </w:p>
    <w:p w14:paraId="0C329A90" w14:textId="77777777" w:rsidR="00870F44" w:rsidRPr="009F61AF" w:rsidRDefault="00870F44" w:rsidP="0081115F">
      <w:pPr>
        <w:pStyle w:val="Continuarlista2"/>
        <w:spacing w:after="0" w:line="240" w:lineRule="auto"/>
        <w:ind w:left="0"/>
        <w:rPr>
          <w:rFonts w:cs="Arial"/>
          <w:b/>
        </w:rPr>
      </w:pPr>
    </w:p>
    <w:p w14:paraId="0C603CA4" w14:textId="77777777" w:rsidR="002D5BF8" w:rsidRPr="009F61AF" w:rsidRDefault="00C47424" w:rsidP="0081115F">
      <w:pPr>
        <w:pStyle w:val="Continuarlista2"/>
        <w:spacing w:after="0" w:line="240" w:lineRule="auto"/>
        <w:ind w:left="0"/>
        <w:rPr>
          <w:rFonts w:cs="Arial"/>
          <w:b/>
        </w:rPr>
      </w:pPr>
      <w:r w:rsidRPr="009F61AF">
        <w:rPr>
          <w:rFonts w:cs="Arial"/>
          <w:b/>
        </w:rPr>
        <w:t xml:space="preserve">1.4. </w:t>
      </w:r>
      <w:r w:rsidR="00E63C99" w:rsidRPr="009F61AF">
        <w:rPr>
          <w:rFonts w:cs="Arial"/>
          <w:b/>
        </w:rPr>
        <w:t>Auto mediante el cual el Tribunal de Arbitramento declaró su competencia</w:t>
      </w:r>
      <w:r w:rsidR="00870F44" w:rsidRPr="009F61AF">
        <w:rPr>
          <w:rFonts w:cs="Arial"/>
          <w:b/>
        </w:rPr>
        <w:t>. R</w:t>
      </w:r>
      <w:r w:rsidR="00906368" w:rsidRPr="009F61AF">
        <w:rPr>
          <w:rFonts w:cs="Arial"/>
          <w:b/>
        </w:rPr>
        <w:t>ecurso de reposición</w:t>
      </w:r>
    </w:p>
    <w:p w14:paraId="63030723" w14:textId="77777777" w:rsidR="006236E6" w:rsidRPr="009F61AF" w:rsidRDefault="00906368" w:rsidP="0081115F">
      <w:pPr>
        <w:pStyle w:val="Continuarlista2"/>
        <w:spacing w:after="0"/>
        <w:ind w:left="0"/>
        <w:rPr>
          <w:rFonts w:cs="Arial"/>
        </w:rPr>
      </w:pPr>
      <w:r w:rsidRPr="009F61AF">
        <w:rPr>
          <w:rFonts w:cs="Arial"/>
        </w:rPr>
        <w:t xml:space="preserve"> </w:t>
      </w:r>
    </w:p>
    <w:p w14:paraId="0635C653" w14:textId="77777777" w:rsidR="00906368" w:rsidRPr="009F61AF" w:rsidRDefault="0024554F" w:rsidP="0081115F">
      <w:pPr>
        <w:pStyle w:val="Continuarlista2"/>
        <w:spacing w:after="0"/>
        <w:ind w:left="0"/>
        <w:rPr>
          <w:rFonts w:cs="Arial"/>
        </w:rPr>
      </w:pPr>
      <w:r w:rsidRPr="009F61AF">
        <w:rPr>
          <w:rFonts w:cs="Arial"/>
        </w:rPr>
        <w:t xml:space="preserve">En </w:t>
      </w:r>
      <w:r w:rsidR="00C11BE5" w:rsidRPr="009F61AF">
        <w:rPr>
          <w:rFonts w:cs="Arial"/>
        </w:rPr>
        <w:t xml:space="preserve">el </w:t>
      </w:r>
      <w:r w:rsidRPr="009F61AF">
        <w:rPr>
          <w:rFonts w:cs="Arial"/>
        </w:rPr>
        <w:t>Acta N</w:t>
      </w:r>
      <w:r w:rsidR="002D5BF8" w:rsidRPr="009F61AF">
        <w:rPr>
          <w:rFonts w:cs="Arial"/>
        </w:rPr>
        <w:t>o</w:t>
      </w:r>
      <w:r w:rsidRPr="009F61AF">
        <w:rPr>
          <w:rFonts w:cs="Arial"/>
        </w:rPr>
        <w:t xml:space="preserve">. 5 </w:t>
      </w:r>
      <w:r w:rsidR="00C11BE5" w:rsidRPr="009F61AF">
        <w:rPr>
          <w:rFonts w:cs="Arial"/>
        </w:rPr>
        <w:t xml:space="preserve">de 19 de enero de 2015 </w:t>
      </w:r>
      <w:r w:rsidRPr="009F61AF">
        <w:rPr>
          <w:rFonts w:cs="Arial"/>
        </w:rPr>
        <w:t xml:space="preserve">consta </w:t>
      </w:r>
      <w:r w:rsidR="00572E0B" w:rsidRPr="009F61AF">
        <w:rPr>
          <w:rFonts w:cs="Arial"/>
        </w:rPr>
        <w:t xml:space="preserve">que el Tribunal de Arbitramento emitió </w:t>
      </w:r>
      <w:r w:rsidRPr="009F61AF">
        <w:rPr>
          <w:rFonts w:cs="Arial"/>
        </w:rPr>
        <w:t xml:space="preserve">el </w:t>
      </w:r>
      <w:r w:rsidR="001841DE" w:rsidRPr="009F61AF">
        <w:rPr>
          <w:rFonts w:cs="Arial"/>
        </w:rPr>
        <w:t>auto número seis</w:t>
      </w:r>
      <w:r w:rsidR="00ED3321" w:rsidRPr="009F61AF">
        <w:rPr>
          <w:rStyle w:val="Refdenotaalpie"/>
          <w:rFonts w:cs="Arial"/>
        </w:rPr>
        <w:footnoteReference w:id="2"/>
      </w:r>
      <w:r w:rsidR="005D2130" w:rsidRPr="009F61AF">
        <w:rPr>
          <w:rFonts w:cs="Arial"/>
        </w:rPr>
        <w:t xml:space="preserve"> </w:t>
      </w:r>
      <w:r w:rsidR="00E63C99" w:rsidRPr="009F61AF">
        <w:rPr>
          <w:rFonts w:cs="Arial"/>
        </w:rPr>
        <w:t xml:space="preserve">mediante el cual </w:t>
      </w:r>
      <w:r w:rsidR="00A4066A" w:rsidRPr="009F61AF">
        <w:rPr>
          <w:rFonts w:cs="Arial"/>
        </w:rPr>
        <w:t>se declaró competente para conocer y decidir las controversias.</w:t>
      </w:r>
      <w:r w:rsidR="008437D1" w:rsidRPr="009F61AF">
        <w:rPr>
          <w:rFonts w:cs="Arial"/>
        </w:rPr>
        <w:t xml:space="preserve"> </w:t>
      </w:r>
    </w:p>
    <w:p w14:paraId="58061440" w14:textId="77777777" w:rsidR="00906368" w:rsidRPr="009F61AF" w:rsidRDefault="00906368" w:rsidP="0081115F">
      <w:pPr>
        <w:pStyle w:val="Continuarlista2"/>
        <w:spacing w:after="0"/>
        <w:ind w:left="0"/>
        <w:rPr>
          <w:rFonts w:cs="Arial"/>
        </w:rPr>
      </w:pPr>
    </w:p>
    <w:p w14:paraId="7C43BAA1" w14:textId="77777777" w:rsidR="001127E4" w:rsidRPr="009F61AF" w:rsidRDefault="008437D1" w:rsidP="0081115F">
      <w:pPr>
        <w:pStyle w:val="Continuarlista2"/>
        <w:spacing w:after="0"/>
        <w:ind w:left="0"/>
        <w:rPr>
          <w:rFonts w:cs="Arial"/>
        </w:rPr>
      </w:pPr>
      <w:r w:rsidRPr="009F61AF">
        <w:rPr>
          <w:rFonts w:cs="Arial"/>
        </w:rPr>
        <w:t xml:space="preserve">Según consta </w:t>
      </w:r>
      <w:r w:rsidR="00E63C99" w:rsidRPr="009F61AF">
        <w:rPr>
          <w:rFonts w:cs="Arial"/>
        </w:rPr>
        <w:t xml:space="preserve">en </w:t>
      </w:r>
      <w:r w:rsidR="00C11BE5" w:rsidRPr="009F61AF">
        <w:rPr>
          <w:rFonts w:cs="Arial"/>
        </w:rPr>
        <w:t>la misma</w:t>
      </w:r>
      <w:r w:rsidRPr="009F61AF">
        <w:rPr>
          <w:rFonts w:cs="Arial"/>
        </w:rPr>
        <w:t xml:space="preserve"> </w:t>
      </w:r>
      <w:r w:rsidR="00C11BE5" w:rsidRPr="009F61AF">
        <w:rPr>
          <w:rFonts w:cs="Arial"/>
        </w:rPr>
        <w:t>A</w:t>
      </w:r>
      <w:r w:rsidRPr="009F61AF">
        <w:rPr>
          <w:rFonts w:cs="Arial"/>
        </w:rPr>
        <w:t>cta</w:t>
      </w:r>
      <w:r w:rsidR="00C11BE5" w:rsidRPr="009F61AF">
        <w:rPr>
          <w:rFonts w:cs="Arial"/>
        </w:rPr>
        <w:t xml:space="preserve"> No. 5</w:t>
      </w:r>
      <w:r w:rsidRPr="009F61AF">
        <w:rPr>
          <w:rFonts w:cs="Arial"/>
        </w:rPr>
        <w:t>, e</w:t>
      </w:r>
      <w:r w:rsidR="00C11BE5" w:rsidRPr="009F61AF">
        <w:rPr>
          <w:rFonts w:cs="Arial"/>
        </w:rPr>
        <w:t>n</w:t>
      </w:r>
      <w:r w:rsidRPr="009F61AF">
        <w:rPr>
          <w:rFonts w:cs="Arial"/>
        </w:rPr>
        <w:t xml:space="preserve"> esa oportunidad el </w:t>
      </w:r>
      <w:r w:rsidR="002C706A" w:rsidRPr="009F61AF">
        <w:rPr>
          <w:rFonts w:cs="Arial"/>
        </w:rPr>
        <w:t xml:space="preserve">ICBF </w:t>
      </w:r>
      <w:r w:rsidRPr="009F61AF">
        <w:rPr>
          <w:rFonts w:cs="Arial"/>
        </w:rPr>
        <w:t xml:space="preserve">interpuso recurso de reposición contra el </w:t>
      </w:r>
      <w:r w:rsidR="00572E0B" w:rsidRPr="009F61AF">
        <w:rPr>
          <w:rFonts w:cs="Arial"/>
        </w:rPr>
        <w:t xml:space="preserve">referido </w:t>
      </w:r>
      <w:r w:rsidRPr="009F61AF">
        <w:rPr>
          <w:rFonts w:cs="Arial"/>
        </w:rPr>
        <w:t>auto</w:t>
      </w:r>
      <w:r w:rsidR="00C11BE5" w:rsidRPr="009F61AF">
        <w:rPr>
          <w:rFonts w:cs="Arial"/>
        </w:rPr>
        <w:t xml:space="preserve"> </w:t>
      </w:r>
      <w:r w:rsidR="002C12F3" w:rsidRPr="009F61AF">
        <w:rPr>
          <w:rFonts w:cs="Arial"/>
        </w:rPr>
        <w:t xml:space="preserve">y </w:t>
      </w:r>
      <w:r w:rsidRPr="009F61AF">
        <w:rPr>
          <w:rFonts w:cs="Arial"/>
        </w:rPr>
        <w:t xml:space="preserve">sustentó </w:t>
      </w:r>
      <w:r w:rsidR="00D44C71" w:rsidRPr="009F61AF">
        <w:rPr>
          <w:rFonts w:cs="Arial"/>
        </w:rPr>
        <w:t xml:space="preserve">el antedicho recurso </w:t>
      </w:r>
      <w:r w:rsidRPr="009F61AF">
        <w:rPr>
          <w:rFonts w:cs="Arial"/>
        </w:rPr>
        <w:t>en la misma audiencia</w:t>
      </w:r>
      <w:r w:rsidR="002C706A" w:rsidRPr="009F61AF">
        <w:rPr>
          <w:rFonts w:cs="Arial"/>
        </w:rPr>
        <w:t xml:space="preserve">. El ICBF </w:t>
      </w:r>
      <w:r w:rsidR="002C12F3" w:rsidRPr="009F61AF">
        <w:rPr>
          <w:rFonts w:cs="Arial"/>
        </w:rPr>
        <w:t xml:space="preserve">invocó su contestación a la demanda y expuso en detalle los siguientes </w:t>
      </w:r>
      <w:r w:rsidR="009E5E59" w:rsidRPr="009F61AF">
        <w:rPr>
          <w:rFonts w:cs="Arial"/>
        </w:rPr>
        <w:t>argumentos</w:t>
      </w:r>
      <w:r w:rsidR="002C12F3" w:rsidRPr="009F61AF">
        <w:rPr>
          <w:rFonts w:cs="Arial"/>
        </w:rPr>
        <w:t>:</w:t>
      </w:r>
      <w:r w:rsidR="00F96C99" w:rsidRPr="009F61AF">
        <w:rPr>
          <w:rFonts w:cs="Arial"/>
        </w:rPr>
        <w:t xml:space="preserve"> </w:t>
      </w:r>
      <w:r w:rsidR="00F96C99" w:rsidRPr="009F61AF">
        <w:rPr>
          <w:rFonts w:cs="Arial"/>
          <w:b/>
        </w:rPr>
        <w:t>i)</w:t>
      </w:r>
      <w:r w:rsidR="00CD025D" w:rsidRPr="009F61AF">
        <w:rPr>
          <w:rFonts w:cs="Arial"/>
        </w:rPr>
        <w:t xml:space="preserve"> </w:t>
      </w:r>
      <w:r w:rsidR="00870F44" w:rsidRPr="009F61AF">
        <w:rPr>
          <w:rFonts w:cs="Arial"/>
        </w:rPr>
        <w:t>l</w:t>
      </w:r>
      <w:r w:rsidR="00F96C99" w:rsidRPr="009F61AF">
        <w:rPr>
          <w:rFonts w:cs="Arial"/>
        </w:rPr>
        <w:t xml:space="preserve">a caducidad de la acción por </w:t>
      </w:r>
      <w:r w:rsidR="0080052D" w:rsidRPr="009F61AF">
        <w:rPr>
          <w:rFonts w:cs="Arial"/>
        </w:rPr>
        <w:t>haber iniciado el trámite arbitral con posterioridad a</w:t>
      </w:r>
      <w:r w:rsidR="00F96C99" w:rsidRPr="009F61AF">
        <w:rPr>
          <w:rFonts w:cs="Arial"/>
        </w:rPr>
        <w:t xml:space="preserve">l </w:t>
      </w:r>
      <w:r w:rsidR="00CD025D" w:rsidRPr="009F61AF">
        <w:rPr>
          <w:rFonts w:cs="Arial"/>
        </w:rPr>
        <w:t>vencimiento del término de 20 días que fijó el artículo 95 del C.G.P.</w:t>
      </w:r>
      <w:r w:rsidR="00870F44" w:rsidRPr="009F61AF">
        <w:rPr>
          <w:rFonts w:cs="Arial"/>
        </w:rPr>
        <w:t>;</w:t>
      </w:r>
      <w:r w:rsidR="00CD025D" w:rsidRPr="009F61AF">
        <w:rPr>
          <w:rFonts w:cs="Arial"/>
        </w:rPr>
        <w:t xml:space="preserve"> </w:t>
      </w:r>
      <w:r w:rsidR="00F96C99" w:rsidRPr="009F61AF">
        <w:rPr>
          <w:rFonts w:cs="Arial"/>
          <w:b/>
        </w:rPr>
        <w:t>ii)</w:t>
      </w:r>
      <w:r w:rsidR="00F96C99" w:rsidRPr="009F61AF">
        <w:rPr>
          <w:rFonts w:cs="Arial"/>
        </w:rPr>
        <w:t xml:space="preserve"> la falta de la constancia del pago de los portes de que trata el </w:t>
      </w:r>
      <w:r w:rsidR="00F96C99" w:rsidRPr="009F61AF">
        <w:rPr>
          <w:rFonts w:cs="Arial"/>
        </w:rPr>
        <w:lastRenderedPageBreak/>
        <w:t>artículo 132 del CPC</w:t>
      </w:r>
      <w:r w:rsidR="00D71AAC" w:rsidRPr="009F61AF">
        <w:rPr>
          <w:rFonts w:cs="Arial"/>
        </w:rPr>
        <w:t xml:space="preserve"> – </w:t>
      </w:r>
      <w:r w:rsidR="00AE5FD1" w:rsidRPr="009F61AF">
        <w:rPr>
          <w:rFonts w:cs="Arial"/>
        </w:rPr>
        <w:t xml:space="preserve">el cual estimó </w:t>
      </w:r>
      <w:r w:rsidR="00D71AAC" w:rsidRPr="009F61AF">
        <w:rPr>
          <w:rFonts w:cs="Arial"/>
        </w:rPr>
        <w:t>vigente para la fecha en que se presentó la demanda ante el Juez 1º Administrativo de Pereira-</w:t>
      </w:r>
      <w:r w:rsidR="00F211E5" w:rsidRPr="009F61AF">
        <w:rPr>
          <w:rFonts w:cs="Arial"/>
        </w:rPr>
        <w:t xml:space="preserve"> </w:t>
      </w:r>
      <w:r w:rsidR="00F96C99" w:rsidRPr="009F61AF">
        <w:rPr>
          <w:rFonts w:cs="Arial"/>
        </w:rPr>
        <w:t>y</w:t>
      </w:r>
      <w:r w:rsidR="00E83E90" w:rsidRPr="009F61AF">
        <w:rPr>
          <w:rFonts w:cs="Arial"/>
        </w:rPr>
        <w:t xml:space="preserve">, </w:t>
      </w:r>
      <w:r w:rsidR="00D71AAC" w:rsidRPr="009F61AF">
        <w:rPr>
          <w:rFonts w:cs="Arial"/>
        </w:rPr>
        <w:t xml:space="preserve">finalmente, </w:t>
      </w:r>
      <w:r w:rsidR="00E83E90" w:rsidRPr="009F61AF">
        <w:rPr>
          <w:rFonts w:cs="Arial"/>
        </w:rPr>
        <w:t xml:space="preserve">según consta en el </w:t>
      </w:r>
      <w:r w:rsidR="00D71AAC" w:rsidRPr="009F61AF">
        <w:rPr>
          <w:rFonts w:cs="Arial"/>
        </w:rPr>
        <w:t>A</w:t>
      </w:r>
      <w:r w:rsidR="00E83E90" w:rsidRPr="009F61AF">
        <w:rPr>
          <w:rFonts w:cs="Arial"/>
        </w:rPr>
        <w:t>cta</w:t>
      </w:r>
      <w:r w:rsidR="00D71AAC" w:rsidRPr="009F61AF">
        <w:rPr>
          <w:rFonts w:cs="Arial"/>
        </w:rPr>
        <w:t xml:space="preserve"> No. 5 </w:t>
      </w:r>
      <w:r w:rsidR="00AE5FD1" w:rsidRPr="009F61AF">
        <w:rPr>
          <w:rFonts w:cs="Arial"/>
        </w:rPr>
        <w:t>el ICBF</w:t>
      </w:r>
      <w:r w:rsidR="00F96C99" w:rsidRPr="009F61AF">
        <w:rPr>
          <w:rFonts w:cs="Arial"/>
        </w:rPr>
        <w:t xml:space="preserve"> </w:t>
      </w:r>
      <w:r w:rsidR="00F96C99" w:rsidRPr="009F61AF">
        <w:rPr>
          <w:rFonts w:cs="Arial"/>
          <w:b/>
        </w:rPr>
        <w:t>iii)</w:t>
      </w:r>
      <w:r w:rsidR="00F96C99" w:rsidRPr="009F61AF">
        <w:rPr>
          <w:rFonts w:cs="Arial"/>
        </w:rPr>
        <w:t xml:space="preserve"> </w:t>
      </w:r>
      <w:r w:rsidR="001B3DE2" w:rsidRPr="009F61AF">
        <w:rPr>
          <w:rFonts w:cs="Arial"/>
          <w:i/>
        </w:rPr>
        <w:t>”</w:t>
      </w:r>
      <w:r w:rsidR="00AE5FD1" w:rsidRPr="009F61AF">
        <w:rPr>
          <w:rFonts w:cs="Arial"/>
          <w:i/>
        </w:rPr>
        <w:t>(…)</w:t>
      </w:r>
      <w:r w:rsidR="001B3DE2" w:rsidRPr="009F61AF">
        <w:rPr>
          <w:rFonts w:cs="Arial"/>
          <w:i/>
        </w:rPr>
        <w:t xml:space="preserve"> manifestó que el Art. 41, num 2º ley 1563 de 2012, establece como una de las causales de anulación del laudo, la caducidad de la acción. Por lo anterior solicita que se verifique dicha circunstancia sobre la </w:t>
      </w:r>
      <w:r w:rsidR="001127E4" w:rsidRPr="009F61AF">
        <w:rPr>
          <w:rFonts w:cs="Arial"/>
          <w:i/>
        </w:rPr>
        <w:t>forma en que fue remitido el expediente al Tribunal (…)”.</w:t>
      </w:r>
      <w:r w:rsidR="001127E4" w:rsidRPr="009F61AF">
        <w:rPr>
          <w:rFonts w:cs="Arial"/>
        </w:rPr>
        <w:t xml:space="preserve"> </w:t>
      </w:r>
    </w:p>
    <w:p w14:paraId="4D5BBB75" w14:textId="77777777" w:rsidR="001127E4" w:rsidRPr="009F61AF" w:rsidRDefault="001127E4" w:rsidP="0081115F">
      <w:pPr>
        <w:pStyle w:val="Continuarlista2"/>
        <w:spacing w:after="0"/>
        <w:ind w:left="0"/>
        <w:rPr>
          <w:rFonts w:cs="Arial"/>
        </w:rPr>
      </w:pPr>
    </w:p>
    <w:p w14:paraId="533352D7" w14:textId="77777777" w:rsidR="003C64B3" w:rsidRPr="009F61AF" w:rsidRDefault="00991167" w:rsidP="0081115F">
      <w:pPr>
        <w:pStyle w:val="Continuarlista2"/>
        <w:spacing w:after="0"/>
        <w:ind w:left="0"/>
        <w:rPr>
          <w:rFonts w:cs="Arial"/>
        </w:rPr>
      </w:pPr>
      <w:r w:rsidRPr="009F61AF">
        <w:rPr>
          <w:rFonts w:cs="Arial"/>
        </w:rPr>
        <w:t>En la misma audiencia, p</w:t>
      </w:r>
      <w:r w:rsidR="001127E4" w:rsidRPr="009F61AF">
        <w:rPr>
          <w:rFonts w:cs="Arial"/>
        </w:rPr>
        <w:t>revia intervención de FUNDASUPERIOR y del Ministerio Público</w:t>
      </w:r>
      <w:r w:rsidR="003C64B3" w:rsidRPr="009F61AF">
        <w:rPr>
          <w:rFonts w:cs="Arial"/>
        </w:rPr>
        <w:t>, medi</w:t>
      </w:r>
      <w:r w:rsidR="00186D18" w:rsidRPr="009F61AF">
        <w:rPr>
          <w:rFonts w:cs="Arial"/>
        </w:rPr>
        <w:t>a</w:t>
      </w:r>
      <w:r w:rsidR="003C64B3" w:rsidRPr="009F61AF">
        <w:rPr>
          <w:rFonts w:cs="Arial"/>
        </w:rPr>
        <w:t xml:space="preserve">nte al </w:t>
      </w:r>
      <w:r w:rsidR="00F211E5" w:rsidRPr="009F61AF">
        <w:rPr>
          <w:rFonts w:cs="Arial"/>
        </w:rPr>
        <w:t>a</w:t>
      </w:r>
      <w:r w:rsidR="003C64B3" w:rsidRPr="009F61AF">
        <w:rPr>
          <w:rFonts w:cs="Arial"/>
        </w:rPr>
        <w:t xml:space="preserve">uto </w:t>
      </w:r>
      <w:r w:rsidRPr="009F61AF">
        <w:rPr>
          <w:rFonts w:cs="Arial"/>
        </w:rPr>
        <w:t>número siete</w:t>
      </w:r>
      <w:r w:rsidR="003C64B3" w:rsidRPr="009F61AF">
        <w:rPr>
          <w:rFonts w:cs="Arial"/>
        </w:rPr>
        <w:t>, e</w:t>
      </w:r>
      <w:r w:rsidR="001127E4" w:rsidRPr="009F61AF">
        <w:rPr>
          <w:rFonts w:cs="Arial"/>
        </w:rPr>
        <w:t xml:space="preserve">l Tribunal de Arbitramento </w:t>
      </w:r>
      <w:r w:rsidRPr="009F61AF">
        <w:rPr>
          <w:rFonts w:cs="Arial"/>
        </w:rPr>
        <w:t xml:space="preserve">resolvió el recurso de reposición y dispuso </w:t>
      </w:r>
      <w:r w:rsidR="001127E4" w:rsidRPr="009F61AF">
        <w:rPr>
          <w:rFonts w:cs="Arial"/>
        </w:rPr>
        <w:t xml:space="preserve">confirmar al </w:t>
      </w:r>
      <w:r w:rsidRPr="009F61AF">
        <w:rPr>
          <w:rFonts w:cs="Arial"/>
        </w:rPr>
        <w:t>auto número seis.</w:t>
      </w:r>
      <w:r w:rsidR="003C64B3" w:rsidRPr="009F61AF">
        <w:rPr>
          <w:rFonts w:cs="Arial"/>
        </w:rPr>
        <w:t xml:space="preserve"> En </w:t>
      </w:r>
      <w:r w:rsidR="00186D18" w:rsidRPr="009F61AF">
        <w:rPr>
          <w:rFonts w:cs="Arial"/>
        </w:rPr>
        <w:t xml:space="preserve">esa providencia </w:t>
      </w:r>
      <w:r w:rsidRPr="009F61AF">
        <w:rPr>
          <w:rFonts w:cs="Arial"/>
        </w:rPr>
        <w:t xml:space="preserve">el Tribunal de Arbitramento </w:t>
      </w:r>
      <w:r w:rsidR="00186D18" w:rsidRPr="009F61AF">
        <w:rPr>
          <w:rFonts w:cs="Arial"/>
        </w:rPr>
        <w:t xml:space="preserve">desató desfavorablemente los argumentos </w:t>
      </w:r>
      <w:r w:rsidR="00AE5FD1" w:rsidRPr="009F61AF">
        <w:rPr>
          <w:rFonts w:cs="Arial"/>
        </w:rPr>
        <w:t xml:space="preserve">presentados por el ICBF </w:t>
      </w:r>
      <w:r w:rsidR="003A6E77" w:rsidRPr="009F61AF">
        <w:rPr>
          <w:rFonts w:cs="Arial"/>
        </w:rPr>
        <w:t xml:space="preserve">y en </w:t>
      </w:r>
      <w:r w:rsidR="00614E05" w:rsidRPr="009F61AF">
        <w:rPr>
          <w:rFonts w:cs="Arial"/>
        </w:rPr>
        <w:t xml:space="preserve">relación con la caducidad de la acción dispuso: </w:t>
      </w:r>
    </w:p>
    <w:p w14:paraId="72FDEC0D" w14:textId="77777777" w:rsidR="00614E05" w:rsidRPr="009F61AF" w:rsidRDefault="00614E05" w:rsidP="0081115F">
      <w:pPr>
        <w:pStyle w:val="Continuarlista2"/>
        <w:spacing w:after="0"/>
        <w:ind w:left="0"/>
        <w:rPr>
          <w:rFonts w:cs="Arial"/>
        </w:rPr>
      </w:pPr>
    </w:p>
    <w:p w14:paraId="1255A8C9" w14:textId="77777777" w:rsidR="00186D18" w:rsidRPr="009F61AF" w:rsidRDefault="00186D18" w:rsidP="0081115F">
      <w:pPr>
        <w:pStyle w:val="Continuarlista2"/>
        <w:spacing w:after="0" w:line="240" w:lineRule="auto"/>
        <w:ind w:left="0"/>
        <w:rPr>
          <w:rFonts w:cs="Arial"/>
          <w:i/>
        </w:rPr>
      </w:pPr>
      <w:r w:rsidRPr="009F61AF">
        <w:rPr>
          <w:rFonts w:cs="Arial"/>
          <w:i/>
        </w:rPr>
        <w:t>“</w:t>
      </w:r>
      <w:r w:rsidR="003C64B3" w:rsidRPr="009F61AF">
        <w:rPr>
          <w:rFonts w:cs="Arial"/>
          <w:i/>
        </w:rPr>
        <w:t>3</w:t>
      </w:r>
      <w:r w:rsidRPr="009F61AF">
        <w:rPr>
          <w:rFonts w:cs="Arial"/>
          <w:i/>
        </w:rPr>
        <w:t>.</w:t>
      </w:r>
      <w:r w:rsidR="003C64B3" w:rsidRPr="009F61AF">
        <w:rPr>
          <w:rFonts w:cs="Arial"/>
          <w:i/>
        </w:rPr>
        <w:t xml:space="preserve"> Por último considera el Tribunal que la excepción de caducidad propuesta por el demandado, en un tema de fondo que se decidirá en la oportunidad procesal correspondiente, es de</w:t>
      </w:r>
      <w:r w:rsidRPr="009F61AF">
        <w:rPr>
          <w:rFonts w:cs="Arial"/>
          <w:i/>
        </w:rPr>
        <w:t>cir en el laudo arbitral”</w:t>
      </w:r>
      <w:r w:rsidR="00D21C64" w:rsidRPr="009F61AF">
        <w:rPr>
          <w:rStyle w:val="Refdenotaalpie"/>
          <w:rFonts w:cs="Arial"/>
          <w:i/>
        </w:rPr>
        <w:footnoteReference w:id="3"/>
      </w:r>
      <w:r w:rsidRPr="009F61AF">
        <w:rPr>
          <w:rFonts w:cs="Arial"/>
          <w:i/>
        </w:rPr>
        <w:t xml:space="preserve">. </w:t>
      </w:r>
    </w:p>
    <w:p w14:paraId="7B38D672" w14:textId="77777777" w:rsidR="00186D18" w:rsidRPr="009F61AF" w:rsidRDefault="00186D18" w:rsidP="0081115F">
      <w:pPr>
        <w:pStyle w:val="Continuarlista2"/>
        <w:spacing w:after="0"/>
        <w:ind w:left="0"/>
        <w:rPr>
          <w:rFonts w:cs="Arial"/>
        </w:rPr>
      </w:pPr>
    </w:p>
    <w:p w14:paraId="4E87D2CB" w14:textId="77777777" w:rsidR="001C757F" w:rsidRPr="009F61AF" w:rsidRDefault="00C84509" w:rsidP="0081115F">
      <w:pPr>
        <w:pStyle w:val="Continuarlista2"/>
        <w:spacing w:after="0"/>
        <w:ind w:left="0"/>
        <w:rPr>
          <w:rFonts w:cs="Arial"/>
          <w:b/>
        </w:rPr>
      </w:pPr>
      <w:r w:rsidRPr="009F61AF">
        <w:rPr>
          <w:rFonts w:cs="Arial"/>
          <w:b/>
        </w:rPr>
        <w:t xml:space="preserve">1.5. </w:t>
      </w:r>
      <w:r w:rsidR="004C1F97" w:rsidRPr="009F61AF">
        <w:rPr>
          <w:rFonts w:cs="Arial"/>
          <w:b/>
        </w:rPr>
        <w:t>Concepto de la Procuraduría General de la Nación</w:t>
      </w:r>
    </w:p>
    <w:p w14:paraId="4BAE877E" w14:textId="77777777" w:rsidR="001C757F" w:rsidRPr="009F61AF" w:rsidRDefault="001C757F" w:rsidP="0081115F">
      <w:pPr>
        <w:pStyle w:val="Continuarlista2"/>
        <w:spacing w:after="0"/>
        <w:ind w:left="0"/>
        <w:rPr>
          <w:rFonts w:cs="Arial"/>
        </w:rPr>
      </w:pPr>
    </w:p>
    <w:p w14:paraId="0190CD23" w14:textId="77777777" w:rsidR="00183C89" w:rsidRPr="009F61AF" w:rsidRDefault="00D86C08" w:rsidP="0081115F">
      <w:pPr>
        <w:pStyle w:val="Continuarlista2"/>
        <w:spacing w:after="0"/>
        <w:ind w:left="0"/>
        <w:rPr>
          <w:rFonts w:cs="Arial"/>
        </w:rPr>
      </w:pPr>
      <w:r w:rsidRPr="009F61AF">
        <w:rPr>
          <w:rFonts w:cs="Arial"/>
        </w:rPr>
        <w:t xml:space="preserve">El Procurador 131 Judicial II Administrativo rindió concepto </w:t>
      </w:r>
      <w:r w:rsidR="00614E05" w:rsidRPr="009F61AF">
        <w:rPr>
          <w:rFonts w:cs="Arial"/>
        </w:rPr>
        <w:t xml:space="preserve">ante el Tribunal de Arbitramento, </w:t>
      </w:r>
      <w:r w:rsidRPr="009F61AF">
        <w:rPr>
          <w:rFonts w:cs="Arial"/>
        </w:rPr>
        <w:t xml:space="preserve">en el cual concluyó que </w:t>
      </w:r>
      <w:r w:rsidR="00614E05" w:rsidRPr="009F61AF">
        <w:rPr>
          <w:rFonts w:cs="Arial"/>
        </w:rPr>
        <w:t xml:space="preserve">se </w:t>
      </w:r>
      <w:r w:rsidRPr="009F61AF">
        <w:rPr>
          <w:rFonts w:cs="Arial"/>
        </w:rPr>
        <w:t>debía declarar el incumplimiento contractual por parte del ICBF y condenar</w:t>
      </w:r>
      <w:r w:rsidR="00E844AE" w:rsidRPr="009F61AF">
        <w:rPr>
          <w:rFonts w:cs="Arial"/>
        </w:rPr>
        <w:t xml:space="preserve"> </w:t>
      </w:r>
      <w:r w:rsidRPr="009F61AF">
        <w:rPr>
          <w:rFonts w:cs="Arial"/>
        </w:rPr>
        <w:t>al pago de la suma de</w:t>
      </w:r>
      <w:r w:rsidR="00183C89" w:rsidRPr="009F61AF">
        <w:rPr>
          <w:rFonts w:cs="Arial"/>
        </w:rPr>
        <w:t xml:space="preserve"> </w:t>
      </w:r>
      <w:r w:rsidRPr="009F61AF">
        <w:rPr>
          <w:rFonts w:cs="Arial"/>
        </w:rPr>
        <w:t>$115’160.310</w:t>
      </w:r>
      <w:r w:rsidR="00183C89" w:rsidRPr="009F61AF">
        <w:rPr>
          <w:rFonts w:cs="Arial"/>
        </w:rPr>
        <w:t xml:space="preserve"> más las costas del proceso.</w:t>
      </w:r>
    </w:p>
    <w:p w14:paraId="2B1A5B75" w14:textId="77777777" w:rsidR="00183C89" w:rsidRPr="009F61AF" w:rsidRDefault="00183C89" w:rsidP="0081115F">
      <w:pPr>
        <w:pStyle w:val="Continuarlista2"/>
        <w:spacing w:after="0"/>
        <w:ind w:left="0"/>
        <w:rPr>
          <w:rFonts w:cs="Arial"/>
        </w:rPr>
      </w:pPr>
    </w:p>
    <w:p w14:paraId="2D3363A2" w14:textId="77777777" w:rsidR="00B7495C" w:rsidRPr="009F61AF" w:rsidRDefault="00183C89" w:rsidP="0081115F">
      <w:pPr>
        <w:pStyle w:val="Continuarlista2"/>
        <w:spacing w:after="0"/>
        <w:ind w:left="0"/>
        <w:rPr>
          <w:rFonts w:cs="Arial"/>
        </w:rPr>
      </w:pPr>
      <w:r w:rsidRPr="009F61AF">
        <w:rPr>
          <w:rFonts w:cs="Arial"/>
        </w:rPr>
        <w:t>En relación con la caducidad de la acción,</w:t>
      </w:r>
      <w:r w:rsidR="00614E05" w:rsidRPr="009F61AF">
        <w:rPr>
          <w:rFonts w:cs="Arial"/>
        </w:rPr>
        <w:t xml:space="preserve"> el Ministerio Público </w:t>
      </w:r>
      <w:r w:rsidRPr="009F61AF">
        <w:rPr>
          <w:rFonts w:cs="Arial"/>
        </w:rPr>
        <w:t xml:space="preserve">observó que </w:t>
      </w:r>
      <w:r w:rsidR="009B00D9" w:rsidRPr="009F61AF">
        <w:rPr>
          <w:rFonts w:cs="Arial"/>
        </w:rPr>
        <w:t xml:space="preserve">en </w:t>
      </w:r>
      <w:r w:rsidRPr="009F61AF">
        <w:rPr>
          <w:rFonts w:cs="Arial"/>
        </w:rPr>
        <w:t>la cláusula vig</w:t>
      </w:r>
      <w:r w:rsidR="00D77C51" w:rsidRPr="009F61AF">
        <w:rPr>
          <w:rFonts w:cs="Arial"/>
        </w:rPr>
        <w:t xml:space="preserve">ésima cuarta del </w:t>
      </w:r>
      <w:r w:rsidR="00B56B48" w:rsidRPr="009F61AF">
        <w:rPr>
          <w:rFonts w:cs="Arial"/>
        </w:rPr>
        <w:t>C</w:t>
      </w:r>
      <w:r w:rsidR="00D77C51" w:rsidRPr="009F61AF">
        <w:rPr>
          <w:rFonts w:cs="Arial"/>
        </w:rPr>
        <w:t xml:space="preserve">ontrato </w:t>
      </w:r>
      <w:r w:rsidR="009B00D9" w:rsidRPr="009F61AF">
        <w:rPr>
          <w:rFonts w:cs="Arial"/>
        </w:rPr>
        <w:t xml:space="preserve">067 se </w:t>
      </w:r>
      <w:r w:rsidR="00D77C51" w:rsidRPr="009F61AF">
        <w:rPr>
          <w:rFonts w:cs="Arial"/>
        </w:rPr>
        <w:t xml:space="preserve">estableció la obligatoriedad de adelantar la liquidación del contrato y </w:t>
      </w:r>
      <w:r w:rsidR="009B00D9" w:rsidRPr="009F61AF">
        <w:rPr>
          <w:rFonts w:cs="Arial"/>
        </w:rPr>
        <w:t xml:space="preserve">se </w:t>
      </w:r>
      <w:r w:rsidR="00E844AE" w:rsidRPr="009F61AF">
        <w:rPr>
          <w:rFonts w:cs="Arial"/>
        </w:rPr>
        <w:t xml:space="preserve">dispuso </w:t>
      </w:r>
      <w:r w:rsidR="00D77C51" w:rsidRPr="009F61AF">
        <w:rPr>
          <w:rFonts w:cs="Arial"/>
        </w:rPr>
        <w:t>el procedimiento a seguir</w:t>
      </w:r>
      <w:r w:rsidR="00581169" w:rsidRPr="009F61AF">
        <w:rPr>
          <w:rFonts w:cs="Arial"/>
        </w:rPr>
        <w:t xml:space="preserve"> dentro de </w:t>
      </w:r>
      <w:r w:rsidR="00177C45" w:rsidRPr="009F61AF">
        <w:rPr>
          <w:rFonts w:cs="Arial"/>
        </w:rPr>
        <w:t>un término de cuatro meses</w:t>
      </w:r>
      <w:r w:rsidR="00E844AE" w:rsidRPr="009F61AF">
        <w:rPr>
          <w:rFonts w:cs="Arial"/>
        </w:rPr>
        <w:t xml:space="preserve"> </w:t>
      </w:r>
      <w:r w:rsidR="009B00D9" w:rsidRPr="009F61AF">
        <w:rPr>
          <w:rFonts w:cs="Arial"/>
        </w:rPr>
        <w:t xml:space="preserve">establecido </w:t>
      </w:r>
      <w:r w:rsidR="00E844AE" w:rsidRPr="009F61AF">
        <w:rPr>
          <w:rFonts w:cs="Arial"/>
        </w:rPr>
        <w:t>para la liquidación bilateral</w:t>
      </w:r>
      <w:r w:rsidR="00D42499" w:rsidRPr="009F61AF">
        <w:rPr>
          <w:rFonts w:cs="Arial"/>
        </w:rPr>
        <w:t xml:space="preserve"> y la liquidación unilateral mediante acto motivado.</w:t>
      </w:r>
      <w:r w:rsidR="00177C45" w:rsidRPr="009F61AF">
        <w:rPr>
          <w:rFonts w:cs="Arial"/>
        </w:rPr>
        <w:t xml:space="preserve"> </w:t>
      </w:r>
    </w:p>
    <w:p w14:paraId="278211CF" w14:textId="77777777" w:rsidR="00B7495C" w:rsidRPr="009F61AF" w:rsidRDefault="00B7495C" w:rsidP="0081115F">
      <w:pPr>
        <w:pStyle w:val="Continuarlista2"/>
        <w:spacing w:after="0"/>
        <w:ind w:left="0"/>
        <w:rPr>
          <w:rFonts w:cs="Arial"/>
        </w:rPr>
      </w:pPr>
    </w:p>
    <w:p w14:paraId="43F20D20" w14:textId="77777777" w:rsidR="00A27BD8" w:rsidRPr="009F61AF" w:rsidRDefault="00581169" w:rsidP="0081115F">
      <w:pPr>
        <w:pStyle w:val="Continuarlista2"/>
        <w:spacing w:after="0"/>
        <w:ind w:left="0"/>
        <w:rPr>
          <w:rFonts w:cs="Arial"/>
          <w:b/>
        </w:rPr>
      </w:pPr>
      <w:r w:rsidRPr="009F61AF">
        <w:rPr>
          <w:rFonts w:cs="Arial"/>
          <w:b/>
        </w:rPr>
        <w:t xml:space="preserve">2. </w:t>
      </w:r>
      <w:r w:rsidR="00A27BD8" w:rsidRPr="009F61AF">
        <w:rPr>
          <w:rFonts w:cs="Arial"/>
          <w:b/>
        </w:rPr>
        <w:t xml:space="preserve">El </w:t>
      </w:r>
      <w:r w:rsidRPr="009F61AF">
        <w:rPr>
          <w:rFonts w:cs="Arial"/>
          <w:b/>
        </w:rPr>
        <w:t>l</w:t>
      </w:r>
      <w:r w:rsidR="00A27BD8" w:rsidRPr="009F61AF">
        <w:rPr>
          <w:rFonts w:cs="Arial"/>
          <w:b/>
        </w:rPr>
        <w:t xml:space="preserve">audo </w:t>
      </w:r>
      <w:r w:rsidRPr="009F61AF">
        <w:rPr>
          <w:rFonts w:cs="Arial"/>
          <w:b/>
        </w:rPr>
        <w:t>a</w:t>
      </w:r>
      <w:r w:rsidR="00A27BD8" w:rsidRPr="009F61AF">
        <w:rPr>
          <w:rFonts w:cs="Arial"/>
          <w:b/>
        </w:rPr>
        <w:t xml:space="preserve">rbitral </w:t>
      </w:r>
    </w:p>
    <w:p w14:paraId="37EE5B6E" w14:textId="77777777" w:rsidR="00071979" w:rsidRPr="009F61AF" w:rsidRDefault="00071979" w:rsidP="0081115F">
      <w:pPr>
        <w:pStyle w:val="Continuarlista2"/>
        <w:spacing w:after="0"/>
        <w:ind w:left="0"/>
        <w:rPr>
          <w:rFonts w:cs="Arial"/>
        </w:rPr>
      </w:pPr>
    </w:p>
    <w:p w14:paraId="4E36622D" w14:textId="77777777" w:rsidR="00A37FB6" w:rsidRPr="009F61AF" w:rsidRDefault="000470F2" w:rsidP="0081115F">
      <w:pPr>
        <w:pStyle w:val="Continuarlista2"/>
        <w:spacing w:after="0"/>
        <w:ind w:left="0"/>
        <w:rPr>
          <w:rFonts w:cs="Arial"/>
        </w:rPr>
      </w:pPr>
      <w:r w:rsidRPr="009F61AF">
        <w:rPr>
          <w:rFonts w:cs="Arial"/>
        </w:rPr>
        <w:t xml:space="preserve">En el </w:t>
      </w:r>
      <w:r w:rsidR="00581169" w:rsidRPr="009F61AF">
        <w:rPr>
          <w:rFonts w:cs="Arial"/>
        </w:rPr>
        <w:t>l</w:t>
      </w:r>
      <w:r w:rsidRPr="009F61AF">
        <w:rPr>
          <w:rFonts w:cs="Arial"/>
        </w:rPr>
        <w:t xml:space="preserve">audo </w:t>
      </w:r>
      <w:r w:rsidR="00581169" w:rsidRPr="009F61AF">
        <w:rPr>
          <w:rFonts w:cs="Arial"/>
        </w:rPr>
        <w:t>a</w:t>
      </w:r>
      <w:r w:rsidRPr="009F61AF">
        <w:rPr>
          <w:rFonts w:cs="Arial"/>
        </w:rPr>
        <w:t xml:space="preserve">rbitral </w:t>
      </w:r>
      <w:r w:rsidR="00A30C22" w:rsidRPr="009F61AF">
        <w:rPr>
          <w:rFonts w:cs="Arial"/>
        </w:rPr>
        <w:t xml:space="preserve">proferido el 18 de junio de 2015, </w:t>
      </w:r>
      <w:r w:rsidR="00306380" w:rsidRPr="009F61AF">
        <w:rPr>
          <w:rFonts w:cs="Arial"/>
        </w:rPr>
        <w:t xml:space="preserve">contra el cual se impetró el recurso </w:t>
      </w:r>
      <w:r w:rsidR="00CF52D0" w:rsidRPr="009F61AF">
        <w:rPr>
          <w:rFonts w:cs="Arial"/>
        </w:rPr>
        <w:t xml:space="preserve">extraordinario </w:t>
      </w:r>
      <w:r w:rsidR="00306380" w:rsidRPr="009F61AF">
        <w:rPr>
          <w:rFonts w:cs="Arial"/>
        </w:rPr>
        <w:t xml:space="preserve">de anulación, </w:t>
      </w:r>
      <w:r w:rsidRPr="009F61AF">
        <w:rPr>
          <w:rFonts w:cs="Arial"/>
        </w:rPr>
        <w:t>el Tribunal de Arbitramento estudió las pre</w:t>
      </w:r>
      <w:r w:rsidR="00306380" w:rsidRPr="009F61AF">
        <w:rPr>
          <w:rFonts w:cs="Arial"/>
        </w:rPr>
        <w:t>te</w:t>
      </w:r>
      <w:r w:rsidRPr="009F61AF">
        <w:rPr>
          <w:rFonts w:cs="Arial"/>
        </w:rPr>
        <w:t xml:space="preserve">nsiones de la demanda, estimó probada la prestación efectiva de los servicios </w:t>
      </w:r>
      <w:r w:rsidR="009B00D9" w:rsidRPr="009F61AF">
        <w:rPr>
          <w:rFonts w:cs="Arial"/>
        </w:rPr>
        <w:t xml:space="preserve">a que se refirió la controversia </w:t>
      </w:r>
      <w:r w:rsidR="003F7F0A" w:rsidRPr="009F61AF">
        <w:rPr>
          <w:rFonts w:cs="Arial"/>
        </w:rPr>
        <w:t xml:space="preserve">y estableció que los saldos presupuestales que </w:t>
      </w:r>
      <w:r w:rsidR="003F7F0A" w:rsidRPr="009F61AF">
        <w:rPr>
          <w:rFonts w:cs="Arial"/>
        </w:rPr>
        <w:lastRenderedPageBreak/>
        <w:t>efectivamente quedaban a favor en el contrato eran suficientes para que el ICBF hubiera cancelado la factura 129</w:t>
      </w:r>
      <w:r w:rsidR="00930AAA" w:rsidRPr="009F61AF">
        <w:rPr>
          <w:rFonts w:cs="Arial"/>
        </w:rPr>
        <w:t xml:space="preserve">, así como </w:t>
      </w:r>
      <w:r w:rsidR="00562FDB" w:rsidRPr="009F61AF">
        <w:rPr>
          <w:rFonts w:cs="Arial"/>
        </w:rPr>
        <w:t xml:space="preserve">el importe de las facturas 185 y 188 de 2011, producto de la desagregación de la </w:t>
      </w:r>
      <w:r w:rsidR="00E017AC" w:rsidRPr="009F61AF">
        <w:rPr>
          <w:rFonts w:cs="Arial"/>
        </w:rPr>
        <w:t>factura 129 citad</w:t>
      </w:r>
      <w:r w:rsidR="00562FDB" w:rsidRPr="009F61AF">
        <w:rPr>
          <w:rFonts w:cs="Arial"/>
        </w:rPr>
        <w:t>a</w:t>
      </w:r>
      <w:r w:rsidR="00562FDB" w:rsidRPr="009F61AF">
        <w:rPr>
          <w:rStyle w:val="Refdenotaalpie"/>
          <w:rFonts w:cs="Arial"/>
        </w:rPr>
        <w:footnoteReference w:id="4"/>
      </w:r>
      <w:r w:rsidR="00562FDB" w:rsidRPr="009F61AF">
        <w:rPr>
          <w:rFonts w:cs="Arial"/>
        </w:rPr>
        <w:t xml:space="preserve">. </w:t>
      </w:r>
    </w:p>
    <w:p w14:paraId="176142AC" w14:textId="77777777" w:rsidR="00A37FB6" w:rsidRPr="009F61AF" w:rsidRDefault="00A37FB6" w:rsidP="0081115F">
      <w:pPr>
        <w:pStyle w:val="Continuarlista2"/>
        <w:spacing w:after="0"/>
        <w:ind w:left="0"/>
        <w:rPr>
          <w:rFonts w:cs="Arial"/>
        </w:rPr>
      </w:pPr>
    </w:p>
    <w:p w14:paraId="094790A9" w14:textId="77777777" w:rsidR="00A97ACC" w:rsidRPr="009F61AF" w:rsidRDefault="00562FDB" w:rsidP="0081115F">
      <w:pPr>
        <w:pStyle w:val="Continuarlista2"/>
        <w:spacing w:after="0"/>
        <w:ind w:left="0"/>
        <w:rPr>
          <w:rFonts w:cs="Arial"/>
        </w:rPr>
      </w:pPr>
      <w:r w:rsidRPr="009F61AF">
        <w:rPr>
          <w:rFonts w:cs="Arial"/>
        </w:rPr>
        <w:t>Como consecuencia de lo anterior el Tribunal de Arbitramento procedió a declarar l</w:t>
      </w:r>
      <w:r w:rsidR="000D6615" w:rsidRPr="009F61AF">
        <w:rPr>
          <w:rFonts w:cs="Arial"/>
        </w:rPr>
        <w:t>i</w:t>
      </w:r>
      <w:r w:rsidRPr="009F61AF">
        <w:rPr>
          <w:rFonts w:cs="Arial"/>
        </w:rPr>
        <w:t>quidado el contrato</w:t>
      </w:r>
      <w:r w:rsidR="00930AAA" w:rsidRPr="009F61AF">
        <w:rPr>
          <w:rFonts w:cs="Arial"/>
        </w:rPr>
        <w:t xml:space="preserve"> y</w:t>
      </w:r>
      <w:r w:rsidR="00A97ACC" w:rsidRPr="009F61AF">
        <w:rPr>
          <w:rFonts w:cs="Arial"/>
        </w:rPr>
        <w:t xml:space="preserve"> reconoci</w:t>
      </w:r>
      <w:r w:rsidR="00A37FB6" w:rsidRPr="009F61AF">
        <w:rPr>
          <w:rFonts w:cs="Arial"/>
        </w:rPr>
        <w:t>ó</w:t>
      </w:r>
      <w:r w:rsidR="00A97ACC" w:rsidRPr="009F61AF">
        <w:rPr>
          <w:rFonts w:cs="Arial"/>
        </w:rPr>
        <w:t xml:space="preserve"> las partidas que identificó en la parte resolutiva de</w:t>
      </w:r>
      <w:r w:rsidR="00DB616F" w:rsidRPr="009F61AF">
        <w:rPr>
          <w:rFonts w:cs="Arial"/>
        </w:rPr>
        <w:t>l laudo</w:t>
      </w:r>
      <w:r w:rsidR="00A97ACC" w:rsidRPr="009F61AF">
        <w:rPr>
          <w:rFonts w:cs="Arial"/>
        </w:rPr>
        <w:t xml:space="preserve">, tal como han sido transcritas al inicio de esta providencia. </w:t>
      </w:r>
    </w:p>
    <w:p w14:paraId="19856483" w14:textId="77777777" w:rsidR="000D6615" w:rsidRPr="009F61AF" w:rsidRDefault="000D6615" w:rsidP="0081115F">
      <w:pPr>
        <w:pStyle w:val="Continuarlista2"/>
        <w:spacing w:after="0"/>
        <w:ind w:left="0"/>
        <w:rPr>
          <w:rFonts w:cs="Arial"/>
        </w:rPr>
      </w:pPr>
    </w:p>
    <w:p w14:paraId="2D6DA326" w14:textId="77777777" w:rsidR="00DF2D14" w:rsidRPr="009F61AF" w:rsidRDefault="000D6615" w:rsidP="0081115F">
      <w:pPr>
        <w:pStyle w:val="Continuarlista2"/>
        <w:spacing w:after="0"/>
        <w:ind w:left="0"/>
        <w:rPr>
          <w:rFonts w:cs="Arial"/>
        </w:rPr>
      </w:pPr>
      <w:r w:rsidRPr="009F61AF">
        <w:rPr>
          <w:rFonts w:cs="Arial"/>
        </w:rPr>
        <w:t>En relación con la excepción de caducidad de la acción, estableció que la demanda se entabló en tiempo</w:t>
      </w:r>
      <w:r w:rsidR="00FD5646" w:rsidRPr="009F61AF">
        <w:rPr>
          <w:rFonts w:cs="Arial"/>
        </w:rPr>
        <w:t xml:space="preserve"> -</w:t>
      </w:r>
      <w:r w:rsidRPr="009F61AF">
        <w:rPr>
          <w:rFonts w:cs="Arial"/>
        </w:rPr>
        <w:t>con base en los fundamentos que se detallarán más adelante en el acápite del caso concreto- y desestim</w:t>
      </w:r>
      <w:r w:rsidR="00DF2D14" w:rsidRPr="009F61AF">
        <w:rPr>
          <w:rFonts w:cs="Arial"/>
        </w:rPr>
        <w:t xml:space="preserve">ó la excepción de falta de legitimación en la causa, teniendo en cuenta la prueba inequívoca de la prestación de los servicios que soportan las factura. </w:t>
      </w:r>
    </w:p>
    <w:p w14:paraId="6218AD10" w14:textId="77777777" w:rsidR="00DF2D14" w:rsidRPr="009F61AF" w:rsidRDefault="00DF2D14" w:rsidP="0081115F">
      <w:pPr>
        <w:pStyle w:val="Continuarlista2"/>
        <w:spacing w:after="0"/>
        <w:ind w:left="0"/>
        <w:rPr>
          <w:rFonts w:cs="Arial"/>
        </w:rPr>
      </w:pPr>
    </w:p>
    <w:p w14:paraId="67B42ADB" w14:textId="77777777" w:rsidR="003658E1" w:rsidRPr="009F61AF" w:rsidRDefault="003658E1" w:rsidP="0081115F">
      <w:pPr>
        <w:pStyle w:val="Continuarlista2"/>
        <w:spacing w:after="0"/>
        <w:ind w:left="0"/>
        <w:rPr>
          <w:rFonts w:cs="Arial"/>
        </w:rPr>
      </w:pPr>
      <w:r w:rsidRPr="009F61AF">
        <w:rPr>
          <w:rFonts w:cs="Arial"/>
        </w:rPr>
        <w:t xml:space="preserve">Finalmente </w:t>
      </w:r>
      <w:r w:rsidR="00DB616F" w:rsidRPr="009F61AF">
        <w:rPr>
          <w:rFonts w:cs="Arial"/>
        </w:rPr>
        <w:t xml:space="preserve">en el laudo arbitral se </w:t>
      </w:r>
      <w:r w:rsidRPr="009F61AF">
        <w:rPr>
          <w:rFonts w:cs="Arial"/>
        </w:rPr>
        <w:t xml:space="preserve">condenó al ICBF a pagar las costas y agencias en derecho de acuerdo con la suma que </w:t>
      </w:r>
      <w:r w:rsidR="00DB616F" w:rsidRPr="009F61AF">
        <w:rPr>
          <w:rFonts w:cs="Arial"/>
        </w:rPr>
        <w:t xml:space="preserve">el Tribunal de Arbitramento </w:t>
      </w:r>
      <w:r w:rsidRPr="009F61AF">
        <w:rPr>
          <w:rFonts w:cs="Arial"/>
        </w:rPr>
        <w:t>liquidó en ese proveído.</w:t>
      </w:r>
    </w:p>
    <w:p w14:paraId="05DD10EB" w14:textId="77777777" w:rsidR="003658E1" w:rsidRPr="009F61AF" w:rsidRDefault="003658E1" w:rsidP="0081115F">
      <w:pPr>
        <w:pStyle w:val="Continuarlista2"/>
        <w:spacing w:after="0"/>
        <w:ind w:left="0"/>
        <w:rPr>
          <w:rFonts w:cs="Arial"/>
        </w:rPr>
      </w:pPr>
    </w:p>
    <w:p w14:paraId="0CDEB66E" w14:textId="77777777" w:rsidR="003658E1" w:rsidRPr="009F61AF" w:rsidRDefault="00A37FB6" w:rsidP="0081115F">
      <w:pPr>
        <w:pStyle w:val="Continuarlista2"/>
        <w:spacing w:after="0"/>
        <w:ind w:left="0"/>
        <w:rPr>
          <w:rFonts w:cs="Arial"/>
          <w:b/>
        </w:rPr>
      </w:pPr>
      <w:r w:rsidRPr="009F61AF">
        <w:rPr>
          <w:rFonts w:cs="Arial"/>
          <w:b/>
        </w:rPr>
        <w:t xml:space="preserve">3. </w:t>
      </w:r>
      <w:r w:rsidR="00F52B7A" w:rsidRPr="009F61AF">
        <w:rPr>
          <w:rFonts w:cs="Arial"/>
          <w:b/>
        </w:rPr>
        <w:t xml:space="preserve">El </w:t>
      </w:r>
      <w:r w:rsidR="00E017AC" w:rsidRPr="009F61AF">
        <w:rPr>
          <w:rFonts w:cs="Arial"/>
          <w:b/>
        </w:rPr>
        <w:t>r</w:t>
      </w:r>
      <w:r w:rsidR="00F52B7A" w:rsidRPr="009F61AF">
        <w:rPr>
          <w:rFonts w:cs="Arial"/>
          <w:b/>
        </w:rPr>
        <w:t xml:space="preserve">ecurso de </w:t>
      </w:r>
      <w:r w:rsidR="00E017AC" w:rsidRPr="009F61AF">
        <w:rPr>
          <w:rFonts w:cs="Arial"/>
          <w:b/>
        </w:rPr>
        <w:t>a</w:t>
      </w:r>
      <w:r w:rsidR="00F52B7A" w:rsidRPr="009F61AF">
        <w:rPr>
          <w:rFonts w:cs="Arial"/>
          <w:b/>
        </w:rPr>
        <w:t>nulación</w:t>
      </w:r>
    </w:p>
    <w:p w14:paraId="57095022" w14:textId="77777777" w:rsidR="00BC7127" w:rsidRPr="009F61AF" w:rsidRDefault="00BC7127" w:rsidP="0081115F">
      <w:pPr>
        <w:pStyle w:val="Continuarlista2"/>
        <w:spacing w:after="0"/>
        <w:ind w:left="0"/>
        <w:rPr>
          <w:rFonts w:cs="Arial"/>
        </w:rPr>
      </w:pPr>
    </w:p>
    <w:p w14:paraId="1B540EB5" w14:textId="77777777" w:rsidR="00BC7127" w:rsidRPr="009F61AF" w:rsidRDefault="00DB616F" w:rsidP="0081115F">
      <w:pPr>
        <w:pStyle w:val="Continuarlista2"/>
        <w:spacing w:after="0"/>
        <w:ind w:left="0"/>
        <w:rPr>
          <w:rFonts w:cs="Arial"/>
        </w:rPr>
      </w:pPr>
      <w:r w:rsidRPr="009F61AF">
        <w:rPr>
          <w:rFonts w:cs="Arial"/>
        </w:rPr>
        <w:t xml:space="preserve">El </w:t>
      </w:r>
      <w:r w:rsidR="00BC7127" w:rsidRPr="009F61AF">
        <w:rPr>
          <w:rFonts w:cs="Arial"/>
        </w:rPr>
        <w:t xml:space="preserve">ICBF interpuso y sustentó el recurso </w:t>
      </w:r>
      <w:r w:rsidR="00306380" w:rsidRPr="009F61AF">
        <w:rPr>
          <w:rFonts w:cs="Arial"/>
        </w:rPr>
        <w:t xml:space="preserve">extraordinario </w:t>
      </w:r>
      <w:r w:rsidR="00BC7127" w:rsidRPr="009F61AF">
        <w:rPr>
          <w:rFonts w:cs="Arial"/>
        </w:rPr>
        <w:t>de anulación contra el laudo arbitraI mediante escrito presentado el 3 de agosto de 2015</w:t>
      </w:r>
      <w:r w:rsidR="00306380" w:rsidRPr="009F61AF">
        <w:rPr>
          <w:rFonts w:cs="Arial"/>
        </w:rPr>
        <w:t>,</w:t>
      </w:r>
      <w:r w:rsidR="00BC7127" w:rsidRPr="009F61AF">
        <w:rPr>
          <w:rFonts w:cs="Arial"/>
        </w:rPr>
        <w:t xml:space="preserve"> en la oportunidad prevista en el artículo 40 de la Ley 1563 de 2012</w:t>
      </w:r>
      <w:r w:rsidR="00BC7127" w:rsidRPr="009F61AF">
        <w:rPr>
          <w:rStyle w:val="Refdenotaalpie"/>
          <w:rFonts w:cs="Arial"/>
        </w:rPr>
        <w:footnoteReference w:id="5"/>
      </w:r>
      <w:r w:rsidR="00BC7127" w:rsidRPr="009F61AF">
        <w:rPr>
          <w:rFonts w:cs="Arial"/>
        </w:rPr>
        <w:t>.</w:t>
      </w:r>
    </w:p>
    <w:p w14:paraId="02C4EDE1" w14:textId="77777777" w:rsidR="00BC7127" w:rsidRPr="009F61AF" w:rsidRDefault="00BC7127" w:rsidP="0081115F">
      <w:pPr>
        <w:pStyle w:val="Continuarlista2"/>
        <w:spacing w:after="0"/>
        <w:ind w:left="0"/>
        <w:rPr>
          <w:rFonts w:cs="Arial"/>
        </w:rPr>
      </w:pPr>
    </w:p>
    <w:p w14:paraId="57E68616" w14:textId="77777777" w:rsidR="00BC7127" w:rsidRPr="009F61AF" w:rsidRDefault="00306380" w:rsidP="0081115F">
      <w:pPr>
        <w:pStyle w:val="Continuarlista2"/>
        <w:spacing w:after="0"/>
        <w:ind w:left="0"/>
        <w:rPr>
          <w:rFonts w:cs="Arial"/>
        </w:rPr>
      </w:pPr>
      <w:r w:rsidRPr="009F61AF">
        <w:rPr>
          <w:rFonts w:cs="Arial"/>
        </w:rPr>
        <w:t xml:space="preserve">En dicho recurso la parte </w:t>
      </w:r>
      <w:r w:rsidR="00A1573A" w:rsidRPr="009F61AF">
        <w:rPr>
          <w:rFonts w:cs="Arial"/>
        </w:rPr>
        <w:t>demandada</w:t>
      </w:r>
      <w:r w:rsidRPr="009F61AF">
        <w:rPr>
          <w:rFonts w:cs="Arial"/>
        </w:rPr>
        <w:t xml:space="preserve"> determinó los cargos materia de impugnación - que son los que constituyen la </w:t>
      </w:r>
      <w:r w:rsidRPr="009F61AF">
        <w:rPr>
          <w:rFonts w:cs="Arial"/>
          <w:i/>
        </w:rPr>
        <w:t>causa petendi</w:t>
      </w:r>
      <w:r w:rsidRPr="009F61AF">
        <w:rPr>
          <w:rFonts w:cs="Arial"/>
        </w:rPr>
        <w:t xml:space="preserve"> en el </w:t>
      </w:r>
      <w:r w:rsidR="001C142E" w:rsidRPr="009F61AF">
        <w:rPr>
          <w:rFonts w:cs="Arial"/>
        </w:rPr>
        <w:t xml:space="preserve">recurso extraordinario </w:t>
      </w:r>
      <w:r w:rsidRPr="009F61AF">
        <w:rPr>
          <w:rFonts w:cs="Arial"/>
        </w:rPr>
        <w:t>que ahora se desata-</w:t>
      </w:r>
      <w:r w:rsidR="001C142E" w:rsidRPr="009F61AF">
        <w:rPr>
          <w:rFonts w:cs="Arial"/>
        </w:rPr>
        <w:t xml:space="preserve">. </w:t>
      </w:r>
      <w:r w:rsidRPr="009F61AF">
        <w:rPr>
          <w:rFonts w:cs="Arial"/>
        </w:rPr>
        <w:t xml:space="preserve"> </w:t>
      </w:r>
      <w:r w:rsidR="001C142E" w:rsidRPr="009F61AF">
        <w:rPr>
          <w:rFonts w:cs="Arial"/>
        </w:rPr>
        <w:t>L</w:t>
      </w:r>
      <w:r w:rsidR="00337088" w:rsidRPr="009F61AF">
        <w:rPr>
          <w:rFonts w:cs="Arial"/>
        </w:rPr>
        <w:t xml:space="preserve">os </w:t>
      </w:r>
      <w:r w:rsidR="001C142E" w:rsidRPr="009F61AF">
        <w:rPr>
          <w:rFonts w:cs="Arial"/>
        </w:rPr>
        <w:t>antedichos cargos fueron expuestos con</w:t>
      </w:r>
      <w:r w:rsidR="00337088" w:rsidRPr="009F61AF">
        <w:rPr>
          <w:rFonts w:cs="Arial"/>
        </w:rPr>
        <w:t xml:space="preserve"> la identificación de </w:t>
      </w:r>
      <w:r w:rsidR="00BC7127" w:rsidRPr="009F61AF">
        <w:rPr>
          <w:rFonts w:cs="Arial"/>
        </w:rPr>
        <w:t xml:space="preserve">las siguientes causales y </w:t>
      </w:r>
      <w:r w:rsidR="00337088" w:rsidRPr="009F61AF">
        <w:rPr>
          <w:rFonts w:cs="Arial"/>
        </w:rPr>
        <w:t xml:space="preserve">los respectivos </w:t>
      </w:r>
      <w:r w:rsidR="00BC7127" w:rsidRPr="009F61AF">
        <w:rPr>
          <w:rFonts w:cs="Arial"/>
        </w:rPr>
        <w:t>fundamentos</w:t>
      </w:r>
      <w:r w:rsidR="001C142E" w:rsidRPr="009F61AF">
        <w:rPr>
          <w:rFonts w:cs="Arial"/>
        </w:rPr>
        <w:t xml:space="preserve">: </w:t>
      </w:r>
    </w:p>
    <w:p w14:paraId="41B2E06C" w14:textId="77777777" w:rsidR="00BC7127" w:rsidRPr="009F61AF" w:rsidRDefault="00BC7127" w:rsidP="0081115F">
      <w:pPr>
        <w:pStyle w:val="Continuarlista2"/>
        <w:spacing w:after="0"/>
        <w:ind w:left="0"/>
        <w:rPr>
          <w:rFonts w:cs="Arial"/>
        </w:rPr>
      </w:pPr>
    </w:p>
    <w:p w14:paraId="06586555" w14:textId="77777777" w:rsidR="00BC7127" w:rsidRPr="009F61AF" w:rsidRDefault="00AC0525" w:rsidP="0081115F">
      <w:pPr>
        <w:pStyle w:val="Continuarlista2"/>
        <w:spacing w:after="0"/>
        <w:ind w:left="0"/>
        <w:rPr>
          <w:rFonts w:cs="Arial"/>
        </w:rPr>
      </w:pPr>
      <w:r w:rsidRPr="009F61AF">
        <w:rPr>
          <w:rFonts w:cs="Arial"/>
          <w:b/>
        </w:rPr>
        <w:lastRenderedPageBreak/>
        <w:t>3.1.</w:t>
      </w:r>
      <w:r w:rsidR="00BC7127" w:rsidRPr="009F61AF">
        <w:rPr>
          <w:rFonts w:cs="Arial"/>
        </w:rPr>
        <w:t xml:space="preserve"> </w:t>
      </w:r>
      <w:r w:rsidR="00D04F5B" w:rsidRPr="009F61AF">
        <w:rPr>
          <w:rFonts w:cs="Arial"/>
          <w:b/>
        </w:rPr>
        <w:t>Primer cargo.</w:t>
      </w:r>
      <w:r w:rsidR="00D04F5B" w:rsidRPr="009F61AF">
        <w:rPr>
          <w:rFonts w:cs="Arial"/>
        </w:rPr>
        <w:t xml:space="preserve"> </w:t>
      </w:r>
      <w:r w:rsidR="00BC7127" w:rsidRPr="009F61AF">
        <w:rPr>
          <w:rFonts w:cs="Arial"/>
        </w:rPr>
        <w:t xml:space="preserve">Caducidad de la acción o medio de control, la cual enmarcó dentro de la causal de anulación consagrada en el numeral 2º del artículo 41 de la Ley 1563 de 2012. </w:t>
      </w:r>
    </w:p>
    <w:p w14:paraId="0834160B" w14:textId="77777777" w:rsidR="007D76A8" w:rsidRPr="009F61AF" w:rsidRDefault="007D76A8" w:rsidP="0081115F">
      <w:pPr>
        <w:pStyle w:val="Continuarlista2"/>
        <w:spacing w:after="0"/>
        <w:ind w:left="0"/>
        <w:rPr>
          <w:rFonts w:cs="Arial"/>
        </w:rPr>
      </w:pPr>
    </w:p>
    <w:p w14:paraId="513E6542" w14:textId="77777777" w:rsidR="00BC7127" w:rsidRPr="009F61AF" w:rsidRDefault="00BC7127" w:rsidP="0081115F">
      <w:pPr>
        <w:pStyle w:val="Continuarlista2"/>
        <w:spacing w:after="0"/>
        <w:ind w:left="0"/>
        <w:rPr>
          <w:rFonts w:cs="Arial"/>
        </w:rPr>
      </w:pPr>
      <w:r w:rsidRPr="009F61AF">
        <w:rPr>
          <w:rFonts w:cs="Arial"/>
        </w:rPr>
        <w:t xml:space="preserve">En los fundamentos jurídicos </w:t>
      </w:r>
      <w:r w:rsidR="00337088" w:rsidRPr="009F61AF">
        <w:rPr>
          <w:rFonts w:cs="Arial"/>
        </w:rPr>
        <w:t xml:space="preserve">de esta causal la parte </w:t>
      </w:r>
      <w:r w:rsidR="00A1573A" w:rsidRPr="009F61AF">
        <w:rPr>
          <w:rFonts w:cs="Arial"/>
        </w:rPr>
        <w:t>demandada</w:t>
      </w:r>
      <w:r w:rsidR="00337088" w:rsidRPr="009F61AF">
        <w:rPr>
          <w:rFonts w:cs="Arial"/>
        </w:rPr>
        <w:t xml:space="preserve"> </w:t>
      </w:r>
      <w:r w:rsidRPr="009F61AF">
        <w:rPr>
          <w:rFonts w:cs="Arial"/>
        </w:rPr>
        <w:t xml:space="preserve">identificó como ley del proceso para efectos de la caducidad, el Código de Procedimiento Administrativo y Contencioso Administrativo (C.P.A.C.A) contenido en la Ley 1437 de 2011, </w:t>
      </w:r>
      <w:r w:rsidR="00A145F5" w:rsidRPr="009F61AF">
        <w:rPr>
          <w:rFonts w:cs="Arial"/>
        </w:rPr>
        <w:t>vigente para la fecha en la que se presentó la demanda</w:t>
      </w:r>
      <w:r w:rsidR="00DB616F" w:rsidRPr="009F61AF">
        <w:rPr>
          <w:rFonts w:cs="Arial"/>
        </w:rPr>
        <w:t xml:space="preserve"> y </w:t>
      </w:r>
      <w:r w:rsidRPr="009F61AF">
        <w:rPr>
          <w:rFonts w:cs="Arial"/>
        </w:rPr>
        <w:t>de acuerdo con e</w:t>
      </w:r>
      <w:r w:rsidR="00DB616F" w:rsidRPr="009F61AF">
        <w:rPr>
          <w:rFonts w:cs="Arial"/>
        </w:rPr>
        <w:t xml:space="preserve">llo </w:t>
      </w:r>
      <w:r w:rsidRPr="009F61AF">
        <w:rPr>
          <w:rFonts w:cs="Arial"/>
        </w:rPr>
        <w:t>expuso lo siguiente:</w:t>
      </w:r>
    </w:p>
    <w:p w14:paraId="61BF76D5" w14:textId="77777777" w:rsidR="00BC7127" w:rsidRPr="009F61AF" w:rsidRDefault="00BC7127" w:rsidP="0081115F">
      <w:pPr>
        <w:pStyle w:val="Continuarlista2"/>
        <w:spacing w:after="0"/>
        <w:ind w:left="0"/>
        <w:rPr>
          <w:rFonts w:cs="Arial"/>
        </w:rPr>
      </w:pPr>
    </w:p>
    <w:p w14:paraId="093EABC3" w14:textId="77777777" w:rsidR="00BC7127" w:rsidRPr="009F61AF" w:rsidRDefault="00BC7127" w:rsidP="0081115F">
      <w:pPr>
        <w:pStyle w:val="Continuarlista2"/>
        <w:spacing w:after="0"/>
        <w:ind w:left="0"/>
        <w:rPr>
          <w:rFonts w:cs="Arial"/>
        </w:rPr>
      </w:pPr>
      <w:r w:rsidRPr="009F61AF">
        <w:rPr>
          <w:rFonts w:cs="Arial"/>
          <w:b/>
        </w:rPr>
        <w:t>i)</w:t>
      </w:r>
      <w:r w:rsidRPr="009F61AF">
        <w:rPr>
          <w:rFonts w:cs="Arial"/>
        </w:rPr>
        <w:t xml:space="preserve"> </w:t>
      </w:r>
      <w:r w:rsidR="00CF52D0" w:rsidRPr="009F61AF">
        <w:rPr>
          <w:rFonts w:cs="Arial"/>
        </w:rPr>
        <w:t>E</w:t>
      </w:r>
      <w:r w:rsidR="00337088" w:rsidRPr="009F61AF">
        <w:rPr>
          <w:rFonts w:cs="Arial"/>
        </w:rPr>
        <w:t xml:space="preserve">l Tribunal de Arbitramento desconoció la ocurrencia de </w:t>
      </w:r>
      <w:r w:rsidRPr="009F61AF">
        <w:rPr>
          <w:rFonts w:cs="Arial"/>
        </w:rPr>
        <w:t xml:space="preserve">la caducidad del medio de control de </w:t>
      </w:r>
      <w:r w:rsidR="00A145F5" w:rsidRPr="009F61AF">
        <w:rPr>
          <w:rFonts w:cs="Arial"/>
        </w:rPr>
        <w:t xml:space="preserve">controversias contractuales </w:t>
      </w:r>
      <w:r w:rsidRPr="009F61AF">
        <w:rPr>
          <w:rFonts w:cs="Arial"/>
        </w:rPr>
        <w:t xml:space="preserve">por </w:t>
      </w:r>
      <w:r w:rsidR="00CB0327" w:rsidRPr="009F61AF">
        <w:rPr>
          <w:rFonts w:cs="Arial"/>
        </w:rPr>
        <w:t xml:space="preserve">desconocer </w:t>
      </w:r>
      <w:r w:rsidRPr="009F61AF">
        <w:rPr>
          <w:rFonts w:cs="Arial"/>
        </w:rPr>
        <w:t xml:space="preserve">el vencimiento del término de dos años que se fija en </w:t>
      </w:r>
      <w:r w:rsidR="00A145F5" w:rsidRPr="009F61AF">
        <w:rPr>
          <w:rFonts w:cs="Arial"/>
        </w:rPr>
        <w:t xml:space="preserve">el </w:t>
      </w:r>
      <w:r w:rsidR="00E33E09" w:rsidRPr="009F61AF">
        <w:rPr>
          <w:rFonts w:cs="Arial"/>
        </w:rPr>
        <w:t xml:space="preserve">artículo 164 del </w:t>
      </w:r>
      <w:r w:rsidR="00A145F5" w:rsidRPr="009F61AF">
        <w:rPr>
          <w:rFonts w:cs="Arial"/>
        </w:rPr>
        <w:t>C.P.A.C.A.</w:t>
      </w:r>
      <w:r w:rsidR="00337088" w:rsidRPr="009F61AF">
        <w:rPr>
          <w:rFonts w:cs="Arial"/>
        </w:rPr>
        <w:t xml:space="preserve"> para presentar la demanda.</w:t>
      </w:r>
      <w:r w:rsidRPr="009F61AF">
        <w:rPr>
          <w:rFonts w:cs="Arial"/>
        </w:rPr>
        <w:t xml:space="preserve"> </w:t>
      </w:r>
      <w:r w:rsidR="00337088" w:rsidRPr="009F61AF">
        <w:rPr>
          <w:rFonts w:cs="Arial"/>
        </w:rPr>
        <w:t xml:space="preserve">La parte </w:t>
      </w:r>
      <w:r w:rsidR="00A1573A" w:rsidRPr="009F61AF">
        <w:rPr>
          <w:rFonts w:cs="Arial"/>
        </w:rPr>
        <w:t>demandada</w:t>
      </w:r>
      <w:r w:rsidR="00337088" w:rsidRPr="009F61AF">
        <w:rPr>
          <w:rFonts w:cs="Arial"/>
        </w:rPr>
        <w:t xml:space="preserve"> agregó </w:t>
      </w:r>
      <w:r w:rsidRPr="009F61AF">
        <w:rPr>
          <w:rFonts w:cs="Arial"/>
        </w:rPr>
        <w:t xml:space="preserve">que </w:t>
      </w:r>
      <w:r w:rsidR="00CB0327" w:rsidRPr="009F61AF">
        <w:rPr>
          <w:rFonts w:cs="Arial"/>
        </w:rPr>
        <w:t>la</w:t>
      </w:r>
      <w:r w:rsidRPr="009F61AF">
        <w:rPr>
          <w:rFonts w:cs="Arial"/>
        </w:rPr>
        <w:t xml:space="preserve"> demandante también invocó la reparación directa como medio subsidiario </w:t>
      </w:r>
      <w:r w:rsidR="00337088" w:rsidRPr="009F61AF">
        <w:rPr>
          <w:rFonts w:cs="Arial"/>
        </w:rPr>
        <w:t xml:space="preserve">para hacer valer sus pretensiones </w:t>
      </w:r>
      <w:r w:rsidRPr="009F61AF">
        <w:rPr>
          <w:rFonts w:cs="Arial"/>
        </w:rPr>
        <w:t xml:space="preserve">pero </w:t>
      </w:r>
      <w:r w:rsidR="00337088" w:rsidRPr="009F61AF">
        <w:rPr>
          <w:rFonts w:cs="Arial"/>
        </w:rPr>
        <w:t xml:space="preserve">indicó que </w:t>
      </w:r>
      <w:r w:rsidRPr="009F61AF">
        <w:rPr>
          <w:rFonts w:cs="Arial"/>
        </w:rPr>
        <w:t xml:space="preserve">no </w:t>
      </w:r>
      <w:r w:rsidR="00337088" w:rsidRPr="009F61AF">
        <w:rPr>
          <w:rFonts w:cs="Arial"/>
        </w:rPr>
        <w:t xml:space="preserve">se </w:t>
      </w:r>
      <w:r w:rsidRPr="009F61AF">
        <w:rPr>
          <w:rFonts w:cs="Arial"/>
        </w:rPr>
        <w:t>desarrolló la supuesta acumulación de pretensiones, si bien en ese último escenario también operó la caducidad del medio de control</w:t>
      </w:r>
      <w:r w:rsidR="00CB0327" w:rsidRPr="009F61AF">
        <w:rPr>
          <w:rFonts w:cs="Arial"/>
        </w:rPr>
        <w:t>.</w:t>
      </w:r>
    </w:p>
    <w:p w14:paraId="44501E46" w14:textId="77777777" w:rsidR="00BC7127" w:rsidRPr="009F61AF" w:rsidRDefault="00BC7127" w:rsidP="0081115F">
      <w:pPr>
        <w:pStyle w:val="Continuarlista2"/>
        <w:spacing w:after="0"/>
        <w:ind w:left="0"/>
        <w:rPr>
          <w:rFonts w:cs="Arial"/>
        </w:rPr>
      </w:pPr>
    </w:p>
    <w:p w14:paraId="50A63361" w14:textId="77777777" w:rsidR="00BC7127" w:rsidRPr="009F61AF" w:rsidRDefault="00BC7127" w:rsidP="0081115F">
      <w:pPr>
        <w:pStyle w:val="Continuarlista2"/>
        <w:spacing w:after="0"/>
        <w:ind w:left="0"/>
        <w:rPr>
          <w:rFonts w:cs="Arial"/>
        </w:rPr>
      </w:pPr>
      <w:r w:rsidRPr="009F61AF">
        <w:rPr>
          <w:rFonts w:cs="Arial"/>
          <w:b/>
        </w:rPr>
        <w:t>ii)</w:t>
      </w:r>
      <w:r w:rsidRPr="009F61AF">
        <w:rPr>
          <w:rFonts w:cs="Arial"/>
        </w:rPr>
        <w:t xml:space="preserve"> Explicó que los supuestos </w:t>
      </w:r>
      <w:r w:rsidR="00337088" w:rsidRPr="009F61AF">
        <w:rPr>
          <w:rFonts w:cs="Arial"/>
        </w:rPr>
        <w:t xml:space="preserve">del laudo </w:t>
      </w:r>
      <w:r w:rsidRPr="009F61AF">
        <w:rPr>
          <w:rFonts w:cs="Arial"/>
        </w:rPr>
        <w:t xml:space="preserve">para establecer la no ocurrencia de la caducidad fueron errados porque la solicitud de conciliación extrajudicial no </w:t>
      </w:r>
      <w:r w:rsidRPr="009F61AF">
        <w:rPr>
          <w:rFonts w:cs="Arial"/>
          <w:i/>
        </w:rPr>
        <w:t>“interrumpe</w:t>
      </w:r>
      <w:r w:rsidRPr="009F61AF">
        <w:rPr>
          <w:rFonts w:cs="Arial"/>
        </w:rPr>
        <w:t xml:space="preserve">” sino que </w:t>
      </w:r>
      <w:r w:rsidRPr="009F61AF">
        <w:rPr>
          <w:rFonts w:cs="Arial"/>
          <w:i/>
        </w:rPr>
        <w:t>“suspende</w:t>
      </w:r>
      <w:r w:rsidRPr="009F61AF">
        <w:rPr>
          <w:rFonts w:cs="Arial"/>
        </w:rPr>
        <w:t>” el cómputo de la caducidad, de conformidad con lo previsto en el artículo 3º del Decreto 1716 de 2009 y con el precedente unificado del Consejo de Estado</w:t>
      </w:r>
      <w:r w:rsidRPr="009F61AF">
        <w:rPr>
          <w:rStyle w:val="Refdenotaalpie"/>
          <w:rFonts w:cs="Arial"/>
        </w:rPr>
        <w:footnoteReference w:id="6"/>
      </w:r>
      <w:r w:rsidRPr="009F61AF">
        <w:rPr>
          <w:rFonts w:cs="Arial"/>
        </w:rPr>
        <w:t xml:space="preserve">. </w:t>
      </w:r>
    </w:p>
    <w:p w14:paraId="130DE2D0" w14:textId="77777777" w:rsidR="00BC7127" w:rsidRPr="009F61AF" w:rsidRDefault="00BC7127" w:rsidP="0081115F">
      <w:pPr>
        <w:pStyle w:val="Continuarlista2"/>
        <w:spacing w:after="0"/>
        <w:ind w:left="0"/>
        <w:rPr>
          <w:rFonts w:cs="Arial"/>
        </w:rPr>
      </w:pPr>
    </w:p>
    <w:p w14:paraId="16C2FF7C" w14:textId="77777777" w:rsidR="00E33E09" w:rsidRPr="009F61AF" w:rsidRDefault="00BC7127" w:rsidP="0081115F">
      <w:pPr>
        <w:pStyle w:val="Continuarlista2"/>
        <w:spacing w:after="0"/>
        <w:ind w:left="0"/>
        <w:rPr>
          <w:rFonts w:cs="Arial"/>
        </w:rPr>
      </w:pPr>
      <w:r w:rsidRPr="009F61AF">
        <w:rPr>
          <w:rFonts w:cs="Arial"/>
          <w:b/>
        </w:rPr>
        <w:t>iii)</w:t>
      </w:r>
      <w:r w:rsidRPr="009F61AF">
        <w:rPr>
          <w:rFonts w:cs="Arial"/>
        </w:rPr>
        <w:t xml:space="preserve"> Advirtió </w:t>
      </w:r>
      <w:r w:rsidR="00337088" w:rsidRPr="009F61AF">
        <w:rPr>
          <w:rFonts w:cs="Arial"/>
        </w:rPr>
        <w:t xml:space="preserve">que el Tribunal de Arbitramento desconoció </w:t>
      </w:r>
      <w:r w:rsidRPr="009F61AF">
        <w:rPr>
          <w:rFonts w:cs="Arial"/>
        </w:rPr>
        <w:t xml:space="preserve">el principio de voluntariedad en acudir al sistema arbitral, en respeto del cual, si se interpuso la acción ante la Jurisdicción de lo Contencioso Administrativo ha debido surtirse el proceso ante ella y </w:t>
      </w:r>
      <w:r w:rsidR="00337088" w:rsidRPr="009F61AF">
        <w:rPr>
          <w:rFonts w:cs="Arial"/>
        </w:rPr>
        <w:t>no ante la justicia arbitral</w:t>
      </w:r>
      <w:r w:rsidRPr="009F61AF">
        <w:rPr>
          <w:rFonts w:cs="Arial"/>
        </w:rPr>
        <w:t xml:space="preserve">, sin perjuicio de que en el evento de llegar a </w:t>
      </w:r>
      <w:r w:rsidR="00337088" w:rsidRPr="009F61AF">
        <w:rPr>
          <w:rFonts w:cs="Arial"/>
        </w:rPr>
        <w:t>la</w:t>
      </w:r>
      <w:r w:rsidRPr="009F61AF">
        <w:rPr>
          <w:rFonts w:cs="Arial"/>
        </w:rPr>
        <w:t xml:space="preserve"> terminación </w:t>
      </w:r>
      <w:r w:rsidR="00337088" w:rsidRPr="009F61AF">
        <w:rPr>
          <w:rFonts w:cs="Arial"/>
        </w:rPr>
        <w:t xml:space="preserve">del proceso judicial </w:t>
      </w:r>
      <w:r w:rsidRPr="009F61AF">
        <w:rPr>
          <w:rFonts w:cs="Arial"/>
        </w:rPr>
        <w:t xml:space="preserve">por razón de la cláusula compromisoria, </w:t>
      </w:r>
      <w:r w:rsidR="00337088" w:rsidRPr="009F61AF">
        <w:rPr>
          <w:rFonts w:cs="Arial"/>
        </w:rPr>
        <w:t>la</w:t>
      </w:r>
      <w:r w:rsidRPr="009F61AF">
        <w:rPr>
          <w:rFonts w:cs="Arial"/>
        </w:rPr>
        <w:t xml:space="preserve"> demandante hubiera gozado del plazo </w:t>
      </w:r>
      <w:r w:rsidR="0019767C" w:rsidRPr="009F61AF">
        <w:rPr>
          <w:rFonts w:cs="Arial"/>
        </w:rPr>
        <w:t xml:space="preserve">previsto en el artículo 95 del C.P.G., </w:t>
      </w:r>
      <w:r w:rsidRPr="009F61AF">
        <w:rPr>
          <w:rFonts w:cs="Arial"/>
        </w:rPr>
        <w:t>para promover el proceso arbitral</w:t>
      </w:r>
      <w:r w:rsidR="00637460" w:rsidRPr="009F61AF">
        <w:rPr>
          <w:rFonts w:cs="Arial"/>
        </w:rPr>
        <w:t xml:space="preserve">. </w:t>
      </w:r>
    </w:p>
    <w:p w14:paraId="51CFFB2F" w14:textId="77777777" w:rsidR="0019767C" w:rsidRPr="009F61AF" w:rsidRDefault="0019767C" w:rsidP="0081115F">
      <w:pPr>
        <w:pStyle w:val="Continuarlista2"/>
        <w:spacing w:after="0"/>
        <w:ind w:left="0"/>
        <w:rPr>
          <w:rFonts w:cs="Arial"/>
        </w:rPr>
      </w:pPr>
    </w:p>
    <w:p w14:paraId="32E40A53" w14:textId="77777777" w:rsidR="00BC7127" w:rsidRPr="009F61AF" w:rsidRDefault="00BC7127" w:rsidP="0081115F">
      <w:pPr>
        <w:pStyle w:val="Continuarlista2"/>
        <w:spacing w:after="0"/>
        <w:ind w:left="0"/>
        <w:rPr>
          <w:rFonts w:cs="Arial"/>
        </w:rPr>
      </w:pPr>
      <w:r w:rsidRPr="009F61AF">
        <w:rPr>
          <w:rFonts w:cs="Arial"/>
          <w:b/>
        </w:rPr>
        <w:lastRenderedPageBreak/>
        <w:t>iv)</w:t>
      </w:r>
      <w:r w:rsidRPr="009F61AF">
        <w:rPr>
          <w:rFonts w:cs="Arial"/>
        </w:rPr>
        <w:t xml:space="preserve"> Expuso el desconocimiento del artículo 132 del Código de Procedimiento Civil de acuerdo con el cual el Tribunal de Arbitramento debió cerciorarse del pago de los portes de ida y regreso del expediente y no simplemente presumir ese hecho.</w:t>
      </w:r>
    </w:p>
    <w:p w14:paraId="716CDA3B" w14:textId="77777777" w:rsidR="00BC7127" w:rsidRPr="009F61AF" w:rsidRDefault="00BC7127" w:rsidP="0081115F">
      <w:pPr>
        <w:pStyle w:val="Continuarlista2"/>
        <w:spacing w:after="0"/>
        <w:ind w:left="0"/>
        <w:rPr>
          <w:rFonts w:cs="Arial"/>
        </w:rPr>
      </w:pPr>
    </w:p>
    <w:p w14:paraId="77FCFF98" w14:textId="77777777" w:rsidR="00BC7127" w:rsidRPr="009F61AF" w:rsidRDefault="00AC0525" w:rsidP="0081115F">
      <w:pPr>
        <w:pStyle w:val="Continuarlista2"/>
        <w:spacing w:after="0"/>
        <w:ind w:left="0"/>
        <w:rPr>
          <w:rFonts w:cs="Arial"/>
        </w:rPr>
      </w:pPr>
      <w:r w:rsidRPr="009F61AF">
        <w:rPr>
          <w:rFonts w:cs="Arial"/>
          <w:b/>
        </w:rPr>
        <w:t>3.</w:t>
      </w:r>
      <w:r w:rsidR="00BC7127" w:rsidRPr="009F61AF">
        <w:rPr>
          <w:rFonts w:cs="Arial"/>
          <w:b/>
        </w:rPr>
        <w:t>2.</w:t>
      </w:r>
      <w:r w:rsidR="00BC7127" w:rsidRPr="009F61AF">
        <w:rPr>
          <w:rFonts w:cs="Arial"/>
        </w:rPr>
        <w:t xml:space="preserve"> El </w:t>
      </w:r>
      <w:r w:rsidR="00BC7127" w:rsidRPr="009F61AF">
        <w:rPr>
          <w:rFonts w:cs="Arial"/>
          <w:b/>
        </w:rPr>
        <w:t>segundo cargo</w:t>
      </w:r>
      <w:r w:rsidR="00BC7127" w:rsidRPr="009F61AF">
        <w:rPr>
          <w:rFonts w:cs="Arial"/>
        </w:rPr>
        <w:t xml:space="preserve"> se apoyó en el numeral 7º del artículo 41 de la Ley 1563 de 2012, </w:t>
      </w:r>
      <w:r w:rsidR="00BC7127" w:rsidRPr="009F61AF">
        <w:rPr>
          <w:rFonts w:cs="Arial"/>
          <w:i/>
        </w:rPr>
        <w:t>“por haberse fallado en conciencia o equidad”</w:t>
      </w:r>
      <w:r w:rsidR="00BC7127" w:rsidRPr="009F61AF">
        <w:rPr>
          <w:rFonts w:cs="Arial"/>
        </w:rPr>
        <w:t xml:space="preserve">, toda vez que </w:t>
      </w:r>
      <w:r w:rsidR="00637460" w:rsidRPr="009F61AF">
        <w:rPr>
          <w:rFonts w:cs="Arial"/>
        </w:rPr>
        <w:t>a juicio de</w:t>
      </w:r>
      <w:r w:rsidR="004F5B55" w:rsidRPr="009F61AF">
        <w:rPr>
          <w:rFonts w:cs="Arial"/>
        </w:rPr>
        <w:t xml:space="preserve"> la parte </w:t>
      </w:r>
      <w:r w:rsidR="00A1573A" w:rsidRPr="009F61AF">
        <w:rPr>
          <w:rFonts w:cs="Arial"/>
        </w:rPr>
        <w:t>demandada</w:t>
      </w:r>
      <w:r w:rsidR="004F5B55" w:rsidRPr="009F61AF">
        <w:rPr>
          <w:rFonts w:cs="Arial"/>
        </w:rPr>
        <w:t xml:space="preserve"> </w:t>
      </w:r>
      <w:r w:rsidR="00637460" w:rsidRPr="009F61AF">
        <w:rPr>
          <w:rFonts w:cs="Arial"/>
        </w:rPr>
        <w:t xml:space="preserve">el laudo debe ser anulado teniendo en cuenta que </w:t>
      </w:r>
      <w:r w:rsidR="00BC7127" w:rsidRPr="009F61AF">
        <w:rPr>
          <w:rFonts w:cs="Arial"/>
        </w:rPr>
        <w:t xml:space="preserve">el Tribunal de Arbitramento obró con total prescindencia del ordenamiento jurídico y con base únicamente en su convicción, </w:t>
      </w:r>
      <w:r w:rsidR="00D455BA" w:rsidRPr="009F61AF">
        <w:rPr>
          <w:rFonts w:cs="Arial"/>
        </w:rPr>
        <w:t xml:space="preserve">al punto que </w:t>
      </w:r>
      <w:r w:rsidR="00BC7127" w:rsidRPr="009F61AF">
        <w:rPr>
          <w:rFonts w:cs="Arial"/>
        </w:rPr>
        <w:t>ignor</w:t>
      </w:r>
      <w:r w:rsidR="00D455BA" w:rsidRPr="009F61AF">
        <w:rPr>
          <w:rFonts w:cs="Arial"/>
        </w:rPr>
        <w:t>ó</w:t>
      </w:r>
      <w:r w:rsidR="00BC7127" w:rsidRPr="009F61AF">
        <w:rPr>
          <w:rFonts w:cs="Arial"/>
        </w:rPr>
        <w:t xml:space="preserve"> que el fallo debió proferirse en derecho. Aclaró que aunque </w:t>
      </w:r>
      <w:r w:rsidR="00D455BA" w:rsidRPr="009F61AF">
        <w:rPr>
          <w:rFonts w:cs="Arial"/>
        </w:rPr>
        <w:t xml:space="preserve">en </w:t>
      </w:r>
      <w:r w:rsidR="00BC7127" w:rsidRPr="009F61AF">
        <w:rPr>
          <w:rFonts w:cs="Arial"/>
        </w:rPr>
        <w:t xml:space="preserve">el fallo </w:t>
      </w:r>
      <w:r w:rsidR="008C7A72" w:rsidRPr="009F61AF">
        <w:rPr>
          <w:rFonts w:cs="Arial"/>
        </w:rPr>
        <w:t xml:space="preserve">se </w:t>
      </w:r>
      <w:r w:rsidR="00BC7127" w:rsidRPr="009F61AF">
        <w:rPr>
          <w:rFonts w:cs="Arial"/>
        </w:rPr>
        <w:t>acud</w:t>
      </w:r>
      <w:r w:rsidR="00D455BA" w:rsidRPr="009F61AF">
        <w:rPr>
          <w:rFonts w:cs="Arial"/>
        </w:rPr>
        <w:t xml:space="preserve">ió </w:t>
      </w:r>
      <w:r w:rsidR="00BC7127" w:rsidRPr="009F61AF">
        <w:rPr>
          <w:rFonts w:cs="Arial"/>
        </w:rPr>
        <w:t>a citar las normas legales formalmente</w:t>
      </w:r>
      <w:r w:rsidR="008C7A72" w:rsidRPr="009F61AF">
        <w:rPr>
          <w:rFonts w:cs="Arial"/>
        </w:rPr>
        <w:t>,</w:t>
      </w:r>
      <w:r w:rsidR="00BC7127" w:rsidRPr="009F61AF">
        <w:rPr>
          <w:rFonts w:cs="Arial"/>
        </w:rPr>
        <w:t xml:space="preserve"> en su decisión </w:t>
      </w:r>
      <w:r w:rsidR="008C7A72" w:rsidRPr="009F61AF">
        <w:rPr>
          <w:rFonts w:cs="Arial"/>
        </w:rPr>
        <w:t xml:space="preserve">El Tribunal de Arbitramento </w:t>
      </w:r>
      <w:r w:rsidR="00BC7127" w:rsidRPr="009F61AF">
        <w:rPr>
          <w:rFonts w:cs="Arial"/>
        </w:rPr>
        <w:t xml:space="preserve">se apartó de las mismas, así: </w:t>
      </w:r>
    </w:p>
    <w:p w14:paraId="3FE6554B" w14:textId="77777777" w:rsidR="00BC7127" w:rsidRPr="009F61AF" w:rsidRDefault="00BC7127" w:rsidP="0081115F">
      <w:pPr>
        <w:pStyle w:val="Continuarlista2"/>
        <w:spacing w:after="0"/>
        <w:ind w:left="0"/>
        <w:rPr>
          <w:rFonts w:cs="Arial"/>
        </w:rPr>
      </w:pPr>
    </w:p>
    <w:p w14:paraId="0262E775" w14:textId="77777777" w:rsidR="00BC7127" w:rsidRPr="009F61AF" w:rsidRDefault="00BC7127" w:rsidP="0081115F">
      <w:pPr>
        <w:pStyle w:val="Continuarlista2"/>
        <w:spacing w:after="0"/>
        <w:ind w:left="0"/>
        <w:rPr>
          <w:rFonts w:cs="Arial"/>
        </w:rPr>
      </w:pPr>
      <w:r w:rsidRPr="009F61AF">
        <w:rPr>
          <w:rFonts w:cs="Arial"/>
          <w:b/>
        </w:rPr>
        <w:t>i)</w:t>
      </w:r>
      <w:r w:rsidRPr="009F61AF">
        <w:rPr>
          <w:rFonts w:cs="Arial"/>
        </w:rPr>
        <w:t xml:space="preserve"> Irrespetó el precedente de unificación jurisprudencial sobre los requisitos para el reconocimiento excepcional de la reclamación por enriquecimiento sin causa</w:t>
      </w:r>
      <w:r w:rsidRPr="009F61AF">
        <w:rPr>
          <w:rStyle w:val="Refdenotaalpie"/>
          <w:rFonts w:cs="Arial"/>
        </w:rPr>
        <w:footnoteReference w:id="7"/>
      </w:r>
      <w:r w:rsidRPr="009F61AF">
        <w:rPr>
          <w:rFonts w:cs="Arial"/>
        </w:rPr>
        <w:t xml:space="preserve">, por cuanto </w:t>
      </w:r>
      <w:r w:rsidR="00D455BA" w:rsidRPr="009F61AF">
        <w:rPr>
          <w:rFonts w:cs="Arial"/>
        </w:rPr>
        <w:t xml:space="preserve">–según afirmó </w:t>
      </w:r>
      <w:r w:rsidR="008C7A72" w:rsidRPr="009F61AF">
        <w:rPr>
          <w:rFonts w:cs="Arial"/>
        </w:rPr>
        <w:t xml:space="preserve">la parte </w:t>
      </w:r>
      <w:r w:rsidR="00A1573A" w:rsidRPr="009F61AF">
        <w:rPr>
          <w:rFonts w:cs="Arial"/>
        </w:rPr>
        <w:t>demandada</w:t>
      </w:r>
      <w:r w:rsidR="008C7A72" w:rsidRPr="009F61AF">
        <w:rPr>
          <w:rFonts w:cs="Arial"/>
        </w:rPr>
        <w:t xml:space="preserve"> </w:t>
      </w:r>
      <w:r w:rsidR="00D455BA" w:rsidRPr="009F61AF">
        <w:rPr>
          <w:rFonts w:cs="Arial"/>
        </w:rPr>
        <w:t xml:space="preserve">- en </w:t>
      </w:r>
      <w:r w:rsidRPr="009F61AF">
        <w:rPr>
          <w:rFonts w:cs="Arial"/>
        </w:rPr>
        <w:t>e</w:t>
      </w:r>
      <w:r w:rsidR="00D455BA" w:rsidRPr="009F61AF">
        <w:rPr>
          <w:rFonts w:cs="Arial"/>
        </w:rPr>
        <w:t xml:space="preserve">l </w:t>
      </w:r>
      <w:r w:rsidRPr="009F61AF">
        <w:rPr>
          <w:rFonts w:cs="Arial"/>
        </w:rPr>
        <w:t xml:space="preserve">proceso </w:t>
      </w:r>
      <w:r w:rsidR="00D455BA" w:rsidRPr="009F61AF">
        <w:rPr>
          <w:rFonts w:cs="Arial"/>
        </w:rPr>
        <w:t xml:space="preserve">arbitral </w:t>
      </w:r>
      <w:r w:rsidRPr="009F61AF">
        <w:rPr>
          <w:rFonts w:cs="Arial"/>
        </w:rPr>
        <w:t xml:space="preserve">no hubo prueba alguna de la prestación efectiva del servicio de alimentación que se reconoció en el laudo al declarar que el ICBF adeuda la suma correspondiente. Por el contrario, </w:t>
      </w:r>
      <w:r w:rsidR="00D455BA" w:rsidRPr="009F61AF">
        <w:rPr>
          <w:rFonts w:cs="Arial"/>
        </w:rPr>
        <w:t>a</w:t>
      </w:r>
      <w:r w:rsidR="008C7A72" w:rsidRPr="009F61AF">
        <w:rPr>
          <w:rFonts w:cs="Arial"/>
        </w:rPr>
        <w:t xml:space="preserve">notó </w:t>
      </w:r>
      <w:r w:rsidR="00D455BA" w:rsidRPr="009F61AF">
        <w:rPr>
          <w:rFonts w:cs="Arial"/>
        </w:rPr>
        <w:t xml:space="preserve">que </w:t>
      </w:r>
      <w:r w:rsidRPr="009F61AF">
        <w:rPr>
          <w:rFonts w:cs="Arial"/>
        </w:rPr>
        <w:t>se dejó de considerar el testimonio de Manu</w:t>
      </w:r>
      <w:r w:rsidR="000856E1" w:rsidRPr="009F61AF">
        <w:rPr>
          <w:rFonts w:cs="Arial"/>
        </w:rPr>
        <w:t>e</w:t>
      </w:r>
      <w:r w:rsidRPr="009F61AF">
        <w:rPr>
          <w:rFonts w:cs="Arial"/>
        </w:rPr>
        <w:t xml:space="preserve">l Hernando Canal Rojas, </w:t>
      </w:r>
      <w:r w:rsidR="0023052E" w:rsidRPr="009F61AF">
        <w:rPr>
          <w:rFonts w:cs="Arial"/>
        </w:rPr>
        <w:t xml:space="preserve">en </w:t>
      </w:r>
      <w:r w:rsidRPr="009F61AF">
        <w:rPr>
          <w:rFonts w:cs="Arial"/>
        </w:rPr>
        <w:t xml:space="preserve">el cual </w:t>
      </w:r>
      <w:r w:rsidR="000856E1" w:rsidRPr="009F61AF">
        <w:rPr>
          <w:rFonts w:cs="Arial"/>
        </w:rPr>
        <w:t xml:space="preserve">el testigo </w:t>
      </w:r>
      <w:r w:rsidRPr="009F61AF">
        <w:rPr>
          <w:rFonts w:cs="Arial"/>
        </w:rPr>
        <w:t>indicó que de la existencia de la factura no se p</w:t>
      </w:r>
      <w:r w:rsidR="000856E1" w:rsidRPr="009F61AF">
        <w:rPr>
          <w:rFonts w:cs="Arial"/>
        </w:rPr>
        <w:t xml:space="preserve">odía </w:t>
      </w:r>
      <w:r w:rsidRPr="009F61AF">
        <w:rPr>
          <w:rFonts w:cs="Arial"/>
        </w:rPr>
        <w:t xml:space="preserve">inferir </w:t>
      </w:r>
      <w:r w:rsidR="007A3DBA" w:rsidRPr="009F61AF">
        <w:rPr>
          <w:rFonts w:cs="Arial"/>
        </w:rPr>
        <w:t xml:space="preserve">si </w:t>
      </w:r>
      <w:r w:rsidRPr="009F61AF">
        <w:rPr>
          <w:rFonts w:cs="Arial"/>
        </w:rPr>
        <w:t xml:space="preserve">se prestó </w:t>
      </w:r>
      <w:r w:rsidR="007A3DBA" w:rsidRPr="009F61AF">
        <w:rPr>
          <w:rFonts w:cs="Arial"/>
        </w:rPr>
        <w:t xml:space="preserve">o no </w:t>
      </w:r>
      <w:r w:rsidRPr="009F61AF">
        <w:rPr>
          <w:rFonts w:cs="Arial"/>
        </w:rPr>
        <w:t xml:space="preserve">el servicio. </w:t>
      </w:r>
    </w:p>
    <w:p w14:paraId="27561260" w14:textId="77777777" w:rsidR="00BC7127" w:rsidRPr="009F61AF" w:rsidRDefault="00BC7127" w:rsidP="0081115F">
      <w:pPr>
        <w:pStyle w:val="Continuarlista2"/>
        <w:spacing w:after="0"/>
        <w:ind w:left="0"/>
        <w:rPr>
          <w:rFonts w:cs="Arial"/>
          <w:b/>
        </w:rPr>
      </w:pPr>
    </w:p>
    <w:p w14:paraId="2C0BC06D" w14:textId="77777777" w:rsidR="00BC7127" w:rsidRPr="009F61AF" w:rsidRDefault="00BC7127" w:rsidP="0081115F">
      <w:pPr>
        <w:pStyle w:val="Continuarlista2"/>
        <w:spacing w:after="0"/>
        <w:ind w:left="0"/>
        <w:rPr>
          <w:rFonts w:cs="Arial"/>
        </w:rPr>
      </w:pPr>
      <w:r w:rsidRPr="009F61AF">
        <w:rPr>
          <w:rFonts w:cs="Arial"/>
          <w:b/>
        </w:rPr>
        <w:t>ii)</w:t>
      </w:r>
      <w:r w:rsidRPr="009F61AF">
        <w:rPr>
          <w:rFonts w:cs="Arial"/>
        </w:rPr>
        <w:t xml:space="preserve"> </w:t>
      </w:r>
      <w:r w:rsidR="00D455BA" w:rsidRPr="009F61AF">
        <w:rPr>
          <w:rFonts w:cs="Arial"/>
        </w:rPr>
        <w:t>El Tribunal de Arbitramento d</w:t>
      </w:r>
      <w:r w:rsidRPr="009F61AF">
        <w:rPr>
          <w:rFonts w:cs="Arial"/>
        </w:rPr>
        <w:t>esconoció el artículo 8 de la Ley 153 de 1887, es decir</w:t>
      </w:r>
      <w:r w:rsidR="007A3DBA" w:rsidRPr="009F61AF">
        <w:rPr>
          <w:rFonts w:cs="Arial"/>
        </w:rPr>
        <w:t>,</w:t>
      </w:r>
      <w:r w:rsidRPr="009F61AF">
        <w:rPr>
          <w:rFonts w:cs="Arial"/>
        </w:rPr>
        <w:t xml:space="preserve"> el principio “</w:t>
      </w:r>
      <w:r w:rsidRPr="009F61AF">
        <w:rPr>
          <w:rFonts w:cs="Arial"/>
          <w:i/>
        </w:rPr>
        <w:t>nemo auditur propriam turpitudinem allegans potest”</w:t>
      </w:r>
      <w:r w:rsidRPr="009F61AF">
        <w:rPr>
          <w:rFonts w:cs="Arial"/>
        </w:rPr>
        <w:t xml:space="preserve"> de acuerdo con el cual no se debe escuchar a quien alega en su favor su propia culpa. Explicó que se demostró en el proceso que FUNDASUPERIOR pidió la liberación de los saldos del contrato por su no ejecución, en cuatro oportunidades</w:t>
      </w:r>
      <w:r w:rsidR="007A3DBA" w:rsidRPr="009F61AF">
        <w:rPr>
          <w:rFonts w:cs="Arial"/>
        </w:rPr>
        <w:t>,</w:t>
      </w:r>
      <w:r w:rsidRPr="009F61AF">
        <w:rPr>
          <w:rFonts w:cs="Arial"/>
        </w:rPr>
        <w:t xml:space="preserve"> y sin embargo reclamó el pago materia de la demanda, circunstancia </w:t>
      </w:r>
      <w:r w:rsidR="000856E1" w:rsidRPr="009F61AF">
        <w:rPr>
          <w:rFonts w:cs="Arial"/>
        </w:rPr>
        <w:t xml:space="preserve">que -según </w:t>
      </w:r>
      <w:r w:rsidR="00FE1021" w:rsidRPr="009F61AF">
        <w:rPr>
          <w:rFonts w:cs="Arial"/>
        </w:rPr>
        <w:t xml:space="preserve">la </w:t>
      </w:r>
      <w:r w:rsidR="007A3DBA" w:rsidRPr="009F61AF">
        <w:rPr>
          <w:rFonts w:cs="Arial"/>
        </w:rPr>
        <w:t xml:space="preserve">parte </w:t>
      </w:r>
      <w:r w:rsidR="00FE1021" w:rsidRPr="009F61AF">
        <w:rPr>
          <w:rFonts w:cs="Arial"/>
        </w:rPr>
        <w:t xml:space="preserve">demandada </w:t>
      </w:r>
      <w:r w:rsidR="000856E1" w:rsidRPr="009F61AF">
        <w:rPr>
          <w:rFonts w:cs="Arial"/>
        </w:rPr>
        <w:t xml:space="preserve">- </w:t>
      </w:r>
      <w:r w:rsidRPr="009F61AF">
        <w:rPr>
          <w:rFonts w:cs="Arial"/>
        </w:rPr>
        <w:t xml:space="preserve">no le mereció al Tribunal </w:t>
      </w:r>
      <w:r w:rsidR="00217457" w:rsidRPr="009F61AF">
        <w:rPr>
          <w:rFonts w:cs="Arial"/>
        </w:rPr>
        <w:t xml:space="preserve">de Arbitramento </w:t>
      </w:r>
      <w:r w:rsidRPr="009F61AF">
        <w:rPr>
          <w:rFonts w:cs="Arial"/>
        </w:rPr>
        <w:t>ningún análisis</w:t>
      </w:r>
      <w:r w:rsidR="00217457" w:rsidRPr="009F61AF">
        <w:rPr>
          <w:rFonts w:cs="Arial"/>
        </w:rPr>
        <w:t>.</w:t>
      </w:r>
      <w:r w:rsidRPr="009F61AF">
        <w:rPr>
          <w:rFonts w:cs="Arial"/>
        </w:rPr>
        <w:t xml:space="preserve"> </w:t>
      </w:r>
    </w:p>
    <w:p w14:paraId="59E1CE04" w14:textId="77777777" w:rsidR="00BC7127" w:rsidRPr="009F61AF" w:rsidRDefault="00BC7127" w:rsidP="0081115F">
      <w:pPr>
        <w:pStyle w:val="Continuarlista2"/>
        <w:spacing w:after="0"/>
        <w:ind w:left="0"/>
        <w:rPr>
          <w:rFonts w:cs="Arial"/>
        </w:rPr>
      </w:pPr>
    </w:p>
    <w:p w14:paraId="46A9670A" w14:textId="77777777" w:rsidR="00BC7127" w:rsidRPr="009F61AF" w:rsidRDefault="00BC7127" w:rsidP="0081115F">
      <w:pPr>
        <w:pStyle w:val="Continuarlista2"/>
        <w:spacing w:after="0"/>
        <w:ind w:left="0"/>
        <w:rPr>
          <w:rFonts w:cs="Arial"/>
        </w:rPr>
      </w:pPr>
      <w:r w:rsidRPr="009F61AF">
        <w:rPr>
          <w:rFonts w:cs="Arial"/>
          <w:b/>
        </w:rPr>
        <w:t>iii)</w:t>
      </w:r>
      <w:r w:rsidRPr="009F61AF">
        <w:rPr>
          <w:rFonts w:cs="Arial"/>
        </w:rPr>
        <w:t xml:space="preserve"> </w:t>
      </w:r>
      <w:r w:rsidR="00217457" w:rsidRPr="009F61AF">
        <w:rPr>
          <w:rFonts w:cs="Arial"/>
        </w:rPr>
        <w:t xml:space="preserve">El Tribunal de </w:t>
      </w:r>
      <w:r w:rsidR="00431999" w:rsidRPr="009F61AF">
        <w:rPr>
          <w:rFonts w:cs="Arial"/>
        </w:rPr>
        <w:t>A</w:t>
      </w:r>
      <w:r w:rsidR="00217457" w:rsidRPr="009F61AF">
        <w:rPr>
          <w:rFonts w:cs="Arial"/>
        </w:rPr>
        <w:t xml:space="preserve">rbitramento </w:t>
      </w:r>
      <w:r w:rsidRPr="009F61AF">
        <w:rPr>
          <w:rFonts w:cs="Arial"/>
        </w:rPr>
        <w:t>se apartó de las reglas probatorias que indican que lo que las partes aleguen en la etapa de conciliación no puede tenerse como prueba</w:t>
      </w:r>
      <w:r w:rsidR="00220F45" w:rsidRPr="009F61AF">
        <w:rPr>
          <w:rFonts w:cs="Arial"/>
        </w:rPr>
        <w:t xml:space="preserve">. Explicó que el Tribunal de Arbitramento </w:t>
      </w:r>
      <w:r w:rsidRPr="009F61AF">
        <w:rPr>
          <w:rFonts w:cs="Arial"/>
        </w:rPr>
        <w:t xml:space="preserve">se apoyó en el testimonio de Maria Pía Castro </w:t>
      </w:r>
      <w:r w:rsidR="0023052E" w:rsidRPr="009F61AF">
        <w:rPr>
          <w:rFonts w:cs="Arial"/>
        </w:rPr>
        <w:t>rendido dentro del proceso</w:t>
      </w:r>
      <w:r w:rsidR="007A3DBA" w:rsidRPr="009F61AF">
        <w:rPr>
          <w:rFonts w:cs="Arial"/>
        </w:rPr>
        <w:t>,</w:t>
      </w:r>
      <w:r w:rsidR="004F5B55" w:rsidRPr="009F61AF">
        <w:rPr>
          <w:rFonts w:cs="Arial"/>
        </w:rPr>
        <w:t xml:space="preserve"> en el cual la testigo</w:t>
      </w:r>
      <w:r w:rsidR="0023052E" w:rsidRPr="009F61AF">
        <w:rPr>
          <w:rFonts w:cs="Arial"/>
        </w:rPr>
        <w:t xml:space="preserve"> mencionó </w:t>
      </w:r>
      <w:r w:rsidRPr="009F61AF">
        <w:rPr>
          <w:rFonts w:cs="Arial"/>
        </w:rPr>
        <w:t xml:space="preserve">un documento que </w:t>
      </w:r>
      <w:r w:rsidRPr="009F61AF">
        <w:rPr>
          <w:rFonts w:cs="Arial"/>
        </w:rPr>
        <w:lastRenderedPageBreak/>
        <w:t xml:space="preserve">habría llegado a su oficina con ocasión del trámite de la conciliación prejudicial, sobre el </w:t>
      </w:r>
      <w:r w:rsidR="0044366F" w:rsidRPr="009F61AF">
        <w:rPr>
          <w:rFonts w:cs="Arial"/>
        </w:rPr>
        <w:t xml:space="preserve">que </w:t>
      </w:r>
      <w:r w:rsidR="00217457" w:rsidRPr="009F61AF">
        <w:rPr>
          <w:rFonts w:cs="Arial"/>
        </w:rPr>
        <w:t xml:space="preserve">se fundó el laudo, pese a que </w:t>
      </w:r>
      <w:r w:rsidR="00265CF5" w:rsidRPr="009F61AF">
        <w:rPr>
          <w:rFonts w:cs="Arial"/>
        </w:rPr>
        <w:t xml:space="preserve">era </w:t>
      </w:r>
      <w:r w:rsidR="00704773" w:rsidRPr="009F61AF">
        <w:rPr>
          <w:rFonts w:cs="Arial"/>
        </w:rPr>
        <w:t xml:space="preserve">un </w:t>
      </w:r>
      <w:r w:rsidR="00265CF5" w:rsidRPr="009F61AF">
        <w:rPr>
          <w:rFonts w:cs="Arial"/>
        </w:rPr>
        <w:t xml:space="preserve">documento </w:t>
      </w:r>
      <w:r w:rsidRPr="009F61AF">
        <w:rPr>
          <w:rFonts w:cs="Arial"/>
        </w:rPr>
        <w:t>apócrifo</w:t>
      </w:r>
      <w:r w:rsidR="00704773" w:rsidRPr="009F61AF">
        <w:rPr>
          <w:rFonts w:cs="Arial"/>
        </w:rPr>
        <w:t xml:space="preserve"> </w:t>
      </w:r>
      <w:r w:rsidR="00220F45" w:rsidRPr="009F61AF">
        <w:rPr>
          <w:rFonts w:cs="Arial"/>
        </w:rPr>
        <w:t>-</w:t>
      </w:r>
      <w:r w:rsidR="00704773" w:rsidRPr="009F61AF">
        <w:rPr>
          <w:rFonts w:cs="Arial"/>
        </w:rPr>
        <w:t xml:space="preserve">a juicio de la </w:t>
      </w:r>
      <w:r w:rsidR="00220F45" w:rsidRPr="009F61AF">
        <w:rPr>
          <w:rFonts w:cs="Arial"/>
        </w:rPr>
        <w:t xml:space="preserve">parte </w:t>
      </w:r>
      <w:r w:rsidR="00A1573A" w:rsidRPr="009F61AF">
        <w:rPr>
          <w:rFonts w:cs="Arial"/>
        </w:rPr>
        <w:t>demandada</w:t>
      </w:r>
      <w:r w:rsidR="00220F45" w:rsidRPr="009F61AF">
        <w:rPr>
          <w:rFonts w:cs="Arial"/>
        </w:rPr>
        <w:t>-</w:t>
      </w:r>
      <w:r w:rsidR="00704773" w:rsidRPr="009F61AF">
        <w:rPr>
          <w:rFonts w:cs="Arial"/>
        </w:rPr>
        <w:t xml:space="preserve"> y que en </w:t>
      </w:r>
      <w:r w:rsidRPr="009F61AF">
        <w:rPr>
          <w:rFonts w:cs="Arial"/>
        </w:rPr>
        <w:t xml:space="preserve">todo caso no podía obtener mérito probatorio, de acuerdo con el artículo 52 de la Ley 1395 de 2010. </w:t>
      </w:r>
    </w:p>
    <w:p w14:paraId="6BE2C093" w14:textId="77777777" w:rsidR="00BC7127" w:rsidRPr="009F61AF" w:rsidRDefault="00BC7127" w:rsidP="0081115F">
      <w:pPr>
        <w:pStyle w:val="Continuarlista2"/>
        <w:spacing w:after="0"/>
        <w:ind w:left="0"/>
        <w:rPr>
          <w:rFonts w:cs="Arial"/>
        </w:rPr>
      </w:pPr>
    </w:p>
    <w:p w14:paraId="7502AE5A" w14:textId="77777777" w:rsidR="00BF50E0" w:rsidRPr="009F61AF" w:rsidRDefault="00BF50E0" w:rsidP="0081115F">
      <w:pPr>
        <w:pStyle w:val="Continuarlista2"/>
        <w:spacing w:after="0"/>
        <w:ind w:left="0"/>
        <w:rPr>
          <w:rFonts w:cs="Arial"/>
          <w:b/>
        </w:rPr>
      </w:pPr>
      <w:r w:rsidRPr="009F61AF">
        <w:rPr>
          <w:rFonts w:cs="Arial"/>
          <w:b/>
        </w:rPr>
        <w:t>4. Trámite procesal del recurso de a</w:t>
      </w:r>
      <w:r w:rsidR="00FD5646" w:rsidRPr="009F61AF">
        <w:rPr>
          <w:rFonts w:cs="Arial"/>
          <w:b/>
        </w:rPr>
        <w:t>nulación</w:t>
      </w:r>
    </w:p>
    <w:p w14:paraId="02E7A2B8" w14:textId="77777777" w:rsidR="00BF50E0" w:rsidRPr="009F61AF" w:rsidRDefault="00BF50E0" w:rsidP="0081115F">
      <w:pPr>
        <w:pStyle w:val="Continuarlista2"/>
        <w:spacing w:after="0"/>
        <w:ind w:left="0"/>
        <w:rPr>
          <w:rFonts w:cs="Arial"/>
        </w:rPr>
      </w:pPr>
    </w:p>
    <w:p w14:paraId="0B5A0F3D" w14:textId="77777777" w:rsidR="00BF50E0" w:rsidRPr="009F61AF" w:rsidRDefault="00EF04CD" w:rsidP="0081115F">
      <w:pPr>
        <w:pStyle w:val="Continuarlista2"/>
        <w:spacing w:after="0"/>
        <w:ind w:left="0"/>
        <w:rPr>
          <w:rFonts w:cs="Arial"/>
        </w:rPr>
      </w:pPr>
      <w:r w:rsidRPr="009F61AF">
        <w:rPr>
          <w:rFonts w:cs="Arial"/>
        </w:rPr>
        <w:t>FUNDASUPERIOR dio contestación al recurso extraordinario de anulación, mediante escrito radicado ante el Tribunal de Arbitramento</w:t>
      </w:r>
      <w:r w:rsidR="00BF50E0" w:rsidRPr="009F61AF">
        <w:rPr>
          <w:rFonts w:cs="Arial"/>
        </w:rPr>
        <w:t>. R</w:t>
      </w:r>
      <w:r w:rsidRPr="009F61AF">
        <w:rPr>
          <w:rFonts w:cs="Arial"/>
        </w:rPr>
        <w:t>echazó enfáticamente las afirmaciones del ICBF en relación con la</w:t>
      </w:r>
      <w:r w:rsidR="00217457" w:rsidRPr="009F61AF">
        <w:rPr>
          <w:rFonts w:cs="Arial"/>
        </w:rPr>
        <w:t xml:space="preserve">s </w:t>
      </w:r>
      <w:r w:rsidR="00442A07" w:rsidRPr="009F61AF">
        <w:rPr>
          <w:rFonts w:cs="Arial"/>
        </w:rPr>
        <w:t xml:space="preserve">supuestas </w:t>
      </w:r>
      <w:r w:rsidR="00217457" w:rsidRPr="009F61AF">
        <w:rPr>
          <w:rFonts w:cs="Arial"/>
        </w:rPr>
        <w:t xml:space="preserve">irregularidades en la </w:t>
      </w:r>
      <w:r w:rsidR="00442A07" w:rsidRPr="009F61AF">
        <w:rPr>
          <w:rFonts w:cs="Arial"/>
        </w:rPr>
        <w:t xml:space="preserve">forma como se allegó la </w:t>
      </w:r>
      <w:r w:rsidR="00D35D08" w:rsidRPr="009F61AF">
        <w:rPr>
          <w:rFonts w:cs="Arial"/>
        </w:rPr>
        <w:t xml:space="preserve">demanda </w:t>
      </w:r>
      <w:r w:rsidR="00217457" w:rsidRPr="009F61AF">
        <w:rPr>
          <w:rFonts w:cs="Arial"/>
        </w:rPr>
        <w:t xml:space="preserve">en el trámite arbitral </w:t>
      </w:r>
      <w:r w:rsidR="00D35D08" w:rsidRPr="009F61AF">
        <w:rPr>
          <w:rFonts w:cs="Arial"/>
        </w:rPr>
        <w:t xml:space="preserve">y dio contestación a los cargos de la siguiente manera: </w:t>
      </w:r>
    </w:p>
    <w:p w14:paraId="190758F4" w14:textId="77777777" w:rsidR="00BF50E0" w:rsidRPr="009F61AF" w:rsidRDefault="00BF50E0" w:rsidP="0081115F">
      <w:pPr>
        <w:pStyle w:val="Continuarlista2"/>
        <w:spacing w:after="0"/>
        <w:ind w:left="0"/>
        <w:rPr>
          <w:rFonts w:cs="Arial"/>
          <w:b/>
        </w:rPr>
      </w:pPr>
    </w:p>
    <w:p w14:paraId="49EC3F2E" w14:textId="77777777" w:rsidR="00265CF5" w:rsidRPr="009F61AF" w:rsidRDefault="00BF50E0" w:rsidP="0081115F">
      <w:pPr>
        <w:pStyle w:val="Continuarlista2"/>
        <w:spacing w:after="0"/>
        <w:ind w:left="0"/>
        <w:rPr>
          <w:rFonts w:cs="Arial"/>
        </w:rPr>
      </w:pPr>
      <w:r w:rsidRPr="009F61AF">
        <w:rPr>
          <w:rFonts w:cs="Arial"/>
          <w:b/>
        </w:rPr>
        <w:t>i</w:t>
      </w:r>
      <w:r w:rsidR="00D35D08" w:rsidRPr="009F61AF">
        <w:rPr>
          <w:rFonts w:cs="Arial"/>
          <w:b/>
        </w:rPr>
        <w:t>)</w:t>
      </w:r>
      <w:r w:rsidR="00D35D08" w:rsidRPr="009F61AF">
        <w:rPr>
          <w:rFonts w:cs="Arial"/>
        </w:rPr>
        <w:t xml:space="preserve"> </w:t>
      </w:r>
      <w:r w:rsidR="00FF0C54" w:rsidRPr="009F61AF">
        <w:rPr>
          <w:rFonts w:cs="Arial"/>
        </w:rPr>
        <w:t>Jamás la demanda se salió de la jurisdicción o del procedimiento: l</w:t>
      </w:r>
      <w:r w:rsidR="00D35D08" w:rsidRPr="009F61AF">
        <w:rPr>
          <w:rFonts w:cs="Arial"/>
        </w:rPr>
        <w:t xml:space="preserve">a demanda se presentó en Pereira ante la Jurisdicción de lo Contencioso Administrativo </w:t>
      </w:r>
      <w:r w:rsidR="00FF0C54" w:rsidRPr="009F61AF">
        <w:rPr>
          <w:rFonts w:cs="Arial"/>
        </w:rPr>
        <w:t>y fue el Juez del conocimiento quien la remitió directamente a la Cámara de Comercio</w:t>
      </w:r>
      <w:r w:rsidR="00442A07" w:rsidRPr="009F61AF">
        <w:rPr>
          <w:rFonts w:cs="Arial"/>
        </w:rPr>
        <w:t xml:space="preserve"> de Bogotá</w:t>
      </w:r>
      <w:r w:rsidR="00FF0C54" w:rsidRPr="009F61AF">
        <w:rPr>
          <w:rFonts w:cs="Arial"/>
        </w:rPr>
        <w:t xml:space="preserve">. Además </w:t>
      </w:r>
      <w:r w:rsidR="00442A07" w:rsidRPr="009F61AF">
        <w:rPr>
          <w:rFonts w:cs="Arial"/>
        </w:rPr>
        <w:t xml:space="preserve">previamente </w:t>
      </w:r>
      <w:r w:rsidR="00FF0C54" w:rsidRPr="009F61AF">
        <w:rPr>
          <w:rFonts w:cs="Arial"/>
        </w:rPr>
        <w:t xml:space="preserve">se surtió el trámite de conciliación prejudicial que interrumpió el término de </w:t>
      </w:r>
      <w:r w:rsidR="00442A07" w:rsidRPr="009F61AF">
        <w:rPr>
          <w:rFonts w:cs="Arial"/>
        </w:rPr>
        <w:t xml:space="preserve">la </w:t>
      </w:r>
      <w:r w:rsidR="00FF0C54" w:rsidRPr="009F61AF">
        <w:rPr>
          <w:rFonts w:cs="Arial"/>
        </w:rPr>
        <w:t>caducidad</w:t>
      </w:r>
      <w:r w:rsidR="00442A07" w:rsidRPr="009F61AF">
        <w:rPr>
          <w:rFonts w:cs="Arial"/>
        </w:rPr>
        <w:t xml:space="preserve"> de la acción</w:t>
      </w:r>
      <w:r w:rsidR="00FF0C54" w:rsidRPr="009F61AF">
        <w:rPr>
          <w:rFonts w:cs="Arial"/>
        </w:rPr>
        <w:t xml:space="preserve">. </w:t>
      </w:r>
      <w:r w:rsidR="006E50DA" w:rsidRPr="009F61AF">
        <w:rPr>
          <w:rFonts w:cs="Arial"/>
        </w:rPr>
        <w:t>Finalmente reiteró el cómputo de los términos</w:t>
      </w:r>
      <w:r w:rsidR="00D04F5B" w:rsidRPr="009F61AF">
        <w:rPr>
          <w:rFonts w:cs="Arial"/>
        </w:rPr>
        <w:t xml:space="preserve"> </w:t>
      </w:r>
      <w:r w:rsidR="00265CF5" w:rsidRPr="009F61AF">
        <w:rPr>
          <w:rFonts w:cs="Arial"/>
        </w:rPr>
        <w:t>que expresó al descorrer el traslado de excepciones dentro del trámite arbitral y afirmó que la demanda se presentó dentro de los dos años que establece el artículo 164 del C.P.A.C.A.</w:t>
      </w:r>
    </w:p>
    <w:p w14:paraId="07409B4C" w14:textId="77777777" w:rsidR="00EF3E00" w:rsidRPr="009F61AF" w:rsidRDefault="00265CF5" w:rsidP="0081115F">
      <w:pPr>
        <w:pStyle w:val="Continuarlista2"/>
        <w:spacing w:after="0"/>
        <w:ind w:left="0"/>
        <w:rPr>
          <w:rFonts w:cs="Arial"/>
        </w:rPr>
      </w:pPr>
      <w:r w:rsidRPr="009F61AF">
        <w:rPr>
          <w:rFonts w:cs="Arial"/>
        </w:rPr>
        <w:t xml:space="preserve"> </w:t>
      </w:r>
    </w:p>
    <w:p w14:paraId="54926AA8" w14:textId="77777777" w:rsidR="007F3F65" w:rsidRPr="009F61AF" w:rsidRDefault="006E50DA" w:rsidP="0081115F">
      <w:pPr>
        <w:pStyle w:val="Continuarlista2"/>
        <w:spacing w:after="0"/>
        <w:ind w:left="0"/>
        <w:rPr>
          <w:rFonts w:cs="Arial"/>
        </w:rPr>
      </w:pPr>
      <w:r w:rsidRPr="009F61AF">
        <w:rPr>
          <w:rFonts w:cs="Arial"/>
          <w:b/>
        </w:rPr>
        <w:t>ii)</w:t>
      </w:r>
      <w:r w:rsidRPr="009F61AF">
        <w:rPr>
          <w:rFonts w:cs="Arial"/>
        </w:rPr>
        <w:t xml:space="preserve"> </w:t>
      </w:r>
      <w:r w:rsidR="007F3F65" w:rsidRPr="009F61AF">
        <w:rPr>
          <w:rFonts w:cs="Arial"/>
        </w:rPr>
        <w:t xml:space="preserve">FUNDASUPERIOR observó que de acuerdo con </w:t>
      </w:r>
      <w:r w:rsidR="00BB0B44" w:rsidRPr="009F61AF">
        <w:rPr>
          <w:rFonts w:cs="Arial"/>
        </w:rPr>
        <w:t xml:space="preserve">los informes de interventoría, </w:t>
      </w:r>
      <w:r w:rsidR="0044366F" w:rsidRPr="009F61AF">
        <w:rPr>
          <w:rFonts w:cs="Arial"/>
        </w:rPr>
        <w:t>d</w:t>
      </w:r>
      <w:r w:rsidR="00BB0B44" w:rsidRPr="009F61AF">
        <w:rPr>
          <w:rFonts w:cs="Arial"/>
        </w:rPr>
        <w:t xml:space="preserve">el acta del comité de conciliación y </w:t>
      </w:r>
      <w:r w:rsidR="0044366F" w:rsidRPr="009F61AF">
        <w:rPr>
          <w:rFonts w:cs="Arial"/>
        </w:rPr>
        <w:t xml:space="preserve">de </w:t>
      </w:r>
      <w:r w:rsidR="00BB0B44" w:rsidRPr="009F61AF">
        <w:rPr>
          <w:rFonts w:cs="Arial"/>
        </w:rPr>
        <w:t>los testimonios practicado</w:t>
      </w:r>
      <w:r w:rsidR="007F3F65" w:rsidRPr="009F61AF">
        <w:rPr>
          <w:rFonts w:cs="Arial"/>
        </w:rPr>
        <w:t>s</w:t>
      </w:r>
      <w:r w:rsidR="00BB0B44" w:rsidRPr="009F61AF">
        <w:rPr>
          <w:rFonts w:cs="Arial"/>
        </w:rPr>
        <w:t xml:space="preserve"> en el </w:t>
      </w:r>
      <w:r w:rsidR="007F3F65" w:rsidRPr="009F61AF">
        <w:rPr>
          <w:rFonts w:cs="Arial"/>
        </w:rPr>
        <w:t xml:space="preserve">procedimiento arbitral, se puede </w:t>
      </w:r>
      <w:r w:rsidR="00BB0B44" w:rsidRPr="009F61AF">
        <w:rPr>
          <w:rFonts w:cs="Arial"/>
        </w:rPr>
        <w:t xml:space="preserve">evidenciar que el laudo además de ser en derecho, </w:t>
      </w:r>
      <w:r w:rsidR="007F3F65" w:rsidRPr="009F61AF">
        <w:rPr>
          <w:rFonts w:cs="Arial"/>
        </w:rPr>
        <w:t xml:space="preserve">fue </w:t>
      </w:r>
      <w:r w:rsidR="007F3F65" w:rsidRPr="009F61AF">
        <w:rPr>
          <w:rFonts w:cs="Arial"/>
          <w:i/>
        </w:rPr>
        <w:t>“</w:t>
      </w:r>
      <w:r w:rsidR="00BB0B44" w:rsidRPr="009F61AF">
        <w:rPr>
          <w:rFonts w:cs="Arial"/>
          <w:i/>
        </w:rPr>
        <w:t>en VERDAD</w:t>
      </w:r>
      <w:r w:rsidR="007F3F65" w:rsidRPr="009F61AF">
        <w:rPr>
          <w:rFonts w:cs="Arial"/>
          <w:i/>
        </w:rPr>
        <w:t>”</w:t>
      </w:r>
      <w:r w:rsidR="00BB0B44" w:rsidRPr="009F61AF">
        <w:rPr>
          <w:rFonts w:cs="Arial"/>
          <w:i/>
        </w:rPr>
        <w:t>.</w:t>
      </w:r>
    </w:p>
    <w:p w14:paraId="101283C7" w14:textId="77777777" w:rsidR="007F3F65" w:rsidRPr="009F61AF" w:rsidRDefault="007F3F65" w:rsidP="0081115F">
      <w:pPr>
        <w:pStyle w:val="Continuarlista2"/>
        <w:spacing w:after="0"/>
        <w:ind w:left="0"/>
        <w:rPr>
          <w:rFonts w:cs="Arial"/>
        </w:rPr>
      </w:pPr>
    </w:p>
    <w:p w14:paraId="31562D7B" w14:textId="77777777" w:rsidR="0064049B" w:rsidRPr="009F61AF" w:rsidRDefault="007F3F65" w:rsidP="0081115F">
      <w:pPr>
        <w:pStyle w:val="Continuarlista2"/>
        <w:spacing w:after="0"/>
        <w:ind w:left="0"/>
        <w:rPr>
          <w:rFonts w:cs="Arial"/>
        </w:rPr>
      </w:pPr>
      <w:r w:rsidRPr="009F61AF">
        <w:rPr>
          <w:rFonts w:cs="Arial"/>
        </w:rPr>
        <w:t>Remitido el expediente al Consejo de Estado</w:t>
      </w:r>
      <w:r w:rsidR="00442A07" w:rsidRPr="009F61AF">
        <w:rPr>
          <w:rFonts w:cs="Arial"/>
        </w:rPr>
        <w:t xml:space="preserve"> para efecto de dar trámite al recurso </w:t>
      </w:r>
      <w:r w:rsidR="0064049B" w:rsidRPr="009F61AF">
        <w:rPr>
          <w:rFonts w:cs="Arial"/>
        </w:rPr>
        <w:t xml:space="preserve">extraordinario </w:t>
      </w:r>
      <w:r w:rsidR="00442A07" w:rsidRPr="009F61AF">
        <w:rPr>
          <w:rFonts w:cs="Arial"/>
        </w:rPr>
        <w:t>de anulación contra el laudo arbitral impugnado por el ICBF</w:t>
      </w:r>
      <w:r w:rsidR="00D13632" w:rsidRPr="009F61AF">
        <w:rPr>
          <w:rFonts w:cs="Arial"/>
        </w:rPr>
        <w:t xml:space="preserve">, mediante auto de 7 de </w:t>
      </w:r>
      <w:r w:rsidR="0064049B" w:rsidRPr="009F61AF">
        <w:rPr>
          <w:rFonts w:cs="Arial"/>
        </w:rPr>
        <w:t xml:space="preserve">octubre </w:t>
      </w:r>
      <w:r w:rsidR="00D13632" w:rsidRPr="009F61AF">
        <w:rPr>
          <w:rFonts w:cs="Arial"/>
        </w:rPr>
        <w:t>de 2015 el Consejero Ponente admitió el recurso</w:t>
      </w:r>
      <w:r w:rsidR="004A5226" w:rsidRPr="009F61AF">
        <w:rPr>
          <w:rFonts w:cs="Arial"/>
        </w:rPr>
        <w:t>,</w:t>
      </w:r>
      <w:r w:rsidR="00D13632" w:rsidRPr="009F61AF">
        <w:rPr>
          <w:rFonts w:cs="Arial"/>
        </w:rPr>
        <w:t xml:space="preserve"> suspendió la ejecución del laudo arbitral</w:t>
      </w:r>
      <w:r w:rsidR="00C94D73" w:rsidRPr="009F61AF">
        <w:rPr>
          <w:rFonts w:cs="Arial"/>
        </w:rPr>
        <w:t xml:space="preserve">, </w:t>
      </w:r>
      <w:r w:rsidR="004A5226" w:rsidRPr="009F61AF">
        <w:rPr>
          <w:rFonts w:cs="Arial"/>
        </w:rPr>
        <w:t>ordenó notificar al Ministerio Público y poner en conocimiento del trámite a la Agencia Nacional de Defensa Jurídica del Estado</w:t>
      </w:r>
      <w:r w:rsidR="004A5226" w:rsidRPr="009F61AF">
        <w:rPr>
          <w:rStyle w:val="Refdenotaalpie"/>
          <w:rFonts w:cs="Arial"/>
        </w:rPr>
        <w:footnoteReference w:id="8"/>
      </w:r>
      <w:r w:rsidR="004A5226" w:rsidRPr="009F61AF">
        <w:rPr>
          <w:rFonts w:cs="Arial"/>
        </w:rPr>
        <w:t xml:space="preserve">. </w:t>
      </w:r>
      <w:r w:rsidR="00C210C0" w:rsidRPr="009F61AF">
        <w:rPr>
          <w:rFonts w:cs="Arial"/>
        </w:rPr>
        <w:t xml:space="preserve">De </w:t>
      </w:r>
      <w:r w:rsidR="00EF3E00" w:rsidRPr="009F61AF">
        <w:rPr>
          <w:rFonts w:cs="Arial"/>
        </w:rPr>
        <w:t xml:space="preserve">acuerdo </w:t>
      </w:r>
      <w:r w:rsidR="00C210C0" w:rsidRPr="009F61AF">
        <w:rPr>
          <w:rFonts w:cs="Arial"/>
        </w:rPr>
        <w:t xml:space="preserve">con el informe secretarial, se procedió de conformidad. </w:t>
      </w:r>
    </w:p>
    <w:p w14:paraId="521B8666" w14:textId="77777777" w:rsidR="0064049B" w:rsidRPr="009F61AF" w:rsidRDefault="0064049B" w:rsidP="0081115F">
      <w:pPr>
        <w:pStyle w:val="Continuarlista2"/>
        <w:spacing w:after="0"/>
        <w:ind w:left="0"/>
        <w:rPr>
          <w:rFonts w:cs="Arial"/>
        </w:rPr>
      </w:pPr>
    </w:p>
    <w:p w14:paraId="04FFD22C" w14:textId="77777777" w:rsidR="0035360E" w:rsidRPr="009F61AF" w:rsidRDefault="00C210C0" w:rsidP="0081115F">
      <w:pPr>
        <w:pStyle w:val="Continuarlista2"/>
        <w:spacing w:after="0"/>
        <w:ind w:left="0"/>
        <w:rPr>
          <w:rFonts w:cs="Arial"/>
        </w:rPr>
      </w:pPr>
      <w:r w:rsidRPr="009F61AF">
        <w:rPr>
          <w:rFonts w:cs="Arial"/>
        </w:rPr>
        <w:lastRenderedPageBreak/>
        <w:t xml:space="preserve">El </w:t>
      </w:r>
      <w:r w:rsidR="0035360E" w:rsidRPr="009F61AF">
        <w:rPr>
          <w:rFonts w:cs="Arial"/>
        </w:rPr>
        <w:t>M</w:t>
      </w:r>
      <w:r w:rsidRPr="009F61AF">
        <w:rPr>
          <w:rFonts w:cs="Arial"/>
        </w:rPr>
        <w:t>inisterio Públic</w:t>
      </w:r>
      <w:r w:rsidR="0035360E" w:rsidRPr="009F61AF">
        <w:rPr>
          <w:rFonts w:cs="Arial"/>
        </w:rPr>
        <w:t xml:space="preserve">o y la Agencia Nacional de Defensa Jurídica guardaron silencio en su oportunidad. </w:t>
      </w:r>
    </w:p>
    <w:p w14:paraId="652E90AA" w14:textId="77777777" w:rsidR="0035360E" w:rsidRPr="009F61AF" w:rsidRDefault="006A28A0" w:rsidP="0081115F">
      <w:pPr>
        <w:pStyle w:val="NormalWeb"/>
        <w:shd w:val="clear" w:color="auto" w:fill="FFFFFF"/>
        <w:spacing w:before="0" w:beforeAutospacing="0" w:after="0" w:afterAutospacing="0"/>
        <w:jc w:val="center"/>
        <w:rPr>
          <w:rFonts w:cs="Arial"/>
          <w:b/>
        </w:rPr>
      </w:pPr>
      <w:r w:rsidRPr="009F61AF">
        <w:rPr>
          <w:rFonts w:cs="Arial"/>
          <w:b/>
        </w:rPr>
        <w:t>II</w:t>
      </w:r>
      <w:r w:rsidR="00EF3E00" w:rsidRPr="009F61AF">
        <w:rPr>
          <w:rFonts w:cs="Arial"/>
          <w:b/>
        </w:rPr>
        <w:t>.- C O N S I D E R A C I O N E S</w:t>
      </w:r>
    </w:p>
    <w:p w14:paraId="4670A9D1" w14:textId="77777777" w:rsidR="00E56D9F" w:rsidRPr="009F61AF" w:rsidRDefault="00E56D9F" w:rsidP="0081115F">
      <w:pPr>
        <w:pStyle w:val="Continuarlista2"/>
        <w:spacing w:after="0"/>
        <w:ind w:left="0"/>
        <w:rPr>
          <w:rFonts w:cs="Arial"/>
        </w:rPr>
      </w:pPr>
    </w:p>
    <w:p w14:paraId="6B2F8B84" w14:textId="77777777" w:rsidR="003669A7" w:rsidRPr="009F61AF" w:rsidRDefault="003669A7" w:rsidP="0081115F">
      <w:pPr>
        <w:pStyle w:val="Continuarlista2"/>
        <w:spacing w:after="0"/>
        <w:ind w:left="0"/>
        <w:rPr>
          <w:rFonts w:cs="Arial"/>
          <w:b/>
        </w:rPr>
      </w:pPr>
      <w:r w:rsidRPr="009F61AF">
        <w:rPr>
          <w:rFonts w:cs="Arial"/>
          <w:b/>
        </w:rPr>
        <w:t xml:space="preserve">1. </w:t>
      </w:r>
      <w:r w:rsidR="00493361" w:rsidRPr="009F61AF">
        <w:rPr>
          <w:rFonts w:cs="Arial"/>
          <w:b/>
        </w:rPr>
        <w:t>La C</w:t>
      </w:r>
      <w:r w:rsidRPr="009F61AF">
        <w:rPr>
          <w:rFonts w:cs="Arial"/>
          <w:b/>
        </w:rPr>
        <w:t>aducidad de la acción</w:t>
      </w:r>
      <w:r w:rsidR="00493361" w:rsidRPr="009F61AF">
        <w:rPr>
          <w:rFonts w:cs="Arial"/>
          <w:b/>
        </w:rPr>
        <w:t xml:space="preserve"> es c</w:t>
      </w:r>
      <w:r w:rsidRPr="009F61AF">
        <w:rPr>
          <w:rFonts w:cs="Arial"/>
          <w:b/>
        </w:rPr>
        <w:t xml:space="preserve">ausal de anulación del laudo </w:t>
      </w:r>
      <w:r w:rsidR="00327C7F" w:rsidRPr="009F61AF">
        <w:rPr>
          <w:rFonts w:cs="Arial"/>
          <w:b/>
        </w:rPr>
        <w:t>arbitral</w:t>
      </w:r>
    </w:p>
    <w:p w14:paraId="1A0849EE" w14:textId="77777777" w:rsidR="00C53215" w:rsidRPr="009F61AF" w:rsidRDefault="00C53215" w:rsidP="0081115F">
      <w:pPr>
        <w:pStyle w:val="NormalWeb"/>
        <w:shd w:val="clear" w:color="auto" w:fill="FFFFFF"/>
        <w:spacing w:before="0" w:beforeAutospacing="0" w:after="0" w:afterAutospacing="0"/>
        <w:rPr>
          <w:rFonts w:cs="Arial"/>
        </w:rPr>
      </w:pPr>
      <w:r w:rsidRPr="009F61AF">
        <w:rPr>
          <w:rFonts w:cs="Arial"/>
        </w:rPr>
        <w:t xml:space="preserve">La caducidad de la acción es una de las causales que en forma taxativa ha sido prevista por el estatuto de arbitraje contenido en la Ley 1563 de 2012, para fundar la anulación del Laudo Arbitral, así: </w:t>
      </w:r>
    </w:p>
    <w:p w14:paraId="4B08F66B" w14:textId="77777777" w:rsidR="00C53215" w:rsidRPr="009F61AF" w:rsidRDefault="00C53215" w:rsidP="0081115F">
      <w:pPr>
        <w:pStyle w:val="NormalWeb"/>
        <w:shd w:val="clear" w:color="auto" w:fill="FFFFFF"/>
        <w:spacing w:before="0" w:beforeAutospacing="0" w:after="0" w:afterAutospacing="0" w:line="276" w:lineRule="auto"/>
        <w:rPr>
          <w:rFonts w:cs="Arial"/>
          <w:i/>
          <w:color w:val="000000"/>
        </w:rPr>
      </w:pPr>
      <w:r w:rsidRPr="009F61AF">
        <w:rPr>
          <w:rFonts w:cs="Arial"/>
          <w:bCs/>
          <w:i/>
          <w:color w:val="000000"/>
        </w:rPr>
        <w:t>“Artículo</w:t>
      </w:r>
      <w:bookmarkStart w:id="1" w:name="41.N.1"/>
      <w:r w:rsidRPr="009F61AF">
        <w:rPr>
          <w:rFonts w:cs="Arial"/>
          <w:bCs/>
          <w:i/>
          <w:color w:val="000000"/>
        </w:rPr>
        <w:t> </w:t>
      </w:r>
      <w:bookmarkEnd w:id="1"/>
      <w:r w:rsidRPr="009F61AF">
        <w:rPr>
          <w:rStyle w:val="apple-converted-space"/>
          <w:rFonts w:cs="Arial"/>
          <w:bCs/>
          <w:i/>
          <w:color w:val="000000"/>
        </w:rPr>
        <w:t> </w:t>
      </w:r>
      <w:r w:rsidRPr="009F61AF">
        <w:rPr>
          <w:rFonts w:cs="Arial"/>
          <w:bCs/>
          <w:i/>
          <w:color w:val="000000"/>
        </w:rPr>
        <w:t>41.</w:t>
      </w:r>
      <w:r w:rsidRPr="009F61AF">
        <w:rPr>
          <w:rStyle w:val="apple-converted-space"/>
          <w:rFonts w:cs="Arial"/>
          <w:bCs/>
          <w:i/>
          <w:color w:val="000000"/>
        </w:rPr>
        <w:t> </w:t>
      </w:r>
      <w:r w:rsidRPr="009F61AF">
        <w:rPr>
          <w:rFonts w:cs="Arial"/>
          <w:bCs/>
          <w:i/>
          <w:iCs/>
          <w:color w:val="000000"/>
        </w:rPr>
        <w:t>Causales del recurso de anulación</w:t>
      </w:r>
      <w:r w:rsidRPr="009F61AF">
        <w:rPr>
          <w:rFonts w:cs="Arial"/>
          <w:i/>
          <w:iCs/>
          <w:color w:val="000000"/>
        </w:rPr>
        <w:t>.</w:t>
      </w:r>
      <w:r w:rsidRPr="009F61AF">
        <w:rPr>
          <w:rStyle w:val="apple-converted-space"/>
          <w:rFonts w:cs="Arial"/>
          <w:i/>
          <w:iCs/>
          <w:color w:val="000000"/>
        </w:rPr>
        <w:t> </w:t>
      </w:r>
      <w:r w:rsidRPr="009F61AF">
        <w:rPr>
          <w:rFonts w:cs="Arial"/>
          <w:i/>
          <w:color w:val="000000"/>
        </w:rPr>
        <w:t>Son causales del recurso de anulación:</w:t>
      </w:r>
    </w:p>
    <w:p w14:paraId="31E2413C" w14:textId="77777777" w:rsidR="00C53215" w:rsidRPr="009F61AF" w:rsidRDefault="0044366F" w:rsidP="0081115F">
      <w:pPr>
        <w:pStyle w:val="NormalWeb"/>
        <w:shd w:val="clear" w:color="auto" w:fill="FFFFFF"/>
        <w:spacing w:before="0" w:beforeAutospacing="0" w:after="0" w:afterAutospacing="0" w:line="276" w:lineRule="auto"/>
        <w:rPr>
          <w:rFonts w:cs="Arial"/>
          <w:i/>
          <w:color w:val="000000"/>
        </w:rPr>
      </w:pPr>
      <w:r w:rsidRPr="009F61AF">
        <w:rPr>
          <w:rFonts w:cs="Arial"/>
          <w:i/>
          <w:color w:val="000000"/>
        </w:rPr>
        <w:t>“</w:t>
      </w:r>
      <w:r w:rsidR="00C53215" w:rsidRPr="009F61AF">
        <w:rPr>
          <w:rFonts w:cs="Arial"/>
          <w:i/>
          <w:color w:val="000000"/>
        </w:rPr>
        <w:t>(…)</w:t>
      </w:r>
    </w:p>
    <w:p w14:paraId="4FED76E2" w14:textId="77777777" w:rsidR="00C53215" w:rsidRPr="009F61AF" w:rsidRDefault="0044366F" w:rsidP="0081115F">
      <w:pPr>
        <w:pStyle w:val="NormalWeb"/>
        <w:shd w:val="clear" w:color="auto" w:fill="FFFFFF"/>
        <w:spacing w:before="0" w:beforeAutospacing="0" w:after="0" w:afterAutospacing="0" w:line="276" w:lineRule="auto"/>
        <w:rPr>
          <w:rFonts w:cs="Arial"/>
          <w:i/>
          <w:color w:val="000000"/>
        </w:rPr>
      </w:pPr>
      <w:r w:rsidRPr="009F61AF">
        <w:rPr>
          <w:rFonts w:cs="Arial"/>
          <w:i/>
          <w:color w:val="000000"/>
        </w:rPr>
        <w:t>“</w:t>
      </w:r>
      <w:r w:rsidR="00C53215" w:rsidRPr="009F61AF">
        <w:rPr>
          <w:rFonts w:cs="Arial"/>
          <w:i/>
          <w:color w:val="000000"/>
        </w:rPr>
        <w:t>2. La caducidad de la acción, la falta de jurisdicción o de competencia.</w:t>
      </w:r>
    </w:p>
    <w:p w14:paraId="63F69F01" w14:textId="77777777" w:rsidR="00C53215" w:rsidRPr="009F61AF" w:rsidRDefault="0044366F" w:rsidP="0081115F">
      <w:pPr>
        <w:pStyle w:val="NormalWeb"/>
        <w:shd w:val="clear" w:color="auto" w:fill="FFFFFF"/>
        <w:spacing w:before="0" w:beforeAutospacing="0" w:after="0" w:afterAutospacing="0" w:line="276" w:lineRule="auto"/>
        <w:rPr>
          <w:rFonts w:cs="Arial"/>
          <w:i/>
          <w:color w:val="000000"/>
        </w:rPr>
      </w:pPr>
      <w:r w:rsidRPr="009F61AF">
        <w:rPr>
          <w:rFonts w:cs="Arial"/>
          <w:i/>
          <w:color w:val="000000"/>
        </w:rPr>
        <w:t>“</w:t>
      </w:r>
      <w:r w:rsidR="00C53215" w:rsidRPr="009F61AF">
        <w:rPr>
          <w:rFonts w:cs="Arial"/>
          <w:i/>
          <w:color w:val="000000"/>
        </w:rPr>
        <w:t xml:space="preserve">(…) </w:t>
      </w:r>
    </w:p>
    <w:p w14:paraId="073EE094" w14:textId="77777777" w:rsidR="00C53215" w:rsidRPr="009F61AF" w:rsidRDefault="0044366F" w:rsidP="0081115F">
      <w:pPr>
        <w:pStyle w:val="NormalWeb"/>
        <w:shd w:val="clear" w:color="auto" w:fill="FFFFFF"/>
        <w:spacing w:before="0" w:beforeAutospacing="0" w:after="0" w:afterAutospacing="0" w:line="276" w:lineRule="auto"/>
        <w:rPr>
          <w:rFonts w:cs="Arial"/>
          <w:i/>
          <w:color w:val="000000"/>
        </w:rPr>
      </w:pPr>
      <w:r w:rsidRPr="009F61AF">
        <w:rPr>
          <w:rFonts w:cs="Arial"/>
          <w:i/>
          <w:color w:val="000000"/>
        </w:rPr>
        <w:t>“</w:t>
      </w:r>
      <w:r w:rsidR="00C53215" w:rsidRPr="009F61AF">
        <w:rPr>
          <w:rFonts w:cs="Arial"/>
          <w:i/>
          <w:color w:val="000000"/>
        </w:rPr>
        <w:t>Las causales 1, 2 y 3 sólo podrán invocarse si el recurrente hizo valer los motivos constitutivos de ellas mediante recurso de reposición contra el auto de asunción de competencia”.</w:t>
      </w:r>
    </w:p>
    <w:p w14:paraId="123A40DF" w14:textId="77777777" w:rsidR="00C53215" w:rsidRPr="009F61AF" w:rsidRDefault="00C53215" w:rsidP="0081115F">
      <w:pPr>
        <w:pStyle w:val="Continuarlista2"/>
        <w:spacing w:after="0"/>
        <w:ind w:left="0"/>
        <w:rPr>
          <w:rFonts w:cs="Arial"/>
        </w:rPr>
      </w:pPr>
    </w:p>
    <w:p w14:paraId="5FD759D7" w14:textId="77777777" w:rsidR="00E35F0A" w:rsidRPr="009F61AF" w:rsidRDefault="00C53215" w:rsidP="0081115F">
      <w:pPr>
        <w:pStyle w:val="Continuarlista2"/>
        <w:spacing w:after="0"/>
        <w:ind w:left="0"/>
        <w:rPr>
          <w:rFonts w:cs="Arial"/>
        </w:rPr>
      </w:pPr>
      <w:r w:rsidRPr="009F61AF">
        <w:rPr>
          <w:rFonts w:cs="Arial"/>
        </w:rPr>
        <w:t xml:space="preserve">Con anterioridad a la expedición de la Ley 1563 de 2012 no se contemplaba en forma específica la causal de anulación del laudo arbitral por razón de la caducidad de la acción, no obstante se desarrolló con fundamento en las causales </w:t>
      </w:r>
      <w:r w:rsidR="001B5E90" w:rsidRPr="009F61AF">
        <w:rPr>
          <w:rFonts w:cs="Arial"/>
        </w:rPr>
        <w:t xml:space="preserve">consagradas en los </w:t>
      </w:r>
      <w:r w:rsidR="0044366F" w:rsidRPr="009F61AF">
        <w:rPr>
          <w:rFonts w:cs="Arial"/>
        </w:rPr>
        <w:t xml:space="preserve">ordinales </w:t>
      </w:r>
      <w:r w:rsidRPr="009F61AF">
        <w:rPr>
          <w:rFonts w:cs="Arial"/>
        </w:rPr>
        <w:t>8º y 9</w:t>
      </w:r>
      <w:r w:rsidR="0044366F" w:rsidRPr="009F61AF">
        <w:rPr>
          <w:rFonts w:cs="Arial"/>
        </w:rPr>
        <w:t xml:space="preserve">º </w:t>
      </w:r>
      <w:r w:rsidRPr="009F61AF">
        <w:rPr>
          <w:rFonts w:cs="Arial"/>
        </w:rPr>
        <w:t>del artículo 163 del Decreto 1818 de 1998</w:t>
      </w:r>
      <w:r w:rsidRPr="009F61AF">
        <w:rPr>
          <w:rStyle w:val="Refdenotaalpie"/>
          <w:rFonts w:cs="Arial"/>
        </w:rPr>
        <w:footnoteReference w:id="9"/>
      </w:r>
      <w:r w:rsidRPr="009F61AF">
        <w:rPr>
          <w:rFonts w:cs="Arial"/>
        </w:rPr>
        <w:t xml:space="preserve">, en aquellos casos en los que se consideró </w:t>
      </w:r>
      <w:r w:rsidR="00E35F0A" w:rsidRPr="009F61AF">
        <w:rPr>
          <w:rFonts w:cs="Arial"/>
        </w:rPr>
        <w:t xml:space="preserve">ubicada </w:t>
      </w:r>
      <w:r w:rsidRPr="009F61AF">
        <w:rPr>
          <w:rFonts w:cs="Arial"/>
        </w:rPr>
        <w:t xml:space="preserve">dentro del contexto de la </w:t>
      </w:r>
      <w:r w:rsidR="00E531B5" w:rsidRPr="009F61AF">
        <w:rPr>
          <w:rFonts w:cs="Arial"/>
        </w:rPr>
        <w:t xml:space="preserve">falta de </w:t>
      </w:r>
      <w:r w:rsidRPr="009F61AF">
        <w:rPr>
          <w:rFonts w:cs="Arial"/>
        </w:rPr>
        <w:t>competencia del Tribunal de Arbitramento</w:t>
      </w:r>
      <w:r w:rsidR="00E35F0A" w:rsidRPr="009F61AF">
        <w:rPr>
          <w:rFonts w:cs="Arial"/>
        </w:rPr>
        <w:t>.</w:t>
      </w:r>
    </w:p>
    <w:p w14:paraId="639E7B19" w14:textId="77777777" w:rsidR="00E35F0A" w:rsidRPr="009F61AF" w:rsidRDefault="00E35F0A" w:rsidP="0081115F">
      <w:pPr>
        <w:pStyle w:val="Continuarlista2"/>
        <w:spacing w:after="0"/>
        <w:ind w:left="0"/>
        <w:rPr>
          <w:rFonts w:cs="Arial"/>
        </w:rPr>
      </w:pPr>
    </w:p>
    <w:p w14:paraId="51E560CC" w14:textId="77777777" w:rsidR="00C53215" w:rsidRPr="009F61AF" w:rsidRDefault="00704773" w:rsidP="0081115F">
      <w:pPr>
        <w:pStyle w:val="Continuarlista2"/>
        <w:spacing w:after="0"/>
        <w:ind w:left="0"/>
        <w:rPr>
          <w:rFonts w:cs="Arial"/>
        </w:rPr>
      </w:pPr>
      <w:r w:rsidRPr="009F61AF">
        <w:rPr>
          <w:rFonts w:cs="Arial"/>
        </w:rPr>
        <w:t>L</w:t>
      </w:r>
      <w:r w:rsidR="00C53215" w:rsidRPr="009F61AF">
        <w:rPr>
          <w:rFonts w:cs="Arial"/>
        </w:rPr>
        <w:t xml:space="preserve">a operancia de la caducidad </w:t>
      </w:r>
      <w:r w:rsidRPr="009F61AF">
        <w:rPr>
          <w:rFonts w:cs="Arial"/>
        </w:rPr>
        <w:t xml:space="preserve">de la acción constituye </w:t>
      </w:r>
      <w:r w:rsidR="00C53215" w:rsidRPr="009F61AF">
        <w:rPr>
          <w:rFonts w:cs="Arial"/>
        </w:rPr>
        <w:t xml:space="preserve">un obstáculo legal infranqueable en virtud del cual </w:t>
      </w:r>
      <w:r w:rsidRPr="009F61AF">
        <w:rPr>
          <w:rFonts w:cs="Arial"/>
        </w:rPr>
        <w:t xml:space="preserve">por el hecho de la no presentación de la demanda en el lapso fijado por la ley, se extingue el derecho a incoar la acción </w:t>
      </w:r>
      <w:r w:rsidR="00C53215" w:rsidRPr="009F61AF">
        <w:rPr>
          <w:rFonts w:cs="Arial"/>
        </w:rPr>
        <w:t xml:space="preserve">y por ende se inhibe la potestad </w:t>
      </w:r>
      <w:r w:rsidRPr="009F61AF">
        <w:rPr>
          <w:rFonts w:cs="Arial"/>
        </w:rPr>
        <w:t xml:space="preserve">para administrar justicia </w:t>
      </w:r>
      <w:r w:rsidR="00C53215" w:rsidRPr="009F61AF">
        <w:rPr>
          <w:rFonts w:cs="Arial"/>
        </w:rPr>
        <w:t>(</w:t>
      </w:r>
      <w:r w:rsidR="00DA7259" w:rsidRPr="009F61AF">
        <w:rPr>
          <w:rFonts w:cs="Arial"/>
        </w:rPr>
        <w:t xml:space="preserve">bien sea </w:t>
      </w:r>
      <w:r w:rsidRPr="009F61AF">
        <w:rPr>
          <w:rFonts w:cs="Arial"/>
        </w:rPr>
        <w:t xml:space="preserve">en la jurisdicción arbitral </w:t>
      </w:r>
      <w:r w:rsidR="00C53215" w:rsidRPr="009F61AF">
        <w:rPr>
          <w:rFonts w:cs="Arial"/>
        </w:rPr>
        <w:t xml:space="preserve">o </w:t>
      </w:r>
      <w:r w:rsidRPr="009F61AF">
        <w:rPr>
          <w:rFonts w:cs="Arial"/>
        </w:rPr>
        <w:t xml:space="preserve">en la </w:t>
      </w:r>
      <w:r w:rsidR="00F36C73" w:rsidRPr="009F61AF">
        <w:rPr>
          <w:rFonts w:cs="Arial"/>
        </w:rPr>
        <w:t>que naturalmente correspondería en caso de no existir la cláusula compromisoria) y p</w:t>
      </w:r>
      <w:r w:rsidR="009F14B4" w:rsidRPr="009F61AF">
        <w:rPr>
          <w:rFonts w:cs="Arial"/>
        </w:rPr>
        <w:t>or</w:t>
      </w:r>
      <w:r w:rsidR="00C53215" w:rsidRPr="009F61AF">
        <w:rPr>
          <w:rFonts w:cs="Arial"/>
        </w:rPr>
        <w:t xml:space="preserve"> </w:t>
      </w:r>
      <w:r w:rsidR="00F36C73" w:rsidRPr="009F61AF">
        <w:rPr>
          <w:rFonts w:cs="Arial"/>
        </w:rPr>
        <w:t xml:space="preserve">tanto para </w:t>
      </w:r>
      <w:r w:rsidR="00C53215" w:rsidRPr="009F61AF">
        <w:rPr>
          <w:rFonts w:cs="Arial"/>
        </w:rPr>
        <w:t xml:space="preserve">desatar </w:t>
      </w:r>
      <w:r w:rsidR="00F36C73" w:rsidRPr="009F61AF">
        <w:rPr>
          <w:rFonts w:cs="Arial"/>
        </w:rPr>
        <w:t xml:space="preserve">el fondo de </w:t>
      </w:r>
      <w:r w:rsidR="00C53215" w:rsidRPr="009F61AF">
        <w:rPr>
          <w:rFonts w:cs="Arial"/>
        </w:rPr>
        <w:t xml:space="preserve">la controversia. </w:t>
      </w:r>
    </w:p>
    <w:p w14:paraId="67BF4F78" w14:textId="77777777" w:rsidR="00C53215" w:rsidRPr="009F61AF" w:rsidRDefault="00C53215" w:rsidP="0081115F">
      <w:pPr>
        <w:pStyle w:val="Continuarlista2"/>
        <w:spacing w:after="0"/>
        <w:ind w:left="0"/>
        <w:rPr>
          <w:rFonts w:cs="Arial"/>
        </w:rPr>
      </w:pPr>
    </w:p>
    <w:p w14:paraId="315894DF" w14:textId="77777777" w:rsidR="00C53215" w:rsidRPr="009F61AF" w:rsidRDefault="00C53215" w:rsidP="0081115F">
      <w:pPr>
        <w:pStyle w:val="Continuarlista2"/>
        <w:spacing w:after="0"/>
        <w:ind w:left="0"/>
        <w:rPr>
          <w:rFonts w:cs="Arial"/>
        </w:rPr>
      </w:pPr>
      <w:r w:rsidRPr="009F61AF">
        <w:rPr>
          <w:rFonts w:cs="Arial"/>
        </w:rPr>
        <w:t xml:space="preserve">En vigencia de la Ley 1563 de 2012 la tipificación de la caducidad de la acción como causa idónea para fundar la nulidad del laudo arbitral no reviste discusión, </w:t>
      </w:r>
      <w:r w:rsidR="00E35F0A" w:rsidRPr="009F61AF">
        <w:rPr>
          <w:rFonts w:cs="Arial"/>
        </w:rPr>
        <w:t xml:space="preserve">-como </w:t>
      </w:r>
      <w:r w:rsidR="00E35F0A" w:rsidRPr="009F61AF">
        <w:rPr>
          <w:rFonts w:cs="Arial"/>
        </w:rPr>
        <w:lastRenderedPageBreak/>
        <w:t xml:space="preserve">tampoco se presentó en este proceso- </w:t>
      </w:r>
      <w:r w:rsidRPr="009F61AF">
        <w:rPr>
          <w:rFonts w:cs="Arial"/>
        </w:rPr>
        <w:t>toda vez que a la luz del nuevo estatuto de arbitraje fue expresamente contemplada en la ley, en la causal 2º del artículo 41</w:t>
      </w:r>
      <w:r w:rsidRPr="009F61AF">
        <w:rPr>
          <w:rStyle w:val="Refdenotaalpie"/>
          <w:rFonts w:cs="Arial"/>
        </w:rPr>
        <w:footnoteReference w:id="10"/>
      </w:r>
      <w:r w:rsidR="00D74D17" w:rsidRPr="009F61AF">
        <w:rPr>
          <w:rFonts w:cs="Arial"/>
        </w:rPr>
        <w:t>.</w:t>
      </w:r>
    </w:p>
    <w:p w14:paraId="2E540688" w14:textId="77777777" w:rsidR="00C53215" w:rsidRPr="009F61AF" w:rsidRDefault="00C53215" w:rsidP="0081115F">
      <w:pPr>
        <w:pStyle w:val="Continuarlista2"/>
        <w:spacing w:after="0"/>
        <w:ind w:left="0"/>
        <w:rPr>
          <w:rFonts w:cs="Arial"/>
        </w:rPr>
      </w:pPr>
    </w:p>
    <w:p w14:paraId="688B48E0" w14:textId="77777777" w:rsidR="00C53215" w:rsidRPr="009F61AF" w:rsidRDefault="00C53215" w:rsidP="0081115F">
      <w:pPr>
        <w:pStyle w:val="Continuarlista2"/>
        <w:spacing w:after="0"/>
        <w:ind w:left="0"/>
        <w:rPr>
          <w:rFonts w:cs="Arial"/>
          <w:i/>
        </w:rPr>
      </w:pPr>
      <w:r w:rsidRPr="009F61AF">
        <w:rPr>
          <w:rFonts w:cs="Arial"/>
        </w:rPr>
        <w:t>Es importante precisar que siguiendo los dictados del citado artículo 41 de la Ley 1563 de 2012, la procedencia de la caducidad de la acción como causal del recurso de anulación del laudo arbitral está sometida a la condición de haber sido alegada por el demandado previamente dentro del proceso arbitral, “</w:t>
      </w:r>
      <w:r w:rsidRPr="009F61AF">
        <w:rPr>
          <w:rFonts w:cs="Arial"/>
          <w:i/>
          <w:color w:val="000000"/>
        </w:rPr>
        <w:t>mediante recurso de reposición contra el auto de asunción de competencia”</w:t>
      </w:r>
      <w:r w:rsidRPr="009F61AF">
        <w:rPr>
          <w:rFonts w:cs="Arial"/>
          <w:i/>
        </w:rPr>
        <w:t xml:space="preserve">. </w:t>
      </w:r>
    </w:p>
    <w:p w14:paraId="42779F6D" w14:textId="77777777" w:rsidR="003669A7" w:rsidRPr="009F61AF" w:rsidRDefault="003669A7" w:rsidP="0081115F">
      <w:pPr>
        <w:pStyle w:val="Continuarlista2"/>
        <w:spacing w:after="0"/>
        <w:ind w:left="0"/>
        <w:rPr>
          <w:rFonts w:cs="Arial"/>
        </w:rPr>
      </w:pPr>
    </w:p>
    <w:p w14:paraId="022C0194" w14:textId="77777777" w:rsidR="00E56D9F" w:rsidRPr="009F61AF" w:rsidRDefault="00E56D9F" w:rsidP="0081115F">
      <w:pPr>
        <w:pStyle w:val="Continuarlista2"/>
        <w:spacing w:after="0"/>
        <w:ind w:left="0"/>
        <w:rPr>
          <w:rFonts w:cs="Arial"/>
        </w:rPr>
      </w:pPr>
      <w:r w:rsidRPr="009F61AF">
        <w:rPr>
          <w:rFonts w:cs="Arial"/>
        </w:rPr>
        <w:t>Mucho se ha escrito sobre el origen y la naturaleza de la caducidad de la acción, el alcance del concepto y sus diferencias con la prescripción</w:t>
      </w:r>
      <w:r w:rsidRPr="009F61AF">
        <w:rPr>
          <w:rStyle w:val="Refdenotaalpie"/>
          <w:rFonts w:cs="Arial"/>
        </w:rPr>
        <w:footnoteReference w:id="11"/>
      </w:r>
      <w:r w:rsidRPr="009F61AF">
        <w:rPr>
          <w:rFonts w:cs="Arial"/>
        </w:rPr>
        <w:t xml:space="preserve">, empero en este caso concreto se debe acotar el asunto materia del debate al aspecto del cómputo del término de la caducidad, puesto que a ello se refirió la causal invocada por la parte </w:t>
      </w:r>
      <w:r w:rsidR="00A1573A" w:rsidRPr="009F61AF">
        <w:rPr>
          <w:rFonts w:cs="Arial"/>
        </w:rPr>
        <w:t>demandada</w:t>
      </w:r>
      <w:r w:rsidRPr="009F61AF">
        <w:rPr>
          <w:rFonts w:cs="Arial"/>
        </w:rPr>
        <w:t xml:space="preserve"> en el presente recurso.</w:t>
      </w:r>
    </w:p>
    <w:p w14:paraId="6D452A3C" w14:textId="77777777" w:rsidR="00E56D9F" w:rsidRPr="009F61AF" w:rsidRDefault="00E56D9F" w:rsidP="0081115F">
      <w:pPr>
        <w:pStyle w:val="Continuarlista2"/>
        <w:spacing w:after="0"/>
        <w:ind w:left="0"/>
        <w:rPr>
          <w:rFonts w:cs="Arial"/>
        </w:rPr>
      </w:pPr>
    </w:p>
    <w:p w14:paraId="117224BB" w14:textId="77777777" w:rsidR="00E56D9F" w:rsidRPr="009F61AF" w:rsidRDefault="00E56D9F" w:rsidP="0081115F">
      <w:pPr>
        <w:pStyle w:val="Continuarlista2"/>
        <w:spacing w:after="0"/>
        <w:ind w:left="0"/>
        <w:rPr>
          <w:rFonts w:cs="Arial"/>
        </w:rPr>
      </w:pPr>
      <w:r w:rsidRPr="009F61AF">
        <w:rPr>
          <w:rFonts w:cs="Arial"/>
        </w:rPr>
        <w:t xml:space="preserve">Se puntualiza que en tratándose del contrato estatal las reglas de la caducidad de la acción ante la jurisdicción arbitral, son las mismas que rigen la </w:t>
      </w:r>
      <w:r w:rsidRPr="009F61AF">
        <w:rPr>
          <w:rFonts w:cs="Arial"/>
          <w:i/>
        </w:rPr>
        <w:t>“oportunidad para presentar la demanda”</w:t>
      </w:r>
      <w:r w:rsidRPr="009F61AF">
        <w:rPr>
          <w:rFonts w:cs="Arial"/>
        </w:rPr>
        <w:t xml:space="preserve"> en el procedimiento judicial ante la Jurisdicción de lo Contencioso Administrativo y se encuentran previstas para cada uno de los “</w:t>
      </w:r>
      <w:r w:rsidRPr="009F61AF">
        <w:rPr>
          <w:rFonts w:cs="Arial"/>
          <w:i/>
        </w:rPr>
        <w:t>medios de control”</w:t>
      </w:r>
      <w:r w:rsidRPr="009F61AF">
        <w:rPr>
          <w:rStyle w:val="Refdenotaalpie"/>
          <w:rFonts w:cs="Arial"/>
        </w:rPr>
        <w:footnoteReference w:id="12"/>
      </w:r>
      <w:r w:rsidRPr="009F61AF">
        <w:rPr>
          <w:rFonts w:cs="Arial"/>
        </w:rPr>
        <w:t xml:space="preserve"> establecidos en el Código de Procedimiento Administrativo y de lo Contencioso Administrativo (C.P.A.C.A) contenido en la Ley 1437 de 2011 que entró en vigencia el 2 de julio de 2012</w:t>
      </w:r>
      <w:r w:rsidR="00B74C1E" w:rsidRPr="009F61AF">
        <w:rPr>
          <w:rFonts w:cs="Arial"/>
        </w:rPr>
        <w:t>, con anterioridad a la presentación de la demanda en el presente caso</w:t>
      </w:r>
      <w:r w:rsidR="00CA41E4" w:rsidRPr="009F61AF">
        <w:rPr>
          <w:rStyle w:val="Refdenotaalpie"/>
          <w:rFonts w:cs="Arial"/>
        </w:rPr>
        <w:footnoteReference w:id="13"/>
      </w:r>
      <w:r w:rsidR="009F14B4" w:rsidRPr="009F61AF">
        <w:rPr>
          <w:rFonts w:cs="Arial"/>
        </w:rPr>
        <w:t>.</w:t>
      </w:r>
      <w:r w:rsidRPr="009F61AF">
        <w:rPr>
          <w:rFonts w:cs="Arial"/>
        </w:rPr>
        <w:t xml:space="preserve"> </w:t>
      </w:r>
    </w:p>
    <w:p w14:paraId="62F7D7BF" w14:textId="77777777" w:rsidR="00E52A37" w:rsidRPr="009F61AF" w:rsidRDefault="00E52A37" w:rsidP="0081115F">
      <w:pPr>
        <w:pStyle w:val="Continuarlista2"/>
        <w:spacing w:after="0"/>
        <w:ind w:left="0"/>
        <w:rPr>
          <w:rFonts w:cs="Arial"/>
        </w:rPr>
      </w:pPr>
    </w:p>
    <w:p w14:paraId="591CB4F8" w14:textId="77777777" w:rsidR="00E75662" w:rsidRPr="009F61AF" w:rsidRDefault="00E52A37" w:rsidP="0081115F">
      <w:pPr>
        <w:pStyle w:val="Continuarlista2"/>
        <w:spacing w:after="0"/>
        <w:ind w:left="0"/>
        <w:rPr>
          <w:rFonts w:cs="Arial"/>
        </w:rPr>
      </w:pPr>
      <w:r w:rsidRPr="009F61AF">
        <w:rPr>
          <w:rFonts w:cs="Arial"/>
        </w:rPr>
        <w:t xml:space="preserve">Por último, se debe tener claro que la </w:t>
      </w:r>
      <w:r w:rsidR="0026337E" w:rsidRPr="009F61AF">
        <w:rPr>
          <w:rFonts w:cs="Arial"/>
        </w:rPr>
        <w:t xml:space="preserve">oportunidad en la presentación de la demanda </w:t>
      </w:r>
      <w:r w:rsidR="00DA7E56" w:rsidRPr="009F61AF">
        <w:rPr>
          <w:rFonts w:cs="Arial"/>
        </w:rPr>
        <w:t>-</w:t>
      </w:r>
      <w:r w:rsidR="0026337E" w:rsidRPr="009F61AF">
        <w:rPr>
          <w:rFonts w:cs="Arial"/>
        </w:rPr>
        <w:t>y por ende la no o</w:t>
      </w:r>
      <w:r w:rsidR="00DA7E56" w:rsidRPr="009F61AF">
        <w:rPr>
          <w:rFonts w:cs="Arial"/>
        </w:rPr>
        <w:t xml:space="preserve">currencia </w:t>
      </w:r>
      <w:r w:rsidR="0026337E" w:rsidRPr="009F61AF">
        <w:rPr>
          <w:rFonts w:cs="Arial"/>
        </w:rPr>
        <w:t xml:space="preserve">a de la </w:t>
      </w:r>
      <w:r w:rsidRPr="009F61AF">
        <w:rPr>
          <w:rFonts w:cs="Arial"/>
        </w:rPr>
        <w:t xml:space="preserve">caducidad </w:t>
      </w:r>
      <w:r w:rsidR="00DA7E56" w:rsidRPr="009F61AF">
        <w:rPr>
          <w:rFonts w:cs="Arial"/>
        </w:rPr>
        <w:t xml:space="preserve">de la acción-, </w:t>
      </w:r>
      <w:r w:rsidRPr="009F61AF">
        <w:rPr>
          <w:rFonts w:cs="Arial"/>
        </w:rPr>
        <w:t>hace parte de los presupuestos procesales de la acción</w:t>
      </w:r>
      <w:r w:rsidR="0026337E" w:rsidRPr="009F61AF">
        <w:rPr>
          <w:rFonts w:cs="Arial"/>
        </w:rPr>
        <w:t xml:space="preserve"> </w:t>
      </w:r>
      <w:r w:rsidR="00DA7E56" w:rsidRPr="009F61AF">
        <w:rPr>
          <w:rFonts w:cs="Arial"/>
        </w:rPr>
        <w:t xml:space="preserve">o medio de control de </w:t>
      </w:r>
      <w:r w:rsidR="0026337E" w:rsidRPr="009F61AF">
        <w:rPr>
          <w:rFonts w:cs="Arial"/>
        </w:rPr>
        <w:t>controversias contractuales</w:t>
      </w:r>
      <w:r w:rsidRPr="009F61AF">
        <w:rPr>
          <w:rFonts w:cs="Arial"/>
        </w:rPr>
        <w:t xml:space="preserve">, con independencia de que el contrato se </w:t>
      </w:r>
      <w:r w:rsidR="0026337E" w:rsidRPr="009F61AF">
        <w:rPr>
          <w:rFonts w:cs="Arial"/>
        </w:rPr>
        <w:t xml:space="preserve">rija por el derecho privado. </w:t>
      </w:r>
      <w:r w:rsidR="00DA7E56" w:rsidRPr="009F61AF">
        <w:rPr>
          <w:rFonts w:cs="Arial"/>
        </w:rPr>
        <w:t xml:space="preserve">Cosa distinta es que en los contratos que se rigen por el derecho privado no aplica el imperativo legal de la liquidación del contrato </w:t>
      </w:r>
      <w:r w:rsidR="00DB4343" w:rsidRPr="009F61AF">
        <w:rPr>
          <w:rFonts w:cs="Arial"/>
        </w:rPr>
        <w:t>ni</w:t>
      </w:r>
      <w:r w:rsidR="00DA7E56" w:rsidRPr="009F61AF">
        <w:rPr>
          <w:rFonts w:cs="Arial"/>
        </w:rPr>
        <w:t xml:space="preserve"> el plazo </w:t>
      </w:r>
      <w:r w:rsidR="00DB4343" w:rsidRPr="009F61AF">
        <w:rPr>
          <w:rFonts w:cs="Arial"/>
        </w:rPr>
        <w:t xml:space="preserve">supletivo </w:t>
      </w:r>
      <w:r w:rsidR="00DA7E56" w:rsidRPr="009F61AF">
        <w:rPr>
          <w:rFonts w:cs="Arial"/>
        </w:rPr>
        <w:t>de</w:t>
      </w:r>
      <w:r w:rsidR="002A0623" w:rsidRPr="009F61AF">
        <w:rPr>
          <w:rFonts w:cs="Arial"/>
        </w:rPr>
        <w:t xml:space="preserve"> </w:t>
      </w:r>
      <w:r w:rsidR="00DB4343" w:rsidRPr="009F61AF">
        <w:rPr>
          <w:rFonts w:cs="Arial"/>
        </w:rPr>
        <w:t xml:space="preserve">cuatro meses establecido para </w:t>
      </w:r>
      <w:r w:rsidR="002A0623" w:rsidRPr="009F61AF">
        <w:rPr>
          <w:rFonts w:cs="Arial"/>
        </w:rPr>
        <w:t xml:space="preserve">la </w:t>
      </w:r>
      <w:r w:rsidR="00F36C73" w:rsidRPr="009F61AF">
        <w:rPr>
          <w:rFonts w:cs="Arial"/>
        </w:rPr>
        <w:t xml:space="preserve">etapa de </w:t>
      </w:r>
      <w:r w:rsidR="002A0623" w:rsidRPr="009F61AF">
        <w:rPr>
          <w:rFonts w:cs="Arial"/>
        </w:rPr>
        <w:t xml:space="preserve">liquidación </w:t>
      </w:r>
      <w:r w:rsidR="00DB4343" w:rsidRPr="009F61AF">
        <w:rPr>
          <w:rFonts w:cs="Arial"/>
        </w:rPr>
        <w:t xml:space="preserve">de acuerdo con </w:t>
      </w:r>
      <w:r w:rsidR="002A0623" w:rsidRPr="009F61AF">
        <w:rPr>
          <w:rFonts w:cs="Arial"/>
        </w:rPr>
        <w:t xml:space="preserve">el </w:t>
      </w:r>
      <w:r w:rsidR="00357776" w:rsidRPr="009F61AF">
        <w:rPr>
          <w:rFonts w:cs="Arial"/>
        </w:rPr>
        <w:t>artículo 60 de la</w:t>
      </w:r>
      <w:r w:rsidR="00DA7E56" w:rsidRPr="009F61AF">
        <w:rPr>
          <w:rFonts w:cs="Arial"/>
        </w:rPr>
        <w:t xml:space="preserve"> Ley 80 de 1993</w:t>
      </w:r>
      <w:r w:rsidR="00DB4343" w:rsidRPr="009F61AF">
        <w:rPr>
          <w:rFonts w:cs="Arial"/>
        </w:rPr>
        <w:t xml:space="preserve"> y el artículo 11 de la ley 1150 de 2007. </w:t>
      </w:r>
    </w:p>
    <w:p w14:paraId="3D576E3A" w14:textId="77777777" w:rsidR="00E75662" w:rsidRPr="009F61AF" w:rsidRDefault="00E75662" w:rsidP="0081115F">
      <w:pPr>
        <w:pStyle w:val="Continuarlista2"/>
        <w:spacing w:after="0"/>
        <w:ind w:left="0"/>
        <w:rPr>
          <w:rFonts w:cs="Arial"/>
        </w:rPr>
      </w:pPr>
    </w:p>
    <w:p w14:paraId="5E2C82A2" w14:textId="77777777" w:rsidR="0001157C" w:rsidRPr="009F61AF" w:rsidRDefault="00DB4343" w:rsidP="0081115F">
      <w:pPr>
        <w:pStyle w:val="Continuarlista2"/>
        <w:spacing w:after="0"/>
        <w:ind w:left="0"/>
        <w:rPr>
          <w:rFonts w:cs="Arial"/>
        </w:rPr>
      </w:pPr>
      <w:r w:rsidRPr="009F61AF">
        <w:rPr>
          <w:rFonts w:cs="Arial"/>
        </w:rPr>
        <w:t>N</w:t>
      </w:r>
      <w:r w:rsidR="00DA7E56" w:rsidRPr="009F61AF">
        <w:rPr>
          <w:rFonts w:cs="Arial"/>
        </w:rPr>
        <w:t xml:space="preserve">o obstante lo </w:t>
      </w:r>
      <w:r w:rsidR="00F36C73" w:rsidRPr="009F61AF">
        <w:rPr>
          <w:rFonts w:cs="Arial"/>
        </w:rPr>
        <w:t xml:space="preserve">anterior, </w:t>
      </w:r>
      <w:r w:rsidR="00E75662" w:rsidRPr="009F61AF">
        <w:rPr>
          <w:rFonts w:cs="Arial"/>
        </w:rPr>
        <w:t xml:space="preserve">observa la Sala que hasta donde puede establecerse del texto del Contrato </w:t>
      </w:r>
      <w:r w:rsidR="00AD76FC" w:rsidRPr="009F61AF">
        <w:rPr>
          <w:rFonts w:cs="Arial"/>
        </w:rPr>
        <w:t>067</w:t>
      </w:r>
      <w:r w:rsidR="00936F01" w:rsidRPr="009F61AF">
        <w:rPr>
          <w:rFonts w:cs="Arial"/>
        </w:rPr>
        <w:t xml:space="preserve">, el mismo </w:t>
      </w:r>
      <w:r w:rsidR="00AD76FC" w:rsidRPr="009F61AF">
        <w:rPr>
          <w:rFonts w:cs="Arial"/>
        </w:rPr>
        <w:t>se celebró bajo las norma</w:t>
      </w:r>
      <w:r w:rsidR="000056C8" w:rsidRPr="009F61AF">
        <w:rPr>
          <w:rFonts w:cs="Arial"/>
        </w:rPr>
        <w:t xml:space="preserve">tiva </w:t>
      </w:r>
      <w:r w:rsidR="00AD76FC" w:rsidRPr="009F61AF">
        <w:rPr>
          <w:rFonts w:cs="Arial"/>
        </w:rPr>
        <w:t xml:space="preserve">del </w:t>
      </w:r>
      <w:r w:rsidR="000056C8" w:rsidRPr="009F61AF">
        <w:rPr>
          <w:rFonts w:cs="Arial"/>
        </w:rPr>
        <w:t xml:space="preserve">artículo </w:t>
      </w:r>
      <w:r w:rsidR="004716E4" w:rsidRPr="009F61AF">
        <w:rPr>
          <w:rFonts w:cs="Arial"/>
        </w:rPr>
        <w:t>21 de la Ley 7 de 1979 y 127 del Decreto Reglamentario 2388 de 1979</w:t>
      </w:r>
      <w:r w:rsidR="007E5832" w:rsidRPr="009F61AF">
        <w:rPr>
          <w:rStyle w:val="Refdenotaalpie"/>
          <w:rFonts w:cs="Arial"/>
        </w:rPr>
        <w:footnoteReference w:id="14"/>
      </w:r>
      <w:r w:rsidR="004716E4" w:rsidRPr="009F61AF">
        <w:rPr>
          <w:rFonts w:cs="Arial"/>
        </w:rPr>
        <w:t xml:space="preserve">, </w:t>
      </w:r>
      <w:r w:rsidR="004500AB" w:rsidRPr="009F61AF">
        <w:rPr>
          <w:rFonts w:cs="Arial"/>
        </w:rPr>
        <w:t>l</w:t>
      </w:r>
      <w:r w:rsidR="00936F01" w:rsidRPr="009F61AF">
        <w:rPr>
          <w:rFonts w:cs="Arial"/>
        </w:rPr>
        <w:t xml:space="preserve">a cual </w:t>
      </w:r>
      <w:r w:rsidR="007931CC" w:rsidRPr="009F61AF">
        <w:rPr>
          <w:rFonts w:cs="Arial"/>
        </w:rPr>
        <w:t xml:space="preserve">regulaba </w:t>
      </w:r>
      <w:r w:rsidR="00936F01" w:rsidRPr="009F61AF">
        <w:rPr>
          <w:rFonts w:cs="Arial"/>
        </w:rPr>
        <w:t xml:space="preserve">la competencia del ICBF para celebrar </w:t>
      </w:r>
      <w:r w:rsidR="007931CC" w:rsidRPr="009F61AF">
        <w:rPr>
          <w:rFonts w:cs="Arial"/>
        </w:rPr>
        <w:t>contrato</w:t>
      </w:r>
      <w:r w:rsidR="00936F01" w:rsidRPr="009F61AF">
        <w:rPr>
          <w:rFonts w:cs="Arial"/>
        </w:rPr>
        <w:t>s</w:t>
      </w:r>
      <w:r w:rsidR="007931CC" w:rsidRPr="009F61AF">
        <w:rPr>
          <w:rFonts w:cs="Arial"/>
        </w:rPr>
        <w:t xml:space="preserve"> de aporte</w:t>
      </w:r>
      <w:r w:rsidR="00CF6834" w:rsidRPr="009F61AF">
        <w:rPr>
          <w:rFonts w:cs="Arial"/>
        </w:rPr>
        <w:t>.</w:t>
      </w:r>
      <w:r w:rsidR="004716E4" w:rsidRPr="009F61AF">
        <w:rPr>
          <w:rFonts w:cs="Arial"/>
        </w:rPr>
        <w:t xml:space="preserve"> Por otra parte se citó el </w:t>
      </w:r>
      <w:r w:rsidR="00AD76FC" w:rsidRPr="009F61AF">
        <w:rPr>
          <w:rFonts w:cs="Arial"/>
        </w:rPr>
        <w:t>Decreto 1137 de 1999</w:t>
      </w:r>
      <w:r w:rsidR="000056C8" w:rsidRPr="009F61AF">
        <w:rPr>
          <w:rStyle w:val="Refdenotaalpie"/>
          <w:rFonts w:cs="Arial"/>
        </w:rPr>
        <w:footnoteReference w:id="15"/>
      </w:r>
      <w:r w:rsidR="00AD76FC" w:rsidRPr="009F61AF">
        <w:rPr>
          <w:rFonts w:cs="Arial"/>
        </w:rPr>
        <w:t>,</w:t>
      </w:r>
      <w:r w:rsidR="00297379" w:rsidRPr="009F61AF">
        <w:rPr>
          <w:rFonts w:cs="Arial"/>
        </w:rPr>
        <w:t xml:space="preserve"> </w:t>
      </w:r>
      <w:r w:rsidR="00AD76FC" w:rsidRPr="009F61AF">
        <w:rPr>
          <w:rFonts w:cs="Arial"/>
        </w:rPr>
        <w:t xml:space="preserve">mediante el cual </w:t>
      </w:r>
      <w:r w:rsidR="004716E4" w:rsidRPr="009F61AF">
        <w:rPr>
          <w:rFonts w:cs="Arial"/>
        </w:rPr>
        <w:t xml:space="preserve">se mencionó que el ICBF podía celebrar </w:t>
      </w:r>
      <w:r w:rsidR="004716E4" w:rsidRPr="009F61AF">
        <w:rPr>
          <w:rFonts w:cs="Arial"/>
        </w:rPr>
        <w:lastRenderedPageBreak/>
        <w:t xml:space="preserve">contratos de aporte </w:t>
      </w:r>
      <w:r w:rsidR="00297379" w:rsidRPr="009F61AF">
        <w:rPr>
          <w:rFonts w:cs="Arial"/>
        </w:rPr>
        <w:t xml:space="preserve">con entidades sin ánimo de lucro con el fin de impulsar </w:t>
      </w:r>
      <w:r w:rsidR="00144B43" w:rsidRPr="009F61AF">
        <w:rPr>
          <w:rFonts w:cs="Arial"/>
        </w:rPr>
        <w:t>p</w:t>
      </w:r>
      <w:r w:rsidR="00297379" w:rsidRPr="009F61AF">
        <w:rPr>
          <w:rFonts w:cs="Arial"/>
        </w:rPr>
        <w:t>rogramas propios de su objeto</w:t>
      </w:r>
      <w:r w:rsidR="00CF6834" w:rsidRPr="009F61AF">
        <w:rPr>
          <w:rFonts w:cs="Arial"/>
        </w:rPr>
        <w:t xml:space="preserve">, no obstante </w:t>
      </w:r>
      <w:r w:rsidR="0001157C" w:rsidRPr="009F61AF">
        <w:rPr>
          <w:rFonts w:cs="Arial"/>
        </w:rPr>
        <w:t xml:space="preserve">lo cual </w:t>
      </w:r>
      <w:r w:rsidR="00CF6834" w:rsidRPr="009F61AF">
        <w:rPr>
          <w:rFonts w:cs="Arial"/>
        </w:rPr>
        <w:t>se hizo constar que el contrato se adjudicó previa convocatoria pública.</w:t>
      </w:r>
      <w:r w:rsidR="00297379" w:rsidRPr="009F61AF">
        <w:rPr>
          <w:rFonts w:cs="Arial"/>
        </w:rPr>
        <w:t xml:space="preserve"> </w:t>
      </w:r>
    </w:p>
    <w:p w14:paraId="6C9C5957" w14:textId="77777777" w:rsidR="00CE10C7" w:rsidRPr="009F61AF" w:rsidRDefault="00CE10C7" w:rsidP="0081115F">
      <w:pPr>
        <w:pStyle w:val="Continuarlista2"/>
        <w:spacing w:after="0"/>
        <w:ind w:left="0"/>
        <w:rPr>
          <w:rFonts w:cs="Arial"/>
        </w:rPr>
      </w:pPr>
    </w:p>
    <w:p w14:paraId="451C4C4D" w14:textId="77777777" w:rsidR="00307465" w:rsidRPr="009F61AF" w:rsidRDefault="00297379" w:rsidP="0081115F">
      <w:pPr>
        <w:pStyle w:val="Continuarlista2"/>
        <w:spacing w:after="0"/>
        <w:ind w:left="0"/>
        <w:rPr>
          <w:rFonts w:cs="Arial"/>
        </w:rPr>
      </w:pPr>
      <w:r w:rsidRPr="009F61AF">
        <w:rPr>
          <w:rFonts w:cs="Arial"/>
        </w:rPr>
        <w:t xml:space="preserve">En parte alguna </w:t>
      </w:r>
      <w:r w:rsidR="0001157C" w:rsidRPr="009F61AF">
        <w:rPr>
          <w:rFonts w:cs="Arial"/>
        </w:rPr>
        <w:t xml:space="preserve">del texto contractual </w:t>
      </w:r>
      <w:r w:rsidRPr="009F61AF">
        <w:rPr>
          <w:rFonts w:cs="Arial"/>
        </w:rPr>
        <w:t xml:space="preserve">se </w:t>
      </w:r>
      <w:r w:rsidR="00182603" w:rsidRPr="009F61AF">
        <w:rPr>
          <w:rFonts w:cs="Arial"/>
        </w:rPr>
        <w:t xml:space="preserve">invocó </w:t>
      </w:r>
      <w:r w:rsidR="001265A3" w:rsidRPr="009F61AF">
        <w:rPr>
          <w:rFonts w:cs="Arial"/>
        </w:rPr>
        <w:t>la normativa</w:t>
      </w:r>
      <w:r w:rsidRPr="009F61AF">
        <w:rPr>
          <w:rFonts w:cs="Arial"/>
        </w:rPr>
        <w:t xml:space="preserve"> del derecho privado</w:t>
      </w:r>
      <w:r w:rsidR="009B0016" w:rsidRPr="009F61AF">
        <w:rPr>
          <w:rStyle w:val="Refdenotaalpie"/>
          <w:rFonts w:cs="Arial"/>
        </w:rPr>
        <w:footnoteReference w:id="16"/>
      </w:r>
      <w:r w:rsidR="009B0016" w:rsidRPr="009F61AF">
        <w:rPr>
          <w:rFonts w:cs="Arial"/>
        </w:rPr>
        <w:t xml:space="preserve">, </w:t>
      </w:r>
      <w:r w:rsidR="00AF1DF5" w:rsidRPr="009F61AF">
        <w:rPr>
          <w:rFonts w:cs="Arial"/>
        </w:rPr>
        <w:t xml:space="preserve">la cual </w:t>
      </w:r>
      <w:r w:rsidR="00307465" w:rsidRPr="009F61AF">
        <w:rPr>
          <w:rFonts w:cs="Arial"/>
        </w:rPr>
        <w:t xml:space="preserve">en forma general </w:t>
      </w:r>
      <w:r w:rsidR="00AF1DF5" w:rsidRPr="009F61AF">
        <w:rPr>
          <w:rFonts w:cs="Arial"/>
        </w:rPr>
        <w:t xml:space="preserve">se </w:t>
      </w:r>
      <w:r w:rsidR="006E5A5E" w:rsidRPr="009F61AF">
        <w:rPr>
          <w:rFonts w:cs="Arial"/>
        </w:rPr>
        <w:t xml:space="preserve">mencionó </w:t>
      </w:r>
      <w:r w:rsidR="00AF1DF5" w:rsidRPr="009F61AF">
        <w:rPr>
          <w:rFonts w:cs="Arial"/>
        </w:rPr>
        <w:t>por el apoderad</w:t>
      </w:r>
      <w:r w:rsidR="00CF6834" w:rsidRPr="009F61AF">
        <w:rPr>
          <w:rFonts w:cs="Arial"/>
        </w:rPr>
        <w:t>o</w:t>
      </w:r>
      <w:r w:rsidR="00AF1DF5" w:rsidRPr="009F61AF">
        <w:rPr>
          <w:rFonts w:cs="Arial"/>
        </w:rPr>
        <w:t xml:space="preserve"> d</w:t>
      </w:r>
      <w:r w:rsidR="00307465" w:rsidRPr="009F61AF">
        <w:rPr>
          <w:rFonts w:cs="Arial"/>
        </w:rPr>
        <w:t xml:space="preserve">el ICBF en la </w:t>
      </w:r>
      <w:r w:rsidR="00CF6834" w:rsidRPr="009F61AF">
        <w:rPr>
          <w:rFonts w:cs="Arial"/>
        </w:rPr>
        <w:t xml:space="preserve">presentación de excepciones </w:t>
      </w:r>
      <w:r w:rsidR="00307465" w:rsidRPr="009F61AF">
        <w:rPr>
          <w:rFonts w:cs="Arial"/>
        </w:rPr>
        <w:t xml:space="preserve">dentro del trámite arbitral, aspecto </w:t>
      </w:r>
      <w:r w:rsidR="0001157C" w:rsidRPr="009F61AF">
        <w:rPr>
          <w:rFonts w:cs="Arial"/>
        </w:rPr>
        <w:t xml:space="preserve">en el que </w:t>
      </w:r>
      <w:r w:rsidR="00307465" w:rsidRPr="009F61AF">
        <w:rPr>
          <w:rFonts w:cs="Arial"/>
        </w:rPr>
        <w:t xml:space="preserve">no insistió dentro del recurso de anulación del laudo. </w:t>
      </w:r>
    </w:p>
    <w:p w14:paraId="69A7FCD0" w14:textId="77777777" w:rsidR="00CF6834" w:rsidRPr="009F61AF" w:rsidRDefault="00CF6834" w:rsidP="0081115F">
      <w:pPr>
        <w:pStyle w:val="Continuarlista2"/>
        <w:spacing w:after="0"/>
        <w:ind w:left="0"/>
        <w:rPr>
          <w:rFonts w:cs="Arial"/>
        </w:rPr>
      </w:pPr>
    </w:p>
    <w:p w14:paraId="6C9AA568" w14:textId="77777777" w:rsidR="00AF1DF5" w:rsidRPr="009F61AF" w:rsidRDefault="006E5A5E" w:rsidP="0081115F">
      <w:pPr>
        <w:pStyle w:val="Continuarlista2"/>
        <w:spacing w:after="0"/>
        <w:ind w:left="0"/>
        <w:rPr>
          <w:rFonts w:cs="Arial"/>
        </w:rPr>
      </w:pPr>
      <w:r w:rsidRPr="009F61AF">
        <w:rPr>
          <w:rFonts w:cs="Arial"/>
        </w:rPr>
        <w:t>Lo cierto es que e</w:t>
      </w:r>
      <w:r w:rsidR="0074535A" w:rsidRPr="009F61AF">
        <w:rPr>
          <w:rFonts w:cs="Arial"/>
        </w:rPr>
        <w:t xml:space="preserve">l </w:t>
      </w:r>
      <w:r w:rsidR="00CF6834" w:rsidRPr="009F61AF">
        <w:rPr>
          <w:rFonts w:cs="Arial"/>
        </w:rPr>
        <w:t>C</w:t>
      </w:r>
      <w:r w:rsidR="0074535A" w:rsidRPr="009F61AF">
        <w:rPr>
          <w:rFonts w:cs="Arial"/>
        </w:rPr>
        <w:t xml:space="preserve">ontrato </w:t>
      </w:r>
      <w:r w:rsidR="00CF6834" w:rsidRPr="009F61AF">
        <w:rPr>
          <w:rFonts w:cs="Arial"/>
        </w:rPr>
        <w:t xml:space="preserve">067 </w:t>
      </w:r>
      <w:r w:rsidR="0001157C" w:rsidRPr="009F61AF">
        <w:rPr>
          <w:rFonts w:cs="Arial"/>
        </w:rPr>
        <w:t xml:space="preserve">de 2009 </w:t>
      </w:r>
      <w:r w:rsidR="0074535A" w:rsidRPr="009F61AF">
        <w:rPr>
          <w:rFonts w:cs="Arial"/>
        </w:rPr>
        <w:t>se rigió por la Ley 80 de 1993</w:t>
      </w:r>
      <w:r w:rsidR="0001157C" w:rsidRPr="009F61AF">
        <w:rPr>
          <w:rFonts w:cs="Arial"/>
        </w:rPr>
        <w:t xml:space="preserve"> y la Ley 1150 de 2007</w:t>
      </w:r>
      <w:r w:rsidR="0074535A" w:rsidRPr="009F61AF">
        <w:rPr>
          <w:rFonts w:cs="Arial"/>
        </w:rPr>
        <w:t xml:space="preserve">, sin perjuicio de la </w:t>
      </w:r>
      <w:r w:rsidR="00E1727D" w:rsidRPr="009F61AF">
        <w:rPr>
          <w:rFonts w:cs="Arial"/>
        </w:rPr>
        <w:t>reglamentaci</w:t>
      </w:r>
      <w:r w:rsidR="0001157C" w:rsidRPr="009F61AF">
        <w:rPr>
          <w:rFonts w:cs="Arial"/>
        </w:rPr>
        <w:t xml:space="preserve">ón </w:t>
      </w:r>
      <w:r w:rsidR="0074535A" w:rsidRPr="009F61AF">
        <w:rPr>
          <w:rFonts w:cs="Arial"/>
        </w:rPr>
        <w:t>particular</w:t>
      </w:r>
      <w:r w:rsidR="00E1727D" w:rsidRPr="009F61AF">
        <w:rPr>
          <w:rFonts w:cs="Arial"/>
        </w:rPr>
        <w:t xml:space="preserve"> del contrato de aporte</w:t>
      </w:r>
      <w:r w:rsidR="00AF1DF5" w:rsidRPr="009F61AF">
        <w:rPr>
          <w:rFonts w:cs="Arial"/>
        </w:rPr>
        <w:t xml:space="preserve"> celebrado por el ICBF</w:t>
      </w:r>
      <w:r w:rsidR="00E1727D" w:rsidRPr="009F61AF">
        <w:rPr>
          <w:rFonts w:cs="Arial"/>
        </w:rPr>
        <w:t xml:space="preserve">. </w:t>
      </w:r>
    </w:p>
    <w:p w14:paraId="03C86B90" w14:textId="77777777" w:rsidR="00AF1DF5" w:rsidRPr="009F61AF" w:rsidRDefault="00AF1DF5" w:rsidP="0081115F">
      <w:pPr>
        <w:pStyle w:val="Continuarlista2"/>
        <w:spacing w:after="0"/>
        <w:ind w:left="0"/>
        <w:rPr>
          <w:rFonts w:cs="Arial"/>
        </w:rPr>
      </w:pPr>
    </w:p>
    <w:p w14:paraId="3AD332A1" w14:textId="77777777" w:rsidR="002E20B4" w:rsidRPr="009F61AF" w:rsidRDefault="00E1727D" w:rsidP="0081115F">
      <w:pPr>
        <w:pStyle w:val="Continuarlista2"/>
        <w:spacing w:after="0"/>
        <w:ind w:left="0"/>
        <w:rPr>
          <w:rFonts w:cs="Arial"/>
          <w:i/>
        </w:rPr>
      </w:pPr>
      <w:r w:rsidRPr="009F61AF">
        <w:rPr>
          <w:rFonts w:cs="Arial"/>
        </w:rPr>
        <w:t xml:space="preserve">En lo que importa para el cómputo de la caducidad de la acción se hace notar que en la </w:t>
      </w:r>
      <w:r w:rsidR="006E5A5E" w:rsidRPr="009F61AF">
        <w:rPr>
          <w:rFonts w:cs="Arial"/>
        </w:rPr>
        <w:t>cláusula vigésima cuarta se invocó la potestad de liquidación unilateral</w:t>
      </w:r>
      <w:r w:rsidR="002E20B4" w:rsidRPr="009F61AF">
        <w:rPr>
          <w:rFonts w:cs="Arial"/>
        </w:rPr>
        <w:t>, para el caso de que las partes no llegaren a un acuerdo</w:t>
      </w:r>
      <w:r w:rsidR="00CF6834" w:rsidRPr="009F61AF">
        <w:rPr>
          <w:rFonts w:cs="Arial"/>
        </w:rPr>
        <w:t xml:space="preserve"> de liquidación, </w:t>
      </w:r>
      <w:r w:rsidR="002E20B4" w:rsidRPr="009F61AF">
        <w:rPr>
          <w:rFonts w:cs="Arial"/>
        </w:rPr>
        <w:t>la cual “</w:t>
      </w:r>
      <w:r w:rsidR="002E20B4" w:rsidRPr="009F61AF">
        <w:rPr>
          <w:rFonts w:cs="Arial"/>
          <w:i/>
        </w:rPr>
        <w:t>será practicada directa y unilateralmente por el ICBF</w:t>
      </w:r>
      <w:r w:rsidR="00D250A0" w:rsidRPr="009F61AF">
        <w:rPr>
          <w:rFonts w:cs="Arial"/>
          <w:i/>
        </w:rPr>
        <w:t xml:space="preserve"> </w:t>
      </w:r>
      <w:r w:rsidR="002E20B4" w:rsidRPr="009F61AF">
        <w:rPr>
          <w:rFonts w:cs="Arial"/>
          <w:i/>
        </w:rPr>
        <w:t>y se adoptará por acto administrativo motivado, susceptible de recurso de reposición.”</w:t>
      </w:r>
    </w:p>
    <w:p w14:paraId="534A109F" w14:textId="77777777" w:rsidR="002E20B4" w:rsidRPr="009F61AF" w:rsidRDefault="002E20B4" w:rsidP="0081115F">
      <w:pPr>
        <w:pStyle w:val="Continuarlista2"/>
        <w:spacing w:after="0"/>
        <w:ind w:left="0"/>
        <w:rPr>
          <w:rFonts w:cs="Arial"/>
          <w:i/>
        </w:rPr>
      </w:pPr>
    </w:p>
    <w:p w14:paraId="5B6C7E33" w14:textId="77777777" w:rsidR="004B298A" w:rsidRPr="009F61AF" w:rsidRDefault="004B298A" w:rsidP="0081115F">
      <w:pPr>
        <w:pStyle w:val="Continuarlista2"/>
        <w:spacing w:after="0" w:line="240" w:lineRule="auto"/>
        <w:ind w:left="0"/>
        <w:rPr>
          <w:rFonts w:cs="Arial"/>
          <w:b/>
        </w:rPr>
      </w:pPr>
      <w:r w:rsidRPr="009F61AF">
        <w:rPr>
          <w:rFonts w:cs="Arial"/>
          <w:b/>
        </w:rPr>
        <w:t xml:space="preserve">2. </w:t>
      </w:r>
      <w:r w:rsidR="00D50B2C" w:rsidRPr="009F61AF">
        <w:rPr>
          <w:rFonts w:cs="Arial"/>
          <w:b/>
        </w:rPr>
        <w:t>La f</w:t>
      </w:r>
      <w:r w:rsidRPr="009F61AF">
        <w:rPr>
          <w:rFonts w:cs="Arial"/>
          <w:b/>
        </w:rPr>
        <w:t>echa de la presentación de la demanda</w:t>
      </w:r>
      <w:r w:rsidR="00D50B2C" w:rsidRPr="009F61AF">
        <w:rPr>
          <w:rFonts w:cs="Arial"/>
          <w:b/>
        </w:rPr>
        <w:t xml:space="preserve"> n</w:t>
      </w:r>
      <w:r w:rsidRPr="009F61AF">
        <w:rPr>
          <w:rFonts w:cs="Arial"/>
          <w:b/>
        </w:rPr>
        <w:t>o se altera en el caso del traslado de competencia a la jurisdicción arbitral</w:t>
      </w:r>
    </w:p>
    <w:p w14:paraId="6C324D95" w14:textId="77777777" w:rsidR="00D04F5B" w:rsidRPr="009F61AF" w:rsidRDefault="00D04F5B" w:rsidP="0081115F">
      <w:pPr>
        <w:pStyle w:val="Continuarlista2"/>
        <w:spacing w:after="0"/>
        <w:ind w:left="0"/>
        <w:rPr>
          <w:rFonts w:cs="Arial"/>
          <w:b/>
        </w:rPr>
      </w:pPr>
    </w:p>
    <w:p w14:paraId="60D72BE9" w14:textId="77777777" w:rsidR="006A28A0" w:rsidRPr="009F61AF" w:rsidRDefault="006A28A0" w:rsidP="0081115F">
      <w:pPr>
        <w:pStyle w:val="Continuarlista2"/>
        <w:spacing w:after="0"/>
        <w:ind w:left="0"/>
        <w:rPr>
          <w:rFonts w:cs="Arial"/>
        </w:rPr>
      </w:pPr>
      <w:r w:rsidRPr="009F61AF">
        <w:rPr>
          <w:rFonts w:cs="Arial"/>
        </w:rPr>
        <w:t>Para efectos de corroborar la fecha de presentación de la demanda</w:t>
      </w:r>
      <w:r w:rsidR="00625AB5" w:rsidRPr="009F61AF">
        <w:rPr>
          <w:rFonts w:cs="Arial"/>
        </w:rPr>
        <w:t xml:space="preserve">, la cual constituye uno de los hechos procesales que resulta de vital importancia para establecer la caducidad de la acción </w:t>
      </w:r>
      <w:r w:rsidR="00A30C22" w:rsidRPr="009F61AF">
        <w:rPr>
          <w:rFonts w:cs="Arial"/>
        </w:rPr>
        <w:t xml:space="preserve">que ha sido invocada </w:t>
      </w:r>
      <w:r w:rsidR="0001002F" w:rsidRPr="009F61AF">
        <w:rPr>
          <w:rFonts w:cs="Arial"/>
        </w:rPr>
        <w:t xml:space="preserve">como causal de anulación del laudo arbitral, </w:t>
      </w:r>
      <w:r w:rsidRPr="009F61AF">
        <w:rPr>
          <w:rFonts w:cs="Arial"/>
        </w:rPr>
        <w:t xml:space="preserve">se tiene en cuenta la siguiente actuación que obra en el expediente: </w:t>
      </w:r>
    </w:p>
    <w:p w14:paraId="39BC814E" w14:textId="77777777" w:rsidR="00BD7A00" w:rsidRPr="009F61AF" w:rsidRDefault="00BD7A00" w:rsidP="0081115F">
      <w:pPr>
        <w:pStyle w:val="Continuarlista2"/>
        <w:spacing w:after="0"/>
        <w:ind w:left="0"/>
        <w:rPr>
          <w:rFonts w:cs="Arial"/>
        </w:rPr>
      </w:pPr>
    </w:p>
    <w:p w14:paraId="0FB96A40" w14:textId="77777777" w:rsidR="00BD7A00" w:rsidRPr="009F61AF" w:rsidRDefault="00BD7A00" w:rsidP="0081115F">
      <w:pPr>
        <w:pStyle w:val="Continuarlista2"/>
        <w:spacing w:after="0"/>
        <w:ind w:left="0"/>
        <w:rPr>
          <w:rFonts w:cs="Arial"/>
        </w:rPr>
      </w:pPr>
      <w:r w:rsidRPr="009F61AF">
        <w:rPr>
          <w:rFonts w:cs="Arial"/>
        </w:rPr>
        <w:t xml:space="preserve">La demanda se dirigió al Juez Administrativo del Circuito de Risaralda – Reparto, </w:t>
      </w:r>
      <w:r w:rsidRPr="009F61AF">
        <w:rPr>
          <w:rFonts w:cs="Arial"/>
          <w:b/>
        </w:rPr>
        <w:t>se presentó el 22 de agosto de 2013</w:t>
      </w:r>
      <w:r w:rsidRPr="009F61AF">
        <w:rPr>
          <w:rFonts w:cs="Arial"/>
        </w:rPr>
        <w:t xml:space="preserve"> ante la Oficina Judicial de la Seccional Risaralda</w:t>
      </w:r>
      <w:r w:rsidRPr="009F61AF">
        <w:rPr>
          <w:rStyle w:val="Refdenotaalpie"/>
          <w:rFonts w:cs="Arial"/>
        </w:rPr>
        <w:footnoteReference w:id="17"/>
      </w:r>
      <w:r w:rsidRPr="009F61AF">
        <w:rPr>
          <w:rFonts w:cs="Arial"/>
        </w:rPr>
        <w:t xml:space="preserve">, se repartió al Juzgado Primero Administrativo, fue inadmitida por auto de 31 de octubre de 2013 en el cual se ordenó presentar la constancia de pago del arancel judicial, a lo cual procedió </w:t>
      </w:r>
      <w:r w:rsidR="0001002F" w:rsidRPr="009F61AF">
        <w:rPr>
          <w:rFonts w:cs="Arial"/>
        </w:rPr>
        <w:t>la</w:t>
      </w:r>
      <w:r w:rsidRPr="009F61AF">
        <w:rPr>
          <w:rFonts w:cs="Arial"/>
        </w:rPr>
        <w:t xml:space="preserve"> demandante.</w:t>
      </w:r>
    </w:p>
    <w:p w14:paraId="572DD5B7" w14:textId="77777777" w:rsidR="00BD7A00" w:rsidRPr="009F61AF" w:rsidRDefault="00BD7A00" w:rsidP="0081115F">
      <w:pPr>
        <w:pStyle w:val="Continuarlista2"/>
        <w:spacing w:after="0"/>
        <w:ind w:left="0"/>
        <w:rPr>
          <w:rFonts w:cs="Arial"/>
        </w:rPr>
      </w:pPr>
      <w:r w:rsidRPr="009F61AF">
        <w:rPr>
          <w:rFonts w:cs="Arial"/>
        </w:rPr>
        <w:t xml:space="preserve"> </w:t>
      </w:r>
    </w:p>
    <w:p w14:paraId="146CBDBA" w14:textId="77777777" w:rsidR="00BD7A00" w:rsidRPr="009F61AF" w:rsidRDefault="00BD7A00" w:rsidP="0081115F">
      <w:pPr>
        <w:pStyle w:val="Continuarlista2"/>
        <w:spacing w:after="0"/>
        <w:ind w:left="0"/>
        <w:rPr>
          <w:rFonts w:cs="Arial"/>
        </w:rPr>
      </w:pPr>
      <w:r w:rsidRPr="009F61AF">
        <w:rPr>
          <w:rFonts w:cs="Arial"/>
        </w:rPr>
        <w:t>Mediante auto de 21 de enero de 2014, el Juzgado Primero Administrativo de Pereira observó la existencia de cláusula compromisoria en el contrato y consideró que no procedía la admisión de la demanda</w:t>
      </w:r>
      <w:r w:rsidRPr="009F61AF">
        <w:rPr>
          <w:rStyle w:val="Refdenotaalpie"/>
          <w:rFonts w:cs="Arial"/>
        </w:rPr>
        <w:footnoteReference w:id="18"/>
      </w:r>
      <w:r w:rsidRPr="009F61AF">
        <w:rPr>
          <w:rFonts w:cs="Arial"/>
        </w:rPr>
        <w:t>; en la parte resolutiva del auto ordenó la remisión por competencia a la Cámara de Comercio de Bogotá</w:t>
      </w:r>
      <w:r w:rsidRPr="009F61AF">
        <w:rPr>
          <w:rStyle w:val="Refdenotaalpie"/>
          <w:rFonts w:cs="Arial"/>
        </w:rPr>
        <w:footnoteReference w:id="19"/>
      </w:r>
      <w:r w:rsidRPr="009F61AF">
        <w:rPr>
          <w:rFonts w:cs="Arial"/>
        </w:rPr>
        <w:t xml:space="preserve">, para los efectos del trámite arbitral. </w:t>
      </w:r>
    </w:p>
    <w:p w14:paraId="2AB73FCB" w14:textId="77777777" w:rsidR="00BD7A00" w:rsidRPr="009F61AF" w:rsidRDefault="00BD7A00" w:rsidP="0081115F">
      <w:pPr>
        <w:pStyle w:val="Continuarlista2"/>
        <w:spacing w:after="0"/>
        <w:ind w:left="0"/>
        <w:rPr>
          <w:rFonts w:cs="Arial"/>
        </w:rPr>
      </w:pPr>
    </w:p>
    <w:p w14:paraId="53172390" w14:textId="77777777" w:rsidR="00BD7A00" w:rsidRPr="009F61AF" w:rsidRDefault="00FF31CA" w:rsidP="0081115F">
      <w:pPr>
        <w:pStyle w:val="Continuarlista2"/>
        <w:spacing w:after="0"/>
        <w:ind w:left="0"/>
        <w:rPr>
          <w:rFonts w:cs="Arial"/>
        </w:rPr>
      </w:pPr>
      <w:r w:rsidRPr="009F61AF">
        <w:rPr>
          <w:rFonts w:cs="Arial"/>
        </w:rPr>
        <w:t xml:space="preserve">En igual forma obran en </w:t>
      </w:r>
      <w:r w:rsidR="00BD7A00" w:rsidRPr="009F61AF">
        <w:rPr>
          <w:rFonts w:cs="Arial"/>
        </w:rPr>
        <w:t>el expediente: el oficio remisorio distinguido por el número 00218 de 7 de febrero de 2014</w:t>
      </w:r>
      <w:r w:rsidR="009A67CC" w:rsidRPr="009F61AF">
        <w:rPr>
          <w:rFonts w:cs="Arial"/>
        </w:rPr>
        <w:t>,</w:t>
      </w:r>
      <w:r w:rsidR="00BD7A00" w:rsidRPr="009F61AF">
        <w:rPr>
          <w:rFonts w:cs="Arial"/>
        </w:rPr>
        <w:t xml:space="preserve"> mediante el cual la secretaria del Juzgado Primero Administrativo remitió el expediente al Centro de Arbitraje y C</w:t>
      </w:r>
      <w:r w:rsidR="00F45147" w:rsidRPr="009F61AF">
        <w:rPr>
          <w:rFonts w:cs="Arial"/>
        </w:rPr>
        <w:t>o</w:t>
      </w:r>
      <w:r w:rsidR="00BD7A00" w:rsidRPr="009F61AF">
        <w:rPr>
          <w:rFonts w:cs="Arial"/>
        </w:rPr>
        <w:t>nciliación de la Cámara de Comercio de Bogotá</w:t>
      </w:r>
      <w:r w:rsidR="00BD7A00" w:rsidRPr="009F61AF">
        <w:rPr>
          <w:rStyle w:val="Refdenotaalpie"/>
          <w:rFonts w:cs="Arial"/>
        </w:rPr>
        <w:footnoteReference w:id="20"/>
      </w:r>
      <w:r w:rsidR="00BD7A00" w:rsidRPr="009F61AF">
        <w:rPr>
          <w:rFonts w:cs="Arial"/>
        </w:rPr>
        <w:t>; la comunicación del Director del Centro de Arbitraje y Conciliación de la Cámara de Comercio de Bogotá dirigida al apoderado de FUNDASUPERIOR en la cual informó que recibió el expediente el 20 de febrero de 2014 y puso a disposición los servicios del Centro</w:t>
      </w:r>
      <w:r w:rsidR="00BD7A00" w:rsidRPr="009F61AF">
        <w:rPr>
          <w:rStyle w:val="Refdenotaalpie"/>
          <w:rFonts w:cs="Arial"/>
        </w:rPr>
        <w:footnoteReference w:id="21"/>
      </w:r>
      <w:r w:rsidR="00BD7A00" w:rsidRPr="009F61AF">
        <w:rPr>
          <w:rFonts w:cs="Arial"/>
        </w:rPr>
        <w:t xml:space="preserve">; el memorial calendado el 25 de marzo de 2014 suscrito por el apoderado de FUNDASUPERIOR, mediante el </w:t>
      </w:r>
      <w:r w:rsidR="00BD7A00" w:rsidRPr="009F61AF">
        <w:rPr>
          <w:rFonts w:cs="Arial"/>
        </w:rPr>
        <w:lastRenderedPageBreak/>
        <w:t>cual acreditó ante el Centro de Arbitraje y Conciliación de la Cámara de Comercio de Bogotá el pago de los gastos iniciales</w:t>
      </w:r>
      <w:r w:rsidR="00BD7A00" w:rsidRPr="009F61AF">
        <w:rPr>
          <w:rStyle w:val="Refdenotaalpie"/>
          <w:rFonts w:cs="Arial"/>
        </w:rPr>
        <w:footnoteReference w:id="22"/>
      </w:r>
      <w:r w:rsidR="00BD7A00" w:rsidRPr="009F61AF">
        <w:rPr>
          <w:rFonts w:cs="Arial"/>
        </w:rPr>
        <w:t>, y las citaciones de abril 3 de 2014, emitidas por el Director del referido Centro de Arbitraje y Conciliación, mediante las cuales informó que FUNDASUPERIOR presentó demanda ante el Centro de Arbitraje y Conciliación el 31 de marzo de 2014 e invitó a la reunión de designación de árbitros</w:t>
      </w:r>
      <w:r w:rsidR="00BD7A00" w:rsidRPr="009F61AF">
        <w:rPr>
          <w:rStyle w:val="Refdenotaalpie"/>
          <w:rFonts w:cs="Arial"/>
        </w:rPr>
        <w:footnoteReference w:id="23"/>
      </w:r>
      <w:r w:rsidR="00BD7A00" w:rsidRPr="009F61AF">
        <w:rPr>
          <w:rFonts w:cs="Arial"/>
        </w:rPr>
        <w:t>.</w:t>
      </w:r>
    </w:p>
    <w:p w14:paraId="39BC3CD4" w14:textId="77777777" w:rsidR="00D83F80" w:rsidRPr="009F61AF" w:rsidRDefault="00D83F80" w:rsidP="0081115F">
      <w:pPr>
        <w:pStyle w:val="NormalWeb"/>
        <w:shd w:val="clear" w:color="auto" w:fill="FFFFFF"/>
        <w:spacing w:before="0" w:beforeAutospacing="0" w:after="0" w:afterAutospacing="0"/>
        <w:rPr>
          <w:rFonts w:cs="Arial"/>
        </w:rPr>
      </w:pPr>
      <w:r w:rsidRPr="009F61AF">
        <w:rPr>
          <w:rFonts w:cs="Arial"/>
        </w:rPr>
        <w:t>La pru</w:t>
      </w:r>
      <w:r w:rsidR="005E1C4E" w:rsidRPr="009F61AF">
        <w:rPr>
          <w:rFonts w:cs="Arial"/>
        </w:rPr>
        <w:t>e</w:t>
      </w:r>
      <w:r w:rsidRPr="009F61AF">
        <w:rPr>
          <w:rFonts w:cs="Arial"/>
        </w:rPr>
        <w:t xml:space="preserve">ba de la presentación de la demanda no se desvirtúa por el </w:t>
      </w:r>
      <w:r w:rsidR="00101D2B" w:rsidRPr="009F61AF">
        <w:rPr>
          <w:rFonts w:cs="Arial"/>
        </w:rPr>
        <w:t xml:space="preserve">hecho de </w:t>
      </w:r>
      <w:r w:rsidR="00F36C73" w:rsidRPr="009F61AF">
        <w:rPr>
          <w:rFonts w:cs="Arial"/>
        </w:rPr>
        <w:t xml:space="preserve">que </w:t>
      </w:r>
      <w:r w:rsidR="00A30C22" w:rsidRPr="009F61AF">
        <w:rPr>
          <w:rFonts w:cs="Arial"/>
        </w:rPr>
        <w:t xml:space="preserve">en </w:t>
      </w:r>
      <w:r w:rsidR="00F36C73" w:rsidRPr="009F61AF">
        <w:rPr>
          <w:rFonts w:cs="Arial"/>
        </w:rPr>
        <w:t>l</w:t>
      </w:r>
      <w:r w:rsidR="00101D2B" w:rsidRPr="009F61AF">
        <w:rPr>
          <w:rFonts w:cs="Arial"/>
        </w:rPr>
        <w:t xml:space="preserve">as citaciones </w:t>
      </w:r>
      <w:r w:rsidR="00F36C73" w:rsidRPr="009F61AF">
        <w:rPr>
          <w:rFonts w:cs="Arial"/>
        </w:rPr>
        <w:t xml:space="preserve">emitidas por </w:t>
      </w:r>
      <w:r w:rsidR="00101D2B" w:rsidRPr="009F61AF">
        <w:rPr>
          <w:rFonts w:cs="Arial"/>
        </w:rPr>
        <w:t>el Centro de Arbitraje y Conciliación de la Cámara de Comercio de Bogotá s</w:t>
      </w:r>
      <w:r w:rsidR="00A30C22" w:rsidRPr="009F61AF">
        <w:rPr>
          <w:rFonts w:cs="Arial"/>
        </w:rPr>
        <w:t>e</w:t>
      </w:r>
      <w:r w:rsidR="00101D2B" w:rsidRPr="009F61AF">
        <w:rPr>
          <w:rFonts w:cs="Arial"/>
        </w:rPr>
        <w:t xml:space="preserve"> hubiera referido una fecha posterior</w:t>
      </w:r>
      <w:r w:rsidRPr="009F61AF">
        <w:rPr>
          <w:rFonts w:cs="Arial"/>
        </w:rPr>
        <w:t>.</w:t>
      </w:r>
    </w:p>
    <w:p w14:paraId="057671FA" w14:textId="77777777" w:rsidR="001723ED" w:rsidRPr="009F61AF" w:rsidRDefault="00BB63C6" w:rsidP="0081115F">
      <w:pPr>
        <w:pStyle w:val="NormalWeb"/>
        <w:shd w:val="clear" w:color="auto" w:fill="FFFFFF"/>
        <w:spacing w:before="0" w:beforeAutospacing="0" w:after="0" w:afterAutospacing="0"/>
        <w:rPr>
          <w:rFonts w:cs="Arial"/>
        </w:rPr>
      </w:pPr>
      <w:r w:rsidRPr="009F61AF">
        <w:rPr>
          <w:rFonts w:cs="Arial"/>
        </w:rPr>
        <w:t xml:space="preserve">Es claro que en este caso </w:t>
      </w:r>
      <w:r w:rsidR="00D83F80" w:rsidRPr="009F61AF">
        <w:rPr>
          <w:rFonts w:cs="Arial"/>
        </w:rPr>
        <w:t xml:space="preserve">la demanda </w:t>
      </w:r>
      <w:r w:rsidR="009A2D76" w:rsidRPr="009F61AF">
        <w:rPr>
          <w:rFonts w:cs="Arial"/>
        </w:rPr>
        <w:t xml:space="preserve">se radicó </w:t>
      </w:r>
      <w:r w:rsidR="00D83F80" w:rsidRPr="009F61AF">
        <w:rPr>
          <w:rFonts w:cs="Arial"/>
        </w:rPr>
        <w:t xml:space="preserve">ante la Jurisdicción de lo Contencioso Administrativo </w:t>
      </w:r>
      <w:r w:rsidR="00F36C73" w:rsidRPr="009F61AF">
        <w:rPr>
          <w:rFonts w:cs="Arial"/>
        </w:rPr>
        <w:t xml:space="preserve">el 22 de agosto de 2003 </w:t>
      </w:r>
      <w:r w:rsidR="00D83F80" w:rsidRPr="009F61AF">
        <w:rPr>
          <w:rFonts w:cs="Arial"/>
        </w:rPr>
        <w:t xml:space="preserve">y que </w:t>
      </w:r>
      <w:r w:rsidR="00F36C73" w:rsidRPr="009F61AF">
        <w:rPr>
          <w:rFonts w:cs="Arial"/>
        </w:rPr>
        <w:t xml:space="preserve">se </w:t>
      </w:r>
      <w:r w:rsidRPr="009F61AF">
        <w:rPr>
          <w:rFonts w:cs="Arial"/>
        </w:rPr>
        <w:t xml:space="preserve">produjo un auto </w:t>
      </w:r>
      <w:r w:rsidR="00F36C73" w:rsidRPr="009F61AF">
        <w:rPr>
          <w:rFonts w:cs="Arial"/>
        </w:rPr>
        <w:t xml:space="preserve">mediante </w:t>
      </w:r>
      <w:r w:rsidR="00F9286B" w:rsidRPr="009F61AF">
        <w:rPr>
          <w:rFonts w:cs="Arial"/>
        </w:rPr>
        <w:t xml:space="preserve">el cual el Juzgado 1º Administrativo de Pereira </w:t>
      </w:r>
      <w:r w:rsidR="001723ED" w:rsidRPr="009F61AF">
        <w:rPr>
          <w:rFonts w:cs="Arial"/>
        </w:rPr>
        <w:t xml:space="preserve">identificó la existencia de la cláusula compromisoria y ordenó la remisión del expediente, lo cual </w:t>
      </w:r>
      <w:r w:rsidR="00F9286B" w:rsidRPr="009F61AF">
        <w:rPr>
          <w:rFonts w:cs="Arial"/>
        </w:rPr>
        <w:t xml:space="preserve">se ajustó al evento </w:t>
      </w:r>
      <w:r w:rsidR="00F36C73" w:rsidRPr="009F61AF">
        <w:rPr>
          <w:rFonts w:cs="Arial"/>
        </w:rPr>
        <w:t xml:space="preserve">procesal </w:t>
      </w:r>
      <w:r w:rsidR="00F9286B" w:rsidRPr="009F61AF">
        <w:rPr>
          <w:rFonts w:cs="Arial"/>
        </w:rPr>
        <w:t>previsto en el artículo 168 del C.P.</w:t>
      </w:r>
      <w:r w:rsidR="009A2D76" w:rsidRPr="009F61AF">
        <w:rPr>
          <w:rFonts w:cs="Arial"/>
        </w:rPr>
        <w:t>A.</w:t>
      </w:r>
      <w:r w:rsidR="00F9286B" w:rsidRPr="009F61AF">
        <w:rPr>
          <w:rFonts w:cs="Arial"/>
        </w:rPr>
        <w:t>C.A</w:t>
      </w:r>
      <w:r w:rsidR="00BE2AA4" w:rsidRPr="009F61AF">
        <w:rPr>
          <w:rFonts w:cs="Arial"/>
        </w:rPr>
        <w:t xml:space="preserve">. En ese supuesto la fecha de presentación de la demanda ante la Jurisdicción de lo Contencioso Administrativo es la que ha de tenerse en cuenta para todos los efectos legales </w:t>
      </w:r>
      <w:r w:rsidR="009A2D76" w:rsidRPr="009F61AF">
        <w:rPr>
          <w:rFonts w:cs="Arial"/>
        </w:rPr>
        <w:t xml:space="preserve">según lo </w:t>
      </w:r>
      <w:r w:rsidR="00BE2AA4" w:rsidRPr="009F61AF">
        <w:rPr>
          <w:rFonts w:cs="Arial"/>
        </w:rPr>
        <w:t xml:space="preserve">dispone el </w:t>
      </w:r>
      <w:r w:rsidR="009A2D76" w:rsidRPr="009F61AF">
        <w:rPr>
          <w:rFonts w:cs="Arial"/>
        </w:rPr>
        <w:t xml:space="preserve">citado </w:t>
      </w:r>
      <w:r w:rsidR="00BE2AA4" w:rsidRPr="009F61AF">
        <w:rPr>
          <w:rFonts w:cs="Arial"/>
        </w:rPr>
        <w:t>artículo 168 del C.P.A.C.A.</w:t>
      </w:r>
      <w:r w:rsidR="00067B51" w:rsidRPr="009F61AF">
        <w:rPr>
          <w:rStyle w:val="Refdenotaalpie"/>
          <w:rFonts w:cs="Arial"/>
        </w:rPr>
        <w:footnoteReference w:id="24"/>
      </w:r>
      <w:r w:rsidR="00F9286B" w:rsidRPr="009F61AF">
        <w:rPr>
          <w:rFonts w:cs="Arial"/>
        </w:rPr>
        <w:t xml:space="preserve">. </w:t>
      </w:r>
    </w:p>
    <w:p w14:paraId="2BFF38F2" w14:textId="77777777" w:rsidR="00F45147" w:rsidRPr="009F61AF" w:rsidRDefault="00067B51" w:rsidP="0081115F">
      <w:pPr>
        <w:pStyle w:val="NormalWeb"/>
        <w:shd w:val="clear" w:color="auto" w:fill="FFFFFF"/>
        <w:spacing w:before="0" w:beforeAutospacing="0" w:after="0" w:afterAutospacing="0"/>
        <w:rPr>
          <w:rFonts w:cs="Arial"/>
        </w:rPr>
      </w:pPr>
      <w:r w:rsidRPr="009F61AF">
        <w:rPr>
          <w:rFonts w:cs="Arial"/>
        </w:rPr>
        <w:t>En consecuencia</w:t>
      </w:r>
      <w:r w:rsidR="007C7ED4" w:rsidRPr="009F61AF">
        <w:rPr>
          <w:rFonts w:cs="Arial"/>
        </w:rPr>
        <w:t>,</w:t>
      </w:r>
      <w:r w:rsidRPr="009F61AF">
        <w:rPr>
          <w:rFonts w:cs="Arial"/>
        </w:rPr>
        <w:t xml:space="preserve"> </w:t>
      </w:r>
      <w:r w:rsidR="00F45147" w:rsidRPr="009F61AF">
        <w:rPr>
          <w:rFonts w:cs="Arial"/>
        </w:rPr>
        <w:t xml:space="preserve">se </w:t>
      </w:r>
      <w:r w:rsidRPr="009F61AF">
        <w:rPr>
          <w:rFonts w:cs="Arial"/>
        </w:rPr>
        <w:t xml:space="preserve">concluye </w:t>
      </w:r>
      <w:r w:rsidR="00F45147" w:rsidRPr="009F61AF">
        <w:rPr>
          <w:rFonts w:cs="Arial"/>
        </w:rPr>
        <w:t>que la demanda fue presentada el 22 de agosto de 2013, aspecto que se enc</w:t>
      </w:r>
      <w:r w:rsidR="007E7663" w:rsidRPr="009F61AF">
        <w:rPr>
          <w:rFonts w:cs="Arial"/>
        </w:rPr>
        <w:t xml:space="preserve">ontró </w:t>
      </w:r>
      <w:r w:rsidR="00F45147" w:rsidRPr="009F61AF">
        <w:rPr>
          <w:rFonts w:cs="Arial"/>
        </w:rPr>
        <w:t xml:space="preserve">debidamente acreditado en el </w:t>
      </w:r>
      <w:r w:rsidR="007E7663" w:rsidRPr="009F61AF">
        <w:rPr>
          <w:rFonts w:cs="Arial"/>
        </w:rPr>
        <w:t>tramite arbitral</w:t>
      </w:r>
      <w:r w:rsidR="0079293F" w:rsidRPr="009F61AF">
        <w:rPr>
          <w:rFonts w:cs="Arial"/>
        </w:rPr>
        <w:t xml:space="preserve"> y que</w:t>
      </w:r>
      <w:r w:rsidR="007C7ED4" w:rsidRPr="009F61AF">
        <w:rPr>
          <w:rFonts w:cs="Arial"/>
        </w:rPr>
        <w:t>,</w:t>
      </w:r>
      <w:r w:rsidR="0079293F" w:rsidRPr="009F61AF">
        <w:rPr>
          <w:rFonts w:cs="Arial"/>
        </w:rPr>
        <w:t xml:space="preserve"> en </w:t>
      </w:r>
      <w:r w:rsidR="007C7ED4" w:rsidRPr="009F61AF">
        <w:rPr>
          <w:rFonts w:cs="Arial"/>
        </w:rPr>
        <w:t xml:space="preserve">efecto, </w:t>
      </w:r>
      <w:r w:rsidR="0079293F" w:rsidRPr="009F61AF">
        <w:rPr>
          <w:rFonts w:cs="Arial"/>
        </w:rPr>
        <w:t>corresponde a</w:t>
      </w:r>
      <w:r w:rsidR="00B74C1E" w:rsidRPr="009F61AF">
        <w:rPr>
          <w:rFonts w:cs="Arial"/>
        </w:rPr>
        <w:t xml:space="preserve"> lo que consideró </w:t>
      </w:r>
      <w:r w:rsidR="0079293F" w:rsidRPr="009F61AF">
        <w:rPr>
          <w:rFonts w:cs="Arial"/>
        </w:rPr>
        <w:t>el Tribunal de Arbitramento en el laudo arbitral</w:t>
      </w:r>
      <w:r w:rsidR="007E7663" w:rsidRPr="009F61AF">
        <w:rPr>
          <w:rFonts w:cs="Arial"/>
        </w:rPr>
        <w:t xml:space="preserve">. </w:t>
      </w:r>
    </w:p>
    <w:p w14:paraId="79386D6F" w14:textId="77777777" w:rsidR="00B967F4" w:rsidRPr="009F61AF" w:rsidRDefault="00B74C1E" w:rsidP="0081115F">
      <w:pPr>
        <w:pStyle w:val="NormalWeb"/>
        <w:shd w:val="clear" w:color="auto" w:fill="FFFFFF"/>
        <w:spacing w:before="0" w:beforeAutospacing="0" w:after="0" w:afterAutospacing="0"/>
        <w:rPr>
          <w:rFonts w:cs="Arial"/>
        </w:rPr>
      </w:pPr>
      <w:r w:rsidRPr="009F61AF">
        <w:rPr>
          <w:rFonts w:cs="Arial"/>
        </w:rPr>
        <w:t xml:space="preserve">Por lo anterior no prospera el cargo en lo que </w:t>
      </w:r>
      <w:r w:rsidR="004A447F" w:rsidRPr="009F61AF">
        <w:rPr>
          <w:rFonts w:cs="Arial"/>
        </w:rPr>
        <w:t xml:space="preserve">tiene que ver con </w:t>
      </w:r>
      <w:r w:rsidR="00B967F4" w:rsidRPr="009F61AF">
        <w:rPr>
          <w:rFonts w:cs="Arial"/>
        </w:rPr>
        <w:t xml:space="preserve">los argumentos referidos a </w:t>
      </w:r>
      <w:r w:rsidRPr="009F61AF">
        <w:rPr>
          <w:rFonts w:cs="Arial"/>
        </w:rPr>
        <w:t>la fecha de la presentación de la demanda</w:t>
      </w:r>
      <w:r w:rsidR="00B967F4" w:rsidRPr="009F61AF">
        <w:rPr>
          <w:rFonts w:cs="Arial"/>
        </w:rPr>
        <w:t xml:space="preserve"> y a la actuación que s</w:t>
      </w:r>
      <w:r w:rsidR="009A67CC" w:rsidRPr="009F61AF">
        <w:rPr>
          <w:rFonts w:cs="Arial"/>
        </w:rPr>
        <w:t>e</w:t>
      </w:r>
      <w:r w:rsidR="00B967F4" w:rsidRPr="009F61AF">
        <w:rPr>
          <w:rFonts w:cs="Arial"/>
        </w:rPr>
        <w:t xml:space="preserve"> surtió ante la Jurisdicción de lo Contencioso Administrativo. </w:t>
      </w:r>
    </w:p>
    <w:p w14:paraId="04CB2D25" w14:textId="77777777" w:rsidR="00BD7A00" w:rsidRPr="009F61AF" w:rsidRDefault="00963CC1" w:rsidP="0081115F">
      <w:pPr>
        <w:pStyle w:val="NormalWeb"/>
        <w:shd w:val="clear" w:color="auto" w:fill="FFFFFF"/>
        <w:spacing w:before="0" w:beforeAutospacing="0" w:after="0" w:afterAutospacing="0" w:line="240" w:lineRule="auto"/>
        <w:rPr>
          <w:rFonts w:cs="Arial"/>
          <w:b/>
        </w:rPr>
      </w:pPr>
      <w:r w:rsidRPr="009F61AF">
        <w:rPr>
          <w:rFonts w:cs="Arial"/>
          <w:b/>
        </w:rPr>
        <w:t>3</w:t>
      </w:r>
      <w:r w:rsidR="007E7663" w:rsidRPr="009F61AF">
        <w:rPr>
          <w:rFonts w:cs="Arial"/>
          <w:b/>
        </w:rPr>
        <w:t xml:space="preserve">. </w:t>
      </w:r>
      <w:r w:rsidR="00B74C1E" w:rsidRPr="009F61AF">
        <w:rPr>
          <w:rFonts w:cs="Arial"/>
          <w:b/>
        </w:rPr>
        <w:t>El v</w:t>
      </w:r>
      <w:r w:rsidR="00500A58" w:rsidRPr="009F61AF">
        <w:rPr>
          <w:rFonts w:cs="Arial"/>
          <w:b/>
        </w:rPr>
        <w:t xml:space="preserve">encimiento del plazo del </w:t>
      </w:r>
      <w:r w:rsidR="007E7663" w:rsidRPr="009F61AF">
        <w:rPr>
          <w:rFonts w:cs="Arial"/>
          <w:b/>
        </w:rPr>
        <w:t>contrato</w:t>
      </w:r>
      <w:r w:rsidR="00AB4D97" w:rsidRPr="009F61AF">
        <w:rPr>
          <w:rFonts w:cs="Arial"/>
          <w:b/>
        </w:rPr>
        <w:t xml:space="preserve"> </w:t>
      </w:r>
      <w:r w:rsidR="00500A58" w:rsidRPr="009F61AF">
        <w:rPr>
          <w:rFonts w:cs="Arial"/>
          <w:b/>
        </w:rPr>
        <w:t>debe determinarse de acuerdo con la vigencia de la etapa de ejecución</w:t>
      </w:r>
    </w:p>
    <w:p w14:paraId="018F94A0" w14:textId="77777777" w:rsidR="005E1C4E" w:rsidRPr="009F61AF" w:rsidRDefault="00FE46BD" w:rsidP="0081115F">
      <w:pPr>
        <w:pStyle w:val="NormalWeb"/>
        <w:shd w:val="clear" w:color="auto" w:fill="FFFFFF"/>
        <w:spacing w:before="0" w:beforeAutospacing="0" w:after="0" w:afterAutospacing="0"/>
        <w:rPr>
          <w:rFonts w:cs="Arial"/>
        </w:rPr>
      </w:pPr>
      <w:r w:rsidRPr="009F61AF">
        <w:rPr>
          <w:rFonts w:cs="Arial"/>
        </w:rPr>
        <w:t>E</w:t>
      </w:r>
      <w:r w:rsidR="00C1347E" w:rsidRPr="009F61AF">
        <w:rPr>
          <w:rFonts w:cs="Arial"/>
        </w:rPr>
        <w:t xml:space="preserve">l vencimiento del </w:t>
      </w:r>
      <w:r w:rsidR="00934CDC" w:rsidRPr="009F61AF">
        <w:rPr>
          <w:rFonts w:cs="Arial"/>
        </w:rPr>
        <w:t>t</w:t>
      </w:r>
      <w:r w:rsidR="00C1347E" w:rsidRPr="009F61AF">
        <w:rPr>
          <w:rFonts w:cs="Arial"/>
        </w:rPr>
        <w:t>é</w:t>
      </w:r>
      <w:r w:rsidR="00934CDC" w:rsidRPr="009F61AF">
        <w:rPr>
          <w:rFonts w:cs="Arial"/>
        </w:rPr>
        <w:t>rmin</w:t>
      </w:r>
      <w:r w:rsidR="00C1347E" w:rsidRPr="009F61AF">
        <w:rPr>
          <w:rFonts w:cs="Arial"/>
        </w:rPr>
        <w:t>o</w:t>
      </w:r>
      <w:r w:rsidR="00934CDC" w:rsidRPr="009F61AF">
        <w:rPr>
          <w:rFonts w:cs="Arial"/>
        </w:rPr>
        <w:t xml:space="preserve"> del contrato </w:t>
      </w:r>
      <w:r w:rsidRPr="009F61AF">
        <w:rPr>
          <w:rFonts w:cs="Arial"/>
        </w:rPr>
        <w:t xml:space="preserve">se identifica como </w:t>
      </w:r>
      <w:r w:rsidR="00934CDC" w:rsidRPr="009F61AF">
        <w:rPr>
          <w:rFonts w:cs="Arial"/>
        </w:rPr>
        <w:t>uno de los hitos jurídicos que marc</w:t>
      </w:r>
      <w:r w:rsidR="00963CC1" w:rsidRPr="009F61AF">
        <w:rPr>
          <w:rFonts w:cs="Arial"/>
        </w:rPr>
        <w:t>ó</w:t>
      </w:r>
      <w:r w:rsidR="00934CDC" w:rsidRPr="009F61AF">
        <w:rPr>
          <w:rFonts w:cs="Arial"/>
        </w:rPr>
        <w:t xml:space="preserve"> el cómputo de la caducidad de la acción</w:t>
      </w:r>
      <w:r w:rsidR="00B51072" w:rsidRPr="009F61AF">
        <w:rPr>
          <w:rFonts w:cs="Arial"/>
        </w:rPr>
        <w:t xml:space="preserve"> sobre el cual se estructuró </w:t>
      </w:r>
      <w:r w:rsidR="00934CDC" w:rsidRPr="009F61AF">
        <w:rPr>
          <w:rFonts w:cs="Arial"/>
        </w:rPr>
        <w:t xml:space="preserve">la causal de nulidad </w:t>
      </w:r>
      <w:r w:rsidR="00B51072" w:rsidRPr="009F61AF">
        <w:rPr>
          <w:rFonts w:cs="Arial"/>
        </w:rPr>
        <w:t xml:space="preserve">en el recurso de anulación del </w:t>
      </w:r>
      <w:r w:rsidR="00934CDC" w:rsidRPr="009F61AF">
        <w:rPr>
          <w:rFonts w:cs="Arial"/>
        </w:rPr>
        <w:t xml:space="preserve">laudo arbitral </w:t>
      </w:r>
      <w:r w:rsidR="00B51072" w:rsidRPr="009F61AF">
        <w:rPr>
          <w:rFonts w:cs="Arial"/>
        </w:rPr>
        <w:t>que ahora se debate</w:t>
      </w:r>
      <w:r w:rsidR="00366EDE" w:rsidRPr="009F61AF">
        <w:rPr>
          <w:rFonts w:cs="Arial"/>
        </w:rPr>
        <w:t xml:space="preserve">. Por ello </w:t>
      </w:r>
      <w:r w:rsidR="003327CD" w:rsidRPr="009F61AF">
        <w:rPr>
          <w:rFonts w:cs="Arial"/>
        </w:rPr>
        <w:t xml:space="preserve">resulta </w:t>
      </w:r>
      <w:r w:rsidR="00B51072" w:rsidRPr="009F61AF">
        <w:rPr>
          <w:rFonts w:cs="Arial"/>
        </w:rPr>
        <w:t xml:space="preserve">imperativo </w:t>
      </w:r>
      <w:r w:rsidR="00B967F4" w:rsidRPr="009F61AF">
        <w:rPr>
          <w:rFonts w:cs="Arial"/>
        </w:rPr>
        <w:t xml:space="preserve">para desatar el recurso, </w:t>
      </w:r>
      <w:r w:rsidR="003327CD" w:rsidRPr="009F61AF">
        <w:rPr>
          <w:rFonts w:cs="Arial"/>
        </w:rPr>
        <w:t xml:space="preserve">establecer la fecha de terminación del </w:t>
      </w:r>
      <w:r w:rsidR="00BE4347" w:rsidRPr="009F61AF">
        <w:rPr>
          <w:rFonts w:cs="Arial"/>
        </w:rPr>
        <w:t>contrato y el plazo para la liquidación del mismo</w:t>
      </w:r>
      <w:r w:rsidR="00E55B96" w:rsidRPr="009F61AF">
        <w:rPr>
          <w:rFonts w:cs="Arial"/>
        </w:rPr>
        <w:t xml:space="preserve">, en orden a dar aplicación al </w:t>
      </w:r>
      <w:r w:rsidR="005E1C4E" w:rsidRPr="009F61AF">
        <w:rPr>
          <w:rFonts w:cs="Arial"/>
        </w:rPr>
        <w:t>artículo 164 del C.P.C.A.,</w:t>
      </w:r>
      <w:r w:rsidR="00783223" w:rsidRPr="009F61AF">
        <w:rPr>
          <w:rFonts w:cs="Arial"/>
        </w:rPr>
        <w:t xml:space="preserve"> en el cual se lee</w:t>
      </w:r>
      <w:r w:rsidR="005E1C4E" w:rsidRPr="009F61AF">
        <w:rPr>
          <w:rFonts w:cs="Arial"/>
        </w:rPr>
        <w:t>:</w:t>
      </w:r>
    </w:p>
    <w:p w14:paraId="7C4569BB" w14:textId="77777777" w:rsidR="005E1C4E" w:rsidRPr="009F61AF" w:rsidRDefault="00BA0B9D" w:rsidP="0081115F">
      <w:pPr>
        <w:shd w:val="clear" w:color="auto" w:fill="FFFFFF"/>
        <w:spacing w:line="276" w:lineRule="auto"/>
        <w:rPr>
          <w:rFonts w:cs="Arial"/>
          <w:i/>
          <w:color w:val="000000"/>
        </w:rPr>
      </w:pPr>
      <w:r w:rsidRPr="009F61AF">
        <w:rPr>
          <w:rFonts w:cs="Arial"/>
          <w:i/>
          <w:color w:val="000000"/>
        </w:rPr>
        <w:lastRenderedPageBreak/>
        <w:t>“</w:t>
      </w:r>
      <w:r w:rsidR="005E1C4E" w:rsidRPr="009F61AF">
        <w:rPr>
          <w:rFonts w:cs="Arial"/>
          <w:i/>
          <w:color w:val="000000"/>
        </w:rPr>
        <w:t>j) En las relativas a contratos el término para demandar será de dos (2) años que se contarán a partir del día siguiente a la ocurrencia de los motivos de hecho o de derecho que les sirvan de fundamento.</w:t>
      </w:r>
    </w:p>
    <w:p w14:paraId="0DF62033" w14:textId="77777777" w:rsidR="005E1C4E" w:rsidRPr="009F61AF" w:rsidRDefault="00BA0B9D" w:rsidP="0081115F">
      <w:pPr>
        <w:shd w:val="clear" w:color="auto" w:fill="FFFFFF"/>
        <w:spacing w:line="276" w:lineRule="auto"/>
        <w:rPr>
          <w:rFonts w:cs="Arial"/>
          <w:i/>
          <w:color w:val="000000"/>
        </w:rPr>
      </w:pPr>
      <w:r w:rsidRPr="009F61AF">
        <w:rPr>
          <w:rFonts w:cs="Arial"/>
          <w:i/>
          <w:color w:val="000000"/>
        </w:rPr>
        <w:t>“</w:t>
      </w:r>
      <w:r w:rsidR="005E1C4E" w:rsidRPr="009F61AF">
        <w:rPr>
          <w:rFonts w:cs="Arial"/>
          <w:i/>
          <w:color w:val="000000"/>
        </w:rPr>
        <w:t>(…)</w:t>
      </w:r>
    </w:p>
    <w:p w14:paraId="363E0DE2" w14:textId="77777777" w:rsidR="005E1C4E" w:rsidRPr="009F61AF" w:rsidRDefault="00B967F4" w:rsidP="0081115F">
      <w:pPr>
        <w:shd w:val="clear" w:color="auto" w:fill="FFFFFF"/>
        <w:spacing w:line="276" w:lineRule="auto"/>
        <w:rPr>
          <w:rFonts w:cs="Arial"/>
          <w:i/>
          <w:color w:val="000000"/>
        </w:rPr>
      </w:pPr>
      <w:r w:rsidRPr="009F61AF">
        <w:rPr>
          <w:rFonts w:cs="Arial"/>
          <w:i/>
          <w:color w:val="000000"/>
        </w:rPr>
        <w:t>“</w:t>
      </w:r>
      <w:r w:rsidR="005E1C4E" w:rsidRPr="009F61AF">
        <w:rPr>
          <w:rFonts w:cs="Arial"/>
          <w:i/>
          <w:color w:val="000000"/>
        </w:rPr>
        <w:t>En los siguientes contratos, el término de dos (2) años se contará así:</w:t>
      </w:r>
    </w:p>
    <w:p w14:paraId="05A76A47" w14:textId="77777777" w:rsidR="005E1C4E" w:rsidRPr="009F61AF" w:rsidRDefault="00B967F4" w:rsidP="0081115F">
      <w:pPr>
        <w:shd w:val="clear" w:color="auto" w:fill="FFFFFF"/>
        <w:spacing w:line="276" w:lineRule="auto"/>
        <w:rPr>
          <w:rFonts w:cs="Arial"/>
          <w:i/>
          <w:color w:val="000000"/>
        </w:rPr>
      </w:pPr>
      <w:r w:rsidRPr="009F61AF">
        <w:rPr>
          <w:rFonts w:cs="Arial"/>
          <w:i/>
          <w:color w:val="000000"/>
        </w:rPr>
        <w:t>“</w:t>
      </w:r>
      <w:r w:rsidR="005E1C4E" w:rsidRPr="009F61AF">
        <w:rPr>
          <w:rFonts w:cs="Arial"/>
          <w:i/>
          <w:color w:val="000000"/>
        </w:rPr>
        <w:t>(…)</w:t>
      </w:r>
    </w:p>
    <w:p w14:paraId="02A4CABD" w14:textId="77777777" w:rsidR="005E1C4E" w:rsidRPr="009F61AF" w:rsidRDefault="00B967F4" w:rsidP="0081115F">
      <w:pPr>
        <w:shd w:val="clear" w:color="auto" w:fill="FFFFFF"/>
        <w:spacing w:line="276" w:lineRule="auto"/>
        <w:rPr>
          <w:rFonts w:cs="Arial"/>
          <w:i/>
          <w:color w:val="000000"/>
        </w:rPr>
      </w:pPr>
      <w:r w:rsidRPr="009F61AF">
        <w:rPr>
          <w:rFonts w:cs="Arial"/>
          <w:i/>
          <w:color w:val="000000"/>
        </w:rPr>
        <w:t>“</w:t>
      </w:r>
      <w:r w:rsidR="005E1C4E" w:rsidRPr="009F61AF">
        <w:rPr>
          <w:rFonts w:cs="Arial"/>
          <w:i/>
          <w:color w:val="000000"/>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sidR="00783223" w:rsidRPr="009F61AF">
        <w:rPr>
          <w:rFonts w:cs="Arial"/>
          <w:i/>
          <w:color w:val="000000"/>
        </w:rPr>
        <w:t>”</w:t>
      </w:r>
      <w:r w:rsidRPr="009F61AF">
        <w:rPr>
          <w:rFonts w:cs="Arial"/>
          <w:i/>
          <w:color w:val="000000"/>
        </w:rPr>
        <w:t>.</w:t>
      </w:r>
    </w:p>
    <w:p w14:paraId="070256D5" w14:textId="77777777" w:rsidR="00A30C22" w:rsidRPr="009F61AF" w:rsidRDefault="00B74C1E" w:rsidP="0081115F">
      <w:pPr>
        <w:pStyle w:val="NormalWeb"/>
        <w:shd w:val="clear" w:color="auto" w:fill="FFFFFF"/>
        <w:spacing w:before="0" w:beforeAutospacing="0" w:after="0" w:afterAutospacing="0"/>
        <w:rPr>
          <w:rFonts w:cs="Arial"/>
        </w:rPr>
      </w:pPr>
      <w:r w:rsidRPr="009F61AF">
        <w:rPr>
          <w:rFonts w:cs="Arial"/>
        </w:rPr>
        <w:t>De acuerdo con el recurso interpuesto</w:t>
      </w:r>
      <w:r w:rsidR="009A67CC" w:rsidRPr="009F61AF">
        <w:rPr>
          <w:rFonts w:cs="Arial"/>
        </w:rPr>
        <w:t>,</w:t>
      </w:r>
      <w:r w:rsidRPr="009F61AF">
        <w:rPr>
          <w:rFonts w:cs="Arial"/>
        </w:rPr>
        <w:t xml:space="preserve"> el </w:t>
      </w:r>
      <w:r w:rsidR="000D5FD2" w:rsidRPr="009F61AF">
        <w:rPr>
          <w:rFonts w:cs="Arial"/>
        </w:rPr>
        <w:t>ICBF</w:t>
      </w:r>
      <w:r w:rsidRPr="009F61AF">
        <w:rPr>
          <w:rFonts w:cs="Arial"/>
        </w:rPr>
        <w:t xml:space="preserve"> insistió en que </w:t>
      </w:r>
      <w:r w:rsidR="003E336E" w:rsidRPr="009F61AF">
        <w:rPr>
          <w:rFonts w:cs="Arial"/>
        </w:rPr>
        <w:t xml:space="preserve">el contrato terminó el 30 de </w:t>
      </w:r>
      <w:r w:rsidR="001F5F65" w:rsidRPr="009F61AF">
        <w:rPr>
          <w:rFonts w:cs="Arial"/>
        </w:rPr>
        <w:t>noviembre de 2010</w:t>
      </w:r>
      <w:r w:rsidRPr="009F61AF">
        <w:rPr>
          <w:rFonts w:cs="Arial"/>
        </w:rPr>
        <w:t xml:space="preserve"> y que de allí </w:t>
      </w:r>
      <w:r w:rsidR="00963CC1" w:rsidRPr="009F61AF">
        <w:rPr>
          <w:rFonts w:cs="Arial"/>
        </w:rPr>
        <w:t xml:space="preserve">debió </w:t>
      </w:r>
      <w:r w:rsidRPr="009F61AF">
        <w:rPr>
          <w:rFonts w:cs="Arial"/>
        </w:rPr>
        <w:t xml:space="preserve">partir el cómputo </w:t>
      </w:r>
      <w:r w:rsidR="00A30C22" w:rsidRPr="009F61AF">
        <w:rPr>
          <w:rFonts w:cs="Arial"/>
        </w:rPr>
        <w:t xml:space="preserve">para establecer </w:t>
      </w:r>
      <w:r w:rsidRPr="009F61AF">
        <w:rPr>
          <w:rFonts w:cs="Arial"/>
        </w:rPr>
        <w:t>la caducidad de la acción</w:t>
      </w:r>
      <w:r w:rsidR="00A30C22" w:rsidRPr="009F61AF">
        <w:rPr>
          <w:rFonts w:cs="Arial"/>
        </w:rPr>
        <w:t>.</w:t>
      </w:r>
    </w:p>
    <w:p w14:paraId="7FC9D642" w14:textId="77777777" w:rsidR="0050372B" w:rsidRPr="009F61AF" w:rsidRDefault="00897DEC" w:rsidP="0081115F">
      <w:pPr>
        <w:pStyle w:val="NormalWeb"/>
        <w:shd w:val="clear" w:color="auto" w:fill="FFFFFF"/>
        <w:spacing w:before="0" w:beforeAutospacing="0" w:after="0" w:afterAutospacing="0"/>
        <w:rPr>
          <w:rFonts w:cs="Arial"/>
        </w:rPr>
      </w:pPr>
      <w:r w:rsidRPr="009F61AF">
        <w:rPr>
          <w:rFonts w:cs="Arial"/>
        </w:rPr>
        <w:t xml:space="preserve">Se </w:t>
      </w:r>
      <w:r w:rsidR="00AD677C" w:rsidRPr="009F61AF">
        <w:rPr>
          <w:rFonts w:cs="Arial"/>
        </w:rPr>
        <w:t xml:space="preserve">advierte </w:t>
      </w:r>
      <w:r w:rsidRPr="009F61AF">
        <w:rPr>
          <w:rFonts w:cs="Arial"/>
        </w:rPr>
        <w:t xml:space="preserve">que aunque el </w:t>
      </w:r>
      <w:r w:rsidR="00366EDE" w:rsidRPr="009F61AF">
        <w:rPr>
          <w:rFonts w:cs="Arial"/>
        </w:rPr>
        <w:t>C</w:t>
      </w:r>
      <w:r w:rsidRPr="009F61AF">
        <w:rPr>
          <w:rFonts w:cs="Arial"/>
        </w:rPr>
        <w:t xml:space="preserve">ontrato </w:t>
      </w:r>
      <w:r w:rsidR="00D74E3B" w:rsidRPr="009F61AF">
        <w:rPr>
          <w:rFonts w:cs="Arial"/>
        </w:rPr>
        <w:t>067</w:t>
      </w:r>
      <w:r w:rsidRPr="009F61AF">
        <w:rPr>
          <w:rFonts w:cs="Arial"/>
        </w:rPr>
        <w:t xml:space="preserve"> estaba en el supuesto de requerir su liquidación por virtud de</w:t>
      </w:r>
      <w:r w:rsidR="00C96ECB" w:rsidRPr="009F61AF">
        <w:rPr>
          <w:rFonts w:cs="Arial"/>
        </w:rPr>
        <w:t xml:space="preserve">l artículo 60 de </w:t>
      </w:r>
      <w:r w:rsidRPr="009F61AF">
        <w:rPr>
          <w:rFonts w:cs="Arial"/>
        </w:rPr>
        <w:t xml:space="preserve">la </w:t>
      </w:r>
      <w:r w:rsidR="00825699" w:rsidRPr="009F61AF">
        <w:rPr>
          <w:rFonts w:cs="Arial"/>
        </w:rPr>
        <w:t xml:space="preserve">Ley 80 de 1993 y que el término contractual </w:t>
      </w:r>
      <w:r w:rsidR="00C96ECB" w:rsidRPr="009F61AF">
        <w:rPr>
          <w:rFonts w:cs="Arial"/>
        </w:rPr>
        <w:t xml:space="preserve">para la liquidación </w:t>
      </w:r>
      <w:r w:rsidR="00825699" w:rsidRPr="009F61AF">
        <w:rPr>
          <w:rFonts w:cs="Arial"/>
        </w:rPr>
        <w:t xml:space="preserve">se estableció en la </w:t>
      </w:r>
      <w:r w:rsidRPr="009F61AF">
        <w:rPr>
          <w:rFonts w:cs="Arial"/>
        </w:rPr>
        <w:t>cláusula décima cuarta del mismo</w:t>
      </w:r>
      <w:r w:rsidR="000D30DB" w:rsidRPr="009F61AF">
        <w:rPr>
          <w:rFonts w:cs="Arial"/>
        </w:rPr>
        <w:t xml:space="preserve">, toda vez que </w:t>
      </w:r>
      <w:r w:rsidR="00556615" w:rsidRPr="009F61AF">
        <w:rPr>
          <w:rFonts w:cs="Arial"/>
        </w:rPr>
        <w:t xml:space="preserve">allí se </w:t>
      </w:r>
      <w:r w:rsidR="00825699" w:rsidRPr="009F61AF">
        <w:rPr>
          <w:rFonts w:cs="Arial"/>
        </w:rPr>
        <w:t xml:space="preserve">fijó </w:t>
      </w:r>
      <w:r w:rsidR="00C42F72" w:rsidRPr="009F61AF">
        <w:rPr>
          <w:rFonts w:cs="Arial"/>
        </w:rPr>
        <w:t xml:space="preserve">que el plazo para adelantar la </w:t>
      </w:r>
      <w:r w:rsidR="00C96ECB" w:rsidRPr="009F61AF">
        <w:rPr>
          <w:rFonts w:cs="Arial"/>
        </w:rPr>
        <w:t xml:space="preserve">liquidación </w:t>
      </w:r>
      <w:r w:rsidR="00C42F72" w:rsidRPr="009F61AF">
        <w:rPr>
          <w:rFonts w:cs="Arial"/>
        </w:rPr>
        <w:t xml:space="preserve">bilateral era de cuatro meses, fragmentado en </w:t>
      </w:r>
      <w:r w:rsidR="00825699" w:rsidRPr="009F61AF">
        <w:rPr>
          <w:rFonts w:cs="Arial"/>
        </w:rPr>
        <w:t>dos etapas de dos meses cada un</w:t>
      </w:r>
      <w:r w:rsidR="00C96ECB" w:rsidRPr="009F61AF">
        <w:rPr>
          <w:rFonts w:cs="Arial"/>
        </w:rPr>
        <w:t>a</w:t>
      </w:r>
      <w:r w:rsidR="00825699" w:rsidRPr="009F61AF">
        <w:rPr>
          <w:rFonts w:cs="Arial"/>
        </w:rPr>
        <w:t xml:space="preserve">, </w:t>
      </w:r>
      <w:r w:rsidR="00C96ECB" w:rsidRPr="009F61AF">
        <w:rPr>
          <w:rFonts w:cs="Arial"/>
        </w:rPr>
        <w:t xml:space="preserve">lo cual </w:t>
      </w:r>
      <w:r w:rsidR="000D30DB" w:rsidRPr="009F61AF">
        <w:rPr>
          <w:rFonts w:cs="Arial"/>
        </w:rPr>
        <w:t>constituy</w:t>
      </w:r>
      <w:r w:rsidR="00C96ECB" w:rsidRPr="009F61AF">
        <w:rPr>
          <w:rFonts w:cs="Arial"/>
        </w:rPr>
        <w:t>ó</w:t>
      </w:r>
      <w:r w:rsidR="00556615" w:rsidRPr="009F61AF">
        <w:rPr>
          <w:rFonts w:cs="Arial"/>
        </w:rPr>
        <w:t xml:space="preserve"> una </w:t>
      </w:r>
      <w:r w:rsidR="000D30DB" w:rsidRPr="009F61AF">
        <w:rPr>
          <w:rFonts w:cs="Arial"/>
        </w:rPr>
        <w:t xml:space="preserve">ley para las partes en los términos del artículo 1602 del Código Civil. </w:t>
      </w:r>
    </w:p>
    <w:p w14:paraId="7D2DB19A" w14:textId="77777777" w:rsidR="000B51BE" w:rsidRPr="009F61AF" w:rsidRDefault="001E791C" w:rsidP="0081115F">
      <w:pPr>
        <w:pStyle w:val="NormalWeb"/>
        <w:shd w:val="clear" w:color="auto" w:fill="FFFFFF"/>
        <w:spacing w:before="0" w:beforeAutospacing="0" w:after="0" w:afterAutospacing="0"/>
        <w:rPr>
          <w:rFonts w:cs="Arial"/>
        </w:rPr>
      </w:pPr>
      <w:r w:rsidRPr="009F61AF">
        <w:rPr>
          <w:rFonts w:cs="Arial"/>
        </w:rPr>
        <w:t>Ahora bien, e</w:t>
      </w:r>
      <w:r w:rsidR="001F5F65" w:rsidRPr="009F61AF">
        <w:rPr>
          <w:rFonts w:cs="Arial"/>
        </w:rPr>
        <w:t>l Tribunal de Arbitramento e</w:t>
      </w:r>
      <w:r w:rsidR="000D5FD2" w:rsidRPr="009F61AF">
        <w:rPr>
          <w:rFonts w:cs="Arial"/>
        </w:rPr>
        <w:t xml:space="preserve">stimó que el </w:t>
      </w:r>
      <w:r w:rsidR="001F5F65" w:rsidRPr="009F61AF">
        <w:rPr>
          <w:rFonts w:cs="Arial"/>
        </w:rPr>
        <w:t xml:space="preserve">contrato terminó el </w:t>
      </w:r>
      <w:r w:rsidR="00173F3E" w:rsidRPr="009F61AF">
        <w:rPr>
          <w:rFonts w:cs="Arial"/>
        </w:rPr>
        <w:t>30 de marzo de 2011</w:t>
      </w:r>
      <w:r w:rsidR="000B51BE" w:rsidRPr="009F61AF">
        <w:rPr>
          <w:rFonts w:cs="Arial"/>
        </w:rPr>
        <w:t xml:space="preserve">, </w:t>
      </w:r>
      <w:r w:rsidR="00A30C22" w:rsidRPr="009F61AF">
        <w:rPr>
          <w:rFonts w:cs="Arial"/>
        </w:rPr>
        <w:t xml:space="preserve">toda vez que </w:t>
      </w:r>
      <w:r w:rsidRPr="009F61AF">
        <w:rPr>
          <w:rFonts w:cs="Arial"/>
        </w:rPr>
        <w:t xml:space="preserve">incluyó dentro </w:t>
      </w:r>
      <w:r w:rsidR="000B51BE" w:rsidRPr="009F61AF">
        <w:rPr>
          <w:rFonts w:cs="Arial"/>
        </w:rPr>
        <w:t>de</w:t>
      </w:r>
      <w:r w:rsidR="0050372B" w:rsidRPr="009F61AF">
        <w:rPr>
          <w:rFonts w:cs="Arial"/>
        </w:rPr>
        <w:t xml:space="preserve">l término </w:t>
      </w:r>
      <w:r w:rsidR="000B51BE" w:rsidRPr="009F61AF">
        <w:rPr>
          <w:rFonts w:cs="Arial"/>
        </w:rPr>
        <w:t xml:space="preserve">del contrato </w:t>
      </w:r>
      <w:r w:rsidRPr="009F61AF">
        <w:rPr>
          <w:rFonts w:cs="Arial"/>
        </w:rPr>
        <w:t xml:space="preserve">los cuatro meses </w:t>
      </w:r>
      <w:r w:rsidR="0050372B" w:rsidRPr="009F61AF">
        <w:rPr>
          <w:rFonts w:cs="Arial"/>
        </w:rPr>
        <w:t xml:space="preserve">de vigencia </w:t>
      </w:r>
      <w:r w:rsidRPr="009F61AF">
        <w:rPr>
          <w:rFonts w:cs="Arial"/>
        </w:rPr>
        <w:t xml:space="preserve">a que se refirió </w:t>
      </w:r>
      <w:r w:rsidR="0027736B" w:rsidRPr="009F61AF">
        <w:rPr>
          <w:rFonts w:cs="Arial"/>
        </w:rPr>
        <w:t xml:space="preserve">el parágrafo de </w:t>
      </w:r>
      <w:r w:rsidR="00173F3E" w:rsidRPr="009F61AF">
        <w:rPr>
          <w:rFonts w:cs="Arial"/>
        </w:rPr>
        <w:t>la cláusula cuarta</w:t>
      </w:r>
      <w:r w:rsidRPr="009F61AF">
        <w:rPr>
          <w:rFonts w:cs="Arial"/>
        </w:rPr>
        <w:t>,</w:t>
      </w:r>
      <w:r w:rsidR="00173F3E" w:rsidRPr="009F61AF">
        <w:rPr>
          <w:rFonts w:cs="Arial"/>
        </w:rPr>
        <w:t xml:space="preserve"> </w:t>
      </w:r>
      <w:r w:rsidR="000B51BE" w:rsidRPr="009F61AF">
        <w:rPr>
          <w:rFonts w:cs="Arial"/>
        </w:rPr>
        <w:t xml:space="preserve">en el cual se dispuso: </w:t>
      </w:r>
    </w:p>
    <w:p w14:paraId="5D0359CE" w14:textId="77777777" w:rsidR="00D60933" w:rsidRPr="009F61AF" w:rsidRDefault="00D60933" w:rsidP="0081115F">
      <w:pPr>
        <w:pStyle w:val="NormalWeb"/>
        <w:shd w:val="clear" w:color="auto" w:fill="FFFFFF"/>
        <w:spacing w:before="0" w:beforeAutospacing="0" w:after="0" w:afterAutospacing="0" w:line="276" w:lineRule="auto"/>
        <w:rPr>
          <w:rFonts w:cs="Arial"/>
          <w:i/>
        </w:rPr>
      </w:pPr>
      <w:r w:rsidRPr="009F61AF">
        <w:rPr>
          <w:rFonts w:cs="Arial"/>
          <w:i/>
        </w:rPr>
        <w:t>“</w:t>
      </w:r>
      <w:r w:rsidR="00DC74EF" w:rsidRPr="009F61AF">
        <w:rPr>
          <w:rFonts w:cs="Arial"/>
          <w:i/>
        </w:rPr>
        <w:t xml:space="preserve">CUARTA.- PLAZO DE EJECUCION.- (…) </w:t>
      </w:r>
      <w:r w:rsidRPr="009F61AF">
        <w:rPr>
          <w:rFonts w:cs="Arial"/>
          <w:i/>
        </w:rPr>
        <w:t>PARÁGRAFO El presente contrato se mantendrá vigente durante el plazo de ejecución y cuatro (4) meses más, tiempo que no afecta el plazo de ejecución”</w:t>
      </w:r>
      <w:r w:rsidR="007D7C34" w:rsidRPr="009F61AF">
        <w:rPr>
          <w:rFonts w:cs="Arial"/>
          <w:i/>
        </w:rPr>
        <w:t>.</w:t>
      </w:r>
    </w:p>
    <w:p w14:paraId="64990D39" w14:textId="77777777" w:rsidR="00864E82" w:rsidRPr="009F61AF" w:rsidRDefault="00864E82" w:rsidP="0081115F">
      <w:pPr>
        <w:pStyle w:val="NormalWeb"/>
        <w:shd w:val="clear" w:color="auto" w:fill="FFFFFF"/>
        <w:spacing w:before="0" w:beforeAutospacing="0" w:after="0" w:afterAutospacing="0"/>
        <w:rPr>
          <w:rFonts w:cs="Arial"/>
        </w:rPr>
      </w:pPr>
      <w:r w:rsidRPr="009F61AF">
        <w:rPr>
          <w:rFonts w:cs="Arial"/>
        </w:rPr>
        <w:t xml:space="preserve">En el punto específico del término del contrato, el </w:t>
      </w:r>
      <w:r w:rsidR="00464B4E" w:rsidRPr="009F61AF">
        <w:rPr>
          <w:rFonts w:cs="Arial"/>
        </w:rPr>
        <w:t>T</w:t>
      </w:r>
      <w:r w:rsidRPr="009F61AF">
        <w:rPr>
          <w:rFonts w:cs="Arial"/>
        </w:rPr>
        <w:t xml:space="preserve">ribunal de Arbitramento consideró: </w:t>
      </w:r>
    </w:p>
    <w:p w14:paraId="5E9D384B" w14:textId="77777777" w:rsidR="001A573A" w:rsidRPr="009F61AF" w:rsidRDefault="00464B4E" w:rsidP="0081115F">
      <w:pPr>
        <w:pStyle w:val="NormalWeb"/>
        <w:shd w:val="clear" w:color="auto" w:fill="FFFFFF"/>
        <w:spacing w:before="0" w:beforeAutospacing="0" w:after="0" w:afterAutospacing="0" w:line="276" w:lineRule="auto"/>
        <w:rPr>
          <w:rFonts w:cs="Arial"/>
          <w:i/>
        </w:rPr>
      </w:pPr>
      <w:r w:rsidRPr="009F61AF">
        <w:rPr>
          <w:rFonts w:cs="Arial"/>
          <w:i/>
        </w:rPr>
        <w:t>“Siendo as</w:t>
      </w:r>
      <w:r w:rsidR="004B5C01" w:rsidRPr="009F61AF">
        <w:rPr>
          <w:rFonts w:cs="Arial"/>
          <w:i/>
        </w:rPr>
        <w:t>í</w:t>
      </w:r>
      <w:r w:rsidRPr="009F61AF">
        <w:rPr>
          <w:rFonts w:cs="Arial"/>
          <w:i/>
        </w:rPr>
        <w:t xml:space="preserve">, considera el Tribunal que para efectos de precisar el término de caducidad de la acción contractual, a pesar </w:t>
      </w:r>
      <w:r w:rsidR="007D7C34" w:rsidRPr="009F61AF">
        <w:rPr>
          <w:rFonts w:cs="Arial"/>
          <w:i/>
        </w:rPr>
        <w:t xml:space="preserve">[de] </w:t>
      </w:r>
      <w:r w:rsidRPr="009F61AF">
        <w:rPr>
          <w:rFonts w:cs="Arial"/>
          <w:i/>
        </w:rPr>
        <w:t xml:space="preserve">que las prestaciones a cargo de </w:t>
      </w:r>
      <w:r w:rsidRPr="009F61AF">
        <w:rPr>
          <w:rFonts w:cs="Arial"/>
          <w:b/>
          <w:i/>
        </w:rPr>
        <w:t>FUNDASUPERIOR</w:t>
      </w:r>
      <w:r w:rsidRPr="009F61AF">
        <w:rPr>
          <w:rFonts w:cs="Arial"/>
          <w:i/>
        </w:rPr>
        <w:t xml:space="preserve"> dejaron de ejecutarse el 30 de noviembre de 2010,</w:t>
      </w:r>
      <w:r w:rsidR="00DC74EF" w:rsidRPr="009F61AF">
        <w:rPr>
          <w:rFonts w:cs="Arial"/>
          <w:i/>
        </w:rPr>
        <w:t xml:space="preserve"> </w:t>
      </w:r>
      <w:r w:rsidRPr="009F61AF">
        <w:rPr>
          <w:rFonts w:cs="Arial"/>
          <w:i/>
        </w:rPr>
        <w:t>esto es hasta la culminación del periodo de ejecución previsto en la cláusula tercera</w:t>
      </w:r>
      <w:r w:rsidR="00356F46" w:rsidRPr="009F61AF">
        <w:rPr>
          <w:rFonts w:cs="Arial"/>
          <w:i/>
        </w:rPr>
        <w:t xml:space="preserve"> de la Adición 2</w:t>
      </w:r>
      <w:r w:rsidR="001A573A" w:rsidRPr="009F61AF">
        <w:rPr>
          <w:rFonts w:cs="Arial"/>
          <w:i/>
        </w:rPr>
        <w:t>,</w:t>
      </w:r>
      <w:r w:rsidR="00356F46" w:rsidRPr="009F61AF">
        <w:rPr>
          <w:rFonts w:cs="Arial"/>
          <w:i/>
        </w:rPr>
        <w:t xml:space="preserve"> Prórroga 2 a que se hizo referencia, </w:t>
      </w:r>
      <w:r w:rsidR="00356F46" w:rsidRPr="009F61AF">
        <w:rPr>
          <w:rFonts w:cs="Arial"/>
          <w:b/>
          <w:i/>
        </w:rPr>
        <w:t>el contrato mantuvo vigencia hasta el 30 de marzo de 2011.</w:t>
      </w:r>
      <w:r w:rsidR="00356F46" w:rsidRPr="009F61AF">
        <w:rPr>
          <w:rFonts w:cs="Arial"/>
          <w:i/>
        </w:rPr>
        <w:t xml:space="preserve"> As</w:t>
      </w:r>
      <w:r w:rsidR="001A573A" w:rsidRPr="009F61AF">
        <w:rPr>
          <w:rFonts w:cs="Arial"/>
          <w:i/>
        </w:rPr>
        <w:t>í</w:t>
      </w:r>
      <w:r w:rsidR="00356F46" w:rsidRPr="009F61AF">
        <w:rPr>
          <w:rFonts w:cs="Arial"/>
          <w:i/>
        </w:rPr>
        <w:t xml:space="preserve"> se desprende de lo dispuesto en el parágrafo de la cláusula cuarta del contrato 067 de 2009</w:t>
      </w:r>
      <w:r w:rsidR="001A573A" w:rsidRPr="009F61AF">
        <w:rPr>
          <w:rFonts w:cs="Arial"/>
          <w:i/>
        </w:rPr>
        <w:t>.</w:t>
      </w:r>
      <w:r w:rsidR="00356F46" w:rsidRPr="009F61AF">
        <w:rPr>
          <w:rFonts w:cs="Arial"/>
          <w:i/>
        </w:rPr>
        <w:t xml:space="preserve"> En efecto, en él se señala que vencido el término de ejecución del contrato, éste mantenía una vigencia</w:t>
      </w:r>
      <w:r w:rsidR="001A573A" w:rsidRPr="009F61AF">
        <w:rPr>
          <w:rFonts w:cs="Arial"/>
          <w:i/>
        </w:rPr>
        <w:t xml:space="preserve"> </w:t>
      </w:r>
      <w:r w:rsidR="00356F46" w:rsidRPr="009F61AF">
        <w:rPr>
          <w:rFonts w:cs="Arial"/>
          <w:i/>
        </w:rPr>
        <w:t>por cuatro meses m</w:t>
      </w:r>
      <w:r w:rsidR="001A573A" w:rsidRPr="009F61AF">
        <w:rPr>
          <w:rFonts w:cs="Arial"/>
          <w:i/>
        </w:rPr>
        <w:t>á</w:t>
      </w:r>
      <w:r w:rsidR="00356F46" w:rsidRPr="009F61AF">
        <w:rPr>
          <w:rFonts w:cs="Arial"/>
          <w:i/>
        </w:rPr>
        <w:t xml:space="preserve">s. Una cosa es, como lo precisa dicho parágrafo, que se establezca </w:t>
      </w:r>
      <w:r w:rsidR="001A573A" w:rsidRPr="009F61AF">
        <w:rPr>
          <w:rFonts w:cs="Arial"/>
          <w:i/>
        </w:rPr>
        <w:t>l</w:t>
      </w:r>
      <w:r w:rsidR="00356F46" w:rsidRPr="009F61AF">
        <w:rPr>
          <w:rFonts w:cs="Arial"/>
          <w:i/>
        </w:rPr>
        <w:t xml:space="preserve">a fecha límite de ejecución de las prestaciones a cargo </w:t>
      </w:r>
      <w:r w:rsidR="004B5C01" w:rsidRPr="009F61AF">
        <w:rPr>
          <w:rFonts w:cs="Arial"/>
          <w:i/>
        </w:rPr>
        <w:t>de FUNDASUPERIOR y otra el pl</w:t>
      </w:r>
      <w:r w:rsidR="001A573A" w:rsidRPr="009F61AF">
        <w:rPr>
          <w:rFonts w:cs="Arial"/>
          <w:i/>
        </w:rPr>
        <w:t>a</w:t>
      </w:r>
      <w:r w:rsidR="004B5C01" w:rsidRPr="009F61AF">
        <w:rPr>
          <w:rFonts w:cs="Arial"/>
          <w:i/>
        </w:rPr>
        <w:t xml:space="preserve">zo </w:t>
      </w:r>
      <w:r w:rsidR="004B5C01" w:rsidRPr="009F61AF">
        <w:rPr>
          <w:rFonts w:cs="Arial"/>
          <w:i/>
        </w:rPr>
        <w:lastRenderedPageBreak/>
        <w:t>de vigencia del contrato que, de acue</w:t>
      </w:r>
      <w:r w:rsidR="001A573A" w:rsidRPr="009F61AF">
        <w:rPr>
          <w:rFonts w:cs="Arial"/>
          <w:i/>
        </w:rPr>
        <w:t>r</w:t>
      </w:r>
      <w:r w:rsidR="004B5C01" w:rsidRPr="009F61AF">
        <w:rPr>
          <w:rFonts w:cs="Arial"/>
          <w:i/>
        </w:rPr>
        <w:t xml:space="preserve">do </w:t>
      </w:r>
      <w:r w:rsidR="001A573A" w:rsidRPr="009F61AF">
        <w:rPr>
          <w:rFonts w:cs="Arial"/>
          <w:i/>
        </w:rPr>
        <w:t>c</w:t>
      </w:r>
      <w:r w:rsidR="004B5C01" w:rsidRPr="009F61AF">
        <w:rPr>
          <w:rFonts w:cs="Arial"/>
          <w:i/>
        </w:rPr>
        <w:t>on el parágrafo, se extiende por cuatro meses”</w:t>
      </w:r>
      <w:r w:rsidR="004B5C01" w:rsidRPr="009F61AF">
        <w:rPr>
          <w:rStyle w:val="Refdenotaalpie"/>
          <w:rFonts w:cs="Arial"/>
          <w:i/>
        </w:rPr>
        <w:footnoteReference w:id="25"/>
      </w:r>
      <w:r w:rsidR="001A573A" w:rsidRPr="009F61AF">
        <w:rPr>
          <w:rFonts w:cs="Arial"/>
          <w:i/>
        </w:rPr>
        <w:t>.</w:t>
      </w:r>
      <w:r w:rsidR="00B5137F" w:rsidRPr="009F61AF">
        <w:rPr>
          <w:rFonts w:cs="Arial"/>
          <w:i/>
        </w:rPr>
        <w:t xml:space="preserve"> </w:t>
      </w:r>
      <w:r w:rsidR="00B5137F" w:rsidRPr="009F61AF">
        <w:rPr>
          <w:rFonts w:cs="Arial"/>
        </w:rPr>
        <w:t>(La negrilla no es del texto)</w:t>
      </w:r>
    </w:p>
    <w:p w14:paraId="5085875C" w14:textId="77777777" w:rsidR="007D7C34" w:rsidRPr="009F61AF" w:rsidRDefault="00EC5AEE" w:rsidP="0081115F">
      <w:pPr>
        <w:pStyle w:val="NormalWeb"/>
        <w:shd w:val="clear" w:color="auto" w:fill="FFFFFF"/>
        <w:spacing w:before="0" w:beforeAutospacing="0" w:after="0" w:afterAutospacing="0"/>
        <w:rPr>
          <w:rFonts w:cs="Arial"/>
        </w:rPr>
      </w:pPr>
      <w:r w:rsidRPr="009F61AF">
        <w:rPr>
          <w:rFonts w:cs="Arial"/>
        </w:rPr>
        <w:t>Se observa que e</w:t>
      </w:r>
      <w:r w:rsidR="00187788" w:rsidRPr="009F61AF">
        <w:rPr>
          <w:rFonts w:cs="Arial"/>
        </w:rPr>
        <w:t>l Tribunal de Arbitramento e</w:t>
      </w:r>
      <w:r w:rsidR="00B5137F" w:rsidRPr="009F61AF">
        <w:rPr>
          <w:rFonts w:cs="Arial"/>
        </w:rPr>
        <w:t xml:space="preserve">stableció </w:t>
      </w:r>
      <w:r w:rsidR="00187788" w:rsidRPr="009F61AF">
        <w:rPr>
          <w:rFonts w:cs="Arial"/>
        </w:rPr>
        <w:t xml:space="preserve">que el término de cuatro meses se computaba dos veces: </w:t>
      </w:r>
      <w:r w:rsidR="00B5137F" w:rsidRPr="009F61AF">
        <w:rPr>
          <w:rFonts w:cs="Arial"/>
        </w:rPr>
        <w:t xml:space="preserve">la primera </w:t>
      </w:r>
      <w:r w:rsidR="00DC74EF" w:rsidRPr="009F61AF">
        <w:rPr>
          <w:rFonts w:cs="Arial"/>
        </w:rPr>
        <w:t xml:space="preserve">dentro de la vigencia del contrato, </w:t>
      </w:r>
      <w:r w:rsidR="00DF7CDE" w:rsidRPr="009F61AF">
        <w:rPr>
          <w:rFonts w:cs="Arial"/>
        </w:rPr>
        <w:t xml:space="preserve">por </w:t>
      </w:r>
      <w:r w:rsidR="00DC74EF" w:rsidRPr="009F61AF">
        <w:rPr>
          <w:rFonts w:cs="Arial"/>
        </w:rPr>
        <w:t xml:space="preserve">virtud de lo </w:t>
      </w:r>
      <w:r w:rsidR="00DF7CDE" w:rsidRPr="009F61AF">
        <w:rPr>
          <w:rFonts w:cs="Arial"/>
        </w:rPr>
        <w:t xml:space="preserve">previsto en </w:t>
      </w:r>
      <w:r w:rsidR="00B5137F" w:rsidRPr="009F61AF">
        <w:rPr>
          <w:rFonts w:cs="Arial"/>
        </w:rPr>
        <w:t xml:space="preserve">el parágrafo de </w:t>
      </w:r>
      <w:r w:rsidR="006440F4" w:rsidRPr="009F61AF">
        <w:rPr>
          <w:rFonts w:cs="Arial"/>
        </w:rPr>
        <w:t xml:space="preserve">la </w:t>
      </w:r>
      <w:r w:rsidR="00DC74EF" w:rsidRPr="009F61AF">
        <w:rPr>
          <w:rFonts w:cs="Arial"/>
        </w:rPr>
        <w:t>cláusula cuarta</w:t>
      </w:r>
      <w:r w:rsidR="00C42F72" w:rsidRPr="009F61AF">
        <w:rPr>
          <w:rFonts w:cs="Arial"/>
        </w:rPr>
        <w:t xml:space="preserve"> y l</w:t>
      </w:r>
      <w:r w:rsidR="00B5137F" w:rsidRPr="009F61AF">
        <w:rPr>
          <w:rFonts w:cs="Arial"/>
        </w:rPr>
        <w:t xml:space="preserve">a segunda, </w:t>
      </w:r>
      <w:r w:rsidR="00F014BB" w:rsidRPr="009F61AF">
        <w:rPr>
          <w:rFonts w:cs="Arial"/>
        </w:rPr>
        <w:t xml:space="preserve">por razón del plazo contractual </w:t>
      </w:r>
      <w:r w:rsidR="007D7C34" w:rsidRPr="009F61AF">
        <w:rPr>
          <w:rFonts w:cs="Arial"/>
        </w:rPr>
        <w:t xml:space="preserve">establecido </w:t>
      </w:r>
      <w:r w:rsidR="00F014BB" w:rsidRPr="009F61AF">
        <w:rPr>
          <w:rFonts w:cs="Arial"/>
        </w:rPr>
        <w:t xml:space="preserve">para la </w:t>
      </w:r>
      <w:r w:rsidR="006440F4" w:rsidRPr="009F61AF">
        <w:rPr>
          <w:rFonts w:cs="Arial"/>
        </w:rPr>
        <w:t>etapa de</w:t>
      </w:r>
      <w:r w:rsidR="00187788" w:rsidRPr="009F61AF">
        <w:rPr>
          <w:rFonts w:cs="Arial"/>
        </w:rPr>
        <w:t xml:space="preserve"> liquidación</w:t>
      </w:r>
      <w:r w:rsidR="007D7C34" w:rsidRPr="009F61AF">
        <w:rPr>
          <w:rFonts w:cs="Arial"/>
        </w:rPr>
        <w:t>,</w:t>
      </w:r>
      <w:r w:rsidR="006440F4" w:rsidRPr="009F61AF">
        <w:rPr>
          <w:rFonts w:cs="Arial"/>
        </w:rPr>
        <w:t xml:space="preserve"> </w:t>
      </w:r>
      <w:r w:rsidR="00B5137F" w:rsidRPr="009F61AF">
        <w:rPr>
          <w:rFonts w:cs="Arial"/>
        </w:rPr>
        <w:t xml:space="preserve">prevista en </w:t>
      </w:r>
      <w:r w:rsidR="006440F4" w:rsidRPr="009F61AF">
        <w:rPr>
          <w:rFonts w:cs="Arial"/>
        </w:rPr>
        <w:t>la cláusula vigésima cuarta del contrato</w:t>
      </w:r>
      <w:r w:rsidR="00187788" w:rsidRPr="009F61AF">
        <w:rPr>
          <w:rFonts w:cs="Arial"/>
        </w:rPr>
        <w:t xml:space="preserve">. </w:t>
      </w:r>
    </w:p>
    <w:p w14:paraId="2DA6C6C4" w14:textId="77777777" w:rsidR="00187788" w:rsidRPr="009F61AF" w:rsidRDefault="00187788" w:rsidP="0081115F">
      <w:pPr>
        <w:pStyle w:val="NormalWeb"/>
        <w:shd w:val="clear" w:color="auto" w:fill="FFFFFF"/>
        <w:spacing w:before="0" w:beforeAutospacing="0" w:after="0" w:afterAutospacing="0"/>
        <w:rPr>
          <w:rFonts w:cs="Arial"/>
        </w:rPr>
      </w:pPr>
      <w:r w:rsidRPr="009F61AF">
        <w:rPr>
          <w:rFonts w:cs="Arial"/>
        </w:rPr>
        <w:t xml:space="preserve">De lo primero infirió que el término del contrato </w:t>
      </w:r>
      <w:r w:rsidR="00B5137F" w:rsidRPr="009F61AF">
        <w:rPr>
          <w:rFonts w:cs="Arial"/>
        </w:rPr>
        <w:t xml:space="preserve">al que se refirió el artículo 164 del C.P.A.C.A. </w:t>
      </w:r>
      <w:r w:rsidR="00F014BB" w:rsidRPr="009F61AF">
        <w:rPr>
          <w:rFonts w:cs="Arial"/>
        </w:rPr>
        <w:t xml:space="preserve">para efectos de la caducidad de la acción </w:t>
      </w:r>
      <w:r w:rsidRPr="009F61AF">
        <w:rPr>
          <w:rFonts w:cs="Arial"/>
        </w:rPr>
        <w:t xml:space="preserve">se desplazó de 30 de noviembre </w:t>
      </w:r>
      <w:r w:rsidR="00AD677C" w:rsidRPr="009F61AF">
        <w:rPr>
          <w:rFonts w:cs="Arial"/>
        </w:rPr>
        <w:t>de 2010</w:t>
      </w:r>
      <w:r w:rsidR="006E5CB0" w:rsidRPr="009F61AF">
        <w:rPr>
          <w:rFonts w:cs="Arial"/>
        </w:rPr>
        <w:t xml:space="preserve"> -fecha en que venció el plazo de ejecución- a </w:t>
      </w:r>
      <w:r w:rsidRPr="009F61AF">
        <w:rPr>
          <w:rFonts w:cs="Arial"/>
        </w:rPr>
        <w:t xml:space="preserve">30 de marzo de 2011 </w:t>
      </w:r>
      <w:r w:rsidR="006E5CB0" w:rsidRPr="009F61AF">
        <w:rPr>
          <w:rFonts w:cs="Arial"/>
        </w:rPr>
        <w:t>fecha en que terminó la vigencia del contrato</w:t>
      </w:r>
      <w:r w:rsidR="007D7C34" w:rsidRPr="009F61AF">
        <w:rPr>
          <w:rFonts w:cs="Arial"/>
        </w:rPr>
        <w:t>,</w:t>
      </w:r>
      <w:r w:rsidR="006E5CB0" w:rsidRPr="009F61AF">
        <w:rPr>
          <w:rFonts w:cs="Arial"/>
        </w:rPr>
        <w:t xml:space="preserve"> de acuerdo con el pará</w:t>
      </w:r>
      <w:r w:rsidR="00A929D4" w:rsidRPr="009F61AF">
        <w:rPr>
          <w:rFonts w:cs="Arial"/>
        </w:rPr>
        <w:t>g</w:t>
      </w:r>
      <w:r w:rsidR="006E5CB0" w:rsidRPr="009F61AF">
        <w:rPr>
          <w:rFonts w:cs="Arial"/>
        </w:rPr>
        <w:t>ra</w:t>
      </w:r>
      <w:r w:rsidR="00A929D4" w:rsidRPr="009F61AF">
        <w:rPr>
          <w:rFonts w:cs="Arial"/>
        </w:rPr>
        <w:t>f</w:t>
      </w:r>
      <w:r w:rsidR="006E5CB0" w:rsidRPr="009F61AF">
        <w:rPr>
          <w:rFonts w:cs="Arial"/>
        </w:rPr>
        <w:t xml:space="preserve">o </w:t>
      </w:r>
      <w:r w:rsidR="00A929D4" w:rsidRPr="009F61AF">
        <w:rPr>
          <w:rFonts w:cs="Arial"/>
        </w:rPr>
        <w:t xml:space="preserve">de </w:t>
      </w:r>
      <w:r w:rsidR="006E5CB0" w:rsidRPr="009F61AF">
        <w:rPr>
          <w:rFonts w:cs="Arial"/>
        </w:rPr>
        <w:t>la cláusula cuarta</w:t>
      </w:r>
      <w:r w:rsidR="007D7C34" w:rsidRPr="009F61AF">
        <w:rPr>
          <w:rFonts w:cs="Arial"/>
        </w:rPr>
        <w:t>,</w:t>
      </w:r>
      <w:r w:rsidR="006E5CB0" w:rsidRPr="009F61AF">
        <w:rPr>
          <w:rFonts w:cs="Arial"/>
        </w:rPr>
        <w:t xml:space="preserve"> según </w:t>
      </w:r>
      <w:r w:rsidR="00A929D4" w:rsidRPr="009F61AF">
        <w:rPr>
          <w:rFonts w:cs="Arial"/>
        </w:rPr>
        <w:t xml:space="preserve">interpretó el </w:t>
      </w:r>
      <w:r w:rsidR="00C10516" w:rsidRPr="009F61AF">
        <w:rPr>
          <w:rFonts w:cs="Arial"/>
        </w:rPr>
        <w:t>T</w:t>
      </w:r>
      <w:r w:rsidR="00A929D4" w:rsidRPr="009F61AF">
        <w:rPr>
          <w:rFonts w:cs="Arial"/>
        </w:rPr>
        <w:t xml:space="preserve">ribunal de Arbitramento. Con fundamento en lo anterior el Tribunal de </w:t>
      </w:r>
      <w:r w:rsidR="00C10516" w:rsidRPr="009F61AF">
        <w:rPr>
          <w:rFonts w:cs="Arial"/>
        </w:rPr>
        <w:t>A</w:t>
      </w:r>
      <w:r w:rsidR="00A929D4" w:rsidRPr="009F61AF">
        <w:rPr>
          <w:rFonts w:cs="Arial"/>
        </w:rPr>
        <w:t>rbitramento</w:t>
      </w:r>
      <w:r w:rsidR="00C10516" w:rsidRPr="009F61AF">
        <w:rPr>
          <w:rFonts w:cs="Arial"/>
        </w:rPr>
        <w:t xml:space="preserve"> concluyó </w:t>
      </w:r>
      <w:r w:rsidR="00A929D4" w:rsidRPr="009F61AF">
        <w:rPr>
          <w:rFonts w:cs="Arial"/>
        </w:rPr>
        <w:t xml:space="preserve">que la </w:t>
      </w:r>
      <w:r w:rsidRPr="009F61AF">
        <w:rPr>
          <w:rFonts w:cs="Arial"/>
        </w:rPr>
        <w:t>caducidad opera</w:t>
      </w:r>
      <w:r w:rsidR="00A929D4" w:rsidRPr="009F61AF">
        <w:rPr>
          <w:rFonts w:cs="Arial"/>
        </w:rPr>
        <w:t xml:space="preserve">ba </w:t>
      </w:r>
      <w:r w:rsidRPr="009F61AF">
        <w:rPr>
          <w:rFonts w:cs="Arial"/>
        </w:rPr>
        <w:t xml:space="preserve">30 meses después </w:t>
      </w:r>
      <w:r w:rsidR="00A929D4" w:rsidRPr="009F61AF">
        <w:rPr>
          <w:rFonts w:cs="Arial"/>
        </w:rPr>
        <w:t xml:space="preserve">del termino de vigencia </w:t>
      </w:r>
      <w:r w:rsidR="00EA0F8D" w:rsidRPr="009F61AF">
        <w:rPr>
          <w:rFonts w:cs="Arial"/>
        </w:rPr>
        <w:t xml:space="preserve">(dos años </w:t>
      </w:r>
      <w:r w:rsidR="001E74B6" w:rsidRPr="009F61AF">
        <w:rPr>
          <w:rFonts w:cs="Arial"/>
        </w:rPr>
        <w:t>+</w:t>
      </w:r>
      <w:r w:rsidR="00B5137F" w:rsidRPr="009F61AF">
        <w:rPr>
          <w:rFonts w:cs="Arial"/>
        </w:rPr>
        <w:t xml:space="preserve"> </w:t>
      </w:r>
      <w:r w:rsidR="00EA0F8D" w:rsidRPr="009F61AF">
        <w:rPr>
          <w:rFonts w:cs="Arial"/>
        </w:rPr>
        <w:t>seis meses</w:t>
      </w:r>
      <w:r w:rsidR="00A929D4" w:rsidRPr="009F61AF">
        <w:rPr>
          <w:rFonts w:cs="Arial"/>
        </w:rPr>
        <w:t>= 30 meses</w:t>
      </w:r>
      <w:r w:rsidR="00EA0F8D" w:rsidRPr="009F61AF">
        <w:rPr>
          <w:rFonts w:cs="Arial"/>
        </w:rPr>
        <w:t>), esto es</w:t>
      </w:r>
      <w:r w:rsidR="004517C0" w:rsidRPr="009F61AF">
        <w:rPr>
          <w:rFonts w:cs="Arial"/>
        </w:rPr>
        <w:t>,</w:t>
      </w:r>
      <w:r w:rsidR="00EA0F8D" w:rsidRPr="009F61AF">
        <w:rPr>
          <w:rFonts w:cs="Arial"/>
        </w:rPr>
        <w:t xml:space="preserve"> </w:t>
      </w:r>
      <w:r w:rsidRPr="009F61AF">
        <w:rPr>
          <w:rFonts w:cs="Arial"/>
        </w:rPr>
        <w:t xml:space="preserve">el 30 de septiembre de 2013. </w:t>
      </w:r>
    </w:p>
    <w:p w14:paraId="722407B8" w14:textId="77777777" w:rsidR="00B5137F" w:rsidRPr="009F61AF" w:rsidRDefault="00EC5AEE" w:rsidP="0081115F">
      <w:pPr>
        <w:pStyle w:val="NormalWeb"/>
        <w:shd w:val="clear" w:color="auto" w:fill="FFFFFF"/>
        <w:spacing w:before="0" w:beforeAutospacing="0" w:after="0" w:afterAutospacing="0"/>
        <w:rPr>
          <w:rFonts w:cs="Arial"/>
        </w:rPr>
      </w:pPr>
      <w:r w:rsidRPr="009F61AF">
        <w:rPr>
          <w:rFonts w:cs="Arial"/>
        </w:rPr>
        <w:t>E</w:t>
      </w:r>
      <w:r w:rsidR="008102ED" w:rsidRPr="009F61AF">
        <w:rPr>
          <w:rFonts w:cs="Arial"/>
        </w:rPr>
        <w:t xml:space="preserve">l Tribunal de Arbitramento </w:t>
      </w:r>
      <w:r w:rsidR="000507FC" w:rsidRPr="009F61AF">
        <w:rPr>
          <w:rFonts w:cs="Arial"/>
        </w:rPr>
        <w:t xml:space="preserve">no tuvo en cuenta que las partes </w:t>
      </w:r>
      <w:r w:rsidR="004517C0" w:rsidRPr="009F61AF">
        <w:rPr>
          <w:rFonts w:cs="Arial"/>
        </w:rPr>
        <w:t xml:space="preserve">establecieron </w:t>
      </w:r>
      <w:r w:rsidR="000507FC" w:rsidRPr="009F61AF">
        <w:rPr>
          <w:rFonts w:cs="Arial"/>
        </w:rPr>
        <w:t xml:space="preserve">con claridad que el contrato </w:t>
      </w:r>
      <w:r w:rsidR="000507FC" w:rsidRPr="009F61AF">
        <w:rPr>
          <w:rFonts w:cs="Arial"/>
          <w:i/>
        </w:rPr>
        <w:t xml:space="preserve">terminaba </w:t>
      </w:r>
      <w:r w:rsidR="000507FC" w:rsidRPr="009F61AF">
        <w:rPr>
          <w:rFonts w:cs="Arial"/>
        </w:rPr>
        <w:t xml:space="preserve">por el vencimiento del plazo de ejecución, de donde debió advertir que el </w:t>
      </w:r>
      <w:r w:rsidR="00A929D4" w:rsidRPr="009F61AF">
        <w:rPr>
          <w:rFonts w:cs="Arial"/>
        </w:rPr>
        <w:t xml:space="preserve">plazo </w:t>
      </w:r>
      <w:r w:rsidR="008102ED" w:rsidRPr="009F61AF">
        <w:rPr>
          <w:rFonts w:cs="Arial"/>
        </w:rPr>
        <w:t xml:space="preserve">de cuatro meses </w:t>
      </w:r>
      <w:r w:rsidR="000507FC" w:rsidRPr="009F61AF">
        <w:rPr>
          <w:rFonts w:cs="Arial"/>
        </w:rPr>
        <w:t>referido en la cláusula cuarta era el mismo establecido para adelantar la liquidación del contrato</w:t>
      </w:r>
      <w:r w:rsidR="00CF14C3" w:rsidRPr="009F61AF">
        <w:rPr>
          <w:rFonts w:cs="Arial"/>
        </w:rPr>
        <w:t xml:space="preserve">. </w:t>
      </w:r>
    </w:p>
    <w:p w14:paraId="6B4918B9" w14:textId="77777777" w:rsidR="00F93B8D" w:rsidRPr="009F61AF" w:rsidRDefault="003759AF" w:rsidP="0081115F">
      <w:pPr>
        <w:pStyle w:val="NormalWeb"/>
        <w:shd w:val="clear" w:color="auto" w:fill="FFFFFF"/>
        <w:spacing w:before="0" w:beforeAutospacing="0" w:after="0" w:afterAutospacing="0"/>
        <w:rPr>
          <w:rFonts w:cs="Arial"/>
        </w:rPr>
      </w:pPr>
      <w:r w:rsidRPr="009F61AF">
        <w:rPr>
          <w:rFonts w:cs="Arial"/>
        </w:rPr>
        <w:t xml:space="preserve">Se </w:t>
      </w:r>
      <w:r w:rsidR="001E74B6" w:rsidRPr="009F61AF">
        <w:rPr>
          <w:rFonts w:cs="Arial"/>
        </w:rPr>
        <w:t xml:space="preserve">advierte que </w:t>
      </w:r>
      <w:r w:rsidR="00B5137F" w:rsidRPr="009F61AF">
        <w:rPr>
          <w:rFonts w:cs="Arial"/>
        </w:rPr>
        <w:t xml:space="preserve">en el laudo arbitral </w:t>
      </w:r>
      <w:r w:rsidR="00117DF6" w:rsidRPr="009F61AF">
        <w:rPr>
          <w:rFonts w:cs="Arial"/>
        </w:rPr>
        <w:t>no</w:t>
      </w:r>
      <w:r w:rsidR="00B5137F" w:rsidRPr="009F61AF">
        <w:rPr>
          <w:rFonts w:cs="Arial"/>
        </w:rPr>
        <w:t xml:space="preserve"> se </w:t>
      </w:r>
      <w:r w:rsidR="002E59D2" w:rsidRPr="009F61AF">
        <w:rPr>
          <w:rFonts w:cs="Arial"/>
        </w:rPr>
        <w:t xml:space="preserve">consideró </w:t>
      </w:r>
      <w:r w:rsidR="00B5137F" w:rsidRPr="009F61AF">
        <w:rPr>
          <w:rFonts w:cs="Arial"/>
        </w:rPr>
        <w:t xml:space="preserve">el contenido </w:t>
      </w:r>
      <w:r w:rsidR="002E59D2" w:rsidRPr="009F61AF">
        <w:rPr>
          <w:rFonts w:cs="Arial"/>
        </w:rPr>
        <w:t xml:space="preserve">completo </w:t>
      </w:r>
      <w:r w:rsidR="00B5137F" w:rsidRPr="009F61AF">
        <w:rPr>
          <w:rFonts w:cs="Arial"/>
        </w:rPr>
        <w:t>de la cláusula vigésima cuarta</w:t>
      </w:r>
      <w:r w:rsidR="002E59D2" w:rsidRPr="009F61AF">
        <w:rPr>
          <w:rFonts w:cs="Arial"/>
        </w:rPr>
        <w:t xml:space="preserve">, específicamente </w:t>
      </w:r>
      <w:r w:rsidR="00B5137F" w:rsidRPr="009F61AF">
        <w:rPr>
          <w:rFonts w:cs="Arial"/>
        </w:rPr>
        <w:t xml:space="preserve">la regla de terminación del contrato </w:t>
      </w:r>
      <w:r w:rsidR="002E59D2" w:rsidRPr="009F61AF">
        <w:rPr>
          <w:rFonts w:cs="Arial"/>
        </w:rPr>
        <w:t xml:space="preserve">que las partes </w:t>
      </w:r>
      <w:r w:rsidR="004517C0" w:rsidRPr="009F61AF">
        <w:rPr>
          <w:rFonts w:cs="Arial"/>
        </w:rPr>
        <w:t xml:space="preserve">consignaron en el contrato, </w:t>
      </w:r>
      <w:r w:rsidR="00B5137F" w:rsidRPr="009F61AF">
        <w:rPr>
          <w:rFonts w:cs="Arial"/>
        </w:rPr>
        <w:t>de conformidad con el</w:t>
      </w:r>
      <w:r w:rsidR="00F93B8D" w:rsidRPr="009F61AF">
        <w:rPr>
          <w:rFonts w:cs="Arial"/>
        </w:rPr>
        <w:t xml:space="preserve">  numeral 1º</w:t>
      </w:r>
      <w:r w:rsidR="00B5137F" w:rsidRPr="009F61AF">
        <w:rPr>
          <w:rFonts w:cs="Arial"/>
        </w:rPr>
        <w:t>, que se explica por s</w:t>
      </w:r>
      <w:r w:rsidR="004517C0" w:rsidRPr="009F61AF">
        <w:rPr>
          <w:rFonts w:cs="Arial"/>
        </w:rPr>
        <w:t>í</w:t>
      </w:r>
      <w:r w:rsidR="00B5137F" w:rsidRPr="009F61AF">
        <w:rPr>
          <w:rFonts w:cs="Arial"/>
        </w:rPr>
        <w:t xml:space="preserve"> solo:</w:t>
      </w:r>
    </w:p>
    <w:p w14:paraId="6E466D36" w14:textId="77777777" w:rsidR="00580B35" w:rsidRPr="009F61AF" w:rsidRDefault="00F93B8D" w:rsidP="0081115F">
      <w:pPr>
        <w:pStyle w:val="NormalWeb"/>
        <w:shd w:val="clear" w:color="auto" w:fill="FFFFFF"/>
        <w:spacing w:before="0" w:beforeAutospacing="0" w:after="0" w:afterAutospacing="0"/>
        <w:rPr>
          <w:rFonts w:cs="Arial"/>
        </w:rPr>
      </w:pPr>
      <w:r w:rsidRPr="009F61AF">
        <w:rPr>
          <w:rFonts w:cs="Arial"/>
          <w:i/>
        </w:rPr>
        <w:t xml:space="preserve"> </w:t>
      </w:r>
      <w:r w:rsidR="00C06074" w:rsidRPr="009F61AF">
        <w:rPr>
          <w:rFonts w:cs="Arial"/>
          <w:i/>
        </w:rPr>
        <w:t>“VIGÉSIMA CUARTA.- TERMINACION Y LIQUIDACIÓN</w:t>
      </w:r>
      <w:r w:rsidR="00C06074" w:rsidRPr="009F61AF">
        <w:rPr>
          <w:rFonts w:cs="Arial"/>
          <w:b/>
          <w:i/>
        </w:rPr>
        <w:t>: El presente contrato se dará por terminado en los siguientes eventos: 1) por extinción del pl</w:t>
      </w:r>
      <w:r w:rsidR="00905B26" w:rsidRPr="009F61AF">
        <w:rPr>
          <w:rFonts w:cs="Arial"/>
          <w:b/>
          <w:i/>
        </w:rPr>
        <w:t>a</w:t>
      </w:r>
      <w:r w:rsidR="00C06074" w:rsidRPr="009F61AF">
        <w:rPr>
          <w:rFonts w:cs="Arial"/>
          <w:b/>
          <w:i/>
        </w:rPr>
        <w:t>zo pactado para su ejecución</w:t>
      </w:r>
      <w:r w:rsidR="00C06074" w:rsidRPr="009F61AF">
        <w:rPr>
          <w:rFonts w:cs="Arial"/>
          <w:i/>
        </w:rPr>
        <w:t>; (…). Una vez terminado el contrato se procederá a su liquidación</w:t>
      </w:r>
      <w:r w:rsidR="00905B26" w:rsidRPr="009F61AF">
        <w:rPr>
          <w:rFonts w:cs="Arial"/>
          <w:i/>
        </w:rPr>
        <w:t xml:space="preserve">. Para el efecto, el supervisor y/o Supervisión Técnica </w:t>
      </w:r>
      <w:r w:rsidR="00117DF6" w:rsidRPr="009F61AF">
        <w:rPr>
          <w:rFonts w:cs="Arial"/>
          <w:i/>
        </w:rPr>
        <w:t>y</w:t>
      </w:r>
      <w:r w:rsidR="00905B26" w:rsidRPr="009F61AF">
        <w:rPr>
          <w:rFonts w:cs="Arial"/>
          <w:i/>
        </w:rPr>
        <w:t xml:space="preserve"> Administrativa debe proyectar la liquidación dentro de los dos meses siguientes </w:t>
      </w:r>
      <w:r w:rsidR="008854F5" w:rsidRPr="009F61AF">
        <w:rPr>
          <w:rFonts w:cs="Arial"/>
          <w:i/>
        </w:rPr>
        <w:t>a la fecha de terminación anexando: (…) La liquidación de efectuará de común acuerdo dentro de los dos meses siguientes a los dos anteriormente señalados. Si vencido este plazo el OPERADOR no presenta la liquidaci</w:t>
      </w:r>
      <w:r w:rsidR="00580B35" w:rsidRPr="009F61AF">
        <w:rPr>
          <w:rFonts w:cs="Arial"/>
          <w:i/>
        </w:rPr>
        <w:t xml:space="preserve">ón </w:t>
      </w:r>
      <w:r w:rsidR="008854F5" w:rsidRPr="009F61AF">
        <w:rPr>
          <w:rFonts w:cs="Arial"/>
          <w:i/>
        </w:rPr>
        <w:t>o las partes no llegan a un acuerdo sobre el conten</w:t>
      </w:r>
      <w:r w:rsidR="00580B35" w:rsidRPr="009F61AF">
        <w:rPr>
          <w:rFonts w:cs="Arial"/>
          <w:i/>
        </w:rPr>
        <w:t>i</w:t>
      </w:r>
      <w:r w:rsidR="008854F5" w:rsidRPr="009F61AF">
        <w:rPr>
          <w:rFonts w:cs="Arial"/>
          <w:i/>
        </w:rPr>
        <w:t xml:space="preserve">do de la misma, será practicada directa y unilateralmente por el ICBF y se adoptará </w:t>
      </w:r>
      <w:r w:rsidR="00580B35" w:rsidRPr="009F61AF">
        <w:rPr>
          <w:rFonts w:cs="Arial"/>
          <w:i/>
        </w:rPr>
        <w:t>por acto administrativo motivado, susceptible del recurso de reposición</w:t>
      </w:r>
      <w:r w:rsidR="00580B35" w:rsidRPr="009F61AF">
        <w:rPr>
          <w:rStyle w:val="Refdenotaalpie"/>
          <w:rFonts w:cs="Arial"/>
          <w:i/>
        </w:rPr>
        <w:footnoteReference w:id="26"/>
      </w:r>
      <w:r w:rsidR="00580B35" w:rsidRPr="009F61AF">
        <w:rPr>
          <w:rFonts w:cs="Arial"/>
          <w:i/>
        </w:rPr>
        <w:t>”.</w:t>
      </w:r>
      <w:r w:rsidR="00580B35" w:rsidRPr="009F61AF">
        <w:rPr>
          <w:rFonts w:cs="Arial"/>
        </w:rPr>
        <w:t xml:space="preserve"> </w:t>
      </w:r>
      <w:r w:rsidRPr="009F61AF">
        <w:rPr>
          <w:rFonts w:cs="Arial"/>
        </w:rPr>
        <w:t>(La negrilla se destaca para el propósito de este análisis).</w:t>
      </w:r>
    </w:p>
    <w:p w14:paraId="1ED8A223" w14:textId="77777777" w:rsidR="00117DF6" w:rsidRPr="009F61AF" w:rsidRDefault="00117DF6" w:rsidP="0081115F">
      <w:pPr>
        <w:pStyle w:val="NormalWeb"/>
        <w:shd w:val="clear" w:color="auto" w:fill="FFFFFF"/>
        <w:spacing w:before="0" w:beforeAutospacing="0" w:after="0" w:afterAutospacing="0"/>
        <w:rPr>
          <w:rFonts w:cs="Arial"/>
        </w:rPr>
      </w:pPr>
      <w:r w:rsidRPr="009F61AF">
        <w:rPr>
          <w:rFonts w:cs="Arial"/>
        </w:rPr>
        <w:lastRenderedPageBreak/>
        <w:t xml:space="preserve">Nótese que en la cláusula vigésima cuarta que se acaba de transcribir, </w:t>
      </w:r>
      <w:r w:rsidR="00102983" w:rsidRPr="009F61AF">
        <w:rPr>
          <w:rFonts w:cs="Arial"/>
        </w:rPr>
        <w:t xml:space="preserve">las partes acordaron que </w:t>
      </w:r>
      <w:r w:rsidR="002C510E" w:rsidRPr="009F61AF">
        <w:rPr>
          <w:rFonts w:cs="Arial"/>
        </w:rPr>
        <w:t xml:space="preserve">la etapa de liquidación debía surtirse en un </w:t>
      </w:r>
      <w:r w:rsidRPr="009F61AF">
        <w:rPr>
          <w:rFonts w:cs="Arial"/>
        </w:rPr>
        <w:t>plazo total de cuatro meses</w:t>
      </w:r>
      <w:r w:rsidR="002C510E" w:rsidRPr="009F61AF">
        <w:rPr>
          <w:rFonts w:cs="Arial"/>
        </w:rPr>
        <w:t xml:space="preserve"> contados a partir de la terminación</w:t>
      </w:r>
      <w:r w:rsidR="008223F8" w:rsidRPr="009F61AF">
        <w:rPr>
          <w:rFonts w:cs="Arial"/>
        </w:rPr>
        <w:t xml:space="preserve"> del contrato</w:t>
      </w:r>
      <w:r w:rsidRPr="009F61AF">
        <w:rPr>
          <w:rFonts w:cs="Arial"/>
        </w:rPr>
        <w:t xml:space="preserve">: dos meses para proyectar la liquidación y </w:t>
      </w:r>
      <w:r w:rsidR="002C510E" w:rsidRPr="009F61AF">
        <w:rPr>
          <w:rFonts w:cs="Arial"/>
        </w:rPr>
        <w:t>d</w:t>
      </w:r>
      <w:r w:rsidRPr="009F61AF">
        <w:rPr>
          <w:rFonts w:cs="Arial"/>
        </w:rPr>
        <w:t xml:space="preserve">os meses para llegar a un acuerdo. </w:t>
      </w:r>
    </w:p>
    <w:p w14:paraId="77D0D361" w14:textId="77777777" w:rsidR="009E2E81" w:rsidRPr="009F61AF" w:rsidRDefault="008223F8" w:rsidP="0081115F">
      <w:pPr>
        <w:pStyle w:val="NormalWeb"/>
        <w:shd w:val="clear" w:color="auto" w:fill="FFFFFF"/>
        <w:spacing w:before="0" w:beforeAutospacing="0" w:after="0" w:afterAutospacing="0"/>
        <w:rPr>
          <w:rFonts w:cs="Arial"/>
        </w:rPr>
      </w:pPr>
      <w:r w:rsidRPr="009F61AF">
        <w:rPr>
          <w:rFonts w:cs="Arial"/>
        </w:rPr>
        <w:t xml:space="preserve">En consecuencia, </w:t>
      </w:r>
      <w:r w:rsidR="0003742C" w:rsidRPr="009F61AF">
        <w:rPr>
          <w:rFonts w:cs="Arial"/>
        </w:rPr>
        <w:t xml:space="preserve">en el asunto que ahora se debate, </w:t>
      </w:r>
      <w:r w:rsidRPr="009F61AF">
        <w:rPr>
          <w:rFonts w:cs="Arial"/>
        </w:rPr>
        <w:t xml:space="preserve">la terminación del </w:t>
      </w:r>
      <w:r w:rsidR="001E74B6" w:rsidRPr="009F61AF">
        <w:rPr>
          <w:rFonts w:cs="Arial"/>
        </w:rPr>
        <w:t>C</w:t>
      </w:r>
      <w:r w:rsidRPr="009F61AF">
        <w:rPr>
          <w:rFonts w:cs="Arial"/>
        </w:rPr>
        <w:t>ontrato 067 se debe establecer con fundamento e</w:t>
      </w:r>
      <w:r w:rsidR="0003742C" w:rsidRPr="009F61AF">
        <w:rPr>
          <w:rFonts w:cs="Arial"/>
        </w:rPr>
        <w:t xml:space="preserve">n el vencimiento del </w:t>
      </w:r>
      <w:r w:rsidRPr="009F61AF">
        <w:rPr>
          <w:rFonts w:cs="Arial"/>
        </w:rPr>
        <w:t xml:space="preserve">plazo de ejecución que ocurrió el </w:t>
      </w:r>
      <w:r w:rsidR="001E74B6" w:rsidRPr="009F61AF">
        <w:rPr>
          <w:rFonts w:cs="Arial"/>
        </w:rPr>
        <w:t>3</w:t>
      </w:r>
      <w:r w:rsidRPr="009F61AF">
        <w:rPr>
          <w:rFonts w:cs="Arial"/>
        </w:rPr>
        <w:t>0 de noviembre de 201</w:t>
      </w:r>
      <w:r w:rsidR="001E74B6" w:rsidRPr="009F61AF">
        <w:rPr>
          <w:rFonts w:cs="Arial"/>
        </w:rPr>
        <w:t>0</w:t>
      </w:r>
      <w:r w:rsidRPr="009F61AF">
        <w:rPr>
          <w:rFonts w:cs="Arial"/>
        </w:rPr>
        <w:t xml:space="preserve"> y desde esa fecha se calcula el plazo de cuatro meses </w:t>
      </w:r>
      <w:r w:rsidR="009E2E81" w:rsidRPr="009F61AF">
        <w:rPr>
          <w:rFonts w:cs="Arial"/>
        </w:rPr>
        <w:t xml:space="preserve">que </w:t>
      </w:r>
      <w:r w:rsidR="001E74B6" w:rsidRPr="009F61AF">
        <w:rPr>
          <w:rFonts w:cs="Arial"/>
        </w:rPr>
        <w:t xml:space="preserve">las partes acordaron </w:t>
      </w:r>
      <w:r w:rsidR="009E2E81" w:rsidRPr="009F61AF">
        <w:rPr>
          <w:rFonts w:cs="Arial"/>
        </w:rPr>
        <w:t>para l</w:t>
      </w:r>
      <w:r w:rsidR="001E74B6" w:rsidRPr="009F61AF">
        <w:rPr>
          <w:rFonts w:cs="Arial"/>
        </w:rPr>
        <w:t>a</w:t>
      </w:r>
      <w:r w:rsidR="009E2E81" w:rsidRPr="009F61AF">
        <w:rPr>
          <w:rFonts w:cs="Arial"/>
        </w:rPr>
        <w:t xml:space="preserve"> liquidación </w:t>
      </w:r>
      <w:r w:rsidR="00C54E5E" w:rsidRPr="009F61AF">
        <w:rPr>
          <w:rFonts w:cs="Arial"/>
        </w:rPr>
        <w:t xml:space="preserve">bilateral </w:t>
      </w:r>
      <w:r w:rsidR="009E2E81" w:rsidRPr="009F61AF">
        <w:rPr>
          <w:rFonts w:cs="Arial"/>
        </w:rPr>
        <w:t>del contrato</w:t>
      </w:r>
      <w:r w:rsidR="001E74B6" w:rsidRPr="009F61AF">
        <w:rPr>
          <w:rFonts w:cs="Arial"/>
        </w:rPr>
        <w:t xml:space="preserve">, más el de dos meses que igualmente </w:t>
      </w:r>
      <w:r w:rsidR="0003742C" w:rsidRPr="009F61AF">
        <w:rPr>
          <w:rFonts w:cs="Arial"/>
        </w:rPr>
        <w:t xml:space="preserve">aplica </w:t>
      </w:r>
      <w:r w:rsidR="00C54E5E" w:rsidRPr="009F61AF">
        <w:rPr>
          <w:rFonts w:cs="Arial"/>
        </w:rPr>
        <w:t>para la liquidación unilateral</w:t>
      </w:r>
      <w:r w:rsidR="001E74B6" w:rsidRPr="009F61AF">
        <w:rPr>
          <w:rFonts w:cs="Arial"/>
        </w:rPr>
        <w:t>.</w:t>
      </w:r>
    </w:p>
    <w:p w14:paraId="214A390F" w14:textId="77777777" w:rsidR="001948E7" w:rsidRPr="009F61AF" w:rsidRDefault="009E2E81" w:rsidP="0081115F">
      <w:pPr>
        <w:pStyle w:val="NormalWeb"/>
        <w:shd w:val="clear" w:color="auto" w:fill="FFFFFF"/>
        <w:spacing w:before="0" w:beforeAutospacing="0" w:after="0" w:afterAutospacing="0"/>
        <w:rPr>
          <w:rFonts w:cs="Arial"/>
        </w:rPr>
      </w:pPr>
      <w:r w:rsidRPr="009F61AF">
        <w:rPr>
          <w:rFonts w:cs="Arial"/>
        </w:rPr>
        <w:t xml:space="preserve">No resulta trascendente para el cómputo </w:t>
      </w:r>
      <w:r w:rsidR="001948E7" w:rsidRPr="009F61AF">
        <w:rPr>
          <w:rFonts w:cs="Arial"/>
        </w:rPr>
        <w:t xml:space="preserve">de la caducidad de la acción </w:t>
      </w:r>
      <w:r w:rsidRPr="009F61AF">
        <w:rPr>
          <w:rFonts w:cs="Arial"/>
        </w:rPr>
        <w:t>entrar en el análisis de un tercer plazo: el de vigencia de la relación contractual</w:t>
      </w:r>
      <w:r w:rsidR="006029B9" w:rsidRPr="009F61AF">
        <w:rPr>
          <w:rFonts w:cs="Arial"/>
        </w:rPr>
        <w:t xml:space="preserve"> (que termina coincidiendo con la sumatoria de los plazos de ejecución y de liquidación bilateral)</w:t>
      </w:r>
      <w:r w:rsidRPr="009F61AF">
        <w:rPr>
          <w:rFonts w:cs="Arial"/>
        </w:rPr>
        <w:t xml:space="preserve">, </w:t>
      </w:r>
      <w:r w:rsidR="001948E7" w:rsidRPr="009F61AF">
        <w:rPr>
          <w:rFonts w:cs="Arial"/>
        </w:rPr>
        <w:t xml:space="preserve">puesto que aunque </w:t>
      </w:r>
      <w:r w:rsidR="006029B9" w:rsidRPr="009F61AF">
        <w:rPr>
          <w:rFonts w:cs="Arial"/>
        </w:rPr>
        <w:t xml:space="preserve">tal figura </w:t>
      </w:r>
      <w:r w:rsidR="001948E7" w:rsidRPr="009F61AF">
        <w:rPr>
          <w:rFonts w:cs="Arial"/>
        </w:rPr>
        <w:t>estuviera previst</w:t>
      </w:r>
      <w:r w:rsidR="00C54E5E" w:rsidRPr="009F61AF">
        <w:rPr>
          <w:rFonts w:cs="Arial"/>
        </w:rPr>
        <w:t>a</w:t>
      </w:r>
      <w:r w:rsidR="001948E7" w:rsidRPr="009F61AF">
        <w:rPr>
          <w:rFonts w:cs="Arial"/>
        </w:rPr>
        <w:t xml:space="preserve"> </w:t>
      </w:r>
      <w:r w:rsidR="006029B9" w:rsidRPr="009F61AF">
        <w:rPr>
          <w:rFonts w:cs="Arial"/>
        </w:rPr>
        <w:t xml:space="preserve">en el contrato </w:t>
      </w:r>
      <w:r w:rsidR="001948E7" w:rsidRPr="009F61AF">
        <w:rPr>
          <w:rFonts w:cs="Arial"/>
        </w:rPr>
        <w:t>no constituyó el supuesto normativo para establecer la caducidad de la acción en los términos del artículo 164 del C</w:t>
      </w:r>
      <w:r w:rsidR="00AF162E" w:rsidRPr="009F61AF">
        <w:rPr>
          <w:rFonts w:cs="Arial"/>
        </w:rPr>
        <w:t>.P.C.A.</w:t>
      </w:r>
      <w:r w:rsidR="001948E7" w:rsidRPr="009F61AF">
        <w:rPr>
          <w:rFonts w:cs="Arial"/>
        </w:rPr>
        <w:t xml:space="preserve"> </w:t>
      </w:r>
    </w:p>
    <w:p w14:paraId="377BC200" w14:textId="77777777" w:rsidR="00111D04" w:rsidRPr="009F61AF" w:rsidRDefault="0074039E" w:rsidP="0081115F">
      <w:pPr>
        <w:pStyle w:val="NormalWeb"/>
        <w:shd w:val="clear" w:color="auto" w:fill="FFFFFF"/>
        <w:spacing w:before="0" w:beforeAutospacing="0" w:after="0" w:afterAutospacing="0"/>
        <w:rPr>
          <w:rFonts w:cs="Arial"/>
        </w:rPr>
      </w:pPr>
      <w:r w:rsidRPr="009F61AF">
        <w:rPr>
          <w:rFonts w:cs="Arial"/>
        </w:rPr>
        <w:t xml:space="preserve">En </w:t>
      </w:r>
      <w:r w:rsidR="004C5CD7" w:rsidRPr="009F61AF">
        <w:rPr>
          <w:rFonts w:cs="Arial"/>
        </w:rPr>
        <w:t>consecuencia</w:t>
      </w:r>
      <w:r w:rsidR="00A116CA" w:rsidRPr="009F61AF">
        <w:rPr>
          <w:rFonts w:cs="Arial"/>
        </w:rPr>
        <w:t>,</w:t>
      </w:r>
      <w:r w:rsidR="004C5CD7" w:rsidRPr="009F61AF">
        <w:rPr>
          <w:rFonts w:cs="Arial"/>
        </w:rPr>
        <w:t xml:space="preserve"> </w:t>
      </w:r>
      <w:r w:rsidR="00B66F5D" w:rsidRPr="009F61AF">
        <w:rPr>
          <w:rFonts w:cs="Arial"/>
        </w:rPr>
        <w:t xml:space="preserve">en </w:t>
      </w:r>
      <w:r w:rsidRPr="009F61AF">
        <w:rPr>
          <w:rFonts w:cs="Arial"/>
        </w:rPr>
        <w:t>el laudo arbitral</w:t>
      </w:r>
      <w:r w:rsidR="00111D04" w:rsidRPr="009F61AF">
        <w:rPr>
          <w:rFonts w:cs="Arial"/>
        </w:rPr>
        <w:t xml:space="preserve"> </w:t>
      </w:r>
      <w:r w:rsidR="006029B9" w:rsidRPr="009F61AF">
        <w:rPr>
          <w:rFonts w:cs="Arial"/>
        </w:rPr>
        <w:t>el Tribunal de Arbit</w:t>
      </w:r>
      <w:r w:rsidR="00AF162E" w:rsidRPr="009F61AF">
        <w:rPr>
          <w:rFonts w:cs="Arial"/>
        </w:rPr>
        <w:t>r</w:t>
      </w:r>
      <w:r w:rsidR="006029B9" w:rsidRPr="009F61AF">
        <w:rPr>
          <w:rFonts w:cs="Arial"/>
        </w:rPr>
        <w:t>amento ha debido identificar como fecha de terminación del contrato, aquella que las partes indicaron</w:t>
      </w:r>
      <w:r w:rsidR="006776B4" w:rsidRPr="009F61AF">
        <w:rPr>
          <w:rFonts w:cs="Arial"/>
        </w:rPr>
        <w:t>, esto es</w:t>
      </w:r>
      <w:r w:rsidR="00396B77" w:rsidRPr="009F61AF">
        <w:rPr>
          <w:rFonts w:cs="Arial"/>
        </w:rPr>
        <w:t>,</w:t>
      </w:r>
      <w:r w:rsidR="006776B4" w:rsidRPr="009F61AF">
        <w:rPr>
          <w:rFonts w:cs="Arial"/>
        </w:rPr>
        <w:t xml:space="preserve"> la de finalización del plazo de ejecución y por ello no procedía la adición o extensión del plazo con los cuatro meses de vigencia a que se refirió el parágrafo de la cláusula cuarta. </w:t>
      </w:r>
    </w:p>
    <w:p w14:paraId="21CE53C4" w14:textId="77777777" w:rsidR="00022A14" w:rsidRPr="009F61AF" w:rsidRDefault="002D49F2" w:rsidP="0081115F">
      <w:pPr>
        <w:pStyle w:val="NormalWeb"/>
        <w:shd w:val="clear" w:color="auto" w:fill="FFFFFF"/>
        <w:spacing w:before="0" w:beforeAutospacing="0" w:after="0" w:afterAutospacing="0"/>
        <w:rPr>
          <w:rFonts w:cs="Arial"/>
        </w:rPr>
      </w:pPr>
      <w:r w:rsidRPr="009F61AF">
        <w:rPr>
          <w:rFonts w:cs="Arial"/>
        </w:rPr>
        <w:t>I</w:t>
      </w:r>
      <w:r w:rsidR="006450E1" w:rsidRPr="009F61AF">
        <w:rPr>
          <w:rFonts w:cs="Arial"/>
        </w:rPr>
        <w:t xml:space="preserve">ncluyendo </w:t>
      </w:r>
      <w:r w:rsidR="00BA179A" w:rsidRPr="009F61AF">
        <w:rPr>
          <w:rFonts w:cs="Arial"/>
        </w:rPr>
        <w:t>los dos años de oportunidad para presentar la demanda</w:t>
      </w:r>
      <w:r w:rsidRPr="009F61AF">
        <w:rPr>
          <w:rFonts w:cs="Arial"/>
        </w:rPr>
        <w:t xml:space="preserve"> calculados desde el 30 de noviembre de 2010</w:t>
      </w:r>
      <w:r w:rsidR="00BA179A" w:rsidRPr="009F61AF">
        <w:rPr>
          <w:rFonts w:cs="Arial"/>
        </w:rPr>
        <w:t xml:space="preserve">, más </w:t>
      </w:r>
      <w:r w:rsidR="006450E1" w:rsidRPr="009F61AF">
        <w:rPr>
          <w:rFonts w:cs="Arial"/>
        </w:rPr>
        <w:t>el plazo contractual para liquidar el contrato en forma bilateral</w:t>
      </w:r>
      <w:r w:rsidR="00F55285" w:rsidRPr="009F61AF">
        <w:rPr>
          <w:rFonts w:cs="Arial"/>
        </w:rPr>
        <w:t xml:space="preserve"> </w:t>
      </w:r>
      <w:r w:rsidR="004A3241" w:rsidRPr="009F61AF">
        <w:rPr>
          <w:rFonts w:cs="Arial"/>
        </w:rPr>
        <w:t xml:space="preserve">que era de un total de </w:t>
      </w:r>
      <w:r w:rsidR="00BA179A" w:rsidRPr="009F61AF">
        <w:rPr>
          <w:rFonts w:cs="Arial"/>
        </w:rPr>
        <w:t xml:space="preserve">cuatro meses </w:t>
      </w:r>
      <w:r w:rsidR="006450E1" w:rsidRPr="009F61AF">
        <w:rPr>
          <w:rFonts w:cs="Arial"/>
        </w:rPr>
        <w:t xml:space="preserve">y </w:t>
      </w:r>
      <w:r w:rsidR="004A3241" w:rsidRPr="009F61AF">
        <w:rPr>
          <w:rFonts w:cs="Arial"/>
        </w:rPr>
        <w:t xml:space="preserve">adicionando los </w:t>
      </w:r>
      <w:r w:rsidR="0041165F" w:rsidRPr="009F61AF">
        <w:rPr>
          <w:rFonts w:cs="Arial"/>
        </w:rPr>
        <w:t xml:space="preserve">dos </w:t>
      </w:r>
      <w:r w:rsidR="006450E1" w:rsidRPr="009F61AF">
        <w:rPr>
          <w:rFonts w:cs="Arial"/>
        </w:rPr>
        <w:t>meses</w:t>
      </w:r>
      <w:r w:rsidR="0041165F" w:rsidRPr="009F61AF">
        <w:rPr>
          <w:rFonts w:cs="Arial"/>
        </w:rPr>
        <w:t xml:space="preserve"> para la liquidación unilateral</w:t>
      </w:r>
      <w:r w:rsidR="00080B43" w:rsidRPr="009F61AF">
        <w:rPr>
          <w:rFonts w:cs="Arial"/>
        </w:rPr>
        <w:t xml:space="preserve">, la caducidad </w:t>
      </w:r>
      <w:r w:rsidR="003759AF" w:rsidRPr="009F61AF">
        <w:rPr>
          <w:rFonts w:cs="Arial"/>
        </w:rPr>
        <w:t xml:space="preserve">de la acción </w:t>
      </w:r>
      <w:r w:rsidR="00080B43" w:rsidRPr="009F61AF">
        <w:rPr>
          <w:rFonts w:cs="Arial"/>
        </w:rPr>
        <w:t>ten</w:t>
      </w:r>
      <w:r w:rsidR="0036717F" w:rsidRPr="009F61AF">
        <w:rPr>
          <w:rFonts w:cs="Arial"/>
        </w:rPr>
        <w:t xml:space="preserve">ía </w:t>
      </w:r>
      <w:r w:rsidR="00080B43" w:rsidRPr="009F61AF">
        <w:rPr>
          <w:rFonts w:cs="Arial"/>
        </w:rPr>
        <w:t>lugar el 30 de ma</w:t>
      </w:r>
      <w:r w:rsidR="00CD5879" w:rsidRPr="009F61AF">
        <w:rPr>
          <w:rFonts w:cs="Arial"/>
        </w:rPr>
        <w:t>yo</w:t>
      </w:r>
      <w:r w:rsidR="00080B43" w:rsidRPr="009F61AF">
        <w:rPr>
          <w:rFonts w:cs="Arial"/>
        </w:rPr>
        <w:t xml:space="preserve"> de 201</w:t>
      </w:r>
      <w:r w:rsidR="00022A14" w:rsidRPr="009F61AF">
        <w:rPr>
          <w:rFonts w:cs="Arial"/>
        </w:rPr>
        <w:t>3</w:t>
      </w:r>
      <w:r w:rsidR="00080B43" w:rsidRPr="009F61AF">
        <w:rPr>
          <w:rFonts w:cs="Arial"/>
        </w:rPr>
        <w:t xml:space="preserve"> y no el 30 de septiembre de 2013</w:t>
      </w:r>
      <w:r w:rsidR="0036717F" w:rsidRPr="009F61AF">
        <w:rPr>
          <w:rFonts w:cs="Arial"/>
        </w:rPr>
        <w:t xml:space="preserve"> como estimó el Tribunal de Arbitramento</w:t>
      </w:r>
      <w:r w:rsidR="00022A14" w:rsidRPr="009F61AF">
        <w:rPr>
          <w:rFonts w:cs="Arial"/>
        </w:rPr>
        <w:t>.</w:t>
      </w:r>
    </w:p>
    <w:p w14:paraId="037050E9" w14:textId="77777777" w:rsidR="006B408C" w:rsidRPr="009F61AF" w:rsidRDefault="008F2C7A" w:rsidP="0081115F">
      <w:pPr>
        <w:pStyle w:val="Continuarlista2"/>
        <w:spacing w:after="0"/>
        <w:ind w:left="0"/>
        <w:rPr>
          <w:rFonts w:cs="Arial"/>
        </w:rPr>
      </w:pPr>
      <w:r w:rsidRPr="009F61AF">
        <w:rPr>
          <w:rFonts w:cs="Arial"/>
        </w:rPr>
        <w:t xml:space="preserve">Es contrario a la hermenéutica jurídica entender que el término del contrato </w:t>
      </w:r>
      <w:r w:rsidR="0036717F" w:rsidRPr="009F61AF">
        <w:rPr>
          <w:rFonts w:cs="Arial"/>
        </w:rPr>
        <w:t>-</w:t>
      </w:r>
      <w:r w:rsidR="006B408C" w:rsidRPr="009F61AF">
        <w:rPr>
          <w:rFonts w:cs="Arial"/>
        </w:rPr>
        <w:t xml:space="preserve">referido en el artículo 164 del C.P.C.A. </w:t>
      </w:r>
      <w:r w:rsidRPr="009F61AF">
        <w:rPr>
          <w:rFonts w:cs="Arial"/>
        </w:rPr>
        <w:t xml:space="preserve">para efectos de la caducidad </w:t>
      </w:r>
      <w:r w:rsidR="00B85BFB" w:rsidRPr="009F61AF">
        <w:rPr>
          <w:rFonts w:cs="Arial"/>
        </w:rPr>
        <w:t>de la acción</w:t>
      </w:r>
      <w:r w:rsidR="0036717F" w:rsidRPr="009F61AF">
        <w:rPr>
          <w:rFonts w:cs="Arial"/>
        </w:rPr>
        <w:t>-</w:t>
      </w:r>
      <w:r w:rsidR="00B85BFB" w:rsidRPr="009F61AF">
        <w:rPr>
          <w:rFonts w:cs="Arial"/>
        </w:rPr>
        <w:t xml:space="preserve"> </w:t>
      </w:r>
      <w:r w:rsidRPr="009F61AF">
        <w:rPr>
          <w:rFonts w:cs="Arial"/>
        </w:rPr>
        <w:t>incluye el plazo de liquidación</w:t>
      </w:r>
      <w:r w:rsidR="00B85BFB" w:rsidRPr="009F61AF">
        <w:rPr>
          <w:rFonts w:cs="Arial"/>
        </w:rPr>
        <w:t xml:space="preserve"> del contrato</w:t>
      </w:r>
      <w:r w:rsidRPr="009F61AF">
        <w:rPr>
          <w:rFonts w:cs="Arial"/>
        </w:rPr>
        <w:t xml:space="preserve">, toda vez que </w:t>
      </w:r>
      <w:r w:rsidR="00B85BFB" w:rsidRPr="009F61AF">
        <w:rPr>
          <w:rFonts w:cs="Arial"/>
        </w:rPr>
        <w:t xml:space="preserve">se caería en el absurdo de sumar dos veces el mismo </w:t>
      </w:r>
      <w:r w:rsidR="00621E56" w:rsidRPr="009F61AF">
        <w:rPr>
          <w:rFonts w:cs="Arial"/>
        </w:rPr>
        <w:t>lapso</w:t>
      </w:r>
      <w:r w:rsidR="006B408C" w:rsidRPr="009F61AF">
        <w:rPr>
          <w:rFonts w:cs="Arial"/>
        </w:rPr>
        <w:t xml:space="preserve">. Se tiene en cuenta que </w:t>
      </w:r>
      <w:r w:rsidR="00B85BFB" w:rsidRPr="009F61AF">
        <w:rPr>
          <w:rFonts w:cs="Arial"/>
        </w:rPr>
        <w:t xml:space="preserve">el artículo 164 </w:t>
      </w:r>
      <w:r w:rsidR="00336633" w:rsidRPr="009F61AF">
        <w:rPr>
          <w:rFonts w:cs="Arial"/>
        </w:rPr>
        <w:t xml:space="preserve">del C.P.A.C.A. </w:t>
      </w:r>
      <w:r w:rsidR="00B85BFB" w:rsidRPr="009F61AF">
        <w:rPr>
          <w:rFonts w:cs="Arial"/>
        </w:rPr>
        <w:t>se refiere al término del contrato y a</w:t>
      </w:r>
      <w:r w:rsidR="004A3241" w:rsidRPr="009F61AF">
        <w:rPr>
          <w:rFonts w:cs="Arial"/>
        </w:rPr>
        <w:t xml:space="preserve"> la adición del plazo </w:t>
      </w:r>
      <w:r w:rsidR="00B85BFB" w:rsidRPr="009F61AF">
        <w:rPr>
          <w:rFonts w:cs="Arial"/>
        </w:rPr>
        <w:t xml:space="preserve">para liquidar el </w:t>
      </w:r>
      <w:r w:rsidR="0036717F" w:rsidRPr="009F61AF">
        <w:rPr>
          <w:rFonts w:cs="Arial"/>
        </w:rPr>
        <w:t>mismo</w:t>
      </w:r>
      <w:r w:rsidR="00B85BFB" w:rsidRPr="009F61AF">
        <w:rPr>
          <w:rFonts w:cs="Arial"/>
        </w:rPr>
        <w:t xml:space="preserve">, de manera que </w:t>
      </w:r>
      <w:r w:rsidR="00621E56" w:rsidRPr="009F61AF">
        <w:rPr>
          <w:rFonts w:cs="Arial"/>
        </w:rPr>
        <w:t xml:space="preserve">resulta </w:t>
      </w:r>
      <w:r w:rsidR="00B85BFB" w:rsidRPr="009F61AF">
        <w:rPr>
          <w:rFonts w:cs="Arial"/>
        </w:rPr>
        <w:t>evidente que</w:t>
      </w:r>
      <w:r w:rsidR="0036717F" w:rsidRPr="009F61AF">
        <w:rPr>
          <w:rFonts w:cs="Arial"/>
        </w:rPr>
        <w:t>,</w:t>
      </w:r>
      <w:r w:rsidR="00B85BFB" w:rsidRPr="009F61AF">
        <w:rPr>
          <w:rFonts w:cs="Arial"/>
        </w:rPr>
        <w:t xml:space="preserve"> </w:t>
      </w:r>
      <w:r w:rsidR="006B408C" w:rsidRPr="009F61AF">
        <w:rPr>
          <w:rFonts w:cs="Arial"/>
        </w:rPr>
        <w:t xml:space="preserve">para los efectos de </w:t>
      </w:r>
      <w:r w:rsidR="0036717F" w:rsidRPr="009F61AF">
        <w:rPr>
          <w:rFonts w:cs="Arial"/>
        </w:rPr>
        <w:t xml:space="preserve">la precitada </w:t>
      </w:r>
      <w:r w:rsidR="00B85BFB" w:rsidRPr="009F61AF">
        <w:rPr>
          <w:rFonts w:cs="Arial"/>
        </w:rPr>
        <w:t>norma</w:t>
      </w:r>
      <w:r w:rsidR="0036717F" w:rsidRPr="009F61AF">
        <w:rPr>
          <w:rFonts w:cs="Arial"/>
        </w:rPr>
        <w:t>,</w:t>
      </w:r>
      <w:r w:rsidR="00B85BFB" w:rsidRPr="009F61AF">
        <w:rPr>
          <w:rFonts w:cs="Arial"/>
        </w:rPr>
        <w:t xml:space="preserve"> </w:t>
      </w:r>
      <w:r w:rsidR="00E51CD4" w:rsidRPr="009F61AF">
        <w:rPr>
          <w:rFonts w:cs="Arial"/>
        </w:rPr>
        <w:t xml:space="preserve">la expresión </w:t>
      </w:r>
      <w:r w:rsidR="00E51CD4" w:rsidRPr="009F61AF">
        <w:rPr>
          <w:rFonts w:cs="Arial"/>
          <w:i/>
        </w:rPr>
        <w:t xml:space="preserve">“terminación del </w:t>
      </w:r>
      <w:r w:rsidR="006B408C" w:rsidRPr="009F61AF">
        <w:rPr>
          <w:rFonts w:cs="Arial"/>
          <w:i/>
        </w:rPr>
        <w:t>contrato</w:t>
      </w:r>
      <w:r w:rsidR="00E51CD4" w:rsidRPr="009F61AF">
        <w:rPr>
          <w:rFonts w:cs="Arial"/>
          <w:i/>
        </w:rPr>
        <w:t>”</w:t>
      </w:r>
      <w:r w:rsidR="006B408C" w:rsidRPr="009F61AF">
        <w:rPr>
          <w:rFonts w:cs="Arial"/>
        </w:rPr>
        <w:t xml:space="preserve"> </w:t>
      </w:r>
      <w:r w:rsidR="00E51CD4" w:rsidRPr="009F61AF">
        <w:rPr>
          <w:rFonts w:cs="Arial"/>
        </w:rPr>
        <w:t xml:space="preserve">hace alusión </w:t>
      </w:r>
      <w:r w:rsidR="006B408C" w:rsidRPr="009F61AF">
        <w:rPr>
          <w:rFonts w:cs="Arial"/>
        </w:rPr>
        <w:t xml:space="preserve">al vencimiento del </w:t>
      </w:r>
      <w:r w:rsidR="00B85BFB" w:rsidRPr="009F61AF">
        <w:rPr>
          <w:rFonts w:cs="Arial"/>
        </w:rPr>
        <w:t>plazo de ejecución</w:t>
      </w:r>
      <w:r w:rsidR="00CA1430" w:rsidRPr="009F61AF">
        <w:rPr>
          <w:rFonts w:cs="Arial"/>
        </w:rPr>
        <w:t>.</w:t>
      </w:r>
    </w:p>
    <w:p w14:paraId="06DCB1CC" w14:textId="77777777" w:rsidR="006B408C" w:rsidRPr="009F61AF" w:rsidRDefault="006B408C" w:rsidP="0081115F">
      <w:pPr>
        <w:pStyle w:val="Continuarlista2"/>
        <w:spacing w:after="0"/>
        <w:ind w:left="0"/>
        <w:rPr>
          <w:rFonts w:cs="Arial"/>
        </w:rPr>
      </w:pPr>
    </w:p>
    <w:p w14:paraId="5B9D8698" w14:textId="77777777" w:rsidR="00621E56" w:rsidRPr="009F61AF" w:rsidRDefault="006B408C" w:rsidP="0081115F">
      <w:pPr>
        <w:pStyle w:val="Continuarlista2"/>
        <w:spacing w:after="0"/>
        <w:ind w:left="0"/>
        <w:rPr>
          <w:rFonts w:cs="Arial"/>
        </w:rPr>
      </w:pPr>
      <w:r w:rsidRPr="009F61AF">
        <w:rPr>
          <w:rFonts w:cs="Arial"/>
        </w:rPr>
        <w:t xml:space="preserve">Por otra parte, </w:t>
      </w:r>
      <w:r w:rsidR="003D3F27" w:rsidRPr="009F61AF">
        <w:rPr>
          <w:rFonts w:cs="Arial"/>
        </w:rPr>
        <w:t xml:space="preserve">con el propósito de </w:t>
      </w:r>
      <w:r w:rsidRPr="009F61AF">
        <w:rPr>
          <w:rFonts w:cs="Arial"/>
        </w:rPr>
        <w:t xml:space="preserve">establecer la oportunidad </w:t>
      </w:r>
      <w:r w:rsidR="003D3F27" w:rsidRPr="009F61AF">
        <w:rPr>
          <w:rFonts w:cs="Arial"/>
        </w:rPr>
        <w:t xml:space="preserve">en la presentación de la </w:t>
      </w:r>
      <w:r w:rsidRPr="009F61AF">
        <w:rPr>
          <w:rFonts w:cs="Arial"/>
        </w:rPr>
        <w:t xml:space="preserve"> demanda, en el caso concreto no era necesario interpreta</w:t>
      </w:r>
      <w:r w:rsidR="003D3F27" w:rsidRPr="009F61AF">
        <w:rPr>
          <w:rFonts w:cs="Arial"/>
        </w:rPr>
        <w:t>r</w:t>
      </w:r>
      <w:r w:rsidR="00896413" w:rsidRPr="009F61AF">
        <w:rPr>
          <w:rFonts w:cs="Arial"/>
        </w:rPr>
        <w:t xml:space="preserve"> </w:t>
      </w:r>
      <w:r w:rsidRPr="009F61AF">
        <w:rPr>
          <w:rFonts w:cs="Arial"/>
        </w:rPr>
        <w:t>cu</w:t>
      </w:r>
      <w:r w:rsidR="00896413" w:rsidRPr="009F61AF">
        <w:rPr>
          <w:rFonts w:cs="Arial"/>
        </w:rPr>
        <w:t>á</w:t>
      </w:r>
      <w:r w:rsidRPr="009F61AF">
        <w:rPr>
          <w:rFonts w:cs="Arial"/>
        </w:rPr>
        <w:t xml:space="preserve">l era </w:t>
      </w:r>
      <w:r w:rsidR="00896413" w:rsidRPr="009F61AF">
        <w:rPr>
          <w:rFonts w:cs="Arial"/>
        </w:rPr>
        <w:t xml:space="preserve">la vigencia del contrato, </w:t>
      </w:r>
      <w:r w:rsidRPr="009F61AF">
        <w:rPr>
          <w:rFonts w:cs="Arial"/>
        </w:rPr>
        <w:t xml:space="preserve">puesto que en el </w:t>
      </w:r>
      <w:r w:rsidR="00396B77" w:rsidRPr="009F61AF">
        <w:rPr>
          <w:rFonts w:cs="Arial"/>
        </w:rPr>
        <w:t xml:space="preserve">ordinal </w:t>
      </w:r>
      <w:r w:rsidRPr="009F61AF">
        <w:rPr>
          <w:rFonts w:cs="Arial"/>
        </w:rPr>
        <w:t>1º de la cláusula vigésima cuarta l</w:t>
      </w:r>
      <w:r w:rsidR="00896413" w:rsidRPr="009F61AF">
        <w:rPr>
          <w:rFonts w:cs="Arial"/>
        </w:rPr>
        <w:t>a</w:t>
      </w:r>
      <w:r w:rsidRPr="009F61AF">
        <w:rPr>
          <w:rFonts w:cs="Arial"/>
        </w:rPr>
        <w:t xml:space="preserve">s partes </w:t>
      </w:r>
      <w:r w:rsidRPr="009F61AF">
        <w:rPr>
          <w:rFonts w:cs="Arial"/>
        </w:rPr>
        <w:lastRenderedPageBreak/>
        <w:t xml:space="preserve">acordaron </w:t>
      </w:r>
      <w:r w:rsidR="00896413" w:rsidRPr="009F61AF">
        <w:rPr>
          <w:rFonts w:cs="Arial"/>
        </w:rPr>
        <w:t xml:space="preserve">en forma expresa </w:t>
      </w:r>
      <w:r w:rsidRPr="009F61AF">
        <w:rPr>
          <w:rFonts w:cs="Arial"/>
        </w:rPr>
        <w:t>que el contrato terminaba por el ven</w:t>
      </w:r>
      <w:r w:rsidR="00896413" w:rsidRPr="009F61AF">
        <w:rPr>
          <w:rFonts w:cs="Arial"/>
        </w:rPr>
        <w:t>c</w:t>
      </w:r>
      <w:r w:rsidRPr="009F61AF">
        <w:rPr>
          <w:rFonts w:cs="Arial"/>
        </w:rPr>
        <w:t>im</w:t>
      </w:r>
      <w:r w:rsidR="00896413" w:rsidRPr="009F61AF">
        <w:rPr>
          <w:rFonts w:cs="Arial"/>
        </w:rPr>
        <w:t>i</w:t>
      </w:r>
      <w:r w:rsidRPr="009F61AF">
        <w:rPr>
          <w:rFonts w:cs="Arial"/>
        </w:rPr>
        <w:t>ento del t</w:t>
      </w:r>
      <w:r w:rsidR="00896413" w:rsidRPr="009F61AF">
        <w:rPr>
          <w:rFonts w:cs="Arial"/>
        </w:rPr>
        <w:t>é</w:t>
      </w:r>
      <w:r w:rsidRPr="009F61AF">
        <w:rPr>
          <w:rFonts w:cs="Arial"/>
        </w:rPr>
        <w:t xml:space="preserve">rmino de ejecución del </w:t>
      </w:r>
      <w:r w:rsidR="003D3F27" w:rsidRPr="009F61AF">
        <w:rPr>
          <w:rFonts w:cs="Arial"/>
        </w:rPr>
        <w:t>mismo</w:t>
      </w:r>
      <w:r w:rsidRPr="009F61AF">
        <w:rPr>
          <w:rFonts w:cs="Arial"/>
        </w:rPr>
        <w:t xml:space="preserve">. </w:t>
      </w:r>
    </w:p>
    <w:p w14:paraId="45416ADB" w14:textId="77777777" w:rsidR="00336633" w:rsidRPr="009F61AF" w:rsidRDefault="00336633" w:rsidP="0081115F">
      <w:pPr>
        <w:pStyle w:val="Continuarlista2"/>
        <w:spacing w:after="0"/>
        <w:ind w:left="0"/>
        <w:rPr>
          <w:rFonts w:cs="Arial"/>
        </w:rPr>
      </w:pPr>
    </w:p>
    <w:p w14:paraId="79AD3423" w14:textId="77777777" w:rsidR="003759AF" w:rsidRPr="009F61AF" w:rsidRDefault="003759AF" w:rsidP="0081115F">
      <w:pPr>
        <w:pStyle w:val="Continuarlista2"/>
        <w:spacing w:after="0"/>
        <w:ind w:left="0"/>
        <w:rPr>
          <w:rFonts w:cs="Arial"/>
        </w:rPr>
      </w:pPr>
      <w:r w:rsidRPr="009F61AF">
        <w:rPr>
          <w:rFonts w:cs="Arial"/>
        </w:rPr>
        <w:t xml:space="preserve">Ahora bien, </w:t>
      </w:r>
      <w:r w:rsidR="00336633" w:rsidRPr="009F61AF">
        <w:rPr>
          <w:rFonts w:cs="Arial"/>
        </w:rPr>
        <w:t xml:space="preserve">teniendo en cuenta </w:t>
      </w:r>
      <w:r w:rsidRPr="009F61AF">
        <w:rPr>
          <w:rFonts w:cs="Arial"/>
        </w:rPr>
        <w:t>en este caso se surtió el trámite de conciliación pr</w:t>
      </w:r>
      <w:r w:rsidR="00621E56" w:rsidRPr="009F61AF">
        <w:rPr>
          <w:rFonts w:cs="Arial"/>
        </w:rPr>
        <w:t>e</w:t>
      </w:r>
      <w:r w:rsidRPr="009F61AF">
        <w:rPr>
          <w:rFonts w:cs="Arial"/>
        </w:rPr>
        <w:t>judicial</w:t>
      </w:r>
      <w:r w:rsidR="006B408C" w:rsidRPr="009F61AF">
        <w:rPr>
          <w:rFonts w:cs="Arial"/>
        </w:rPr>
        <w:t xml:space="preserve"> y que el cómputo de la suspensión del término fue materia de los argumentos </w:t>
      </w:r>
      <w:r w:rsidR="005D5D91" w:rsidRPr="009F61AF">
        <w:rPr>
          <w:rFonts w:cs="Arial"/>
        </w:rPr>
        <w:t xml:space="preserve">presentados </w:t>
      </w:r>
      <w:r w:rsidR="006B408C" w:rsidRPr="009F61AF">
        <w:rPr>
          <w:rFonts w:cs="Arial"/>
        </w:rPr>
        <w:t xml:space="preserve">en el recurso de anulación, </w:t>
      </w:r>
      <w:r w:rsidRPr="009F61AF">
        <w:rPr>
          <w:rFonts w:cs="Arial"/>
        </w:rPr>
        <w:t xml:space="preserve">la Sala pasa a considerar el </w:t>
      </w:r>
      <w:r w:rsidR="00896413" w:rsidRPr="009F61AF">
        <w:rPr>
          <w:rFonts w:cs="Arial"/>
        </w:rPr>
        <w:t xml:space="preserve">cómputo del </w:t>
      </w:r>
      <w:r w:rsidR="00716FD3" w:rsidRPr="009F61AF">
        <w:rPr>
          <w:rFonts w:cs="Arial"/>
        </w:rPr>
        <w:t xml:space="preserve">plazo correspondiente con el fin de </w:t>
      </w:r>
      <w:r w:rsidRPr="009F61AF">
        <w:rPr>
          <w:rFonts w:cs="Arial"/>
        </w:rPr>
        <w:t xml:space="preserve"> arribar a una conclusión acerca de la procedencia de la causal</w:t>
      </w:r>
      <w:r w:rsidR="00621E56" w:rsidRPr="009F61AF">
        <w:rPr>
          <w:rFonts w:cs="Arial"/>
        </w:rPr>
        <w:t xml:space="preserve"> de nulidad</w:t>
      </w:r>
      <w:r w:rsidR="006B408C" w:rsidRPr="009F61AF">
        <w:rPr>
          <w:rFonts w:cs="Arial"/>
        </w:rPr>
        <w:t xml:space="preserve"> </w:t>
      </w:r>
      <w:r w:rsidR="003A4C77" w:rsidRPr="009F61AF">
        <w:rPr>
          <w:rFonts w:cs="Arial"/>
        </w:rPr>
        <w:t xml:space="preserve">del laudo arbitral </w:t>
      </w:r>
      <w:r w:rsidR="006B408C" w:rsidRPr="009F61AF">
        <w:rPr>
          <w:rFonts w:cs="Arial"/>
        </w:rPr>
        <w:t>por razón de la caducidad de la acci</w:t>
      </w:r>
      <w:r w:rsidR="003A4C77" w:rsidRPr="009F61AF">
        <w:rPr>
          <w:rFonts w:cs="Arial"/>
        </w:rPr>
        <w:t>ón</w:t>
      </w:r>
      <w:r w:rsidR="00716FD3" w:rsidRPr="009F61AF">
        <w:rPr>
          <w:rFonts w:cs="Arial"/>
        </w:rPr>
        <w:t>.</w:t>
      </w:r>
    </w:p>
    <w:p w14:paraId="04B62817" w14:textId="77777777" w:rsidR="003759AF" w:rsidRPr="009F61AF" w:rsidRDefault="003759AF" w:rsidP="0081115F">
      <w:pPr>
        <w:pStyle w:val="Continuarlista2"/>
        <w:spacing w:after="0"/>
        <w:ind w:left="0"/>
        <w:rPr>
          <w:rFonts w:cs="Arial"/>
        </w:rPr>
      </w:pPr>
    </w:p>
    <w:p w14:paraId="5B2CBA1E" w14:textId="77777777" w:rsidR="003759AF" w:rsidRPr="009F61AF" w:rsidRDefault="00036404" w:rsidP="0081115F">
      <w:pPr>
        <w:pStyle w:val="Continuarlista2"/>
        <w:spacing w:after="0" w:line="240" w:lineRule="auto"/>
        <w:ind w:left="0"/>
        <w:rPr>
          <w:rFonts w:cs="Arial"/>
          <w:b/>
        </w:rPr>
      </w:pPr>
      <w:r w:rsidRPr="009F61AF">
        <w:rPr>
          <w:rFonts w:cs="Arial"/>
          <w:b/>
        </w:rPr>
        <w:t>4</w:t>
      </w:r>
      <w:r w:rsidR="00621E56" w:rsidRPr="009F61AF">
        <w:rPr>
          <w:rFonts w:cs="Arial"/>
          <w:b/>
        </w:rPr>
        <w:t xml:space="preserve">. </w:t>
      </w:r>
      <w:r w:rsidR="003759AF" w:rsidRPr="009F61AF">
        <w:rPr>
          <w:rFonts w:cs="Arial"/>
          <w:b/>
        </w:rPr>
        <w:t xml:space="preserve">Cómputo de la caducidad de la acción cuando ocurre la suspensión del término por la solicitud de conciliación prejudicial </w:t>
      </w:r>
    </w:p>
    <w:p w14:paraId="5DED00D7" w14:textId="77777777" w:rsidR="003759AF" w:rsidRPr="009F61AF" w:rsidRDefault="003759AF" w:rsidP="0081115F">
      <w:pPr>
        <w:pStyle w:val="Continuarlista2"/>
        <w:spacing w:after="0"/>
        <w:ind w:left="0"/>
        <w:rPr>
          <w:rFonts w:cs="Arial"/>
        </w:rPr>
      </w:pPr>
    </w:p>
    <w:p w14:paraId="6846202E" w14:textId="77777777" w:rsidR="00903C7C" w:rsidRPr="009F61AF" w:rsidRDefault="00526D3C" w:rsidP="0081115F">
      <w:pPr>
        <w:pStyle w:val="Continuarlista2"/>
        <w:spacing w:after="0"/>
        <w:ind w:left="0"/>
        <w:rPr>
          <w:rFonts w:cs="Arial"/>
        </w:rPr>
      </w:pPr>
      <w:r w:rsidRPr="009F61AF">
        <w:rPr>
          <w:rFonts w:cs="Arial"/>
        </w:rPr>
        <w:t xml:space="preserve">Desde la perspectiva de la regulación de los medios alternativos de solución de conflictos, ha sido una constante </w:t>
      </w:r>
      <w:r w:rsidR="00B639B7" w:rsidRPr="009F61AF">
        <w:rPr>
          <w:rFonts w:cs="Arial"/>
        </w:rPr>
        <w:t xml:space="preserve">legal la de establecer </w:t>
      </w:r>
      <w:r w:rsidR="005D5D91" w:rsidRPr="009F61AF">
        <w:rPr>
          <w:rFonts w:cs="Arial"/>
        </w:rPr>
        <w:t xml:space="preserve">la suspensión </w:t>
      </w:r>
      <w:r w:rsidR="00B639B7" w:rsidRPr="009F61AF">
        <w:rPr>
          <w:rFonts w:cs="Arial"/>
        </w:rPr>
        <w:t>en el cómputo del término de la caducidad de la acción cuando se presenta la solicitud de conciliación</w:t>
      </w:r>
      <w:r w:rsidR="00903C7C" w:rsidRPr="009F61AF">
        <w:rPr>
          <w:rFonts w:cs="Arial"/>
        </w:rPr>
        <w:t xml:space="preserve"> prejudicial. </w:t>
      </w:r>
    </w:p>
    <w:p w14:paraId="654D6A03" w14:textId="77777777" w:rsidR="00903C7C" w:rsidRPr="009F61AF" w:rsidRDefault="00903C7C" w:rsidP="0081115F">
      <w:pPr>
        <w:pStyle w:val="Continuarlista2"/>
        <w:spacing w:after="0"/>
        <w:ind w:left="0"/>
        <w:rPr>
          <w:rFonts w:cs="Arial"/>
        </w:rPr>
      </w:pPr>
    </w:p>
    <w:p w14:paraId="65E8E51B" w14:textId="77777777" w:rsidR="00716FD3" w:rsidRPr="009F61AF" w:rsidRDefault="00903C7C" w:rsidP="0081115F">
      <w:pPr>
        <w:pStyle w:val="Continuarlista2"/>
        <w:spacing w:after="0"/>
        <w:ind w:left="0"/>
        <w:rPr>
          <w:rFonts w:cs="Arial"/>
        </w:rPr>
      </w:pPr>
      <w:r w:rsidRPr="009F61AF">
        <w:rPr>
          <w:rFonts w:cs="Arial"/>
        </w:rPr>
        <w:t xml:space="preserve">En el Decreto 1818 de 1998 </w:t>
      </w:r>
      <w:r w:rsidR="003A4C77" w:rsidRPr="009F61AF">
        <w:rPr>
          <w:rFonts w:cs="Arial"/>
        </w:rPr>
        <w:t xml:space="preserve">se </w:t>
      </w:r>
      <w:r w:rsidR="00120F7E" w:rsidRPr="009F61AF">
        <w:rPr>
          <w:rFonts w:cs="Arial"/>
        </w:rPr>
        <w:t xml:space="preserve">utilizó </w:t>
      </w:r>
      <w:r w:rsidR="00977622" w:rsidRPr="009F61AF">
        <w:rPr>
          <w:rFonts w:cs="Arial"/>
        </w:rPr>
        <w:t>la expresión “adicionado”</w:t>
      </w:r>
      <w:r w:rsidR="00120F7E" w:rsidRPr="009F61AF">
        <w:rPr>
          <w:rFonts w:cs="Arial"/>
        </w:rPr>
        <w:t>, para efectos de conta</w:t>
      </w:r>
      <w:r w:rsidR="005D5D91" w:rsidRPr="009F61AF">
        <w:rPr>
          <w:rFonts w:cs="Arial"/>
        </w:rPr>
        <w:t>r</w:t>
      </w:r>
      <w:r w:rsidR="00120F7E" w:rsidRPr="009F61AF">
        <w:rPr>
          <w:rFonts w:cs="Arial"/>
        </w:rPr>
        <w:t xml:space="preserve"> el término de suspensión de la </w:t>
      </w:r>
      <w:r w:rsidR="004F3A09" w:rsidRPr="009F61AF">
        <w:rPr>
          <w:rFonts w:cs="Arial"/>
        </w:rPr>
        <w:t xml:space="preserve">caducidad con </w:t>
      </w:r>
      <w:r w:rsidR="00120F7E" w:rsidRPr="009F61AF">
        <w:rPr>
          <w:rFonts w:cs="Arial"/>
        </w:rPr>
        <w:t>ocasión del trámite de conciliación</w:t>
      </w:r>
      <w:r w:rsidRPr="009F61AF">
        <w:rPr>
          <w:rStyle w:val="Refdenotaalpie"/>
          <w:rFonts w:cs="Arial"/>
        </w:rPr>
        <w:footnoteReference w:id="27"/>
      </w:r>
      <w:r w:rsidRPr="009F61AF">
        <w:rPr>
          <w:rFonts w:cs="Arial"/>
        </w:rPr>
        <w:t xml:space="preserve">, </w:t>
      </w:r>
      <w:r w:rsidR="0092576A" w:rsidRPr="009F61AF">
        <w:rPr>
          <w:rFonts w:cs="Arial"/>
        </w:rPr>
        <w:t>en el mismo sentido que l</w:t>
      </w:r>
      <w:r w:rsidR="00120F7E" w:rsidRPr="009F61AF">
        <w:rPr>
          <w:rFonts w:cs="Arial"/>
        </w:rPr>
        <w:t>o</w:t>
      </w:r>
      <w:r w:rsidR="0092576A" w:rsidRPr="009F61AF">
        <w:rPr>
          <w:rFonts w:cs="Arial"/>
        </w:rPr>
        <w:t xml:space="preserve"> </w:t>
      </w:r>
      <w:r w:rsidR="004F3A09" w:rsidRPr="009F61AF">
        <w:rPr>
          <w:rFonts w:cs="Arial"/>
        </w:rPr>
        <w:t xml:space="preserve">había </w:t>
      </w:r>
      <w:r w:rsidR="00120F7E" w:rsidRPr="009F61AF">
        <w:rPr>
          <w:rFonts w:cs="Arial"/>
        </w:rPr>
        <w:t xml:space="preserve">empleado </w:t>
      </w:r>
      <w:r w:rsidR="0092576A" w:rsidRPr="009F61AF">
        <w:rPr>
          <w:rFonts w:cs="Arial"/>
        </w:rPr>
        <w:t>la Ley 446 de 1998</w:t>
      </w:r>
      <w:r w:rsidR="0092576A" w:rsidRPr="009F61AF">
        <w:rPr>
          <w:rStyle w:val="Refdenotaalpie"/>
          <w:rFonts w:cs="Arial"/>
        </w:rPr>
        <w:footnoteReference w:id="28"/>
      </w:r>
      <w:r w:rsidR="00877700" w:rsidRPr="009F61AF">
        <w:rPr>
          <w:rFonts w:cs="Arial"/>
        </w:rPr>
        <w:t xml:space="preserve"> en su redacción inicial</w:t>
      </w:r>
      <w:r w:rsidR="00B0199F" w:rsidRPr="009F61AF">
        <w:rPr>
          <w:rFonts w:cs="Arial"/>
        </w:rPr>
        <w:t xml:space="preserve"> </w:t>
      </w:r>
      <w:r w:rsidR="00054AC8" w:rsidRPr="009F61AF">
        <w:rPr>
          <w:rFonts w:cs="Arial"/>
        </w:rPr>
        <w:t xml:space="preserve">dentro de </w:t>
      </w:r>
      <w:r w:rsidR="00B0199F" w:rsidRPr="009F61AF">
        <w:rPr>
          <w:rFonts w:cs="Arial"/>
        </w:rPr>
        <w:t xml:space="preserve">la cual se estableció un plazo de suspensión de sesenta días. </w:t>
      </w:r>
    </w:p>
    <w:p w14:paraId="32AA2BDA" w14:textId="77777777" w:rsidR="00716FD3" w:rsidRPr="009F61AF" w:rsidRDefault="00716FD3" w:rsidP="0081115F">
      <w:pPr>
        <w:pStyle w:val="Continuarlista2"/>
        <w:spacing w:after="0"/>
        <w:ind w:left="0"/>
        <w:rPr>
          <w:rFonts w:cs="Arial"/>
        </w:rPr>
      </w:pPr>
    </w:p>
    <w:p w14:paraId="45612B61" w14:textId="77777777" w:rsidR="00136762" w:rsidRPr="009F61AF" w:rsidRDefault="00B0199F" w:rsidP="0081115F">
      <w:pPr>
        <w:pStyle w:val="Continuarlista2"/>
        <w:spacing w:after="0"/>
        <w:ind w:left="0"/>
        <w:rPr>
          <w:rFonts w:cs="Arial"/>
        </w:rPr>
      </w:pPr>
      <w:r w:rsidRPr="009F61AF">
        <w:rPr>
          <w:rFonts w:cs="Arial"/>
        </w:rPr>
        <w:t>S</w:t>
      </w:r>
      <w:r w:rsidR="00877700" w:rsidRPr="009F61AF">
        <w:rPr>
          <w:rFonts w:cs="Arial"/>
        </w:rPr>
        <w:t>in embargo</w:t>
      </w:r>
      <w:r w:rsidR="003A4C77" w:rsidRPr="009F61AF">
        <w:rPr>
          <w:rFonts w:cs="Arial"/>
        </w:rPr>
        <w:t>,</w:t>
      </w:r>
      <w:r w:rsidR="00877700" w:rsidRPr="009F61AF">
        <w:rPr>
          <w:rFonts w:cs="Arial"/>
        </w:rPr>
        <w:t xml:space="preserve"> e</w:t>
      </w:r>
      <w:r w:rsidRPr="009F61AF">
        <w:rPr>
          <w:rFonts w:cs="Arial"/>
        </w:rPr>
        <w:t xml:space="preserve">l aspecto de la adición del plazo </w:t>
      </w:r>
      <w:r w:rsidR="0061131F" w:rsidRPr="009F61AF">
        <w:rPr>
          <w:rFonts w:cs="Arial"/>
        </w:rPr>
        <w:t xml:space="preserve">correspondiente a </w:t>
      </w:r>
      <w:r w:rsidRPr="009F61AF">
        <w:rPr>
          <w:rFonts w:cs="Arial"/>
        </w:rPr>
        <w:t>las diligencias de conciliación</w:t>
      </w:r>
      <w:r w:rsidR="00877700" w:rsidRPr="009F61AF">
        <w:rPr>
          <w:rFonts w:cs="Arial"/>
        </w:rPr>
        <w:t xml:space="preserve"> se aclaró </w:t>
      </w:r>
      <w:r w:rsidR="003A4C77" w:rsidRPr="009F61AF">
        <w:rPr>
          <w:rFonts w:cs="Arial"/>
        </w:rPr>
        <w:t xml:space="preserve">y se modificó </w:t>
      </w:r>
      <w:r w:rsidR="00373384" w:rsidRPr="009F61AF">
        <w:rPr>
          <w:rFonts w:cs="Arial"/>
        </w:rPr>
        <w:t xml:space="preserve">en la regulación contenida en </w:t>
      </w:r>
      <w:r w:rsidR="00136762" w:rsidRPr="009F61AF">
        <w:rPr>
          <w:rFonts w:cs="Arial"/>
        </w:rPr>
        <w:t xml:space="preserve">la Ley 640 de 2001 y su </w:t>
      </w:r>
      <w:r w:rsidR="003A4C77" w:rsidRPr="009F61AF">
        <w:rPr>
          <w:rFonts w:cs="Arial"/>
        </w:rPr>
        <w:t>D</w:t>
      </w:r>
      <w:r w:rsidR="00136762" w:rsidRPr="009F61AF">
        <w:rPr>
          <w:rFonts w:cs="Arial"/>
        </w:rPr>
        <w:t xml:space="preserve">ecreto </w:t>
      </w:r>
      <w:r w:rsidR="003A4C77" w:rsidRPr="009F61AF">
        <w:rPr>
          <w:rFonts w:cs="Arial"/>
        </w:rPr>
        <w:t>R</w:t>
      </w:r>
      <w:r w:rsidR="00136762" w:rsidRPr="009F61AF">
        <w:rPr>
          <w:rFonts w:cs="Arial"/>
        </w:rPr>
        <w:t>eglamentario</w:t>
      </w:r>
      <w:r w:rsidR="00373384" w:rsidRPr="009F61AF">
        <w:rPr>
          <w:rFonts w:cs="Arial"/>
        </w:rPr>
        <w:t xml:space="preserve"> 171</w:t>
      </w:r>
      <w:r w:rsidR="00175C2F" w:rsidRPr="009F61AF">
        <w:rPr>
          <w:rFonts w:cs="Arial"/>
        </w:rPr>
        <w:t>6</w:t>
      </w:r>
      <w:r w:rsidR="00373384" w:rsidRPr="009F61AF">
        <w:rPr>
          <w:rFonts w:cs="Arial"/>
        </w:rPr>
        <w:t xml:space="preserve"> de 2009</w:t>
      </w:r>
      <w:r w:rsidR="00136762" w:rsidRPr="009F61AF">
        <w:rPr>
          <w:rFonts w:cs="Arial"/>
        </w:rPr>
        <w:t xml:space="preserve">, en </w:t>
      </w:r>
      <w:r w:rsidR="004F3A09" w:rsidRPr="009F61AF">
        <w:rPr>
          <w:rFonts w:cs="Arial"/>
        </w:rPr>
        <w:t xml:space="preserve">cuya norma se </w:t>
      </w:r>
      <w:r w:rsidR="002B4449" w:rsidRPr="009F61AF">
        <w:rPr>
          <w:rFonts w:cs="Arial"/>
        </w:rPr>
        <w:t xml:space="preserve">eliminó la alusión a la adición </w:t>
      </w:r>
      <w:r w:rsidR="002B75A5" w:rsidRPr="009F61AF">
        <w:rPr>
          <w:rFonts w:cs="Arial"/>
        </w:rPr>
        <w:t xml:space="preserve">de términos </w:t>
      </w:r>
      <w:r w:rsidR="002B4449" w:rsidRPr="009F61AF">
        <w:rPr>
          <w:rFonts w:cs="Arial"/>
        </w:rPr>
        <w:t xml:space="preserve">y se </w:t>
      </w:r>
      <w:r w:rsidR="00716FD3" w:rsidRPr="009F61AF">
        <w:rPr>
          <w:rFonts w:cs="Arial"/>
        </w:rPr>
        <w:t xml:space="preserve">refirió </w:t>
      </w:r>
      <w:r w:rsidR="002B4449" w:rsidRPr="009F61AF">
        <w:rPr>
          <w:rFonts w:cs="Arial"/>
        </w:rPr>
        <w:t xml:space="preserve">únicamente la suspensión del </w:t>
      </w:r>
      <w:r w:rsidR="00BC6D53" w:rsidRPr="009F61AF">
        <w:rPr>
          <w:rFonts w:cs="Arial"/>
        </w:rPr>
        <w:t>término</w:t>
      </w:r>
      <w:r w:rsidR="00977622" w:rsidRPr="009F61AF">
        <w:rPr>
          <w:rFonts w:cs="Arial"/>
        </w:rPr>
        <w:t xml:space="preserve"> de caducidad</w:t>
      </w:r>
      <w:r w:rsidR="00716FD3" w:rsidRPr="009F61AF">
        <w:rPr>
          <w:rFonts w:cs="Arial"/>
        </w:rPr>
        <w:t xml:space="preserve">. </w:t>
      </w:r>
      <w:r w:rsidR="00433FCE" w:rsidRPr="009F61AF">
        <w:rPr>
          <w:rFonts w:cs="Arial"/>
        </w:rPr>
        <w:t>A su vez, es</w:t>
      </w:r>
      <w:r w:rsidR="00396B77" w:rsidRPr="009F61AF">
        <w:rPr>
          <w:rFonts w:cs="Arial"/>
        </w:rPr>
        <w:t>e</w:t>
      </w:r>
      <w:r w:rsidR="00433FCE" w:rsidRPr="009F61AF">
        <w:rPr>
          <w:rFonts w:cs="Arial"/>
        </w:rPr>
        <w:t xml:space="preserve"> </w:t>
      </w:r>
      <w:r w:rsidR="00DE01E9" w:rsidRPr="009F61AF">
        <w:rPr>
          <w:rFonts w:cs="Arial"/>
        </w:rPr>
        <w:t>nuev</w:t>
      </w:r>
      <w:r w:rsidR="00396B77" w:rsidRPr="009F61AF">
        <w:rPr>
          <w:rFonts w:cs="Arial"/>
        </w:rPr>
        <w:t xml:space="preserve">o precepto  jurídico </w:t>
      </w:r>
      <w:r w:rsidR="00DE01E9" w:rsidRPr="009F61AF">
        <w:rPr>
          <w:rFonts w:cs="Arial"/>
        </w:rPr>
        <w:t xml:space="preserve">pasó a </w:t>
      </w:r>
      <w:r w:rsidR="00433FCE" w:rsidRPr="009F61AF">
        <w:rPr>
          <w:rFonts w:cs="Arial"/>
        </w:rPr>
        <w:t xml:space="preserve">fijar </w:t>
      </w:r>
      <w:r w:rsidR="00DE01E9" w:rsidRPr="009F61AF">
        <w:rPr>
          <w:rFonts w:cs="Arial"/>
        </w:rPr>
        <w:t xml:space="preserve">el término máximo de </w:t>
      </w:r>
      <w:r w:rsidR="00DE01E9" w:rsidRPr="009F61AF">
        <w:rPr>
          <w:rFonts w:cs="Arial"/>
        </w:rPr>
        <w:lastRenderedPageBreak/>
        <w:t xml:space="preserve">la suspensión </w:t>
      </w:r>
      <w:r w:rsidR="00433FCE" w:rsidRPr="009F61AF">
        <w:rPr>
          <w:rFonts w:cs="Arial"/>
        </w:rPr>
        <w:t xml:space="preserve">para efectos del cómputo de la caducidad de la acción, </w:t>
      </w:r>
      <w:r w:rsidR="00DE01E9" w:rsidRPr="009F61AF">
        <w:rPr>
          <w:rFonts w:cs="Arial"/>
        </w:rPr>
        <w:t>en tres meses, así</w:t>
      </w:r>
      <w:r w:rsidR="002B75A5" w:rsidRPr="009F61AF">
        <w:rPr>
          <w:rFonts w:cs="Arial"/>
        </w:rPr>
        <w:t>:</w:t>
      </w:r>
      <w:r w:rsidR="00DE01E9" w:rsidRPr="009F61AF">
        <w:rPr>
          <w:rFonts w:cs="Arial"/>
        </w:rPr>
        <w:t xml:space="preserve"> </w:t>
      </w:r>
    </w:p>
    <w:p w14:paraId="3BC9F245" w14:textId="77777777" w:rsidR="00DE01E9" w:rsidRPr="009F61AF" w:rsidRDefault="00DE01E9" w:rsidP="0081115F">
      <w:pPr>
        <w:pStyle w:val="Continuarlista2"/>
        <w:spacing w:after="0"/>
        <w:ind w:left="0"/>
        <w:rPr>
          <w:rFonts w:cs="Arial"/>
        </w:rPr>
      </w:pPr>
    </w:p>
    <w:p w14:paraId="4D60063A" w14:textId="77777777" w:rsidR="00136762" w:rsidRPr="009F61AF" w:rsidRDefault="00977622" w:rsidP="0081115F">
      <w:pPr>
        <w:pStyle w:val="Continuarlista2"/>
        <w:spacing w:after="0" w:line="276" w:lineRule="auto"/>
        <w:ind w:left="0"/>
        <w:rPr>
          <w:rFonts w:cs="Arial"/>
          <w:b/>
          <w:i/>
          <w:color w:val="4B4949"/>
        </w:rPr>
      </w:pPr>
      <w:r w:rsidRPr="009F61AF">
        <w:rPr>
          <w:rFonts w:cs="Arial"/>
          <w:bCs/>
        </w:rPr>
        <w:t>Ley 640 de 2001, artículo 21.</w:t>
      </w:r>
      <w:r w:rsidRPr="009F61AF">
        <w:rPr>
          <w:rFonts w:cs="Arial"/>
          <w:bCs/>
          <w:i/>
        </w:rPr>
        <w:t xml:space="preserve"> </w:t>
      </w:r>
      <w:r w:rsidR="00284336" w:rsidRPr="009F61AF">
        <w:rPr>
          <w:rFonts w:cs="Arial"/>
          <w:bCs/>
          <w:i/>
        </w:rPr>
        <w:t>“S</w:t>
      </w:r>
      <w:r w:rsidRPr="009F61AF">
        <w:rPr>
          <w:rFonts w:cs="Arial"/>
          <w:bCs/>
          <w:i/>
        </w:rPr>
        <w:t>uspensión de la prescripción o de la caducidad</w:t>
      </w:r>
      <w:r w:rsidR="00136762" w:rsidRPr="009F61AF">
        <w:rPr>
          <w:rFonts w:cs="Arial"/>
          <w:bCs/>
          <w:i/>
        </w:rPr>
        <w:t>.</w:t>
      </w:r>
      <w:r w:rsidR="00396B77" w:rsidRPr="009F61AF">
        <w:rPr>
          <w:rFonts w:cs="Arial"/>
          <w:bCs/>
          <w:i/>
        </w:rPr>
        <w:t xml:space="preserve"> </w:t>
      </w:r>
      <w:r w:rsidR="00136762" w:rsidRPr="009F61AF">
        <w:rPr>
          <w:rFonts w:cs="Arial"/>
          <w:b/>
          <w:i/>
          <w:color w:val="4B4949"/>
        </w:rPr>
        <w:t>La presentación de la solicitud de conciliación extrajudicial en derecho ante el conciliador suspende el término</w:t>
      </w:r>
      <w:r w:rsidR="00136762" w:rsidRPr="009F61AF">
        <w:rPr>
          <w:rFonts w:cs="Arial"/>
          <w:i/>
          <w:color w:val="4B4949"/>
        </w:rPr>
        <w:t xml:space="preserve"> de prescripción o de caducidad, según el caso, hasta que se logre el acuerdo conciliatorio o hasta que el acta de conciliación se haya registrado en los casos en que este trámite sea exigido por la ley o hasta que se expidan las constancias a que se refiere el artículo</w:t>
      </w:r>
      <w:r w:rsidR="00136762" w:rsidRPr="009F61AF">
        <w:rPr>
          <w:rStyle w:val="apple-converted-space"/>
          <w:rFonts w:cs="Arial"/>
          <w:i/>
          <w:color w:val="4B4949"/>
        </w:rPr>
        <w:t> </w:t>
      </w:r>
      <w:hyperlink r:id="rId11" w:anchor="2" w:history="1">
        <w:r w:rsidR="00136762" w:rsidRPr="009F61AF">
          <w:rPr>
            <w:rStyle w:val="Hipervnculo"/>
            <w:rFonts w:cs="Arial"/>
            <w:i/>
            <w:color w:val="0073FF"/>
            <w:sz w:val="24"/>
          </w:rPr>
          <w:t>2</w:t>
        </w:r>
      </w:hyperlink>
      <w:r w:rsidR="00136762" w:rsidRPr="009F61AF">
        <w:rPr>
          <w:rFonts w:cs="Arial"/>
          <w:i/>
          <w:color w:val="4B4949"/>
        </w:rPr>
        <w:t xml:space="preserve">o. de la presente ley </w:t>
      </w:r>
      <w:r w:rsidR="00136762" w:rsidRPr="009F61AF">
        <w:rPr>
          <w:rFonts w:cs="Arial"/>
          <w:b/>
          <w:i/>
          <w:color w:val="4B4949"/>
        </w:rPr>
        <w:t>o hasta que se venza el término de tres (3) meses a que se refiere el artículo anterior, lo que ocurra primero. Esta suspensión operará por una sola vez y será improrrogable”.</w:t>
      </w:r>
    </w:p>
    <w:p w14:paraId="77DBABA5" w14:textId="77777777" w:rsidR="00136762" w:rsidRPr="009F61AF" w:rsidRDefault="00136762" w:rsidP="0081115F">
      <w:pPr>
        <w:pStyle w:val="Continuarlista2"/>
        <w:spacing w:after="0" w:line="276" w:lineRule="auto"/>
        <w:ind w:left="0"/>
        <w:rPr>
          <w:rFonts w:cs="Arial"/>
          <w:i/>
          <w:color w:val="4B4949"/>
        </w:rPr>
      </w:pPr>
    </w:p>
    <w:p w14:paraId="4154CB35" w14:textId="77777777" w:rsidR="00136762" w:rsidRPr="009F61AF" w:rsidRDefault="00284336" w:rsidP="0081115F">
      <w:pPr>
        <w:pStyle w:val="Continuarlista2"/>
        <w:spacing w:after="0" w:line="276" w:lineRule="auto"/>
        <w:ind w:left="0"/>
        <w:rPr>
          <w:rFonts w:cs="Arial"/>
          <w:i/>
          <w:color w:val="000000"/>
        </w:rPr>
      </w:pPr>
      <w:r w:rsidRPr="009F61AF">
        <w:rPr>
          <w:rFonts w:cs="Arial"/>
          <w:i/>
          <w:color w:val="4B4949"/>
        </w:rPr>
        <w:t xml:space="preserve">Decreto 1716 de 2009, </w:t>
      </w:r>
      <w:r w:rsidRPr="009F61AF">
        <w:rPr>
          <w:rFonts w:cs="Arial"/>
          <w:bCs/>
          <w:i/>
          <w:color w:val="000000"/>
        </w:rPr>
        <w:t>artículo 3</w:t>
      </w:r>
      <w:r w:rsidR="004A35C6" w:rsidRPr="009F61AF">
        <w:rPr>
          <w:rFonts w:cs="Arial"/>
          <w:bCs/>
          <w:i/>
          <w:color w:val="000000"/>
        </w:rPr>
        <w:t>.</w:t>
      </w:r>
      <w:r w:rsidRPr="009F61AF">
        <w:rPr>
          <w:rFonts w:cs="Arial"/>
          <w:bCs/>
          <w:i/>
          <w:color w:val="000000"/>
        </w:rPr>
        <w:t xml:space="preserve"> “</w:t>
      </w:r>
      <w:r w:rsidR="004A35C6" w:rsidRPr="009F61AF">
        <w:rPr>
          <w:rFonts w:cs="Arial"/>
          <w:bCs/>
          <w:i/>
          <w:color w:val="000000"/>
        </w:rPr>
        <w:t>S</w:t>
      </w:r>
      <w:r w:rsidRPr="009F61AF">
        <w:rPr>
          <w:rFonts w:cs="Arial"/>
          <w:i/>
          <w:iCs/>
          <w:color w:val="000000"/>
        </w:rPr>
        <w:t>uspensión del término de caducidad de la acción</w:t>
      </w:r>
      <w:r w:rsidRPr="009F61AF">
        <w:rPr>
          <w:rFonts w:cs="Arial"/>
          <w:i/>
          <w:color w:val="000000"/>
        </w:rPr>
        <w:t>.</w:t>
      </w:r>
      <w:r w:rsidR="00136762" w:rsidRPr="009F61AF">
        <w:rPr>
          <w:rFonts w:cs="Arial"/>
          <w:i/>
          <w:color w:val="000000"/>
        </w:rPr>
        <w:t xml:space="preserve"> La presentación de la solicitud de conciliación extrajudicial ante los agentes del Ministerio Público suspende el término de prescripción o de caducidad, según el caso, hasta:</w:t>
      </w:r>
    </w:p>
    <w:p w14:paraId="6D048A3E" w14:textId="77777777" w:rsidR="00136762" w:rsidRPr="009F61AF" w:rsidRDefault="00284336" w:rsidP="0081115F">
      <w:pPr>
        <w:shd w:val="clear" w:color="auto" w:fill="FFFFFF"/>
        <w:spacing w:line="276" w:lineRule="auto"/>
        <w:rPr>
          <w:rFonts w:cs="Arial"/>
          <w:i/>
          <w:color w:val="000000"/>
        </w:rPr>
      </w:pPr>
      <w:r w:rsidRPr="009F61AF">
        <w:rPr>
          <w:rFonts w:cs="Arial"/>
          <w:i/>
          <w:color w:val="000000"/>
        </w:rPr>
        <w:t>“</w:t>
      </w:r>
      <w:r w:rsidR="00136762" w:rsidRPr="009F61AF">
        <w:rPr>
          <w:rFonts w:cs="Arial"/>
          <w:i/>
          <w:color w:val="000000"/>
        </w:rPr>
        <w:t>a) Que se logre el acuerdo conciliatorio, o</w:t>
      </w:r>
    </w:p>
    <w:p w14:paraId="62384C21" w14:textId="77777777" w:rsidR="00136762" w:rsidRPr="009F61AF" w:rsidRDefault="00284336" w:rsidP="0081115F">
      <w:pPr>
        <w:shd w:val="clear" w:color="auto" w:fill="FFFFFF"/>
        <w:spacing w:line="276" w:lineRule="auto"/>
        <w:rPr>
          <w:rFonts w:cs="Arial"/>
          <w:i/>
          <w:color w:val="000000"/>
        </w:rPr>
      </w:pPr>
      <w:r w:rsidRPr="009F61AF">
        <w:rPr>
          <w:rFonts w:cs="Arial"/>
          <w:i/>
          <w:color w:val="000000"/>
        </w:rPr>
        <w:t>“</w:t>
      </w:r>
      <w:r w:rsidR="00136762" w:rsidRPr="009F61AF">
        <w:rPr>
          <w:rFonts w:cs="Arial"/>
          <w:i/>
          <w:color w:val="000000"/>
        </w:rPr>
        <w:t>b) Se expidan las constancias a que se refiere el artículo 2° de la Ley 640 de 2001, o</w:t>
      </w:r>
    </w:p>
    <w:p w14:paraId="24CD8580" w14:textId="77777777" w:rsidR="00136762" w:rsidRPr="009F61AF" w:rsidRDefault="00284336" w:rsidP="0081115F">
      <w:pPr>
        <w:shd w:val="clear" w:color="auto" w:fill="FFFFFF"/>
        <w:spacing w:line="276" w:lineRule="auto"/>
        <w:rPr>
          <w:rFonts w:cs="Arial"/>
          <w:b/>
          <w:i/>
          <w:color w:val="000000"/>
        </w:rPr>
      </w:pPr>
      <w:r w:rsidRPr="009F61AF">
        <w:rPr>
          <w:rFonts w:cs="Arial"/>
          <w:i/>
          <w:color w:val="000000"/>
        </w:rPr>
        <w:t>“</w:t>
      </w:r>
      <w:r w:rsidR="00136762" w:rsidRPr="009F61AF">
        <w:rPr>
          <w:rFonts w:cs="Arial"/>
          <w:b/>
          <w:i/>
          <w:color w:val="000000"/>
        </w:rPr>
        <w:t>c) Se venza el término de tres (3) meses contados a partir de la presentación de la solicitud; lo que ocurra primero.</w:t>
      </w:r>
    </w:p>
    <w:p w14:paraId="7B874E79" w14:textId="77777777" w:rsidR="00136762" w:rsidRPr="009F61AF" w:rsidRDefault="00284336" w:rsidP="0081115F">
      <w:pPr>
        <w:shd w:val="clear" w:color="auto" w:fill="FFFFFF"/>
        <w:spacing w:line="276" w:lineRule="auto"/>
        <w:rPr>
          <w:rFonts w:cs="Arial"/>
          <w:i/>
          <w:color w:val="000000"/>
        </w:rPr>
      </w:pPr>
      <w:r w:rsidRPr="009F61AF">
        <w:rPr>
          <w:rFonts w:cs="Arial"/>
          <w:i/>
          <w:color w:val="000000"/>
        </w:rPr>
        <w:t>“</w:t>
      </w:r>
      <w:r w:rsidR="00136762" w:rsidRPr="009F61AF">
        <w:rPr>
          <w:rFonts w:cs="Arial"/>
          <w:i/>
          <w:color w:val="000000"/>
        </w:rPr>
        <w:t>En caso de que el acuerdo conciliatorio sea improbado por el juez o magistrado, el término de caducidad suspendido con la presentación de la solicitud de conciliación se reanudará a partir del día hábil siguiente al de la ejecutoria de la providencia correspondiente.</w:t>
      </w:r>
    </w:p>
    <w:p w14:paraId="10DA6308" w14:textId="77777777" w:rsidR="00136762" w:rsidRPr="009F61AF" w:rsidRDefault="00284336" w:rsidP="0081115F">
      <w:pPr>
        <w:shd w:val="clear" w:color="auto" w:fill="FFFFFF"/>
        <w:spacing w:line="276" w:lineRule="auto"/>
        <w:rPr>
          <w:rFonts w:cs="Arial"/>
          <w:i/>
          <w:color w:val="000000"/>
        </w:rPr>
      </w:pPr>
      <w:r w:rsidRPr="009F61AF">
        <w:rPr>
          <w:rFonts w:cs="Arial"/>
          <w:i/>
          <w:color w:val="000000"/>
        </w:rPr>
        <w:t>“</w:t>
      </w:r>
      <w:r w:rsidR="00136762" w:rsidRPr="009F61AF">
        <w:rPr>
          <w:rFonts w:cs="Arial"/>
          <w:i/>
          <w:color w:val="000000"/>
        </w:rPr>
        <w:t>La improbación del acuerdo conciliatorio no hace tránsito a cosa juzgada.</w:t>
      </w:r>
    </w:p>
    <w:p w14:paraId="2515F31D" w14:textId="77777777" w:rsidR="00136762" w:rsidRPr="009F61AF" w:rsidRDefault="00284336" w:rsidP="0081115F">
      <w:pPr>
        <w:shd w:val="clear" w:color="auto" w:fill="FFFFFF"/>
        <w:spacing w:line="276" w:lineRule="auto"/>
        <w:rPr>
          <w:rFonts w:cs="Arial"/>
          <w:color w:val="000000"/>
        </w:rPr>
      </w:pPr>
      <w:r w:rsidRPr="009F61AF">
        <w:rPr>
          <w:rFonts w:cs="Arial"/>
          <w:b/>
          <w:bCs/>
          <w:i/>
          <w:color w:val="000000"/>
        </w:rPr>
        <w:t>“</w:t>
      </w:r>
      <w:r w:rsidR="00136762" w:rsidRPr="009F61AF">
        <w:rPr>
          <w:rFonts w:cs="Arial"/>
          <w:b/>
          <w:bCs/>
          <w:i/>
          <w:color w:val="000000"/>
        </w:rPr>
        <w:t>Parágrafo único.</w:t>
      </w:r>
      <w:r w:rsidR="00136762" w:rsidRPr="009F61AF">
        <w:rPr>
          <w:rFonts w:cs="Arial"/>
          <w:i/>
          <w:color w:val="000000"/>
        </w:rPr>
        <w:t> Las partes por mutuo acuerdo podrán prorrogar el término de tres (3) meses consagrado para el trámite conciliatorio extrajudicial, pero en dicho lapso no operará la suspensión del término de caducidad o prescripción”.</w:t>
      </w:r>
      <w:r w:rsidR="003A4C77" w:rsidRPr="009F61AF">
        <w:rPr>
          <w:rFonts w:cs="Arial"/>
          <w:i/>
          <w:color w:val="000000"/>
        </w:rPr>
        <w:t xml:space="preserve"> </w:t>
      </w:r>
      <w:r w:rsidR="003A4C77" w:rsidRPr="009F61AF">
        <w:rPr>
          <w:rFonts w:cs="Arial"/>
          <w:color w:val="000000"/>
        </w:rPr>
        <w:t>(</w:t>
      </w:r>
      <w:r w:rsidR="00A64F06" w:rsidRPr="009F61AF">
        <w:rPr>
          <w:rFonts w:cs="Arial"/>
          <w:color w:val="000000"/>
        </w:rPr>
        <w:t>L</w:t>
      </w:r>
      <w:r w:rsidR="003A4C77" w:rsidRPr="009F61AF">
        <w:rPr>
          <w:rFonts w:cs="Arial"/>
          <w:color w:val="000000"/>
        </w:rPr>
        <w:t>a negrilla no es del texto).</w:t>
      </w:r>
    </w:p>
    <w:p w14:paraId="561C64C5" w14:textId="77777777" w:rsidR="00227ABA" w:rsidRPr="009F61AF" w:rsidRDefault="00227ABA" w:rsidP="0081115F">
      <w:pPr>
        <w:pStyle w:val="Continuarlista2"/>
        <w:spacing w:after="0"/>
        <w:ind w:left="0"/>
        <w:rPr>
          <w:rFonts w:cs="Arial"/>
        </w:rPr>
      </w:pPr>
    </w:p>
    <w:p w14:paraId="1A52AD1D" w14:textId="77777777" w:rsidR="004C412B" w:rsidRPr="009F61AF" w:rsidRDefault="00593EA8" w:rsidP="0081115F">
      <w:pPr>
        <w:pStyle w:val="Continuarlista2"/>
        <w:spacing w:after="0"/>
        <w:ind w:left="0"/>
        <w:rPr>
          <w:rFonts w:cs="Arial"/>
        </w:rPr>
      </w:pPr>
      <w:r w:rsidRPr="009F61AF">
        <w:rPr>
          <w:rFonts w:cs="Arial"/>
        </w:rPr>
        <w:t xml:space="preserve">Un </w:t>
      </w:r>
      <w:r w:rsidR="00227ABA" w:rsidRPr="009F61AF">
        <w:rPr>
          <w:rFonts w:cs="Arial"/>
        </w:rPr>
        <w:t xml:space="preserve">aspecto de importancia en el cómputo </w:t>
      </w:r>
      <w:r w:rsidRPr="009F61AF">
        <w:rPr>
          <w:rFonts w:cs="Arial"/>
        </w:rPr>
        <w:t>de la suspensión</w:t>
      </w:r>
      <w:r w:rsidR="0061327F" w:rsidRPr="009F61AF">
        <w:rPr>
          <w:rFonts w:cs="Arial"/>
        </w:rPr>
        <w:t xml:space="preserve"> </w:t>
      </w:r>
      <w:r w:rsidR="007D0190" w:rsidRPr="009F61AF">
        <w:rPr>
          <w:rFonts w:cs="Arial"/>
        </w:rPr>
        <w:t xml:space="preserve">del término que se presenta </w:t>
      </w:r>
      <w:r w:rsidR="009A1911" w:rsidRPr="009F61AF">
        <w:rPr>
          <w:rFonts w:cs="Arial"/>
        </w:rPr>
        <w:t>con ocasión</w:t>
      </w:r>
      <w:r w:rsidR="0061327F" w:rsidRPr="009F61AF">
        <w:rPr>
          <w:rFonts w:cs="Arial"/>
        </w:rPr>
        <w:t xml:space="preserve"> del trámite de concil</w:t>
      </w:r>
      <w:r w:rsidR="004C412B" w:rsidRPr="009F61AF">
        <w:rPr>
          <w:rFonts w:cs="Arial"/>
        </w:rPr>
        <w:t>i</w:t>
      </w:r>
      <w:r w:rsidR="0061327F" w:rsidRPr="009F61AF">
        <w:rPr>
          <w:rFonts w:cs="Arial"/>
        </w:rPr>
        <w:t>ación prejud</w:t>
      </w:r>
      <w:r w:rsidR="004C412B" w:rsidRPr="009F61AF">
        <w:rPr>
          <w:rFonts w:cs="Arial"/>
        </w:rPr>
        <w:t>ic</w:t>
      </w:r>
      <w:r w:rsidR="0061327F" w:rsidRPr="009F61AF">
        <w:rPr>
          <w:rFonts w:cs="Arial"/>
        </w:rPr>
        <w:t xml:space="preserve">ial es el </w:t>
      </w:r>
      <w:r w:rsidRPr="009F61AF">
        <w:rPr>
          <w:rFonts w:cs="Arial"/>
        </w:rPr>
        <w:t>límite temporal que la ley fija</w:t>
      </w:r>
      <w:r w:rsidR="00833EAC" w:rsidRPr="009F61AF">
        <w:rPr>
          <w:rFonts w:cs="Arial"/>
        </w:rPr>
        <w:t xml:space="preserve"> </w:t>
      </w:r>
      <w:r w:rsidR="0061327F" w:rsidRPr="009F61AF">
        <w:rPr>
          <w:rFonts w:cs="Arial"/>
        </w:rPr>
        <w:t xml:space="preserve">en un </w:t>
      </w:r>
      <w:r w:rsidR="00833EAC" w:rsidRPr="009F61AF">
        <w:rPr>
          <w:rFonts w:cs="Arial"/>
        </w:rPr>
        <w:t xml:space="preserve">plazo máximo de </w:t>
      </w:r>
      <w:r w:rsidR="004A35C6" w:rsidRPr="009F61AF">
        <w:rPr>
          <w:rFonts w:cs="Arial"/>
        </w:rPr>
        <w:t xml:space="preserve">tres </w:t>
      </w:r>
      <w:r w:rsidR="00833EAC" w:rsidRPr="009F61AF">
        <w:rPr>
          <w:rFonts w:cs="Arial"/>
        </w:rPr>
        <w:t xml:space="preserve"> meses</w:t>
      </w:r>
      <w:r w:rsidR="0051334A" w:rsidRPr="009F61AF">
        <w:rPr>
          <w:rFonts w:cs="Arial"/>
        </w:rPr>
        <w:t xml:space="preserve"> desde la fecha en que se present</w:t>
      </w:r>
      <w:r w:rsidR="004A35C6" w:rsidRPr="009F61AF">
        <w:rPr>
          <w:rFonts w:cs="Arial"/>
        </w:rPr>
        <w:t>e</w:t>
      </w:r>
      <w:r w:rsidR="0051334A" w:rsidRPr="009F61AF">
        <w:rPr>
          <w:rFonts w:cs="Arial"/>
        </w:rPr>
        <w:t xml:space="preserve"> la solicitud de concil</w:t>
      </w:r>
      <w:r w:rsidR="0066787D" w:rsidRPr="009F61AF">
        <w:rPr>
          <w:rFonts w:cs="Arial"/>
        </w:rPr>
        <w:t>i</w:t>
      </w:r>
      <w:r w:rsidR="0051334A" w:rsidRPr="009F61AF">
        <w:rPr>
          <w:rFonts w:cs="Arial"/>
        </w:rPr>
        <w:t>ación</w:t>
      </w:r>
      <w:r w:rsidR="00284336" w:rsidRPr="009F61AF">
        <w:rPr>
          <w:rFonts w:cs="Arial"/>
        </w:rPr>
        <w:t xml:space="preserve">. El imperativo del plazo máximo que se puede computar </w:t>
      </w:r>
      <w:r w:rsidR="0061327F" w:rsidRPr="009F61AF">
        <w:rPr>
          <w:rFonts w:cs="Arial"/>
        </w:rPr>
        <w:t xml:space="preserve">se establece </w:t>
      </w:r>
      <w:r w:rsidR="0051334A" w:rsidRPr="009F61AF">
        <w:rPr>
          <w:rFonts w:cs="Arial"/>
        </w:rPr>
        <w:t xml:space="preserve">con fundamento </w:t>
      </w:r>
      <w:r w:rsidR="0066787D" w:rsidRPr="009F61AF">
        <w:rPr>
          <w:rFonts w:cs="Arial"/>
        </w:rPr>
        <w:t xml:space="preserve">en </w:t>
      </w:r>
      <w:r w:rsidR="0061327F" w:rsidRPr="009F61AF">
        <w:rPr>
          <w:rFonts w:cs="Arial"/>
        </w:rPr>
        <w:t xml:space="preserve">la estipulación de </w:t>
      </w:r>
      <w:r w:rsidR="00830437" w:rsidRPr="009F61AF">
        <w:rPr>
          <w:rFonts w:cs="Arial"/>
        </w:rPr>
        <w:t xml:space="preserve">la suspensión en las distintas hipótesis que regula la </w:t>
      </w:r>
      <w:r w:rsidR="0066787D" w:rsidRPr="009F61AF">
        <w:rPr>
          <w:rFonts w:cs="Arial"/>
        </w:rPr>
        <w:t>Ley 640 de 2001</w:t>
      </w:r>
      <w:r w:rsidR="009A1911" w:rsidRPr="009F61AF">
        <w:rPr>
          <w:rFonts w:cs="Arial"/>
        </w:rPr>
        <w:t xml:space="preserve"> o</w:t>
      </w:r>
      <w:r w:rsidR="00830437" w:rsidRPr="009F61AF">
        <w:rPr>
          <w:rFonts w:cs="Arial"/>
        </w:rPr>
        <w:t xml:space="preserve"> hasta que venza el plazo de tres meses, </w:t>
      </w:r>
      <w:r w:rsidR="00830437" w:rsidRPr="009F61AF">
        <w:rPr>
          <w:rFonts w:cs="Arial"/>
          <w:i/>
        </w:rPr>
        <w:t>“lo que ocurra primero”,</w:t>
      </w:r>
      <w:r w:rsidR="00830437" w:rsidRPr="009F61AF">
        <w:rPr>
          <w:rFonts w:cs="Arial"/>
        </w:rPr>
        <w:t xml:space="preserve"> según se observa en las </w:t>
      </w:r>
      <w:r w:rsidR="0066787D" w:rsidRPr="009F61AF">
        <w:rPr>
          <w:rFonts w:cs="Arial"/>
        </w:rPr>
        <w:t xml:space="preserve">disposiciones </w:t>
      </w:r>
      <w:r w:rsidR="004C412B" w:rsidRPr="009F61AF">
        <w:rPr>
          <w:rFonts w:cs="Arial"/>
        </w:rPr>
        <w:t xml:space="preserve">ya citadas. </w:t>
      </w:r>
    </w:p>
    <w:p w14:paraId="70C7F950" w14:textId="77777777" w:rsidR="00E52028" w:rsidRPr="009F61AF" w:rsidRDefault="00E52028" w:rsidP="0081115F">
      <w:pPr>
        <w:pStyle w:val="Continuarlista2"/>
        <w:spacing w:after="0"/>
        <w:ind w:left="0"/>
        <w:rPr>
          <w:rFonts w:cs="Arial"/>
        </w:rPr>
      </w:pPr>
    </w:p>
    <w:p w14:paraId="42B472B7" w14:textId="77777777" w:rsidR="00412380" w:rsidRPr="009F61AF" w:rsidRDefault="00E52028" w:rsidP="0081115F">
      <w:pPr>
        <w:pStyle w:val="Continuarlista2"/>
        <w:spacing w:after="0"/>
        <w:ind w:left="0"/>
        <w:rPr>
          <w:rFonts w:cs="Arial"/>
        </w:rPr>
      </w:pPr>
      <w:r w:rsidRPr="009F61AF">
        <w:rPr>
          <w:rFonts w:cs="Arial"/>
        </w:rPr>
        <w:lastRenderedPageBreak/>
        <w:t>E</w:t>
      </w:r>
      <w:r w:rsidR="004C412B" w:rsidRPr="009F61AF">
        <w:rPr>
          <w:rFonts w:cs="Arial"/>
        </w:rPr>
        <w:t xml:space="preserve">n este </w:t>
      </w:r>
      <w:r w:rsidR="00175C2F" w:rsidRPr="009F61AF">
        <w:rPr>
          <w:rFonts w:cs="Arial"/>
        </w:rPr>
        <w:t>punto</w:t>
      </w:r>
      <w:r w:rsidR="004C412B" w:rsidRPr="009F61AF">
        <w:rPr>
          <w:rFonts w:cs="Arial"/>
        </w:rPr>
        <w:t xml:space="preserve"> se observa que e</w:t>
      </w:r>
      <w:r w:rsidRPr="009F61AF">
        <w:rPr>
          <w:rFonts w:cs="Arial"/>
        </w:rPr>
        <w:t xml:space="preserve">l Tribunal de Arbitramento </w:t>
      </w:r>
      <w:r w:rsidR="00412380" w:rsidRPr="009F61AF">
        <w:rPr>
          <w:rFonts w:cs="Arial"/>
        </w:rPr>
        <w:t xml:space="preserve">en su laudo estableció con claridad el límite de </w:t>
      </w:r>
      <w:r w:rsidR="004C412B" w:rsidRPr="009F61AF">
        <w:rPr>
          <w:rFonts w:cs="Arial"/>
        </w:rPr>
        <w:t xml:space="preserve">tres meses en la </w:t>
      </w:r>
      <w:r w:rsidR="00412380" w:rsidRPr="009F61AF">
        <w:rPr>
          <w:rFonts w:cs="Arial"/>
        </w:rPr>
        <w:t xml:space="preserve">suspensión del término y respetó </w:t>
      </w:r>
      <w:r w:rsidR="004C412B" w:rsidRPr="009F61AF">
        <w:rPr>
          <w:rFonts w:cs="Arial"/>
        </w:rPr>
        <w:t xml:space="preserve">en ello </w:t>
      </w:r>
      <w:r w:rsidR="00412380" w:rsidRPr="009F61AF">
        <w:rPr>
          <w:rFonts w:cs="Arial"/>
        </w:rPr>
        <w:t>la jurisprudencia reiterada del Consejo de Estado sobre ese particular</w:t>
      </w:r>
      <w:r w:rsidR="00291561" w:rsidRPr="009F61AF">
        <w:rPr>
          <w:rStyle w:val="Refdenotaalpie"/>
          <w:rFonts w:cs="Arial"/>
        </w:rPr>
        <w:footnoteReference w:id="29"/>
      </w:r>
      <w:r w:rsidR="00412380" w:rsidRPr="009F61AF">
        <w:rPr>
          <w:rFonts w:cs="Arial"/>
        </w:rPr>
        <w:t xml:space="preserve">. </w:t>
      </w:r>
    </w:p>
    <w:p w14:paraId="1FA1ABAD" w14:textId="77777777" w:rsidR="00F1442D" w:rsidRPr="009F61AF" w:rsidRDefault="00F1442D" w:rsidP="0081115F">
      <w:pPr>
        <w:pStyle w:val="Continuarlista2"/>
        <w:spacing w:after="0"/>
        <w:ind w:left="0"/>
        <w:rPr>
          <w:rFonts w:cs="Arial"/>
          <w:b/>
        </w:rPr>
      </w:pPr>
    </w:p>
    <w:p w14:paraId="1843D37B" w14:textId="77777777" w:rsidR="00765A3F" w:rsidRPr="009F61AF" w:rsidRDefault="00C94D73" w:rsidP="0081115F">
      <w:pPr>
        <w:pStyle w:val="Continuarlista2"/>
        <w:spacing w:after="0"/>
        <w:ind w:left="0"/>
        <w:rPr>
          <w:rFonts w:cs="Arial"/>
        </w:rPr>
      </w:pPr>
      <w:r w:rsidRPr="009F61AF">
        <w:rPr>
          <w:rFonts w:cs="Arial"/>
        </w:rPr>
        <w:t>Por último se advierte que FUNDASUPERIOR se equivocó en el cómputo que estableció acerca de la oportunidad para presentar su demanda puesto que consideró suspendido el término por todo el lapso que duró el trámite de conciliación prejudicial sin tener en cuenta que el mismo había superado los tres meses, postura que es contraria al tenor literal del artículo 21 de la Ley 640 de 2001 y el Decreto Reglamentario 1716 de 2009.</w:t>
      </w:r>
    </w:p>
    <w:p w14:paraId="7D14E208" w14:textId="77777777" w:rsidR="00A64F06" w:rsidRPr="009F61AF" w:rsidRDefault="00A64F06" w:rsidP="0081115F">
      <w:pPr>
        <w:pStyle w:val="Continuarlista2"/>
        <w:spacing w:after="0"/>
        <w:ind w:left="0"/>
        <w:rPr>
          <w:rFonts w:cs="Arial"/>
          <w:b/>
        </w:rPr>
      </w:pPr>
    </w:p>
    <w:p w14:paraId="253050A2" w14:textId="77777777" w:rsidR="005674BC" w:rsidRPr="009F61AF" w:rsidRDefault="00036404" w:rsidP="0081115F">
      <w:pPr>
        <w:pStyle w:val="Continuarlista2"/>
        <w:spacing w:after="0"/>
        <w:ind w:left="0"/>
        <w:rPr>
          <w:rFonts w:cs="Arial"/>
          <w:b/>
        </w:rPr>
      </w:pPr>
      <w:r w:rsidRPr="009F61AF">
        <w:rPr>
          <w:rFonts w:cs="Arial"/>
          <w:b/>
        </w:rPr>
        <w:t>5</w:t>
      </w:r>
      <w:r w:rsidR="00D93B6B" w:rsidRPr="009F61AF">
        <w:rPr>
          <w:rFonts w:cs="Arial"/>
          <w:b/>
        </w:rPr>
        <w:t xml:space="preserve">. </w:t>
      </w:r>
      <w:r w:rsidR="00373384" w:rsidRPr="009F61AF">
        <w:rPr>
          <w:rFonts w:cs="Arial"/>
          <w:b/>
        </w:rPr>
        <w:t xml:space="preserve">El </w:t>
      </w:r>
      <w:r w:rsidR="00D93B6B" w:rsidRPr="009F61AF">
        <w:rPr>
          <w:rFonts w:cs="Arial"/>
          <w:b/>
        </w:rPr>
        <w:t>c</w:t>
      </w:r>
      <w:r w:rsidR="00373384" w:rsidRPr="009F61AF">
        <w:rPr>
          <w:rFonts w:cs="Arial"/>
          <w:b/>
        </w:rPr>
        <w:t xml:space="preserve">aso </w:t>
      </w:r>
      <w:r w:rsidR="00D93B6B" w:rsidRPr="009F61AF">
        <w:rPr>
          <w:rFonts w:cs="Arial"/>
          <w:b/>
        </w:rPr>
        <w:t>c</w:t>
      </w:r>
      <w:r w:rsidR="00373384" w:rsidRPr="009F61AF">
        <w:rPr>
          <w:rFonts w:cs="Arial"/>
          <w:b/>
        </w:rPr>
        <w:t xml:space="preserve">oncreto </w:t>
      </w:r>
    </w:p>
    <w:p w14:paraId="499216EA" w14:textId="77777777" w:rsidR="00D93B6B" w:rsidRPr="009F61AF" w:rsidRDefault="00D93B6B" w:rsidP="0081115F">
      <w:pPr>
        <w:pStyle w:val="Continuarlista2"/>
        <w:spacing w:after="0"/>
        <w:ind w:left="0"/>
        <w:rPr>
          <w:rFonts w:cs="Arial"/>
          <w:b/>
        </w:rPr>
      </w:pPr>
    </w:p>
    <w:p w14:paraId="0485F477" w14:textId="77777777" w:rsidR="009E7259" w:rsidRPr="009F61AF" w:rsidRDefault="00036404" w:rsidP="0081115F">
      <w:pPr>
        <w:pStyle w:val="Continuarlista2"/>
        <w:spacing w:after="0"/>
        <w:ind w:left="0"/>
        <w:rPr>
          <w:rFonts w:cs="Arial"/>
          <w:b/>
        </w:rPr>
      </w:pPr>
      <w:r w:rsidRPr="009F61AF">
        <w:rPr>
          <w:rFonts w:cs="Arial"/>
          <w:b/>
        </w:rPr>
        <w:t>5.1.</w:t>
      </w:r>
      <w:r w:rsidR="00D93B6B" w:rsidRPr="009F61AF">
        <w:rPr>
          <w:rFonts w:cs="Arial"/>
          <w:b/>
        </w:rPr>
        <w:t xml:space="preserve"> Caducidad de la acción </w:t>
      </w:r>
    </w:p>
    <w:p w14:paraId="22002A76" w14:textId="77777777" w:rsidR="00D93B6B" w:rsidRPr="009F61AF" w:rsidRDefault="00D93B6B" w:rsidP="0081115F">
      <w:pPr>
        <w:pStyle w:val="Continuarlista2"/>
        <w:spacing w:after="0"/>
        <w:ind w:left="0"/>
        <w:rPr>
          <w:rFonts w:cs="Arial"/>
        </w:rPr>
      </w:pPr>
    </w:p>
    <w:p w14:paraId="7B69B14D" w14:textId="77777777" w:rsidR="0055247F" w:rsidRPr="009F61AF" w:rsidRDefault="00036404" w:rsidP="0081115F">
      <w:pPr>
        <w:pStyle w:val="Continuarlista2"/>
        <w:spacing w:after="0"/>
        <w:ind w:left="0"/>
        <w:rPr>
          <w:rFonts w:cs="Arial"/>
          <w:b/>
        </w:rPr>
      </w:pPr>
      <w:r w:rsidRPr="009F61AF">
        <w:rPr>
          <w:rFonts w:cs="Arial"/>
          <w:b/>
        </w:rPr>
        <w:t>5.</w:t>
      </w:r>
      <w:r w:rsidR="00D93B6B" w:rsidRPr="009F61AF">
        <w:rPr>
          <w:rFonts w:cs="Arial"/>
          <w:b/>
        </w:rPr>
        <w:t>2.</w:t>
      </w:r>
      <w:r w:rsidRPr="009F61AF">
        <w:rPr>
          <w:rFonts w:cs="Arial"/>
          <w:b/>
        </w:rPr>
        <w:t>1</w:t>
      </w:r>
      <w:r w:rsidR="009A1911" w:rsidRPr="009F61AF">
        <w:rPr>
          <w:rFonts w:cs="Arial"/>
          <w:b/>
        </w:rPr>
        <w:t>.</w:t>
      </w:r>
      <w:r w:rsidRPr="009F61AF">
        <w:rPr>
          <w:rFonts w:cs="Arial"/>
          <w:b/>
        </w:rPr>
        <w:t xml:space="preserve"> </w:t>
      </w:r>
      <w:r w:rsidR="00D93B6B" w:rsidRPr="009F61AF">
        <w:rPr>
          <w:rFonts w:cs="Arial"/>
          <w:b/>
        </w:rPr>
        <w:t xml:space="preserve"> Oportunidad en la presentación de la demanda</w:t>
      </w:r>
    </w:p>
    <w:p w14:paraId="20C3DF45" w14:textId="77777777" w:rsidR="00D93B6B" w:rsidRPr="009F61AF" w:rsidRDefault="00D93B6B" w:rsidP="0081115F">
      <w:pPr>
        <w:pStyle w:val="Continuarlista2"/>
        <w:spacing w:after="0"/>
        <w:ind w:left="0"/>
        <w:rPr>
          <w:rFonts w:cs="Arial"/>
        </w:rPr>
      </w:pPr>
    </w:p>
    <w:p w14:paraId="15591D21" w14:textId="77777777" w:rsidR="006364FC" w:rsidRPr="009F61AF" w:rsidRDefault="009E7259" w:rsidP="0081115F">
      <w:pPr>
        <w:pStyle w:val="Continuarlista2"/>
        <w:spacing w:after="0"/>
        <w:ind w:left="0"/>
        <w:rPr>
          <w:rFonts w:cs="Arial"/>
        </w:rPr>
      </w:pPr>
      <w:r w:rsidRPr="009F61AF">
        <w:rPr>
          <w:rFonts w:cs="Arial"/>
        </w:rPr>
        <w:t xml:space="preserve">En la consideraciones acerca de la caducidad de la acción, después de presentar </w:t>
      </w:r>
      <w:r w:rsidR="00162A93" w:rsidRPr="009F61AF">
        <w:rPr>
          <w:rFonts w:cs="Arial"/>
        </w:rPr>
        <w:t>el</w:t>
      </w:r>
      <w:r w:rsidRPr="009F61AF">
        <w:rPr>
          <w:rFonts w:cs="Arial"/>
        </w:rPr>
        <w:t xml:space="preserve"> análisis de </w:t>
      </w:r>
      <w:r w:rsidR="005A5E7B" w:rsidRPr="009F61AF">
        <w:rPr>
          <w:rFonts w:cs="Arial"/>
        </w:rPr>
        <w:t xml:space="preserve">los paradigmas, la </w:t>
      </w:r>
      <w:r w:rsidRPr="009F61AF">
        <w:rPr>
          <w:rFonts w:cs="Arial"/>
        </w:rPr>
        <w:t>justificación</w:t>
      </w:r>
      <w:r w:rsidR="005A5E7B" w:rsidRPr="009F61AF">
        <w:rPr>
          <w:rFonts w:cs="Arial"/>
        </w:rPr>
        <w:t xml:space="preserve"> y el </w:t>
      </w:r>
      <w:r w:rsidRPr="009F61AF">
        <w:rPr>
          <w:rFonts w:cs="Arial"/>
        </w:rPr>
        <w:t>significado</w:t>
      </w:r>
      <w:r w:rsidR="005A5E7B" w:rsidRPr="009F61AF">
        <w:rPr>
          <w:rFonts w:cs="Arial"/>
        </w:rPr>
        <w:t xml:space="preserve"> de la caducidad de la acción </w:t>
      </w:r>
      <w:r w:rsidR="001C6B3D" w:rsidRPr="009F61AF">
        <w:rPr>
          <w:rFonts w:cs="Arial"/>
        </w:rPr>
        <w:t xml:space="preserve">y citar </w:t>
      </w:r>
      <w:r w:rsidR="00F86F94" w:rsidRPr="009F61AF">
        <w:rPr>
          <w:rFonts w:cs="Arial"/>
        </w:rPr>
        <w:t xml:space="preserve">diversas </w:t>
      </w:r>
      <w:r w:rsidR="00162A93" w:rsidRPr="009F61AF">
        <w:rPr>
          <w:rFonts w:cs="Arial"/>
        </w:rPr>
        <w:t xml:space="preserve">consideraciones de la doctrina, </w:t>
      </w:r>
      <w:r w:rsidR="002D0BDA" w:rsidRPr="009F61AF">
        <w:rPr>
          <w:rFonts w:cs="Arial"/>
        </w:rPr>
        <w:t xml:space="preserve">del Consejo de Estado y de la Corte Suprema de Justicia acerca de la naturaleza de la caducidad y </w:t>
      </w:r>
      <w:r w:rsidR="00F86F94" w:rsidRPr="009F61AF">
        <w:rPr>
          <w:rFonts w:cs="Arial"/>
        </w:rPr>
        <w:t xml:space="preserve">de </w:t>
      </w:r>
      <w:r w:rsidR="002D0BDA" w:rsidRPr="009F61AF">
        <w:rPr>
          <w:rFonts w:cs="Arial"/>
        </w:rPr>
        <w:t>su carácter irrenunciable</w:t>
      </w:r>
      <w:r w:rsidR="00554F26" w:rsidRPr="009F61AF">
        <w:rPr>
          <w:rStyle w:val="Refdenotaalpie"/>
          <w:rFonts w:cs="Arial"/>
        </w:rPr>
        <w:footnoteReference w:id="30"/>
      </w:r>
      <w:r w:rsidR="00554F26" w:rsidRPr="009F61AF">
        <w:rPr>
          <w:rFonts w:cs="Arial"/>
        </w:rPr>
        <w:t xml:space="preserve">, el Tribunal </w:t>
      </w:r>
      <w:r w:rsidR="00873275" w:rsidRPr="009F61AF">
        <w:rPr>
          <w:rFonts w:cs="Arial"/>
        </w:rPr>
        <w:t xml:space="preserve">de Arbitramento </w:t>
      </w:r>
      <w:r w:rsidR="00554F26" w:rsidRPr="009F61AF">
        <w:rPr>
          <w:rFonts w:cs="Arial"/>
        </w:rPr>
        <w:t xml:space="preserve">concretó su análisis en </w:t>
      </w:r>
      <w:r w:rsidR="006364FC" w:rsidRPr="009F61AF">
        <w:rPr>
          <w:rFonts w:cs="Arial"/>
        </w:rPr>
        <w:t>lo</w:t>
      </w:r>
      <w:r w:rsidR="00873275" w:rsidRPr="009F61AF">
        <w:rPr>
          <w:rFonts w:cs="Arial"/>
        </w:rPr>
        <w:t>s</w:t>
      </w:r>
      <w:r w:rsidR="006364FC" w:rsidRPr="009F61AF">
        <w:rPr>
          <w:rFonts w:cs="Arial"/>
        </w:rPr>
        <w:t xml:space="preserve"> siguiente</w:t>
      </w:r>
      <w:r w:rsidR="00873275" w:rsidRPr="009F61AF">
        <w:rPr>
          <w:rFonts w:cs="Arial"/>
        </w:rPr>
        <w:t>s aspectos</w:t>
      </w:r>
      <w:r w:rsidR="006364FC" w:rsidRPr="009F61AF">
        <w:rPr>
          <w:rFonts w:cs="Arial"/>
        </w:rPr>
        <w:t xml:space="preserve">: </w:t>
      </w:r>
    </w:p>
    <w:p w14:paraId="16BF4445" w14:textId="77777777" w:rsidR="006364FC" w:rsidRPr="009F61AF" w:rsidRDefault="006364FC" w:rsidP="0081115F">
      <w:pPr>
        <w:pStyle w:val="Continuarlista2"/>
        <w:spacing w:after="0"/>
        <w:ind w:left="0"/>
        <w:rPr>
          <w:rFonts w:cs="Arial"/>
        </w:rPr>
      </w:pPr>
    </w:p>
    <w:p w14:paraId="42AAD745" w14:textId="77777777" w:rsidR="003157B5" w:rsidRPr="009F61AF" w:rsidRDefault="006364FC" w:rsidP="0081115F">
      <w:pPr>
        <w:pStyle w:val="Continuarlista2"/>
        <w:spacing w:after="0"/>
        <w:ind w:left="0"/>
        <w:rPr>
          <w:rFonts w:cs="Arial"/>
        </w:rPr>
      </w:pPr>
      <w:r w:rsidRPr="009F61AF">
        <w:rPr>
          <w:rFonts w:cs="Arial"/>
        </w:rPr>
        <w:t xml:space="preserve">i) De acuerdo con el </w:t>
      </w:r>
      <w:r w:rsidR="005737E6" w:rsidRPr="009F61AF">
        <w:rPr>
          <w:rFonts w:cs="Arial"/>
        </w:rPr>
        <w:t>C</w:t>
      </w:r>
      <w:r w:rsidRPr="009F61AF">
        <w:rPr>
          <w:rFonts w:cs="Arial"/>
        </w:rPr>
        <w:t xml:space="preserve">ontrato 067 el plazo de ejecución del contrato </w:t>
      </w:r>
      <w:r w:rsidR="007C1A9B" w:rsidRPr="009F61AF">
        <w:rPr>
          <w:rFonts w:cs="Arial"/>
        </w:rPr>
        <w:t>previs</w:t>
      </w:r>
      <w:r w:rsidR="00873275" w:rsidRPr="009F61AF">
        <w:rPr>
          <w:rFonts w:cs="Arial"/>
        </w:rPr>
        <w:t>t</w:t>
      </w:r>
      <w:r w:rsidR="007C1A9B" w:rsidRPr="009F61AF">
        <w:rPr>
          <w:rFonts w:cs="Arial"/>
        </w:rPr>
        <w:t xml:space="preserve">o inicialmente </w:t>
      </w:r>
      <w:r w:rsidRPr="009F61AF">
        <w:rPr>
          <w:rFonts w:cs="Arial"/>
        </w:rPr>
        <w:t xml:space="preserve">terminaba el 31 de julio de 2010, </w:t>
      </w:r>
      <w:r w:rsidR="00E149A4" w:rsidRPr="009F61AF">
        <w:rPr>
          <w:rFonts w:cs="Arial"/>
        </w:rPr>
        <w:t>sin embargo se probó que las parte</w:t>
      </w:r>
      <w:r w:rsidR="00947783" w:rsidRPr="009F61AF">
        <w:rPr>
          <w:rFonts w:cs="Arial"/>
        </w:rPr>
        <w:t>s</w:t>
      </w:r>
      <w:r w:rsidR="00E149A4" w:rsidRPr="009F61AF">
        <w:rPr>
          <w:rFonts w:cs="Arial"/>
        </w:rPr>
        <w:t xml:space="preserve"> acordaron tres prórrogas. </w:t>
      </w:r>
      <w:r w:rsidRPr="009F61AF">
        <w:rPr>
          <w:rFonts w:cs="Arial"/>
        </w:rPr>
        <w:t xml:space="preserve">la </w:t>
      </w:r>
      <w:r w:rsidR="00E149A4" w:rsidRPr="009F61AF">
        <w:rPr>
          <w:rFonts w:cs="Arial"/>
        </w:rPr>
        <w:t>M</w:t>
      </w:r>
      <w:r w:rsidRPr="009F61AF">
        <w:rPr>
          <w:rFonts w:cs="Arial"/>
        </w:rPr>
        <w:t xml:space="preserve">odificación </w:t>
      </w:r>
      <w:r w:rsidR="00E149A4" w:rsidRPr="009F61AF">
        <w:rPr>
          <w:rFonts w:cs="Arial"/>
        </w:rPr>
        <w:t>No.</w:t>
      </w:r>
      <w:r w:rsidRPr="009F61AF">
        <w:rPr>
          <w:rFonts w:cs="Arial"/>
        </w:rPr>
        <w:t xml:space="preserve"> 1 </w:t>
      </w:r>
      <w:r w:rsidR="00E149A4" w:rsidRPr="009F61AF">
        <w:rPr>
          <w:rFonts w:cs="Arial"/>
        </w:rPr>
        <w:t xml:space="preserve">y Prórroga No. 1 en la cual </w:t>
      </w:r>
      <w:r w:rsidR="00947783" w:rsidRPr="009F61AF">
        <w:rPr>
          <w:rFonts w:cs="Arial"/>
        </w:rPr>
        <w:t xml:space="preserve">el plazo de ejecución </w:t>
      </w:r>
      <w:r w:rsidRPr="009F61AF">
        <w:rPr>
          <w:rFonts w:cs="Arial"/>
        </w:rPr>
        <w:t>se prorrogó hasta el 30 de septiembre de 2010 “o hasta agotar recurso lo que suceda pr</w:t>
      </w:r>
      <w:r w:rsidR="00E149A4" w:rsidRPr="009F61AF">
        <w:rPr>
          <w:rFonts w:cs="Arial"/>
        </w:rPr>
        <w:t>i</w:t>
      </w:r>
      <w:r w:rsidRPr="009F61AF">
        <w:rPr>
          <w:rFonts w:cs="Arial"/>
        </w:rPr>
        <w:t>mero”</w:t>
      </w:r>
      <w:r w:rsidR="00947783" w:rsidRPr="009F61AF">
        <w:rPr>
          <w:rFonts w:cs="Arial"/>
        </w:rPr>
        <w:t xml:space="preserve">; </w:t>
      </w:r>
      <w:r w:rsidR="0003445B" w:rsidRPr="009F61AF">
        <w:rPr>
          <w:rFonts w:cs="Arial"/>
        </w:rPr>
        <w:t xml:space="preserve">mediante la Adición </w:t>
      </w:r>
      <w:r w:rsidR="00DD3AAA" w:rsidRPr="009F61AF">
        <w:rPr>
          <w:rFonts w:cs="Arial"/>
        </w:rPr>
        <w:t xml:space="preserve">No. </w:t>
      </w:r>
      <w:r w:rsidR="0003445B" w:rsidRPr="009F61AF">
        <w:rPr>
          <w:rFonts w:cs="Arial"/>
        </w:rPr>
        <w:t xml:space="preserve">1 y Prórroga </w:t>
      </w:r>
      <w:r w:rsidR="00DD3AAA" w:rsidRPr="009F61AF">
        <w:rPr>
          <w:rFonts w:cs="Arial"/>
        </w:rPr>
        <w:t xml:space="preserve">No. </w:t>
      </w:r>
      <w:r w:rsidR="0003445B" w:rsidRPr="009F61AF">
        <w:rPr>
          <w:rFonts w:cs="Arial"/>
        </w:rPr>
        <w:t xml:space="preserve">2, se prorrogó </w:t>
      </w:r>
      <w:r w:rsidR="00E149A4" w:rsidRPr="009F61AF">
        <w:rPr>
          <w:rFonts w:cs="Arial"/>
        </w:rPr>
        <w:t xml:space="preserve">nuevamente </w:t>
      </w:r>
      <w:r w:rsidR="00DD3AAA" w:rsidRPr="009F61AF">
        <w:rPr>
          <w:rFonts w:cs="Arial"/>
        </w:rPr>
        <w:t xml:space="preserve">el término de ejecución </w:t>
      </w:r>
      <w:r w:rsidR="0003445B" w:rsidRPr="009F61AF">
        <w:rPr>
          <w:rFonts w:cs="Arial"/>
        </w:rPr>
        <w:t xml:space="preserve">hasta el 30 de noviembre </w:t>
      </w:r>
      <w:r w:rsidR="00ED68B3" w:rsidRPr="009F61AF">
        <w:rPr>
          <w:rFonts w:cs="Arial"/>
        </w:rPr>
        <w:t xml:space="preserve">de 2010 </w:t>
      </w:r>
      <w:r w:rsidR="0003445B" w:rsidRPr="009F61AF">
        <w:rPr>
          <w:rFonts w:cs="Arial"/>
          <w:i/>
        </w:rPr>
        <w:t>“o hasta agotar recurso lo que suceda primero”</w:t>
      </w:r>
      <w:r w:rsidR="0003445B" w:rsidRPr="009F61AF">
        <w:rPr>
          <w:rFonts w:cs="Arial"/>
        </w:rPr>
        <w:t xml:space="preserve"> y mediante la Modificación No. 2 – Adición y </w:t>
      </w:r>
      <w:r w:rsidR="0003445B" w:rsidRPr="009F61AF">
        <w:rPr>
          <w:rFonts w:cs="Arial"/>
        </w:rPr>
        <w:lastRenderedPageBreak/>
        <w:t>Prórroga No. 3</w:t>
      </w:r>
      <w:r w:rsidR="00DD3AAA" w:rsidRPr="009F61AF">
        <w:rPr>
          <w:rFonts w:cs="Arial"/>
        </w:rPr>
        <w:t>,</w:t>
      </w:r>
      <w:r w:rsidR="00947783" w:rsidRPr="009F61AF">
        <w:rPr>
          <w:rFonts w:cs="Arial"/>
        </w:rPr>
        <w:t xml:space="preserve"> el plazo s</w:t>
      </w:r>
      <w:r w:rsidR="00DD3AAA" w:rsidRPr="009F61AF">
        <w:rPr>
          <w:rFonts w:cs="Arial"/>
        </w:rPr>
        <w:t>e prorrogó has</w:t>
      </w:r>
      <w:r w:rsidR="00120D66" w:rsidRPr="009F61AF">
        <w:rPr>
          <w:rFonts w:cs="Arial"/>
        </w:rPr>
        <w:t>t</w:t>
      </w:r>
      <w:r w:rsidR="00DD3AAA" w:rsidRPr="009F61AF">
        <w:rPr>
          <w:rFonts w:cs="Arial"/>
        </w:rPr>
        <w:t xml:space="preserve">a el 30 de diciembre </w:t>
      </w:r>
      <w:r w:rsidR="00120D66" w:rsidRPr="009F61AF">
        <w:rPr>
          <w:rFonts w:cs="Arial"/>
        </w:rPr>
        <w:t>de 2010</w:t>
      </w:r>
      <w:r w:rsidR="00162A93" w:rsidRPr="009F61AF">
        <w:rPr>
          <w:rFonts w:cs="Arial"/>
        </w:rPr>
        <w:t>, no obstante desechó esta última prórroga teniendo en cuenta que incluyó “</w:t>
      </w:r>
      <w:r w:rsidR="00DD3AAA" w:rsidRPr="009F61AF">
        <w:rPr>
          <w:rFonts w:cs="Arial"/>
          <w:i/>
        </w:rPr>
        <w:t>un parágrafo según el cual sería ineficaz hasta que se arbitraran e incorporaran los recursos aludidos al ICBF</w:t>
      </w:r>
      <w:r w:rsidR="003157B5" w:rsidRPr="009F61AF">
        <w:rPr>
          <w:rFonts w:cs="Arial"/>
          <w:i/>
        </w:rPr>
        <w:t>.</w:t>
      </w:r>
      <w:r w:rsidR="00DD3AAA" w:rsidRPr="009F61AF">
        <w:rPr>
          <w:rFonts w:cs="Arial"/>
          <w:i/>
        </w:rPr>
        <w:t>”</w:t>
      </w:r>
      <w:r w:rsidR="00DD3AAA" w:rsidRPr="009F61AF">
        <w:rPr>
          <w:rFonts w:cs="Arial"/>
        </w:rPr>
        <w:t xml:space="preserve"> </w:t>
      </w:r>
    </w:p>
    <w:p w14:paraId="2F11417E" w14:textId="77777777" w:rsidR="003157B5" w:rsidRPr="009F61AF" w:rsidRDefault="003157B5" w:rsidP="0081115F">
      <w:pPr>
        <w:pStyle w:val="Continuarlista2"/>
        <w:spacing w:after="0"/>
        <w:ind w:left="0"/>
        <w:rPr>
          <w:rFonts w:cs="Arial"/>
        </w:rPr>
      </w:pPr>
    </w:p>
    <w:p w14:paraId="440A46EE" w14:textId="77777777" w:rsidR="00054AC8" w:rsidRPr="009F61AF" w:rsidRDefault="003157B5" w:rsidP="0081115F">
      <w:pPr>
        <w:pStyle w:val="Continuarlista2"/>
        <w:spacing w:after="0"/>
        <w:ind w:left="0"/>
        <w:rPr>
          <w:rFonts w:cs="Arial"/>
        </w:rPr>
      </w:pPr>
      <w:r w:rsidRPr="009F61AF">
        <w:rPr>
          <w:rFonts w:cs="Arial"/>
        </w:rPr>
        <w:t xml:space="preserve">Bajo </w:t>
      </w:r>
      <w:r w:rsidR="00833EAC" w:rsidRPr="009F61AF">
        <w:rPr>
          <w:rFonts w:cs="Arial"/>
        </w:rPr>
        <w:t>la antedicha</w:t>
      </w:r>
      <w:r w:rsidRPr="009F61AF">
        <w:rPr>
          <w:rFonts w:cs="Arial"/>
        </w:rPr>
        <w:t xml:space="preserve"> apreciación, el Tribunal de Arbitramento observó que no estaba acreditad</w:t>
      </w:r>
      <w:r w:rsidR="0080241D" w:rsidRPr="009F61AF">
        <w:rPr>
          <w:rFonts w:cs="Arial"/>
        </w:rPr>
        <w:t>a</w:t>
      </w:r>
      <w:r w:rsidRPr="009F61AF">
        <w:rPr>
          <w:rFonts w:cs="Arial"/>
        </w:rPr>
        <w:t xml:space="preserve"> en el proceso la condici</w:t>
      </w:r>
      <w:r w:rsidR="00D2519E" w:rsidRPr="009F61AF">
        <w:rPr>
          <w:rFonts w:cs="Arial"/>
        </w:rPr>
        <w:t>ón suspensiva contenida en la última prórroga</w:t>
      </w:r>
      <w:r w:rsidR="00054AC8" w:rsidRPr="009F61AF">
        <w:rPr>
          <w:rFonts w:cs="Arial"/>
        </w:rPr>
        <w:t>, aspecto que no fue materia de controversia en el presente recurso.</w:t>
      </w:r>
    </w:p>
    <w:p w14:paraId="594FEF3A" w14:textId="77777777" w:rsidR="00054AC8" w:rsidRPr="009F61AF" w:rsidRDefault="00054AC8" w:rsidP="0081115F">
      <w:pPr>
        <w:pStyle w:val="Continuarlista2"/>
        <w:spacing w:after="0"/>
        <w:ind w:left="0"/>
        <w:rPr>
          <w:rFonts w:cs="Arial"/>
        </w:rPr>
      </w:pPr>
    </w:p>
    <w:p w14:paraId="6A996AF2" w14:textId="77777777" w:rsidR="00116B38" w:rsidRPr="009F61AF" w:rsidRDefault="00054AC8" w:rsidP="0081115F">
      <w:pPr>
        <w:pStyle w:val="Continuarlista2"/>
        <w:spacing w:after="0"/>
        <w:ind w:left="0"/>
        <w:rPr>
          <w:rFonts w:cs="Arial"/>
          <w:i/>
        </w:rPr>
      </w:pPr>
      <w:r w:rsidRPr="009F61AF">
        <w:rPr>
          <w:rFonts w:cs="Arial"/>
        </w:rPr>
        <w:t>Sin embargo, después de arribar a la antedicha conclusión sobre el t</w:t>
      </w:r>
      <w:r w:rsidR="00CC4CD3" w:rsidRPr="009F61AF">
        <w:rPr>
          <w:rFonts w:cs="Arial"/>
        </w:rPr>
        <w:t>é</w:t>
      </w:r>
      <w:r w:rsidRPr="009F61AF">
        <w:rPr>
          <w:rFonts w:cs="Arial"/>
        </w:rPr>
        <w:t>rmino del contrato</w:t>
      </w:r>
      <w:r w:rsidR="004A35C6" w:rsidRPr="009F61AF">
        <w:rPr>
          <w:rFonts w:cs="Arial"/>
        </w:rPr>
        <w:t>,</w:t>
      </w:r>
      <w:r w:rsidRPr="009F61AF">
        <w:rPr>
          <w:rFonts w:cs="Arial"/>
        </w:rPr>
        <w:t xml:space="preserve"> el Tribuna</w:t>
      </w:r>
      <w:r w:rsidR="00116B38" w:rsidRPr="009F61AF">
        <w:rPr>
          <w:rFonts w:cs="Arial"/>
        </w:rPr>
        <w:t xml:space="preserve">l de Arbitramento </w:t>
      </w:r>
      <w:r w:rsidR="00CC4CD3" w:rsidRPr="009F61AF">
        <w:rPr>
          <w:rFonts w:cs="Arial"/>
        </w:rPr>
        <w:t xml:space="preserve">procedió a la </w:t>
      </w:r>
      <w:r w:rsidR="00116B38" w:rsidRPr="009F61AF">
        <w:rPr>
          <w:rFonts w:cs="Arial"/>
        </w:rPr>
        <w:t xml:space="preserve">interpretación del </w:t>
      </w:r>
      <w:r w:rsidR="00D2519E" w:rsidRPr="009F61AF">
        <w:rPr>
          <w:rFonts w:cs="Arial"/>
        </w:rPr>
        <w:t xml:space="preserve">parágrafo de la cláusula cuarta del contrato </w:t>
      </w:r>
      <w:r w:rsidR="002A14F7" w:rsidRPr="009F61AF">
        <w:rPr>
          <w:rFonts w:cs="Arial"/>
          <w:i/>
        </w:rPr>
        <w:t>´”en el que se señala que vencido el término de ejecución del contrato éste mantenía vigencia por cuatro meses más”</w:t>
      </w:r>
      <w:r w:rsidR="00116B38" w:rsidRPr="009F61AF">
        <w:rPr>
          <w:rFonts w:cs="Arial"/>
          <w:i/>
        </w:rPr>
        <w:t>.</w:t>
      </w:r>
    </w:p>
    <w:p w14:paraId="1AA8AED1" w14:textId="77777777" w:rsidR="00833EAC" w:rsidRPr="009F61AF" w:rsidRDefault="00833EAC" w:rsidP="0081115F">
      <w:pPr>
        <w:pStyle w:val="Continuarlista2"/>
        <w:spacing w:after="0"/>
        <w:ind w:left="0"/>
        <w:rPr>
          <w:rFonts w:cs="Arial"/>
        </w:rPr>
      </w:pPr>
    </w:p>
    <w:p w14:paraId="544746CA" w14:textId="77777777" w:rsidR="00833EAC" w:rsidRPr="009F61AF" w:rsidRDefault="00833EAC" w:rsidP="0081115F">
      <w:pPr>
        <w:pStyle w:val="Continuarlista2"/>
        <w:spacing w:after="0"/>
        <w:ind w:left="0"/>
        <w:rPr>
          <w:rFonts w:cs="Arial"/>
        </w:rPr>
      </w:pPr>
      <w:r w:rsidRPr="009F61AF">
        <w:rPr>
          <w:rFonts w:cs="Arial"/>
        </w:rPr>
        <w:t xml:space="preserve">De acuerdo con lo expuesto en esta providencia, </w:t>
      </w:r>
      <w:r w:rsidR="00116B38" w:rsidRPr="009F61AF">
        <w:rPr>
          <w:rFonts w:cs="Arial"/>
        </w:rPr>
        <w:t>lo</w:t>
      </w:r>
      <w:r w:rsidR="00054AC8" w:rsidRPr="009F61AF">
        <w:rPr>
          <w:rFonts w:cs="Arial"/>
        </w:rPr>
        <w:t xml:space="preserve"> acertado </w:t>
      </w:r>
      <w:r w:rsidR="00116B38" w:rsidRPr="009F61AF">
        <w:rPr>
          <w:rFonts w:cs="Arial"/>
        </w:rPr>
        <w:t xml:space="preserve">para efectos de la caducidad de la acción era advertir que </w:t>
      </w:r>
      <w:r w:rsidRPr="009F61AF">
        <w:rPr>
          <w:rFonts w:cs="Arial"/>
        </w:rPr>
        <w:t>el contrato termin</w:t>
      </w:r>
      <w:r w:rsidR="00CC4CD3" w:rsidRPr="009F61AF">
        <w:rPr>
          <w:rFonts w:cs="Arial"/>
        </w:rPr>
        <w:t>ó</w:t>
      </w:r>
      <w:r w:rsidRPr="009F61AF">
        <w:rPr>
          <w:rFonts w:cs="Arial"/>
        </w:rPr>
        <w:t xml:space="preserve"> por la expiración del termino de ejecución, </w:t>
      </w:r>
      <w:r w:rsidR="00054AC8" w:rsidRPr="009F61AF">
        <w:rPr>
          <w:rFonts w:cs="Arial"/>
        </w:rPr>
        <w:t xml:space="preserve">lo cual ocurrió el 30 de noviembre </w:t>
      </w:r>
      <w:r w:rsidRPr="009F61AF">
        <w:rPr>
          <w:rFonts w:cs="Arial"/>
        </w:rPr>
        <w:t>de 201</w:t>
      </w:r>
      <w:r w:rsidR="00054AC8" w:rsidRPr="009F61AF">
        <w:rPr>
          <w:rFonts w:cs="Arial"/>
        </w:rPr>
        <w:t>0</w:t>
      </w:r>
      <w:r w:rsidR="00116B38" w:rsidRPr="009F61AF">
        <w:rPr>
          <w:rFonts w:cs="Arial"/>
        </w:rPr>
        <w:t>, de conformidad con lo que se dispuso en la cláusula d</w:t>
      </w:r>
      <w:r w:rsidR="004A35C6" w:rsidRPr="009F61AF">
        <w:rPr>
          <w:rFonts w:cs="Arial"/>
        </w:rPr>
        <w:t>é</w:t>
      </w:r>
      <w:r w:rsidR="00116B38" w:rsidRPr="009F61AF">
        <w:rPr>
          <w:rFonts w:cs="Arial"/>
        </w:rPr>
        <w:t xml:space="preserve">cima cuarta </w:t>
      </w:r>
      <w:r w:rsidRPr="009F61AF">
        <w:rPr>
          <w:rFonts w:cs="Arial"/>
        </w:rPr>
        <w:t>y de</w:t>
      </w:r>
      <w:r w:rsidR="00CC4CD3" w:rsidRPr="009F61AF">
        <w:rPr>
          <w:rFonts w:cs="Arial"/>
        </w:rPr>
        <w:t>sde</w:t>
      </w:r>
      <w:r w:rsidRPr="009F61AF">
        <w:rPr>
          <w:rFonts w:cs="Arial"/>
        </w:rPr>
        <w:t xml:space="preserve"> allí debió partir el Tribunal de Arbitramento para establecer el cómputo de caducidad de la acción, de conformidad con el art</w:t>
      </w:r>
      <w:r w:rsidR="00CC4CD3" w:rsidRPr="009F61AF">
        <w:rPr>
          <w:rFonts w:cs="Arial"/>
        </w:rPr>
        <w:t>í</w:t>
      </w:r>
      <w:r w:rsidRPr="009F61AF">
        <w:rPr>
          <w:rFonts w:cs="Arial"/>
        </w:rPr>
        <w:t>culo 16</w:t>
      </w:r>
      <w:r w:rsidR="00116B38" w:rsidRPr="009F61AF">
        <w:rPr>
          <w:rFonts w:cs="Arial"/>
        </w:rPr>
        <w:t>4</w:t>
      </w:r>
      <w:r w:rsidRPr="009F61AF">
        <w:rPr>
          <w:rFonts w:cs="Arial"/>
        </w:rPr>
        <w:t xml:space="preserve"> del C.P.A.C.A.</w:t>
      </w:r>
      <w:r w:rsidR="004F2C3C" w:rsidRPr="009F61AF">
        <w:rPr>
          <w:rStyle w:val="Refdenotaalpie"/>
          <w:rFonts w:cs="Arial"/>
        </w:rPr>
        <w:footnoteReference w:id="31"/>
      </w:r>
    </w:p>
    <w:p w14:paraId="4D739C6F" w14:textId="77777777" w:rsidR="00833EAC" w:rsidRPr="009F61AF" w:rsidRDefault="00833EAC" w:rsidP="0081115F">
      <w:pPr>
        <w:pStyle w:val="Continuarlista2"/>
        <w:spacing w:after="0"/>
        <w:ind w:left="0"/>
        <w:rPr>
          <w:rFonts w:cs="Arial"/>
        </w:rPr>
      </w:pPr>
    </w:p>
    <w:p w14:paraId="67451B20" w14:textId="77777777" w:rsidR="00A63D25" w:rsidRPr="009F61AF" w:rsidRDefault="000D576F" w:rsidP="0081115F">
      <w:pPr>
        <w:pStyle w:val="Continuarlista2"/>
        <w:spacing w:after="0"/>
        <w:ind w:left="0"/>
        <w:rPr>
          <w:rFonts w:cs="Arial"/>
        </w:rPr>
      </w:pPr>
      <w:r w:rsidRPr="009F61AF">
        <w:rPr>
          <w:rFonts w:cs="Arial"/>
        </w:rPr>
        <w:t xml:space="preserve">ii) </w:t>
      </w:r>
      <w:r w:rsidR="00947783" w:rsidRPr="009F61AF">
        <w:rPr>
          <w:rFonts w:cs="Arial"/>
        </w:rPr>
        <w:t xml:space="preserve">Acerca de la suspensión del término de la caducidad, </w:t>
      </w:r>
      <w:r w:rsidR="00BB639C" w:rsidRPr="009F61AF">
        <w:rPr>
          <w:rFonts w:cs="Arial"/>
        </w:rPr>
        <w:t xml:space="preserve">observó </w:t>
      </w:r>
      <w:r w:rsidR="00116B38" w:rsidRPr="009F61AF">
        <w:rPr>
          <w:rFonts w:cs="Arial"/>
        </w:rPr>
        <w:t xml:space="preserve">el Tribunal de Arbitramento </w:t>
      </w:r>
      <w:r w:rsidR="00BB639C" w:rsidRPr="009F61AF">
        <w:rPr>
          <w:rFonts w:cs="Arial"/>
        </w:rPr>
        <w:t xml:space="preserve">que el periodo transcurrido entre la radicación de la solicitud de </w:t>
      </w:r>
      <w:r w:rsidR="00277861" w:rsidRPr="009F61AF">
        <w:rPr>
          <w:rFonts w:cs="Arial"/>
        </w:rPr>
        <w:t xml:space="preserve">la </w:t>
      </w:r>
      <w:r w:rsidR="00BB639C" w:rsidRPr="009F61AF">
        <w:rPr>
          <w:rFonts w:cs="Arial"/>
        </w:rPr>
        <w:t xml:space="preserve">conciliación </w:t>
      </w:r>
      <w:r w:rsidR="00277861" w:rsidRPr="009F61AF">
        <w:rPr>
          <w:rFonts w:cs="Arial"/>
        </w:rPr>
        <w:t xml:space="preserve">prejudicial ante la Procuraduría </w:t>
      </w:r>
      <w:r w:rsidR="00E24F5F" w:rsidRPr="009F61AF">
        <w:rPr>
          <w:rFonts w:cs="Arial"/>
        </w:rPr>
        <w:t xml:space="preserve">Judicial (9 de noviembre de 2012) </w:t>
      </w:r>
      <w:r w:rsidR="000D23E8" w:rsidRPr="009F61AF">
        <w:rPr>
          <w:rFonts w:cs="Arial"/>
        </w:rPr>
        <w:t xml:space="preserve"> </w:t>
      </w:r>
      <w:r w:rsidR="00BB639C" w:rsidRPr="009F61AF">
        <w:rPr>
          <w:rFonts w:cs="Arial"/>
        </w:rPr>
        <w:t xml:space="preserve">y </w:t>
      </w:r>
      <w:r w:rsidR="004A5C21" w:rsidRPr="009F61AF">
        <w:rPr>
          <w:rFonts w:cs="Arial"/>
        </w:rPr>
        <w:t xml:space="preserve">la </w:t>
      </w:r>
      <w:r w:rsidR="000D23E8" w:rsidRPr="009F61AF">
        <w:rPr>
          <w:rFonts w:cs="Arial"/>
        </w:rPr>
        <w:t xml:space="preserve">fecha de la </w:t>
      </w:r>
      <w:r w:rsidR="004A5C21" w:rsidRPr="009F61AF">
        <w:rPr>
          <w:rFonts w:cs="Arial"/>
        </w:rPr>
        <w:t xml:space="preserve">audiencia en </w:t>
      </w:r>
      <w:r w:rsidR="00116B38" w:rsidRPr="009F61AF">
        <w:rPr>
          <w:rFonts w:cs="Arial"/>
        </w:rPr>
        <w:t xml:space="preserve">la </w:t>
      </w:r>
      <w:r w:rsidR="004A5C21" w:rsidRPr="009F61AF">
        <w:rPr>
          <w:rFonts w:cs="Arial"/>
        </w:rPr>
        <w:t>que se declaró fallida</w:t>
      </w:r>
      <w:r w:rsidRPr="009F61AF">
        <w:rPr>
          <w:rFonts w:cs="Arial"/>
        </w:rPr>
        <w:t xml:space="preserve"> </w:t>
      </w:r>
      <w:r w:rsidR="00116B38" w:rsidRPr="009F61AF">
        <w:rPr>
          <w:rFonts w:cs="Arial"/>
        </w:rPr>
        <w:t xml:space="preserve">la conciliación </w:t>
      </w:r>
      <w:r w:rsidRPr="009F61AF">
        <w:rPr>
          <w:rFonts w:cs="Arial"/>
        </w:rPr>
        <w:t>y en la cual se expidió la constancia correspondiente</w:t>
      </w:r>
      <w:r w:rsidR="00A63D25" w:rsidRPr="009F61AF">
        <w:rPr>
          <w:rFonts w:cs="Arial"/>
        </w:rPr>
        <w:t xml:space="preserve"> (20 de febrero de 2013)</w:t>
      </w:r>
      <w:r w:rsidR="004A5C21" w:rsidRPr="009F61AF">
        <w:rPr>
          <w:rFonts w:cs="Arial"/>
        </w:rPr>
        <w:t xml:space="preserve">, superó los </w:t>
      </w:r>
      <w:r w:rsidR="00125135" w:rsidRPr="009F61AF">
        <w:rPr>
          <w:rFonts w:cs="Arial"/>
        </w:rPr>
        <w:t>tres</w:t>
      </w:r>
      <w:r w:rsidR="004A5C21" w:rsidRPr="009F61AF">
        <w:rPr>
          <w:rFonts w:cs="Arial"/>
        </w:rPr>
        <w:t xml:space="preserve"> meses que </w:t>
      </w:r>
      <w:r w:rsidR="00277861" w:rsidRPr="009F61AF">
        <w:rPr>
          <w:rFonts w:cs="Arial"/>
        </w:rPr>
        <w:t xml:space="preserve">se </w:t>
      </w:r>
      <w:r w:rsidR="004A5C21" w:rsidRPr="009F61AF">
        <w:rPr>
          <w:rFonts w:cs="Arial"/>
        </w:rPr>
        <w:t>estableci</w:t>
      </w:r>
      <w:r w:rsidR="00277861" w:rsidRPr="009F61AF">
        <w:rPr>
          <w:rFonts w:cs="Arial"/>
        </w:rPr>
        <w:t xml:space="preserve">eron en </w:t>
      </w:r>
      <w:r w:rsidR="00E24F5F" w:rsidRPr="009F61AF">
        <w:rPr>
          <w:rFonts w:cs="Arial"/>
        </w:rPr>
        <w:t xml:space="preserve">el artículo 21 de </w:t>
      </w:r>
      <w:r w:rsidR="004A5C21" w:rsidRPr="009F61AF">
        <w:rPr>
          <w:rFonts w:cs="Arial"/>
        </w:rPr>
        <w:t xml:space="preserve">la </w:t>
      </w:r>
      <w:r w:rsidR="00A63D25" w:rsidRPr="009F61AF">
        <w:rPr>
          <w:rFonts w:cs="Arial"/>
        </w:rPr>
        <w:t>L</w:t>
      </w:r>
      <w:r w:rsidR="004A5C21" w:rsidRPr="009F61AF">
        <w:rPr>
          <w:rFonts w:cs="Arial"/>
        </w:rPr>
        <w:t xml:space="preserve">ey 640 de 2001 </w:t>
      </w:r>
      <w:r w:rsidR="00E24F5F" w:rsidRPr="009F61AF">
        <w:rPr>
          <w:rFonts w:cs="Arial"/>
        </w:rPr>
        <w:t xml:space="preserve">y en la letra c) </w:t>
      </w:r>
      <w:r w:rsidR="004A5C21" w:rsidRPr="009F61AF">
        <w:rPr>
          <w:rFonts w:cs="Arial"/>
        </w:rPr>
        <w:t>del artículo 3</w:t>
      </w:r>
      <w:r w:rsidR="00125135" w:rsidRPr="009F61AF">
        <w:rPr>
          <w:rFonts w:cs="Arial"/>
        </w:rPr>
        <w:t xml:space="preserve">º </w:t>
      </w:r>
      <w:r w:rsidR="004A5C21" w:rsidRPr="009F61AF">
        <w:rPr>
          <w:rFonts w:cs="Arial"/>
        </w:rPr>
        <w:t xml:space="preserve">del </w:t>
      </w:r>
      <w:r w:rsidR="00A63D25" w:rsidRPr="009F61AF">
        <w:rPr>
          <w:rFonts w:cs="Arial"/>
        </w:rPr>
        <w:t>D</w:t>
      </w:r>
      <w:r w:rsidR="004A5C21" w:rsidRPr="009F61AF">
        <w:rPr>
          <w:rFonts w:cs="Arial"/>
        </w:rPr>
        <w:t xml:space="preserve">ecreto </w:t>
      </w:r>
      <w:r w:rsidR="00D30A64" w:rsidRPr="009F61AF">
        <w:rPr>
          <w:rFonts w:cs="Arial"/>
        </w:rPr>
        <w:t xml:space="preserve">Reglamentario </w:t>
      </w:r>
      <w:r w:rsidR="004A5C21" w:rsidRPr="009F61AF">
        <w:rPr>
          <w:rFonts w:cs="Arial"/>
        </w:rPr>
        <w:t>1716 de 2009, de</w:t>
      </w:r>
      <w:r w:rsidR="00A63D25" w:rsidRPr="009F61AF">
        <w:rPr>
          <w:rFonts w:cs="Arial"/>
        </w:rPr>
        <w:t xml:space="preserve"> manera que </w:t>
      </w:r>
      <w:r w:rsidR="00116B38" w:rsidRPr="009F61AF">
        <w:rPr>
          <w:rFonts w:cs="Arial"/>
        </w:rPr>
        <w:t xml:space="preserve">concluyó que </w:t>
      </w:r>
      <w:r w:rsidR="00A63D25" w:rsidRPr="009F61AF">
        <w:rPr>
          <w:rFonts w:cs="Arial"/>
        </w:rPr>
        <w:t xml:space="preserve">solo se debía </w:t>
      </w:r>
      <w:r w:rsidR="004A5C21" w:rsidRPr="009F61AF">
        <w:rPr>
          <w:rFonts w:cs="Arial"/>
        </w:rPr>
        <w:t>reconoc</w:t>
      </w:r>
      <w:r w:rsidR="00A63D25" w:rsidRPr="009F61AF">
        <w:rPr>
          <w:rFonts w:cs="Arial"/>
        </w:rPr>
        <w:t>er</w:t>
      </w:r>
      <w:r w:rsidR="004A5C21" w:rsidRPr="009F61AF">
        <w:rPr>
          <w:rFonts w:cs="Arial"/>
        </w:rPr>
        <w:t xml:space="preserve"> </w:t>
      </w:r>
      <w:r w:rsidR="00D30A64" w:rsidRPr="009F61AF">
        <w:rPr>
          <w:rFonts w:cs="Arial"/>
        </w:rPr>
        <w:t xml:space="preserve">la suspensión </w:t>
      </w:r>
      <w:r w:rsidR="0080241D" w:rsidRPr="009F61AF">
        <w:rPr>
          <w:rFonts w:cs="Arial"/>
        </w:rPr>
        <w:t xml:space="preserve">del término por </w:t>
      </w:r>
      <w:r w:rsidR="00125135" w:rsidRPr="009F61AF">
        <w:rPr>
          <w:rFonts w:cs="Arial"/>
        </w:rPr>
        <w:t xml:space="preserve">el </w:t>
      </w:r>
      <w:r w:rsidR="00116B38" w:rsidRPr="009F61AF">
        <w:rPr>
          <w:rFonts w:cs="Arial"/>
        </w:rPr>
        <w:t>lapso</w:t>
      </w:r>
      <w:r w:rsidR="00125135" w:rsidRPr="009F61AF">
        <w:rPr>
          <w:rFonts w:cs="Arial"/>
        </w:rPr>
        <w:t xml:space="preserve"> correspondiente </w:t>
      </w:r>
      <w:r w:rsidR="00D30A64" w:rsidRPr="009F61AF">
        <w:rPr>
          <w:rFonts w:cs="Arial"/>
        </w:rPr>
        <w:t xml:space="preserve">a </w:t>
      </w:r>
      <w:r w:rsidR="00125135" w:rsidRPr="009F61AF">
        <w:rPr>
          <w:rFonts w:cs="Arial"/>
        </w:rPr>
        <w:t xml:space="preserve">tres </w:t>
      </w:r>
      <w:r w:rsidR="004A5C21" w:rsidRPr="009F61AF">
        <w:rPr>
          <w:rFonts w:cs="Arial"/>
        </w:rPr>
        <w:t>meses</w:t>
      </w:r>
      <w:r w:rsidR="00D30A64" w:rsidRPr="009F61AF">
        <w:rPr>
          <w:rFonts w:cs="Arial"/>
        </w:rPr>
        <w:t xml:space="preserve">, </w:t>
      </w:r>
      <w:r w:rsidR="000D23E8" w:rsidRPr="009F61AF">
        <w:rPr>
          <w:rFonts w:cs="Arial"/>
        </w:rPr>
        <w:t xml:space="preserve">para </w:t>
      </w:r>
      <w:r w:rsidR="00D30A64" w:rsidRPr="009F61AF">
        <w:rPr>
          <w:rFonts w:cs="Arial"/>
        </w:rPr>
        <w:t>efectos d</w:t>
      </w:r>
      <w:r w:rsidR="000D23E8" w:rsidRPr="009F61AF">
        <w:rPr>
          <w:rFonts w:cs="Arial"/>
        </w:rPr>
        <w:t>el cómputo de la caducidad</w:t>
      </w:r>
      <w:r w:rsidR="00A63D25" w:rsidRPr="009F61AF">
        <w:rPr>
          <w:rFonts w:cs="Arial"/>
        </w:rPr>
        <w:t xml:space="preserve">. </w:t>
      </w:r>
    </w:p>
    <w:p w14:paraId="612E7B6E" w14:textId="77777777" w:rsidR="000F3652" w:rsidRPr="009F61AF" w:rsidRDefault="000F3652" w:rsidP="0081115F">
      <w:pPr>
        <w:pStyle w:val="Continuarlista2"/>
        <w:spacing w:after="0"/>
        <w:ind w:left="0"/>
        <w:rPr>
          <w:rFonts w:cs="Arial"/>
        </w:rPr>
      </w:pPr>
    </w:p>
    <w:p w14:paraId="4F421EE0" w14:textId="77777777" w:rsidR="00833EAC" w:rsidRPr="009F61AF" w:rsidRDefault="00833EAC" w:rsidP="0081115F">
      <w:pPr>
        <w:pStyle w:val="Continuarlista2"/>
        <w:spacing w:after="0"/>
        <w:ind w:left="0"/>
        <w:rPr>
          <w:rFonts w:cs="Arial"/>
        </w:rPr>
      </w:pPr>
      <w:r w:rsidRPr="009F61AF">
        <w:rPr>
          <w:rFonts w:cs="Arial"/>
        </w:rPr>
        <w:lastRenderedPageBreak/>
        <w:t>La anterior apreciación se encuentra correcta de acuerdo con lo expuesto en el acápite anterior</w:t>
      </w:r>
      <w:r w:rsidR="00116B38" w:rsidRPr="009F61AF">
        <w:rPr>
          <w:rFonts w:cs="Arial"/>
        </w:rPr>
        <w:t xml:space="preserve"> y en la jurisprudencia reiterada del Consejo de Estado que allí se ha referido</w:t>
      </w:r>
      <w:r w:rsidRPr="009F61AF">
        <w:rPr>
          <w:rFonts w:cs="Arial"/>
        </w:rPr>
        <w:t>.</w:t>
      </w:r>
    </w:p>
    <w:p w14:paraId="36A75124" w14:textId="77777777" w:rsidR="00833EAC" w:rsidRPr="009F61AF" w:rsidRDefault="00833EAC" w:rsidP="0081115F">
      <w:pPr>
        <w:pStyle w:val="Continuarlista2"/>
        <w:spacing w:after="0"/>
        <w:ind w:left="0"/>
        <w:rPr>
          <w:rFonts w:cs="Arial"/>
        </w:rPr>
      </w:pPr>
      <w:r w:rsidRPr="009F61AF">
        <w:rPr>
          <w:rFonts w:cs="Arial"/>
        </w:rPr>
        <w:t xml:space="preserve">  </w:t>
      </w:r>
    </w:p>
    <w:p w14:paraId="4BE09CC8" w14:textId="77777777" w:rsidR="000F3652" w:rsidRPr="009F61AF" w:rsidRDefault="00833EAC" w:rsidP="0081115F">
      <w:pPr>
        <w:pStyle w:val="Continuarlista2"/>
        <w:spacing w:after="0"/>
        <w:ind w:left="0"/>
        <w:rPr>
          <w:rFonts w:cs="Arial"/>
        </w:rPr>
      </w:pPr>
      <w:r w:rsidRPr="009F61AF">
        <w:rPr>
          <w:rFonts w:cs="Arial"/>
        </w:rPr>
        <w:t xml:space="preserve">iii) </w:t>
      </w:r>
      <w:r w:rsidR="00116B38" w:rsidRPr="009F61AF">
        <w:rPr>
          <w:rFonts w:cs="Arial"/>
        </w:rPr>
        <w:t>Ahora bien, e</w:t>
      </w:r>
      <w:r w:rsidR="000F3652" w:rsidRPr="009F61AF">
        <w:rPr>
          <w:rFonts w:cs="Arial"/>
        </w:rPr>
        <w:t xml:space="preserve">l Tribunal </w:t>
      </w:r>
      <w:r w:rsidR="000F3652" w:rsidRPr="009F61AF">
        <w:rPr>
          <w:rFonts w:cs="Arial"/>
          <w:i/>
        </w:rPr>
        <w:t>a quo</w:t>
      </w:r>
      <w:r w:rsidR="000F3652" w:rsidRPr="009F61AF">
        <w:rPr>
          <w:rFonts w:cs="Arial"/>
        </w:rPr>
        <w:t xml:space="preserve"> expuso </w:t>
      </w:r>
      <w:r w:rsidR="004A35C6" w:rsidRPr="009F61AF">
        <w:rPr>
          <w:rFonts w:cs="Arial"/>
        </w:rPr>
        <w:t xml:space="preserve">en los siguientes términos </w:t>
      </w:r>
      <w:r w:rsidR="000F3652" w:rsidRPr="009F61AF">
        <w:rPr>
          <w:rFonts w:cs="Arial"/>
        </w:rPr>
        <w:t>su conclusión acerca de la inoperancia de la caducidad de la acción:</w:t>
      </w:r>
    </w:p>
    <w:p w14:paraId="02EB822C" w14:textId="77777777" w:rsidR="000F3652" w:rsidRPr="009F61AF" w:rsidRDefault="000F3652" w:rsidP="0081115F">
      <w:pPr>
        <w:pStyle w:val="Continuarlista2"/>
        <w:spacing w:after="0"/>
        <w:ind w:left="0"/>
        <w:rPr>
          <w:rFonts w:cs="Arial"/>
        </w:rPr>
      </w:pPr>
    </w:p>
    <w:p w14:paraId="1FED7979" w14:textId="77777777" w:rsidR="004E7CFC" w:rsidRPr="009F61AF" w:rsidRDefault="000F3652" w:rsidP="0081115F">
      <w:pPr>
        <w:pStyle w:val="Continuarlista2"/>
        <w:spacing w:after="0" w:line="276" w:lineRule="auto"/>
        <w:ind w:left="0"/>
        <w:rPr>
          <w:rFonts w:cs="Arial"/>
          <w:i/>
        </w:rPr>
      </w:pPr>
      <w:r w:rsidRPr="009F61AF">
        <w:rPr>
          <w:rFonts w:cs="Arial"/>
        </w:rPr>
        <w:t>“</w:t>
      </w:r>
      <w:r w:rsidR="00765B5C" w:rsidRPr="009F61AF">
        <w:rPr>
          <w:rFonts w:cs="Arial"/>
          <w:i/>
        </w:rPr>
        <w:t>D</w:t>
      </w:r>
      <w:r w:rsidRPr="009F61AF">
        <w:rPr>
          <w:rFonts w:cs="Arial"/>
          <w:i/>
        </w:rPr>
        <w:t xml:space="preserve">e </w:t>
      </w:r>
      <w:r w:rsidR="00765B5C" w:rsidRPr="009F61AF">
        <w:rPr>
          <w:rFonts w:cs="Arial"/>
          <w:i/>
        </w:rPr>
        <w:t>é</w:t>
      </w:r>
      <w:r w:rsidRPr="009F61AF">
        <w:rPr>
          <w:rFonts w:cs="Arial"/>
          <w:i/>
        </w:rPr>
        <w:t xml:space="preserve">sta suerte, partiendo del 1 de agosto de 2011 como fecha a partir de la cual comenzaba a correr el término de dos (2) años de caducidad de la acción contractual y sumando los tres </w:t>
      </w:r>
      <w:r w:rsidR="00765B5C" w:rsidRPr="009F61AF">
        <w:rPr>
          <w:rFonts w:cs="Arial"/>
          <w:i/>
        </w:rPr>
        <w:t>(3</w:t>
      </w:r>
      <w:r w:rsidR="00B73A23" w:rsidRPr="009F61AF">
        <w:rPr>
          <w:rFonts w:cs="Arial"/>
          <w:i/>
        </w:rPr>
        <w:t>)</w:t>
      </w:r>
      <w:r w:rsidR="00765B5C" w:rsidRPr="009F61AF">
        <w:rPr>
          <w:rFonts w:cs="Arial"/>
          <w:i/>
        </w:rPr>
        <w:t xml:space="preserve"> </w:t>
      </w:r>
      <w:r w:rsidRPr="009F61AF">
        <w:rPr>
          <w:rFonts w:cs="Arial"/>
          <w:i/>
        </w:rPr>
        <w:t xml:space="preserve">meses de suspensión por el trámite </w:t>
      </w:r>
      <w:r w:rsidR="00765B5C" w:rsidRPr="009F61AF">
        <w:rPr>
          <w:rFonts w:cs="Arial"/>
          <w:i/>
        </w:rPr>
        <w:t xml:space="preserve">de conciliación que [se] realizó ante la Procuraduría, tenemos que la caducidad hubiera tenido ocurrencia el 1 de noviembre de 2013. La demanda contra el ICBF la presentó la convocante el 22 de agosto </w:t>
      </w:r>
      <w:r w:rsidR="004E7CFC" w:rsidRPr="009F61AF">
        <w:rPr>
          <w:rFonts w:cs="Arial"/>
          <w:i/>
        </w:rPr>
        <w:t xml:space="preserve">de ese mismo año, es decir antes </w:t>
      </w:r>
      <w:r w:rsidR="00E07005" w:rsidRPr="009F61AF">
        <w:rPr>
          <w:rFonts w:cs="Arial"/>
          <w:i/>
        </w:rPr>
        <w:t xml:space="preserve">[de] </w:t>
      </w:r>
      <w:r w:rsidR="004E7CFC" w:rsidRPr="009F61AF">
        <w:rPr>
          <w:rFonts w:cs="Arial"/>
          <w:i/>
        </w:rPr>
        <w:t>que operara la caducidad de la acción interpuesta“.</w:t>
      </w:r>
    </w:p>
    <w:p w14:paraId="7459E63B" w14:textId="77777777" w:rsidR="004E7CFC" w:rsidRPr="009F61AF" w:rsidRDefault="004E7CFC" w:rsidP="0081115F">
      <w:pPr>
        <w:pStyle w:val="Continuarlista2"/>
        <w:spacing w:after="0"/>
        <w:ind w:left="0"/>
        <w:rPr>
          <w:rFonts w:cs="Arial"/>
        </w:rPr>
      </w:pPr>
    </w:p>
    <w:p w14:paraId="37E25D05" w14:textId="77777777" w:rsidR="007865FC" w:rsidRPr="009F61AF" w:rsidRDefault="004E7CFC" w:rsidP="0081115F">
      <w:pPr>
        <w:pStyle w:val="Continuarlista2"/>
        <w:spacing w:after="0"/>
        <w:ind w:left="0"/>
        <w:rPr>
          <w:rFonts w:cs="Arial"/>
        </w:rPr>
      </w:pPr>
      <w:r w:rsidRPr="009F61AF">
        <w:rPr>
          <w:rFonts w:cs="Arial"/>
        </w:rPr>
        <w:t xml:space="preserve">Salta a la vista que </w:t>
      </w:r>
      <w:r w:rsidR="00D93B6B" w:rsidRPr="009F61AF">
        <w:rPr>
          <w:rFonts w:cs="Arial"/>
        </w:rPr>
        <w:t>en la consideración del</w:t>
      </w:r>
      <w:r w:rsidR="001E1864" w:rsidRPr="009F61AF">
        <w:rPr>
          <w:rFonts w:cs="Arial"/>
        </w:rPr>
        <w:t xml:space="preserve"> </w:t>
      </w:r>
      <w:r w:rsidR="00D30A64" w:rsidRPr="009F61AF">
        <w:rPr>
          <w:rFonts w:cs="Arial"/>
        </w:rPr>
        <w:t xml:space="preserve">1º de agosto de 2011 </w:t>
      </w:r>
      <w:r w:rsidR="001E1864" w:rsidRPr="009F61AF">
        <w:rPr>
          <w:rFonts w:cs="Arial"/>
        </w:rPr>
        <w:t xml:space="preserve">como fecha a partir de la cual comenzaba a correr el término para establecer la caducidad de la acción, </w:t>
      </w:r>
      <w:r w:rsidRPr="009F61AF">
        <w:rPr>
          <w:rFonts w:cs="Arial"/>
        </w:rPr>
        <w:t xml:space="preserve">el Tribunal de Arbitramento </w:t>
      </w:r>
      <w:r w:rsidR="002F108F" w:rsidRPr="009F61AF">
        <w:rPr>
          <w:rFonts w:cs="Arial"/>
        </w:rPr>
        <w:t xml:space="preserve">se apartó de </w:t>
      </w:r>
      <w:r w:rsidR="008525FA" w:rsidRPr="009F61AF">
        <w:rPr>
          <w:rFonts w:cs="Arial"/>
        </w:rPr>
        <w:t xml:space="preserve">la </w:t>
      </w:r>
      <w:r w:rsidR="002F108F" w:rsidRPr="009F61AF">
        <w:rPr>
          <w:rFonts w:cs="Arial"/>
        </w:rPr>
        <w:t xml:space="preserve">norma legal acerca de la </w:t>
      </w:r>
      <w:r w:rsidR="008525FA" w:rsidRPr="009F61AF">
        <w:rPr>
          <w:rFonts w:cs="Arial"/>
        </w:rPr>
        <w:t>ocurrencia de la caducidad de</w:t>
      </w:r>
      <w:r w:rsidR="00042A85" w:rsidRPr="009F61AF">
        <w:rPr>
          <w:rFonts w:cs="Arial"/>
        </w:rPr>
        <w:t xml:space="preserve"> la acción</w:t>
      </w:r>
      <w:r w:rsidR="007865FC" w:rsidRPr="009F61AF">
        <w:rPr>
          <w:rFonts w:cs="Arial"/>
        </w:rPr>
        <w:t>.</w:t>
      </w:r>
    </w:p>
    <w:p w14:paraId="02175EC3" w14:textId="77777777" w:rsidR="008525FA" w:rsidRPr="009F61AF" w:rsidRDefault="008525FA" w:rsidP="0081115F">
      <w:pPr>
        <w:pStyle w:val="Continuarlista2"/>
        <w:spacing w:after="0"/>
        <w:ind w:left="0"/>
        <w:rPr>
          <w:rFonts w:cs="Arial"/>
        </w:rPr>
      </w:pPr>
    </w:p>
    <w:p w14:paraId="559B1F6D" w14:textId="77777777" w:rsidR="0034737E" w:rsidRPr="009F61AF" w:rsidRDefault="00C8100A" w:rsidP="0081115F">
      <w:pPr>
        <w:pStyle w:val="Continuarlista2"/>
        <w:spacing w:after="0"/>
        <w:ind w:left="0"/>
        <w:rPr>
          <w:rFonts w:cs="Arial"/>
        </w:rPr>
      </w:pPr>
      <w:r w:rsidRPr="009F61AF">
        <w:rPr>
          <w:rFonts w:cs="Arial"/>
        </w:rPr>
        <w:t>En efecto</w:t>
      </w:r>
      <w:r w:rsidR="001E1864" w:rsidRPr="009F61AF">
        <w:rPr>
          <w:rFonts w:cs="Arial"/>
        </w:rPr>
        <w:t>,</w:t>
      </w:r>
      <w:r w:rsidRPr="009F61AF">
        <w:rPr>
          <w:rFonts w:cs="Arial"/>
        </w:rPr>
        <w:t xml:space="preserve"> </w:t>
      </w:r>
      <w:r w:rsidR="001E1864" w:rsidRPr="009F61AF">
        <w:rPr>
          <w:rFonts w:cs="Arial"/>
        </w:rPr>
        <w:t xml:space="preserve">de acuerdo con el </w:t>
      </w:r>
      <w:r w:rsidR="0034737E" w:rsidRPr="009F61AF">
        <w:rPr>
          <w:rFonts w:cs="Arial"/>
        </w:rPr>
        <w:t>art</w:t>
      </w:r>
      <w:r w:rsidR="001E1864" w:rsidRPr="009F61AF">
        <w:rPr>
          <w:rFonts w:cs="Arial"/>
        </w:rPr>
        <w:t>í</w:t>
      </w:r>
      <w:r w:rsidR="0034737E" w:rsidRPr="009F61AF">
        <w:rPr>
          <w:rFonts w:cs="Arial"/>
        </w:rPr>
        <w:t xml:space="preserve">culo 164  del C.P.A.C.A </w:t>
      </w:r>
      <w:r w:rsidR="001E1864" w:rsidRPr="009F61AF">
        <w:rPr>
          <w:rFonts w:cs="Arial"/>
        </w:rPr>
        <w:t xml:space="preserve">se </w:t>
      </w:r>
      <w:r w:rsidR="0034737E" w:rsidRPr="009F61AF">
        <w:rPr>
          <w:rFonts w:cs="Arial"/>
        </w:rPr>
        <w:t xml:space="preserve">imponía establecer que el cómputo de la caducidad de la acción se </w:t>
      </w:r>
      <w:r w:rsidR="001E1864" w:rsidRPr="009F61AF">
        <w:rPr>
          <w:rFonts w:cs="Arial"/>
        </w:rPr>
        <w:t xml:space="preserve">contó desde la fecha de terminación del contrato, </w:t>
      </w:r>
      <w:r w:rsidR="0034737E" w:rsidRPr="009F61AF">
        <w:rPr>
          <w:rFonts w:cs="Arial"/>
        </w:rPr>
        <w:t>el 30 de noviembre de 2010</w:t>
      </w:r>
      <w:r w:rsidR="00116B38" w:rsidRPr="009F61AF">
        <w:rPr>
          <w:rFonts w:cs="Arial"/>
        </w:rPr>
        <w:t xml:space="preserve"> y</w:t>
      </w:r>
      <w:r w:rsidR="0034737E" w:rsidRPr="009F61AF">
        <w:rPr>
          <w:rFonts w:cs="Arial"/>
        </w:rPr>
        <w:t xml:space="preserve"> </w:t>
      </w:r>
      <w:r w:rsidR="00EB3B4B" w:rsidRPr="009F61AF">
        <w:rPr>
          <w:rFonts w:cs="Arial"/>
        </w:rPr>
        <w:t>con base en ella</w:t>
      </w:r>
      <w:r w:rsidR="0034737E" w:rsidRPr="009F61AF">
        <w:rPr>
          <w:rFonts w:cs="Arial"/>
        </w:rPr>
        <w:t xml:space="preserve"> </w:t>
      </w:r>
      <w:r w:rsidR="00116B38" w:rsidRPr="009F61AF">
        <w:rPr>
          <w:rFonts w:cs="Arial"/>
        </w:rPr>
        <w:t xml:space="preserve">– y no </w:t>
      </w:r>
      <w:r w:rsidR="00EB3B4B" w:rsidRPr="009F61AF">
        <w:rPr>
          <w:rFonts w:cs="Arial"/>
        </w:rPr>
        <w:t xml:space="preserve">a partir del </w:t>
      </w:r>
      <w:r w:rsidR="00116B38" w:rsidRPr="009F61AF">
        <w:rPr>
          <w:rFonts w:cs="Arial"/>
        </w:rPr>
        <w:t xml:space="preserve">1º de agosto de 2011- </w:t>
      </w:r>
      <w:r w:rsidR="0034737E" w:rsidRPr="009F61AF">
        <w:rPr>
          <w:rFonts w:cs="Arial"/>
        </w:rPr>
        <w:t>se debió i</w:t>
      </w:r>
      <w:r w:rsidR="00116B38" w:rsidRPr="009F61AF">
        <w:rPr>
          <w:rFonts w:cs="Arial"/>
        </w:rPr>
        <w:t xml:space="preserve">dentificar </w:t>
      </w:r>
      <w:r w:rsidR="0034737E" w:rsidRPr="009F61AF">
        <w:rPr>
          <w:rFonts w:cs="Arial"/>
        </w:rPr>
        <w:t>que el plazo para liquidar bilateralmente el contrato</w:t>
      </w:r>
      <w:r w:rsidR="00116B38" w:rsidRPr="009F61AF">
        <w:rPr>
          <w:rFonts w:cs="Arial"/>
        </w:rPr>
        <w:t xml:space="preserve"> </w:t>
      </w:r>
      <w:r w:rsidR="0034737E" w:rsidRPr="009F61AF">
        <w:rPr>
          <w:rFonts w:cs="Arial"/>
        </w:rPr>
        <w:t>corrió por cuatro meses hasta el 30 de marzo de 2011 y el plazo para liquidar</w:t>
      </w:r>
      <w:r w:rsidR="007865FC" w:rsidRPr="009F61AF">
        <w:rPr>
          <w:rFonts w:cs="Arial"/>
        </w:rPr>
        <w:t>lo</w:t>
      </w:r>
      <w:r w:rsidR="0034737E" w:rsidRPr="009F61AF">
        <w:rPr>
          <w:rFonts w:cs="Arial"/>
        </w:rPr>
        <w:t xml:space="preserve"> unilateralmente </w:t>
      </w:r>
      <w:r w:rsidR="00116B38" w:rsidRPr="009F61AF">
        <w:rPr>
          <w:rFonts w:cs="Arial"/>
        </w:rPr>
        <w:t xml:space="preserve">tuvo lugar </w:t>
      </w:r>
      <w:r w:rsidR="0034737E" w:rsidRPr="009F61AF">
        <w:rPr>
          <w:rFonts w:cs="Arial"/>
        </w:rPr>
        <w:t>por dos meses más, esto es</w:t>
      </w:r>
      <w:r w:rsidR="00E07005" w:rsidRPr="009F61AF">
        <w:rPr>
          <w:rFonts w:cs="Arial"/>
        </w:rPr>
        <w:t>,</w:t>
      </w:r>
      <w:r w:rsidR="0034737E" w:rsidRPr="009F61AF">
        <w:rPr>
          <w:rFonts w:cs="Arial"/>
        </w:rPr>
        <w:t xml:space="preserve"> hasta el 30 de mayo de 201</w:t>
      </w:r>
      <w:r w:rsidR="00116B38" w:rsidRPr="009F61AF">
        <w:rPr>
          <w:rFonts w:cs="Arial"/>
        </w:rPr>
        <w:t>1</w:t>
      </w:r>
      <w:r w:rsidR="0034737E" w:rsidRPr="009F61AF">
        <w:rPr>
          <w:rFonts w:cs="Arial"/>
        </w:rPr>
        <w:t>.</w:t>
      </w:r>
      <w:r w:rsidR="00116B38" w:rsidRPr="009F61AF">
        <w:rPr>
          <w:rFonts w:cs="Arial"/>
        </w:rPr>
        <w:t xml:space="preserve"> Por lo antedicho el término de caducidad</w:t>
      </w:r>
      <w:r w:rsidR="003E5532" w:rsidRPr="009F61AF">
        <w:rPr>
          <w:rFonts w:cs="Arial"/>
        </w:rPr>
        <w:t xml:space="preserve"> – sin </w:t>
      </w:r>
      <w:r w:rsidR="00D655D0" w:rsidRPr="009F61AF">
        <w:rPr>
          <w:rFonts w:cs="Arial"/>
        </w:rPr>
        <w:t xml:space="preserve">tener en cuenta la </w:t>
      </w:r>
      <w:r w:rsidR="003E5532" w:rsidRPr="009F61AF">
        <w:rPr>
          <w:rFonts w:cs="Arial"/>
        </w:rPr>
        <w:t xml:space="preserve">suspensión- </w:t>
      </w:r>
      <w:r w:rsidR="00116B38" w:rsidRPr="009F61AF">
        <w:rPr>
          <w:rFonts w:cs="Arial"/>
        </w:rPr>
        <w:t xml:space="preserve"> habría tenido lugar el 30 de mayo de 2013 y no el 1º de noviembre de 2013</w:t>
      </w:r>
      <w:r w:rsidR="0095344F" w:rsidRPr="009F61AF">
        <w:rPr>
          <w:rStyle w:val="Refdenotaalpie"/>
          <w:rFonts w:cs="Arial"/>
        </w:rPr>
        <w:footnoteReference w:id="32"/>
      </w:r>
      <w:r w:rsidR="00116B38" w:rsidRPr="009F61AF">
        <w:rPr>
          <w:rFonts w:cs="Arial"/>
        </w:rPr>
        <w:t xml:space="preserve">. </w:t>
      </w:r>
    </w:p>
    <w:p w14:paraId="3B118878" w14:textId="77777777" w:rsidR="00C54B8C" w:rsidRPr="009F61AF" w:rsidRDefault="00C54B8C" w:rsidP="0081115F">
      <w:pPr>
        <w:pStyle w:val="Continuarlista2"/>
        <w:spacing w:after="0"/>
        <w:ind w:left="0"/>
        <w:rPr>
          <w:rFonts w:cs="Arial"/>
        </w:rPr>
      </w:pPr>
    </w:p>
    <w:p w14:paraId="2AAD3558" w14:textId="77777777" w:rsidR="003E5532" w:rsidRPr="009F61AF" w:rsidRDefault="004516A9" w:rsidP="0081115F">
      <w:pPr>
        <w:pStyle w:val="Continuarlista2"/>
        <w:spacing w:after="0"/>
        <w:ind w:left="0"/>
        <w:rPr>
          <w:rFonts w:cs="Arial"/>
        </w:rPr>
      </w:pPr>
      <w:r w:rsidRPr="009F61AF">
        <w:rPr>
          <w:rFonts w:cs="Arial"/>
        </w:rPr>
        <w:lastRenderedPageBreak/>
        <w:t>A</w:t>
      </w:r>
      <w:r w:rsidR="003E5532" w:rsidRPr="009F61AF">
        <w:rPr>
          <w:rFonts w:cs="Arial"/>
        </w:rPr>
        <w:t>hora bien, d</w:t>
      </w:r>
      <w:r w:rsidRPr="009F61AF">
        <w:rPr>
          <w:rFonts w:cs="Arial"/>
        </w:rPr>
        <w:t>e acuerdo con l</w:t>
      </w:r>
      <w:r w:rsidR="00834BC8" w:rsidRPr="009F61AF">
        <w:rPr>
          <w:rFonts w:cs="Arial"/>
        </w:rPr>
        <w:t xml:space="preserve">as </w:t>
      </w:r>
      <w:r w:rsidR="00EB3B4B" w:rsidRPr="009F61AF">
        <w:rPr>
          <w:rFonts w:cs="Arial"/>
        </w:rPr>
        <w:t xml:space="preserve">diligencias obrantes en el proceso </w:t>
      </w:r>
      <w:r w:rsidRPr="009F61AF">
        <w:rPr>
          <w:rFonts w:cs="Arial"/>
        </w:rPr>
        <w:t>l</w:t>
      </w:r>
      <w:r w:rsidR="005143B6" w:rsidRPr="009F61AF">
        <w:rPr>
          <w:rFonts w:cs="Arial"/>
        </w:rPr>
        <w:t xml:space="preserve">a suspensión tuvo lugar </w:t>
      </w:r>
      <w:r w:rsidR="001640B5" w:rsidRPr="009F61AF">
        <w:rPr>
          <w:rFonts w:cs="Arial"/>
        </w:rPr>
        <w:t xml:space="preserve">entre el </w:t>
      </w:r>
      <w:r w:rsidR="00EB3B4B" w:rsidRPr="009F61AF">
        <w:rPr>
          <w:rFonts w:cs="Arial"/>
        </w:rPr>
        <w:t>9</w:t>
      </w:r>
      <w:r w:rsidR="001640B5" w:rsidRPr="009F61AF">
        <w:rPr>
          <w:rFonts w:cs="Arial"/>
        </w:rPr>
        <w:t xml:space="preserve"> de noviembre de 2012</w:t>
      </w:r>
      <w:r w:rsidR="00A833FC" w:rsidRPr="009F61AF">
        <w:rPr>
          <w:rStyle w:val="Refdenotaalpie"/>
          <w:rFonts w:cs="Arial"/>
        </w:rPr>
        <w:footnoteReference w:id="33"/>
      </w:r>
      <w:r w:rsidR="001640B5" w:rsidRPr="009F61AF">
        <w:rPr>
          <w:rFonts w:cs="Arial"/>
        </w:rPr>
        <w:t xml:space="preserve"> y el </w:t>
      </w:r>
      <w:r w:rsidR="00D655D0" w:rsidRPr="009F61AF">
        <w:rPr>
          <w:rFonts w:cs="Arial"/>
        </w:rPr>
        <w:t>9</w:t>
      </w:r>
      <w:r w:rsidR="001640B5" w:rsidRPr="009F61AF">
        <w:rPr>
          <w:rFonts w:cs="Arial"/>
        </w:rPr>
        <w:t xml:space="preserve"> de febrero de 2013</w:t>
      </w:r>
      <w:r w:rsidR="003E5532" w:rsidRPr="009F61AF">
        <w:rPr>
          <w:rFonts w:cs="Arial"/>
        </w:rPr>
        <w:t>, por el término de 3 meses</w:t>
      </w:r>
      <w:r w:rsidR="00D655D0" w:rsidRPr="009F61AF">
        <w:rPr>
          <w:rFonts w:cs="Arial"/>
        </w:rPr>
        <w:t>.</w:t>
      </w:r>
      <w:r w:rsidR="003E5532" w:rsidRPr="009F61AF">
        <w:rPr>
          <w:rFonts w:cs="Arial"/>
        </w:rPr>
        <w:t xml:space="preserve"> </w:t>
      </w:r>
    </w:p>
    <w:p w14:paraId="51E42AF6" w14:textId="77777777" w:rsidR="003E5532" w:rsidRPr="009F61AF" w:rsidRDefault="003E5532" w:rsidP="0081115F">
      <w:pPr>
        <w:pStyle w:val="Continuarlista2"/>
        <w:spacing w:after="0"/>
        <w:ind w:left="0"/>
        <w:rPr>
          <w:rFonts w:cs="Arial"/>
        </w:rPr>
      </w:pPr>
    </w:p>
    <w:p w14:paraId="39510FD6" w14:textId="77777777" w:rsidR="003E5532" w:rsidRPr="009F61AF" w:rsidRDefault="00014B8B" w:rsidP="0081115F">
      <w:pPr>
        <w:pStyle w:val="Continuarlista2"/>
        <w:spacing w:after="0"/>
        <w:ind w:left="0"/>
        <w:rPr>
          <w:rFonts w:cs="Arial"/>
        </w:rPr>
      </w:pPr>
      <w:r w:rsidRPr="009F61AF">
        <w:rPr>
          <w:rFonts w:cs="Arial"/>
        </w:rPr>
        <w:t xml:space="preserve">Desde el 30 de </w:t>
      </w:r>
      <w:r w:rsidR="00856F9E" w:rsidRPr="009F61AF">
        <w:rPr>
          <w:rFonts w:cs="Arial"/>
        </w:rPr>
        <w:t xml:space="preserve">mayo </w:t>
      </w:r>
      <w:r w:rsidRPr="009F61AF">
        <w:rPr>
          <w:rFonts w:cs="Arial"/>
        </w:rPr>
        <w:t>de 201</w:t>
      </w:r>
      <w:r w:rsidR="002F2C7C" w:rsidRPr="009F61AF">
        <w:rPr>
          <w:rFonts w:cs="Arial"/>
        </w:rPr>
        <w:t>1</w:t>
      </w:r>
      <w:r w:rsidRPr="009F61AF">
        <w:rPr>
          <w:rFonts w:cs="Arial"/>
        </w:rPr>
        <w:t xml:space="preserve"> hasta el </w:t>
      </w:r>
      <w:r w:rsidR="00D655D0" w:rsidRPr="009F61AF">
        <w:rPr>
          <w:rFonts w:cs="Arial"/>
        </w:rPr>
        <w:t>9</w:t>
      </w:r>
      <w:r w:rsidR="001640B5" w:rsidRPr="009F61AF">
        <w:rPr>
          <w:rFonts w:cs="Arial"/>
        </w:rPr>
        <w:t xml:space="preserve"> de </w:t>
      </w:r>
      <w:r w:rsidR="00B30558" w:rsidRPr="009F61AF">
        <w:rPr>
          <w:rFonts w:cs="Arial"/>
        </w:rPr>
        <w:t xml:space="preserve">noviembre </w:t>
      </w:r>
      <w:r w:rsidR="001640B5" w:rsidRPr="009F61AF">
        <w:rPr>
          <w:rFonts w:cs="Arial"/>
        </w:rPr>
        <w:t>de 20</w:t>
      </w:r>
      <w:r w:rsidR="003C5F82" w:rsidRPr="009F61AF">
        <w:rPr>
          <w:rFonts w:cs="Arial"/>
        </w:rPr>
        <w:t>12</w:t>
      </w:r>
      <w:r w:rsidRPr="009F61AF">
        <w:rPr>
          <w:rFonts w:cs="Arial"/>
        </w:rPr>
        <w:t>,</w:t>
      </w:r>
      <w:r w:rsidR="003C5F82" w:rsidRPr="009F61AF">
        <w:rPr>
          <w:rFonts w:cs="Arial"/>
        </w:rPr>
        <w:t xml:space="preserve"> había corrido </w:t>
      </w:r>
      <w:r w:rsidRPr="009F61AF">
        <w:rPr>
          <w:rFonts w:cs="Arial"/>
        </w:rPr>
        <w:t xml:space="preserve">el término de la caducidad por </w:t>
      </w:r>
      <w:r w:rsidR="003C5F82" w:rsidRPr="009F61AF">
        <w:rPr>
          <w:rFonts w:cs="Arial"/>
        </w:rPr>
        <w:t xml:space="preserve">un año, </w:t>
      </w:r>
      <w:r w:rsidR="002F2C7C" w:rsidRPr="009F61AF">
        <w:rPr>
          <w:rFonts w:cs="Arial"/>
        </w:rPr>
        <w:t xml:space="preserve">cinco </w:t>
      </w:r>
      <w:r w:rsidR="003C5F82" w:rsidRPr="009F61AF">
        <w:rPr>
          <w:rFonts w:cs="Arial"/>
        </w:rPr>
        <w:t xml:space="preserve">meses y </w:t>
      </w:r>
      <w:r w:rsidR="00D54EDB" w:rsidRPr="009F61AF">
        <w:rPr>
          <w:rFonts w:cs="Arial"/>
        </w:rPr>
        <w:t xml:space="preserve">nueve </w:t>
      </w:r>
      <w:r w:rsidR="003C5F82" w:rsidRPr="009F61AF">
        <w:rPr>
          <w:rFonts w:cs="Arial"/>
        </w:rPr>
        <w:t>días y</w:t>
      </w:r>
      <w:r w:rsidR="00E07005" w:rsidRPr="009F61AF">
        <w:rPr>
          <w:rFonts w:cs="Arial"/>
        </w:rPr>
        <w:t>,</w:t>
      </w:r>
      <w:r w:rsidR="003C5F82" w:rsidRPr="009F61AF">
        <w:rPr>
          <w:rFonts w:cs="Arial"/>
        </w:rPr>
        <w:t xml:space="preserve"> </w:t>
      </w:r>
      <w:r w:rsidR="00B30558" w:rsidRPr="009F61AF">
        <w:rPr>
          <w:rFonts w:cs="Arial"/>
        </w:rPr>
        <w:t>por ello</w:t>
      </w:r>
      <w:r w:rsidR="00666183" w:rsidRPr="009F61AF">
        <w:rPr>
          <w:rFonts w:cs="Arial"/>
        </w:rPr>
        <w:t>,</w:t>
      </w:r>
      <w:r w:rsidR="003E5532" w:rsidRPr="009F61AF">
        <w:rPr>
          <w:rFonts w:cs="Arial"/>
        </w:rPr>
        <w:t xml:space="preserve"> al </w:t>
      </w:r>
      <w:r w:rsidR="00D655D0" w:rsidRPr="009F61AF">
        <w:rPr>
          <w:rFonts w:cs="Arial"/>
        </w:rPr>
        <w:t>conc</w:t>
      </w:r>
      <w:r w:rsidR="00D54EDB" w:rsidRPr="009F61AF">
        <w:rPr>
          <w:rFonts w:cs="Arial"/>
        </w:rPr>
        <w:t>l</w:t>
      </w:r>
      <w:r w:rsidR="00D655D0" w:rsidRPr="009F61AF">
        <w:rPr>
          <w:rFonts w:cs="Arial"/>
        </w:rPr>
        <w:t xml:space="preserve">uir el lapso de </w:t>
      </w:r>
      <w:r w:rsidR="003E5532" w:rsidRPr="009F61AF">
        <w:rPr>
          <w:rFonts w:cs="Arial"/>
        </w:rPr>
        <w:t xml:space="preserve">la suspensión, el </w:t>
      </w:r>
      <w:r w:rsidR="00D655D0" w:rsidRPr="009F61AF">
        <w:rPr>
          <w:rFonts w:cs="Arial"/>
        </w:rPr>
        <w:t>9</w:t>
      </w:r>
      <w:r w:rsidR="003E5532" w:rsidRPr="009F61AF">
        <w:rPr>
          <w:rFonts w:cs="Arial"/>
        </w:rPr>
        <w:t xml:space="preserve"> de febrero de 2013</w:t>
      </w:r>
      <w:r w:rsidR="00B30558" w:rsidRPr="009F61AF">
        <w:rPr>
          <w:rFonts w:cs="Arial"/>
        </w:rPr>
        <w:t xml:space="preserve">, </w:t>
      </w:r>
      <w:r w:rsidR="008D2881" w:rsidRPr="009F61AF">
        <w:rPr>
          <w:rFonts w:cs="Arial"/>
        </w:rPr>
        <w:t xml:space="preserve">faltaban </w:t>
      </w:r>
      <w:r w:rsidR="00DE1F57" w:rsidRPr="009F61AF">
        <w:rPr>
          <w:rFonts w:cs="Arial"/>
        </w:rPr>
        <w:t>se</w:t>
      </w:r>
      <w:r w:rsidR="008D2881" w:rsidRPr="009F61AF">
        <w:rPr>
          <w:rFonts w:cs="Arial"/>
        </w:rPr>
        <w:t>is</w:t>
      </w:r>
      <w:r w:rsidR="00DE1F57" w:rsidRPr="009F61AF">
        <w:rPr>
          <w:rFonts w:cs="Arial"/>
        </w:rPr>
        <w:t xml:space="preserve"> meses y </w:t>
      </w:r>
      <w:r w:rsidR="00666183" w:rsidRPr="009F61AF">
        <w:rPr>
          <w:rFonts w:cs="Arial"/>
        </w:rPr>
        <w:t xml:space="preserve">veintiún días </w:t>
      </w:r>
      <w:r w:rsidR="00B30558" w:rsidRPr="009F61AF">
        <w:rPr>
          <w:rFonts w:cs="Arial"/>
        </w:rPr>
        <w:t>para completar los dos años</w:t>
      </w:r>
      <w:r w:rsidR="003E5532" w:rsidRPr="009F61AF">
        <w:rPr>
          <w:rFonts w:cs="Arial"/>
        </w:rPr>
        <w:t xml:space="preserve"> del t</w:t>
      </w:r>
      <w:r w:rsidR="00D655D0" w:rsidRPr="009F61AF">
        <w:rPr>
          <w:rFonts w:cs="Arial"/>
        </w:rPr>
        <w:t>é</w:t>
      </w:r>
      <w:r w:rsidR="003E5532" w:rsidRPr="009F61AF">
        <w:rPr>
          <w:rFonts w:cs="Arial"/>
        </w:rPr>
        <w:t xml:space="preserve">rmino legal fijado para la caducidad de la acción. </w:t>
      </w:r>
    </w:p>
    <w:p w14:paraId="75D950DE" w14:textId="77777777" w:rsidR="003E5532" w:rsidRPr="009F61AF" w:rsidRDefault="003E5532" w:rsidP="0081115F">
      <w:pPr>
        <w:pStyle w:val="Continuarlista2"/>
        <w:spacing w:after="0"/>
        <w:ind w:left="0"/>
        <w:rPr>
          <w:rFonts w:cs="Arial"/>
        </w:rPr>
      </w:pPr>
    </w:p>
    <w:p w14:paraId="2D004378" w14:textId="77777777" w:rsidR="0093489D" w:rsidRPr="009F61AF" w:rsidRDefault="003E5532" w:rsidP="0081115F">
      <w:pPr>
        <w:pStyle w:val="Continuarlista2"/>
        <w:spacing w:after="0"/>
        <w:ind w:left="0"/>
        <w:rPr>
          <w:rFonts w:cs="Arial"/>
        </w:rPr>
      </w:pPr>
      <w:r w:rsidRPr="009F61AF">
        <w:rPr>
          <w:rFonts w:cs="Arial"/>
        </w:rPr>
        <w:t>As</w:t>
      </w:r>
      <w:r w:rsidR="00666183" w:rsidRPr="009F61AF">
        <w:rPr>
          <w:rFonts w:cs="Arial"/>
        </w:rPr>
        <w:t>í</w:t>
      </w:r>
      <w:r w:rsidRPr="009F61AF">
        <w:rPr>
          <w:rFonts w:cs="Arial"/>
        </w:rPr>
        <w:t xml:space="preserve"> las cosas</w:t>
      </w:r>
      <w:r w:rsidR="00D655D0" w:rsidRPr="009F61AF">
        <w:rPr>
          <w:rFonts w:cs="Arial"/>
        </w:rPr>
        <w:t>,</w:t>
      </w:r>
      <w:r w:rsidRPr="009F61AF">
        <w:rPr>
          <w:rFonts w:cs="Arial"/>
        </w:rPr>
        <w:t xml:space="preserve"> </w:t>
      </w:r>
      <w:r w:rsidR="00666183" w:rsidRPr="009F61AF">
        <w:rPr>
          <w:rFonts w:cs="Arial"/>
        </w:rPr>
        <w:t xml:space="preserve">para efectos de establecer la caducidad de la acción, </w:t>
      </w:r>
      <w:r w:rsidRPr="009F61AF">
        <w:rPr>
          <w:rFonts w:cs="Arial"/>
        </w:rPr>
        <w:t>e</w:t>
      </w:r>
      <w:r w:rsidR="00B30558" w:rsidRPr="009F61AF">
        <w:rPr>
          <w:rFonts w:cs="Arial"/>
        </w:rPr>
        <w:t>l</w:t>
      </w:r>
      <w:r w:rsidR="00FB3659" w:rsidRPr="009F61AF">
        <w:rPr>
          <w:rFonts w:cs="Arial"/>
        </w:rPr>
        <w:t xml:space="preserve"> término se volvió a cont</w:t>
      </w:r>
      <w:r w:rsidR="00D655D0" w:rsidRPr="009F61AF">
        <w:rPr>
          <w:rFonts w:cs="Arial"/>
        </w:rPr>
        <w:t>a</w:t>
      </w:r>
      <w:r w:rsidR="00FB3659" w:rsidRPr="009F61AF">
        <w:rPr>
          <w:rFonts w:cs="Arial"/>
        </w:rPr>
        <w:t xml:space="preserve">r </w:t>
      </w:r>
      <w:r w:rsidR="00D655D0" w:rsidRPr="009F61AF">
        <w:rPr>
          <w:rFonts w:cs="Arial"/>
        </w:rPr>
        <w:t xml:space="preserve">desde el 10 </w:t>
      </w:r>
      <w:r w:rsidR="00FB3659" w:rsidRPr="009F61AF">
        <w:rPr>
          <w:rFonts w:cs="Arial"/>
        </w:rPr>
        <w:t>de febrero de 2013</w:t>
      </w:r>
      <w:r w:rsidR="00E97100" w:rsidRPr="009F61AF">
        <w:rPr>
          <w:rFonts w:cs="Arial"/>
        </w:rPr>
        <w:t xml:space="preserve"> inclusive</w:t>
      </w:r>
      <w:r w:rsidR="00FB3659" w:rsidRPr="009F61AF">
        <w:rPr>
          <w:rFonts w:cs="Arial"/>
        </w:rPr>
        <w:t xml:space="preserve">, </w:t>
      </w:r>
      <w:r w:rsidR="007B3A64" w:rsidRPr="009F61AF">
        <w:rPr>
          <w:rFonts w:cs="Arial"/>
        </w:rPr>
        <w:t xml:space="preserve">por </w:t>
      </w:r>
      <w:r w:rsidR="00DE1F57" w:rsidRPr="009F61AF">
        <w:rPr>
          <w:rFonts w:cs="Arial"/>
        </w:rPr>
        <w:t>se</w:t>
      </w:r>
      <w:r w:rsidR="008D2881" w:rsidRPr="009F61AF">
        <w:rPr>
          <w:rFonts w:cs="Arial"/>
        </w:rPr>
        <w:t>is</w:t>
      </w:r>
      <w:r w:rsidR="00DE1F57" w:rsidRPr="009F61AF">
        <w:rPr>
          <w:rFonts w:cs="Arial"/>
        </w:rPr>
        <w:t xml:space="preserve"> meses </w:t>
      </w:r>
      <w:r w:rsidR="008D2881" w:rsidRPr="009F61AF">
        <w:rPr>
          <w:rFonts w:cs="Arial"/>
        </w:rPr>
        <w:t xml:space="preserve">(hasta el 10 de agosto de 2013) </w:t>
      </w:r>
      <w:r w:rsidR="00DE1F57" w:rsidRPr="009F61AF">
        <w:rPr>
          <w:rFonts w:cs="Arial"/>
        </w:rPr>
        <w:t xml:space="preserve">y </w:t>
      </w:r>
      <w:r w:rsidR="00E97100" w:rsidRPr="009F61AF">
        <w:rPr>
          <w:rFonts w:cs="Arial"/>
        </w:rPr>
        <w:t>veintiún días</w:t>
      </w:r>
      <w:r w:rsidR="00281297" w:rsidRPr="009F61AF">
        <w:rPr>
          <w:rFonts w:cs="Arial"/>
        </w:rPr>
        <w:t xml:space="preserve"> (hasta el 31 de agosto de 2013)</w:t>
      </w:r>
      <w:r w:rsidR="0093489D" w:rsidRPr="009F61AF">
        <w:rPr>
          <w:rFonts w:cs="Arial"/>
        </w:rPr>
        <w:t>.</w:t>
      </w:r>
    </w:p>
    <w:p w14:paraId="7E291EF1" w14:textId="77777777" w:rsidR="0093489D" w:rsidRPr="009F61AF" w:rsidRDefault="0093489D" w:rsidP="0081115F">
      <w:pPr>
        <w:pStyle w:val="Continuarlista2"/>
        <w:spacing w:after="0"/>
        <w:ind w:left="0"/>
        <w:rPr>
          <w:rFonts w:cs="Arial"/>
        </w:rPr>
      </w:pPr>
    </w:p>
    <w:p w14:paraId="0A950747" w14:textId="77777777" w:rsidR="0093489D" w:rsidRPr="009F61AF" w:rsidRDefault="002F108F" w:rsidP="0081115F">
      <w:pPr>
        <w:pStyle w:val="Continuarlista2"/>
        <w:spacing w:after="0"/>
        <w:ind w:left="0"/>
        <w:rPr>
          <w:rFonts w:cs="Arial"/>
        </w:rPr>
      </w:pPr>
      <w:r w:rsidRPr="009F61AF">
        <w:rPr>
          <w:rFonts w:cs="Arial"/>
        </w:rPr>
        <w:t xml:space="preserve">En consecuencia, </w:t>
      </w:r>
      <w:r w:rsidR="0093489D" w:rsidRPr="009F61AF">
        <w:rPr>
          <w:rFonts w:cs="Arial"/>
        </w:rPr>
        <w:t xml:space="preserve">a pesar del error del </w:t>
      </w:r>
      <w:r w:rsidR="00B82340" w:rsidRPr="009F61AF">
        <w:rPr>
          <w:rFonts w:cs="Arial"/>
        </w:rPr>
        <w:t>T</w:t>
      </w:r>
      <w:r w:rsidR="0093489D" w:rsidRPr="009F61AF">
        <w:rPr>
          <w:rFonts w:cs="Arial"/>
        </w:rPr>
        <w:t xml:space="preserve">ribunal de Arbitramento en el cómputo de la caducidad de la acción, lo cierto es que en el presente caso no operó </w:t>
      </w:r>
      <w:r w:rsidR="00B82340" w:rsidRPr="009F61AF">
        <w:rPr>
          <w:rFonts w:cs="Arial"/>
        </w:rPr>
        <w:t xml:space="preserve">dicha </w:t>
      </w:r>
      <w:r w:rsidR="0093489D" w:rsidRPr="009F61AF">
        <w:rPr>
          <w:rFonts w:cs="Arial"/>
        </w:rPr>
        <w:t xml:space="preserve">caducidad toda vez que la demanda se presentó el 22 de agosto de 2013 y el término para </w:t>
      </w:r>
      <w:r w:rsidR="00B82340" w:rsidRPr="009F61AF">
        <w:rPr>
          <w:rFonts w:cs="Arial"/>
        </w:rPr>
        <w:t xml:space="preserve">incoar </w:t>
      </w:r>
      <w:r w:rsidR="0093489D" w:rsidRPr="009F61AF">
        <w:rPr>
          <w:rFonts w:cs="Arial"/>
        </w:rPr>
        <w:t xml:space="preserve">la acción vencía el 31 de agosto de 2013. </w:t>
      </w:r>
    </w:p>
    <w:p w14:paraId="1244EEDC" w14:textId="77777777" w:rsidR="00B82340" w:rsidRPr="009F61AF" w:rsidRDefault="00B82340" w:rsidP="0081115F">
      <w:pPr>
        <w:pStyle w:val="Continuarlista2"/>
        <w:spacing w:after="0"/>
        <w:ind w:left="0"/>
        <w:rPr>
          <w:rFonts w:cs="Arial"/>
        </w:rPr>
      </w:pPr>
    </w:p>
    <w:p w14:paraId="798C2D02" w14:textId="77777777" w:rsidR="00446AA9" w:rsidRPr="009F61AF" w:rsidRDefault="00036404" w:rsidP="0081115F">
      <w:pPr>
        <w:pStyle w:val="Continuarlista2"/>
        <w:spacing w:after="0"/>
        <w:ind w:left="0"/>
        <w:rPr>
          <w:rFonts w:cs="Arial"/>
          <w:b/>
        </w:rPr>
      </w:pPr>
      <w:r w:rsidRPr="009F61AF">
        <w:rPr>
          <w:rFonts w:cs="Arial"/>
          <w:b/>
        </w:rPr>
        <w:t>5</w:t>
      </w:r>
      <w:r w:rsidR="001A1470" w:rsidRPr="009F61AF">
        <w:rPr>
          <w:rFonts w:cs="Arial"/>
          <w:b/>
        </w:rPr>
        <w:t>.2.</w:t>
      </w:r>
      <w:r w:rsidRPr="009F61AF">
        <w:rPr>
          <w:rFonts w:cs="Arial"/>
          <w:b/>
        </w:rPr>
        <w:t>2.</w:t>
      </w:r>
      <w:r w:rsidR="001A1470" w:rsidRPr="009F61AF">
        <w:rPr>
          <w:rFonts w:cs="Arial"/>
          <w:b/>
        </w:rPr>
        <w:t xml:space="preserve"> Falta de la constancia de pago de portes</w:t>
      </w:r>
    </w:p>
    <w:p w14:paraId="11A7A3AF" w14:textId="77777777" w:rsidR="00D93B6B" w:rsidRPr="009F61AF" w:rsidRDefault="00D93B6B" w:rsidP="0081115F">
      <w:pPr>
        <w:pStyle w:val="Textoindependiente22"/>
        <w:numPr>
          <w:ilvl w:val="12"/>
          <w:numId w:val="0"/>
        </w:numPr>
        <w:overflowPunct/>
        <w:autoSpaceDE/>
        <w:autoSpaceDN/>
        <w:adjustRightInd/>
        <w:textAlignment w:val="auto"/>
        <w:rPr>
          <w:rFonts w:cs="Arial"/>
          <w:szCs w:val="24"/>
        </w:rPr>
      </w:pPr>
    </w:p>
    <w:p w14:paraId="673F3116" w14:textId="77777777" w:rsidR="00D55255" w:rsidRPr="009F61AF" w:rsidRDefault="00D55255"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t xml:space="preserve">Acerca del </w:t>
      </w:r>
      <w:r w:rsidR="005C69D6" w:rsidRPr="009F61AF">
        <w:rPr>
          <w:rFonts w:cs="Arial"/>
          <w:szCs w:val="24"/>
        </w:rPr>
        <w:t xml:space="preserve"> desconocimiento del artículo 132 del Código de Procedimiento Civil</w:t>
      </w:r>
      <w:r w:rsidR="0054438E" w:rsidRPr="009F61AF">
        <w:rPr>
          <w:rFonts w:cs="Arial"/>
          <w:szCs w:val="24"/>
        </w:rPr>
        <w:t>,</w:t>
      </w:r>
      <w:r w:rsidRPr="009F61AF">
        <w:rPr>
          <w:rFonts w:cs="Arial"/>
          <w:szCs w:val="24"/>
        </w:rPr>
        <w:t xml:space="preserve"> la Sala advierte que la falta de </w:t>
      </w:r>
      <w:r w:rsidR="0054438E" w:rsidRPr="009F61AF">
        <w:rPr>
          <w:rFonts w:cs="Arial"/>
          <w:szCs w:val="24"/>
        </w:rPr>
        <w:t xml:space="preserve">la constancia de </w:t>
      </w:r>
      <w:r w:rsidRPr="009F61AF">
        <w:rPr>
          <w:rFonts w:cs="Arial"/>
          <w:szCs w:val="24"/>
        </w:rPr>
        <w:t xml:space="preserve">pago de </w:t>
      </w:r>
      <w:r w:rsidR="00D369DB" w:rsidRPr="009F61AF">
        <w:rPr>
          <w:rFonts w:cs="Arial"/>
          <w:szCs w:val="24"/>
        </w:rPr>
        <w:t xml:space="preserve">los </w:t>
      </w:r>
      <w:r w:rsidRPr="009F61AF">
        <w:rPr>
          <w:rFonts w:cs="Arial"/>
          <w:szCs w:val="24"/>
        </w:rPr>
        <w:t>portes para la ida y regreso de</w:t>
      </w:r>
      <w:r w:rsidR="0054438E" w:rsidRPr="009F61AF">
        <w:rPr>
          <w:rFonts w:cs="Arial"/>
          <w:szCs w:val="24"/>
        </w:rPr>
        <w:t xml:space="preserve">l expediente </w:t>
      </w:r>
      <w:r w:rsidR="00D369DB" w:rsidRPr="009F61AF">
        <w:rPr>
          <w:rFonts w:cs="Arial"/>
          <w:szCs w:val="24"/>
        </w:rPr>
        <w:t xml:space="preserve">no configura la </w:t>
      </w:r>
      <w:r w:rsidR="0054438E" w:rsidRPr="009F61AF">
        <w:rPr>
          <w:rFonts w:cs="Arial"/>
          <w:szCs w:val="24"/>
        </w:rPr>
        <w:t>caducidad de la acción de controversias contractuales</w:t>
      </w:r>
      <w:r w:rsidR="00405033" w:rsidRPr="009F61AF">
        <w:rPr>
          <w:rFonts w:cs="Arial"/>
          <w:szCs w:val="24"/>
        </w:rPr>
        <w:t xml:space="preserve">. Además, </w:t>
      </w:r>
      <w:r w:rsidR="00D369DB" w:rsidRPr="009F61AF">
        <w:rPr>
          <w:rFonts w:cs="Arial"/>
          <w:szCs w:val="24"/>
        </w:rPr>
        <w:t xml:space="preserve">la norma citada </w:t>
      </w:r>
      <w:r w:rsidRPr="009F61AF">
        <w:rPr>
          <w:rFonts w:cs="Arial"/>
          <w:szCs w:val="24"/>
        </w:rPr>
        <w:t>no result</w:t>
      </w:r>
      <w:r w:rsidR="001A1470" w:rsidRPr="009F61AF">
        <w:rPr>
          <w:rFonts w:cs="Arial"/>
          <w:szCs w:val="24"/>
        </w:rPr>
        <w:t>ó</w:t>
      </w:r>
      <w:r w:rsidRPr="009F61AF">
        <w:rPr>
          <w:rFonts w:cs="Arial"/>
          <w:szCs w:val="24"/>
        </w:rPr>
        <w:t xml:space="preserve"> aplicable al supuesto fáctico que se evidenció en este proceso puesto que se trató de la remisión del expediente que realizó el Juzgado Administrativo al Centro de Arbitraje y Conciliación por </w:t>
      </w:r>
      <w:r w:rsidR="0054438E" w:rsidRPr="009F61AF">
        <w:rPr>
          <w:rFonts w:cs="Arial"/>
          <w:szCs w:val="24"/>
        </w:rPr>
        <w:t xml:space="preserve">razón de </w:t>
      </w:r>
      <w:r w:rsidR="00D369DB" w:rsidRPr="009F61AF">
        <w:rPr>
          <w:rFonts w:cs="Arial"/>
          <w:szCs w:val="24"/>
        </w:rPr>
        <w:t xml:space="preserve">la providencia en </w:t>
      </w:r>
      <w:r w:rsidR="001A1470" w:rsidRPr="009F61AF">
        <w:rPr>
          <w:rFonts w:cs="Arial"/>
          <w:szCs w:val="24"/>
        </w:rPr>
        <w:t xml:space="preserve">la cual </w:t>
      </w:r>
      <w:r w:rsidR="00BA0536" w:rsidRPr="009F61AF">
        <w:rPr>
          <w:rFonts w:cs="Arial"/>
          <w:szCs w:val="24"/>
        </w:rPr>
        <w:t xml:space="preserve">ordenó el traslado por </w:t>
      </w:r>
      <w:r w:rsidR="00D369DB" w:rsidRPr="009F61AF">
        <w:rPr>
          <w:rFonts w:cs="Arial"/>
          <w:szCs w:val="24"/>
        </w:rPr>
        <w:t xml:space="preserve">falta de competencia. </w:t>
      </w:r>
    </w:p>
    <w:p w14:paraId="7E4B01E3" w14:textId="77777777" w:rsidR="005C69D6" w:rsidRPr="009F61AF" w:rsidRDefault="005C69D6" w:rsidP="0081115F">
      <w:pPr>
        <w:pStyle w:val="Continuarlista2"/>
        <w:spacing w:after="0"/>
        <w:ind w:left="0"/>
        <w:rPr>
          <w:rFonts w:cs="Arial"/>
        </w:rPr>
      </w:pPr>
    </w:p>
    <w:p w14:paraId="1E946D0F" w14:textId="77777777" w:rsidR="00D55255" w:rsidRPr="009F61AF" w:rsidRDefault="00D55255" w:rsidP="0081115F">
      <w:pPr>
        <w:pStyle w:val="Continuarlista2"/>
        <w:spacing w:after="0"/>
        <w:ind w:left="0"/>
        <w:rPr>
          <w:rFonts w:cs="Arial"/>
        </w:rPr>
      </w:pPr>
      <w:r w:rsidRPr="009F61AF">
        <w:rPr>
          <w:rFonts w:cs="Arial"/>
        </w:rPr>
        <w:t xml:space="preserve">De esta manera se concluye que no se configuró la causal de nulidad del laudo arbitral por razón de la caducidad de la acción. </w:t>
      </w:r>
    </w:p>
    <w:p w14:paraId="3F289B36" w14:textId="77777777" w:rsidR="00D55255" w:rsidRPr="009F61AF" w:rsidRDefault="00D55255" w:rsidP="0081115F">
      <w:pPr>
        <w:pStyle w:val="Continuarlista2"/>
        <w:spacing w:after="0"/>
        <w:ind w:left="0"/>
        <w:rPr>
          <w:rFonts w:cs="Arial"/>
        </w:rPr>
      </w:pPr>
    </w:p>
    <w:p w14:paraId="13D73A64" w14:textId="77777777" w:rsidR="00B82340" w:rsidRPr="009F61AF" w:rsidRDefault="00036404" w:rsidP="0081115F">
      <w:pPr>
        <w:pStyle w:val="Textoindependiente22"/>
        <w:numPr>
          <w:ilvl w:val="12"/>
          <w:numId w:val="0"/>
        </w:numPr>
        <w:overflowPunct/>
        <w:autoSpaceDE/>
        <w:autoSpaceDN/>
        <w:adjustRightInd/>
        <w:textAlignment w:val="auto"/>
        <w:rPr>
          <w:rFonts w:cs="Arial"/>
          <w:b/>
          <w:szCs w:val="24"/>
        </w:rPr>
      </w:pPr>
      <w:r w:rsidRPr="009F61AF">
        <w:rPr>
          <w:rFonts w:cs="Arial"/>
          <w:b/>
          <w:szCs w:val="24"/>
        </w:rPr>
        <w:t xml:space="preserve">5.3. </w:t>
      </w:r>
      <w:r w:rsidR="00B82340" w:rsidRPr="009F61AF">
        <w:rPr>
          <w:rFonts w:cs="Arial"/>
          <w:b/>
          <w:szCs w:val="24"/>
        </w:rPr>
        <w:t xml:space="preserve">Fallo en conciencia o en equidad </w:t>
      </w:r>
    </w:p>
    <w:p w14:paraId="42E7C4A7" w14:textId="77777777" w:rsidR="00B82340" w:rsidRPr="009F61AF" w:rsidRDefault="00B82340" w:rsidP="0081115F">
      <w:pPr>
        <w:pStyle w:val="Textoindependiente22"/>
        <w:numPr>
          <w:ilvl w:val="12"/>
          <w:numId w:val="0"/>
        </w:numPr>
        <w:overflowPunct/>
        <w:autoSpaceDE/>
        <w:autoSpaceDN/>
        <w:adjustRightInd/>
        <w:textAlignment w:val="auto"/>
        <w:rPr>
          <w:rFonts w:cs="Arial"/>
          <w:szCs w:val="24"/>
        </w:rPr>
      </w:pPr>
    </w:p>
    <w:p w14:paraId="50700898" w14:textId="77777777" w:rsidR="00BA0536" w:rsidRPr="009F61AF" w:rsidRDefault="00D00228"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lastRenderedPageBreak/>
        <w:t xml:space="preserve">No procede el segundo cargo de anulación </w:t>
      </w:r>
      <w:r w:rsidR="00A14DEE" w:rsidRPr="009F61AF">
        <w:rPr>
          <w:rFonts w:cs="Arial"/>
          <w:szCs w:val="24"/>
        </w:rPr>
        <w:t xml:space="preserve">el cual se estructuró con base en el supuesto del fallo en conciencia o en equidad debiendo ser en derecho. </w:t>
      </w:r>
    </w:p>
    <w:p w14:paraId="75068575" w14:textId="77777777" w:rsidR="00BA0536" w:rsidRPr="009F61AF" w:rsidRDefault="00BA0536" w:rsidP="0081115F">
      <w:pPr>
        <w:pStyle w:val="Textoindependiente22"/>
        <w:numPr>
          <w:ilvl w:val="12"/>
          <w:numId w:val="0"/>
        </w:numPr>
        <w:overflowPunct/>
        <w:autoSpaceDE/>
        <w:autoSpaceDN/>
        <w:adjustRightInd/>
        <w:textAlignment w:val="auto"/>
        <w:rPr>
          <w:rFonts w:cs="Arial"/>
          <w:szCs w:val="24"/>
        </w:rPr>
      </w:pPr>
    </w:p>
    <w:p w14:paraId="163ADC55" w14:textId="77777777" w:rsidR="00FE1E4F" w:rsidRPr="009F61AF" w:rsidRDefault="00D00228"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t xml:space="preserve">Se advierte que el </w:t>
      </w:r>
      <w:r w:rsidR="00A14DEE" w:rsidRPr="009F61AF">
        <w:rPr>
          <w:rFonts w:cs="Arial"/>
          <w:szCs w:val="24"/>
        </w:rPr>
        <w:t xml:space="preserve">referido </w:t>
      </w:r>
      <w:r w:rsidRPr="009F61AF">
        <w:rPr>
          <w:rFonts w:cs="Arial"/>
          <w:szCs w:val="24"/>
        </w:rPr>
        <w:t xml:space="preserve">fallo en conciencia </w:t>
      </w:r>
      <w:r w:rsidR="00A14DEE" w:rsidRPr="009F61AF">
        <w:rPr>
          <w:rFonts w:cs="Arial"/>
          <w:szCs w:val="24"/>
        </w:rPr>
        <w:t xml:space="preserve">o en equidad </w:t>
      </w:r>
      <w:r w:rsidRPr="009F61AF">
        <w:rPr>
          <w:rFonts w:cs="Arial"/>
          <w:szCs w:val="24"/>
        </w:rPr>
        <w:t xml:space="preserve">no se puede estructurar rebatiendo el análisis de las pruebas que realizó el Tribunal </w:t>
      </w:r>
      <w:r w:rsidR="00BA0536" w:rsidRPr="009F61AF">
        <w:rPr>
          <w:rFonts w:cs="Arial"/>
          <w:szCs w:val="24"/>
        </w:rPr>
        <w:t>de Arbitramento</w:t>
      </w:r>
      <w:r w:rsidR="00FE1E4F" w:rsidRPr="009F61AF">
        <w:rPr>
          <w:rFonts w:cs="Arial"/>
          <w:szCs w:val="24"/>
        </w:rPr>
        <w:t xml:space="preserve">, toda vez que el recurso extraordinario de anulación no constituye una segunda instancia </w:t>
      </w:r>
      <w:r w:rsidR="00BA0536" w:rsidRPr="009F61AF">
        <w:rPr>
          <w:rFonts w:cs="Arial"/>
          <w:szCs w:val="24"/>
        </w:rPr>
        <w:t xml:space="preserve">en el proceso </w:t>
      </w:r>
      <w:r w:rsidR="00FE1E4F" w:rsidRPr="009F61AF">
        <w:rPr>
          <w:rFonts w:cs="Arial"/>
          <w:szCs w:val="24"/>
        </w:rPr>
        <w:t xml:space="preserve">arbitral. </w:t>
      </w:r>
    </w:p>
    <w:p w14:paraId="6B23620C" w14:textId="77777777" w:rsidR="00E07005" w:rsidRPr="009F61AF" w:rsidRDefault="00E07005" w:rsidP="0081115F">
      <w:pPr>
        <w:pStyle w:val="Textoindependiente22"/>
        <w:numPr>
          <w:ilvl w:val="12"/>
          <w:numId w:val="0"/>
        </w:numPr>
        <w:overflowPunct/>
        <w:autoSpaceDE/>
        <w:autoSpaceDN/>
        <w:adjustRightInd/>
        <w:textAlignment w:val="auto"/>
        <w:rPr>
          <w:rFonts w:cs="Arial"/>
          <w:szCs w:val="24"/>
        </w:rPr>
      </w:pPr>
    </w:p>
    <w:p w14:paraId="477556E7" w14:textId="77777777" w:rsidR="00710B84" w:rsidRPr="009F61AF" w:rsidRDefault="00710B84"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t xml:space="preserve">Por otra parte se observa que obra en el expediente la certificación de </w:t>
      </w:r>
      <w:r w:rsidR="00E07005" w:rsidRPr="009F61AF">
        <w:rPr>
          <w:rFonts w:cs="Arial"/>
          <w:szCs w:val="24"/>
        </w:rPr>
        <w:t xml:space="preserve">suministro </w:t>
      </w:r>
      <w:r w:rsidRPr="009F61AF">
        <w:rPr>
          <w:rFonts w:cs="Arial"/>
          <w:szCs w:val="24"/>
        </w:rPr>
        <w:t>de raciones entregadas durante el mes de noviembre de 2010, suscrita por el interventor del contrato, la cual fue considerada en forma concreta por el Tribunal de Arbitramento como prueba del servicio</w:t>
      </w:r>
      <w:r w:rsidRPr="009F61AF">
        <w:rPr>
          <w:rStyle w:val="Refdenotaalpie"/>
          <w:rFonts w:cs="Arial"/>
          <w:szCs w:val="24"/>
        </w:rPr>
        <w:footnoteReference w:id="34"/>
      </w:r>
      <w:r w:rsidRPr="009F61AF">
        <w:rPr>
          <w:rFonts w:cs="Arial"/>
          <w:szCs w:val="24"/>
        </w:rPr>
        <w:t>. En consecuencia, no hay lugar a estudiar los argumentos de</w:t>
      </w:r>
      <w:r w:rsidR="000F4C86" w:rsidRPr="009F61AF">
        <w:rPr>
          <w:rFonts w:cs="Arial"/>
          <w:szCs w:val="24"/>
        </w:rPr>
        <w:t xml:space="preserve"> la parte </w:t>
      </w:r>
      <w:r w:rsidR="00A1573A" w:rsidRPr="009F61AF">
        <w:rPr>
          <w:rFonts w:cs="Arial"/>
          <w:szCs w:val="24"/>
        </w:rPr>
        <w:t>demandada</w:t>
      </w:r>
      <w:r w:rsidR="000F4C86" w:rsidRPr="009F61AF">
        <w:rPr>
          <w:rFonts w:cs="Arial"/>
          <w:szCs w:val="24"/>
        </w:rPr>
        <w:t xml:space="preserve"> en el presente recurso, </w:t>
      </w:r>
      <w:r w:rsidRPr="009F61AF">
        <w:rPr>
          <w:rFonts w:cs="Arial"/>
          <w:szCs w:val="24"/>
        </w:rPr>
        <w:t xml:space="preserve">de acuerdo con los cuales el laudo se emitió en conciencia porque -según </w:t>
      </w:r>
      <w:r w:rsidR="000F4C86" w:rsidRPr="009F61AF">
        <w:rPr>
          <w:rFonts w:cs="Arial"/>
          <w:szCs w:val="24"/>
        </w:rPr>
        <w:t xml:space="preserve">afirmó </w:t>
      </w:r>
      <w:r w:rsidRPr="009F61AF">
        <w:rPr>
          <w:rFonts w:cs="Arial"/>
          <w:szCs w:val="24"/>
        </w:rPr>
        <w:t xml:space="preserve">- no existía prueba alguna del servicio. </w:t>
      </w:r>
    </w:p>
    <w:p w14:paraId="7B93AF29" w14:textId="77777777" w:rsidR="00710B84" w:rsidRPr="009F61AF" w:rsidRDefault="00710B84" w:rsidP="0081115F">
      <w:pPr>
        <w:pStyle w:val="Textoindependiente22"/>
        <w:numPr>
          <w:ilvl w:val="12"/>
          <w:numId w:val="0"/>
        </w:numPr>
        <w:overflowPunct/>
        <w:autoSpaceDE/>
        <w:autoSpaceDN/>
        <w:adjustRightInd/>
        <w:textAlignment w:val="auto"/>
        <w:rPr>
          <w:rFonts w:cs="Arial"/>
          <w:szCs w:val="24"/>
        </w:rPr>
      </w:pPr>
    </w:p>
    <w:p w14:paraId="6BB3B087" w14:textId="77777777" w:rsidR="00876E38" w:rsidRPr="009F61AF" w:rsidRDefault="002210C7"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t>En relación con la</w:t>
      </w:r>
      <w:r w:rsidR="00710B84" w:rsidRPr="009F61AF">
        <w:rPr>
          <w:rFonts w:cs="Arial"/>
          <w:szCs w:val="24"/>
        </w:rPr>
        <w:t xml:space="preserve"> apreciación de las </w:t>
      </w:r>
      <w:r w:rsidRPr="009F61AF">
        <w:rPr>
          <w:rFonts w:cs="Arial"/>
          <w:szCs w:val="24"/>
        </w:rPr>
        <w:t>actas de liberación de saldos</w:t>
      </w:r>
      <w:r w:rsidR="00115BCE" w:rsidRPr="009F61AF">
        <w:rPr>
          <w:rFonts w:cs="Arial"/>
          <w:szCs w:val="24"/>
        </w:rPr>
        <w:t xml:space="preserve"> presupuestales</w:t>
      </w:r>
      <w:r w:rsidRPr="009F61AF">
        <w:rPr>
          <w:rFonts w:cs="Arial"/>
          <w:szCs w:val="24"/>
        </w:rPr>
        <w:t xml:space="preserve">, se tiene en cuenta que </w:t>
      </w:r>
      <w:r w:rsidR="00CB4DDD" w:rsidRPr="009F61AF">
        <w:rPr>
          <w:rFonts w:cs="Arial"/>
          <w:szCs w:val="24"/>
        </w:rPr>
        <w:t>además de no exist</w:t>
      </w:r>
      <w:r w:rsidR="00405033" w:rsidRPr="009F61AF">
        <w:rPr>
          <w:rFonts w:cs="Arial"/>
          <w:szCs w:val="24"/>
        </w:rPr>
        <w:t>ir</w:t>
      </w:r>
      <w:r w:rsidR="00CB4DDD" w:rsidRPr="009F61AF">
        <w:rPr>
          <w:rFonts w:cs="Arial"/>
          <w:szCs w:val="24"/>
        </w:rPr>
        <w:t xml:space="preserve"> una tarifa probatoria que limite la apreciación de </w:t>
      </w:r>
      <w:r w:rsidR="00165C54" w:rsidRPr="009F61AF">
        <w:rPr>
          <w:rFonts w:cs="Arial"/>
          <w:szCs w:val="24"/>
        </w:rPr>
        <w:t xml:space="preserve">esta </w:t>
      </w:r>
      <w:r w:rsidR="00CB4DDD" w:rsidRPr="009F61AF">
        <w:rPr>
          <w:rFonts w:cs="Arial"/>
          <w:szCs w:val="24"/>
        </w:rPr>
        <w:t>prueba</w:t>
      </w:r>
      <w:r w:rsidR="00876E38" w:rsidRPr="009F61AF">
        <w:rPr>
          <w:rFonts w:cs="Arial"/>
          <w:szCs w:val="24"/>
        </w:rPr>
        <w:t>, formalmente se observa qu</w:t>
      </w:r>
      <w:r w:rsidR="00E07005" w:rsidRPr="009F61AF">
        <w:rPr>
          <w:rFonts w:cs="Arial"/>
          <w:szCs w:val="24"/>
        </w:rPr>
        <w:t>é</w:t>
      </w:r>
      <w:r w:rsidR="00876E38" w:rsidRPr="009F61AF">
        <w:rPr>
          <w:rFonts w:cs="Arial"/>
          <w:szCs w:val="24"/>
        </w:rPr>
        <w:t xml:space="preserve"> </w:t>
      </w:r>
      <w:r w:rsidR="00E07005" w:rsidRPr="009F61AF">
        <w:rPr>
          <w:rFonts w:cs="Arial"/>
          <w:szCs w:val="24"/>
        </w:rPr>
        <w:t xml:space="preserve">tales </w:t>
      </w:r>
      <w:r w:rsidR="00D7147C" w:rsidRPr="009F61AF">
        <w:rPr>
          <w:rFonts w:cs="Arial"/>
          <w:szCs w:val="24"/>
        </w:rPr>
        <w:t xml:space="preserve">documentos </w:t>
      </w:r>
      <w:r w:rsidR="001B3C18" w:rsidRPr="009F61AF">
        <w:rPr>
          <w:rFonts w:cs="Arial"/>
          <w:szCs w:val="24"/>
        </w:rPr>
        <w:t xml:space="preserve">se refirieron a </w:t>
      </w:r>
      <w:r w:rsidR="00D7147C" w:rsidRPr="009F61AF">
        <w:rPr>
          <w:rFonts w:cs="Arial"/>
          <w:szCs w:val="24"/>
        </w:rPr>
        <w:t>la de</w:t>
      </w:r>
      <w:r w:rsidR="001B77B9" w:rsidRPr="009F61AF">
        <w:rPr>
          <w:rFonts w:cs="Arial"/>
          <w:szCs w:val="24"/>
        </w:rPr>
        <w:t xml:space="preserve">terminación de </w:t>
      </w:r>
      <w:r w:rsidR="00691E55" w:rsidRPr="009F61AF">
        <w:rPr>
          <w:rFonts w:cs="Arial"/>
          <w:szCs w:val="24"/>
        </w:rPr>
        <w:t xml:space="preserve">valores por </w:t>
      </w:r>
      <w:r w:rsidR="00D7147C" w:rsidRPr="009F61AF">
        <w:rPr>
          <w:rFonts w:cs="Arial"/>
          <w:szCs w:val="24"/>
        </w:rPr>
        <w:t>servicios no prestados a 31 de diciembre de 2009</w:t>
      </w:r>
      <w:r w:rsidR="001A4B97" w:rsidRPr="009F61AF">
        <w:rPr>
          <w:rFonts w:cs="Arial"/>
          <w:szCs w:val="24"/>
        </w:rPr>
        <w:t>, a marzo y septiembre de 2010</w:t>
      </w:r>
      <w:r w:rsidR="00115BCE" w:rsidRPr="009F61AF">
        <w:rPr>
          <w:rFonts w:cs="Arial"/>
          <w:szCs w:val="24"/>
        </w:rPr>
        <w:t xml:space="preserve"> y en este caso se discutió la cobranza de los servicios del mes de noviembre de 2010</w:t>
      </w:r>
      <w:r w:rsidR="00115BCE" w:rsidRPr="009F61AF">
        <w:rPr>
          <w:rStyle w:val="Refdenotaalpie"/>
          <w:rFonts w:cs="Arial"/>
          <w:szCs w:val="24"/>
        </w:rPr>
        <w:footnoteReference w:id="35"/>
      </w:r>
      <w:r w:rsidR="000F4C86" w:rsidRPr="009F61AF">
        <w:rPr>
          <w:rFonts w:cs="Arial"/>
          <w:szCs w:val="24"/>
        </w:rPr>
        <w:t xml:space="preserve">. De esta manera, </w:t>
      </w:r>
      <w:r w:rsidR="001B77B9" w:rsidRPr="009F61AF">
        <w:rPr>
          <w:rFonts w:cs="Arial"/>
          <w:szCs w:val="24"/>
        </w:rPr>
        <w:t xml:space="preserve">los argumentos que pretenden </w:t>
      </w:r>
      <w:r w:rsidR="009716D6" w:rsidRPr="009F61AF">
        <w:rPr>
          <w:rFonts w:cs="Arial"/>
          <w:szCs w:val="24"/>
        </w:rPr>
        <w:t xml:space="preserve">desestimar la prueba por la conducta culposa </w:t>
      </w:r>
      <w:r w:rsidR="000F4C86" w:rsidRPr="009F61AF">
        <w:rPr>
          <w:rFonts w:cs="Arial"/>
          <w:szCs w:val="24"/>
        </w:rPr>
        <w:t xml:space="preserve">en que habría incurrido </w:t>
      </w:r>
      <w:r w:rsidR="004C4B29" w:rsidRPr="009F61AF">
        <w:rPr>
          <w:rFonts w:cs="Arial"/>
          <w:szCs w:val="24"/>
        </w:rPr>
        <w:t>FUNDASUPERIOR</w:t>
      </w:r>
      <w:r w:rsidR="009C399D" w:rsidRPr="009F61AF">
        <w:rPr>
          <w:rFonts w:cs="Arial"/>
          <w:szCs w:val="24"/>
        </w:rPr>
        <w:t xml:space="preserve">, en el </w:t>
      </w:r>
      <w:r w:rsidR="004C4B29" w:rsidRPr="009F61AF">
        <w:rPr>
          <w:rFonts w:cs="Arial"/>
          <w:szCs w:val="24"/>
        </w:rPr>
        <w:t xml:space="preserve">momento de </w:t>
      </w:r>
      <w:r w:rsidR="009C399D" w:rsidRPr="009F61AF">
        <w:rPr>
          <w:rFonts w:cs="Arial"/>
          <w:szCs w:val="24"/>
        </w:rPr>
        <w:t xml:space="preserve">solicitar la liberación de saldos, </w:t>
      </w:r>
      <w:r w:rsidR="004C4B29" w:rsidRPr="009F61AF">
        <w:rPr>
          <w:rFonts w:cs="Arial"/>
          <w:szCs w:val="24"/>
        </w:rPr>
        <w:t>son improcedentes</w:t>
      </w:r>
      <w:r w:rsidR="00337818" w:rsidRPr="009F61AF">
        <w:rPr>
          <w:rFonts w:cs="Arial"/>
          <w:szCs w:val="24"/>
        </w:rPr>
        <w:t>,</w:t>
      </w:r>
      <w:r w:rsidR="000F4C86" w:rsidRPr="009F61AF">
        <w:rPr>
          <w:rFonts w:cs="Arial"/>
          <w:szCs w:val="24"/>
        </w:rPr>
        <w:t xml:space="preserve"> </w:t>
      </w:r>
      <w:r w:rsidR="00337818" w:rsidRPr="009F61AF">
        <w:rPr>
          <w:rFonts w:cs="Arial"/>
          <w:szCs w:val="24"/>
        </w:rPr>
        <w:t>en</w:t>
      </w:r>
      <w:r w:rsidR="004C4B29" w:rsidRPr="009F61AF">
        <w:rPr>
          <w:rFonts w:cs="Arial"/>
          <w:szCs w:val="24"/>
        </w:rPr>
        <w:t xml:space="preserve"> cuanto </w:t>
      </w:r>
      <w:r w:rsidR="009716D6" w:rsidRPr="009F61AF">
        <w:rPr>
          <w:rFonts w:cs="Arial"/>
          <w:szCs w:val="24"/>
        </w:rPr>
        <w:t xml:space="preserve">se encuentran basados en la </w:t>
      </w:r>
      <w:r w:rsidR="00104B15" w:rsidRPr="009F61AF">
        <w:rPr>
          <w:rFonts w:cs="Arial"/>
          <w:szCs w:val="24"/>
        </w:rPr>
        <w:t xml:space="preserve">invocación </w:t>
      </w:r>
      <w:r w:rsidR="009716D6" w:rsidRPr="009F61AF">
        <w:rPr>
          <w:rFonts w:cs="Arial"/>
          <w:szCs w:val="24"/>
        </w:rPr>
        <w:t xml:space="preserve">de un principio general </w:t>
      </w:r>
      <w:r w:rsidR="00876E38" w:rsidRPr="009F61AF">
        <w:rPr>
          <w:rFonts w:cs="Arial"/>
          <w:szCs w:val="24"/>
        </w:rPr>
        <w:t>que no aparece como desconocido o v</w:t>
      </w:r>
      <w:r w:rsidR="001B3C18" w:rsidRPr="009F61AF">
        <w:rPr>
          <w:rFonts w:cs="Arial"/>
          <w:szCs w:val="24"/>
        </w:rPr>
        <w:t xml:space="preserve">ulnerado </w:t>
      </w:r>
      <w:r w:rsidR="00876E38" w:rsidRPr="009F61AF">
        <w:rPr>
          <w:rFonts w:cs="Arial"/>
          <w:szCs w:val="24"/>
        </w:rPr>
        <w:t>en el laudo arbitral.</w:t>
      </w:r>
    </w:p>
    <w:p w14:paraId="678815F7" w14:textId="77777777" w:rsidR="00876E38" w:rsidRPr="009F61AF" w:rsidRDefault="00876E38" w:rsidP="0081115F">
      <w:pPr>
        <w:pStyle w:val="Textoindependiente22"/>
        <w:numPr>
          <w:ilvl w:val="12"/>
          <w:numId w:val="0"/>
        </w:numPr>
        <w:overflowPunct/>
        <w:autoSpaceDE/>
        <w:autoSpaceDN/>
        <w:adjustRightInd/>
        <w:textAlignment w:val="auto"/>
        <w:rPr>
          <w:rFonts w:cs="Arial"/>
          <w:szCs w:val="24"/>
        </w:rPr>
      </w:pPr>
    </w:p>
    <w:p w14:paraId="6ABF865C" w14:textId="77777777" w:rsidR="0030333F" w:rsidRPr="009F61AF" w:rsidRDefault="00136093"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t xml:space="preserve">Tampoco </w:t>
      </w:r>
      <w:r w:rsidR="002339B1" w:rsidRPr="009F61AF">
        <w:rPr>
          <w:rFonts w:cs="Arial"/>
          <w:szCs w:val="24"/>
        </w:rPr>
        <w:t xml:space="preserve">encuentra </w:t>
      </w:r>
      <w:r w:rsidRPr="009F61AF">
        <w:rPr>
          <w:rFonts w:cs="Arial"/>
          <w:szCs w:val="24"/>
        </w:rPr>
        <w:t xml:space="preserve">la </w:t>
      </w:r>
      <w:r w:rsidR="00CA5DEE" w:rsidRPr="009F61AF">
        <w:rPr>
          <w:rFonts w:cs="Arial"/>
          <w:szCs w:val="24"/>
        </w:rPr>
        <w:t>S</w:t>
      </w:r>
      <w:r w:rsidR="0072043F" w:rsidRPr="009F61AF">
        <w:rPr>
          <w:rFonts w:cs="Arial"/>
          <w:szCs w:val="24"/>
        </w:rPr>
        <w:t>ala el apartamiento de la ley</w:t>
      </w:r>
      <w:r w:rsidR="00CA5DEE" w:rsidRPr="009F61AF">
        <w:rPr>
          <w:rFonts w:cs="Arial"/>
          <w:szCs w:val="24"/>
        </w:rPr>
        <w:t xml:space="preserve"> que invoca </w:t>
      </w:r>
      <w:r w:rsidR="00F127E7" w:rsidRPr="009F61AF">
        <w:rPr>
          <w:rFonts w:cs="Arial"/>
          <w:szCs w:val="24"/>
        </w:rPr>
        <w:t xml:space="preserve">la </w:t>
      </w:r>
      <w:r w:rsidR="009C399D" w:rsidRPr="009F61AF">
        <w:rPr>
          <w:rFonts w:cs="Arial"/>
          <w:szCs w:val="24"/>
        </w:rPr>
        <w:t>parte</w:t>
      </w:r>
      <w:r w:rsidR="00F127E7" w:rsidRPr="009F61AF">
        <w:rPr>
          <w:rFonts w:cs="Arial"/>
          <w:szCs w:val="24"/>
        </w:rPr>
        <w:t xml:space="preserve"> </w:t>
      </w:r>
      <w:r w:rsidR="00A1573A" w:rsidRPr="009F61AF">
        <w:rPr>
          <w:rFonts w:cs="Arial"/>
          <w:szCs w:val="24"/>
        </w:rPr>
        <w:t>demandada</w:t>
      </w:r>
      <w:r w:rsidR="0072043F" w:rsidRPr="009F61AF">
        <w:rPr>
          <w:rFonts w:cs="Arial"/>
          <w:szCs w:val="24"/>
        </w:rPr>
        <w:t>, el cual parece estructurar</w:t>
      </w:r>
      <w:r w:rsidR="001B3C18" w:rsidRPr="009F61AF">
        <w:rPr>
          <w:rFonts w:cs="Arial"/>
          <w:szCs w:val="24"/>
        </w:rPr>
        <w:t>se</w:t>
      </w:r>
      <w:r w:rsidR="0072043F" w:rsidRPr="009F61AF">
        <w:rPr>
          <w:rFonts w:cs="Arial"/>
          <w:szCs w:val="24"/>
        </w:rPr>
        <w:t xml:space="preserve"> en </w:t>
      </w:r>
      <w:r w:rsidR="001B3C18" w:rsidRPr="009F61AF">
        <w:rPr>
          <w:rFonts w:cs="Arial"/>
          <w:szCs w:val="24"/>
        </w:rPr>
        <w:t xml:space="preserve">el hecho de </w:t>
      </w:r>
      <w:r w:rsidR="0072043F" w:rsidRPr="009F61AF">
        <w:rPr>
          <w:rFonts w:cs="Arial"/>
          <w:szCs w:val="24"/>
        </w:rPr>
        <w:t xml:space="preserve">que el Tribunal de Arbitramento ha debido entender la </w:t>
      </w:r>
      <w:r w:rsidR="005F4B5A" w:rsidRPr="009F61AF">
        <w:rPr>
          <w:rFonts w:cs="Arial"/>
          <w:szCs w:val="24"/>
        </w:rPr>
        <w:t xml:space="preserve">factura 129 </w:t>
      </w:r>
      <w:r w:rsidR="0072043F" w:rsidRPr="009F61AF">
        <w:rPr>
          <w:rFonts w:cs="Arial"/>
          <w:szCs w:val="24"/>
        </w:rPr>
        <w:t xml:space="preserve">como </w:t>
      </w:r>
      <w:r w:rsidR="005F4B5A" w:rsidRPr="009F61AF">
        <w:rPr>
          <w:rFonts w:cs="Arial"/>
          <w:szCs w:val="24"/>
        </w:rPr>
        <w:t xml:space="preserve">emitida </w:t>
      </w:r>
      <w:r w:rsidR="0072043F" w:rsidRPr="009F61AF">
        <w:rPr>
          <w:rFonts w:cs="Arial"/>
          <w:szCs w:val="24"/>
        </w:rPr>
        <w:t>por fuera del vencimiento del contrato y</w:t>
      </w:r>
      <w:r w:rsidR="001B3C18" w:rsidRPr="009F61AF">
        <w:rPr>
          <w:rFonts w:cs="Arial"/>
          <w:szCs w:val="24"/>
        </w:rPr>
        <w:t>,</w:t>
      </w:r>
      <w:r w:rsidR="0072043F" w:rsidRPr="009F61AF">
        <w:rPr>
          <w:rFonts w:cs="Arial"/>
          <w:szCs w:val="24"/>
        </w:rPr>
        <w:t xml:space="preserve"> por tanto</w:t>
      </w:r>
      <w:r w:rsidR="001B3C18" w:rsidRPr="009F61AF">
        <w:rPr>
          <w:rFonts w:cs="Arial"/>
          <w:szCs w:val="24"/>
        </w:rPr>
        <w:t>,</w:t>
      </w:r>
      <w:r w:rsidR="0072043F" w:rsidRPr="009F61AF">
        <w:rPr>
          <w:rFonts w:cs="Arial"/>
          <w:szCs w:val="24"/>
        </w:rPr>
        <w:t xml:space="preserve"> </w:t>
      </w:r>
      <w:r w:rsidR="005F4B5A" w:rsidRPr="009F61AF">
        <w:rPr>
          <w:rFonts w:cs="Arial"/>
          <w:szCs w:val="24"/>
        </w:rPr>
        <w:t xml:space="preserve">bajo la égida de una pretensión extracontractual </w:t>
      </w:r>
      <w:r w:rsidRPr="009F61AF">
        <w:rPr>
          <w:rFonts w:cs="Arial"/>
          <w:szCs w:val="24"/>
        </w:rPr>
        <w:t xml:space="preserve">de enriquecimiento sin causa a la cual debió aplicar los requisitos </w:t>
      </w:r>
      <w:r w:rsidR="00A90464" w:rsidRPr="009F61AF">
        <w:rPr>
          <w:rFonts w:cs="Arial"/>
          <w:szCs w:val="24"/>
        </w:rPr>
        <w:t xml:space="preserve">que ha observado </w:t>
      </w:r>
      <w:r w:rsidRPr="009F61AF">
        <w:rPr>
          <w:rFonts w:cs="Arial"/>
          <w:szCs w:val="24"/>
        </w:rPr>
        <w:t xml:space="preserve">la sentencia de unificación de la Sala Plena </w:t>
      </w:r>
      <w:r w:rsidR="00A90464" w:rsidRPr="009F61AF">
        <w:rPr>
          <w:rFonts w:cs="Arial"/>
          <w:szCs w:val="24"/>
        </w:rPr>
        <w:t>de la Sección Tercera</w:t>
      </w:r>
      <w:r w:rsidR="00337818" w:rsidRPr="009F61AF">
        <w:rPr>
          <w:rFonts w:cs="Arial"/>
          <w:szCs w:val="24"/>
        </w:rPr>
        <w:t xml:space="preserve"> </w:t>
      </w:r>
      <w:r w:rsidR="00337818" w:rsidRPr="009F61AF">
        <w:rPr>
          <w:rFonts w:cs="Arial"/>
          <w:szCs w:val="24"/>
        </w:rPr>
        <w:lastRenderedPageBreak/>
        <w:t>del Consejo de Estado</w:t>
      </w:r>
      <w:r w:rsidR="00A90464" w:rsidRPr="009F61AF">
        <w:rPr>
          <w:rFonts w:cs="Arial"/>
          <w:szCs w:val="24"/>
        </w:rPr>
        <w:t xml:space="preserve">, por la sencilla razón de que el </w:t>
      </w:r>
      <w:r w:rsidR="003A27DF" w:rsidRPr="009F61AF">
        <w:rPr>
          <w:rFonts w:cs="Arial"/>
          <w:szCs w:val="24"/>
        </w:rPr>
        <w:t>T</w:t>
      </w:r>
      <w:r w:rsidR="00A90464" w:rsidRPr="009F61AF">
        <w:rPr>
          <w:rFonts w:cs="Arial"/>
          <w:szCs w:val="24"/>
        </w:rPr>
        <w:t>ribunal</w:t>
      </w:r>
      <w:r w:rsidR="00E90DA6" w:rsidRPr="009F61AF">
        <w:rPr>
          <w:rFonts w:cs="Arial"/>
          <w:szCs w:val="24"/>
        </w:rPr>
        <w:t xml:space="preserve"> de Arbitramento</w:t>
      </w:r>
      <w:r w:rsidR="00A90464" w:rsidRPr="009F61AF">
        <w:rPr>
          <w:rFonts w:cs="Arial"/>
          <w:szCs w:val="24"/>
        </w:rPr>
        <w:t xml:space="preserve"> consideró que la factura 129 correspondía a una prestación </w:t>
      </w:r>
      <w:r w:rsidR="002339B1" w:rsidRPr="009F61AF">
        <w:rPr>
          <w:rFonts w:cs="Arial"/>
          <w:szCs w:val="24"/>
        </w:rPr>
        <w:t>del servicio dentro del objeto del contrato</w:t>
      </w:r>
      <w:r w:rsidR="002339B1" w:rsidRPr="009F61AF">
        <w:rPr>
          <w:rStyle w:val="Refdenotaalpie"/>
          <w:rFonts w:cs="Arial"/>
          <w:szCs w:val="24"/>
        </w:rPr>
        <w:footnoteReference w:id="36"/>
      </w:r>
      <w:r w:rsidR="0030333F" w:rsidRPr="009F61AF">
        <w:rPr>
          <w:rFonts w:cs="Arial"/>
          <w:szCs w:val="24"/>
        </w:rPr>
        <w:t>.</w:t>
      </w:r>
    </w:p>
    <w:p w14:paraId="50926B43" w14:textId="77777777" w:rsidR="00C40159" w:rsidRPr="009F61AF" w:rsidRDefault="00C40159" w:rsidP="0081115F">
      <w:pPr>
        <w:pStyle w:val="Textoindependiente22"/>
        <w:numPr>
          <w:ilvl w:val="12"/>
          <w:numId w:val="0"/>
        </w:numPr>
        <w:overflowPunct/>
        <w:autoSpaceDE/>
        <w:autoSpaceDN/>
        <w:adjustRightInd/>
        <w:textAlignment w:val="auto"/>
        <w:rPr>
          <w:rFonts w:cs="Arial"/>
          <w:szCs w:val="24"/>
        </w:rPr>
      </w:pPr>
    </w:p>
    <w:p w14:paraId="1C29BC23" w14:textId="77777777" w:rsidR="00D00228" w:rsidRPr="009F61AF" w:rsidRDefault="004C4B29" w:rsidP="0081115F">
      <w:pPr>
        <w:pStyle w:val="Textoindependiente22"/>
        <w:numPr>
          <w:ilvl w:val="12"/>
          <w:numId w:val="0"/>
        </w:numPr>
        <w:overflowPunct/>
        <w:autoSpaceDE/>
        <w:autoSpaceDN/>
        <w:adjustRightInd/>
        <w:textAlignment w:val="auto"/>
        <w:rPr>
          <w:rFonts w:cs="Arial"/>
          <w:szCs w:val="24"/>
        </w:rPr>
      </w:pPr>
      <w:r w:rsidRPr="009F61AF">
        <w:rPr>
          <w:rFonts w:cs="Arial"/>
          <w:szCs w:val="24"/>
        </w:rPr>
        <w:t xml:space="preserve">Para concluir </w:t>
      </w:r>
      <w:r w:rsidR="00E62E38" w:rsidRPr="009F61AF">
        <w:rPr>
          <w:rFonts w:cs="Arial"/>
          <w:szCs w:val="24"/>
        </w:rPr>
        <w:t xml:space="preserve">el análisis del supuesto fallo en conciencia </w:t>
      </w:r>
      <w:r w:rsidRPr="009F61AF">
        <w:rPr>
          <w:rFonts w:cs="Arial"/>
          <w:szCs w:val="24"/>
        </w:rPr>
        <w:t>b</w:t>
      </w:r>
      <w:r w:rsidR="00E85B54" w:rsidRPr="009F61AF">
        <w:rPr>
          <w:rFonts w:cs="Arial"/>
          <w:szCs w:val="24"/>
        </w:rPr>
        <w:t xml:space="preserve">asta con </w:t>
      </w:r>
      <w:r w:rsidRPr="009F61AF">
        <w:rPr>
          <w:rFonts w:cs="Arial"/>
          <w:szCs w:val="24"/>
        </w:rPr>
        <w:t xml:space="preserve">observar que </w:t>
      </w:r>
      <w:r w:rsidR="00E85B54" w:rsidRPr="009F61AF">
        <w:rPr>
          <w:rFonts w:cs="Arial"/>
          <w:szCs w:val="24"/>
        </w:rPr>
        <w:t xml:space="preserve">los argumentos de la parte </w:t>
      </w:r>
      <w:r w:rsidR="00A1573A" w:rsidRPr="009F61AF">
        <w:rPr>
          <w:rFonts w:cs="Arial"/>
          <w:szCs w:val="24"/>
        </w:rPr>
        <w:t>demandada</w:t>
      </w:r>
      <w:r w:rsidR="00E85B54" w:rsidRPr="009F61AF">
        <w:rPr>
          <w:rFonts w:cs="Arial"/>
          <w:szCs w:val="24"/>
        </w:rPr>
        <w:t xml:space="preserve"> sobre el</w:t>
      </w:r>
      <w:r w:rsidR="00D00228" w:rsidRPr="009F61AF">
        <w:rPr>
          <w:rFonts w:cs="Arial"/>
          <w:szCs w:val="24"/>
        </w:rPr>
        <w:t xml:space="preserve"> alcance de los testimonios</w:t>
      </w:r>
      <w:r w:rsidR="00E85B54" w:rsidRPr="009F61AF">
        <w:rPr>
          <w:rFonts w:cs="Arial"/>
          <w:szCs w:val="24"/>
        </w:rPr>
        <w:t xml:space="preserve"> y </w:t>
      </w:r>
      <w:r w:rsidR="00D00228" w:rsidRPr="009F61AF">
        <w:rPr>
          <w:rFonts w:cs="Arial"/>
          <w:szCs w:val="24"/>
        </w:rPr>
        <w:t>las razones que aleg</w:t>
      </w:r>
      <w:r w:rsidR="00F127E7" w:rsidRPr="009F61AF">
        <w:rPr>
          <w:rFonts w:cs="Arial"/>
          <w:szCs w:val="24"/>
        </w:rPr>
        <w:t xml:space="preserve">ó </w:t>
      </w:r>
      <w:r w:rsidR="00E62E38" w:rsidRPr="009F61AF">
        <w:rPr>
          <w:rFonts w:cs="Arial"/>
          <w:szCs w:val="24"/>
        </w:rPr>
        <w:t xml:space="preserve">sobre la estimación de los mismos no incluyen la identificación de una </w:t>
      </w:r>
      <w:r w:rsidRPr="009F61AF">
        <w:rPr>
          <w:rFonts w:cs="Arial"/>
          <w:szCs w:val="24"/>
        </w:rPr>
        <w:t>violación de la ley aplicable a</w:t>
      </w:r>
      <w:r w:rsidR="00165C54" w:rsidRPr="009F61AF">
        <w:rPr>
          <w:rFonts w:cs="Arial"/>
          <w:szCs w:val="24"/>
        </w:rPr>
        <w:t xml:space="preserve">l contrato </w:t>
      </w:r>
      <w:r w:rsidR="00E62E38" w:rsidRPr="009F61AF">
        <w:rPr>
          <w:rFonts w:cs="Arial"/>
          <w:szCs w:val="24"/>
        </w:rPr>
        <w:t>o a la v</w:t>
      </w:r>
      <w:r w:rsidR="00165C54" w:rsidRPr="009F61AF">
        <w:rPr>
          <w:rFonts w:cs="Arial"/>
          <w:szCs w:val="24"/>
        </w:rPr>
        <w:t>a</w:t>
      </w:r>
      <w:r w:rsidR="00E62E38" w:rsidRPr="009F61AF">
        <w:rPr>
          <w:rFonts w:cs="Arial"/>
          <w:szCs w:val="24"/>
        </w:rPr>
        <w:t>lidez de la prueba</w:t>
      </w:r>
      <w:r w:rsidR="000E14AE" w:rsidRPr="009F61AF">
        <w:rPr>
          <w:rFonts w:cs="Arial"/>
          <w:szCs w:val="24"/>
        </w:rPr>
        <w:t>. Por el contrario,</w:t>
      </w:r>
      <w:r w:rsidR="00DA11B2" w:rsidRPr="009F61AF">
        <w:rPr>
          <w:rFonts w:cs="Arial"/>
          <w:szCs w:val="24"/>
        </w:rPr>
        <w:t xml:space="preserve"> </w:t>
      </w:r>
      <w:r w:rsidR="00D00228" w:rsidRPr="009F61AF">
        <w:rPr>
          <w:rFonts w:cs="Arial"/>
          <w:szCs w:val="24"/>
        </w:rPr>
        <w:t xml:space="preserve">el </w:t>
      </w:r>
      <w:r w:rsidR="00E85B54" w:rsidRPr="009F61AF">
        <w:rPr>
          <w:rFonts w:cs="Arial"/>
          <w:szCs w:val="24"/>
        </w:rPr>
        <w:t xml:space="preserve">recurrente </w:t>
      </w:r>
      <w:r w:rsidR="00165C54" w:rsidRPr="009F61AF">
        <w:rPr>
          <w:rFonts w:cs="Arial"/>
          <w:szCs w:val="24"/>
        </w:rPr>
        <w:t xml:space="preserve">expresó su inconformidad </w:t>
      </w:r>
      <w:r w:rsidR="00D00228" w:rsidRPr="009F61AF">
        <w:rPr>
          <w:rFonts w:cs="Arial"/>
          <w:szCs w:val="24"/>
        </w:rPr>
        <w:t>con el peso específico que el Tribunal de Arbitramento dio a los distintos elementos de prueba obrantes en el plenario</w:t>
      </w:r>
      <w:r w:rsidR="000E14AE" w:rsidRPr="009F61AF">
        <w:rPr>
          <w:rFonts w:cs="Arial"/>
          <w:szCs w:val="24"/>
        </w:rPr>
        <w:t>, lo cual no constituye causal del recurso de anulación</w:t>
      </w:r>
      <w:r w:rsidR="00337818" w:rsidRPr="009F61AF">
        <w:rPr>
          <w:rFonts w:cs="Arial"/>
          <w:szCs w:val="24"/>
        </w:rPr>
        <w:t xml:space="preserve"> del laudo arbitral</w:t>
      </w:r>
      <w:r w:rsidR="00D00228" w:rsidRPr="009F61AF">
        <w:rPr>
          <w:rFonts w:cs="Arial"/>
          <w:szCs w:val="24"/>
        </w:rPr>
        <w:t>.</w:t>
      </w:r>
    </w:p>
    <w:p w14:paraId="0823598B" w14:textId="77777777" w:rsidR="00906396" w:rsidRPr="009F61AF" w:rsidRDefault="00906396" w:rsidP="0081115F">
      <w:pPr>
        <w:pStyle w:val="Textoindependiente22"/>
        <w:numPr>
          <w:ilvl w:val="12"/>
          <w:numId w:val="0"/>
        </w:numPr>
        <w:overflowPunct/>
        <w:autoSpaceDE/>
        <w:autoSpaceDN/>
        <w:adjustRightInd/>
        <w:textAlignment w:val="auto"/>
        <w:rPr>
          <w:rFonts w:cs="Arial"/>
          <w:szCs w:val="24"/>
        </w:rPr>
      </w:pPr>
    </w:p>
    <w:p w14:paraId="4F2EE045" w14:textId="77777777" w:rsidR="00B5444F" w:rsidRPr="009F61AF" w:rsidRDefault="00580A2B" w:rsidP="0081115F">
      <w:pPr>
        <w:rPr>
          <w:rFonts w:cs="Arial"/>
          <w:b/>
        </w:rPr>
      </w:pPr>
      <w:r w:rsidRPr="009F61AF">
        <w:rPr>
          <w:rFonts w:cs="Arial"/>
          <w:b/>
        </w:rPr>
        <w:t>6</w:t>
      </w:r>
      <w:r w:rsidR="00B5444F" w:rsidRPr="009F61AF">
        <w:rPr>
          <w:rFonts w:cs="Arial"/>
          <w:b/>
        </w:rPr>
        <w:t>. Costas</w:t>
      </w:r>
    </w:p>
    <w:p w14:paraId="545E8870" w14:textId="77777777" w:rsidR="00B5444F" w:rsidRPr="009F61AF" w:rsidRDefault="00B5444F" w:rsidP="0081115F">
      <w:pPr>
        <w:rPr>
          <w:rFonts w:cs="Arial"/>
          <w:b/>
        </w:rPr>
      </w:pPr>
    </w:p>
    <w:p w14:paraId="49A51491" w14:textId="77777777" w:rsidR="00B5444F" w:rsidRPr="009F61AF" w:rsidRDefault="00B5444F" w:rsidP="0081115F">
      <w:pPr>
        <w:rPr>
          <w:rFonts w:cs="Arial"/>
        </w:rPr>
      </w:pPr>
      <w:r w:rsidRPr="009F61AF">
        <w:rPr>
          <w:rFonts w:cs="Arial"/>
        </w:rPr>
        <w:t xml:space="preserve">El inciso quinto del artículo 43 de la Ley 1563 de 2012 dispone que si ninguna de las causales prospera, se declarará infundado el recurso y se condenará en costas al recurrente, salvo que éste haya sido presentado por el Ministerio Público. </w:t>
      </w:r>
    </w:p>
    <w:p w14:paraId="5D12DD62" w14:textId="77777777" w:rsidR="00B5444F" w:rsidRPr="009F61AF" w:rsidRDefault="00B5444F" w:rsidP="0081115F">
      <w:pPr>
        <w:rPr>
          <w:rFonts w:cs="Arial"/>
        </w:rPr>
      </w:pPr>
    </w:p>
    <w:p w14:paraId="37C3E938" w14:textId="77777777" w:rsidR="00947C87" w:rsidRPr="009F61AF" w:rsidRDefault="00B5444F" w:rsidP="0081115F">
      <w:pPr>
        <w:rPr>
          <w:rFonts w:cs="Arial"/>
        </w:rPr>
      </w:pPr>
      <w:r w:rsidRPr="009F61AF">
        <w:rPr>
          <w:rFonts w:cs="Arial"/>
        </w:rPr>
        <w:t xml:space="preserve">En </w:t>
      </w:r>
      <w:r w:rsidR="001B3C18" w:rsidRPr="009F61AF">
        <w:rPr>
          <w:rFonts w:cs="Arial"/>
        </w:rPr>
        <w:t>e</w:t>
      </w:r>
      <w:r w:rsidRPr="009F61AF">
        <w:rPr>
          <w:rFonts w:cs="Arial"/>
        </w:rPr>
        <w:t xml:space="preserve">ste asunto no aparecen acreditados expensas o gastos que se hubieren efectuado con ocasión del recurso de anulación, razón por la cual sólo habrá lugar a la condena por las agencias en derecho que se estiman </w:t>
      </w:r>
      <w:r w:rsidR="00ED7A5E" w:rsidRPr="009F61AF">
        <w:rPr>
          <w:rFonts w:cs="Arial"/>
        </w:rPr>
        <w:t xml:space="preserve">en este caso </w:t>
      </w:r>
      <w:r w:rsidRPr="009F61AF">
        <w:rPr>
          <w:rFonts w:cs="Arial"/>
        </w:rPr>
        <w:t>de</w:t>
      </w:r>
      <w:r w:rsidR="00C707F3" w:rsidRPr="009F61AF">
        <w:rPr>
          <w:rFonts w:cs="Arial"/>
        </w:rPr>
        <w:t>ntro del marco del Acuerdo</w:t>
      </w:r>
      <w:r w:rsidRPr="009F61AF">
        <w:rPr>
          <w:rFonts w:cs="Arial"/>
        </w:rPr>
        <w:t xml:space="preserve"> </w:t>
      </w:r>
      <w:r w:rsidR="00C707F3" w:rsidRPr="009F61AF">
        <w:rPr>
          <w:rFonts w:cs="Arial"/>
          <w:lang w:val="es-CO"/>
        </w:rPr>
        <w:t>No. 1887 del 26 de junio de 2003</w:t>
      </w:r>
      <w:r w:rsidR="008742C5" w:rsidRPr="009F61AF">
        <w:rPr>
          <w:rFonts w:cs="Arial"/>
          <w:lang w:val="es-CO"/>
        </w:rPr>
        <w:t xml:space="preserve"> expedido por la Sala Administrativa del Consejo Superior de la Judicatura y de </w:t>
      </w:r>
      <w:r w:rsidR="006B6FA3" w:rsidRPr="009F61AF">
        <w:rPr>
          <w:rFonts w:cs="Arial"/>
          <w:lang w:val="es-CO"/>
        </w:rPr>
        <w:t xml:space="preserve">conformidad </w:t>
      </w:r>
      <w:r w:rsidRPr="009F61AF">
        <w:rPr>
          <w:rFonts w:cs="Arial"/>
        </w:rPr>
        <w:t>c</w:t>
      </w:r>
      <w:r w:rsidR="00947C87" w:rsidRPr="009F61AF">
        <w:rPr>
          <w:rFonts w:cs="Arial"/>
        </w:rPr>
        <w:t>o</w:t>
      </w:r>
      <w:r w:rsidRPr="009F61AF">
        <w:rPr>
          <w:rFonts w:cs="Arial"/>
        </w:rPr>
        <w:t xml:space="preserve">n la </w:t>
      </w:r>
      <w:r w:rsidR="008742C5" w:rsidRPr="009F61AF">
        <w:rPr>
          <w:rFonts w:cs="Arial"/>
        </w:rPr>
        <w:t xml:space="preserve">complejidad y </w:t>
      </w:r>
      <w:r w:rsidR="001B3C18" w:rsidRPr="009F61AF">
        <w:rPr>
          <w:rFonts w:cs="Arial"/>
        </w:rPr>
        <w:t xml:space="preserve">la </w:t>
      </w:r>
      <w:r w:rsidR="008742C5" w:rsidRPr="009F61AF">
        <w:rPr>
          <w:rFonts w:cs="Arial"/>
        </w:rPr>
        <w:t xml:space="preserve">duración de la </w:t>
      </w:r>
      <w:r w:rsidR="00947C87" w:rsidRPr="009F61AF">
        <w:rPr>
          <w:rFonts w:cs="Arial"/>
        </w:rPr>
        <w:t>actuación que tuvo que desplegar la parte</w:t>
      </w:r>
      <w:r w:rsidR="00ED7A5E" w:rsidRPr="009F61AF">
        <w:rPr>
          <w:rFonts w:cs="Arial"/>
        </w:rPr>
        <w:t xml:space="preserve"> </w:t>
      </w:r>
      <w:r w:rsidR="00A75F6B" w:rsidRPr="009F61AF">
        <w:rPr>
          <w:rFonts w:cs="Arial"/>
        </w:rPr>
        <w:t xml:space="preserve">vencedora </w:t>
      </w:r>
      <w:r w:rsidR="00ED7A5E" w:rsidRPr="009F61AF">
        <w:rPr>
          <w:rFonts w:cs="Arial"/>
        </w:rPr>
        <w:t>dentro d</w:t>
      </w:r>
      <w:r w:rsidR="00947C87" w:rsidRPr="009F61AF">
        <w:rPr>
          <w:rFonts w:cs="Arial"/>
        </w:rPr>
        <w:t xml:space="preserve">el </w:t>
      </w:r>
      <w:r w:rsidR="00A75F6B" w:rsidRPr="009F61AF">
        <w:rPr>
          <w:rFonts w:cs="Arial"/>
        </w:rPr>
        <w:t>respectivo recurso.</w:t>
      </w:r>
      <w:r w:rsidR="00947C87" w:rsidRPr="009F61AF">
        <w:rPr>
          <w:rFonts w:cs="Arial"/>
        </w:rPr>
        <w:t xml:space="preserve"> </w:t>
      </w:r>
    </w:p>
    <w:p w14:paraId="71D6E368" w14:textId="77777777" w:rsidR="001D10A0" w:rsidRPr="009F61AF" w:rsidRDefault="001D10A0" w:rsidP="0081115F">
      <w:pPr>
        <w:rPr>
          <w:rFonts w:cs="Arial"/>
        </w:rPr>
      </w:pPr>
    </w:p>
    <w:p w14:paraId="5BDEF35B" w14:textId="77777777" w:rsidR="00176991" w:rsidRPr="009F61AF" w:rsidRDefault="001D10A0" w:rsidP="0081115F">
      <w:pPr>
        <w:rPr>
          <w:rFonts w:cs="Arial"/>
        </w:rPr>
      </w:pPr>
      <w:r w:rsidRPr="009F61AF">
        <w:rPr>
          <w:rFonts w:cs="Arial"/>
        </w:rPr>
        <w:t xml:space="preserve">Por lo anterior </w:t>
      </w:r>
      <w:r w:rsidR="00ED7A5E" w:rsidRPr="009F61AF">
        <w:rPr>
          <w:rFonts w:cs="Arial"/>
        </w:rPr>
        <w:t xml:space="preserve">se fijan las agencias en derecho </w:t>
      </w:r>
      <w:r w:rsidR="00A75F6B" w:rsidRPr="009F61AF">
        <w:rPr>
          <w:rFonts w:cs="Arial"/>
        </w:rPr>
        <w:t xml:space="preserve">a cargo de la parte que presentó el recurso extraordinario de anulación que será denegado </w:t>
      </w:r>
      <w:r w:rsidR="00ED7A5E" w:rsidRPr="009F61AF">
        <w:rPr>
          <w:rFonts w:cs="Arial"/>
        </w:rPr>
        <w:t xml:space="preserve">en </w:t>
      </w:r>
      <w:r w:rsidR="00380369" w:rsidRPr="009F61AF">
        <w:rPr>
          <w:rFonts w:cs="Arial"/>
        </w:rPr>
        <w:t xml:space="preserve">esta providencia, en la suma equivalente a </w:t>
      </w:r>
      <w:r w:rsidR="00176991" w:rsidRPr="009F61AF">
        <w:rPr>
          <w:rFonts w:cs="Arial"/>
        </w:rPr>
        <w:t>cinco (5) salarios mínimos</w:t>
      </w:r>
      <w:r w:rsidR="00C707F3" w:rsidRPr="009F61AF">
        <w:rPr>
          <w:rFonts w:cs="Arial"/>
        </w:rPr>
        <w:t xml:space="preserve"> legales mensuales</w:t>
      </w:r>
      <w:r w:rsidR="00176991" w:rsidRPr="009F61AF">
        <w:rPr>
          <w:rFonts w:cs="Arial"/>
        </w:rPr>
        <w:t>.</w:t>
      </w:r>
    </w:p>
    <w:p w14:paraId="132ADD87" w14:textId="77777777" w:rsidR="00176991" w:rsidRPr="009F61AF" w:rsidRDefault="00176991" w:rsidP="0081115F">
      <w:pPr>
        <w:rPr>
          <w:rFonts w:cs="Arial"/>
        </w:rPr>
      </w:pPr>
    </w:p>
    <w:p w14:paraId="6E8133FF" w14:textId="77777777" w:rsidR="00B5444F" w:rsidRPr="009F61AF" w:rsidRDefault="00B5444F" w:rsidP="0081115F">
      <w:pPr>
        <w:rPr>
          <w:rFonts w:cs="Arial"/>
          <w:bCs/>
        </w:rPr>
      </w:pPr>
      <w:r w:rsidRPr="009F61AF">
        <w:rPr>
          <w:rFonts w:cs="Arial"/>
          <w:bCs/>
        </w:rPr>
        <w:t xml:space="preserve">En mérito de lo expuesto la Subsección </w:t>
      </w:r>
      <w:r w:rsidR="001D10A0" w:rsidRPr="009F61AF">
        <w:rPr>
          <w:rFonts w:cs="Arial"/>
          <w:bCs/>
        </w:rPr>
        <w:t>A</w:t>
      </w:r>
      <w:r w:rsidRPr="009F61AF">
        <w:rPr>
          <w:rFonts w:cs="Arial"/>
          <w:bCs/>
        </w:rPr>
        <w:t xml:space="preserve"> de la Sección Tercera de la Sala de lo Contencioso Administrativo del Consejo de Estado, administrando justicia en nombre la de la República de Colombia y por autoridad de la ley, </w:t>
      </w:r>
    </w:p>
    <w:p w14:paraId="6DB4A110" w14:textId="77777777" w:rsidR="008F2EA9" w:rsidRPr="009F61AF" w:rsidRDefault="008F2EA9" w:rsidP="0081115F">
      <w:pPr>
        <w:widowControl w:val="0"/>
        <w:spacing w:line="240" w:lineRule="auto"/>
        <w:rPr>
          <w:rFonts w:cs="Arial"/>
        </w:rPr>
      </w:pPr>
    </w:p>
    <w:p w14:paraId="4593E483" w14:textId="77777777" w:rsidR="00ED77A2" w:rsidRPr="009F61AF" w:rsidRDefault="00ED77A2" w:rsidP="0081115F">
      <w:pPr>
        <w:widowControl w:val="0"/>
        <w:spacing w:line="240" w:lineRule="auto"/>
        <w:rPr>
          <w:rFonts w:cs="Arial"/>
        </w:rPr>
      </w:pPr>
    </w:p>
    <w:p w14:paraId="55B25F9D" w14:textId="77777777" w:rsidR="00EA2611" w:rsidRPr="009F61AF" w:rsidRDefault="00EA2611" w:rsidP="0081115F">
      <w:pPr>
        <w:pStyle w:val="Ttulo5"/>
        <w:keepNext w:val="0"/>
        <w:widowControl w:val="0"/>
        <w:spacing w:line="240" w:lineRule="auto"/>
        <w:rPr>
          <w:rFonts w:cs="Arial"/>
          <w:bCs/>
          <w:sz w:val="24"/>
          <w:szCs w:val="24"/>
        </w:rPr>
      </w:pPr>
      <w:r w:rsidRPr="009F61AF">
        <w:rPr>
          <w:rFonts w:cs="Arial"/>
          <w:bCs/>
          <w:sz w:val="24"/>
          <w:szCs w:val="24"/>
        </w:rPr>
        <w:lastRenderedPageBreak/>
        <w:t>F A L L A</w:t>
      </w:r>
    </w:p>
    <w:p w14:paraId="370AE4B3" w14:textId="77777777" w:rsidR="00EA2611" w:rsidRPr="009F61AF" w:rsidRDefault="00EA2611" w:rsidP="0081115F">
      <w:pPr>
        <w:widowControl w:val="0"/>
        <w:autoSpaceDE w:val="0"/>
        <w:autoSpaceDN w:val="0"/>
        <w:adjustRightInd w:val="0"/>
        <w:spacing w:line="240" w:lineRule="auto"/>
        <w:rPr>
          <w:rFonts w:cs="Arial"/>
          <w:b/>
        </w:rPr>
      </w:pPr>
    </w:p>
    <w:p w14:paraId="37F478A0" w14:textId="77777777" w:rsidR="00634AB2" w:rsidRPr="009F61AF" w:rsidRDefault="001D10A0" w:rsidP="0081115F">
      <w:pPr>
        <w:widowControl w:val="0"/>
        <w:rPr>
          <w:rFonts w:cs="Arial"/>
        </w:rPr>
      </w:pPr>
      <w:r w:rsidRPr="009F61AF">
        <w:rPr>
          <w:rFonts w:cs="Arial"/>
          <w:b/>
          <w:bCs/>
        </w:rPr>
        <w:t xml:space="preserve">PRIMERO: DECLARAR INFUNDADO </w:t>
      </w:r>
      <w:r w:rsidRPr="009F61AF">
        <w:rPr>
          <w:rFonts w:cs="Arial"/>
          <w:bCs/>
        </w:rPr>
        <w:t xml:space="preserve">el recurso de anulación propuesto por el INSTITUTO COLOMBIANO DE BIENESTAR FAMILIAR ICBF contra el laudo arbitral de </w:t>
      </w:r>
      <w:r w:rsidR="00E55EB8" w:rsidRPr="009F61AF">
        <w:rPr>
          <w:rFonts w:cs="Arial"/>
          <w:bCs/>
        </w:rPr>
        <w:t xml:space="preserve">18 de junio de 2015, </w:t>
      </w:r>
      <w:r w:rsidRPr="009F61AF">
        <w:rPr>
          <w:rFonts w:cs="Arial"/>
          <w:lang w:val="es-ES_tradnl"/>
        </w:rPr>
        <w:t xml:space="preserve">proferido por el Tribunal de Arbitramento constituido con el fin de dirimir las controversias originadas entre </w:t>
      </w:r>
      <w:r w:rsidR="00E55EB8" w:rsidRPr="009F61AF">
        <w:rPr>
          <w:rFonts w:cs="Arial"/>
          <w:lang w:val="es-ES_tradnl"/>
        </w:rPr>
        <w:t xml:space="preserve">la </w:t>
      </w:r>
      <w:r w:rsidR="00E55EB8" w:rsidRPr="009F61AF">
        <w:rPr>
          <w:rFonts w:cs="Arial"/>
        </w:rPr>
        <w:t>Fundación Superior para el desarrollo integral FUNDASUPERIOR y el Instituto Colombiano de Bienestar Familiar ICBF</w:t>
      </w:r>
      <w:r w:rsidR="00634AB2" w:rsidRPr="009F61AF">
        <w:rPr>
          <w:rFonts w:cs="Arial"/>
        </w:rPr>
        <w:t>.</w:t>
      </w:r>
    </w:p>
    <w:p w14:paraId="38C4648C" w14:textId="77777777" w:rsidR="001D10A0" w:rsidRPr="009F61AF" w:rsidRDefault="001D10A0" w:rsidP="0081115F">
      <w:pPr>
        <w:rPr>
          <w:rFonts w:cs="Arial"/>
          <w:b/>
          <w:bCs/>
          <w:lang w:val="es-ES_tradnl"/>
        </w:rPr>
      </w:pPr>
    </w:p>
    <w:p w14:paraId="61522134" w14:textId="77777777" w:rsidR="00634AB2" w:rsidRPr="009F61AF" w:rsidRDefault="001D10A0" w:rsidP="0081115F">
      <w:pPr>
        <w:rPr>
          <w:rFonts w:cs="Arial"/>
          <w:bCs/>
        </w:rPr>
      </w:pPr>
      <w:r w:rsidRPr="009F61AF">
        <w:rPr>
          <w:rFonts w:cs="Arial"/>
          <w:b/>
          <w:bCs/>
        </w:rPr>
        <w:t xml:space="preserve">SEGUNDO: CONDENAR </w:t>
      </w:r>
      <w:r w:rsidRPr="009F61AF">
        <w:rPr>
          <w:rFonts w:cs="Arial"/>
          <w:bCs/>
        </w:rPr>
        <w:t xml:space="preserve">en costas al </w:t>
      </w:r>
      <w:r w:rsidR="00634AB2" w:rsidRPr="009F61AF">
        <w:rPr>
          <w:rFonts w:cs="Arial"/>
          <w:bCs/>
        </w:rPr>
        <w:t xml:space="preserve">INSTITUTO COLOMBIANO DE BIENESTAR FAMILIAR </w:t>
      </w:r>
      <w:r w:rsidR="00AB61B4" w:rsidRPr="009F61AF">
        <w:rPr>
          <w:rFonts w:cs="Arial"/>
          <w:bCs/>
        </w:rPr>
        <w:t xml:space="preserve">ICBF </w:t>
      </w:r>
      <w:r w:rsidRPr="009F61AF">
        <w:rPr>
          <w:rFonts w:cs="Arial"/>
          <w:bCs/>
        </w:rPr>
        <w:t>y por consiguiente a pag</w:t>
      </w:r>
      <w:r w:rsidR="00AB61B4" w:rsidRPr="009F61AF">
        <w:rPr>
          <w:rFonts w:cs="Arial"/>
          <w:bCs/>
        </w:rPr>
        <w:t xml:space="preserve">ar a la </w:t>
      </w:r>
      <w:r w:rsidR="00AB61B4" w:rsidRPr="009F61AF">
        <w:rPr>
          <w:rFonts w:cs="Arial"/>
        </w:rPr>
        <w:t xml:space="preserve">Fundación Superior para el </w:t>
      </w:r>
      <w:r w:rsidR="00FE1021" w:rsidRPr="009F61AF">
        <w:rPr>
          <w:rFonts w:cs="Arial"/>
        </w:rPr>
        <w:t>D</w:t>
      </w:r>
      <w:r w:rsidR="00AB61B4" w:rsidRPr="009F61AF">
        <w:rPr>
          <w:rFonts w:cs="Arial"/>
        </w:rPr>
        <w:t xml:space="preserve">esarrollo </w:t>
      </w:r>
      <w:r w:rsidR="00FE1021" w:rsidRPr="009F61AF">
        <w:rPr>
          <w:rFonts w:cs="Arial"/>
        </w:rPr>
        <w:t>I</w:t>
      </w:r>
      <w:r w:rsidR="00AB61B4" w:rsidRPr="009F61AF">
        <w:rPr>
          <w:rFonts w:cs="Arial"/>
        </w:rPr>
        <w:t>ntegral FUNDASUPERIOR</w:t>
      </w:r>
      <w:r w:rsidR="00AB61B4" w:rsidRPr="009F61AF">
        <w:rPr>
          <w:rFonts w:cs="Arial"/>
          <w:b/>
        </w:rPr>
        <w:t xml:space="preserve">, </w:t>
      </w:r>
      <w:r w:rsidRPr="009F61AF">
        <w:rPr>
          <w:rFonts w:cs="Arial"/>
          <w:bCs/>
        </w:rPr>
        <w:t xml:space="preserve">la suma </w:t>
      </w:r>
      <w:r w:rsidR="00634AB2" w:rsidRPr="009F61AF">
        <w:rPr>
          <w:rFonts w:cs="Arial"/>
          <w:bCs/>
        </w:rPr>
        <w:t xml:space="preserve">equivalente a cinco </w:t>
      </w:r>
      <w:r w:rsidR="00A14C71" w:rsidRPr="009F61AF">
        <w:rPr>
          <w:rFonts w:cs="Arial"/>
          <w:bCs/>
        </w:rPr>
        <w:t xml:space="preserve">(5) </w:t>
      </w:r>
      <w:r w:rsidR="00634AB2" w:rsidRPr="009F61AF">
        <w:rPr>
          <w:rFonts w:cs="Arial"/>
          <w:bCs/>
        </w:rPr>
        <w:t>salarios mínimos legales mensuales vigentes.</w:t>
      </w:r>
    </w:p>
    <w:p w14:paraId="26D0B9A2" w14:textId="77777777" w:rsidR="001D10A0" w:rsidRPr="009F61AF" w:rsidRDefault="001D10A0" w:rsidP="0081115F">
      <w:pPr>
        <w:rPr>
          <w:rFonts w:cs="Arial"/>
          <w:b/>
          <w:bCs/>
        </w:rPr>
      </w:pPr>
    </w:p>
    <w:p w14:paraId="306E4B5A" w14:textId="77777777" w:rsidR="001D10A0" w:rsidRPr="009F61AF" w:rsidRDefault="001D10A0" w:rsidP="0081115F">
      <w:pPr>
        <w:rPr>
          <w:rFonts w:cs="Arial"/>
          <w:bCs/>
        </w:rPr>
      </w:pPr>
      <w:r w:rsidRPr="009F61AF">
        <w:rPr>
          <w:rFonts w:cs="Arial"/>
          <w:b/>
          <w:bCs/>
        </w:rPr>
        <w:t xml:space="preserve">TERCERO: </w:t>
      </w:r>
      <w:r w:rsidR="00AB61B4" w:rsidRPr="009F61AF">
        <w:rPr>
          <w:rFonts w:cs="Arial"/>
          <w:bCs/>
        </w:rPr>
        <w:t>En firme la providencia, se ordena</w:t>
      </w:r>
      <w:r w:rsidR="00AB61B4" w:rsidRPr="009F61AF">
        <w:rPr>
          <w:rFonts w:cs="Arial"/>
          <w:b/>
          <w:bCs/>
        </w:rPr>
        <w:t xml:space="preserve"> </w:t>
      </w:r>
      <w:r w:rsidRPr="009F61AF">
        <w:rPr>
          <w:rFonts w:cs="Arial"/>
          <w:bCs/>
        </w:rPr>
        <w:t xml:space="preserve">devolver el expediente al Tribunal de Arbitramento por conducto de </w:t>
      </w:r>
      <w:r w:rsidR="00AB61B4" w:rsidRPr="009F61AF">
        <w:rPr>
          <w:rFonts w:cs="Arial"/>
          <w:bCs/>
        </w:rPr>
        <w:t>la</w:t>
      </w:r>
      <w:r w:rsidRPr="009F61AF">
        <w:rPr>
          <w:rFonts w:cs="Arial"/>
          <w:bCs/>
        </w:rPr>
        <w:t xml:space="preserve"> Secretaría.</w:t>
      </w:r>
    </w:p>
    <w:p w14:paraId="124D8AD3" w14:textId="77777777" w:rsidR="001D10A0" w:rsidRPr="009F61AF" w:rsidRDefault="001D10A0" w:rsidP="0081115F">
      <w:pPr>
        <w:rPr>
          <w:rFonts w:cs="Arial"/>
          <w:b/>
          <w:bCs/>
        </w:rPr>
      </w:pPr>
    </w:p>
    <w:p w14:paraId="43D36CEF" w14:textId="77777777" w:rsidR="00EA2611" w:rsidRPr="009F61AF" w:rsidRDefault="00EA2611" w:rsidP="0081115F">
      <w:pPr>
        <w:jc w:val="center"/>
        <w:rPr>
          <w:rFonts w:cs="Arial"/>
          <w:b/>
          <w:bCs/>
          <w:noProof/>
        </w:rPr>
      </w:pPr>
    </w:p>
    <w:p w14:paraId="2106F414" w14:textId="77777777" w:rsidR="00EA2611" w:rsidRPr="009F61AF" w:rsidRDefault="00EA2611" w:rsidP="005F1B6B">
      <w:pPr>
        <w:spacing w:line="240" w:lineRule="auto"/>
        <w:jc w:val="center"/>
        <w:rPr>
          <w:rFonts w:cs="Arial"/>
          <w:b/>
          <w:bCs/>
          <w:noProof/>
        </w:rPr>
      </w:pPr>
      <w:r w:rsidRPr="009F61AF">
        <w:rPr>
          <w:rFonts w:cs="Arial"/>
          <w:b/>
          <w:bCs/>
          <w:noProof/>
        </w:rPr>
        <w:t>CÓPIESE, NOTIFÍQUESE Y CÚMPLASE</w:t>
      </w:r>
    </w:p>
    <w:p w14:paraId="22CE6248" w14:textId="77777777" w:rsidR="00EA2611" w:rsidRPr="009F61AF" w:rsidRDefault="00EA2611" w:rsidP="005F1B6B">
      <w:pPr>
        <w:spacing w:line="240" w:lineRule="auto"/>
        <w:jc w:val="center"/>
        <w:rPr>
          <w:rFonts w:cs="Arial"/>
        </w:rPr>
      </w:pPr>
    </w:p>
    <w:p w14:paraId="629D34C7" w14:textId="77777777" w:rsidR="006B6FA3" w:rsidRPr="009F61AF" w:rsidRDefault="006B6FA3" w:rsidP="005F1B6B">
      <w:pPr>
        <w:spacing w:line="240" w:lineRule="auto"/>
        <w:jc w:val="center"/>
        <w:rPr>
          <w:rFonts w:cs="Arial"/>
        </w:rPr>
      </w:pPr>
    </w:p>
    <w:p w14:paraId="43FEA137" w14:textId="77777777" w:rsidR="00CC4B8A" w:rsidRPr="009F61AF" w:rsidRDefault="00CC4B8A" w:rsidP="005F1B6B">
      <w:pPr>
        <w:spacing w:line="240" w:lineRule="auto"/>
        <w:jc w:val="center"/>
        <w:rPr>
          <w:rFonts w:cs="Arial"/>
        </w:rPr>
      </w:pPr>
    </w:p>
    <w:p w14:paraId="1A7B9C8A" w14:textId="77777777" w:rsidR="00EA2611" w:rsidRPr="009F61AF" w:rsidRDefault="00EA2611" w:rsidP="005F1B6B">
      <w:pPr>
        <w:spacing w:line="240" w:lineRule="auto"/>
        <w:jc w:val="center"/>
        <w:rPr>
          <w:rFonts w:cs="Arial"/>
        </w:rPr>
      </w:pPr>
    </w:p>
    <w:p w14:paraId="133120A5" w14:textId="77777777" w:rsidR="006655E8" w:rsidRDefault="001F48D2" w:rsidP="006655E8">
      <w:pPr>
        <w:widowControl w:val="0"/>
        <w:autoSpaceDE w:val="0"/>
        <w:autoSpaceDN w:val="0"/>
        <w:adjustRightInd w:val="0"/>
        <w:spacing w:line="240" w:lineRule="auto"/>
        <w:jc w:val="center"/>
        <w:rPr>
          <w:rFonts w:cs="Arial"/>
          <w:b/>
          <w:lang w:val="es-CO"/>
        </w:rPr>
      </w:pPr>
      <w:r w:rsidRPr="009F61AF">
        <w:rPr>
          <w:rFonts w:cs="Arial"/>
          <w:b/>
          <w:lang w:val="es-CO"/>
        </w:rPr>
        <w:t>MARTA NUBIA VELÁSQUEZ RICO</w:t>
      </w:r>
    </w:p>
    <w:p w14:paraId="5EBE0A7E" w14:textId="77777777" w:rsidR="006655E8" w:rsidRDefault="006655E8" w:rsidP="006655E8">
      <w:pPr>
        <w:widowControl w:val="0"/>
        <w:autoSpaceDE w:val="0"/>
        <w:autoSpaceDN w:val="0"/>
        <w:adjustRightInd w:val="0"/>
        <w:spacing w:line="240" w:lineRule="auto"/>
        <w:jc w:val="center"/>
        <w:rPr>
          <w:rFonts w:cs="Arial"/>
          <w:b/>
          <w:lang w:val="es-CO"/>
        </w:rPr>
      </w:pPr>
    </w:p>
    <w:p w14:paraId="3BA57896" w14:textId="77777777" w:rsidR="006655E8" w:rsidRDefault="006655E8" w:rsidP="006655E8">
      <w:pPr>
        <w:widowControl w:val="0"/>
        <w:autoSpaceDE w:val="0"/>
        <w:autoSpaceDN w:val="0"/>
        <w:adjustRightInd w:val="0"/>
        <w:spacing w:line="240" w:lineRule="auto"/>
        <w:jc w:val="center"/>
        <w:rPr>
          <w:rFonts w:cs="Arial"/>
          <w:b/>
          <w:lang w:val="es-CO"/>
        </w:rPr>
      </w:pPr>
    </w:p>
    <w:p w14:paraId="560FF326" w14:textId="77777777" w:rsidR="006655E8" w:rsidRDefault="006655E8" w:rsidP="006655E8">
      <w:pPr>
        <w:widowControl w:val="0"/>
        <w:autoSpaceDE w:val="0"/>
        <w:autoSpaceDN w:val="0"/>
        <w:adjustRightInd w:val="0"/>
        <w:spacing w:line="240" w:lineRule="auto"/>
        <w:jc w:val="center"/>
        <w:rPr>
          <w:rFonts w:cs="Arial"/>
          <w:b/>
          <w:lang w:val="es-CO"/>
        </w:rPr>
      </w:pPr>
    </w:p>
    <w:p w14:paraId="3CEFDEC8" w14:textId="77777777" w:rsidR="006655E8" w:rsidRDefault="006655E8" w:rsidP="006655E8">
      <w:pPr>
        <w:widowControl w:val="0"/>
        <w:autoSpaceDE w:val="0"/>
        <w:autoSpaceDN w:val="0"/>
        <w:adjustRightInd w:val="0"/>
        <w:spacing w:line="240" w:lineRule="auto"/>
        <w:jc w:val="center"/>
        <w:rPr>
          <w:rFonts w:cs="Arial"/>
          <w:b/>
          <w:lang w:val="es-CO"/>
        </w:rPr>
      </w:pPr>
    </w:p>
    <w:p w14:paraId="594280A9" w14:textId="77777777" w:rsidR="00EA2611" w:rsidRPr="009F61AF" w:rsidRDefault="00EA2611" w:rsidP="006655E8">
      <w:pPr>
        <w:widowControl w:val="0"/>
        <w:autoSpaceDE w:val="0"/>
        <w:autoSpaceDN w:val="0"/>
        <w:adjustRightInd w:val="0"/>
        <w:spacing w:line="240" w:lineRule="auto"/>
        <w:jc w:val="center"/>
        <w:rPr>
          <w:rFonts w:cs="Arial"/>
          <w:b/>
        </w:rPr>
      </w:pPr>
      <w:r w:rsidRPr="009F61AF">
        <w:rPr>
          <w:rFonts w:cs="Arial"/>
          <w:b/>
          <w:lang w:val="es-CO"/>
        </w:rPr>
        <w:t>H</w:t>
      </w:r>
      <w:r w:rsidR="00172A4D" w:rsidRPr="009F61AF">
        <w:rPr>
          <w:rFonts w:cs="Arial"/>
          <w:b/>
        </w:rPr>
        <w:t>ERNÁN ANDRADE RINCÓN</w:t>
      </w:r>
    </w:p>
    <w:p w14:paraId="674EC3B6" w14:textId="77777777" w:rsidR="00CC4B8A" w:rsidRPr="009F61AF" w:rsidRDefault="00CC4B8A" w:rsidP="006655E8">
      <w:pPr>
        <w:widowControl w:val="0"/>
        <w:autoSpaceDE w:val="0"/>
        <w:autoSpaceDN w:val="0"/>
        <w:adjustRightInd w:val="0"/>
        <w:spacing w:line="240" w:lineRule="auto"/>
        <w:jc w:val="center"/>
        <w:rPr>
          <w:rFonts w:cs="Arial"/>
          <w:b/>
        </w:rPr>
      </w:pPr>
    </w:p>
    <w:p w14:paraId="53B701AC" w14:textId="77777777" w:rsidR="00EA2611" w:rsidRDefault="00EA2611" w:rsidP="006655E8">
      <w:pPr>
        <w:widowControl w:val="0"/>
        <w:autoSpaceDE w:val="0"/>
        <w:autoSpaceDN w:val="0"/>
        <w:adjustRightInd w:val="0"/>
        <w:spacing w:line="240" w:lineRule="auto"/>
        <w:jc w:val="center"/>
        <w:rPr>
          <w:rFonts w:cs="Arial"/>
          <w:b/>
        </w:rPr>
      </w:pPr>
    </w:p>
    <w:p w14:paraId="2EC7F42F" w14:textId="77777777" w:rsidR="006655E8" w:rsidRDefault="006655E8" w:rsidP="006655E8">
      <w:pPr>
        <w:widowControl w:val="0"/>
        <w:autoSpaceDE w:val="0"/>
        <w:autoSpaceDN w:val="0"/>
        <w:adjustRightInd w:val="0"/>
        <w:spacing w:line="240" w:lineRule="auto"/>
        <w:jc w:val="center"/>
        <w:rPr>
          <w:rFonts w:cs="Arial"/>
          <w:b/>
        </w:rPr>
      </w:pPr>
    </w:p>
    <w:p w14:paraId="47EF7A9A" w14:textId="77777777" w:rsidR="006655E8" w:rsidRPr="009F61AF" w:rsidRDefault="006655E8" w:rsidP="006655E8">
      <w:pPr>
        <w:widowControl w:val="0"/>
        <w:autoSpaceDE w:val="0"/>
        <w:autoSpaceDN w:val="0"/>
        <w:adjustRightInd w:val="0"/>
        <w:spacing w:line="240" w:lineRule="auto"/>
        <w:jc w:val="center"/>
        <w:rPr>
          <w:rFonts w:cs="Arial"/>
          <w:b/>
        </w:rPr>
      </w:pPr>
    </w:p>
    <w:p w14:paraId="493F4361" w14:textId="77777777" w:rsidR="00EA2611" w:rsidRPr="009F61AF" w:rsidRDefault="00EA2611" w:rsidP="0081115F">
      <w:pPr>
        <w:widowControl w:val="0"/>
        <w:autoSpaceDE w:val="0"/>
        <w:autoSpaceDN w:val="0"/>
        <w:adjustRightInd w:val="0"/>
        <w:jc w:val="center"/>
        <w:rPr>
          <w:rFonts w:cs="Arial"/>
          <w:b/>
        </w:rPr>
      </w:pPr>
      <w:r w:rsidRPr="009F61AF">
        <w:rPr>
          <w:rFonts w:cs="Arial"/>
          <w:b/>
        </w:rPr>
        <w:t>CARLOS ALBERTO ZAMBRANO BARRERA</w:t>
      </w:r>
    </w:p>
    <w:sectPr w:rsidR="00EA2611" w:rsidRPr="009F61AF" w:rsidSect="00806152">
      <w:headerReference w:type="even" r:id="rId12"/>
      <w:headerReference w:type="default" r:id="rId13"/>
      <w:footerReference w:type="even" r:id="rId14"/>
      <w:footerReference w:type="default" r:id="rId15"/>
      <w:pgSz w:w="12242" w:h="18722" w:code="120"/>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4F2F" w14:textId="77777777" w:rsidR="00ED2BDA" w:rsidRDefault="00ED2BDA" w:rsidP="00C85395">
      <w:r>
        <w:separator/>
      </w:r>
    </w:p>
  </w:endnote>
  <w:endnote w:type="continuationSeparator" w:id="0">
    <w:p w14:paraId="26C988CE" w14:textId="77777777" w:rsidR="00ED2BDA" w:rsidRDefault="00ED2BDA"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C802" w14:textId="77777777" w:rsidR="00B328B7" w:rsidRDefault="00B328B7"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0FE02D" w14:textId="77777777" w:rsidR="00B328B7" w:rsidRDefault="00B328B7"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FE06" w14:textId="77777777" w:rsidR="00B328B7" w:rsidRDefault="00B328B7"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777F0" w14:textId="77777777" w:rsidR="00ED2BDA" w:rsidRDefault="00ED2BDA" w:rsidP="00C85395">
      <w:r>
        <w:separator/>
      </w:r>
    </w:p>
  </w:footnote>
  <w:footnote w:type="continuationSeparator" w:id="0">
    <w:p w14:paraId="2F38CC35" w14:textId="77777777" w:rsidR="00ED2BDA" w:rsidRDefault="00ED2BDA" w:rsidP="00C85395">
      <w:r>
        <w:continuationSeparator/>
      </w:r>
    </w:p>
  </w:footnote>
  <w:footnote w:id="1">
    <w:p w14:paraId="2A20F821" w14:textId="77777777" w:rsidR="00B328B7" w:rsidRPr="00FA0C4E" w:rsidRDefault="00B328B7">
      <w:pPr>
        <w:pStyle w:val="Textonotapie"/>
        <w:rPr>
          <w:lang w:val="es-CO"/>
        </w:rPr>
      </w:pPr>
      <w:r>
        <w:rPr>
          <w:rStyle w:val="Refdenotaalpie"/>
        </w:rPr>
        <w:footnoteRef/>
      </w:r>
      <w:r>
        <w:t xml:space="preserve"> </w:t>
      </w:r>
      <w:r>
        <w:rPr>
          <w:lang w:val="es-CO"/>
        </w:rPr>
        <w:t xml:space="preserve">En </w:t>
      </w:r>
      <w:r w:rsidR="00A1573A">
        <w:rPr>
          <w:lang w:val="es-CO"/>
        </w:rPr>
        <w:t xml:space="preserve">esta providencia de </w:t>
      </w:r>
      <w:r w:rsidR="00B17CCE">
        <w:rPr>
          <w:lang w:val="es-CO"/>
        </w:rPr>
        <w:t xml:space="preserve">podrá </w:t>
      </w:r>
      <w:r w:rsidR="00A1573A">
        <w:rPr>
          <w:lang w:val="es-CO"/>
        </w:rPr>
        <w:t xml:space="preserve">denominar </w:t>
      </w:r>
      <w:r w:rsidR="00B17CCE">
        <w:rPr>
          <w:lang w:val="es-CO"/>
        </w:rPr>
        <w:t>como I</w:t>
      </w:r>
      <w:r>
        <w:rPr>
          <w:lang w:val="es-CO"/>
        </w:rPr>
        <w:t>CBF</w:t>
      </w:r>
      <w:r w:rsidR="00A1573A">
        <w:rPr>
          <w:lang w:val="es-CO"/>
        </w:rPr>
        <w:t xml:space="preserve"> o la demandada</w:t>
      </w:r>
      <w:r w:rsidR="00B17CCE">
        <w:rPr>
          <w:lang w:val="es-CO"/>
        </w:rPr>
        <w:t>.</w:t>
      </w:r>
    </w:p>
  </w:footnote>
  <w:footnote w:id="2">
    <w:p w14:paraId="4DDBD298" w14:textId="77777777" w:rsidR="00B328B7" w:rsidRPr="00ED3321" w:rsidRDefault="00B328B7">
      <w:pPr>
        <w:pStyle w:val="Textonotapie"/>
        <w:rPr>
          <w:lang w:val="es-CO"/>
        </w:rPr>
      </w:pPr>
      <w:r>
        <w:rPr>
          <w:rStyle w:val="Refdenotaalpie"/>
        </w:rPr>
        <w:footnoteRef/>
      </w:r>
      <w:r>
        <w:t xml:space="preserve"> </w:t>
      </w:r>
      <w:r>
        <w:rPr>
          <w:lang w:val="es-CO"/>
        </w:rPr>
        <w:t>Folios 259 a 264, cuaderno 1.</w:t>
      </w:r>
    </w:p>
  </w:footnote>
  <w:footnote w:id="3">
    <w:p w14:paraId="052AEB70" w14:textId="77777777" w:rsidR="00B328B7" w:rsidRPr="00D21C64" w:rsidRDefault="00B328B7">
      <w:pPr>
        <w:pStyle w:val="Textonotapie"/>
        <w:rPr>
          <w:lang w:val="es-CO"/>
        </w:rPr>
      </w:pPr>
      <w:r>
        <w:rPr>
          <w:rStyle w:val="Refdenotaalpie"/>
        </w:rPr>
        <w:footnoteRef/>
      </w:r>
      <w:r>
        <w:t xml:space="preserve"> </w:t>
      </w:r>
      <w:r>
        <w:rPr>
          <w:lang w:val="es-CO"/>
        </w:rPr>
        <w:t xml:space="preserve">Folio 278, cuaderno 1. </w:t>
      </w:r>
    </w:p>
  </w:footnote>
  <w:footnote w:id="4">
    <w:p w14:paraId="5A96CF79" w14:textId="77777777" w:rsidR="00B328B7" w:rsidRPr="00562FDB" w:rsidRDefault="00B328B7">
      <w:pPr>
        <w:pStyle w:val="Textonotapie"/>
        <w:rPr>
          <w:lang w:val="es-CO"/>
        </w:rPr>
      </w:pPr>
      <w:r>
        <w:rPr>
          <w:rStyle w:val="Refdenotaalpie"/>
        </w:rPr>
        <w:footnoteRef/>
      </w:r>
      <w:r>
        <w:t xml:space="preserve"> </w:t>
      </w:r>
      <w:r>
        <w:rPr>
          <w:lang w:val="es-CO"/>
        </w:rPr>
        <w:t>Folio 386, cuaderno principal</w:t>
      </w:r>
    </w:p>
  </w:footnote>
  <w:footnote w:id="5">
    <w:p w14:paraId="66A2401A" w14:textId="77777777" w:rsidR="00B328B7" w:rsidRDefault="00B328B7" w:rsidP="00BC7127">
      <w:pPr>
        <w:pStyle w:val="Textonotapie"/>
        <w:spacing w:line="240" w:lineRule="auto"/>
        <w:rPr>
          <w:rFonts w:cs="Arial"/>
          <w:i/>
          <w:color w:val="000000"/>
          <w:shd w:val="clear" w:color="auto" w:fill="FFFFFF"/>
        </w:rPr>
      </w:pPr>
      <w:r w:rsidRPr="009A38BF">
        <w:rPr>
          <w:rStyle w:val="Refdenotaalpie"/>
          <w:i/>
        </w:rPr>
        <w:footnoteRef/>
      </w:r>
      <w:r w:rsidRPr="009A38BF">
        <w:rPr>
          <w:i/>
        </w:rPr>
        <w:t xml:space="preserve"> </w:t>
      </w:r>
      <w:r w:rsidR="00B77148">
        <w:rPr>
          <w:i/>
        </w:rPr>
        <w:t>“</w:t>
      </w:r>
      <w:r w:rsidRPr="009A38BF">
        <w:rPr>
          <w:rFonts w:cs="Arial"/>
          <w:bCs/>
          <w:i/>
          <w:color w:val="000000"/>
          <w:shd w:val="clear" w:color="auto" w:fill="FFFFFF"/>
        </w:rPr>
        <w:t>Artículo 40.</w:t>
      </w:r>
      <w:r w:rsidRPr="009A38BF">
        <w:rPr>
          <w:rStyle w:val="apple-converted-space"/>
          <w:rFonts w:cs="Arial"/>
          <w:bCs/>
          <w:i/>
          <w:color w:val="000000"/>
          <w:shd w:val="clear" w:color="auto" w:fill="FFFFFF"/>
        </w:rPr>
        <w:t> </w:t>
      </w:r>
      <w:r w:rsidRPr="009A38BF">
        <w:rPr>
          <w:rFonts w:cs="Arial"/>
          <w:bCs/>
          <w:i/>
          <w:iCs/>
          <w:color w:val="000000"/>
          <w:shd w:val="clear" w:color="auto" w:fill="FFFFFF"/>
        </w:rPr>
        <w:t>Recurso extraordinario de anulación.</w:t>
      </w:r>
      <w:r w:rsidRPr="009A38BF">
        <w:rPr>
          <w:rStyle w:val="apple-converted-space"/>
          <w:rFonts w:cs="Arial"/>
          <w:i/>
          <w:iCs/>
          <w:color w:val="000000"/>
          <w:shd w:val="clear" w:color="auto" w:fill="FFFFFF"/>
        </w:rPr>
        <w:t> </w:t>
      </w:r>
      <w:r w:rsidRPr="009A38BF">
        <w:rPr>
          <w:rFonts w:cs="Arial"/>
          <w:i/>
          <w:color w:val="000000"/>
          <w:shd w:val="clear" w:color="auto" w:fill="FFFFFF"/>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00B77148">
        <w:rPr>
          <w:rFonts w:cs="Arial"/>
          <w:i/>
          <w:color w:val="000000"/>
          <w:shd w:val="clear" w:color="auto" w:fill="FFFFFF"/>
        </w:rPr>
        <w:t>”</w:t>
      </w:r>
      <w:r w:rsidR="008C7A72">
        <w:rPr>
          <w:rFonts w:cs="Arial"/>
          <w:i/>
          <w:color w:val="000000"/>
          <w:shd w:val="clear" w:color="auto" w:fill="FFFFFF"/>
        </w:rPr>
        <w:t>.</w:t>
      </w:r>
    </w:p>
    <w:p w14:paraId="79821BE7" w14:textId="77777777" w:rsidR="00B328B7" w:rsidRPr="009A38BF" w:rsidRDefault="00B328B7" w:rsidP="00BC7127">
      <w:pPr>
        <w:pStyle w:val="Textonotapie"/>
        <w:spacing w:line="240" w:lineRule="auto"/>
        <w:rPr>
          <w:i/>
          <w:lang w:val="es-CO"/>
        </w:rPr>
      </w:pPr>
    </w:p>
  </w:footnote>
  <w:footnote w:id="6">
    <w:p w14:paraId="0F7573CB" w14:textId="77777777" w:rsidR="00B328B7" w:rsidRDefault="00B328B7" w:rsidP="00BC7127">
      <w:pPr>
        <w:pStyle w:val="Textonotapie"/>
        <w:spacing w:line="240" w:lineRule="auto"/>
        <w:rPr>
          <w:lang w:val="es-CO"/>
        </w:rPr>
      </w:pPr>
      <w:r>
        <w:rPr>
          <w:rStyle w:val="Refdenotaalpie"/>
        </w:rPr>
        <w:footnoteRef/>
      </w:r>
      <w:r>
        <w:t xml:space="preserve"> </w:t>
      </w:r>
      <w:r>
        <w:rPr>
          <w:lang w:val="es-CO"/>
        </w:rPr>
        <w:t>Citó la sentencia dela Sección Tercera 6600123310002011-0138-01 (41706), Consejero Ponente Mauricio Fajardo Gómez.</w:t>
      </w:r>
    </w:p>
    <w:p w14:paraId="27E7E46D" w14:textId="77777777" w:rsidR="00B328B7" w:rsidRPr="00956141" w:rsidRDefault="00B328B7" w:rsidP="00BC7127">
      <w:pPr>
        <w:pStyle w:val="Textonotapie"/>
        <w:spacing w:line="240" w:lineRule="auto"/>
        <w:rPr>
          <w:lang w:val="es-CO"/>
        </w:rPr>
      </w:pPr>
      <w:r>
        <w:rPr>
          <w:lang w:val="es-CO"/>
        </w:rPr>
        <w:t xml:space="preserve"> </w:t>
      </w:r>
    </w:p>
  </w:footnote>
  <w:footnote w:id="7">
    <w:p w14:paraId="0632ED7D" w14:textId="77777777" w:rsidR="00B328B7" w:rsidRPr="00397D3F" w:rsidRDefault="00B328B7" w:rsidP="00BC7127">
      <w:pPr>
        <w:pStyle w:val="Textonotapie"/>
        <w:spacing w:line="240" w:lineRule="auto"/>
        <w:rPr>
          <w:lang w:val="es-CO"/>
        </w:rPr>
      </w:pPr>
      <w:r>
        <w:rPr>
          <w:rStyle w:val="Refdenotaalpie"/>
        </w:rPr>
        <w:footnoteRef/>
      </w:r>
      <w:r>
        <w:t xml:space="preserve"> </w:t>
      </w:r>
      <w:r>
        <w:rPr>
          <w:lang w:val="es-CO"/>
        </w:rPr>
        <w:t xml:space="preserve">Citó la sentencia de la Sala Plena de la Sección Tercera del Consejo de Estado, radicación 73001232100020000307501 (24897), Consejero Ponente: Jaime Orlando Santofimio Gamboa. </w:t>
      </w:r>
    </w:p>
  </w:footnote>
  <w:footnote w:id="8">
    <w:p w14:paraId="6ACD7740" w14:textId="77777777" w:rsidR="00B328B7" w:rsidRPr="004A5226" w:rsidRDefault="00B328B7">
      <w:pPr>
        <w:pStyle w:val="Textonotapie"/>
        <w:rPr>
          <w:lang w:val="es-CO"/>
        </w:rPr>
      </w:pPr>
      <w:r>
        <w:rPr>
          <w:rStyle w:val="Refdenotaalpie"/>
        </w:rPr>
        <w:footnoteRef/>
      </w:r>
      <w:r>
        <w:t xml:space="preserve"> </w:t>
      </w:r>
      <w:r>
        <w:rPr>
          <w:lang w:val="es-CO"/>
        </w:rPr>
        <w:t xml:space="preserve">Folios 452 a 455, cuaderno principal. </w:t>
      </w:r>
    </w:p>
  </w:footnote>
  <w:footnote w:id="9">
    <w:p w14:paraId="6764BDD8" w14:textId="77777777" w:rsidR="00B328B7" w:rsidRPr="00D55064" w:rsidRDefault="00B328B7" w:rsidP="00C53215">
      <w:pPr>
        <w:pStyle w:val="NormalWeb"/>
        <w:spacing w:before="0" w:beforeAutospacing="0" w:after="0" w:afterAutospacing="0" w:line="240" w:lineRule="auto"/>
        <w:rPr>
          <w:rFonts w:cs="Arial"/>
          <w:bCs/>
          <w:i/>
          <w:color w:val="000000"/>
          <w:sz w:val="20"/>
          <w:szCs w:val="20"/>
          <w:shd w:val="clear" w:color="auto" w:fill="FFFFFF"/>
        </w:rPr>
      </w:pPr>
      <w:r w:rsidRPr="00D55064">
        <w:rPr>
          <w:rStyle w:val="Refdenotaalpie"/>
          <w:i/>
          <w:sz w:val="20"/>
          <w:szCs w:val="20"/>
        </w:rPr>
        <w:footnoteRef/>
      </w:r>
      <w:r w:rsidRPr="00D55064">
        <w:rPr>
          <w:i/>
          <w:sz w:val="20"/>
          <w:szCs w:val="20"/>
        </w:rPr>
        <w:t xml:space="preserve"> </w:t>
      </w:r>
      <w:bookmarkStart w:id="2" w:name="8*"/>
      <w:r w:rsidRPr="00D55064">
        <w:rPr>
          <w:rFonts w:cs="Arial"/>
          <w:i/>
          <w:color w:val="000000"/>
          <w:sz w:val="20"/>
          <w:szCs w:val="20"/>
        </w:rPr>
        <w:t> </w:t>
      </w:r>
      <w:bookmarkEnd w:id="2"/>
      <w:r w:rsidRPr="00D55064">
        <w:rPr>
          <w:rFonts w:cs="Arial"/>
          <w:i/>
          <w:color w:val="000000"/>
          <w:sz w:val="20"/>
          <w:szCs w:val="20"/>
        </w:rPr>
        <w:t>Decreto 1818 de 1998,</w:t>
      </w:r>
      <w:r w:rsidRPr="00D55064">
        <w:rPr>
          <w:rFonts w:cs="Arial"/>
          <w:bCs/>
          <w:i/>
          <w:color w:val="000000"/>
          <w:sz w:val="20"/>
          <w:szCs w:val="20"/>
          <w:shd w:val="clear" w:color="auto" w:fill="FFFFFF"/>
        </w:rPr>
        <w:t xml:space="preserve"> “Por medio del cual se expide el Estatuto de los mecanismos alternativos de solución de conflictos”.</w:t>
      </w:r>
    </w:p>
    <w:p w14:paraId="1ED40161" w14:textId="77777777" w:rsidR="00B328B7" w:rsidRPr="00D55064" w:rsidRDefault="00B328B7" w:rsidP="00C53215">
      <w:pPr>
        <w:pStyle w:val="NormalWeb"/>
        <w:spacing w:before="0" w:beforeAutospacing="0" w:after="0" w:afterAutospacing="0" w:line="240" w:lineRule="auto"/>
        <w:rPr>
          <w:rFonts w:cs="Arial"/>
          <w:b/>
          <w:bCs/>
          <w:i/>
          <w:color w:val="000000"/>
          <w:sz w:val="20"/>
          <w:szCs w:val="20"/>
          <w:shd w:val="clear" w:color="auto" w:fill="FFFFFF"/>
        </w:rPr>
      </w:pPr>
      <w:r w:rsidRPr="00D55064">
        <w:rPr>
          <w:rFonts w:cs="Arial"/>
          <w:b/>
          <w:bCs/>
          <w:i/>
          <w:color w:val="000000"/>
          <w:sz w:val="20"/>
          <w:szCs w:val="20"/>
          <w:shd w:val="clear" w:color="auto" w:fill="FFFFFF"/>
        </w:rPr>
        <w:t xml:space="preserve"> </w:t>
      </w:r>
    </w:p>
    <w:p w14:paraId="4645AE05" w14:textId="77777777" w:rsidR="00B328B7" w:rsidRPr="00D55064" w:rsidRDefault="00B328B7" w:rsidP="00C53215">
      <w:pPr>
        <w:pStyle w:val="NormalWeb"/>
        <w:shd w:val="clear" w:color="auto" w:fill="FFFFFF"/>
        <w:spacing w:before="0" w:beforeAutospacing="0" w:after="0" w:afterAutospacing="0" w:line="240" w:lineRule="auto"/>
        <w:rPr>
          <w:rFonts w:cs="Arial"/>
          <w:i/>
          <w:color w:val="000000"/>
          <w:sz w:val="20"/>
          <w:szCs w:val="20"/>
        </w:rPr>
      </w:pPr>
      <w:r w:rsidRPr="00D55064">
        <w:rPr>
          <w:rFonts w:cs="Arial"/>
          <w:bCs/>
          <w:i/>
          <w:color w:val="000000"/>
          <w:sz w:val="20"/>
          <w:szCs w:val="20"/>
          <w:shd w:val="clear" w:color="auto" w:fill="FFFFFF"/>
        </w:rPr>
        <w:t>Artículo </w:t>
      </w:r>
      <w:bookmarkStart w:id="3" w:name="163"/>
      <w:r w:rsidRPr="00D55064">
        <w:rPr>
          <w:rFonts w:cs="Arial"/>
          <w:bCs/>
          <w:i/>
          <w:color w:val="000000"/>
          <w:sz w:val="20"/>
          <w:szCs w:val="20"/>
          <w:shd w:val="clear" w:color="auto" w:fill="FFFFFF"/>
        </w:rPr>
        <w:t> </w:t>
      </w:r>
      <w:bookmarkEnd w:id="3"/>
      <w:r w:rsidRPr="00D55064">
        <w:rPr>
          <w:rFonts w:cs="Arial"/>
          <w:bCs/>
          <w:i/>
          <w:color w:val="000000"/>
          <w:sz w:val="20"/>
          <w:szCs w:val="20"/>
          <w:shd w:val="clear" w:color="auto" w:fill="FFFFFF"/>
        </w:rPr>
        <w:t>163.</w:t>
      </w:r>
      <w:r w:rsidRPr="00D55064">
        <w:rPr>
          <w:rFonts w:cs="Arial"/>
          <w:i/>
          <w:color w:val="000000"/>
          <w:sz w:val="20"/>
          <w:szCs w:val="20"/>
          <w:shd w:val="clear" w:color="auto" w:fill="FFFFFF"/>
        </w:rPr>
        <w:t> (</w:t>
      </w:r>
      <w:hyperlink r:id="rId1" w:anchor="118" w:history="1">
        <w:r w:rsidRPr="00D55064">
          <w:rPr>
            <w:rStyle w:val="Hipervnculo"/>
            <w:rFonts w:cs="Arial"/>
            <w:i/>
            <w:sz w:val="20"/>
            <w:szCs w:val="20"/>
            <w:shd w:val="clear" w:color="auto" w:fill="FFFFFF"/>
          </w:rPr>
          <w:t>Derogado por el art. 118, Ley 1563 de 2012</w:t>
        </w:r>
      </w:hyperlink>
      <w:r w:rsidRPr="00D55064">
        <w:rPr>
          <w:i/>
          <w:sz w:val="20"/>
          <w:szCs w:val="20"/>
        </w:rPr>
        <w:t>)</w:t>
      </w:r>
      <w:r w:rsidRPr="00D55064">
        <w:rPr>
          <w:rFonts w:cs="Arial"/>
          <w:i/>
          <w:color w:val="000000"/>
          <w:sz w:val="20"/>
          <w:szCs w:val="20"/>
          <w:shd w:val="clear" w:color="auto" w:fill="FFFFFF"/>
        </w:rPr>
        <w:t xml:space="preserve">. </w:t>
      </w:r>
      <w:r>
        <w:rPr>
          <w:rFonts w:cs="Arial"/>
          <w:i/>
          <w:color w:val="000000"/>
          <w:sz w:val="20"/>
          <w:szCs w:val="20"/>
          <w:shd w:val="clear" w:color="auto" w:fill="FFFFFF"/>
        </w:rPr>
        <w:t>“</w:t>
      </w:r>
      <w:r w:rsidRPr="00D55064">
        <w:rPr>
          <w:rFonts w:cs="Arial"/>
          <w:i/>
          <w:color w:val="000000"/>
          <w:sz w:val="20"/>
          <w:szCs w:val="20"/>
          <w:shd w:val="clear" w:color="auto" w:fill="FFFFFF"/>
        </w:rPr>
        <w:t>Son causales de anulación del laudo las siguientes:</w:t>
      </w:r>
      <w:r w:rsidRPr="00D55064">
        <w:rPr>
          <w:rFonts w:cs="Arial"/>
          <w:i/>
          <w:color w:val="000000"/>
          <w:sz w:val="20"/>
          <w:szCs w:val="20"/>
        </w:rPr>
        <w:t xml:space="preserve"> (…) Artículo 8o. Haberse recaído el laudo sobre puntos no sujetos a la decisión de los árbitros o haberse concedido más de lo pedido y 9. No haberse decidido sobre cuestiones sujetas al arbitramento”. (Artículo 38 Decreto 2279 de 1989).</w:t>
      </w:r>
    </w:p>
    <w:p w14:paraId="7A31D01A" w14:textId="77777777" w:rsidR="00B328B7" w:rsidRPr="00D55064" w:rsidRDefault="00B328B7" w:rsidP="00C53215">
      <w:pPr>
        <w:pStyle w:val="Textonotapie"/>
        <w:spacing w:line="240" w:lineRule="auto"/>
        <w:rPr>
          <w:lang w:val="es-CO"/>
        </w:rPr>
      </w:pPr>
    </w:p>
  </w:footnote>
  <w:footnote w:id="10">
    <w:p w14:paraId="640970ED" w14:textId="77777777" w:rsidR="00B328B7" w:rsidRPr="002D399E" w:rsidRDefault="00B328B7" w:rsidP="00C53215">
      <w:pPr>
        <w:widowControl w:val="0"/>
        <w:spacing w:line="240" w:lineRule="auto"/>
        <w:rPr>
          <w:rFonts w:cs="Arial"/>
          <w:sz w:val="20"/>
          <w:szCs w:val="20"/>
          <w:lang w:val="es-ES_tradnl"/>
        </w:rPr>
      </w:pPr>
      <w:r>
        <w:rPr>
          <w:rStyle w:val="Refdenotaalpie"/>
        </w:rPr>
        <w:footnoteRef/>
      </w:r>
      <w:r>
        <w:t xml:space="preserve"> “</w:t>
      </w:r>
      <w:r w:rsidRPr="00477980">
        <w:rPr>
          <w:rFonts w:cs="Arial"/>
          <w:i/>
          <w:sz w:val="20"/>
          <w:szCs w:val="20"/>
        </w:rPr>
        <w:t>Si bien el arbitraje como mecanismo alterno de solución de conflictos se rige por las normas especiales de la materia, es claro que en tratándose de litigios en los cuales se encuentre de por medio un contrato estatal debe darse aplicación a las disposiciones procesales que de forma especial regulan los términos de caducidad del medio de control de controversias contractuales, es decir, el previsto en el artículo 141 del Nuevo Código de Procedimiento Administrativo y de lo Contencioso Administrativo. (…) Así que entonces, en el curso del proceso la acción que se ejerza ante el Tribunal de Arbitramento se sustituye al juez ordinario por otro habilitado transitoriamente por las partes para administrar justicia, el cual si bien se encuentra regido por una normativa especial, deberá sujetarse a las disposiciones procesales especiales que en materia administrativa regulan los términos de caducidad. (…) La caducidad de la acción se define como aquel fenómeno jurídico que implica la imposibilidad  de formular ante la jurisdicción unas determinadas pretensiones por haber dejado transcurrir el término que perentoriamente había sido señalado por la Ley para ejercer la correspondiente acción. (…) Tal como se señaló en líneas anteriores, las normas que establecen los términos de caducidad de las acciones son de orden público y por lo tanto de obligatorio cumplimiento frente a todos sus destinatarios, son irrenunciables y no son susceptibles de ser modificados por las partes. (…) La caducidad se estructura por el sólo hecho de haber transcurrido el término previsto en la ley para ello y debe ser declarada por el juez ya sea a petición de parte o de oficio cuando aparezca que ella ha operado. (…) Así las cosas, una vez se da el supuesto de hecho previsto por la ley para que se inicie la contabilización del término de caducidad, éste indefectiblemente empezara a correr sin que las partes puedan variarlo o modificarlo. (…) Ahora, en vigencia de la nueva ley es claro que ésta hipótesis ya no podrá ser alegada bajo la causal 9ª del artículo 41 de la ley 1563 de 2012, antes prevista en los numerales 8º y 9º del Decreto 1818 de 1998, pues ya la causal 2ª [del artículo 41] de la Ley 1563 de regula de forma especial esa circunstancia específica”.</w:t>
      </w:r>
      <w:r>
        <w:rPr>
          <w:rFonts w:cs="Arial"/>
          <w:i/>
          <w:sz w:val="20"/>
          <w:szCs w:val="20"/>
        </w:rPr>
        <w:t xml:space="preserve"> </w:t>
      </w:r>
      <w:r w:rsidRPr="002D399E">
        <w:rPr>
          <w:rFonts w:cs="Arial"/>
          <w:sz w:val="20"/>
          <w:szCs w:val="20"/>
          <w:lang w:val="es-ES_tradnl"/>
        </w:rPr>
        <w:t xml:space="preserve">Consejo Estado; Sección Tercera, Subsección C, Consejero Ponente: Jaime Orlando Santofimio Gamboa, sentencia de 13 de abril de 2015, radicación número: 11001-03-26-000-2014-00162-00(52556), actor: EMGESA S.A., demandado: Sociedad Hotelera Tequendama S.A., </w:t>
      </w:r>
      <w:r>
        <w:rPr>
          <w:rFonts w:cs="Arial"/>
          <w:sz w:val="20"/>
          <w:szCs w:val="20"/>
          <w:lang w:val="es-ES_tradnl"/>
        </w:rPr>
        <w:t>r</w:t>
      </w:r>
      <w:r w:rsidRPr="002D399E">
        <w:rPr>
          <w:rFonts w:cs="Arial"/>
          <w:sz w:val="20"/>
          <w:szCs w:val="20"/>
          <w:lang w:val="es-ES_tradnl"/>
        </w:rPr>
        <w:t xml:space="preserve">eferencia: </w:t>
      </w:r>
      <w:r>
        <w:rPr>
          <w:rFonts w:cs="Arial"/>
          <w:sz w:val="20"/>
          <w:szCs w:val="20"/>
          <w:lang w:val="es-ES_tradnl"/>
        </w:rPr>
        <w:t>r</w:t>
      </w:r>
      <w:r w:rsidRPr="002D399E">
        <w:rPr>
          <w:rFonts w:cs="Arial"/>
          <w:sz w:val="20"/>
          <w:szCs w:val="20"/>
          <w:lang w:val="es-ES_tradnl"/>
        </w:rPr>
        <w:t xml:space="preserve">ecurso </w:t>
      </w:r>
      <w:r>
        <w:rPr>
          <w:rFonts w:cs="Arial"/>
          <w:sz w:val="20"/>
          <w:szCs w:val="20"/>
          <w:lang w:val="es-ES_tradnl"/>
        </w:rPr>
        <w:t>d</w:t>
      </w:r>
      <w:r w:rsidRPr="002D399E">
        <w:rPr>
          <w:rFonts w:cs="Arial"/>
          <w:sz w:val="20"/>
          <w:szCs w:val="20"/>
          <w:lang w:val="es-ES_tradnl"/>
        </w:rPr>
        <w:t xml:space="preserve">e </w:t>
      </w:r>
      <w:r>
        <w:rPr>
          <w:rFonts w:cs="Arial"/>
          <w:sz w:val="20"/>
          <w:szCs w:val="20"/>
          <w:lang w:val="es-ES_tradnl"/>
        </w:rPr>
        <w:t>a</w:t>
      </w:r>
      <w:r w:rsidRPr="002D399E">
        <w:rPr>
          <w:rFonts w:cs="Arial"/>
          <w:sz w:val="20"/>
          <w:szCs w:val="20"/>
          <w:lang w:val="es-ES_tradnl"/>
        </w:rPr>
        <w:t>nulaci</w:t>
      </w:r>
      <w:r w:rsidR="001F354B">
        <w:rPr>
          <w:rFonts w:cs="Arial"/>
          <w:sz w:val="20"/>
          <w:szCs w:val="20"/>
          <w:lang w:val="es-ES_tradnl"/>
        </w:rPr>
        <w:t>ó</w:t>
      </w:r>
      <w:r w:rsidRPr="002D399E">
        <w:rPr>
          <w:rFonts w:cs="Arial"/>
          <w:sz w:val="20"/>
          <w:szCs w:val="20"/>
          <w:lang w:val="es-ES_tradnl"/>
        </w:rPr>
        <w:t xml:space="preserve">n </w:t>
      </w:r>
      <w:r>
        <w:rPr>
          <w:rFonts w:cs="Arial"/>
          <w:sz w:val="20"/>
          <w:szCs w:val="20"/>
          <w:lang w:val="es-ES_tradnl"/>
        </w:rPr>
        <w:t>d</w:t>
      </w:r>
      <w:r w:rsidRPr="002D399E">
        <w:rPr>
          <w:rFonts w:cs="Arial"/>
          <w:sz w:val="20"/>
          <w:szCs w:val="20"/>
          <w:lang w:val="es-ES_tradnl"/>
        </w:rPr>
        <w:t>e Laudo Arbitral (Sentencia)</w:t>
      </w:r>
    </w:p>
    <w:p w14:paraId="593E1B1F" w14:textId="77777777" w:rsidR="00B328B7" w:rsidRPr="000E2F3F" w:rsidRDefault="00B328B7" w:rsidP="00C53215">
      <w:pPr>
        <w:pStyle w:val="Textonotapie"/>
        <w:rPr>
          <w:lang w:val="es-CO"/>
        </w:rPr>
      </w:pPr>
    </w:p>
  </w:footnote>
  <w:footnote w:id="11">
    <w:p w14:paraId="3EA36B19" w14:textId="77777777" w:rsidR="00B328B7" w:rsidRPr="00E52A37" w:rsidRDefault="00B328B7" w:rsidP="00E56D9F">
      <w:pPr>
        <w:spacing w:line="240" w:lineRule="auto"/>
        <w:rPr>
          <w:rFonts w:cs="Arial"/>
          <w:b/>
          <w:sz w:val="20"/>
          <w:szCs w:val="20"/>
        </w:rPr>
      </w:pPr>
      <w:r w:rsidRPr="00E52A37">
        <w:rPr>
          <w:rStyle w:val="Refdenotaalpie"/>
          <w:rFonts w:cs="Arial"/>
          <w:sz w:val="20"/>
          <w:szCs w:val="20"/>
        </w:rPr>
        <w:footnoteRef/>
      </w:r>
      <w:r w:rsidRPr="00E52A37">
        <w:rPr>
          <w:rFonts w:cs="Arial"/>
          <w:sz w:val="20"/>
          <w:szCs w:val="20"/>
        </w:rPr>
        <w:t xml:space="preserve"> Corte Constitucional, </w:t>
      </w:r>
      <w:r w:rsidRPr="001F354B">
        <w:rPr>
          <w:rFonts w:cs="Arial"/>
          <w:sz w:val="20"/>
          <w:szCs w:val="20"/>
        </w:rPr>
        <w:t>Sentencia SU242/15.</w:t>
      </w:r>
    </w:p>
    <w:p w14:paraId="1E507B12" w14:textId="77777777" w:rsidR="00B328B7" w:rsidRPr="00E52A37" w:rsidRDefault="00B328B7" w:rsidP="00E56D9F">
      <w:pPr>
        <w:spacing w:line="240" w:lineRule="auto"/>
        <w:rPr>
          <w:rFonts w:cs="Arial"/>
          <w:b/>
          <w:sz w:val="20"/>
          <w:szCs w:val="20"/>
        </w:rPr>
      </w:pPr>
    </w:p>
    <w:p w14:paraId="108E24FA" w14:textId="77777777" w:rsidR="00B328B7" w:rsidRPr="0061131F" w:rsidRDefault="00B328B7" w:rsidP="00E56D9F">
      <w:pPr>
        <w:pStyle w:val="Prrafodelista"/>
        <w:spacing w:line="240" w:lineRule="auto"/>
        <w:ind w:left="0" w:right="-40"/>
        <w:rPr>
          <w:i/>
          <w:sz w:val="20"/>
          <w:szCs w:val="20"/>
        </w:rPr>
      </w:pPr>
      <w:r>
        <w:rPr>
          <w:b/>
          <w:i/>
          <w:sz w:val="20"/>
          <w:szCs w:val="20"/>
        </w:rPr>
        <w:t>“</w:t>
      </w:r>
      <w:r w:rsidRPr="0061131F">
        <w:rPr>
          <w:b/>
          <w:i/>
          <w:sz w:val="20"/>
          <w:szCs w:val="20"/>
        </w:rPr>
        <w:t>Caducidad y prescripción. 31.</w:t>
      </w:r>
      <w:r w:rsidR="001F354B">
        <w:rPr>
          <w:b/>
          <w:i/>
          <w:sz w:val="20"/>
          <w:szCs w:val="20"/>
        </w:rPr>
        <w:t xml:space="preserve"> </w:t>
      </w:r>
      <w:r w:rsidRPr="0061131F">
        <w:rPr>
          <w:i/>
          <w:sz w:val="20"/>
          <w:szCs w:val="20"/>
        </w:rPr>
        <w:t>El concepto de caducidad ha sido enmarcado por la doctrina dentro de los presupuestos procesales, entendidos como los requisitos necesarios para que pueda constituirse un proceso válido. (…). //. 33.</w:t>
      </w:r>
      <w:r>
        <w:rPr>
          <w:i/>
          <w:sz w:val="20"/>
          <w:szCs w:val="20"/>
        </w:rPr>
        <w:t xml:space="preserve"> </w:t>
      </w:r>
      <w:r w:rsidRPr="0061131F">
        <w:rPr>
          <w:i/>
          <w:sz w:val="20"/>
          <w:szCs w:val="20"/>
        </w:rPr>
        <w:t>Como conclusión, la caducidad es un presupuesto procesal de la acción y hace referencia al ejercicio de ese derecho dentro de los plazos fijados por el Legislador, so pena de impedir el establecimiento de una relación jurídico procesal válida. En cambio, la prescripción hace referencia a un modo para el surgimiento de derechos subjetivos (prescripción adquisitiva o usucapión) o para extinguir obligaciones (prescripción propiamente dicha)</w:t>
      </w:r>
      <w:r>
        <w:rPr>
          <w:i/>
          <w:sz w:val="20"/>
          <w:szCs w:val="20"/>
        </w:rPr>
        <w:t>”</w:t>
      </w:r>
      <w:r w:rsidRPr="0061131F">
        <w:rPr>
          <w:i/>
          <w:sz w:val="20"/>
          <w:szCs w:val="20"/>
        </w:rPr>
        <w:t>.</w:t>
      </w:r>
    </w:p>
    <w:p w14:paraId="382D5094" w14:textId="77777777" w:rsidR="00B328B7" w:rsidRPr="00740BBB" w:rsidRDefault="00B328B7" w:rsidP="00E56D9F">
      <w:pPr>
        <w:pStyle w:val="Textonotapie"/>
        <w:rPr>
          <w:lang w:val="es-CO"/>
        </w:rPr>
      </w:pPr>
    </w:p>
  </w:footnote>
  <w:footnote w:id="12">
    <w:p w14:paraId="3D791BBA" w14:textId="77777777" w:rsidR="00B328B7" w:rsidRDefault="00B328B7" w:rsidP="00E56D9F">
      <w:pPr>
        <w:pStyle w:val="Textonotapie"/>
        <w:spacing w:line="240" w:lineRule="auto"/>
      </w:pPr>
      <w:r>
        <w:rPr>
          <w:rStyle w:val="Refdenotaalpie"/>
        </w:rPr>
        <w:footnoteRef/>
      </w:r>
      <w:r>
        <w:t xml:space="preserve"> El C.P.A.C.A. denominó como “medios de control” lo que en el Código Contencioso Administrativo eran las acciones.</w:t>
      </w:r>
    </w:p>
    <w:p w14:paraId="6A297FDE" w14:textId="77777777" w:rsidR="00B328B7" w:rsidRPr="005909AB" w:rsidRDefault="00B328B7" w:rsidP="00E56D9F">
      <w:pPr>
        <w:pStyle w:val="Textonotapie"/>
        <w:spacing w:line="240" w:lineRule="auto"/>
        <w:rPr>
          <w:lang w:val="es-CO"/>
        </w:rPr>
      </w:pPr>
      <w:r>
        <w:t xml:space="preserve"> </w:t>
      </w:r>
    </w:p>
  </w:footnote>
  <w:footnote w:id="13">
    <w:p w14:paraId="551B448F" w14:textId="77777777" w:rsidR="00B328B7" w:rsidRPr="00B74FEC" w:rsidRDefault="00B328B7" w:rsidP="00CA41E4">
      <w:pPr>
        <w:pStyle w:val="Textonotapie"/>
        <w:rPr>
          <w:lang w:val="es-CO"/>
        </w:rPr>
      </w:pPr>
      <w:r>
        <w:rPr>
          <w:rStyle w:val="Refdenotaalpie"/>
        </w:rPr>
        <w:footnoteRef/>
      </w:r>
      <w:r>
        <w:t xml:space="preserve"> </w:t>
      </w:r>
      <w:r>
        <w:rPr>
          <w:lang w:val="es-CO"/>
        </w:rPr>
        <w:t>Artículo 164 C.P.A.C.A.</w:t>
      </w:r>
    </w:p>
  </w:footnote>
  <w:footnote w:id="14">
    <w:p w14:paraId="122204C8" w14:textId="77777777" w:rsidR="000453C5" w:rsidRPr="000453C5" w:rsidRDefault="007E5832" w:rsidP="000453C5">
      <w:pPr>
        <w:pStyle w:val="NormalWeb"/>
        <w:spacing w:before="0" w:beforeAutospacing="0" w:after="0" w:afterAutospacing="0" w:line="240" w:lineRule="auto"/>
        <w:rPr>
          <w:i/>
          <w:sz w:val="20"/>
          <w:szCs w:val="20"/>
        </w:rPr>
      </w:pPr>
      <w:r w:rsidRPr="000453C5">
        <w:rPr>
          <w:rStyle w:val="Refdenotaalpie"/>
          <w:i/>
          <w:sz w:val="20"/>
          <w:szCs w:val="20"/>
        </w:rPr>
        <w:footnoteRef/>
      </w:r>
      <w:r w:rsidRPr="000453C5">
        <w:rPr>
          <w:i/>
          <w:sz w:val="20"/>
          <w:szCs w:val="20"/>
        </w:rPr>
        <w:t xml:space="preserve"> </w:t>
      </w:r>
      <w:bookmarkStart w:id="4" w:name="127"/>
      <w:r w:rsidR="000453C5" w:rsidRPr="000453C5">
        <w:rPr>
          <w:i/>
          <w:sz w:val="20"/>
          <w:szCs w:val="20"/>
        </w:rPr>
        <w:t>Decreto Reglamentario 2388 de 1979</w:t>
      </w:r>
    </w:p>
    <w:p w14:paraId="3E1E3689" w14:textId="77777777" w:rsidR="007E5832" w:rsidRPr="000453C5" w:rsidRDefault="000453C5" w:rsidP="000453C5">
      <w:pPr>
        <w:pStyle w:val="NormalWeb"/>
        <w:spacing w:before="0" w:beforeAutospacing="0" w:after="0" w:afterAutospacing="0" w:line="240" w:lineRule="auto"/>
        <w:rPr>
          <w:rFonts w:cs="Arial"/>
          <w:i/>
          <w:color w:val="000000"/>
          <w:sz w:val="20"/>
          <w:szCs w:val="20"/>
        </w:rPr>
      </w:pPr>
      <w:r w:rsidRPr="000453C5">
        <w:rPr>
          <w:rFonts w:cs="Arial"/>
          <w:b/>
          <w:bCs/>
          <w:i/>
          <w:sz w:val="20"/>
          <w:szCs w:val="20"/>
        </w:rPr>
        <w:t>“</w:t>
      </w:r>
      <w:r w:rsidR="007E5832" w:rsidRPr="000453C5">
        <w:rPr>
          <w:rFonts w:cs="Arial"/>
          <w:bCs/>
          <w:i/>
          <w:sz w:val="20"/>
          <w:szCs w:val="20"/>
        </w:rPr>
        <w:t>A</w:t>
      </w:r>
      <w:r w:rsidRPr="000453C5">
        <w:rPr>
          <w:rFonts w:cs="Arial"/>
          <w:bCs/>
          <w:i/>
          <w:sz w:val="20"/>
          <w:szCs w:val="20"/>
        </w:rPr>
        <w:t xml:space="preserve">rtículo </w:t>
      </w:r>
      <w:r w:rsidR="007E5832" w:rsidRPr="000453C5">
        <w:rPr>
          <w:rFonts w:cs="Arial"/>
          <w:bCs/>
          <w:i/>
          <w:sz w:val="20"/>
          <w:szCs w:val="20"/>
        </w:rPr>
        <w:t>127</w:t>
      </w:r>
      <w:r w:rsidR="007E5832" w:rsidRPr="000453C5">
        <w:rPr>
          <w:rFonts w:cs="Arial"/>
          <w:bCs/>
          <w:i/>
          <w:color w:val="244700"/>
          <w:sz w:val="20"/>
          <w:szCs w:val="20"/>
        </w:rPr>
        <w:t>.</w:t>
      </w:r>
      <w:bookmarkEnd w:id="4"/>
      <w:r w:rsidR="007E5832" w:rsidRPr="000453C5">
        <w:rPr>
          <w:rStyle w:val="apple-converted-space"/>
          <w:rFonts w:cs="Arial"/>
          <w:i/>
          <w:color w:val="000000"/>
          <w:sz w:val="20"/>
          <w:szCs w:val="20"/>
        </w:rPr>
        <w:t> </w:t>
      </w:r>
      <w:r w:rsidR="007E5832" w:rsidRPr="000453C5">
        <w:rPr>
          <w:rFonts w:cs="Arial"/>
          <w:i/>
          <w:color w:val="000000"/>
          <w:sz w:val="20"/>
          <w:szCs w:val="20"/>
        </w:rPr>
        <w:t>Por la naturaleza especial del servicio de bienestar familiar, el ICBF podrá celebrar contratos de aporte, entendiéndose por tal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control del Instituto Colombiano de Bienestar Familiar, su vigencia será anual, pero podrá prorrogarse de año en año.</w:t>
      </w:r>
    </w:p>
    <w:p w14:paraId="281F035B" w14:textId="77777777" w:rsidR="007E5832" w:rsidRPr="000453C5" w:rsidRDefault="007E5832" w:rsidP="000453C5">
      <w:pPr>
        <w:pStyle w:val="NormalWeb"/>
        <w:spacing w:before="0" w:beforeAutospacing="0" w:after="0" w:afterAutospacing="0" w:line="240" w:lineRule="auto"/>
        <w:rPr>
          <w:rFonts w:cs="Arial"/>
          <w:i/>
          <w:color w:val="000000"/>
          <w:sz w:val="20"/>
          <w:szCs w:val="20"/>
        </w:rPr>
      </w:pPr>
      <w:bookmarkStart w:id="5" w:name="128"/>
      <w:r w:rsidRPr="000453C5">
        <w:rPr>
          <w:rFonts w:cs="Arial"/>
          <w:bCs/>
          <w:i/>
          <w:sz w:val="20"/>
          <w:szCs w:val="20"/>
        </w:rPr>
        <w:t>A</w:t>
      </w:r>
      <w:r w:rsidR="000453C5" w:rsidRPr="000453C5">
        <w:rPr>
          <w:rFonts w:cs="Arial"/>
          <w:bCs/>
          <w:i/>
          <w:sz w:val="20"/>
          <w:szCs w:val="20"/>
        </w:rPr>
        <w:t xml:space="preserve">rtículo </w:t>
      </w:r>
      <w:r w:rsidRPr="000453C5">
        <w:rPr>
          <w:rFonts w:cs="Arial"/>
          <w:bCs/>
          <w:i/>
          <w:sz w:val="20"/>
          <w:szCs w:val="20"/>
        </w:rPr>
        <w:t>128.</w:t>
      </w:r>
      <w:bookmarkEnd w:id="5"/>
      <w:r w:rsidRPr="000453C5">
        <w:rPr>
          <w:rStyle w:val="apple-converted-space"/>
          <w:rFonts w:cs="Arial"/>
          <w:i/>
          <w:sz w:val="20"/>
          <w:szCs w:val="20"/>
        </w:rPr>
        <w:t> </w:t>
      </w:r>
      <w:r w:rsidRPr="000453C5">
        <w:rPr>
          <w:rFonts w:cs="Arial"/>
          <w:i/>
          <w:color w:val="000000"/>
          <w:sz w:val="20"/>
          <w:szCs w:val="20"/>
        </w:rPr>
        <w:t>Los contratos de aporte que el ICBF celebre para la prestación de los servicios de bienestar familiar solo están sujetos a las cláusulas obligatorias de todo contrato administrativo.</w:t>
      </w:r>
    </w:p>
    <w:p w14:paraId="48D08EE1" w14:textId="77777777" w:rsidR="007E5832" w:rsidRPr="000453C5" w:rsidRDefault="007E5832" w:rsidP="000453C5">
      <w:pPr>
        <w:pStyle w:val="NormalWeb"/>
        <w:spacing w:before="0" w:beforeAutospacing="0" w:after="0" w:afterAutospacing="0" w:line="240" w:lineRule="auto"/>
        <w:rPr>
          <w:rFonts w:cs="Arial"/>
          <w:i/>
          <w:color w:val="000000"/>
          <w:sz w:val="20"/>
          <w:szCs w:val="20"/>
        </w:rPr>
      </w:pPr>
      <w:r w:rsidRPr="000453C5">
        <w:rPr>
          <w:rFonts w:cs="Arial"/>
          <w:i/>
          <w:color w:val="000000"/>
          <w:sz w:val="20"/>
          <w:szCs w:val="20"/>
        </w:rPr>
        <w:t>El Instituto también podrá celebrar contratos innominados y de carácter mixto</w:t>
      </w:r>
      <w:r w:rsidR="000453C5">
        <w:rPr>
          <w:rFonts w:cs="Arial"/>
          <w:i/>
          <w:color w:val="000000"/>
          <w:sz w:val="20"/>
          <w:szCs w:val="20"/>
        </w:rPr>
        <w:t>”</w:t>
      </w:r>
      <w:r w:rsidRPr="000453C5">
        <w:rPr>
          <w:rFonts w:cs="Arial"/>
          <w:i/>
          <w:color w:val="000000"/>
          <w:sz w:val="20"/>
          <w:szCs w:val="20"/>
        </w:rPr>
        <w:t>.</w:t>
      </w:r>
    </w:p>
    <w:p w14:paraId="040618E5" w14:textId="77777777" w:rsidR="007E5832" w:rsidRPr="007E5832" w:rsidRDefault="007E5832" w:rsidP="000453C5">
      <w:pPr>
        <w:pStyle w:val="Textonotapie"/>
        <w:rPr>
          <w:lang w:val="es-CO"/>
        </w:rPr>
      </w:pPr>
    </w:p>
  </w:footnote>
  <w:footnote w:id="15">
    <w:p w14:paraId="78F5C3C8" w14:textId="77777777" w:rsidR="000056C8" w:rsidRPr="000056C8" w:rsidRDefault="000056C8" w:rsidP="000056C8">
      <w:pPr>
        <w:pStyle w:val="Textonotapie"/>
        <w:spacing w:line="240" w:lineRule="auto"/>
        <w:rPr>
          <w:i/>
          <w:lang w:val="es-CO"/>
        </w:rPr>
      </w:pPr>
      <w:r w:rsidRPr="000056C8">
        <w:rPr>
          <w:rStyle w:val="Refdenotaalpie"/>
          <w:i/>
        </w:rPr>
        <w:footnoteRef/>
      </w:r>
      <w:r w:rsidRPr="000056C8">
        <w:rPr>
          <w:i/>
        </w:rPr>
        <w:t xml:space="preserve"> “</w:t>
      </w:r>
      <w:r w:rsidRPr="000056C8">
        <w:rPr>
          <w:rFonts w:cs="Arial"/>
          <w:bCs/>
          <w:i/>
          <w:color w:val="000000"/>
          <w:shd w:val="clear" w:color="auto" w:fill="FFFFFF"/>
        </w:rPr>
        <w:t>Artículo 19</w:t>
      </w:r>
      <w:r w:rsidRPr="000056C8">
        <w:rPr>
          <w:rFonts w:cs="Arial"/>
          <w:i/>
          <w:color w:val="000000"/>
          <w:shd w:val="clear" w:color="auto" w:fill="FFFFFF"/>
        </w:rPr>
        <w:t>. Contratos con entidades sin ánimo de lucro. El Instituto Colombiano de Bienestar Familiar podrá celebrar los contratos con entidades privadas sin ánimo de lucro y de reconocida idoneidad, con el fin de impulsar programas y actividades propias de su objeto, en los términos y condiciones en que lo señala el artículo 355 de la Constitución Política</w:t>
      </w:r>
      <w:r>
        <w:rPr>
          <w:rFonts w:cs="Arial"/>
          <w:i/>
          <w:color w:val="000000"/>
          <w:shd w:val="clear" w:color="auto" w:fill="FFFFFF"/>
        </w:rPr>
        <w:t>”</w:t>
      </w:r>
      <w:r w:rsidRPr="000056C8">
        <w:rPr>
          <w:rFonts w:cs="Arial"/>
          <w:i/>
          <w:color w:val="000000"/>
          <w:shd w:val="clear" w:color="auto" w:fill="FFFFFF"/>
        </w:rPr>
        <w:t>.</w:t>
      </w:r>
    </w:p>
  </w:footnote>
  <w:footnote w:id="16">
    <w:p w14:paraId="0764D183" w14:textId="77777777" w:rsidR="009B0016" w:rsidRPr="00E732EB" w:rsidRDefault="009B0016" w:rsidP="00E732EB">
      <w:pPr>
        <w:pStyle w:val="Textonotapie"/>
        <w:spacing w:line="240" w:lineRule="auto"/>
        <w:rPr>
          <w:rFonts w:cs="Arial"/>
          <w:i/>
          <w:color w:val="000000"/>
          <w:shd w:val="clear" w:color="auto" w:fill="FFFFFF"/>
        </w:rPr>
      </w:pPr>
      <w:r w:rsidRPr="00E56D52">
        <w:rPr>
          <w:rStyle w:val="Refdenotaalpie"/>
        </w:rPr>
        <w:footnoteRef/>
      </w:r>
      <w:r w:rsidRPr="00E56D52">
        <w:t xml:space="preserve"> </w:t>
      </w:r>
      <w:r w:rsidR="00307465" w:rsidRPr="00E56D52">
        <w:t xml:space="preserve">Se recuerda que el </w:t>
      </w:r>
      <w:r w:rsidRPr="00E56D52">
        <w:rPr>
          <w:lang w:val="es-CO"/>
        </w:rPr>
        <w:t xml:space="preserve">Decreto 777 de 1992, </w:t>
      </w:r>
      <w:r w:rsidR="001448C8" w:rsidRPr="00E56D52">
        <w:rPr>
          <w:lang w:val="es-CO"/>
        </w:rPr>
        <w:t>que desarrolló el artículo 355 de la Constitución Política</w:t>
      </w:r>
      <w:r w:rsidR="00E732EB" w:rsidRPr="00E56D52">
        <w:rPr>
          <w:lang w:val="es-CO"/>
        </w:rPr>
        <w:t>,</w:t>
      </w:r>
      <w:r w:rsidR="001265A3" w:rsidRPr="00E56D52">
        <w:rPr>
          <w:lang w:val="es-CO"/>
        </w:rPr>
        <w:t xml:space="preserve"> reguló</w:t>
      </w:r>
      <w:r w:rsidRPr="00E56D52">
        <w:rPr>
          <w:lang w:val="es-CO"/>
        </w:rPr>
        <w:t xml:space="preserve"> </w:t>
      </w:r>
      <w:r w:rsidR="001448C8" w:rsidRPr="00E56D52">
        <w:rPr>
          <w:lang w:val="es-CO"/>
        </w:rPr>
        <w:t xml:space="preserve">una modalidad de contratación con entidades sin ánimo de lucro bajo las reglas del derecho privado, </w:t>
      </w:r>
      <w:r w:rsidR="00E732EB" w:rsidRPr="00E56D52">
        <w:rPr>
          <w:lang w:val="es-CO"/>
        </w:rPr>
        <w:t xml:space="preserve">de acuerdo con los términos y condiciones que fijó el referido Decreto 777, </w:t>
      </w:r>
      <w:r w:rsidR="001448C8" w:rsidRPr="00E56D52">
        <w:rPr>
          <w:lang w:val="es-CO"/>
        </w:rPr>
        <w:t>pero úni</w:t>
      </w:r>
      <w:r w:rsidR="00E732EB" w:rsidRPr="00E56D52">
        <w:rPr>
          <w:lang w:val="es-CO"/>
        </w:rPr>
        <w:t xml:space="preserve">camente </w:t>
      </w:r>
      <w:r w:rsidR="004969E0" w:rsidRPr="00E56D52">
        <w:rPr>
          <w:lang w:val="es-CO"/>
        </w:rPr>
        <w:t xml:space="preserve">de posible </w:t>
      </w:r>
      <w:r w:rsidR="00E732EB" w:rsidRPr="00E56D52">
        <w:rPr>
          <w:lang w:val="es-CO"/>
        </w:rPr>
        <w:t>aplica</w:t>
      </w:r>
      <w:r w:rsidR="004969E0" w:rsidRPr="00E56D52">
        <w:rPr>
          <w:lang w:val="es-CO"/>
        </w:rPr>
        <w:t xml:space="preserve">ción </w:t>
      </w:r>
      <w:r w:rsidR="00E732EB" w:rsidRPr="00E56D52">
        <w:rPr>
          <w:lang w:val="es-CO"/>
        </w:rPr>
        <w:t>para l</w:t>
      </w:r>
      <w:r w:rsidRPr="00E56D52">
        <w:rPr>
          <w:lang w:val="es-CO"/>
        </w:rPr>
        <w:t>os contratos que celebren “</w:t>
      </w:r>
      <w:r w:rsidRPr="00E56D52">
        <w:rPr>
          <w:i/>
          <w:lang w:val="es-CO"/>
        </w:rPr>
        <w:t>L</w:t>
      </w:r>
      <w:r w:rsidRPr="00E56D52">
        <w:rPr>
          <w:rFonts w:cs="Arial"/>
          <w:i/>
          <w:color w:val="000000"/>
          <w:shd w:val="clear" w:color="auto" w:fill="FFFFFF"/>
        </w:rPr>
        <w:t>a Nación, los Departamentos, Distritos y Municipios con entidades privadas sin ánimo de lucro</w:t>
      </w:r>
      <w:r w:rsidR="004500AB" w:rsidRPr="00E56D52">
        <w:rPr>
          <w:rFonts w:cs="Arial"/>
          <w:i/>
          <w:color w:val="000000"/>
          <w:shd w:val="clear" w:color="auto" w:fill="FFFFFF"/>
        </w:rPr>
        <w:t>”</w:t>
      </w:r>
      <w:r w:rsidR="00307465" w:rsidRPr="00E56D52">
        <w:rPr>
          <w:rFonts w:cs="Arial"/>
          <w:i/>
          <w:color w:val="000000"/>
          <w:shd w:val="clear" w:color="auto" w:fill="FFFFFF"/>
        </w:rPr>
        <w:t>.</w:t>
      </w:r>
      <w:r w:rsidR="00307465" w:rsidRPr="00E732EB">
        <w:rPr>
          <w:rFonts w:cs="Arial"/>
          <w:i/>
          <w:color w:val="000000"/>
          <w:shd w:val="clear" w:color="auto" w:fill="FFFFFF"/>
        </w:rPr>
        <w:t xml:space="preserve"> </w:t>
      </w:r>
    </w:p>
    <w:p w14:paraId="41C639D3" w14:textId="77777777" w:rsidR="00E732EB" w:rsidRPr="00E732EB" w:rsidRDefault="00E732EB" w:rsidP="00E732EB">
      <w:pPr>
        <w:pStyle w:val="Textonotapie"/>
        <w:spacing w:line="240" w:lineRule="auto"/>
        <w:rPr>
          <w:i/>
          <w:lang w:val="es-CO"/>
        </w:rPr>
      </w:pPr>
    </w:p>
  </w:footnote>
  <w:footnote w:id="17">
    <w:p w14:paraId="6CA52612" w14:textId="77777777" w:rsidR="00B328B7" w:rsidRPr="00994650" w:rsidRDefault="00B328B7" w:rsidP="00BD7A00">
      <w:pPr>
        <w:pStyle w:val="Textonotapie"/>
        <w:rPr>
          <w:lang w:val="es-CO"/>
        </w:rPr>
      </w:pPr>
      <w:r>
        <w:rPr>
          <w:rStyle w:val="Refdenotaalpie"/>
        </w:rPr>
        <w:footnoteRef/>
      </w:r>
      <w:r>
        <w:t xml:space="preserve"> Folio 26 cuaderno 1. </w:t>
      </w:r>
    </w:p>
  </w:footnote>
  <w:footnote w:id="18">
    <w:p w14:paraId="16B27940" w14:textId="77777777" w:rsidR="00B328B7" w:rsidRDefault="00B328B7" w:rsidP="00BD7A00">
      <w:pPr>
        <w:pStyle w:val="Textonotapie"/>
        <w:spacing w:line="240" w:lineRule="auto"/>
        <w:rPr>
          <w:lang w:val="es-CO"/>
        </w:rPr>
      </w:pPr>
      <w:r w:rsidRPr="00505695">
        <w:rPr>
          <w:rStyle w:val="Refdenotaalpie"/>
          <w:i/>
        </w:rPr>
        <w:footnoteRef/>
      </w:r>
      <w:r w:rsidRPr="00505695">
        <w:rPr>
          <w:i/>
        </w:rPr>
        <w:t xml:space="preserve"> </w:t>
      </w:r>
      <w:r w:rsidRPr="00505695">
        <w:rPr>
          <w:i/>
          <w:lang w:val="es-CO"/>
        </w:rPr>
        <w:t>(…) no resulta procedente que este Despacho avoque el conocimiento de este asunto, al ser declinada o traslada la competencia por las partes del contrato en cabeza de un Tribunal de Arbitramento (…)</w:t>
      </w:r>
      <w:r>
        <w:rPr>
          <w:lang w:val="es-CO"/>
        </w:rPr>
        <w:t xml:space="preserve">”, folio 37 vuelto, cuaderno 1. </w:t>
      </w:r>
    </w:p>
    <w:p w14:paraId="57E257B4" w14:textId="77777777" w:rsidR="00B328B7" w:rsidRPr="003A321B" w:rsidRDefault="00B328B7" w:rsidP="00BD7A00">
      <w:pPr>
        <w:pStyle w:val="Textonotapie"/>
        <w:spacing w:line="240" w:lineRule="auto"/>
        <w:rPr>
          <w:lang w:val="es-CO"/>
        </w:rPr>
      </w:pPr>
    </w:p>
  </w:footnote>
  <w:footnote w:id="19">
    <w:p w14:paraId="214B6ADC" w14:textId="77777777" w:rsidR="00B328B7" w:rsidRDefault="00B328B7" w:rsidP="00374630">
      <w:pPr>
        <w:pStyle w:val="Textonotapie"/>
        <w:spacing w:line="240" w:lineRule="auto"/>
        <w:rPr>
          <w:lang w:val="es-CO"/>
        </w:rPr>
      </w:pPr>
      <w:r>
        <w:rPr>
          <w:rStyle w:val="Refdenotaalpie"/>
        </w:rPr>
        <w:footnoteRef/>
      </w:r>
      <w:r>
        <w:t xml:space="preserve"> </w:t>
      </w:r>
      <w:r w:rsidRPr="00505695">
        <w:rPr>
          <w:i/>
        </w:rPr>
        <w:t xml:space="preserve">“RESUELVE: </w:t>
      </w:r>
      <w:r w:rsidRPr="00505695">
        <w:rPr>
          <w:i/>
          <w:lang w:val="es-CO"/>
        </w:rPr>
        <w:t>1. Remítase por competencia la presente demanda y sus anexos a la Cámara de Comercio de Bogotá para que se realice el trámite correspondiente.// 2. De no aceptarse los planteamientos aquí vertidos, por economía procesal, se propone de una vez el conflicto por competencia. // 3. Por Secretaria, efectúese la devolución en favor de la parte demandante del título constituido en este asunto por concepto del arancel judicial, conforme las razones aquí expuestas”.</w:t>
      </w:r>
      <w:r>
        <w:rPr>
          <w:lang w:val="es-CO"/>
        </w:rPr>
        <w:t xml:space="preserve"> Folio 47 vuelto, cuaderno 1. </w:t>
      </w:r>
    </w:p>
    <w:p w14:paraId="654F44EC" w14:textId="77777777" w:rsidR="00374630" w:rsidRPr="00940BDA" w:rsidRDefault="00374630" w:rsidP="00374630">
      <w:pPr>
        <w:pStyle w:val="Textonotapie"/>
        <w:spacing w:line="240" w:lineRule="auto"/>
        <w:rPr>
          <w:lang w:val="es-CO"/>
        </w:rPr>
      </w:pPr>
    </w:p>
  </w:footnote>
  <w:footnote w:id="20">
    <w:p w14:paraId="2D140B1F" w14:textId="77777777" w:rsidR="00B328B7" w:rsidRPr="00924C45" w:rsidRDefault="00B328B7" w:rsidP="00BD7A00">
      <w:pPr>
        <w:pStyle w:val="Textonotapie"/>
        <w:rPr>
          <w:lang w:val="es-CO"/>
        </w:rPr>
      </w:pPr>
      <w:r>
        <w:rPr>
          <w:rStyle w:val="Refdenotaalpie"/>
        </w:rPr>
        <w:footnoteRef/>
      </w:r>
      <w:r>
        <w:t xml:space="preserve"> </w:t>
      </w:r>
      <w:r>
        <w:rPr>
          <w:lang w:val="es-CO"/>
        </w:rPr>
        <w:t xml:space="preserve">Folio 54, cuaderno 1. </w:t>
      </w:r>
    </w:p>
  </w:footnote>
  <w:footnote w:id="21">
    <w:p w14:paraId="74FB61A0" w14:textId="77777777" w:rsidR="00B328B7" w:rsidRPr="00B04237" w:rsidRDefault="00B328B7" w:rsidP="00BD7A00">
      <w:pPr>
        <w:pStyle w:val="Textonotapie"/>
        <w:rPr>
          <w:lang w:val="es-CO"/>
        </w:rPr>
      </w:pPr>
      <w:r>
        <w:rPr>
          <w:rStyle w:val="Refdenotaalpie"/>
        </w:rPr>
        <w:footnoteRef/>
      </w:r>
      <w:r>
        <w:t xml:space="preserve"> </w:t>
      </w:r>
      <w:r>
        <w:rPr>
          <w:lang w:val="es-CO"/>
        </w:rPr>
        <w:t>Folio 56, cuaderno 1.</w:t>
      </w:r>
    </w:p>
  </w:footnote>
  <w:footnote w:id="22">
    <w:p w14:paraId="6ADD2E42" w14:textId="77777777" w:rsidR="00B328B7" w:rsidRPr="00924C45" w:rsidRDefault="00B328B7" w:rsidP="00BD7A00">
      <w:pPr>
        <w:pStyle w:val="Textonotapie"/>
        <w:rPr>
          <w:lang w:val="es-CO"/>
        </w:rPr>
      </w:pPr>
      <w:r>
        <w:rPr>
          <w:rStyle w:val="Refdenotaalpie"/>
        </w:rPr>
        <w:footnoteRef/>
      </w:r>
      <w:r>
        <w:t xml:space="preserve"> </w:t>
      </w:r>
      <w:r>
        <w:rPr>
          <w:lang w:val="es-CO"/>
        </w:rPr>
        <w:t xml:space="preserve">Folio 55 cuaderno 1. </w:t>
      </w:r>
    </w:p>
  </w:footnote>
  <w:footnote w:id="23">
    <w:p w14:paraId="424492FC" w14:textId="77777777" w:rsidR="00B328B7" w:rsidRPr="00CB4AE8" w:rsidRDefault="00B328B7" w:rsidP="00BD7A00">
      <w:pPr>
        <w:pStyle w:val="Textonotapie"/>
        <w:rPr>
          <w:lang w:val="es-CO"/>
        </w:rPr>
      </w:pPr>
      <w:r>
        <w:rPr>
          <w:rStyle w:val="Refdenotaalpie"/>
        </w:rPr>
        <w:footnoteRef/>
      </w:r>
      <w:r>
        <w:t xml:space="preserve"> Folio 70 cuaderno 1. </w:t>
      </w:r>
    </w:p>
  </w:footnote>
  <w:footnote w:id="24">
    <w:p w14:paraId="5BC7B4DF" w14:textId="77777777" w:rsidR="00B328B7" w:rsidRPr="004A447F" w:rsidRDefault="00B328B7" w:rsidP="00067B51">
      <w:pPr>
        <w:pStyle w:val="Textonotapie"/>
        <w:spacing w:line="240" w:lineRule="auto"/>
        <w:rPr>
          <w:lang w:val="es-CO"/>
        </w:rPr>
      </w:pPr>
      <w:r w:rsidRPr="004A447F">
        <w:rPr>
          <w:rStyle w:val="Refdenotaalpie"/>
          <w:i/>
        </w:rPr>
        <w:footnoteRef/>
      </w:r>
      <w:r w:rsidRPr="004A447F">
        <w:rPr>
          <w:i/>
        </w:rPr>
        <w:t xml:space="preserve"> </w:t>
      </w:r>
      <w:bookmarkStart w:id="6" w:name="168"/>
      <w:r w:rsidRPr="004A447F">
        <w:rPr>
          <w:i/>
        </w:rPr>
        <w:t>“</w:t>
      </w:r>
      <w:r w:rsidRPr="004A447F">
        <w:rPr>
          <w:rFonts w:cs="Arial"/>
          <w:b/>
          <w:bCs/>
          <w:i/>
        </w:rPr>
        <w:t>Artículo 168 C.P.C.A. Falta de Jurisdicción o de Competencia.</w:t>
      </w:r>
      <w:bookmarkEnd w:id="6"/>
      <w:r w:rsidRPr="004A447F">
        <w:rPr>
          <w:rStyle w:val="apple-converted-space"/>
          <w:rFonts w:cs="Arial"/>
          <w:i/>
        </w:rPr>
        <w:t> </w:t>
      </w:r>
      <w:r w:rsidRPr="004A447F">
        <w:rPr>
          <w:rFonts w:cs="Arial"/>
          <w:i/>
        </w:rPr>
        <w:t xml:space="preserve">En caso de falta de jurisdicción o de competencia, mediante decisión motivada el Juez ordenará remitir el expediente al competente, en caso de que existiere, a la mayor brevedad posible. </w:t>
      </w:r>
      <w:r w:rsidRPr="004A447F">
        <w:rPr>
          <w:rFonts w:cs="Arial"/>
          <w:b/>
          <w:i/>
        </w:rPr>
        <w:t xml:space="preserve">Para todos los efectos legales se tendrá en cuenta la presentación inicial hecha ante la corporación o juzgado que ordena la remisión”. </w:t>
      </w:r>
      <w:r w:rsidRPr="004A447F">
        <w:rPr>
          <w:rFonts w:cs="Arial"/>
          <w:b/>
        </w:rPr>
        <w:t>(</w:t>
      </w:r>
      <w:r w:rsidRPr="004A447F">
        <w:rPr>
          <w:rFonts w:cs="Arial"/>
        </w:rPr>
        <w:t>La negrilla no es del texto).</w:t>
      </w:r>
    </w:p>
  </w:footnote>
  <w:footnote w:id="25">
    <w:p w14:paraId="1772BB5C" w14:textId="77777777" w:rsidR="00B328B7" w:rsidRPr="004B5C01" w:rsidRDefault="00B328B7">
      <w:pPr>
        <w:pStyle w:val="Textonotapie"/>
        <w:rPr>
          <w:lang w:val="es-CO"/>
        </w:rPr>
      </w:pPr>
      <w:r>
        <w:rPr>
          <w:rStyle w:val="Refdenotaalpie"/>
        </w:rPr>
        <w:footnoteRef/>
      </w:r>
      <w:r>
        <w:t xml:space="preserve"> </w:t>
      </w:r>
      <w:r>
        <w:rPr>
          <w:lang w:val="es-CO"/>
        </w:rPr>
        <w:t>Folio 400, cuaderno principal, página 34 del laudo arbitral.</w:t>
      </w:r>
    </w:p>
  </w:footnote>
  <w:footnote w:id="26">
    <w:p w14:paraId="278A84ED" w14:textId="77777777" w:rsidR="00B328B7" w:rsidRPr="00580B35" w:rsidRDefault="00B328B7">
      <w:pPr>
        <w:pStyle w:val="Textonotapie"/>
        <w:rPr>
          <w:lang w:val="es-CO"/>
        </w:rPr>
      </w:pPr>
      <w:r>
        <w:rPr>
          <w:rStyle w:val="Refdenotaalpie"/>
        </w:rPr>
        <w:footnoteRef/>
      </w:r>
      <w:r>
        <w:t xml:space="preserve"> </w:t>
      </w:r>
      <w:r>
        <w:rPr>
          <w:lang w:val="es-CO"/>
        </w:rPr>
        <w:t>Folio 88 cuaderno 3.</w:t>
      </w:r>
    </w:p>
  </w:footnote>
  <w:footnote w:id="27">
    <w:p w14:paraId="081A3D09" w14:textId="77777777" w:rsidR="00B328B7" w:rsidRPr="00977622" w:rsidRDefault="00B328B7" w:rsidP="00CA1430">
      <w:pPr>
        <w:pStyle w:val="NormalWeb"/>
        <w:shd w:val="clear" w:color="auto" w:fill="FFFFFF"/>
        <w:spacing w:before="0" w:beforeAutospacing="0" w:line="240" w:lineRule="auto"/>
        <w:rPr>
          <w:b/>
          <w:lang w:val="es-CO"/>
        </w:rPr>
      </w:pPr>
      <w:r w:rsidRPr="00903C7C">
        <w:rPr>
          <w:rStyle w:val="Refdenotaalpie"/>
          <w:i/>
          <w:sz w:val="20"/>
          <w:szCs w:val="20"/>
        </w:rPr>
        <w:footnoteRef/>
      </w:r>
      <w:r w:rsidRPr="00903C7C">
        <w:rPr>
          <w:i/>
          <w:sz w:val="20"/>
          <w:szCs w:val="20"/>
        </w:rPr>
        <w:t xml:space="preserve"> </w:t>
      </w:r>
      <w:r w:rsidRPr="00903C7C">
        <w:rPr>
          <w:rFonts w:cs="Arial"/>
          <w:b/>
          <w:bCs/>
          <w:i/>
          <w:color w:val="000000"/>
          <w:sz w:val="20"/>
          <w:szCs w:val="20"/>
        </w:rPr>
        <w:t>Artículo 62.</w:t>
      </w:r>
      <w:r w:rsidRPr="00903C7C">
        <w:rPr>
          <w:rFonts w:cs="Arial"/>
          <w:i/>
          <w:color w:val="000000"/>
          <w:sz w:val="20"/>
          <w:szCs w:val="20"/>
        </w:rPr>
        <w:t xml:space="preserve"> Solicitud. </w:t>
      </w:r>
      <w:r w:rsidR="00CA1430">
        <w:rPr>
          <w:rFonts w:cs="Arial"/>
          <w:i/>
          <w:color w:val="000000"/>
          <w:sz w:val="20"/>
          <w:szCs w:val="20"/>
        </w:rPr>
        <w:t xml:space="preserve">(…).// </w:t>
      </w:r>
      <w:r w:rsidRPr="00903C7C">
        <w:rPr>
          <w:rFonts w:cs="Arial"/>
          <w:i/>
          <w:color w:val="000000"/>
          <w:sz w:val="20"/>
          <w:szCs w:val="20"/>
        </w:rPr>
        <w:t xml:space="preserve">El término de caducidad no correrá desde el recibo de la solicitud en el despacho del Agente del Ministerio Público, hasta por un plazo que no exceda de sesenta (60) días. </w:t>
      </w:r>
      <w:r w:rsidRPr="00903C7C">
        <w:rPr>
          <w:rFonts w:cs="Arial"/>
          <w:b/>
          <w:i/>
          <w:color w:val="000000"/>
          <w:sz w:val="20"/>
          <w:szCs w:val="20"/>
        </w:rPr>
        <w:t>Para este efecto, el plazo de caducidad se entenderá adicionado por el de duración de la etapa conciliatoria</w:t>
      </w:r>
      <w:r w:rsidR="00CA1430">
        <w:rPr>
          <w:rFonts w:cs="Arial"/>
          <w:b/>
          <w:i/>
          <w:color w:val="000000"/>
          <w:sz w:val="20"/>
          <w:szCs w:val="20"/>
        </w:rPr>
        <w:t xml:space="preserve">”. </w:t>
      </w:r>
      <w:r w:rsidR="00CA1430" w:rsidRPr="00977622">
        <w:rPr>
          <w:rFonts w:cs="Arial"/>
          <w:b/>
          <w:color w:val="000000"/>
          <w:sz w:val="20"/>
          <w:szCs w:val="20"/>
        </w:rPr>
        <w:t>(</w:t>
      </w:r>
      <w:r w:rsidR="00CA1430" w:rsidRPr="00977622">
        <w:rPr>
          <w:rFonts w:cs="Arial"/>
          <w:color w:val="000000"/>
          <w:sz w:val="20"/>
          <w:szCs w:val="20"/>
        </w:rPr>
        <w:t>La negrilla no es del texto)</w:t>
      </w:r>
      <w:r w:rsidRPr="00977622">
        <w:rPr>
          <w:rFonts w:cs="Arial"/>
          <w:color w:val="000000"/>
          <w:sz w:val="20"/>
          <w:szCs w:val="20"/>
        </w:rPr>
        <w:t>.</w:t>
      </w:r>
    </w:p>
  </w:footnote>
  <w:footnote w:id="28">
    <w:p w14:paraId="71A439F0" w14:textId="77777777" w:rsidR="00977622" w:rsidRPr="00977622" w:rsidRDefault="00B328B7" w:rsidP="00977622">
      <w:pPr>
        <w:pStyle w:val="NormalWeb"/>
        <w:shd w:val="clear" w:color="auto" w:fill="FFFFFF"/>
        <w:spacing w:before="0" w:beforeAutospacing="0" w:line="240" w:lineRule="auto"/>
        <w:rPr>
          <w:b/>
          <w:lang w:val="es-CO"/>
        </w:rPr>
      </w:pPr>
      <w:r w:rsidRPr="0092576A">
        <w:rPr>
          <w:rStyle w:val="Refdenotaalpie"/>
          <w:sz w:val="20"/>
          <w:szCs w:val="20"/>
        </w:rPr>
        <w:footnoteRef/>
      </w:r>
      <w:r w:rsidRPr="0092576A">
        <w:rPr>
          <w:sz w:val="20"/>
          <w:szCs w:val="20"/>
        </w:rPr>
        <w:t xml:space="preserve"> Ley 446 de 1998, </w:t>
      </w:r>
      <w:r w:rsidRPr="0092576A">
        <w:rPr>
          <w:rFonts w:cs="Arial"/>
          <w:i/>
          <w:sz w:val="20"/>
          <w:szCs w:val="20"/>
          <w:lang w:val="es-CO" w:eastAsia="es-CO"/>
        </w:rPr>
        <w:t xml:space="preserve">“Artículo 80. </w:t>
      </w:r>
      <w:r w:rsidR="00977622">
        <w:rPr>
          <w:rFonts w:cs="Arial"/>
          <w:i/>
          <w:sz w:val="20"/>
          <w:szCs w:val="20"/>
          <w:lang w:val="es-CO" w:eastAsia="es-CO"/>
        </w:rPr>
        <w:t xml:space="preserve">(…)// </w:t>
      </w:r>
      <w:r w:rsidRPr="0092576A">
        <w:rPr>
          <w:rFonts w:cs="Arial"/>
          <w:i/>
          <w:sz w:val="20"/>
          <w:szCs w:val="20"/>
          <w:lang w:val="es-CO" w:eastAsia="es-CO"/>
        </w:rPr>
        <w:t xml:space="preserve">“El término de caducidad no correrá desde el recibo de la solicitud en el despacho del Agente del Ministerio Público, hasta por un plazo que no exceda de sesenta (60) días. Para este efecto, </w:t>
      </w:r>
      <w:r w:rsidRPr="0092576A">
        <w:rPr>
          <w:rFonts w:cs="Arial"/>
          <w:b/>
          <w:i/>
          <w:sz w:val="20"/>
          <w:szCs w:val="20"/>
          <w:lang w:val="es-CO" w:eastAsia="es-CO"/>
        </w:rPr>
        <w:t>el plazo de caducidad se entenderá adicionado por el de duración de la etapa conciliatoria.</w:t>
      </w:r>
      <w:r w:rsidRPr="0092576A">
        <w:rPr>
          <w:rFonts w:cs="Arial"/>
          <w:i/>
          <w:sz w:val="20"/>
          <w:szCs w:val="20"/>
          <w:lang w:val="es-CO" w:eastAsia="es-CO"/>
        </w:rPr>
        <w:t xml:space="preserve">   </w:t>
      </w:r>
      <w:r w:rsidR="00977622" w:rsidRPr="00977622">
        <w:rPr>
          <w:rFonts w:cs="Arial"/>
          <w:b/>
          <w:color w:val="000000"/>
          <w:sz w:val="20"/>
          <w:szCs w:val="20"/>
        </w:rPr>
        <w:t>(</w:t>
      </w:r>
      <w:r w:rsidR="00977622" w:rsidRPr="00977622">
        <w:rPr>
          <w:rFonts w:cs="Arial"/>
          <w:color w:val="000000"/>
          <w:sz w:val="20"/>
          <w:szCs w:val="20"/>
        </w:rPr>
        <w:t>La negrilla no es del texto).</w:t>
      </w:r>
    </w:p>
    <w:p w14:paraId="444FAAD1" w14:textId="77777777" w:rsidR="00B328B7" w:rsidRPr="0092576A" w:rsidRDefault="00B328B7">
      <w:pPr>
        <w:pStyle w:val="Textonotapie"/>
        <w:rPr>
          <w:lang w:val="es-CO"/>
        </w:rPr>
      </w:pPr>
    </w:p>
  </w:footnote>
  <w:footnote w:id="29">
    <w:p w14:paraId="3F58ECDE" w14:textId="77777777" w:rsidR="00B328B7" w:rsidRPr="005A1CFE" w:rsidRDefault="00B328B7" w:rsidP="007458A4">
      <w:pPr>
        <w:pStyle w:val="Textonotapie"/>
        <w:spacing w:line="240" w:lineRule="auto"/>
        <w:rPr>
          <w:rFonts w:cs="Arial"/>
        </w:rPr>
      </w:pPr>
      <w:r>
        <w:rPr>
          <w:rStyle w:val="Refdenotaalpie"/>
        </w:rPr>
        <w:footnoteRef/>
      </w:r>
      <w:r>
        <w:t xml:space="preserve"> </w:t>
      </w:r>
      <w:r w:rsidR="00395343" w:rsidRPr="00395343">
        <w:rPr>
          <w:rFonts w:cs="Arial"/>
          <w:bCs/>
          <w:color w:val="000000"/>
        </w:rPr>
        <w:t>Consejo de Estado, Sección</w:t>
      </w:r>
      <w:r w:rsidR="006E75EE">
        <w:rPr>
          <w:rFonts w:cs="Arial"/>
          <w:bCs/>
          <w:color w:val="000000"/>
        </w:rPr>
        <w:t xml:space="preserve"> Tercera, Consejero Ponente: Alí</w:t>
      </w:r>
      <w:r w:rsidR="006E75EE" w:rsidRPr="00395343">
        <w:rPr>
          <w:rFonts w:cs="Arial"/>
          <w:bCs/>
          <w:color w:val="000000"/>
        </w:rPr>
        <w:t>e</w:t>
      </w:r>
      <w:r w:rsidR="006E75EE">
        <w:rPr>
          <w:rFonts w:cs="Arial"/>
          <w:bCs/>
          <w:color w:val="000000"/>
        </w:rPr>
        <w:t>r</w:t>
      </w:r>
      <w:r w:rsidR="00395343" w:rsidRPr="00395343">
        <w:rPr>
          <w:rFonts w:cs="Arial"/>
          <w:bCs/>
          <w:color w:val="000000"/>
        </w:rPr>
        <w:t xml:space="preserve"> Eduardo Hernández Enríquez, número</w:t>
      </w:r>
      <w:r w:rsidR="00395343" w:rsidRPr="00E558B1">
        <w:rPr>
          <w:rFonts w:cs="Arial"/>
          <w:b/>
          <w:bCs/>
          <w:color w:val="000000"/>
        </w:rPr>
        <w:t xml:space="preserve"> </w:t>
      </w:r>
      <w:r w:rsidR="00395343" w:rsidRPr="00E558B1">
        <w:rPr>
          <w:rFonts w:cs="Arial"/>
          <w:color w:val="000000"/>
        </w:rPr>
        <w:t xml:space="preserve">radicación 5000123310002002014001(23659), </w:t>
      </w:r>
      <w:r w:rsidR="00395343">
        <w:rPr>
          <w:rFonts w:cs="Arial"/>
          <w:color w:val="000000"/>
        </w:rPr>
        <w:t>auto</w:t>
      </w:r>
      <w:r w:rsidR="00395343" w:rsidRPr="00E558B1">
        <w:rPr>
          <w:rFonts w:cs="Arial"/>
          <w:color w:val="000000"/>
        </w:rPr>
        <w:t xml:space="preserve"> de 15/03/2003</w:t>
      </w:r>
      <w:r w:rsidR="00395343">
        <w:rPr>
          <w:rFonts w:cs="Arial"/>
          <w:color w:val="000000"/>
        </w:rPr>
        <w:t xml:space="preserve">; </w:t>
      </w:r>
      <w:r w:rsidR="007458A4" w:rsidRPr="007458A4">
        <w:t>C</w:t>
      </w:r>
      <w:r w:rsidRPr="007458A4">
        <w:rPr>
          <w:rFonts w:cs="Arial"/>
          <w:bCs/>
          <w:color w:val="000000"/>
        </w:rPr>
        <w:t xml:space="preserve">onsejo de </w:t>
      </w:r>
      <w:r w:rsidR="007458A4" w:rsidRPr="007458A4">
        <w:rPr>
          <w:rFonts w:cs="Arial"/>
          <w:bCs/>
          <w:color w:val="000000"/>
        </w:rPr>
        <w:t>E</w:t>
      </w:r>
      <w:r w:rsidRPr="007458A4">
        <w:rPr>
          <w:rFonts w:cs="Arial"/>
          <w:bCs/>
          <w:color w:val="000000"/>
        </w:rPr>
        <w:t xml:space="preserve">stado, Sección </w:t>
      </w:r>
      <w:r w:rsidR="00677321">
        <w:rPr>
          <w:rFonts w:cs="Arial"/>
          <w:bCs/>
          <w:color w:val="000000"/>
        </w:rPr>
        <w:t>T</w:t>
      </w:r>
      <w:r w:rsidRPr="007458A4">
        <w:rPr>
          <w:rFonts w:cs="Arial"/>
          <w:bCs/>
          <w:color w:val="000000"/>
        </w:rPr>
        <w:t xml:space="preserve">ercera, </w:t>
      </w:r>
      <w:r w:rsidRPr="00395343">
        <w:rPr>
          <w:rFonts w:cs="Arial"/>
          <w:bCs/>
          <w:color w:val="000000"/>
        </w:rPr>
        <w:t>radicación</w:t>
      </w:r>
      <w:r w:rsidRPr="00395343">
        <w:rPr>
          <w:rFonts w:cs="Arial"/>
          <w:color w:val="000000"/>
        </w:rPr>
        <w:t xml:space="preserve"> 76001-23-31-000-2003-04309-01 (27674),</w:t>
      </w:r>
      <w:r w:rsidR="007458A4" w:rsidRPr="00395343">
        <w:rPr>
          <w:rFonts w:cs="Arial"/>
          <w:color w:val="000000"/>
        </w:rPr>
        <w:t xml:space="preserve"> </w:t>
      </w:r>
      <w:r w:rsidRPr="00395343">
        <w:rPr>
          <w:rFonts w:cs="Arial"/>
          <w:color w:val="000000"/>
        </w:rPr>
        <w:t>auto de 13/03/2006,  Consejero</w:t>
      </w:r>
      <w:r>
        <w:rPr>
          <w:rFonts w:cs="Arial"/>
          <w:color w:val="000000"/>
        </w:rPr>
        <w:t xml:space="preserve"> </w:t>
      </w:r>
      <w:r w:rsidRPr="00395343">
        <w:rPr>
          <w:rFonts w:cs="Arial"/>
        </w:rPr>
        <w:t>P</w:t>
      </w:r>
      <w:r w:rsidRPr="00395343">
        <w:rPr>
          <w:rFonts w:cs="Arial"/>
          <w:bCs/>
        </w:rPr>
        <w:t>onente:</w:t>
      </w:r>
      <w:r w:rsidRPr="0055247F">
        <w:rPr>
          <w:rStyle w:val="apple-converted-space"/>
          <w:rFonts w:cs="Arial"/>
          <w:bCs/>
          <w:color w:val="7D3B05"/>
        </w:rPr>
        <w:t> </w:t>
      </w:r>
      <w:r w:rsidRPr="00677321">
        <w:rPr>
          <w:rStyle w:val="apple-converted-space"/>
          <w:rFonts w:cs="Arial"/>
          <w:bCs/>
        </w:rPr>
        <w:t>G</w:t>
      </w:r>
      <w:r w:rsidRPr="0055247F">
        <w:rPr>
          <w:rFonts w:cs="Arial"/>
          <w:color w:val="000000"/>
        </w:rPr>
        <w:t>ermán Rodriguez Villamizar</w:t>
      </w:r>
      <w:r w:rsidRPr="00395343">
        <w:rPr>
          <w:rFonts w:cs="Arial"/>
        </w:rPr>
        <w:t>, a</w:t>
      </w:r>
      <w:r w:rsidRPr="00395343">
        <w:rPr>
          <w:rFonts w:cs="Arial"/>
          <w:bCs/>
        </w:rPr>
        <w:t>ctor:</w:t>
      </w:r>
      <w:r w:rsidRPr="00395343">
        <w:rPr>
          <w:rStyle w:val="apple-converted-space"/>
          <w:rFonts w:cs="Arial"/>
          <w:bCs/>
        </w:rPr>
        <w:t> </w:t>
      </w:r>
      <w:r w:rsidR="006E75EE" w:rsidRPr="00395343">
        <w:rPr>
          <w:rStyle w:val="apple-converted-space"/>
          <w:rFonts w:cs="Arial"/>
          <w:bCs/>
        </w:rPr>
        <w:t>R</w:t>
      </w:r>
      <w:r w:rsidR="006E75EE" w:rsidRPr="0055247F">
        <w:rPr>
          <w:rFonts w:cs="Arial"/>
          <w:color w:val="000000"/>
        </w:rPr>
        <w:t>aúl</w:t>
      </w:r>
      <w:r w:rsidRPr="0055247F">
        <w:rPr>
          <w:rFonts w:cs="Arial"/>
          <w:color w:val="000000"/>
        </w:rPr>
        <w:t xml:space="preserve"> Bedoya Vásquez y otros</w:t>
      </w:r>
      <w:r w:rsidR="00E006A7">
        <w:rPr>
          <w:rFonts w:cs="Arial"/>
          <w:color w:val="000000"/>
        </w:rPr>
        <w:t>¸</w:t>
      </w:r>
      <w:r w:rsidR="00E006A7" w:rsidRPr="00E006A7">
        <w:rPr>
          <w:rFonts w:cs="Arial"/>
          <w:b/>
          <w:bCs/>
          <w:color w:val="000000"/>
        </w:rPr>
        <w:t xml:space="preserve"> </w:t>
      </w:r>
      <w:r w:rsidR="005A1CFE" w:rsidRPr="005A1CFE">
        <w:rPr>
          <w:rFonts w:cs="Arial"/>
          <w:bCs/>
          <w:color w:val="000000"/>
        </w:rPr>
        <w:t xml:space="preserve">Consejo </w:t>
      </w:r>
      <w:r w:rsidR="005A1CFE">
        <w:rPr>
          <w:rFonts w:cs="Arial"/>
          <w:bCs/>
          <w:color w:val="000000"/>
        </w:rPr>
        <w:t>d</w:t>
      </w:r>
      <w:r w:rsidR="005A1CFE" w:rsidRPr="005A1CFE">
        <w:rPr>
          <w:rFonts w:cs="Arial"/>
          <w:bCs/>
          <w:color w:val="000000"/>
        </w:rPr>
        <w:t>e Estado</w:t>
      </w:r>
      <w:r w:rsidR="005A1CFE">
        <w:rPr>
          <w:rFonts w:cs="Arial"/>
          <w:bCs/>
          <w:color w:val="000000"/>
        </w:rPr>
        <w:t>,</w:t>
      </w:r>
      <w:r w:rsidR="00E006A7" w:rsidRPr="00E006A7">
        <w:rPr>
          <w:rFonts w:cs="Arial"/>
          <w:color w:val="000000"/>
        </w:rPr>
        <w:t xml:space="preserve"> </w:t>
      </w:r>
      <w:r w:rsidR="005A1CFE" w:rsidRPr="00E558B1">
        <w:rPr>
          <w:rFonts w:cs="Arial"/>
          <w:color w:val="000000"/>
        </w:rPr>
        <w:t>Secci</w:t>
      </w:r>
      <w:r w:rsidR="005A1CFE">
        <w:rPr>
          <w:rFonts w:cs="Arial"/>
          <w:color w:val="000000"/>
        </w:rPr>
        <w:t>ó</w:t>
      </w:r>
      <w:r w:rsidR="005A1CFE" w:rsidRPr="00E558B1">
        <w:rPr>
          <w:rFonts w:cs="Arial"/>
          <w:color w:val="000000"/>
        </w:rPr>
        <w:t>n Tercera</w:t>
      </w:r>
      <w:r w:rsidR="005A1CFE">
        <w:rPr>
          <w:rFonts w:cs="Arial"/>
          <w:color w:val="000000"/>
        </w:rPr>
        <w:t>,</w:t>
      </w:r>
      <w:r w:rsidR="005A1CFE" w:rsidRPr="00E558B1">
        <w:rPr>
          <w:rFonts w:cs="Arial"/>
          <w:color w:val="000000"/>
        </w:rPr>
        <w:t xml:space="preserve"> Subsecci</w:t>
      </w:r>
      <w:r w:rsidR="005A1CFE">
        <w:rPr>
          <w:rFonts w:cs="Arial"/>
          <w:color w:val="000000"/>
        </w:rPr>
        <w:t>ó</w:t>
      </w:r>
      <w:r w:rsidR="005A1CFE" w:rsidRPr="00E558B1">
        <w:rPr>
          <w:rFonts w:cs="Arial"/>
          <w:color w:val="000000"/>
        </w:rPr>
        <w:t>n A</w:t>
      </w:r>
      <w:r w:rsidR="005A1CFE">
        <w:rPr>
          <w:rFonts w:cs="Arial"/>
          <w:color w:val="000000"/>
        </w:rPr>
        <w:t xml:space="preserve">, Radicación, </w:t>
      </w:r>
      <w:r w:rsidR="005A1CFE" w:rsidRPr="00E558B1">
        <w:rPr>
          <w:rFonts w:cs="Arial"/>
          <w:color w:val="000000"/>
        </w:rPr>
        <w:t>68001233100020020200401</w:t>
      </w:r>
      <w:r w:rsidR="005A1CFE">
        <w:rPr>
          <w:rFonts w:cs="Arial"/>
          <w:color w:val="000000"/>
        </w:rPr>
        <w:t xml:space="preserve"> (</w:t>
      </w:r>
      <w:r w:rsidR="005A1CFE" w:rsidRPr="00E558B1">
        <w:rPr>
          <w:rFonts w:cs="Arial"/>
          <w:color w:val="000000"/>
        </w:rPr>
        <w:t>35930</w:t>
      </w:r>
      <w:r w:rsidR="005A1CFE">
        <w:rPr>
          <w:rFonts w:cs="Arial"/>
          <w:color w:val="000000"/>
        </w:rPr>
        <w:t>), sentencia de 29 de mayo de 2014, Consejero Ponente</w:t>
      </w:r>
      <w:r w:rsidR="005A1CFE">
        <w:rPr>
          <w:rStyle w:val="apple-converted-space"/>
          <w:rFonts w:cs="Arial"/>
          <w:b/>
          <w:bCs/>
          <w:color w:val="7D3B05"/>
        </w:rPr>
        <w:t>:</w:t>
      </w:r>
      <w:r w:rsidR="005A1CFE" w:rsidRPr="00E558B1">
        <w:rPr>
          <w:rStyle w:val="apple-converted-space"/>
          <w:rFonts w:cs="Arial"/>
          <w:b/>
          <w:bCs/>
          <w:color w:val="7D3B05"/>
        </w:rPr>
        <w:t> </w:t>
      </w:r>
      <w:r w:rsidR="005A1CFE" w:rsidRPr="00E558B1">
        <w:rPr>
          <w:rFonts w:cs="Arial"/>
          <w:color w:val="000000"/>
        </w:rPr>
        <w:t>Hern</w:t>
      </w:r>
      <w:r w:rsidR="005A1CFE">
        <w:rPr>
          <w:rFonts w:cs="Arial"/>
          <w:color w:val="000000"/>
        </w:rPr>
        <w:t>á</w:t>
      </w:r>
      <w:r w:rsidR="005A1CFE" w:rsidRPr="00E558B1">
        <w:rPr>
          <w:rFonts w:cs="Arial"/>
          <w:color w:val="000000"/>
        </w:rPr>
        <w:t xml:space="preserve">n Andrade </w:t>
      </w:r>
      <w:r w:rsidR="006E75EE" w:rsidRPr="00E558B1">
        <w:rPr>
          <w:rFonts w:cs="Arial"/>
          <w:color w:val="000000"/>
        </w:rPr>
        <w:t>Rincón</w:t>
      </w:r>
      <w:r w:rsidR="005A1CFE" w:rsidRPr="00E558B1">
        <w:rPr>
          <w:rFonts w:cs="Arial"/>
          <w:color w:val="000000"/>
        </w:rPr>
        <w:t xml:space="preserve"> (E)</w:t>
      </w:r>
      <w:r w:rsidR="005A1CFE">
        <w:rPr>
          <w:rFonts w:cs="Arial"/>
          <w:color w:val="000000"/>
        </w:rPr>
        <w:t xml:space="preserve">, </w:t>
      </w:r>
      <w:r w:rsidR="005A1CFE" w:rsidRPr="005A1CFE">
        <w:rPr>
          <w:rFonts w:cs="Arial"/>
        </w:rPr>
        <w:t>a</w:t>
      </w:r>
      <w:r w:rsidR="005A1CFE" w:rsidRPr="005A1CFE">
        <w:rPr>
          <w:rFonts w:cs="Arial"/>
          <w:bCs/>
        </w:rPr>
        <w:t xml:space="preserve">ctor </w:t>
      </w:r>
      <w:r w:rsidR="005A1CFE" w:rsidRPr="00E558B1">
        <w:rPr>
          <w:rFonts w:cs="Arial"/>
          <w:b/>
          <w:bCs/>
          <w:color w:val="7D3B05"/>
        </w:rPr>
        <w:t>:</w:t>
      </w:r>
      <w:r w:rsidR="005A1CFE" w:rsidRPr="00E558B1">
        <w:rPr>
          <w:rStyle w:val="apple-converted-space"/>
          <w:rFonts w:cs="Arial"/>
          <w:b/>
          <w:bCs/>
          <w:color w:val="7D3B05"/>
        </w:rPr>
        <w:t> </w:t>
      </w:r>
      <w:r w:rsidR="005A1CFE" w:rsidRPr="00E558B1">
        <w:rPr>
          <w:rFonts w:cs="Arial"/>
          <w:color w:val="000000"/>
        </w:rPr>
        <w:t>Hector Julio Dueñas D</w:t>
      </w:r>
      <w:r w:rsidR="005A1CFE">
        <w:rPr>
          <w:rFonts w:cs="Arial"/>
          <w:color w:val="000000"/>
        </w:rPr>
        <w:t>í</w:t>
      </w:r>
      <w:r w:rsidR="005A1CFE" w:rsidRPr="00E558B1">
        <w:rPr>
          <w:rFonts w:cs="Arial"/>
          <w:color w:val="000000"/>
        </w:rPr>
        <w:t xml:space="preserve">az </w:t>
      </w:r>
      <w:r w:rsidR="005A1CFE">
        <w:rPr>
          <w:rFonts w:cs="Arial"/>
          <w:color w:val="000000"/>
        </w:rPr>
        <w:t>y</w:t>
      </w:r>
      <w:r w:rsidR="005A1CFE" w:rsidRPr="00E558B1">
        <w:rPr>
          <w:rFonts w:cs="Arial"/>
          <w:color w:val="000000"/>
        </w:rPr>
        <w:t xml:space="preserve"> </w:t>
      </w:r>
      <w:r w:rsidR="005A1CFE">
        <w:rPr>
          <w:rFonts w:cs="Arial"/>
          <w:color w:val="000000"/>
        </w:rPr>
        <w:t>o</w:t>
      </w:r>
      <w:r w:rsidR="005A1CFE" w:rsidRPr="00E558B1">
        <w:rPr>
          <w:rFonts w:cs="Arial"/>
          <w:color w:val="000000"/>
        </w:rPr>
        <w:t>tros</w:t>
      </w:r>
      <w:r w:rsidR="005A1CFE" w:rsidRPr="005A1CFE">
        <w:rPr>
          <w:rFonts w:cs="Arial"/>
        </w:rPr>
        <w:t>, d</w:t>
      </w:r>
      <w:r w:rsidR="005A1CFE" w:rsidRPr="005A1CFE">
        <w:rPr>
          <w:rFonts w:cs="Arial"/>
          <w:bCs/>
        </w:rPr>
        <w:t>emandado</w:t>
      </w:r>
      <w:r w:rsidR="005A1CFE" w:rsidRPr="005A1CFE">
        <w:rPr>
          <w:rFonts w:cs="Arial"/>
          <w:b/>
          <w:bCs/>
        </w:rPr>
        <w:t xml:space="preserve"> : </w:t>
      </w:r>
      <w:r w:rsidR="005A1CFE" w:rsidRPr="005A1CFE">
        <w:rPr>
          <w:rFonts w:cs="Arial"/>
        </w:rPr>
        <w:t>Fiscal</w:t>
      </w:r>
      <w:r w:rsidR="00F27666">
        <w:rPr>
          <w:rFonts w:cs="Arial"/>
        </w:rPr>
        <w:t>í</w:t>
      </w:r>
      <w:r w:rsidR="005A1CFE" w:rsidRPr="005A1CFE">
        <w:rPr>
          <w:rFonts w:cs="Arial"/>
        </w:rPr>
        <w:t xml:space="preserve">a General </w:t>
      </w:r>
      <w:r w:rsidR="00F27666">
        <w:rPr>
          <w:rFonts w:cs="Arial"/>
        </w:rPr>
        <w:t>d</w:t>
      </w:r>
      <w:r w:rsidR="005A1CFE" w:rsidRPr="005A1CFE">
        <w:rPr>
          <w:rFonts w:cs="Arial"/>
        </w:rPr>
        <w:t xml:space="preserve">e </w:t>
      </w:r>
      <w:r w:rsidR="00F27666">
        <w:rPr>
          <w:rFonts w:cs="Arial"/>
        </w:rPr>
        <w:t>l</w:t>
      </w:r>
      <w:r w:rsidR="005A1CFE" w:rsidRPr="005A1CFE">
        <w:rPr>
          <w:rFonts w:cs="Arial"/>
        </w:rPr>
        <w:t>a Naci</w:t>
      </w:r>
      <w:r w:rsidR="00F27666">
        <w:rPr>
          <w:rFonts w:cs="Arial"/>
        </w:rPr>
        <w:t>ó</w:t>
      </w:r>
      <w:r w:rsidR="005A1CFE" w:rsidRPr="005A1CFE">
        <w:rPr>
          <w:rFonts w:cs="Arial"/>
        </w:rPr>
        <w:t xml:space="preserve">n . </w:t>
      </w:r>
    </w:p>
    <w:p w14:paraId="5183CB6D" w14:textId="77777777" w:rsidR="007458A4" w:rsidRPr="005A1CFE" w:rsidRDefault="007458A4" w:rsidP="007458A4">
      <w:pPr>
        <w:pStyle w:val="Textonotapie"/>
        <w:spacing w:line="240" w:lineRule="auto"/>
        <w:rPr>
          <w:lang w:val="es-CO"/>
        </w:rPr>
      </w:pPr>
    </w:p>
  </w:footnote>
  <w:footnote w:id="30">
    <w:p w14:paraId="481FF914" w14:textId="77777777" w:rsidR="00B328B7" w:rsidRPr="00554F26" w:rsidRDefault="00B328B7" w:rsidP="007458A4">
      <w:pPr>
        <w:pStyle w:val="Textonotapie"/>
        <w:spacing w:line="240" w:lineRule="auto"/>
        <w:rPr>
          <w:lang w:val="es-CO"/>
        </w:rPr>
      </w:pPr>
      <w:r>
        <w:rPr>
          <w:rStyle w:val="Refdenotaalpie"/>
        </w:rPr>
        <w:footnoteRef/>
      </w:r>
      <w:r>
        <w:t xml:space="preserve"> </w:t>
      </w:r>
      <w:r>
        <w:rPr>
          <w:lang w:val="es-CO"/>
        </w:rPr>
        <w:t xml:space="preserve">Folios 389 a 399, cuaderno </w:t>
      </w:r>
      <w:r w:rsidR="0055247F">
        <w:rPr>
          <w:lang w:val="es-CO"/>
        </w:rPr>
        <w:t>p</w:t>
      </w:r>
      <w:r>
        <w:rPr>
          <w:lang w:val="es-CO"/>
        </w:rPr>
        <w:t>rincipal.</w:t>
      </w:r>
    </w:p>
  </w:footnote>
  <w:footnote w:id="31">
    <w:p w14:paraId="0DA33E00" w14:textId="77777777" w:rsidR="004F2C3C" w:rsidRPr="004F2C3C" w:rsidRDefault="004F2C3C" w:rsidP="00294199">
      <w:pPr>
        <w:pStyle w:val="Textonotapie"/>
        <w:spacing w:line="240" w:lineRule="auto"/>
        <w:rPr>
          <w:lang w:val="es-CO"/>
        </w:rPr>
      </w:pPr>
      <w:r w:rsidRPr="00E56D52">
        <w:rPr>
          <w:rStyle w:val="Refdenotaalpie"/>
        </w:rPr>
        <w:footnoteRef/>
      </w:r>
      <w:r w:rsidRPr="00E56D52">
        <w:t xml:space="preserve"> El artículo 164 del C</w:t>
      </w:r>
      <w:r w:rsidR="00FE5C76" w:rsidRPr="00E56D52">
        <w:t>.</w:t>
      </w:r>
      <w:r w:rsidRPr="00E56D52">
        <w:t>P</w:t>
      </w:r>
      <w:r w:rsidR="00FE5C76" w:rsidRPr="00E56D52">
        <w:t>.</w:t>
      </w:r>
      <w:r w:rsidRPr="00E56D52">
        <w:t>A</w:t>
      </w:r>
      <w:r w:rsidR="00FE5C76" w:rsidRPr="00E56D52">
        <w:t>.</w:t>
      </w:r>
      <w:r w:rsidRPr="00E56D52">
        <w:t>C</w:t>
      </w:r>
      <w:r w:rsidR="00FE5C76" w:rsidRPr="00E56D52">
        <w:t>.</w:t>
      </w:r>
      <w:r w:rsidRPr="00E56D52">
        <w:t>A</w:t>
      </w:r>
      <w:r w:rsidR="00FE5C76" w:rsidRPr="00E56D52">
        <w:t>.</w:t>
      </w:r>
      <w:r w:rsidRPr="00E56D52">
        <w:t xml:space="preserve"> varió la redacción con relación al numeral 10 letra d) del artículo 137 C.C.A., pero </w:t>
      </w:r>
      <w:r w:rsidR="00FE5C76" w:rsidRPr="00E56D52">
        <w:t xml:space="preserve">conservó la </w:t>
      </w:r>
      <w:r w:rsidR="00F86258" w:rsidRPr="00E56D52">
        <w:t xml:space="preserve">estructura del cómputo para la caducidad de la acción y la </w:t>
      </w:r>
      <w:r w:rsidR="00FE5C76" w:rsidRPr="00E56D52">
        <w:t>invocación al plazo de liquidación</w:t>
      </w:r>
      <w:r w:rsidR="0066101B" w:rsidRPr="00E56D52">
        <w:t xml:space="preserve"> dentro del </w:t>
      </w:r>
      <w:r w:rsidR="00F86258" w:rsidRPr="00E56D52">
        <w:t>mismo.</w:t>
      </w:r>
      <w:r w:rsidR="00FE5C76" w:rsidRPr="00E56D52">
        <w:t xml:space="preserve"> Se hace la precisión puesto que </w:t>
      </w:r>
      <w:r w:rsidR="00F86258" w:rsidRPr="00E56D52">
        <w:t xml:space="preserve">el Tribunal de Arbitramento no tuvo en cuenta que </w:t>
      </w:r>
      <w:r w:rsidR="00FE5C76" w:rsidRPr="00E56D52">
        <w:t>el término de la caducidad empezó a co</w:t>
      </w:r>
      <w:r w:rsidR="0066101B" w:rsidRPr="00E56D52">
        <w:t xml:space="preserve">rrer </w:t>
      </w:r>
      <w:r w:rsidR="00BF4AEF" w:rsidRPr="00E56D52">
        <w:t>antes de la entrada en vigencia del C.P.A.C.A. que tuvo lugar el 2 de julio de 2012</w:t>
      </w:r>
      <w:r w:rsidR="00F86258" w:rsidRPr="00E56D52">
        <w:t xml:space="preserve">. Sin embargo </w:t>
      </w:r>
      <w:r w:rsidR="00294199" w:rsidRPr="00E56D52">
        <w:t>en este caso particular el análisis  no se altera.</w:t>
      </w:r>
      <w:r w:rsidR="00294199">
        <w:t xml:space="preserve"> </w:t>
      </w:r>
    </w:p>
  </w:footnote>
  <w:footnote w:id="32">
    <w:p w14:paraId="4A8E2F49" w14:textId="77777777" w:rsidR="0095344F" w:rsidRPr="00D3141F" w:rsidRDefault="0095344F" w:rsidP="0095344F">
      <w:pPr>
        <w:pStyle w:val="Textonotapie"/>
        <w:spacing w:line="240" w:lineRule="auto"/>
        <w:rPr>
          <w:rFonts w:cs="Arial"/>
          <w:lang w:val="es-CO"/>
        </w:rPr>
      </w:pPr>
      <w:r w:rsidRPr="00E56D52">
        <w:rPr>
          <w:rStyle w:val="Refdenotaalpie"/>
        </w:rPr>
        <w:footnoteRef/>
      </w:r>
      <w:r w:rsidRPr="00E56D52">
        <w:t xml:space="preserve"> </w:t>
      </w:r>
      <w:r w:rsidRPr="00E56D52">
        <w:rPr>
          <w:rFonts w:cs="Arial"/>
          <w:lang w:val="es-CO"/>
        </w:rPr>
        <w:t xml:space="preserve">En igual sentido se ha realizado el cómputo de los días de suspensión del término de caducidad de la acción en relación con las acciones de conocimiento en las otras secciones de la Sala de lo Contencioso Administrativo del Consejo de Estado, aun frente a asuntos en los que se adelantó el trámite de conciliación sin ser un requisito de procedibilidad. Véase por ejemplo: </w:t>
      </w:r>
      <w:r w:rsidRPr="00E56D52">
        <w:rPr>
          <w:rFonts w:cs="Arial"/>
          <w:bCs/>
          <w:color w:val="000000"/>
        </w:rPr>
        <w:t>Consejo de Estado, Sección Cuarta, Consejero Ponente: Jorge Octavio Ramírez Ramírez</w:t>
      </w:r>
      <w:r w:rsidR="00431999" w:rsidRPr="00E56D52">
        <w:rPr>
          <w:rFonts w:cs="Arial"/>
          <w:bCs/>
          <w:color w:val="000000"/>
        </w:rPr>
        <w:t>,</w:t>
      </w:r>
      <w:r w:rsidRPr="00E56D52">
        <w:rPr>
          <w:rFonts w:cs="Arial"/>
          <w:color w:val="000000"/>
        </w:rPr>
        <w:t xml:space="preserve"> radicación:1900123330002012005710 (20855), auto de 21/05/2014;  </w:t>
      </w:r>
      <w:r w:rsidRPr="00E56D52">
        <w:rPr>
          <w:rFonts w:cs="Arial"/>
          <w:bCs/>
          <w:color w:val="000000"/>
        </w:rPr>
        <w:t xml:space="preserve">Consejo </w:t>
      </w:r>
      <w:r w:rsidR="00294199" w:rsidRPr="00E56D52">
        <w:rPr>
          <w:rFonts w:cs="Arial"/>
          <w:bCs/>
          <w:color w:val="000000"/>
        </w:rPr>
        <w:t>d</w:t>
      </w:r>
      <w:r w:rsidRPr="00E56D52">
        <w:rPr>
          <w:rFonts w:cs="Arial"/>
          <w:bCs/>
          <w:color w:val="000000"/>
        </w:rPr>
        <w:t>e Estado,</w:t>
      </w:r>
      <w:r w:rsidRPr="00E56D52">
        <w:rPr>
          <w:rFonts w:cs="Arial"/>
          <w:b/>
          <w:bCs/>
          <w:color w:val="000000"/>
        </w:rPr>
        <w:t xml:space="preserve"> </w:t>
      </w:r>
      <w:r w:rsidRPr="00E56D52">
        <w:rPr>
          <w:rFonts w:cs="Arial"/>
          <w:color w:val="000000"/>
        </w:rPr>
        <w:t xml:space="preserve">Sección Cuarta, Consejero Ponente: Hugo Fernando Bastidas, radicación: 52001233100020120011301 (20224) auto de 06/11/2013;  </w:t>
      </w:r>
      <w:r w:rsidRPr="00E56D52">
        <w:rPr>
          <w:rFonts w:cs="Arial"/>
          <w:bCs/>
          <w:color w:val="000000"/>
        </w:rPr>
        <w:t>Consejo de Estado, Sección Primera, Consejera Ponente: Maria Claudia Rojas Lasso,</w:t>
      </w:r>
      <w:r w:rsidRPr="00E56D52">
        <w:rPr>
          <w:rFonts w:cs="Arial"/>
          <w:b/>
          <w:bCs/>
          <w:color w:val="000000"/>
        </w:rPr>
        <w:t xml:space="preserve"> </w:t>
      </w:r>
      <w:r w:rsidRPr="00E56D52">
        <w:rPr>
          <w:rFonts w:cs="Arial"/>
          <w:color w:val="000000"/>
        </w:rPr>
        <w:t xml:space="preserve">radicación 25000232400020100056801, auto, 06/09/2012; </w:t>
      </w:r>
      <w:r w:rsidRPr="00E56D52">
        <w:rPr>
          <w:rFonts w:cs="Arial"/>
          <w:bCs/>
          <w:color w:val="000000"/>
        </w:rPr>
        <w:t xml:space="preserve">Consejo de Estado, Sección Segunda,  Consejero Ponente: Alfonso Vargas Rincón, </w:t>
      </w:r>
      <w:r w:rsidRPr="00E56D52">
        <w:rPr>
          <w:rFonts w:cs="Arial"/>
          <w:color w:val="000000"/>
        </w:rPr>
        <w:t>radicación 68001233300020130005701 (3089-13), sentencia de 10 de octubre de 2013.</w:t>
      </w:r>
    </w:p>
    <w:p w14:paraId="4BB8E095" w14:textId="77777777" w:rsidR="0095344F" w:rsidRPr="0095344F" w:rsidRDefault="0095344F">
      <w:pPr>
        <w:pStyle w:val="Textonotapie"/>
        <w:rPr>
          <w:lang w:val="es-CO"/>
        </w:rPr>
      </w:pPr>
    </w:p>
  </w:footnote>
  <w:footnote w:id="33">
    <w:p w14:paraId="0E8C7E89" w14:textId="77777777" w:rsidR="00B328B7" w:rsidRPr="00A833FC" w:rsidRDefault="00B328B7" w:rsidP="00A833FC">
      <w:pPr>
        <w:pStyle w:val="Textonotapie"/>
        <w:spacing w:line="240" w:lineRule="auto"/>
        <w:rPr>
          <w:lang w:val="es-CO"/>
        </w:rPr>
      </w:pPr>
      <w:r>
        <w:rPr>
          <w:rStyle w:val="Refdenotaalpie"/>
        </w:rPr>
        <w:footnoteRef/>
      </w:r>
      <w:r>
        <w:t xml:space="preserve"> </w:t>
      </w:r>
      <w:r>
        <w:rPr>
          <w:lang w:val="es-CO"/>
        </w:rPr>
        <w:t xml:space="preserve">Folio 148 cuaderno 3. solicitud de conciliación prejudicial, radicado 2012-27111 presentada el 9 de noviembre de 2012. </w:t>
      </w:r>
    </w:p>
  </w:footnote>
  <w:footnote w:id="34">
    <w:p w14:paraId="3EDF0F68" w14:textId="77777777" w:rsidR="00710B84" w:rsidRDefault="00710B84" w:rsidP="00710B84">
      <w:pPr>
        <w:pStyle w:val="Textonotapie"/>
        <w:spacing w:line="240" w:lineRule="auto"/>
      </w:pPr>
      <w:r>
        <w:rPr>
          <w:rStyle w:val="Refdenotaalpie"/>
        </w:rPr>
        <w:footnoteRef/>
      </w:r>
      <w:r>
        <w:t xml:space="preserve"> Folio 403, cuaderno 3, numeral 3º acerca de la identificación de los hechos en que se fundó la decisión. </w:t>
      </w:r>
    </w:p>
    <w:p w14:paraId="0E5EE71F" w14:textId="77777777" w:rsidR="00710B84" w:rsidRPr="00D27032" w:rsidRDefault="00710B84" w:rsidP="00710B84">
      <w:pPr>
        <w:pStyle w:val="Textonotapie"/>
        <w:spacing w:line="240" w:lineRule="auto"/>
        <w:rPr>
          <w:lang w:val="es-CO"/>
        </w:rPr>
      </w:pPr>
    </w:p>
  </w:footnote>
  <w:footnote w:id="35">
    <w:p w14:paraId="69D537AC" w14:textId="77777777" w:rsidR="00B328B7" w:rsidRPr="00115BCE" w:rsidRDefault="00B328B7">
      <w:pPr>
        <w:pStyle w:val="Textonotapie"/>
        <w:rPr>
          <w:lang w:val="es-CO"/>
        </w:rPr>
      </w:pPr>
      <w:r>
        <w:rPr>
          <w:rStyle w:val="Refdenotaalpie"/>
        </w:rPr>
        <w:footnoteRef/>
      </w:r>
      <w:r>
        <w:t xml:space="preserve"> </w:t>
      </w:r>
      <w:r>
        <w:rPr>
          <w:lang w:val="es-CO"/>
        </w:rPr>
        <w:t xml:space="preserve">Folios 2011 y 212, cuaderno 3. </w:t>
      </w:r>
    </w:p>
  </w:footnote>
  <w:footnote w:id="36">
    <w:p w14:paraId="33C5B028" w14:textId="77777777" w:rsidR="00B328B7" w:rsidRPr="002339B1" w:rsidRDefault="00B328B7" w:rsidP="00C40159">
      <w:pPr>
        <w:pStyle w:val="Textonotapie"/>
        <w:spacing w:line="240" w:lineRule="auto"/>
        <w:rPr>
          <w:lang w:val="es-CO"/>
        </w:rPr>
      </w:pPr>
      <w:r>
        <w:rPr>
          <w:rStyle w:val="Refdenotaalpie"/>
        </w:rPr>
        <w:footnoteRef/>
      </w:r>
      <w:r>
        <w:t xml:space="preserve"> </w:t>
      </w:r>
      <w:r>
        <w:rPr>
          <w:lang w:val="es-CO"/>
        </w:rPr>
        <w:t xml:space="preserve">Folio 403, cuaderno 3. Numeral 1º acerca de la identificación de los hechos en que se fundó la decisión.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28A5" w14:textId="77777777" w:rsidR="00B328B7" w:rsidRDefault="00B328B7"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18EFB9" w14:textId="77777777" w:rsidR="00B328B7" w:rsidRDefault="00B328B7"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CD32" w14:textId="77777777" w:rsidR="00B328B7" w:rsidRDefault="00B328B7" w:rsidP="00AD2DD8">
    <w:pPr>
      <w:widowControl w:val="0"/>
      <w:autoSpaceDE w:val="0"/>
      <w:autoSpaceDN w:val="0"/>
      <w:adjustRightInd w:val="0"/>
      <w:spacing w:line="240" w:lineRule="auto"/>
      <w:ind w:right="3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265F98"/>
    <w:multiLevelType w:val="hybridMultilevel"/>
    <w:tmpl w:val="954C14FA"/>
    <w:lvl w:ilvl="0" w:tplc="B058A8A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28"/>
  </w:num>
  <w:num w:numId="3">
    <w:abstractNumId w:val="26"/>
  </w:num>
  <w:num w:numId="4">
    <w:abstractNumId w:val="13"/>
  </w:num>
  <w:num w:numId="5">
    <w:abstractNumId w:val="16"/>
  </w:num>
  <w:num w:numId="6">
    <w:abstractNumId w:val="4"/>
  </w:num>
  <w:num w:numId="7">
    <w:abstractNumId w:val="27"/>
  </w:num>
  <w:num w:numId="8">
    <w:abstractNumId w:val="5"/>
  </w:num>
  <w:num w:numId="9">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10"/>
  </w:num>
  <w:num w:numId="13">
    <w:abstractNumId w:val="5"/>
  </w:num>
  <w:num w:numId="14">
    <w:abstractNumId w:val="25"/>
  </w:num>
  <w:num w:numId="15">
    <w:abstractNumId w:val="3"/>
  </w:num>
  <w:num w:numId="16">
    <w:abstractNumId w:val="14"/>
  </w:num>
  <w:num w:numId="17">
    <w:abstractNumId w:val="7"/>
  </w:num>
  <w:num w:numId="18">
    <w:abstractNumId w:val="18"/>
  </w:num>
  <w:num w:numId="19">
    <w:abstractNumId w:val="24"/>
  </w:num>
  <w:num w:numId="20">
    <w:abstractNumId w:val="29"/>
  </w:num>
  <w:num w:numId="21">
    <w:abstractNumId w:val="21"/>
  </w:num>
  <w:num w:numId="22">
    <w:abstractNumId w:val="1"/>
  </w:num>
  <w:num w:numId="23">
    <w:abstractNumId w:val="22"/>
  </w:num>
  <w:num w:numId="24">
    <w:abstractNumId w:val="2"/>
  </w:num>
  <w:num w:numId="25">
    <w:abstractNumId w:val="6"/>
  </w:num>
  <w:num w:numId="26">
    <w:abstractNumId w:val="9"/>
  </w:num>
  <w:num w:numId="27">
    <w:abstractNumId w:val="19"/>
  </w:num>
  <w:num w:numId="28">
    <w:abstractNumId w:val="15"/>
  </w:num>
  <w:num w:numId="29">
    <w:abstractNumId w:val="12"/>
  </w:num>
  <w:num w:numId="30">
    <w:abstractNumId w:val="0"/>
  </w:num>
  <w:num w:numId="31">
    <w:abstractNumId w:val="11"/>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2E0"/>
    <w:rsid w:val="00001679"/>
    <w:rsid w:val="0000193E"/>
    <w:rsid w:val="00001C09"/>
    <w:rsid w:val="00001C23"/>
    <w:rsid w:val="00001F90"/>
    <w:rsid w:val="00002764"/>
    <w:rsid w:val="00002E38"/>
    <w:rsid w:val="00003330"/>
    <w:rsid w:val="00003649"/>
    <w:rsid w:val="000036B8"/>
    <w:rsid w:val="000039FF"/>
    <w:rsid w:val="00003C47"/>
    <w:rsid w:val="000041F0"/>
    <w:rsid w:val="00004616"/>
    <w:rsid w:val="000047B8"/>
    <w:rsid w:val="000049E1"/>
    <w:rsid w:val="0000511F"/>
    <w:rsid w:val="000056C8"/>
    <w:rsid w:val="00006466"/>
    <w:rsid w:val="00006990"/>
    <w:rsid w:val="00006BE4"/>
    <w:rsid w:val="000072F1"/>
    <w:rsid w:val="00007C4A"/>
    <w:rsid w:val="00007CAE"/>
    <w:rsid w:val="0001002F"/>
    <w:rsid w:val="00010098"/>
    <w:rsid w:val="00010466"/>
    <w:rsid w:val="000104E1"/>
    <w:rsid w:val="0001067B"/>
    <w:rsid w:val="000107A5"/>
    <w:rsid w:val="00010DB5"/>
    <w:rsid w:val="0001157C"/>
    <w:rsid w:val="00012DB3"/>
    <w:rsid w:val="00013063"/>
    <w:rsid w:val="00013615"/>
    <w:rsid w:val="00013755"/>
    <w:rsid w:val="00013C26"/>
    <w:rsid w:val="00013E02"/>
    <w:rsid w:val="00013EC4"/>
    <w:rsid w:val="00014013"/>
    <w:rsid w:val="00014595"/>
    <w:rsid w:val="00014887"/>
    <w:rsid w:val="000148A2"/>
    <w:rsid w:val="0001495C"/>
    <w:rsid w:val="00014B8B"/>
    <w:rsid w:val="000150BD"/>
    <w:rsid w:val="000151C6"/>
    <w:rsid w:val="000152A8"/>
    <w:rsid w:val="0001539B"/>
    <w:rsid w:val="0001540B"/>
    <w:rsid w:val="000155C2"/>
    <w:rsid w:val="00015C11"/>
    <w:rsid w:val="00016551"/>
    <w:rsid w:val="00016B27"/>
    <w:rsid w:val="00016B62"/>
    <w:rsid w:val="0001706A"/>
    <w:rsid w:val="000170A9"/>
    <w:rsid w:val="00017F4B"/>
    <w:rsid w:val="000203FE"/>
    <w:rsid w:val="00020AE9"/>
    <w:rsid w:val="00020F82"/>
    <w:rsid w:val="00021148"/>
    <w:rsid w:val="00021342"/>
    <w:rsid w:val="00021A58"/>
    <w:rsid w:val="000223BC"/>
    <w:rsid w:val="0002287B"/>
    <w:rsid w:val="00022A14"/>
    <w:rsid w:val="0002326F"/>
    <w:rsid w:val="000232F7"/>
    <w:rsid w:val="0002353C"/>
    <w:rsid w:val="00023675"/>
    <w:rsid w:val="00023933"/>
    <w:rsid w:val="00024457"/>
    <w:rsid w:val="000247CD"/>
    <w:rsid w:val="0002535F"/>
    <w:rsid w:val="0002571A"/>
    <w:rsid w:val="00025A21"/>
    <w:rsid w:val="00025C0C"/>
    <w:rsid w:val="00025C7D"/>
    <w:rsid w:val="000260FB"/>
    <w:rsid w:val="000262BF"/>
    <w:rsid w:val="000263A9"/>
    <w:rsid w:val="000264FE"/>
    <w:rsid w:val="00027837"/>
    <w:rsid w:val="000279B7"/>
    <w:rsid w:val="00027A49"/>
    <w:rsid w:val="0003004D"/>
    <w:rsid w:val="00030283"/>
    <w:rsid w:val="000302C0"/>
    <w:rsid w:val="00030B1A"/>
    <w:rsid w:val="00030C95"/>
    <w:rsid w:val="00031536"/>
    <w:rsid w:val="00031646"/>
    <w:rsid w:val="0003177A"/>
    <w:rsid w:val="0003199D"/>
    <w:rsid w:val="00031F50"/>
    <w:rsid w:val="000320EB"/>
    <w:rsid w:val="000321D5"/>
    <w:rsid w:val="000323EA"/>
    <w:rsid w:val="00032C85"/>
    <w:rsid w:val="0003316F"/>
    <w:rsid w:val="00033185"/>
    <w:rsid w:val="000335CC"/>
    <w:rsid w:val="00033A87"/>
    <w:rsid w:val="00033E47"/>
    <w:rsid w:val="00033E59"/>
    <w:rsid w:val="00034270"/>
    <w:rsid w:val="0003445B"/>
    <w:rsid w:val="00034796"/>
    <w:rsid w:val="000353CD"/>
    <w:rsid w:val="00035DEC"/>
    <w:rsid w:val="0003632B"/>
    <w:rsid w:val="0003635B"/>
    <w:rsid w:val="000363FD"/>
    <w:rsid w:val="00036404"/>
    <w:rsid w:val="00036CBE"/>
    <w:rsid w:val="00036F1E"/>
    <w:rsid w:val="0003742C"/>
    <w:rsid w:val="000400F3"/>
    <w:rsid w:val="00040808"/>
    <w:rsid w:val="00040A0A"/>
    <w:rsid w:val="00041150"/>
    <w:rsid w:val="00041167"/>
    <w:rsid w:val="000411C9"/>
    <w:rsid w:val="00041BC1"/>
    <w:rsid w:val="00041D8F"/>
    <w:rsid w:val="00042364"/>
    <w:rsid w:val="0004266C"/>
    <w:rsid w:val="00042A85"/>
    <w:rsid w:val="00042AFC"/>
    <w:rsid w:val="00043939"/>
    <w:rsid w:val="000439A7"/>
    <w:rsid w:val="00043C20"/>
    <w:rsid w:val="000442CE"/>
    <w:rsid w:val="00044360"/>
    <w:rsid w:val="00044ABB"/>
    <w:rsid w:val="00044F75"/>
    <w:rsid w:val="0004539B"/>
    <w:rsid w:val="000453C5"/>
    <w:rsid w:val="00045C62"/>
    <w:rsid w:val="00045C63"/>
    <w:rsid w:val="00045DCF"/>
    <w:rsid w:val="00045FCB"/>
    <w:rsid w:val="000460C4"/>
    <w:rsid w:val="0004636C"/>
    <w:rsid w:val="0004675A"/>
    <w:rsid w:val="000470F2"/>
    <w:rsid w:val="00047466"/>
    <w:rsid w:val="00047AFA"/>
    <w:rsid w:val="000507FC"/>
    <w:rsid w:val="00050A3E"/>
    <w:rsid w:val="00050CA0"/>
    <w:rsid w:val="00050E71"/>
    <w:rsid w:val="00050EC2"/>
    <w:rsid w:val="00051050"/>
    <w:rsid w:val="0005134F"/>
    <w:rsid w:val="0005135E"/>
    <w:rsid w:val="000519A7"/>
    <w:rsid w:val="00051B2B"/>
    <w:rsid w:val="000527C6"/>
    <w:rsid w:val="00052B55"/>
    <w:rsid w:val="00053041"/>
    <w:rsid w:val="00053778"/>
    <w:rsid w:val="00053A76"/>
    <w:rsid w:val="00054130"/>
    <w:rsid w:val="0005420C"/>
    <w:rsid w:val="00054863"/>
    <w:rsid w:val="00054AC8"/>
    <w:rsid w:val="00054E45"/>
    <w:rsid w:val="00055411"/>
    <w:rsid w:val="00055A2C"/>
    <w:rsid w:val="00056023"/>
    <w:rsid w:val="00056F8F"/>
    <w:rsid w:val="000570EE"/>
    <w:rsid w:val="0005739B"/>
    <w:rsid w:val="00057514"/>
    <w:rsid w:val="0006047E"/>
    <w:rsid w:val="0006071E"/>
    <w:rsid w:val="00060962"/>
    <w:rsid w:val="00060A10"/>
    <w:rsid w:val="00060D51"/>
    <w:rsid w:val="00061160"/>
    <w:rsid w:val="00061169"/>
    <w:rsid w:val="00061758"/>
    <w:rsid w:val="000619AB"/>
    <w:rsid w:val="00062A8C"/>
    <w:rsid w:val="00062AE2"/>
    <w:rsid w:val="00062EC8"/>
    <w:rsid w:val="0006314A"/>
    <w:rsid w:val="00063601"/>
    <w:rsid w:val="00063833"/>
    <w:rsid w:val="00063FDB"/>
    <w:rsid w:val="00064173"/>
    <w:rsid w:val="000641E1"/>
    <w:rsid w:val="00064582"/>
    <w:rsid w:val="0006488A"/>
    <w:rsid w:val="00064D83"/>
    <w:rsid w:val="00064EEF"/>
    <w:rsid w:val="00064FE5"/>
    <w:rsid w:val="000657C5"/>
    <w:rsid w:val="00065E78"/>
    <w:rsid w:val="00066448"/>
    <w:rsid w:val="00067B51"/>
    <w:rsid w:val="000701BA"/>
    <w:rsid w:val="000705E6"/>
    <w:rsid w:val="000708AE"/>
    <w:rsid w:val="00070FC0"/>
    <w:rsid w:val="00071336"/>
    <w:rsid w:val="00071979"/>
    <w:rsid w:val="00071BC7"/>
    <w:rsid w:val="00071DAB"/>
    <w:rsid w:val="000722F8"/>
    <w:rsid w:val="0007265F"/>
    <w:rsid w:val="00073360"/>
    <w:rsid w:val="0007367B"/>
    <w:rsid w:val="000739F5"/>
    <w:rsid w:val="00073C49"/>
    <w:rsid w:val="00073DB3"/>
    <w:rsid w:val="000745CE"/>
    <w:rsid w:val="00074C0F"/>
    <w:rsid w:val="00074C56"/>
    <w:rsid w:val="0007558A"/>
    <w:rsid w:val="00075779"/>
    <w:rsid w:val="00075DF6"/>
    <w:rsid w:val="0007608D"/>
    <w:rsid w:val="00076631"/>
    <w:rsid w:val="0007667D"/>
    <w:rsid w:val="00076AFF"/>
    <w:rsid w:val="000775AE"/>
    <w:rsid w:val="0007792C"/>
    <w:rsid w:val="00077B4B"/>
    <w:rsid w:val="00077B7D"/>
    <w:rsid w:val="00077DF1"/>
    <w:rsid w:val="00077E42"/>
    <w:rsid w:val="00077F0F"/>
    <w:rsid w:val="00080157"/>
    <w:rsid w:val="0008074F"/>
    <w:rsid w:val="00080B43"/>
    <w:rsid w:val="000813E9"/>
    <w:rsid w:val="0008157D"/>
    <w:rsid w:val="00081E4F"/>
    <w:rsid w:val="00081F74"/>
    <w:rsid w:val="00082852"/>
    <w:rsid w:val="00082D93"/>
    <w:rsid w:val="00082FB7"/>
    <w:rsid w:val="0008343C"/>
    <w:rsid w:val="00083AEA"/>
    <w:rsid w:val="00083BB5"/>
    <w:rsid w:val="00083C1D"/>
    <w:rsid w:val="00084000"/>
    <w:rsid w:val="000843C9"/>
    <w:rsid w:val="00084419"/>
    <w:rsid w:val="0008441D"/>
    <w:rsid w:val="00084943"/>
    <w:rsid w:val="0008509A"/>
    <w:rsid w:val="00085283"/>
    <w:rsid w:val="00085297"/>
    <w:rsid w:val="00085443"/>
    <w:rsid w:val="000856E1"/>
    <w:rsid w:val="000865D7"/>
    <w:rsid w:val="00086ABF"/>
    <w:rsid w:val="00086D58"/>
    <w:rsid w:val="0008749D"/>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1F29"/>
    <w:rsid w:val="000923E9"/>
    <w:rsid w:val="00092A06"/>
    <w:rsid w:val="00092B04"/>
    <w:rsid w:val="00093234"/>
    <w:rsid w:val="000935A8"/>
    <w:rsid w:val="00093655"/>
    <w:rsid w:val="00093953"/>
    <w:rsid w:val="00093CE2"/>
    <w:rsid w:val="00093FAE"/>
    <w:rsid w:val="0009429B"/>
    <w:rsid w:val="000946D8"/>
    <w:rsid w:val="00094990"/>
    <w:rsid w:val="000949AA"/>
    <w:rsid w:val="000954D9"/>
    <w:rsid w:val="000958F8"/>
    <w:rsid w:val="00095974"/>
    <w:rsid w:val="00095DC4"/>
    <w:rsid w:val="00095DE2"/>
    <w:rsid w:val="00096035"/>
    <w:rsid w:val="0009606A"/>
    <w:rsid w:val="0009634B"/>
    <w:rsid w:val="000964A2"/>
    <w:rsid w:val="0009687C"/>
    <w:rsid w:val="00097392"/>
    <w:rsid w:val="00097454"/>
    <w:rsid w:val="00097E28"/>
    <w:rsid w:val="00097FFE"/>
    <w:rsid w:val="000A024C"/>
    <w:rsid w:val="000A0632"/>
    <w:rsid w:val="000A10EB"/>
    <w:rsid w:val="000A15C5"/>
    <w:rsid w:val="000A1C44"/>
    <w:rsid w:val="000A2287"/>
    <w:rsid w:val="000A263C"/>
    <w:rsid w:val="000A2EF8"/>
    <w:rsid w:val="000A2F71"/>
    <w:rsid w:val="000A2F9E"/>
    <w:rsid w:val="000A3282"/>
    <w:rsid w:val="000A344C"/>
    <w:rsid w:val="000A3D13"/>
    <w:rsid w:val="000A3F4D"/>
    <w:rsid w:val="000A43A4"/>
    <w:rsid w:val="000A481A"/>
    <w:rsid w:val="000A4AC6"/>
    <w:rsid w:val="000A551F"/>
    <w:rsid w:val="000A5AB6"/>
    <w:rsid w:val="000A5CC8"/>
    <w:rsid w:val="000A5F64"/>
    <w:rsid w:val="000A6106"/>
    <w:rsid w:val="000A6819"/>
    <w:rsid w:val="000A6E70"/>
    <w:rsid w:val="000A700C"/>
    <w:rsid w:val="000A7621"/>
    <w:rsid w:val="000A7800"/>
    <w:rsid w:val="000A79D1"/>
    <w:rsid w:val="000A7B48"/>
    <w:rsid w:val="000A7F66"/>
    <w:rsid w:val="000B00FB"/>
    <w:rsid w:val="000B0BFA"/>
    <w:rsid w:val="000B1216"/>
    <w:rsid w:val="000B194A"/>
    <w:rsid w:val="000B1BC1"/>
    <w:rsid w:val="000B1E8C"/>
    <w:rsid w:val="000B2B5A"/>
    <w:rsid w:val="000B3002"/>
    <w:rsid w:val="000B3773"/>
    <w:rsid w:val="000B380C"/>
    <w:rsid w:val="000B393A"/>
    <w:rsid w:val="000B3DED"/>
    <w:rsid w:val="000B42EC"/>
    <w:rsid w:val="000B4594"/>
    <w:rsid w:val="000B45E5"/>
    <w:rsid w:val="000B46C2"/>
    <w:rsid w:val="000B48A9"/>
    <w:rsid w:val="000B4DDE"/>
    <w:rsid w:val="000B51BE"/>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E6F"/>
    <w:rsid w:val="000C160D"/>
    <w:rsid w:val="000C1611"/>
    <w:rsid w:val="000C189E"/>
    <w:rsid w:val="000C1CDB"/>
    <w:rsid w:val="000C1EB8"/>
    <w:rsid w:val="000C2328"/>
    <w:rsid w:val="000C26D8"/>
    <w:rsid w:val="000C2852"/>
    <w:rsid w:val="000C29B5"/>
    <w:rsid w:val="000C3490"/>
    <w:rsid w:val="000C3492"/>
    <w:rsid w:val="000C3C31"/>
    <w:rsid w:val="000C4289"/>
    <w:rsid w:val="000C4728"/>
    <w:rsid w:val="000C4B1F"/>
    <w:rsid w:val="000C4C7A"/>
    <w:rsid w:val="000C53FE"/>
    <w:rsid w:val="000C55C9"/>
    <w:rsid w:val="000C57F7"/>
    <w:rsid w:val="000C62FD"/>
    <w:rsid w:val="000C6608"/>
    <w:rsid w:val="000C6624"/>
    <w:rsid w:val="000C695F"/>
    <w:rsid w:val="000C7086"/>
    <w:rsid w:val="000C74FA"/>
    <w:rsid w:val="000C7605"/>
    <w:rsid w:val="000C77D1"/>
    <w:rsid w:val="000C7A5D"/>
    <w:rsid w:val="000C7AAF"/>
    <w:rsid w:val="000C7D37"/>
    <w:rsid w:val="000C7F42"/>
    <w:rsid w:val="000C7FA2"/>
    <w:rsid w:val="000D094E"/>
    <w:rsid w:val="000D099B"/>
    <w:rsid w:val="000D0AB6"/>
    <w:rsid w:val="000D0BCC"/>
    <w:rsid w:val="000D12CC"/>
    <w:rsid w:val="000D13B1"/>
    <w:rsid w:val="000D1F94"/>
    <w:rsid w:val="000D23E8"/>
    <w:rsid w:val="000D24AB"/>
    <w:rsid w:val="000D25BF"/>
    <w:rsid w:val="000D27BB"/>
    <w:rsid w:val="000D2D7B"/>
    <w:rsid w:val="000D2E0D"/>
    <w:rsid w:val="000D30CA"/>
    <w:rsid w:val="000D30DB"/>
    <w:rsid w:val="000D32C3"/>
    <w:rsid w:val="000D331B"/>
    <w:rsid w:val="000D36F4"/>
    <w:rsid w:val="000D3769"/>
    <w:rsid w:val="000D3852"/>
    <w:rsid w:val="000D39E6"/>
    <w:rsid w:val="000D44D5"/>
    <w:rsid w:val="000D47FA"/>
    <w:rsid w:val="000D4DED"/>
    <w:rsid w:val="000D4ECD"/>
    <w:rsid w:val="000D501B"/>
    <w:rsid w:val="000D5033"/>
    <w:rsid w:val="000D576F"/>
    <w:rsid w:val="000D5FD2"/>
    <w:rsid w:val="000D6615"/>
    <w:rsid w:val="000D6865"/>
    <w:rsid w:val="000D69A6"/>
    <w:rsid w:val="000D7488"/>
    <w:rsid w:val="000D74DB"/>
    <w:rsid w:val="000D7509"/>
    <w:rsid w:val="000E0D85"/>
    <w:rsid w:val="000E14AE"/>
    <w:rsid w:val="000E17DE"/>
    <w:rsid w:val="000E1918"/>
    <w:rsid w:val="000E1A1B"/>
    <w:rsid w:val="000E1F75"/>
    <w:rsid w:val="000E20DD"/>
    <w:rsid w:val="000E2AD6"/>
    <w:rsid w:val="000E2CB1"/>
    <w:rsid w:val="000E2CF7"/>
    <w:rsid w:val="000E2F3F"/>
    <w:rsid w:val="000E325E"/>
    <w:rsid w:val="000E3283"/>
    <w:rsid w:val="000E334F"/>
    <w:rsid w:val="000E353A"/>
    <w:rsid w:val="000E35AE"/>
    <w:rsid w:val="000E363C"/>
    <w:rsid w:val="000E3BA3"/>
    <w:rsid w:val="000E3FCB"/>
    <w:rsid w:val="000E41A9"/>
    <w:rsid w:val="000E4216"/>
    <w:rsid w:val="000E426D"/>
    <w:rsid w:val="000E4364"/>
    <w:rsid w:val="000E4683"/>
    <w:rsid w:val="000E4DCC"/>
    <w:rsid w:val="000E4E92"/>
    <w:rsid w:val="000E52CC"/>
    <w:rsid w:val="000E6009"/>
    <w:rsid w:val="000E61D2"/>
    <w:rsid w:val="000E6697"/>
    <w:rsid w:val="000E6AEE"/>
    <w:rsid w:val="000E6C2F"/>
    <w:rsid w:val="000E76A0"/>
    <w:rsid w:val="000E7986"/>
    <w:rsid w:val="000F03E0"/>
    <w:rsid w:val="000F05E1"/>
    <w:rsid w:val="000F0C2F"/>
    <w:rsid w:val="000F0C94"/>
    <w:rsid w:val="000F0E60"/>
    <w:rsid w:val="000F180A"/>
    <w:rsid w:val="000F22FF"/>
    <w:rsid w:val="000F265A"/>
    <w:rsid w:val="000F26E1"/>
    <w:rsid w:val="000F2F49"/>
    <w:rsid w:val="000F3037"/>
    <w:rsid w:val="000F3104"/>
    <w:rsid w:val="000F34A9"/>
    <w:rsid w:val="000F3652"/>
    <w:rsid w:val="000F3716"/>
    <w:rsid w:val="000F3BDF"/>
    <w:rsid w:val="000F3DF5"/>
    <w:rsid w:val="000F48E0"/>
    <w:rsid w:val="000F494D"/>
    <w:rsid w:val="000F4C86"/>
    <w:rsid w:val="000F55D2"/>
    <w:rsid w:val="000F58D0"/>
    <w:rsid w:val="000F59B3"/>
    <w:rsid w:val="000F5B4E"/>
    <w:rsid w:val="000F5D11"/>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5A1"/>
    <w:rsid w:val="0010169B"/>
    <w:rsid w:val="001017B0"/>
    <w:rsid w:val="001017D8"/>
    <w:rsid w:val="00101D2B"/>
    <w:rsid w:val="00101FD2"/>
    <w:rsid w:val="0010218A"/>
    <w:rsid w:val="00102224"/>
    <w:rsid w:val="00102685"/>
    <w:rsid w:val="00102983"/>
    <w:rsid w:val="00102B8D"/>
    <w:rsid w:val="00102D36"/>
    <w:rsid w:val="0010300A"/>
    <w:rsid w:val="001031B3"/>
    <w:rsid w:val="001031B7"/>
    <w:rsid w:val="001036A6"/>
    <w:rsid w:val="00103A87"/>
    <w:rsid w:val="00103DD6"/>
    <w:rsid w:val="00103E88"/>
    <w:rsid w:val="00103ED3"/>
    <w:rsid w:val="00103EEF"/>
    <w:rsid w:val="00104853"/>
    <w:rsid w:val="001048BA"/>
    <w:rsid w:val="0010497F"/>
    <w:rsid w:val="00104B15"/>
    <w:rsid w:val="00104C98"/>
    <w:rsid w:val="00104DE5"/>
    <w:rsid w:val="0010526A"/>
    <w:rsid w:val="001055E6"/>
    <w:rsid w:val="0010587D"/>
    <w:rsid w:val="00105AB1"/>
    <w:rsid w:val="00105C2B"/>
    <w:rsid w:val="00106711"/>
    <w:rsid w:val="00106CCD"/>
    <w:rsid w:val="0010721D"/>
    <w:rsid w:val="001072BE"/>
    <w:rsid w:val="00107852"/>
    <w:rsid w:val="00107FB9"/>
    <w:rsid w:val="0011056D"/>
    <w:rsid w:val="00110674"/>
    <w:rsid w:val="00110AF3"/>
    <w:rsid w:val="00110C75"/>
    <w:rsid w:val="0011113C"/>
    <w:rsid w:val="00111357"/>
    <w:rsid w:val="001116E5"/>
    <w:rsid w:val="001118A8"/>
    <w:rsid w:val="00111D04"/>
    <w:rsid w:val="00111F1F"/>
    <w:rsid w:val="0011227D"/>
    <w:rsid w:val="001126A8"/>
    <w:rsid w:val="001127A4"/>
    <w:rsid w:val="001127E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5BCE"/>
    <w:rsid w:val="001160A0"/>
    <w:rsid w:val="0011628F"/>
    <w:rsid w:val="001168FB"/>
    <w:rsid w:val="0011692B"/>
    <w:rsid w:val="00116B38"/>
    <w:rsid w:val="00116C60"/>
    <w:rsid w:val="00116CBD"/>
    <w:rsid w:val="00117245"/>
    <w:rsid w:val="0011743F"/>
    <w:rsid w:val="00117A4A"/>
    <w:rsid w:val="00117B56"/>
    <w:rsid w:val="00117B6F"/>
    <w:rsid w:val="00117C54"/>
    <w:rsid w:val="00117DF6"/>
    <w:rsid w:val="00117F62"/>
    <w:rsid w:val="00117FC7"/>
    <w:rsid w:val="001201FB"/>
    <w:rsid w:val="00120249"/>
    <w:rsid w:val="0012045C"/>
    <w:rsid w:val="001204EE"/>
    <w:rsid w:val="001206FC"/>
    <w:rsid w:val="00120A14"/>
    <w:rsid w:val="00120BC6"/>
    <w:rsid w:val="00120D66"/>
    <w:rsid w:val="00120E8F"/>
    <w:rsid w:val="00120EA7"/>
    <w:rsid w:val="00120EDB"/>
    <w:rsid w:val="00120F4B"/>
    <w:rsid w:val="00120F7E"/>
    <w:rsid w:val="0012136D"/>
    <w:rsid w:val="001216ED"/>
    <w:rsid w:val="00121803"/>
    <w:rsid w:val="00121D61"/>
    <w:rsid w:val="00122629"/>
    <w:rsid w:val="001229B1"/>
    <w:rsid w:val="00122FBE"/>
    <w:rsid w:val="00123510"/>
    <w:rsid w:val="001235E1"/>
    <w:rsid w:val="001239DC"/>
    <w:rsid w:val="00123C45"/>
    <w:rsid w:val="00123D2C"/>
    <w:rsid w:val="00123E03"/>
    <w:rsid w:val="00124221"/>
    <w:rsid w:val="0012473C"/>
    <w:rsid w:val="00124B07"/>
    <w:rsid w:val="00124BCC"/>
    <w:rsid w:val="001250FD"/>
    <w:rsid w:val="00125135"/>
    <w:rsid w:val="00125331"/>
    <w:rsid w:val="00125551"/>
    <w:rsid w:val="0012558D"/>
    <w:rsid w:val="00125C69"/>
    <w:rsid w:val="001263EB"/>
    <w:rsid w:val="001265A3"/>
    <w:rsid w:val="0012681B"/>
    <w:rsid w:val="00126933"/>
    <w:rsid w:val="00126EFE"/>
    <w:rsid w:val="00127103"/>
    <w:rsid w:val="001273CB"/>
    <w:rsid w:val="00127748"/>
    <w:rsid w:val="00127B3D"/>
    <w:rsid w:val="00127E59"/>
    <w:rsid w:val="00127FF6"/>
    <w:rsid w:val="001302AE"/>
    <w:rsid w:val="001306FC"/>
    <w:rsid w:val="00130EAA"/>
    <w:rsid w:val="00130FC6"/>
    <w:rsid w:val="00131311"/>
    <w:rsid w:val="0013144C"/>
    <w:rsid w:val="0013154C"/>
    <w:rsid w:val="001316F1"/>
    <w:rsid w:val="00131DCD"/>
    <w:rsid w:val="0013204A"/>
    <w:rsid w:val="00132529"/>
    <w:rsid w:val="00132875"/>
    <w:rsid w:val="001329D5"/>
    <w:rsid w:val="00132A98"/>
    <w:rsid w:val="00132BAD"/>
    <w:rsid w:val="0013334F"/>
    <w:rsid w:val="00133490"/>
    <w:rsid w:val="0013376F"/>
    <w:rsid w:val="00134AFC"/>
    <w:rsid w:val="00134B7A"/>
    <w:rsid w:val="00135CC1"/>
    <w:rsid w:val="00135EF2"/>
    <w:rsid w:val="00136093"/>
    <w:rsid w:val="001361E1"/>
    <w:rsid w:val="00136487"/>
    <w:rsid w:val="001365E1"/>
    <w:rsid w:val="00136762"/>
    <w:rsid w:val="0013679B"/>
    <w:rsid w:val="0013687B"/>
    <w:rsid w:val="00136A61"/>
    <w:rsid w:val="001371BA"/>
    <w:rsid w:val="0013754B"/>
    <w:rsid w:val="00137C26"/>
    <w:rsid w:val="00140307"/>
    <w:rsid w:val="0014059F"/>
    <w:rsid w:val="001407A0"/>
    <w:rsid w:val="00140D45"/>
    <w:rsid w:val="00141037"/>
    <w:rsid w:val="001414A3"/>
    <w:rsid w:val="001415A0"/>
    <w:rsid w:val="001415A6"/>
    <w:rsid w:val="001416DF"/>
    <w:rsid w:val="00142212"/>
    <w:rsid w:val="0014233F"/>
    <w:rsid w:val="00143396"/>
    <w:rsid w:val="00143B30"/>
    <w:rsid w:val="00143B6E"/>
    <w:rsid w:val="00143CB4"/>
    <w:rsid w:val="00143D0D"/>
    <w:rsid w:val="00143DEC"/>
    <w:rsid w:val="00143E4D"/>
    <w:rsid w:val="00143E64"/>
    <w:rsid w:val="001448C8"/>
    <w:rsid w:val="001449DF"/>
    <w:rsid w:val="00144B43"/>
    <w:rsid w:val="00144D5C"/>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24DF"/>
    <w:rsid w:val="0015263D"/>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5F58"/>
    <w:rsid w:val="0015606F"/>
    <w:rsid w:val="0015683C"/>
    <w:rsid w:val="00156D10"/>
    <w:rsid w:val="001571FF"/>
    <w:rsid w:val="0015721D"/>
    <w:rsid w:val="00157224"/>
    <w:rsid w:val="0015741E"/>
    <w:rsid w:val="001579E6"/>
    <w:rsid w:val="00157AEB"/>
    <w:rsid w:val="00157F93"/>
    <w:rsid w:val="00160378"/>
    <w:rsid w:val="001603D6"/>
    <w:rsid w:val="001613DA"/>
    <w:rsid w:val="00161891"/>
    <w:rsid w:val="00161AF9"/>
    <w:rsid w:val="0016213E"/>
    <w:rsid w:val="001621B3"/>
    <w:rsid w:val="00162248"/>
    <w:rsid w:val="001629CA"/>
    <w:rsid w:val="00162A93"/>
    <w:rsid w:val="00162B64"/>
    <w:rsid w:val="00162C23"/>
    <w:rsid w:val="00162D60"/>
    <w:rsid w:val="0016305C"/>
    <w:rsid w:val="001631E3"/>
    <w:rsid w:val="0016353A"/>
    <w:rsid w:val="00163E82"/>
    <w:rsid w:val="00163FD6"/>
    <w:rsid w:val="001640B5"/>
    <w:rsid w:val="0016412E"/>
    <w:rsid w:val="001642C0"/>
    <w:rsid w:val="001642D5"/>
    <w:rsid w:val="00164819"/>
    <w:rsid w:val="00164C0A"/>
    <w:rsid w:val="00164F12"/>
    <w:rsid w:val="00165085"/>
    <w:rsid w:val="00165A48"/>
    <w:rsid w:val="00165C54"/>
    <w:rsid w:val="00166260"/>
    <w:rsid w:val="0016681E"/>
    <w:rsid w:val="00167243"/>
    <w:rsid w:val="001674C0"/>
    <w:rsid w:val="0016750F"/>
    <w:rsid w:val="00167F39"/>
    <w:rsid w:val="00170278"/>
    <w:rsid w:val="001702DD"/>
    <w:rsid w:val="00170494"/>
    <w:rsid w:val="00170BDE"/>
    <w:rsid w:val="001711CC"/>
    <w:rsid w:val="0017137C"/>
    <w:rsid w:val="00171503"/>
    <w:rsid w:val="001718D9"/>
    <w:rsid w:val="00171AD6"/>
    <w:rsid w:val="00171E82"/>
    <w:rsid w:val="00171F50"/>
    <w:rsid w:val="001721EC"/>
    <w:rsid w:val="001723ED"/>
    <w:rsid w:val="00172414"/>
    <w:rsid w:val="00172746"/>
    <w:rsid w:val="00172979"/>
    <w:rsid w:val="00172A4D"/>
    <w:rsid w:val="00172F16"/>
    <w:rsid w:val="00173A1D"/>
    <w:rsid w:val="00173DD1"/>
    <w:rsid w:val="00173F3E"/>
    <w:rsid w:val="00174312"/>
    <w:rsid w:val="001749C7"/>
    <w:rsid w:val="00175220"/>
    <w:rsid w:val="0017535F"/>
    <w:rsid w:val="001753C3"/>
    <w:rsid w:val="001758E1"/>
    <w:rsid w:val="00175A7E"/>
    <w:rsid w:val="00175C2F"/>
    <w:rsid w:val="00175E8E"/>
    <w:rsid w:val="00176100"/>
    <w:rsid w:val="00176402"/>
    <w:rsid w:val="00176469"/>
    <w:rsid w:val="001767F3"/>
    <w:rsid w:val="00176991"/>
    <w:rsid w:val="00176B30"/>
    <w:rsid w:val="00176E12"/>
    <w:rsid w:val="00177149"/>
    <w:rsid w:val="00177780"/>
    <w:rsid w:val="00177B46"/>
    <w:rsid w:val="00177C45"/>
    <w:rsid w:val="00177DB2"/>
    <w:rsid w:val="0018002C"/>
    <w:rsid w:val="00180EA4"/>
    <w:rsid w:val="00181451"/>
    <w:rsid w:val="00181F73"/>
    <w:rsid w:val="00181F94"/>
    <w:rsid w:val="00181FA6"/>
    <w:rsid w:val="00182253"/>
    <w:rsid w:val="00182603"/>
    <w:rsid w:val="001826B1"/>
    <w:rsid w:val="00182860"/>
    <w:rsid w:val="00182930"/>
    <w:rsid w:val="00182E44"/>
    <w:rsid w:val="0018328F"/>
    <w:rsid w:val="00183325"/>
    <w:rsid w:val="00183754"/>
    <w:rsid w:val="00183B36"/>
    <w:rsid w:val="00183B89"/>
    <w:rsid w:val="00183C89"/>
    <w:rsid w:val="001840AD"/>
    <w:rsid w:val="001841DE"/>
    <w:rsid w:val="00184268"/>
    <w:rsid w:val="00184384"/>
    <w:rsid w:val="001843EA"/>
    <w:rsid w:val="00184BCB"/>
    <w:rsid w:val="00184F7D"/>
    <w:rsid w:val="001852A9"/>
    <w:rsid w:val="00185455"/>
    <w:rsid w:val="00185DF2"/>
    <w:rsid w:val="00186AC5"/>
    <w:rsid w:val="00186D18"/>
    <w:rsid w:val="00186F26"/>
    <w:rsid w:val="00186F53"/>
    <w:rsid w:val="00186FCD"/>
    <w:rsid w:val="00187208"/>
    <w:rsid w:val="0018721E"/>
    <w:rsid w:val="00187254"/>
    <w:rsid w:val="0018754D"/>
    <w:rsid w:val="00187564"/>
    <w:rsid w:val="0018756F"/>
    <w:rsid w:val="00187788"/>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1C4"/>
    <w:rsid w:val="00193652"/>
    <w:rsid w:val="001937A3"/>
    <w:rsid w:val="00193DF7"/>
    <w:rsid w:val="001946DE"/>
    <w:rsid w:val="001948E7"/>
    <w:rsid w:val="00194AAF"/>
    <w:rsid w:val="001957C6"/>
    <w:rsid w:val="001957C8"/>
    <w:rsid w:val="00195920"/>
    <w:rsid w:val="001959D7"/>
    <w:rsid w:val="00195F15"/>
    <w:rsid w:val="00196840"/>
    <w:rsid w:val="00196B97"/>
    <w:rsid w:val="00196EA3"/>
    <w:rsid w:val="00196EE5"/>
    <w:rsid w:val="00197000"/>
    <w:rsid w:val="0019721F"/>
    <w:rsid w:val="0019767C"/>
    <w:rsid w:val="00197FE9"/>
    <w:rsid w:val="001A0DD9"/>
    <w:rsid w:val="001A1470"/>
    <w:rsid w:val="001A1538"/>
    <w:rsid w:val="001A1942"/>
    <w:rsid w:val="001A2665"/>
    <w:rsid w:val="001A2802"/>
    <w:rsid w:val="001A3250"/>
    <w:rsid w:val="001A332C"/>
    <w:rsid w:val="001A3504"/>
    <w:rsid w:val="001A3DDC"/>
    <w:rsid w:val="001A3F9A"/>
    <w:rsid w:val="001A4082"/>
    <w:rsid w:val="001A41AC"/>
    <w:rsid w:val="001A45EE"/>
    <w:rsid w:val="001A4B97"/>
    <w:rsid w:val="001A573A"/>
    <w:rsid w:val="001A5C66"/>
    <w:rsid w:val="001A5D20"/>
    <w:rsid w:val="001A604A"/>
    <w:rsid w:val="001A73A4"/>
    <w:rsid w:val="001A77F6"/>
    <w:rsid w:val="001B08DC"/>
    <w:rsid w:val="001B09CA"/>
    <w:rsid w:val="001B0F84"/>
    <w:rsid w:val="001B1497"/>
    <w:rsid w:val="001B15F6"/>
    <w:rsid w:val="001B1C4A"/>
    <w:rsid w:val="001B1D26"/>
    <w:rsid w:val="001B22E6"/>
    <w:rsid w:val="001B26A4"/>
    <w:rsid w:val="001B26CD"/>
    <w:rsid w:val="001B28D2"/>
    <w:rsid w:val="001B2F11"/>
    <w:rsid w:val="001B3038"/>
    <w:rsid w:val="001B332A"/>
    <w:rsid w:val="001B3436"/>
    <w:rsid w:val="001B34CD"/>
    <w:rsid w:val="001B36E3"/>
    <w:rsid w:val="001B3C18"/>
    <w:rsid w:val="001B3D0C"/>
    <w:rsid w:val="001B3DE2"/>
    <w:rsid w:val="001B4C5E"/>
    <w:rsid w:val="001B5156"/>
    <w:rsid w:val="001B523A"/>
    <w:rsid w:val="001B54C5"/>
    <w:rsid w:val="001B5E36"/>
    <w:rsid w:val="001B5E90"/>
    <w:rsid w:val="001B60FB"/>
    <w:rsid w:val="001B6109"/>
    <w:rsid w:val="001B6A1E"/>
    <w:rsid w:val="001B7012"/>
    <w:rsid w:val="001B77B9"/>
    <w:rsid w:val="001B7AEB"/>
    <w:rsid w:val="001C08EB"/>
    <w:rsid w:val="001C0F3C"/>
    <w:rsid w:val="001C10C6"/>
    <w:rsid w:val="001C11DD"/>
    <w:rsid w:val="001C1419"/>
    <w:rsid w:val="001C142E"/>
    <w:rsid w:val="001C1747"/>
    <w:rsid w:val="001C181C"/>
    <w:rsid w:val="001C1BD5"/>
    <w:rsid w:val="001C2A4B"/>
    <w:rsid w:val="001C2C4F"/>
    <w:rsid w:val="001C2C99"/>
    <w:rsid w:val="001C3642"/>
    <w:rsid w:val="001C3851"/>
    <w:rsid w:val="001C397A"/>
    <w:rsid w:val="001C47A1"/>
    <w:rsid w:val="001C4863"/>
    <w:rsid w:val="001C4DE3"/>
    <w:rsid w:val="001C5898"/>
    <w:rsid w:val="001C59EF"/>
    <w:rsid w:val="001C5DF4"/>
    <w:rsid w:val="001C5E87"/>
    <w:rsid w:val="001C6080"/>
    <w:rsid w:val="001C69E1"/>
    <w:rsid w:val="001C6B3D"/>
    <w:rsid w:val="001C6D0F"/>
    <w:rsid w:val="001C7217"/>
    <w:rsid w:val="001C757F"/>
    <w:rsid w:val="001C795F"/>
    <w:rsid w:val="001D01A4"/>
    <w:rsid w:val="001D01DA"/>
    <w:rsid w:val="001D01E0"/>
    <w:rsid w:val="001D0288"/>
    <w:rsid w:val="001D04B3"/>
    <w:rsid w:val="001D07EF"/>
    <w:rsid w:val="001D0D8E"/>
    <w:rsid w:val="001D10A0"/>
    <w:rsid w:val="001D10FB"/>
    <w:rsid w:val="001D11D4"/>
    <w:rsid w:val="001D176C"/>
    <w:rsid w:val="001D1D8A"/>
    <w:rsid w:val="001D1E1B"/>
    <w:rsid w:val="001D22F7"/>
    <w:rsid w:val="001D29F0"/>
    <w:rsid w:val="001D2A2E"/>
    <w:rsid w:val="001D2F1E"/>
    <w:rsid w:val="001D370C"/>
    <w:rsid w:val="001D3841"/>
    <w:rsid w:val="001D3A14"/>
    <w:rsid w:val="001D3DEB"/>
    <w:rsid w:val="001D3EBA"/>
    <w:rsid w:val="001D45B7"/>
    <w:rsid w:val="001D469F"/>
    <w:rsid w:val="001D4F2A"/>
    <w:rsid w:val="001D52E5"/>
    <w:rsid w:val="001D5957"/>
    <w:rsid w:val="001D5BBA"/>
    <w:rsid w:val="001D6366"/>
    <w:rsid w:val="001D6B91"/>
    <w:rsid w:val="001D6FE4"/>
    <w:rsid w:val="001D735C"/>
    <w:rsid w:val="001D7B51"/>
    <w:rsid w:val="001E0457"/>
    <w:rsid w:val="001E056A"/>
    <w:rsid w:val="001E0757"/>
    <w:rsid w:val="001E13FB"/>
    <w:rsid w:val="001E1864"/>
    <w:rsid w:val="001E26A9"/>
    <w:rsid w:val="001E2A0B"/>
    <w:rsid w:val="001E2CCD"/>
    <w:rsid w:val="001E32C6"/>
    <w:rsid w:val="001E3B25"/>
    <w:rsid w:val="001E4055"/>
    <w:rsid w:val="001E4547"/>
    <w:rsid w:val="001E4FCD"/>
    <w:rsid w:val="001E5619"/>
    <w:rsid w:val="001E5708"/>
    <w:rsid w:val="001E57FC"/>
    <w:rsid w:val="001E5BA6"/>
    <w:rsid w:val="001E5E54"/>
    <w:rsid w:val="001E643F"/>
    <w:rsid w:val="001E6A84"/>
    <w:rsid w:val="001E7059"/>
    <w:rsid w:val="001E7166"/>
    <w:rsid w:val="001E71EC"/>
    <w:rsid w:val="001E730E"/>
    <w:rsid w:val="001E739D"/>
    <w:rsid w:val="001E742E"/>
    <w:rsid w:val="001E74B6"/>
    <w:rsid w:val="001E7632"/>
    <w:rsid w:val="001E78C1"/>
    <w:rsid w:val="001E791C"/>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B6A"/>
    <w:rsid w:val="001F261C"/>
    <w:rsid w:val="001F278D"/>
    <w:rsid w:val="001F2F82"/>
    <w:rsid w:val="001F354B"/>
    <w:rsid w:val="001F3870"/>
    <w:rsid w:val="001F3B44"/>
    <w:rsid w:val="001F4664"/>
    <w:rsid w:val="001F48D2"/>
    <w:rsid w:val="001F495C"/>
    <w:rsid w:val="001F4A51"/>
    <w:rsid w:val="001F4BD7"/>
    <w:rsid w:val="001F5566"/>
    <w:rsid w:val="001F57DC"/>
    <w:rsid w:val="001F597A"/>
    <w:rsid w:val="001F5AA1"/>
    <w:rsid w:val="001F5F65"/>
    <w:rsid w:val="001F6597"/>
    <w:rsid w:val="001F6B09"/>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481"/>
    <w:rsid w:val="002034FF"/>
    <w:rsid w:val="002037DD"/>
    <w:rsid w:val="00204316"/>
    <w:rsid w:val="00204534"/>
    <w:rsid w:val="00204628"/>
    <w:rsid w:val="0020506A"/>
    <w:rsid w:val="0020578A"/>
    <w:rsid w:val="00205871"/>
    <w:rsid w:val="00205B0C"/>
    <w:rsid w:val="00205D5C"/>
    <w:rsid w:val="00206350"/>
    <w:rsid w:val="00207E8D"/>
    <w:rsid w:val="002105D2"/>
    <w:rsid w:val="002106E1"/>
    <w:rsid w:val="00210801"/>
    <w:rsid w:val="00210A27"/>
    <w:rsid w:val="00210CA1"/>
    <w:rsid w:val="0021125D"/>
    <w:rsid w:val="002114CA"/>
    <w:rsid w:val="002116A2"/>
    <w:rsid w:val="00212A33"/>
    <w:rsid w:val="00212D7A"/>
    <w:rsid w:val="00213686"/>
    <w:rsid w:val="00213F54"/>
    <w:rsid w:val="00214B0C"/>
    <w:rsid w:val="00214CD1"/>
    <w:rsid w:val="00214DC0"/>
    <w:rsid w:val="00215026"/>
    <w:rsid w:val="00215250"/>
    <w:rsid w:val="0021540C"/>
    <w:rsid w:val="0021593F"/>
    <w:rsid w:val="002163F4"/>
    <w:rsid w:val="002168EA"/>
    <w:rsid w:val="00216962"/>
    <w:rsid w:val="00216E20"/>
    <w:rsid w:val="00217457"/>
    <w:rsid w:val="00217BA1"/>
    <w:rsid w:val="0022009C"/>
    <w:rsid w:val="002200AD"/>
    <w:rsid w:val="002203AE"/>
    <w:rsid w:val="002204A4"/>
    <w:rsid w:val="00220976"/>
    <w:rsid w:val="00220BA7"/>
    <w:rsid w:val="00220DE1"/>
    <w:rsid w:val="00220F45"/>
    <w:rsid w:val="002210C7"/>
    <w:rsid w:val="00221732"/>
    <w:rsid w:val="00221A92"/>
    <w:rsid w:val="00221DCA"/>
    <w:rsid w:val="00221E02"/>
    <w:rsid w:val="002227B4"/>
    <w:rsid w:val="00222F4E"/>
    <w:rsid w:val="00223036"/>
    <w:rsid w:val="002233D9"/>
    <w:rsid w:val="00223AB3"/>
    <w:rsid w:val="00223F9C"/>
    <w:rsid w:val="00224546"/>
    <w:rsid w:val="00225217"/>
    <w:rsid w:val="0022528E"/>
    <w:rsid w:val="00225401"/>
    <w:rsid w:val="002255C6"/>
    <w:rsid w:val="002256F7"/>
    <w:rsid w:val="002261AE"/>
    <w:rsid w:val="00226410"/>
    <w:rsid w:val="002265BE"/>
    <w:rsid w:val="002266BC"/>
    <w:rsid w:val="00226776"/>
    <w:rsid w:val="00226B31"/>
    <w:rsid w:val="002272ED"/>
    <w:rsid w:val="002275C2"/>
    <w:rsid w:val="002276F5"/>
    <w:rsid w:val="002277E4"/>
    <w:rsid w:val="00227ABA"/>
    <w:rsid w:val="00227C2C"/>
    <w:rsid w:val="00227DAF"/>
    <w:rsid w:val="00230242"/>
    <w:rsid w:val="002302F7"/>
    <w:rsid w:val="002302F9"/>
    <w:rsid w:val="0023051E"/>
    <w:rsid w:val="0023052E"/>
    <w:rsid w:val="002307B9"/>
    <w:rsid w:val="00231315"/>
    <w:rsid w:val="00231799"/>
    <w:rsid w:val="0023220D"/>
    <w:rsid w:val="002324A0"/>
    <w:rsid w:val="0023287D"/>
    <w:rsid w:val="002329C2"/>
    <w:rsid w:val="00232BD9"/>
    <w:rsid w:val="00232DE0"/>
    <w:rsid w:val="0023311E"/>
    <w:rsid w:val="002332F2"/>
    <w:rsid w:val="00233346"/>
    <w:rsid w:val="002339B1"/>
    <w:rsid w:val="00233A07"/>
    <w:rsid w:val="002342B7"/>
    <w:rsid w:val="00234489"/>
    <w:rsid w:val="00234644"/>
    <w:rsid w:val="002348DC"/>
    <w:rsid w:val="00235167"/>
    <w:rsid w:val="00235279"/>
    <w:rsid w:val="0023538B"/>
    <w:rsid w:val="0023539B"/>
    <w:rsid w:val="00235F3E"/>
    <w:rsid w:val="00236353"/>
    <w:rsid w:val="00236684"/>
    <w:rsid w:val="002369BE"/>
    <w:rsid w:val="00236B13"/>
    <w:rsid w:val="00236B7D"/>
    <w:rsid w:val="00237896"/>
    <w:rsid w:val="002403DB"/>
    <w:rsid w:val="0024050D"/>
    <w:rsid w:val="002406D6"/>
    <w:rsid w:val="00240752"/>
    <w:rsid w:val="00240DAF"/>
    <w:rsid w:val="00240E5A"/>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0FB"/>
    <w:rsid w:val="002446B5"/>
    <w:rsid w:val="0024554F"/>
    <w:rsid w:val="00245C45"/>
    <w:rsid w:val="00245DAE"/>
    <w:rsid w:val="0024630C"/>
    <w:rsid w:val="00246749"/>
    <w:rsid w:val="00246BDB"/>
    <w:rsid w:val="00247FE6"/>
    <w:rsid w:val="00250035"/>
    <w:rsid w:val="002504A7"/>
    <w:rsid w:val="0025072E"/>
    <w:rsid w:val="002507D5"/>
    <w:rsid w:val="00250C04"/>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686C"/>
    <w:rsid w:val="00256BC5"/>
    <w:rsid w:val="002571B8"/>
    <w:rsid w:val="002572CD"/>
    <w:rsid w:val="00257805"/>
    <w:rsid w:val="00257B4D"/>
    <w:rsid w:val="00257CD1"/>
    <w:rsid w:val="00257CDE"/>
    <w:rsid w:val="00257E22"/>
    <w:rsid w:val="00257F1A"/>
    <w:rsid w:val="00260D86"/>
    <w:rsid w:val="00260EC7"/>
    <w:rsid w:val="00261CD4"/>
    <w:rsid w:val="00262450"/>
    <w:rsid w:val="002625B1"/>
    <w:rsid w:val="0026267C"/>
    <w:rsid w:val="002629D6"/>
    <w:rsid w:val="00262C70"/>
    <w:rsid w:val="00262FB9"/>
    <w:rsid w:val="0026337E"/>
    <w:rsid w:val="002636B7"/>
    <w:rsid w:val="002639F9"/>
    <w:rsid w:val="00263CBC"/>
    <w:rsid w:val="00263F56"/>
    <w:rsid w:val="00263F5E"/>
    <w:rsid w:val="00263FA2"/>
    <w:rsid w:val="00264199"/>
    <w:rsid w:val="002643F7"/>
    <w:rsid w:val="002647C3"/>
    <w:rsid w:val="00264DF5"/>
    <w:rsid w:val="002652D6"/>
    <w:rsid w:val="0026563D"/>
    <w:rsid w:val="002657BA"/>
    <w:rsid w:val="00265AB0"/>
    <w:rsid w:val="00265CF5"/>
    <w:rsid w:val="00265D85"/>
    <w:rsid w:val="00266100"/>
    <w:rsid w:val="002661CD"/>
    <w:rsid w:val="0026623F"/>
    <w:rsid w:val="00266472"/>
    <w:rsid w:val="002665F3"/>
    <w:rsid w:val="00266A3D"/>
    <w:rsid w:val="00266CB6"/>
    <w:rsid w:val="00267437"/>
    <w:rsid w:val="00267C21"/>
    <w:rsid w:val="0027012B"/>
    <w:rsid w:val="0027040D"/>
    <w:rsid w:val="00270A3D"/>
    <w:rsid w:val="00271632"/>
    <w:rsid w:val="00271675"/>
    <w:rsid w:val="00271AC8"/>
    <w:rsid w:val="0027215F"/>
    <w:rsid w:val="002723DC"/>
    <w:rsid w:val="00272594"/>
    <w:rsid w:val="002728AF"/>
    <w:rsid w:val="00273A64"/>
    <w:rsid w:val="00273C8B"/>
    <w:rsid w:val="00273EC6"/>
    <w:rsid w:val="00274A86"/>
    <w:rsid w:val="00274BD0"/>
    <w:rsid w:val="00275125"/>
    <w:rsid w:val="002752EE"/>
    <w:rsid w:val="002753DC"/>
    <w:rsid w:val="002756BE"/>
    <w:rsid w:val="00275819"/>
    <w:rsid w:val="00275A30"/>
    <w:rsid w:val="00275A73"/>
    <w:rsid w:val="00275E16"/>
    <w:rsid w:val="00276074"/>
    <w:rsid w:val="002767D6"/>
    <w:rsid w:val="00277145"/>
    <w:rsid w:val="0027736B"/>
    <w:rsid w:val="00277861"/>
    <w:rsid w:val="002800AE"/>
    <w:rsid w:val="00280108"/>
    <w:rsid w:val="002801A0"/>
    <w:rsid w:val="002804FA"/>
    <w:rsid w:val="00280A2A"/>
    <w:rsid w:val="00280A5B"/>
    <w:rsid w:val="00280BBE"/>
    <w:rsid w:val="00280C95"/>
    <w:rsid w:val="00280F23"/>
    <w:rsid w:val="00281262"/>
    <w:rsid w:val="00281297"/>
    <w:rsid w:val="002812AE"/>
    <w:rsid w:val="002812FE"/>
    <w:rsid w:val="00281CE6"/>
    <w:rsid w:val="00281FE6"/>
    <w:rsid w:val="00283192"/>
    <w:rsid w:val="00283254"/>
    <w:rsid w:val="00283A2B"/>
    <w:rsid w:val="00284336"/>
    <w:rsid w:val="00284571"/>
    <w:rsid w:val="0028487F"/>
    <w:rsid w:val="00284A29"/>
    <w:rsid w:val="00284B77"/>
    <w:rsid w:val="00284E7D"/>
    <w:rsid w:val="00285144"/>
    <w:rsid w:val="00285331"/>
    <w:rsid w:val="002854DE"/>
    <w:rsid w:val="0028580D"/>
    <w:rsid w:val="00285A0C"/>
    <w:rsid w:val="00286062"/>
    <w:rsid w:val="002862F4"/>
    <w:rsid w:val="00286525"/>
    <w:rsid w:val="00286A5E"/>
    <w:rsid w:val="00286DC0"/>
    <w:rsid w:val="002878B7"/>
    <w:rsid w:val="00287A1E"/>
    <w:rsid w:val="00290523"/>
    <w:rsid w:val="00290AE9"/>
    <w:rsid w:val="00290C4F"/>
    <w:rsid w:val="00290EAA"/>
    <w:rsid w:val="002912B8"/>
    <w:rsid w:val="00291561"/>
    <w:rsid w:val="00291C94"/>
    <w:rsid w:val="00292500"/>
    <w:rsid w:val="00292827"/>
    <w:rsid w:val="00292C17"/>
    <w:rsid w:val="00292E39"/>
    <w:rsid w:val="00293449"/>
    <w:rsid w:val="00293488"/>
    <w:rsid w:val="00293661"/>
    <w:rsid w:val="00293A85"/>
    <w:rsid w:val="00293EA2"/>
    <w:rsid w:val="00294062"/>
    <w:rsid w:val="0029411C"/>
    <w:rsid w:val="00294199"/>
    <w:rsid w:val="002949F2"/>
    <w:rsid w:val="002951D3"/>
    <w:rsid w:val="002956BD"/>
    <w:rsid w:val="00295DBC"/>
    <w:rsid w:val="00295FFC"/>
    <w:rsid w:val="002966C1"/>
    <w:rsid w:val="0029712D"/>
    <w:rsid w:val="0029732D"/>
    <w:rsid w:val="00297379"/>
    <w:rsid w:val="0029772C"/>
    <w:rsid w:val="002977A9"/>
    <w:rsid w:val="00297F59"/>
    <w:rsid w:val="00297F73"/>
    <w:rsid w:val="00297FF0"/>
    <w:rsid w:val="002A014F"/>
    <w:rsid w:val="002A0623"/>
    <w:rsid w:val="002A094E"/>
    <w:rsid w:val="002A0D0B"/>
    <w:rsid w:val="002A0DC8"/>
    <w:rsid w:val="002A0F75"/>
    <w:rsid w:val="002A10CB"/>
    <w:rsid w:val="002A14F7"/>
    <w:rsid w:val="002A1626"/>
    <w:rsid w:val="002A1A21"/>
    <w:rsid w:val="002A1E9F"/>
    <w:rsid w:val="002A20E0"/>
    <w:rsid w:val="002A2123"/>
    <w:rsid w:val="002A216E"/>
    <w:rsid w:val="002A249C"/>
    <w:rsid w:val="002A2856"/>
    <w:rsid w:val="002A2EBA"/>
    <w:rsid w:val="002A3028"/>
    <w:rsid w:val="002A3299"/>
    <w:rsid w:val="002A351A"/>
    <w:rsid w:val="002A39E7"/>
    <w:rsid w:val="002A40F4"/>
    <w:rsid w:val="002A452D"/>
    <w:rsid w:val="002A477D"/>
    <w:rsid w:val="002A496D"/>
    <w:rsid w:val="002A4AED"/>
    <w:rsid w:val="002A4C62"/>
    <w:rsid w:val="002A5DA1"/>
    <w:rsid w:val="002A5DA2"/>
    <w:rsid w:val="002A5F66"/>
    <w:rsid w:val="002A5FB0"/>
    <w:rsid w:val="002A6236"/>
    <w:rsid w:val="002A6841"/>
    <w:rsid w:val="002A69BD"/>
    <w:rsid w:val="002A6CAA"/>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66"/>
    <w:rsid w:val="002B18FC"/>
    <w:rsid w:val="002B1F6A"/>
    <w:rsid w:val="002B212D"/>
    <w:rsid w:val="002B2D32"/>
    <w:rsid w:val="002B2E2B"/>
    <w:rsid w:val="002B32EC"/>
    <w:rsid w:val="002B35E5"/>
    <w:rsid w:val="002B4081"/>
    <w:rsid w:val="002B42E0"/>
    <w:rsid w:val="002B4449"/>
    <w:rsid w:val="002B4FE1"/>
    <w:rsid w:val="002B5548"/>
    <w:rsid w:val="002B5767"/>
    <w:rsid w:val="002B57B8"/>
    <w:rsid w:val="002B58EC"/>
    <w:rsid w:val="002B5979"/>
    <w:rsid w:val="002B5AF6"/>
    <w:rsid w:val="002B5B51"/>
    <w:rsid w:val="002B5EAB"/>
    <w:rsid w:val="002B5F3D"/>
    <w:rsid w:val="002B6248"/>
    <w:rsid w:val="002B64D4"/>
    <w:rsid w:val="002B6536"/>
    <w:rsid w:val="002B6579"/>
    <w:rsid w:val="002B6A76"/>
    <w:rsid w:val="002B6A96"/>
    <w:rsid w:val="002B6B08"/>
    <w:rsid w:val="002B749B"/>
    <w:rsid w:val="002B75A5"/>
    <w:rsid w:val="002B7E65"/>
    <w:rsid w:val="002B7F95"/>
    <w:rsid w:val="002C0328"/>
    <w:rsid w:val="002C0CA0"/>
    <w:rsid w:val="002C109F"/>
    <w:rsid w:val="002C11EE"/>
    <w:rsid w:val="002C1221"/>
    <w:rsid w:val="002C12F3"/>
    <w:rsid w:val="002C1DCF"/>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0E"/>
    <w:rsid w:val="002C4B26"/>
    <w:rsid w:val="002C4DFB"/>
    <w:rsid w:val="002C4E93"/>
    <w:rsid w:val="002C4FD7"/>
    <w:rsid w:val="002C4FE8"/>
    <w:rsid w:val="002C510E"/>
    <w:rsid w:val="002C520F"/>
    <w:rsid w:val="002C5418"/>
    <w:rsid w:val="002C544D"/>
    <w:rsid w:val="002C5DA3"/>
    <w:rsid w:val="002C6EA1"/>
    <w:rsid w:val="002C706A"/>
    <w:rsid w:val="002C75F0"/>
    <w:rsid w:val="002C774C"/>
    <w:rsid w:val="002C798C"/>
    <w:rsid w:val="002C7C7E"/>
    <w:rsid w:val="002C7C95"/>
    <w:rsid w:val="002C7E38"/>
    <w:rsid w:val="002D06C7"/>
    <w:rsid w:val="002D0BDA"/>
    <w:rsid w:val="002D0DAD"/>
    <w:rsid w:val="002D0DB5"/>
    <w:rsid w:val="002D1D9B"/>
    <w:rsid w:val="002D2200"/>
    <w:rsid w:val="002D2A78"/>
    <w:rsid w:val="002D31E4"/>
    <w:rsid w:val="002D339F"/>
    <w:rsid w:val="002D3C33"/>
    <w:rsid w:val="002D41DE"/>
    <w:rsid w:val="002D423B"/>
    <w:rsid w:val="002D4371"/>
    <w:rsid w:val="002D494C"/>
    <w:rsid w:val="002D49F2"/>
    <w:rsid w:val="002D55BA"/>
    <w:rsid w:val="002D5BF8"/>
    <w:rsid w:val="002D5E88"/>
    <w:rsid w:val="002D6703"/>
    <w:rsid w:val="002D6D07"/>
    <w:rsid w:val="002D6D54"/>
    <w:rsid w:val="002D6EAA"/>
    <w:rsid w:val="002D7265"/>
    <w:rsid w:val="002E00CB"/>
    <w:rsid w:val="002E012E"/>
    <w:rsid w:val="002E0228"/>
    <w:rsid w:val="002E07A2"/>
    <w:rsid w:val="002E08CD"/>
    <w:rsid w:val="002E0E48"/>
    <w:rsid w:val="002E1120"/>
    <w:rsid w:val="002E133B"/>
    <w:rsid w:val="002E20B4"/>
    <w:rsid w:val="002E22D0"/>
    <w:rsid w:val="002E23F5"/>
    <w:rsid w:val="002E2418"/>
    <w:rsid w:val="002E2935"/>
    <w:rsid w:val="002E29BD"/>
    <w:rsid w:val="002E3228"/>
    <w:rsid w:val="002E3668"/>
    <w:rsid w:val="002E37B1"/>
    <w:rsid w:val="002E43E0"/>
    <w:rsid w:val="002E454F"/>
    <w:rsid w:val="002E50D4"/>
    <w:rsid w:val="002E52D3"/>
    <w:rsid w:val="002E5426"/>
    <w:rsid w:val="002E5983"/>
    <w:rsid w:val="002E59D2"/>
    <w:rsid w:val="002E5CBD"/>
    <w:rsid w:val="002E6029"/>
    <w:rsid w:val="002E62E5"/>
    <w:rsid w:val="002E6392"/>
    <w:rsid w:val="002E64C5"/>
    <w:rsid w:val="002E68CF"/>
    <w:rsid w:val="002E6DFF"/>
    <w:rsid w:val="002E6F6B"/>
    <w:rsid w:val="002E7086"/>
    <w:rsid w:val="002E784C"/>
    <w:rsid w:val="002E798D"/>
    <w:rsid w:val="002E7DF2"/>
    <w:rsid w:val="002F04F2"/>
    <w:rsid w:val="002F0596"/>
    <w:rsid w:val="002F07A8"/>
    <w:rsid w:val="002F07B2"/>
    <w:rsid w:val="002F0AFA"/>
    <w:rsid w:val="002F0F27"/>
    <w:rsid w:val="002F108F"/>
    <w:rsid w:val="002F10B7"/>
    <w:rsid w:val="002F1EE5"/>
    <w:rsid w:val="002F2165"/>
    <w:rsid w:val="002F2C7C"/>
    <w:rsid w:val="002F2CB7"/>
    <w:rsid w:val="002F2D8B"/>
    <w:rsid w:val="002F2EDC"/>
    <w:rsid w:val="002F2F89"/>
    <w:rsid w:val="002F34A7"/>
    <w:rsid w:val="002F3D1B"/>
    <w:rsid w:val="002F42B5"/>
    <w:rsid w:val="002F4A3A"/>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D0C"/>
    <w:rsid w:val="003002F1"/>
    <w:rsid w:val="0030034A"/>
    <w:rsid w:val="003006D5"/>
    <w:rsid w:val="00300761"/>
    <w:rsid w:val="00300893"/>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33F"/>
    <w:rsid w:val="003034A0"/>
    <w:rsid w:val="00303592"/>
    <w:rsid w:val="003036CF"/>
    <w:rsid w:val="003036E6"/>
    <w:rsid w:val="00303965"/>
    <w:rsid w:val="003039D9"/>
    <w:rsid w:val="00303E1A"/>
    <w:rsid w:val="0030485C"/>
    <w:rsid w:val="00304F03"/>
    <w:rsid w:val="00304FB2"/>
    <w:rsid w:val="00305567"/>
    <w:rsid w:val="00305689"/>
    <w:rsid w:val="003057D3"/>
    <w:rsid w:val="003058B0"/>
    <w:rsid w:val="00306380"/>
    <w:rsid w:val="003067FF"/>
    <w:rsid w:val="0030684A"/>
    <w:rsid w:val="0030685B"/>
    <w:rsid w:val="0030696C"/>
    <w:rsid w:val="003073E8"/>
    <w:rsid w:val="00307465"/>
    <w:rsid w:val="00307674"/>
    <w:rsid w:val="003076F9"/>
    <w:rsid w:val="00307DC8"/>
    <w:rsid w:val="00307FCC"/>
    <w:rsid w:val="0031008E"/>
    <w:rsid w:val="00310106"/>
    <w:rsid w:val="00310A9A"/>
    <w:rsid w:val="003117AC"/>
    <w:rsid w:val="003117BE"/>
    <w:rsid w:val="003117FE"/>
    <w:rsid w:val="00312187"/>
    <w:rsid w:val="00312646"/>
    <w:rsid w:val="0031298C"/>
    <w:rsid w:val="00312A7A"/>
    <w:rsid w:val="00312D07"/>
    <w:rsid w:val="00312E2A"/>
    <w:rsid w:val="00313735"/>
    <w:rsid w:val="00313DA5"/>
    <w:rsid w:val="00313EC4"/>
    <w:rsid w:val="00314376"/>
    <w:rsid w:val="00314C04"/>
    <w:rsid w:val="00314C3A"/>
    <w:rsid w:val="00314D45"/>
    <w:rsid w:val="00315316"/>
    <w:rsid w:val="003155F2"/>
    <w:rsid w:val="00315645"/>
    <w:rsid w:val="003157B5"/>
    <w:rsid w:val="00315CBF"/>
    <w:rsid w:val="0031657D"/>
    <w:rsid w:val="00316628"/>
    <w:rsid w:val="00316713"/>
    <w:rsid w:val="00316BE1"/>
    <w:rsid w:val="00317346"/>
    <w:rsid w:val="00317F3B"/>
    <w:rsid w:val="003200BE"/>
    <w:rsid w:val="00320451"/>
    <w:rsid w:val="00320862"/>
    <w:rsid w:val="00320998"/>
    <w:rsid w:val="00320A42"/>
    <w:rsid w:val="00321512"/>
    <w:rsid w:val="00321DB8"/>
    <w:rsid w:val="00322199"/>
    <w:rsid w:val="003225A7"/>
    <w:rsid w:val="00322EB1"/>
    <w:rsid w:val="00322F6B"/>
    <w:rsid w:val="00323032"/>
    <w:rsid w:val="003231D6"/>
    <w:rsid w:val="00323369"/>
    <w:rsid w:val="00323492"/>
    <w:rsid w:val="00323495"/>
    <w:rsid w:val="00323795"/>
    <w:rsid w:val="00323DE4"/>
    <w:rsid w:val="003247B5"/>
    <w:rsid w:val="00324961"/>
    <w:rsid w:val="00324B81"/>
    <w:rsid w:val="0032511B"/>
    <w:rsid w:val="003255C6"/>
    <w:rsid w:val="003256DB"/>
    <w:rsid w:val="00325EE5"/>
    <w:rsid w:val="003263A9"/>
    <w:rsid w:val="003269EA"/>
    <w:rsid w:val="00326B68"/>
    <w:rsid w:val="00326BF6"/>
    <w:rsid w:val="0032714E"/>
    <w:rsid w:val="00327181"/>
    <w:rsid w:val="003274AC"/>
    <w:rsid w:val="00327C7F"/>
    <w:rsid w:val="003300B2"/>
    <w:rsid w:val="00330134"/>
    <w:rsid w:val="003301C9"/>
    <w:rsid w:val="003301CF"/>
    <w:rsid w:val="003301D9"/>
    <w:rsid w:val="003306B0"/>
    <w:rsid w:val="0033132A"/>
    <w:rsid w:val="003315CD"/>
    <w:rsid w:val="003320FA"/>
    <w:rsid w:val="00332539"/>
    <w:rsid w:val="003327CD"/>
    <w:rsid w:val="00332CAF"/>
    <w:rsid w:val="00332D87"/>
    <w:rsid w:val="00332DCC"/>
    <w:rsid w:val="0033319E"/>
    <w:rsid w:val="00333536"/>
    <w:rsid w:val="0033354E"/>
    <w:rsid w:val="003335B9"/>
    <w:rsid w:val="00333EDE"/>
    <w:rsid w:val="00334E06"/>
    <w:rsid w:val="00334E6C"/>
    <w:rsid w:val="00334F5C"/>
    <w:rsid w:val="0033510A"/>
    <w:rsid w:val="003353E9"/>
    <w:rsid w:val="00335B9F"/>
    <w:rsid w:val="00335FED"/>
    <w:rsid w:val="0033603F"/>
    <w:rsid w:val="003360F4"/>
    <w:rsid w:val="00336183"/>
    <w:rsid w:val="00336633"/>
    <w:rsid w:val="0033665E"/>
    <w:rsid w:val="00336A59"/>
    <w:rsid w:val="00336C78"/>
    <w:rsid w:val="00336F21"/>
    <w:rsid w:val="00336F89"/>
    <w:rsid w:val="00337088"/>
    <w:rsid w:val="0033755D"/>
    <w:rsid w:val="00337818"/>
    <w:rsid w:val="00337B19"/>
    <w:rsid w:val="00340286"/>
    <w:rsid w:val="00340754"/>
    <w:rsid w:val="00340CAB"/>
    <w:rsid w:val="0034161F"/>
    <w:rsid w:val="0034197D"/>
    <w:rsid w:val="00341A9C"/>
    <w:rsid w:val="00341BC4"/>
    <w:rsid w:val="00341D24"/>
    <w:rsid w:val="00341DA2"/>
    <w:rsid w:val="00341EFB"/>
    <w:rsid w:val="00341FAC"/>
    <w:rsid w:val="0034274C"/>
    <w:rsid w:val="00342976"/>
    <w:rsid w:val="00342D98"/>
    <w:rsid w:val="0034305A"/>
    <w:rsid w:val="00343824"/>
    <w:rsid w:val="00343C66"/>
    <w:rsid w:val="003441BC"/>
    <w:rsid w:val="00344310"/>
    <w:rsid w:val="00344797"/>
    <w:rsid w:val="00344AF4"/>
    <w:rsid w:val="00344BA0"/>
    <w:rsid w:val="0034598C"/>
    <w:rsid w:val="003460F6"/>
    <w:rsid w:val="003462E7"/>
    <w:rsid w:val="00346464"/>
    <w:rsid w:val="0034695C"/>
    <w:rsid w:val="00346B74"/>
    <w:rsid w:val="00346E8A"/>
    <w:rsid w:val="00346F7D"/>
    <w:rsid w:val="00346FF5"/>
    <w:rsid w:val="00347131"/>
    <w:rsid w:val="0034737E"/>
    <w:rsid w:val="003474B5"/>
    <w:rsid w:val="0034765D"/>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455"/>
    <w:rsid w:val="003525C9"/>
    <w:rsid w:val="003526AF"/>
    <w:rsid w:val="003527DF"/>
    <w:rsid w:val="003529E3"/>
    <w:rsid w:val="00353572"/>
    <w:rsid w:val="0035360E"/>
    <w:rsid w:val="00353E99"/>
    <w:rsid w:val="003540F3"/>
    <w:rsid w:val="00354389"/>
    <w:rsid w:val="003550AA"/>
    <w:rsid w:val="00355664"/>
    <w:rsid w:val="0035574F"/>
    <w:rsid w:val="003557A8"/>
    <w:rsid w:val="003557AC"/>
    <w:rsid w:val="00356F46"/>
    <w:rsid w:val="0035706D"/>
    <w:rsid w:val="00357082"/>
    <w:rsid w:val="003576E2"/>
    <w:rsid w:val="00357776"/>
    <w:rsid w:val="00357777"/>
    <w:rsid w:val="003578A6"/>
    <w:rsid w:val="00357AC2"/>
    <w:rsid w:val="0036009F"/>
    <w:rsid w:val="0036024B"/>
    <w:rsid w:val="003607B3"/>
    <w:rsid w:val="00360DBD"/>
    <w:rsid w:val="00360DDE"/>
    <w:rsid w:val="003615A0"/>
    <w:rsid w:val="0036194C"/>
    <w:rsid w:val="00361F13"/>
    <w:rsid w:val="003620AC"/>
    <w:rsid w:val="0036264B"/>
    <w:rsid w:val="00362735"/>
    <w:rsid w:val="00362925"/>
    <w:rsid w:val="00362F4F"/>
    <w:rsid w:val="003636A7"/>
    <w:rsid w:val="003636F5"/>
    <w:rsid w:val="00364520"/>
    <w:rsid w:val="0036502C"/>
    <w:rsid w:val="0036514F"/>
    <w:rsid w:val="003651FD"/>
    <w:rsid w:val="003654DD"/>
    <w:rsid w:val="003658E1"/>
    <w:rsid w:val="00365A51"/>
    <w:rsid w:val="00365E02"/>
    <w:rsid w:val="00366431"/>
    <w:rsid w:val="003669A7"/>
    <w:rsid w:val="00366AB8"/>
    <w:rsid w:val="00366DEC"/>
    <w:rsid w:val="00366EDE"/>
    <w:rsid w:val="0036705C"/>
    <w:rsid w:val="0036717F"/>
    <w:rsid w:val="00367535"/>
    <w:rsid w:val="00367B03"/>
    <w:rsid w:val="00370132"/>
    <w:rsid w:val="003708C7"/>
    <w:rsid w:val="00370C14"/>
    <w:rsid w:val="00371089"/>
    <w:rsid w:val="0037159A"/>
    <w:rsid w:val="00371CA4"/>
    <w:rsid w:val="00372635"/>
    <w:rsid w:val="003728AB"/>
    <w:rsid w:val="003728FC"/>
    <w:rsid w:val="00372D1F"/>
    <w:rsid w:val="00373384"/>
    <w:rsid w:val="0037352E"/>
    <w:rsid w:val="00373820"/>
    <w:rsid w:val="00373F22"/>
    <w:rsid w:val="00374161"/>
    <w:rsid w:val="00374630"/>
    <w:rsid w:val="0037467B"/>
    <w:rsid w:val="00374689"/>
    <w:rsid w:val="003749C4"/>
    <w:rsid w:val="003756FA"/>
    <w:rsid w:val="003758F4"/>
    <w:rsid w:val="003759AF"/>
    <w:rsid w:val="00375BCB"/>
    <w:rsid w:val="00376B13"/>
    <w:rsid w:val="00376F4A"/>
    <w:rsid w:val="003773AC"/>
    <w:rsid w:val="003773C4"/>
    <w:rsid w:val="00377656"/>
    <w:rsid w:val="00377B26"/>
    <w:rsid w:val="003802C8"/>
    <w:rsid w:val="00380369"/>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F9"/>
    <w:rsid w:val="00383C34"/>
    <w:rsid w:val="00384468"/>
    <w:rsid w:val="003846C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367"/>
    <w:rsid w:val="00387748"/>
    <w:rsid w:val="0039006A"/>
    <w:rsid w:val="00390CE7"/>
    <w:rsid w:val="00391384"/>
    <w:rsid w:val="00391B14"/>
    <w:rsid w:val="00391B76"/>
    <w:rsid w:val="00391EDE"/>
    <w:rsid w:val="0039201C"/>
    <w:rsid w:val="00392CA5"/>
    <w:rsid w:val="00392CF9"/>
    <w:rsid w:val="00393040"/>
    <w:rsid w:val="00393203"/>
    <w:rsid w:val="003939D6"/>
    <w:rsid w:val="00393B17"/>
    <w:rsid w:val="00393B8C"/>
    <w:rsid w:val="00394284"/>
    <w:rsid w:val="00394839"/>
    <w:rsid w:val="00395343"/>
    <w:rsid w:val="00395925"/>
    <w:rsid w:val="00395CBD"/>
    <w:rsid w:val="003961BA"/>
    <w:rsid w:val="00396226"/>
    <w:rsid w:val="00396B77"/>
    <w:rsid w:val="00396CFF"/>
    <w:rsid w:val="00396D0A"/>
    <w:rsid w:val="00396D6A"/>
    <w:rsid w:val="00396E27"/>
    <w:rsid w:val="00396F5E"/>
    <w:rsid w:val="00397D10"/>
    <w:rsid w:val="00397D3F"/>
    <w:rsid w:val="00397EAC"/>
    <w:rsid w:val="00397F26"/>
    <w:rsid w:val="00397F52"/>
    <w:rsid w:val="003A00AA"/>
    <w:rsid w:val="003A06A2"/>
    <w:rsid w:val="003A0767"/>
    <w:rsid w:val="003A0C0C"/>
    <w:rsid w:val="003A1949"/>
    <w:rsid w:val="003A1EA2"/>
    <w:rsid w:val="003A2786"/>
    <w:rsid w:val="003A27DF"/>
    <w:rsid w:val="003A2C38"/>
    <w:rsid w:val="003A2C6A"/>
    <w:rsid w:val="003A2D52"/>
    <w:rsid w:val="003A3003"/>
    <w:rsid w:val="003A3104"/>
    <w:rsid w:val="003A3111"/>
    <w:rsid w:val="003A321B"/>
    <w:rsid w:val="003A3408"/>
    <w:rsid w:val="003A36EB"/>
    <w:rsid w:val="003A3955"/>
    <w:rsid w:val="003A4362"/>
    <w:rsid w:val="003A4979"/>
    <w:rsid w:val="003A4C77"/>
    <w:rsid w:val="003A54A2"/>
    <w:rsid w:val="003A559E"/>
    <w:rsid w:val="003A66C0"/>
    <w:rsid w:val="003A6AAD"/>
    <w:rsid w:val="003A6C61"/>
    <w:rsid w:val="003A6E77"/>
    <w:rsid w:val="003A7311"/>
    <w:rsid w:val="003A745F"/>
    <w:rsid w:val="003A746B"/>
    <w:rsid w:val="003A75BB"/>
    <w:rsid w:val="003A76A2"/>
    <w:rsid w:val="003B00EE"/>
    <w:rsid w:val="003B01C0"/>
    <w:rsid w:val="003B07DA"/>
    <w:rsid w:val="003B0D5D"/>
    <w:rsid w:val="003B1033"/>
    <w:rsid w:val="003B10EC"/>
    <w:rsid w:val="003B1291"/>
    <w:rsid w:val="003B1347"/>
    <w:rsid w:val="003B148D"/>
    <w:rsid w:val="003B1977"/>
    <w:rsid w:val="003B1C58"/>
    <w:rsid w:val="003B2738"/>
    <w:rsid w:val="003B2A11"/>
    <w:rsid w:val="003B2A8F"/>
    <w:rsid w:val="003B2E34"/>
    <w:rsid w:val="003B34A9"/>
    <w:rsid w:val="003B3931"/>
    <w:rsid w:val="003B3F95"/>
    <w:rsid w:val="003B42B5"/>
    <w:rsid w:val="003B4B46"/>
    <w:rsid w:val="003B4F61"/>
    <w:rsid w:val="003B5625"/>
    <w:rsid w:val="003B60A8"/>
    <w:rsid w:val="003B61E5"/>
    <w:rsid w:val="003B669A"/>
    <w:rsid w:val="003B67FC"/>
    <w:rsid w:val="003B7984"/>
    <w:rsid w:val="003B7AC4"/>
    <w:rsid w:val="003B7B8A"/>
    <w:rsid w:val="003C00AD"/>
    <w:rsid w:val="003C02F8"/>
    <w:rsid w:val="003C057F"/>
    <w:rsid w:val="003C0A9F"/>
    <w:rsid w:val="003C13A4"/>
    <w:rsid w:val="003C1975"/>
    <w:rsid w:val="003C1C06"/>
    <w:rsid w:val="003C1CCD"/>
    <w:rsid w:val="003C1FB0"/>
    <w:rsid w:val="003C2299"/>
    <w:rsid w:val="003C265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5F82"/>
    <w:rsid w:val="003C6067"/>
    <w:rsid w:val="003C6089"/>
    <w:rsid w:val="003C632F"/>
    <w:rsid w:val="003C63FD"/>
    <w:rsid w:val="003C6495"/>
    <w:rsid w:val="003C64B3"/>
    <w:rsid w:val="003C69EF"/>
    <w:rsid w:val="003C6AE4"/>
    <w:rsid w:val="003C6D0A"/>
    <w:rsid w:val="003C6F0A"/>
    <w:rsid w:val="003D07F9"/>
    <w:rsid w:val="003D08D1"/>
    <w:rsid w:val="003D15F7"/>
    <w:rsid w:val="003D178D"/>
    <w:rsid w:val="003D1863"/>
    <w:rsid w:val="003D1CAD"/>
    <w:rsid w:val="003D1E49"/>
    <w:rsid w:val="003D1F91"/>
    <w:rsid w:val="003D2359"/>
    <w:rsid w:val="003D279C"/>
    <w:rsid w:val="003D283B"/>
    <w:rsid w:val="003D28BE"/>
    <w:rsid w:val="003D2FD5"/>
    <w:rsid w:val="003D3074"/>
    <w:rsid w:val="003D3385"/>
    <w:rsid w:val="003D33BD"/>
    <w:rsid w:val="003D3670"/>
    <w:rsid w:val="003D36B0"/>
    <w:rsid w:val="003D3945"/>
    <w:rsid w:val="003D3AB4"/>
    <w:rsid w:val="003D3B07"/>
    <w:rsid w:val="003D3C09"/>
    <w:rsid w:val="003D3F27"/>
    <w:rsid w:val="003D4403"/>
    <w:rsid w:val="003D4FA6"/>
    <w:rsid w:val="003D5398"/>
    <w:rsid w:val="003D5599"/>
    <w:rsid w:val="003D5654"/>
    <w:rsid w:val="003D5E15"/>
    <w:rsid w:val="003D5F05"/>
    <w:rsid w:val="003D61BE"/>
    <w:rsid w:val="003D6258"/>
    <w:rsid w:val="003D6383"/>
    <w:rsid w:val="003D6625"/>
    <w:rsid w:val="003D6731"/>
    <w:rsid w:val="003D682A"/>
    <w:rsid w:val="003D69A1"/>
    <w:rsid w:val="003D7C66"/>
    <w:rsid w:val="003D7F77"/>
    <w:rsid w:val="003E027E"/>
    <w:rsid w:val="003E02DC"/>
    <w:rsid w:val="003E0421"/>
    <w:rsid w:val="003E0547"/>
    <w:rsid w:val="003E05AF"/>
    <w:rsid w:val="003E0B80"/>
    <w:rsid w:val="003E0CD2"/>
    <w:rsid w:val="003E0E40"/>
    <w:rsid w:val="003E1261"/>
    <w:rsid w:val="003E13DB"/>
    <w:rsid w:val="003E1E71"/>
    <w:rsid w:val="003E209B"/>
    <w:rsid w:val="003E25A3"/>
    <w:rsid w:val="003E2ADF"/>
    <w:rsid w:val="003E2FA8"/>
    <w:rsid w:val="003E3029"/>
    <w:rsid w:val="003E31D4"/>
    <w:rsid w:val="003E336E"/>
    <w:rsid w:val="003E343D"/>
    <w:rsid w:val="003E37A2"/>
    <w:rsid w:val="003E38F6"/>
    <w:rsid w:val="003E3D5C"/>
    <w:rsid w:val="003E44B8"/>
    <w:rsid w:val="003E4910"/>
    <w:rsid w:val="003E51BD"/>
    <w:rsid w:val="003E5532"/>
    <w:rsid w:val="003E55F2"/>
    <w:rsid w:val="003E5864"/>
    <w:rsid w:val="003E5890"/>
    <w:rsid w:val="003E598A"/>
    <w:rsid w:val="003E5D5F"/>
    <w:rsid w:val="003E5EE1"/>
    <w:rsid w:val="003E609D"/>
    <w:rsid w:val="003E60F8"/>
    <w:rsid w:val="003E60FC"/>
    <w:rsid w:val="003E637A"/>
    <w:rsid w:val="003E661E"/>
    <w:rsid w:val="003E66EA"/>
    <w:rsid w:val="003E6CE9"/>
    <w:rsid w:val="003E73B5"/>
    <w:rsid w:val="003E768F"/>
    <w:rsid w:val="003E7C5E"/>
    <w:rsid w:val="003F02C4"/>
    <w:rsid w:val="003F0457"/>
    <w:rsid w:val="003F0746"/>
    <w:rsid w:val="003F0E64"/>
    <w:rsid w:val="003F104A"/>
    <w:rsid w:val="003F2208"/>
    <w:rsid w:val="003F22B5"/>
    <w:rsid w:val="003F2643"/>
    <w:rsid w:val="003F2F8B"/>
    <w:rsid w:val="003F45A4"/>
    <w:rsid w:val="003F505D"/>
    <w:rsid w:val="003F5641"/>
    <w:rsid w:val="003F56B8"/>
    <w:rsid w:val="003F5D88"/>
    <w:rsid w:val="003F5DA9"/>
    <w:rsid w:val="003F6130"/>
    <w:rsid w:val="003F63C9"/>
    <w:rsid w:val="003F772B"/>
    <w:rsid w:val="003F78B7"/>
    <w:rsid w:val="003F7BB3"/>
    <w:rsid w:val="003F7F0A"/>
    <w:rsid w:val="004003C1"/>
    <w:rsid w:val="00400836"/>
    <w:rsid w:val="00400B67"/>
    <w:rsid w:val="00401E91"/>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B3E"/>
    <w:rsid w:val="00404EC6"/>
    <w:rsid w:val="00405033"/>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934"/>
    <w:rsid w:val="00407C36"/>
    <w:rsid w:val="00407E75"/>
    <w:rsid w:val="00407EA2"/>
    <w:rsid w:val="004105D1"/>
    <w:rsid w:val="00410D24"/>
    <w:rsid w:val="004111B9"/>
    <w:rsid w:val="0041165F"/>
    <w:rsid w:val="00411BD1"/>
    <w:rsid w:val="00411D06"/>
    <w:rsid w:val="00412182"/>
    <w:rsid w:val="00412380"/>
    <w:rsid w:val="004128E3"/>
    <w:rsid w:val="004129E2"/>
    <w:rsid w:val="00414361"/>
    <w:rsid w:val="00414521"/>
    <w:rsid w:val="004145B2"/>
    <w:rsid w:val="00414640"/>
    <w:rsid w:val="00414BAC"/>
    <w:rsid w:val="00414DAB"/>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752"/>
    <w:rsid w:val="00422B0C"/>
    <w:rsid w:val="00422CD1"/>
    <w:rsid w:val="00422D28"/>
    <w:rsid w:val="004236A8"/>
    <w:rsid w:val="004239F6"/>
    <w:rsid w:val="00423DF6"/>
    <w:rsid w:val="00423EC8"/>
    <w:rsid w:val="00424634"/>
    <w:rsid w:val="004250D8"/>
    <w:rsid w:val="0042541A"/>
    <w:rsid w:val="004254CB"/>
    <w:rsid w:val="004259E2"/>
    <w:rsid w:val="00425B02"/>
    <w:rsid w:val="00425FB1"/>
    <w:rsid w:val="00426165"/>
    <w:rsid w:val="0042654B"/>
    <w:rsid w:val="004269CA"/>
    <w:rsid w:val="00426AC4"/>
    <w:rsid w:val="00426D1C"/>
    <w:rsid w:val="00426E70"/>
    <w:rsid w:val="00427509"/>
    <w:rsid w:val="00427799"/>
    <w:rsid w:val="00427A4A"/>
    <w:rsid w:val="004300C8"/>
    <w:rsid w:val="00430650"/>
    <w:rsid w:val="00430A90"/>
    <w:rsid w:val="004318E7"/>
    <w:rsid w:val="00431999"/>
    <w:rsid w:val="00431A3B"/>
    <w:rsid w:val="00431DC9"/>
    <w:rsid w:val="004323C6"/>
    <w:rsid w:val="0043258F"/>
    <w:rsid w:val="00432602"/>
    <w:rsid w:val="00432698"/>
    <w:rsid w:val="00432816"/>
    <w:rsid w:val="00432DEA"/>
    <w:rsid w:val="0043338F"/>
    <w:rsid w:val="004333F8"/>
    <w:rsid w:val="004337E4"/>
    <w:rsid w:val="004337F0"/>
    <w:rsid w:val="0043399D"/>
    <w:rsid w:val="00433FCE"/>
    <w:rsid w:val="00433FD9"/>
    <w:rsid w:val="0043453E"/>
    <w:rsid w:val="004345D5"/>
    <w:rsid w:val="00434DE1"/>
    <w:rsid w:val="00434FB7"/>
    <w:rsid w:val="004354AE"/>
    <w:rsid w:val="00435553"/>
    <w:rsid w:val="00435C78"/>
    <w:rsid w:val="00436400"/>
    <w:rsid w:val="004378B3"/>
    <w:rsid w:val="00437958"/>
    <w:rsid w:val="00437BA8"/>
    <w:rsid w:val="00437EDF"/>
    <w:rsid w:val="00440089"/>
    <w:rsid w:val="00440786"/>
    <w:rsid w:val="004407B2"/>
    <w:rsid w:val="004408BD"/>
    <w:rsid w:val="00440D49"/>
    <w:rsid w:val="00441125"/>
    <w:rsid w:val="00441A8C"/>
    <w:rsid w:val="00441C05"/>
    <w:rsid w:val="00441C82"/>
    <w:rsid w:val="00442344"/>
    <w:rsid w:val="00442483"/>
    <w:rsid w:val="004425FA"/>
    <w:rsid w:val="00442A07"/>
    <w:rsid w:val="0044366F"/>
    <w:rsid w:val="00443966"/>
    <w:rsid w:val="00443B39"/>
    <w:rsid w:val="00443CF5"/>
    <w:rsid w:val="004442A0"/>
    <w:rsid w:val="004449A2"/>
    <w:rsid w:val="00445009"/>
    <w:rsid w:val="0044564D"/>
    <w:rsid w:val="00445973"/>
    <w:rsid w:val="00445A76"/>
    <w:rsid w:val="00445DF3"/>
    <w:rsid w:val="00445E0C"/>
    <w:rsid w:val="004462F0"/>
    <w:rsid w:val="0044654D"/>
    <w:rsid w:val="0044672C"/>
    <w:rsid w:val="00446834"/>
    <w:rsid w:val="00446AA9"/>
    <w:rsid w:val="00446E91"/>
    <w:rsid w:val="00446F74"/>
    <w:rsid w:val="0044718D"/>
    <w:rsid w:val="004474F8"/>
    <w:rsid w:val="00447922"/>
    <w:rsid w:val="004479A4"/>
    <w:rsid w:val="004479AF"/>
    <w:rsid w:val="00447B9A"/>
    <w:rsid w:val="00447DF0"/>
    <w:rsid w:val="004500AB"/>
    <w:rsid w:val="004502E7"/>
    <w:rsid w:val="0045050A"/>
    <w:rsid w:val="00450A50"/>
    <w:rsid w:val="0045101C"/>
    <w:rsid w:val="00451469"/>
    <w:rsid w:val="004516A9"/>
    <w:rsid w:val="004517C0"/>
    <w:rsid w:val="00452085"/>
    <w:rsid w:val="00452461"/>
    <w:rsid w:val="00452CCF"/>
    <w:rsid w:val="004532D7"/>
    <w:rsid w:val="004533EA"/>
    <w:rsid w:val="0045365B"/>
    <w:rsid w:val="004536A2"/>
    <w:rsid w:val="004537D8"/>
    <w:rsid w:val="004537FA"/>
    <w:rsid w:val="00453BEE"/>
    <w:rsid w:val="00454A42"/>
    <w:rsid w:val="004552E5"/>
    <w:rsid w:val="00456344"/>
    <w:rsid w:val="0045671B"/>
    <w:rsid w:val="00456969"/>
    <w:rsid w:val="00456E50"/>
    <w:rsid w:val="00457612"/>
    <w:rsid w:val="00457AD3"/>
    <w:rsid w:val="00460860"/>
    <w:rsid w:val="00460A20"/>
    <w:rsid w:val="00460C30"/>
    <w:rsid w:val="00460D69"/>
    <w:rsid w:val="004610E9"/>
    <w:rsid w:val="0046111E"/>
    <w:rsid w:val="00461308"/>
    <w:rsid w:val="00461326"/>
    <w:rsid w:val="00461893"/>
    <w:rsid w:val="00461F2A"/>
    <w:rsid w:val="00461F8B"/>
    <w:rsid w:val="0046266B"/>
    <w:rsid w:val="00462B0A"/>
    <w:rsid w:val="0046340E"/>
    <w:rsid w:val="00463F67"/>
    <w:rsid w:val="00463FE2"/>
    <w:rsid w:val="0046439D"/>
    <w:rsid w:val="004645BE"/>
    <w:rsid w:val="00464B4E"/>
    <w:rsid w:val="00464C91"/>
    <w:rsid w:val="00464E7A"/>
    <w:rsid w:val="00464FFC"/>
    <w:rsid w:val="0046527B"/>
    <w:rsid w:val="00465D91"/>
    <w:rsid w:val="0046630C"/>
    <w:rsid w:val="00466B86"/>
    <w:rsid w:val="00466C21"/>
    <w:rsid w:val="00466D73"/>
    <w:rsid w:val="004672FB"/>
    <w:rsid w:val="00467A8C"/>
    <w:rsid w:val="00467BCD"/>
    <w:rsid w:val="004702D0"/>
    <w:rsid w:val="004707A9"/>
    <w:rsid w:val="00471143"/>
    <w:rsid w:val="00471353"/>
    <w:rsid w:val="004713A8"/>
    <w:rsid w:val="0047153F"/>
    <w:rsid w:val="004716E4"/>
    <w:rsid w:val="00471727"/>
    <w:rsid w:val="0047180E"/>
    <w:rsid w:val="004718F8"/>
    <w:rsid w:val="00471959"/>
    <w:rsid w:val="00471D30"/>
    <w:rsid w:val="00471FF3"/>
    <w:rsid w:val="00472C38"/>
    <w:rsid w:val="00472DAF"/>
    <w:rsid w:val="00472EB7"/>
    <w:rsid w:val="00472ECF"/>
    <w:rsid w:val="00473008"/>
    <w:rsid w:val="004731B8"/>
    <w:rsid w:val="00473353"/>
    <w:rsid w:val="00473431"/>
    <w:rsid w:val="00473596"/>
    <w:rsid w:val="00473617"/>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472"/>
    <w:rsid w:val="004774C6"/>
    <w:rsid w:val="00477595"/>
    <w:rsid w:val="0047785E"/>
    <w:rsid w:val="00477980"/>
    <w:rsid w:val="004800C2"/>
    <w:rsid w:val="0048042B"/>
    <w:rsid w:val="00480828"/>
    <w:rsid w:val="0048082C"/>
    <w:rsid w:val="004808DD"/>
    <w:rsid w:val="004808DE"/>
    <w:rsid w:val="00481155"/>
    <w:rsid w:val="00481E5E"/>
    <w:rsid w:val="00481EDD"/>
    <w:rsid w:val="004821C2"/>
    <w:rsid w:val="00482642"/>
    <w:rsid w:val="00482EFA"/>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87AB6"/>
    <w:rsid w:val="00490589"/>
    <w:rsid w:val="004909A1"/>
    <w:rsid w:val="004913FE"/>
    <w:rsid w:val="0049176E"/>
    <w:rsid w:val="004918D7"/>
    <w:rsid w:val="00491933"/>
    <w:rsid w:val="00491DD9"/>
    <w:rsid w:val="00491F59"/>
    <w:rsid w:val="004921C4"/>
    <w:rsid w:val="00493361"/>
    <w:rsid w:val="0049353A"/>
    <w:rsid w:val="0049385E"/>
    <w:rsid w:val="00493A1E"/>
    <w:rsid w:val="00493C80"/>
    <w:rsid w:val="00494029"/>
    <w:rsid w:val="0049442C"/>
    <w:rsid w:val="00494813"/>
    <w:rsid w:val="0049504D"/>
    <w:rsid w:val="00495722"/>
    <w:rsid w:val="004959E1"/>
    <w:rsid w:val="00495BAC"/>
    <w:rsid w:val="004960F5"/>
    <w:rsid w:val="0049624D"/>
    <w:rsid w:val="004969E0"/>
    <w:rsid w:val="00496BC1"/>
    <w:rsid w:val="00496DDF"/>
    <w:rsid w:val="004970DB"/>
    <w:rsid w:val="004970DC"/>
    <w:rsid w:val="00497EB1"/>
    <w:rsid w:val="004A0066"/>
    <w:rsid w:val="004A1FAE"/>
    <w:rsid w:val="004A2EBB"/>
    <w:rsid w:val="004A30D9"/>
    <w:rsid w:val="004A3226"/>
    <w:rsid w:val="004A3241"/>
    <w:rsid w:val="004A35C6"/>
    <w:rsid w:val="004A3DFF"/>
    <w:rsid w:val="004A3E8A"/>
    <w:rsid w:val="004A414F"/>
    <w:rsid w:val="004A43F5"/>
    <w:rsid w:val="004A447F"/>
    <w:rsid w:val="004A46AC"/>
    <w:rsid w:val="004A4896"/>
    <w:rsid w:val="004A4973"/>
    <w:rsid w:val="004A49A0"/>
    <w:rsid w:val="004A50B6"/>
    <w:rsid w:val="004A5226"/>
    <w:rsid w:val="004A57C7"/>
    <w:rsid w:val="004A5C21"/>
    <w:rsid w:val="004A5E7D"/>
    <w:rsid w:val="004A6623"/>
    <w:rsid w:val="004A67AB"/>
    <w:rsid w:val="004A6802"/>
    <w:rsid w:val="004A6EE8"/>
    <w:rsid w:val="004A71EC"/>
    <w:rsid w:val="004A7E65"/>
    <w:rsid w:val="004B00CD"/>
    <w:rsid w:val="004B05FC"/>
    <w:rsid w:val="004B0AEE"/>
    <w:rsid w:val="004B0CD5"/>
    <w:rsid w:val="004B0CDF"/>
    <w:rsid w:val="004B10D9"/>
    <w:rsid w:val="004B195F"/>
    <w:rsid w:val="004B19DD"/>
    <w:rsid w:val="004B19FB"/>
    <w:rsid w:val="004B1C4D"/>
    <w:rsid w:val="004B25F6"/>
    <w:rsid w:val="004B287C"/>
    <w:rsid w:val="004B298A"/>
    <w:rsid w:val="004B2C99"/>
    <w:rsid w:val="004B2E84"/>
    <w:rsid w:val="004B3A33"/>
    <w:rsid w:val="004B3F63"/>
    <w:rsid w:val="004B41DF"/>
    <w:rsid w:val="004B41F5"/>
    <w:rsid w:val="004B47B4"/>
    <w:rsid w:val="004B4921"/>
    <w:rsid w:val="004B4ED7"/>
    <w:rsid w:val="004B5048"/>
    <w:rsid w:val="004B5834"/>
    <w:rsid w:val="004B596A"/>
    <w:rsid w:val="004B5BD1"/>
    <w:rsid w:val="004B5C01"/>
    <w:rsid w:val="004B5C0F"/>
    <w:rsid w:val="004B5DD7"/>
    <w:rsid w:val="004B6191"/>
    <w:rsid w:val="004B717B"/>
    <w:rsid w:val="004B723D"/>
    <w:rsid w:val="004B729C"/>
    <w:rsid w:val="004B75E0"/>
    <w:rsid w:val="004B7968"/>
    <w:rsid w:val="004B7D27"/>
    <w:rsid w:val="004C06E9"/>
    <w:rsid w:val="004C0766"/>
    <w:rsid w:val="004C098C"/>
    <w:rsid w:val="004C0EF0"/>
    <w:rsid w:val="004C13F7"/>
    <w:rsid w:val="004C1F31"/>
    <w:rsid w:val="004C1F97"/>
    <w:rsid w:val="004C21CC"/>
    <w:rsid w:val="004C2E8C"/>
    <w:rsid w:val="004C3F58"/>
    <w:rsid w:val="004C412B"/>
    <w:rsid w:val="004C4383"/>
    <w:rsid w:val="004C47A3"/>
    <w:rsid w:val="004C4B29"/>
    <w:rsid w:val="004C5078"/>
    <w:rsid w:val="004C5312"/>
    <w:rsid w:val="004C5447"/>
    <w:rsid w:val="004C5AD5"/>
    <w:rsid w:val="004C5CD7"/>
    <w:rsid w:val="004C5FF5"/>
    <w:rsid w:val="004C61C6"/>
    <w:rsid w:val="004C64BB"/>
    <w:rsid w:val="004C683D"/>
    <w:rsid w:val="004C6C95"/>
    <w:rsid w:val="004C6EED"/>
    <w:rsid w:val="004C704B"/>
    <w:rsid w:val="004C71B7"/>
    <w:rsid w:val="004C72AE"/>
    <w:rsid w:val="004C73F1"/>
    <w:rsid w:val="004C762D"/>
    <w:rsid w:val="004C7E06"/>
    <w:rsid w:val="004C7F19"/>
    <w:rsid w:val="004D038A"/>
    <w:rsid w:val="004D07CD"/>
    <w:rsid w:val="004D0CFF"/>
    <w:rsid w:val="004D101F"/>
    <w:rsid w:val="004D113B"/>
    <w:rsid w:val="004D13EE"/>
    <w:rsid w:val="004D1AD5"/>
    <w:rsid w:val="004D1B24"/>
    <w:rsid w:val="004D1E96"/>
    <w:rsid w:val="004D2045"/>
    <w:rsid w:val="004D24A7"/>
    <w:rsid w:val="004D2855"/>
    <w:rsid w:val="004D2BAE"/>
    <w:rsid w:val="004D3300"/>
    <w:rsid w:val="004D36D2"/>
    <w:rsid w:val="004D3965"/>
    <w:rsid w:val="004D3A1C"/>
    <w:rsid w:val="004D3D4B"/>
    <w:rsid w:val="004D3E47"/>
    <w:rsid w:val="004D3F1C"/>
    <w:rsid w:val="004D440D"/>
    <w:rsid w:val="004D460E"/>
    <w:rsid w:val="004D4949"/>
    <w:rsid w:val="004D4F8B"/>
    <w:rsid w:val="004D4FAD"/>
    <w:rsid w:val="004D5238"/>
    <w:rsid w:val="004D54F8"/>
    <w:rsid w:val="004D5589"/>
    <w:rsid w:val="004D56AA"/>
    <w:rsid w:val="004D6118"/>
    <w:rsid w:val="004D6498"/>
    <w:rsid w:val="004D7779"/>
    <w:rsid w:val="004D7854"/>
    <w:rsid w:val="004D7BE9"/>
    <w:rsid w:val="004E0042"/>
    <w:rsid w:val="004E041F"/>
    <w:rsid w:val="004E0476"/>
    <w:rsid w:val="004E0AF9"/>
    <w:rsid w:val="004E0FC2"/>
    <w:rsid w:val="004E136C"/>
    <w:rsid w:val="004E138D"/>
    <w:rsid w:val="004E1694"/>
    <w:rsid w:val="004E1A86"/>
    <w:rsid w:val="004E1FF5"/>
    <w:rsid w:val="004E20E1"/>
    <w:rsid w:val="004E2853"/>
    <w:rsid w:val="004E3C01"/>
    <w:rsid w:val="004E3C71"/>
    <w:rsid w:val="004E3D35"/>
    <w:rsid w:val="004E400D"/>
    <w:rsid w:val="004E43BE"/>
    <w:rsid w:val="004E4416"/>
    <w:rsid w:val="004E47BA"/>
    <w:rsid w:val="004E47ED"/>
    <w:rsid w:val="004E4A38"/>
    <w:rsid w:val="004E5006"/>
    <w:rsid w:val="004E53A4"/>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E7CFC"/>
    <w:rsid w:val="004F0657"/>
    <w:rsid w:val="004F07A6"/>
    <w:rsid w:val="004F0988"/>
    <w:rsid w:val="004F1469"/>
    <w:rsid w:val="004F24C0"/>
    <w:rsid w:val="004F2953"/>
    <w:rsid w:val="004F2C3C"/>
    <w:rsid w:val="004F2CEA"/>
    <w:rsid w:val="004F30EB"/>
    <w:rsid w:val="004F3227"/>
    <w:rsid w:val="004F3296"/>
    <w:rsid w:val="004F381C"/>
    <w:rsid w:val="004F3A09"/>
    <w:rsid w:val="004F3C9F"/>
    <w:rsid w:val="004F3CAB"/>
    <w:rsid w:val="004F3F46"/>
    <w:rsid w:val="004F404D"/>
    <w:rsid w:val="004F4DE2"/>
    <w:rsid w:val="004F4EDB"/>
    <w:rsid w:val="004F585B"/>
    <w:rsid w:val="004F5AB7"/>
    <w:rsid w:val="004F5B55"/>
    <w:rsid w:val="004F5BF0"/>
    <w:rsid w:val="004F5F0D"/>
    <w:rsid w:val="004F5FC7"/>
    <w:rsid w:val="004F64C2"/>
    <w:rsid w:val="004F64ED"/>
    <w:rsid w:val="004F6644"/>
    <w:rsid w:val="004F6C66"/>
    <w:rsid w:val="004F6C7A"/>
    <w:rsid w:val="004F703F"/>
    <w:rsid w:val="004F7174"/>
    <w:rsid w:val="004F7530"/>
    <w:rsid w:val="004F7BA8"/>
    <w:rsid w:val="004F7CCD"/>
    <w:rsid w:val="005009AF"/>
    <w:rsid w:val="00500A58"/>
    <w:rsid w:val="005010B5"/>
    <w:rsid w:val="005016BD"/>
    <w:rsid w:val="00501E0D"/>
    <w:rsid w:val="005020E5"/>
    <w:rsid w:val="00502232"/>
    <w:rsid w:val="0050266A"/>
    <w:rsid w:val="005026E3"/>
    <w:rsid w:val="00502800"/>
    <w:rsid w:val="00502C21"/>
    <w:rsid w:val="00502CE5"/>
    <w:rsid w:val="00502D19"/>
    <w:rsid w:val="0050351D"/>
    <w:rsid w:val="0050372B"/>
    <w:rsid w:val="00503B1A"/>
    <w:rsid w:val="00503E4D"/>
    <w:rsid w:val="005043FD"/>
    <w:rsid w:val="0050480C"/>
    <w:rsid w:val="00505206"/>
    <w:rsid w:val="005054AD"/>
    <w:rsid w:val="00505695"/>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2E1"/>
    <w:rsid w:val="0051134A"/>
    <w:rsid w:val="005114BC"/>
    <w:rsid w:val="005116D5"/>
    <w:rsid w:val="00511CA4"/>
    <w:rsid w:val="00511F18"/>
    <w:rsid w:val="005121E3"/>
    <w:rsid w:val="0051229D"/>
    <w:rsid w:val="00512605"/>
    <w:rsid w:val="00512666"/>
    <w:rsid w:val="00512715"/>
    <w:rsid w:val="00512B04"/>
    <w:rsid w:val="0051334A"/>
    <w:rsid w:val="00513A11"/>
    <w:rsid w:val="0051426B"/>
    <w:rsid w:val="005143B6"/>
    <w:rsid w:val="0051448B"/>
    <w:rsid w:val="00514901"/>
    <w:rsid w:val="00514ABC"/>
    <w:rsid w:val="00514E96"/>
    <w:rsid w:val="00514EF4"/>
    <w:rsid w:val="0051505B"/>
    <w:rsid w:val="005158DD"/>
    <w:rsid w:val="00515BB9"/>
    <w:rsid w:val="00515C6F"/>
    <w:rsid w:val="0051656F"/>
    <w:rsid w:val="00516799"/>
    <w:rsid w:val="005171E3"/>
    <w:rsid w:val="005173D2"/>
    <w:rsid w:val="005174D1"/>
    <w:rsid w:val="00517806"/>
    <w:rsid w:val="005179C9"/>
    <w:rsid w:val="00517FC4"/>
    <w:rsid w:val="00520076"/>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B8D"/>
    <w:rsid w:val="00524CBF"/>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D3C"/>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303"/>
    <w:rsid w:val="00530568"/>
    <w:rsid w:val="00530D4B"/>
    <w:rsid w:val="00530E44"/>
    <w:rsid w:val="0053176B"/>
    <w:rsid w:val="00531AC9"/>
    <w:rsid w:val="00531B91"/>
    <w:rsid w:val="00532390"/>
    <w:rsid w:val="0053257C"/>
    <w:rsid w:val="0053285C"/>
    <w:rsid w:val="00532936"/>
    <w:rsid w:val="00532B4A"/>
    <w:rsid w:val="005333B8"/>
    <w:rsid w:val="00533A58"/>
    <w:rsid w:val="00534978"/>
    <w:rsid w:val="005349B2"/>
    <w:rsid w:val="00534A88"/>
    <w:rsid w:val="00534D4A"/>
    <w:rsid w:val="0053534C"/>
    <w:rsid w:val="005357BA"/>
    <w:rsid w:val="00536115"/>
    <w:rsid w:val="00536364"/>
    <w:rsid w:val="00536950"/>
    <w:rsid w:val="005369BF"/>
    <w:rsid w:val="00536E00"/>
    <w:rsid w:val="005371F7"/>
    <w:rsid w:val="0053733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38E"/>
    <w:rsid w:val="005445E9"/>
    <w:rsid w:val="00544750"/>
    <w:rsid w:val="00544DA9"/>
    <w:rsid w:val="00545091"/>
    <w:rsid w:val="00545CC1"/>
    <w:rsid w:val="00545E71"/>
    <w:rsid w:val="005463BF"/>
    <w:rsid w:val="0054678C"/>
    <w:rsid w:val="00546B5E"/>
    <w:rsid w:val="005472AF"/>
    <w:rsid w:val="005472FC"/>
    <w:rsid w:val="0054734B"/>
    <w:rsid w:val="005478C9"/>
    <w:rsid w:val="005478D9"/>
    <w:rsid w:val="0054793A"/>
    <w:rsid w:val="00547A0D"/>
    <w:rsid w:val="0055034E"/>
    <w:rsid w:val="00550488"/>
    <w:rsid w:val="00550CED"/>
    <w:rsid w:val="005514B5"/>
    <w:rsid w:val="00551580"/>
    <w:rsid w:val="00551649"/>
    <w:rsid w:val="00552016"/>
    <w:rsid w:val="0055247F"/>
    <w:rsid w:val="00552C81"/>
    <w:rsid w:val="00552EDD"/>
    <w:rsid w:val="005533D8"/>
    <w:rsid w:val="005535E3"/>
    <w:rsid w:val="00554026"/>
    <w:rsid w:val="00554A38"/>
    <w:rsid w:val="00554F26"/>
    <w:rsid w:val="00555051"/>
    <w:rsid w:val="0055519F"/>
    <w:rsid w:val="005551EE"/>
    <w:rsid w:val="00555A1F"/>
    <w:rsid w:val="00556047"/>
    <w:rsid w:val="005561EB"/>
    <w:rsid w:val="00556615"/>
    <w:rsid w:val="00556858"/>
    <w:rsid w:val="00556E36"/>
    <w:rsid w:val="00557D18"/>
    <w:rsid w:val="00560485"/>
    <w:rsid w:val="00560568"/>
    <w:rsid w:val="00560595"/>
    <w:rsid w:val="00560606"/>
    <w:rsid w:val="00560701"/>
    <w:rsid w:val="00560E4B"/>
    <w:rsid w:val="00561378"/>
    <w:rsid w:val="00561947"/>
    <w:rsid w:val="00561B8A"/>
    <w:rsid w:val="00561E71"/>
    <w:rsid w:val="00561E93"/>
    <w:rsid w:val="00562242"/>
    <w:rsid w:val="00562528"/>
    <w:rsid w:val="00562E55"/>
    <w:rsid w:val="00562FDB"/>
    <w:rsid w:val="00563351"/>
    <w:rsid w:val="00563446"/>
    <w:rsid w:val="0056352B"/>
    <w:rsid w:val="005637C9"/>
    <w:rsid w:val="00564ACF"/>
    <w:rsid w:val="00564DB8"/>
    <w:rsid w:val="00564E67"/>
    <w:rsid w:val="00565175"/>
    <w:rsid w:val="00565312"/>
    <w:rsid w:val="005654F4"/>
    <w:rsid w:val="00566293"/>
    <w:rsid w:val="00566BC5"/>
    <w:rsid w:val="00566E31"/>
    <w:rsid w:val="00566FCB"/>
    <w:rsid w:val="00567342"/>
    <w:rsid w:val="005674BC"/>
    <w:rsid w:val="00567504"/>
    <w:rsid w:val="0056773E"/>
    <w:rsid w:val="00567871"/>
    <w:rsid w:val="00567C87"/>
    <w:rsid w:val="00567DA6"/>
    <w:rsid w:val="00570A0C"/>
    <w:rsid w:val="005711BE"/>
    <w:rsid w:val="005714EE"/>
    <w:rsid w:val="005715D5"/>
    <w:rsid w:val="00571D58"/>
    <w:rsid w:val="00571E3C"/>
    <w:rsid w:val="00572248"/>
    <w:rsid w:val="00572585"/>
    <w:rsid w:val="0057263C"/>
    <w:rsid w:val="005728C9"/>
    <w:rsid w:val="005728CB"/>
    <w:rsid w:val="00572AE3"/>
    <w:rsid w:val="00572C0C"/>
    <w:rsid w:val="00572CA4"/>
    <w:rsid w:val="00572E0B"/>
    <w:rsid w:val="0057326B"/>
    <w:rsid w:val="005737E6"/>
    <w:rsid w:val="005740EE"/>
    <w:rsid w:val="00574163"/>
    <w:rsid w:val="00574271"/>
    <w:rsid w:val="0057430B"/>
    <w:rsid w:val="0057439C"/>
    <w:rsid w:val="0057449A"/>
    <w:rsid w:val="005746D6"/>
    <w:rsid w:val="00574990"/>
    <w:rsid w:val="00574995"/>
    <w:rsid w:val="00574EA9"/>
    <w:rsid w:val="00575067"/>
    <w:rsid w:val="00575954"/>
    <w:rsid w:val="00575A4C"/>
    <w:rsid w:val="00575AC1"/>
    <w:rsid w:val="0057611F"/>
    <w:rsid w:val="0057634F"/>
    <w:rsid w:val="0057694D"/>
    <w:rsid w:val="00576CB9"/>
    <w:rsid w:val="00577651"/>
    <w:rsid w:val="00577653"/>
    <w:rsid w:val="005777E9"/>
    <w:rsid w:val="005807EC"/>
    <w:rsid w:val="00580A2B"/>
    <w:rsid w:val="00580B35"/>
    <w:rsid w:val="00580D0D"/>
    <w:rsid w:val="00581169"/>
    <w:rsid w:val="00581454"/>
    <w:rsid w:val="00581F99"/>
    <w:rsid w:val="0058216F"/>
    <w:rsid w:val="005821CB"/>
    <w:rsid w:val="00583180"/>
    <w:rsid w:val="00583231"/>
    <w:rsid w:val="00583697"/>
    <w:rsid w:val="00583744"/>
    <w:rsid w:val="00584341"/>
    <w:rsid w:val="00584FB8"/>
    <w:rsid w:val="00585561"/>
    <w:rsid w:val="005859F0"/>
    <w:rsid w:val="00585B61"/>
    <w:rsid w:val="00586FD6"/>
    <w:rsid w:val="005870BD"/>
    <w:rsid w:val="005870E7"/>
    <w:rsid w:val="0058758F"/>
    <w:rsid w:val="00587CE9"/>
    <w:rsid w:val="00587EAB"/>
    <w:rsid w:val="005902AE"/>
    <w:rsid w:val="005906DD"/>
    <w:rsid w:val="005909AB"/>
    <w:rsid w:val="00590BB9"/>
    <w:rsid w:val="00590BBB"/>
    <w:rsid w:val="00590C87"/>
    <w:rsid w:val="00590DF3"/>
    <w:rsid w:val="00590FB6"/>
    <w:rsid w:val="00591908"/>
    <w:rsid w:val="00591F55"/>
    <w:rsid w:val="00592028"/>
    <w:rsid w:val="00592036"/>
    <w:rsid w:val="0059261F"/>
    <w:rsid w:val="00592980"/>
    <w:rsid w:val="00592BAD"/>
    <w:rsid w:val="00593096"/>
    <w:rsid w:val="00593208"/>
    <w:rsid w:val="0059365F"/>
    <w:rsid w:val="00593EA3"/>
    <w:rsid w:val="00593EA8"/>
    <w:rsid w:val="00594872"/>
    <w:rsid w:val="00594A0E"/>
    <w:rsid w:val="00595E09"/>
    <w:rsid w:val="005963F7"/>
    <w:rsid w:val="005969DB"/>
    <w:rsid w:val="00596E02"/>
    <w:rsid w:val="005975A2"/>
    <w:rsid w:val="00597628"/>
    <w:rsid w:val="005977CF"/>
    <w:rsid w:val="005A01F7"/>
    <w:rsid w:val="005A036C"/>
    <w:rsid w:val="005A074A"/>
    <w:rsid w:val="005A08D2"/>
    <w:rsid w:val="005A0AA4"/>
    <w:rsid w:val="005A0F8E"/>
    <w:rsid w:val="005A11EF"/>
    <w:rsid w:val="005A13C2"/>
    <w:rsid w:val="005A179D"/>
    <w:rsid w:val="005A1A4C"/>
    <w:rsid w:val="005A1CD6"/>
    <w:rsid w:val="005A1CFE"/>
    <w:rsid w:val="005A2847"/>
    <w:rsid w:val="005A29A0"/>
    <w:rsid w:val="005A2BFC"/>
    <w:rsid w:val="005A3C81"/>
    <w:rsid w:val="005A3E3C"/>
    <w:rsid w:val="005A4225"/>
    <w:rsid w:val="005A4E9A"/>
    <w:rsid w:val="005A514A"/>
    <w:rsid w:val="005A5197"/>
    <w:rsid w:val="005A577B"/>
    <w:rsid w:val="005A5C5C"/>
    <w:rsid w:val="005A5E7B"/>
    <w:rsid w:val="005A6612"/>
    <w:rsid w:val="005A670B"/>
    <w:rsid w:val="005A6716"/>
    <w:rsid w:val="005A6895"/>
    <w:rsid w:val="005A6C56"/>
    <w:rsid w:val="005A75E6"/>
    <w:rsid w:val="005A7732"/>
    <w:rsid w:val="005A79D1"/>
    <w:rsid w:val="005A7A7A"/>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1B7"/>
    <w:rsid w:val="005B24D5"/>
    <w:rsid w:val="005B2597"/>
    <w:rsid w:val="005B2892"/>
    <w:rsid w:val="005B2B9F"/>
    <w:rsid w:val="005B313E"/>
    <w:rsid w:val="005B328B"/>
    <w:rsid w:val="005B35BA"/>
    <w:rsid w:val="005B3B75"/>
    <w:rsid w:val="005B3C70"/>
    <w:rsid w:val="005B3D81"/>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A0E"/>
    <w:rsid w:val="005B7B3B"/>
    <w:rsid w:val="005B7B41"/>
    <w:rsid w:val="005C03E7"/>
    <w:rsid w:val="005C0C13"/>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420"/>
    <w:rsid w:val="005C4608"/>
    <w:rsid w:val="005C4930"/>
    <w:rsid w:val="005C55BE"/>
    <w:rsid w:val="005C5750"/>
    <w:rsid w:val="005C5B55"/>
    <w:rsid w:val="005C5C10"/>
    <w:rsid w:val="005C5F45"/>
    <w:rsid w:val="005C5F78"/>
    <w:rsid w:val="005C5FDC"/>
    <w:rsid w:val="005C66E5"/>
    <w:rsid w:val="005C6736"/>
    <w:rsid w:val="005C68CB"/>
    <w:rsid w:val="005C69D6"/>
    <w:rsid w:val="005C69F3"/>
    <w:rsid w:val="005C6A33"/>
    <w:rsid w:val="005C6C9C"/>
    <w:rsid w:val="005C6CB3"/>
    <w:rsid w:val="005C704D"/>
    <w:rsid w:val="005C707E"/>
    <w:rsid w:val="005C70F2"/>
    <w:rsid w:val="005C7722"/>
    <w:rsid w:val="005D011C"/>
    <w:rsid w:val="005D05CB"/>
    <w:rsid w:val="005D16E2"/>
    <w:rsid w:val="005D1F62"/>
    <w:rsid w:val="005D2130"/>
    <w:rsid w:val="005D2211"/>
    <w:rsid w:val="005D2567"/>
    <w:rsid w:val="005D287C"/>
    <w:rsid w:val="005D4085"/>
    <w:rsid w:val="005D4305"/>
    <w:rsid w:val="005D43E2"/>
    <w:rsid w:val="005D4B0D"/>
    <w:rsid w:val="005D4F00"/>
    <w:rsid w:val="005D5D8C"/>
    <w:rsid w:val="005D5D91"/>
    <w:rsid w:val="005D6C55"/>
    <w:rsid w:val="005D6EBE"/>
    <w:rsid w:val="005D6F26"/>
    <w:rsid w:val="005D791C"/>
    <w:rsid w:val="005D7CD4"/>
    <w:rsid w:val="005E0015"/>
    <w:rsid w:val="005E04D2"/>
    <w:rsid w:val="005E09F5"/>
    <w:rsid w:val="005E1592"/>
    <w:rsid w:val="005E15F5"/>
    <w:rsid w:val="005E1B87"/>
    <w:rsid w:val="005E1C4E"/>
    <w:rsid w:val="005E1FDA"/>
    <w:rsid w:val="005E249F"/>
    <w:rsid w:val="005E299B"/>
    <w:rsid w:val="005E3377"/>
    <w:rsid w:val="005E33C9"/>
    <w:rsid w:val="005E3769"/>
    <w:rsid w:val="005E376E"/>
    <w:rsid w:val="005E37AB"/>
    <w:rsid w:val="005E39B4"/>
    <w:rsid w:val="005E3BB9"/>
    <w:rsid w:val="005E3C01"/>
    <w:rsid w:val="005E3E37"/>
    <w:rsid w:val="005E3E56"/>
    <w:rsid w:val="005E409B"/>
    <w:rsid w:val="005E41C8"/>
    <w:rsid w:val="005E4A6A"/>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F3"/>
    <w:rsid w:val="005F0791"/>
    <w:rsid w:val="005F099D"/>
    <w:rsid w:val="005F1698"/>
    <w:rsid w:val="005F1773"/>
    <w:rsid w:val="005F1B6B"/>
    <w:rsid w:val="005F1E5F"/>
    <w:rsid w:val="005F20C7"/>
    <w:rsid w:val="005F24ED"/>
    <w:rsid w:val="005F2B2F"/>
    <w:rsid w:val="005F2C0A"/>
    <w:rsid w:val="005F2DB8"/>
    <w:rsid w:val="005F2F90"/>
    <w:rsid w:val="005F3065"/>
    <w:rsid w:val="005F30DA"/>
    <w:rsid w:val="005F3562"/>
    <w:rsid w:val="005F36CB"/>
    <w:rsid w:val="005F37E5"/>
    <w:rsid w:val="005F4984"/>
    <w:rsid w:val="005F4B5A"/>
    <w:rsid w:val="005F4BD5"/>
    <w:rsid w:val="005F4C89"/>
    <w:rsid w:val="005F4F50"/>
    <w:rsid w:val="005F508F"/>
    <w:rsid w:val="005F585A"/>
    <w:rsid w:val="005F6058"/>
    <w:rsid w:val="005F64B0"/>
    <w:rsid w:val="005F69EA"/>
    <w:rsid w:val="005F729F"/>
    <w:rsid w:val="005F791C"/>
    <w:rsid w:val="005F7D19"/>
    <w:rsid w:val="005F7F46"/>
    <w:rsid w:val="006001C2"/>
    <w:rsid w:val="006003F3"/>
    <w:rsid w:val="0060086E"/>
    <w:rsid w:val="00600CA1"/>
    <w:rsid w:val="0060188E"/>
    <w:rsid w:val="00601A76"/>
    <w:rsid w:val="00601BB2"/>
    <w:rsid w:val="00601D05"/>
    <w:rsid w:val="00601D07"/>
    <w:rsid w:val="00601DF5"/>
    <w:rsid w:val="00602070"/>
    <w:rsid w:val="006022A8"/>
    <w:rsid w:val="006023A5"/>
    <w:rsid w:val="006023AA"/>
    <w:rsid w:val="006029B9"/>
    <w:rsid w:val="00602F73"/>
    <w:rsid w:val="0060303E"/>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B72"/>
    <w:rsid w:val="00606E77"/>
    <w:rsid w:val="006073D0"/>
    <w:rsid w:val="00607E59"/>
    <w:rsid w:val="00607E85"/>
    <w:rsid w:val="00610094"/>
    <w:rsid w:val="006103A9"/>
    <w:rsid w:val="00610487"/>
    <w:rsid w:val="0061051E"/>
    <w:rsid w:val="0061131F"/>
    <w:rsid w:val="0061152A"/>
    <w:rsid w:val="006118F7"/>
    <w:rsid w:val="00611AA3"/>
    <w:rsid w:val="00611E8C"/>
    <w:rsid w:val="0061327F"/>
    <w:rsid w:val="006134F7"/>
    <w:rsid w:val="00613C19"/>
    <w:rsid w:val="006144E0"/>
    <w:rsid w:val="006145CA"/>
    <w:rsid w:val="006149DF"/>
    <w:rsid w:val="00614CED"/>
    <w:rsid w:val="00614E05"/>
    <w:rsid w:val="00614E7A"/>
    <w:rsid w:val="00615081"/>
    <w:rsid w:val="00615298"/>
    <w:rsid w:val="00615805"/>
    <w:rsid w:val="00615AB4"/>
    <w:rsid w:val="00616060"/>
    <w:rsid w:val="006160BF"/>
    <w:rsid w:val="00616542"/>
    <w:rsid w:val="006167CD"/>
    <w:rsid w:val="00616A1C"/>
    <w:rsid w:val="00616E74"/>
    <w:rsid w:val="00616F53"/>
    <w:rsid w:val="00617159"/>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1E56"/>
    <w:rsid w:val="006221C6"/>
    <w:rsid w:val="00622891"/>
    <w:rsid w:val="0062320A"/>
    <w:rsid w:val="006236E6"/>
    <w:rsid w:val="006238BB"/>
    <w:rsid w:val="00624545"/>
    <w:rsid w:val="00624830"/>
    <w:rsid w:val="006248E0"/>
    <w:rsid w:val="00624B00"/>
    <w:rsid w:val="00624D3B"/>
    <w:rsid w:val="00624E1F"/>
    <w:rsid w:val="006252DC"/>
    <w:rsid w:val="0062588A"/>
    <w:rsid w:val="006259FE"/>
    <w:rsid w:val="00625AB5"/>
    <w:rsid w:val="00625BA7"/>
    <w:rsid w:val="00625EBB"/>
    <w:rsid w:val="00625ED9"/>
    <w:rsid w:val="00626059"/>
    <w:rsid w:val="006270DA"/>
    <w:rsid w:val="00627269"/>
    <w:rsid w:val="00627659"/>
    <w:rsid w:val="00627D80"/>
    <w:rsid w:val="00627FA8"/>
    <w:rsid w:val="0063059B"/>
    <w:rsid w:val="006311A7"/>
    <w:rsid w:val="006316A4"/>
    <w:rsid w:val="00631A8A"/>
    <w:rsid w:val="0063210E"/>
    <w:rsid w:val="006323F5"/>
    <w:rsid w:val="006324D8"/>
    <w:rsid w:val="00632580"/>
    <w:rsid w:val="00632F00"/>
    <w:rsid w:val="00632F04"/>
    <w:rsid w:val="0063301E"/>
    <w:rsid w:val="00633813"/>
    <w:rsid w:val="006338C3"/>
    <w:rsid w:val="00633AF1"/>
    <w:rsid w:val="006344E5"/>
    <w:rsid w:val="0063497A"/>
    <w:rsid w:val="00634AB2"/>
    <w:rsid w:val="00634C6E"/>
    <w:rsid w:val="006359EF"/>
    <w:rsid w:val="00635AA9"/>
    <w:rsid w:val="00635B65"/>
    <w:rsid w:val="00635F72"/>
    <w:rsid w:val="006364B2"/>
    <w:rsid w:val="006364FC"/>
    <w:rsid w:val="006369B3"/>
    <w:rsid w:val="00636ABD"/>
    <w:rsid w:val="0063714C"/>
    <w:rsid w:val="00637460"/>
    <w:rsid w:val="00637A6B"/>
    <w:rsid w:val="00637CEB"/>
    <w:rsid w:val="0064049B"/>
    <w:rsid w:val="006404A2"/>
    <w:rsid w:val="00640D79"/>
    <w:rsid w:val="00641303"/>
    <w:rsid w:val="006413E7"/>
    <w:rsid w:val="00641421"/>
    <w:rsid w:val="00641545"/>
    <w:rsid w:val="00641A19"/>
    <w:rsid w:val="00642114"/>
    <w:rsid w:val="0064263D"/>
    <w:rsid w:val="00642D51"/>
    <w:rsid w:val="0064307B"/>
    <w:rsid w:val="0064310A"/>
    <w:rsid w:val="00643457"/>
    <w:rsid w:val="006438D5"/>
    <w:rsid w:val="00643971"/>
    <w:rsid w:val="00643A63"/>
    <w:rsid w:val="006440F4"/>
    <w:rsid w:val="00644A66"/>
    <w:rsid w:val="00644D3A"/>
    <w:rsid w:val="00644EF6"/>
    <w:rsid w:val="006450E1"/>
    <w:rsid w:val="006451CE"/>
    <w:rsid w:val="0064591E"/>
    <w:rsid w:val="00645B24"/>
    <w:rsid w:val="00645CD9"/>
    <w:rsid w:val="00645DDE"/>
    <w:rsid w:val="00646187"/>
    <w:rsid w:val="006467ED"/>
    <w:rsid w:val="0064722C"/>
    <w:rsid w:val="006477F8"/>
    <w:rsid w:val="00647B34"/>
    <w:rsid w:val="00647CF0"/>
    <w:rsid w:val="00647D8B"/>
    <w:rsid w:val="00647EB7"/>
    <w:rsid w:val="00647FFE"/>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53F7"/>
    <w:rsid w:val="0065605F"/>
    <w:rsid w:val="0065649E"/>
    <w:rsid w:val="00656E06"/>
    <w:rsid w:val="00656FFD"/>
    <w:rsid w:val="006572DC"/>
    <w:rsid w:val="0065730C"/>
    <w:rsid w:val="00657413"/>
    <w:rsid w:val="00657650"/>
    <w:rsid w:val="00657A30"/>
    <w:rsid w:val="00657FA9"/>
    <w:rsid w:val="00657FF7"/>
    <w:rsid w:val="00660B62"/>
    <w:rsid w:val="00660BF0"/>
    <w:rsid w:val="00660C52"/>
    <w:rsid w:val="00660F40"/>
    <w:rsid w:val="0066101B"/>
    <w:rsid w:val="00661C22"/>
    <w:rsid w:val="0066224C"/>
    <w:rsid w:val="00663011"/>
    <w:rsid w:val="00663695"/>
    <w:rsid w:val="0066395B"/>
    <w:rsid w:val="0066396D"/>
    <w:rsid w:val="00663A5A"/>
    <w:rsid w:val="00663ECF"/>
    <w:rsid w:val="00663F07"/>
    <w:rsid w:val="00664055"/>
    <w:rsid w:val="00664B5A"/>
    <w:rsid w:val="00664DEB"/>
    <w:rsid w:val="00664E85"/>
    <w:rsid w:val="006655CA"/>
    <w:rsid w:val="006655E8"/>
    <w:rsid w:val="006658C6"/>
    <w:rsid w:val="00665ADB"/>
    <w:rsid w:val="00666183"/>
    <w:rsid w:val="006665F1"/>
    <w:rsid w:val="0066787D"/>
    <w:rsid w:val="006678F3"/>
    <w:rsid w:val="00667994"/>
    <w:rsid w:val="00667B47"/>
    <w:rsid w:val="00670171"/>
    <w:rsid w:val="006710F9"/>
    <w:rsid w:val="0067260F"/>
    <w:rsid w:val="00672648"/>
    <w:rsid w:val="0067346B"/>
    <w:rsid w:val="00673979"/>
    <w:rsid w:val="00673BC7"/>
    <w:rsid w:val="00673DDA"/>
    <w:rsid w:val="00674359"/>
    <w:rsid w:val="00674694"/>
    <w:rsid w:val="006746FD"/>
    <w:rsid w:val="00674826"/>
    <w:rsid w:val="00675B44"/>
    <w:rsid w:val="00675C10"/>
    <w:rsid w:val="00675C90"/>
    <w:rsid w:val="00675D8B"/>
    <w:rsid w:val="006763BD"/>
    <w:rsid w:val="006767A8"/>
    <w:rsid w:val="00676950"/>
    <w:rsid w:val="00676AFC"/>
    <w:rsid w:val="00676BA7"/>
    <w:rsid w:val="00677321"/>
    <w:rsid w:val="006776B4"/>
    <w:rsid w:val="006776D6"/>
    <w:rsid w:val="00677F25"/>
    <w:rsid w:val="006802F8"/>
    <w:rsid w:val="00680380"/>
    <w:rsid w:val="00680831"/>
    <w:rsid w:val="00680ABE"/>
    <w:rsid w:val="00680ECB"/>
    <w:rsid w:val="00681064"/>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3C58"/>
    <w:rsid w:val="00684135"/>
    <w:rsid w:val="00684428"/>
    <w:rsid w:val="00684570"/>
    <w:rsid w:val="00684D74"/>
    <w:rsid w:val="006851D6"/>
    <w:rsid w:val="00685507"/>
    <w:rsid w:val="006863DF"/>
    <w:rsid w:val="006874B0"/>
    <w:rsid w:val="0068765F"/>
    <w:rsid w:val="006879FC"/>
    <w:rsid w:val="00687CC8"/>
    <w:rsid w:val="00687DE3"/>
    <w:rsid w:val="00687EEB"/>
    <w:rsid w:val="00690057"/>
    <w:rsid w:val="006903F6"/>
    <w:rsid w:val="0069071B"/>
    <w:rsid w:val="00690A75"/>
    <w:rsid w:val="00691568"/>
    <w:rsid w:val="00691682"/>
    <w:rsid w:val="00691816"/>
    <w:rsid w:val="00691E55"/>
    <w:rsid w:val="00693480"/>
    <w:rsid w:val="006934D4"/>
    <w:rsid w:val="006938D2"/>
    <w:rsid w:val="00693A93"/>
    <w:rsid w:val="0069453B"/>
    <w:rsid w:val="0069488E"/>
    <w:rsid w:val="0069499B"/>
    <w:rsid w:val="006949D3"/>
    <w:rsid w:val="00694AB8"/>
    <w:rsid w:val="00694CAE"/>
    <w:rsid w:val="00694F08"/>
    <w:rsid w:val="00694F89"/>
    <w:rsid w:val="00695400"/>
    <w:rsid w:val="00695838"/>
    <w:rsid w:val="0069636C"/>
    <w:rsid w:val="00696370"/>
    <w:rsid w:val="00696703"/>
    <w:rsid w:val="006969CD"/>
    <w:rsid w:val="00696D73"/>
    <w:rsid w:val="00697225"/>
    <w:rsid w:val="006A087D"/>
    <w:rsid w:val="006A0B8D"/>
    <w:rsid w:val="006A1049"/>
    <w:rsid w:val="006A117B"/>
    <w:rsid w:val="006A153D"/>
    <w:rsid w:val="006A16C1"/>
    <w:rsid w:val="006A17E4"/>
    <w:rsid w:val="006A189C"/>
    <w:rsid w:val="006A18A3"/>
    <w:rsid w:val="006A18B8"/>
    <w:rsid w:val="006A1A9C"/>
    <w:rsid w:val="006A1D4A"/>
    <w:rsid w:val="006A24A2"/>
    <w:rsid w:val="006A28A0"/>
    <w:rsid w:val="006A2B1E"/>
    <w:rsid w:val="006A2E97"/>
    <w:rsid w:val="006A2FAC"/>
    <w:rsid w:val="006A32F8"/>
    <w:rsid w:val="006A3823"/>
    <w:rsid w:val="006A3BF5"/>
    <w:rsid w:val="006A452A"/>
    <w:rsid w:val="006A4887"/>
    <w:rsid w:val="006A49F1"/>
    <w:rsid w:val="006A4B3F"/>
    <w:rsid w:val="006A4D70"/>
    <w:rsid w:val="006A551E"/>
    <w:rsid w:val="006A5712"/>
    <w:rsid w:val="006A5A57"/>
    <w:rsid w:val="006A5AF6"/>
    <w:rsid w:val="006A5B9E"/>
    <w:rsid w:val="006A6101"/>
    <w:rsid w:val="006A6B66"/>
    <w:rsid w:val="006A7F33"/>
    <w:rsid w:val="006B0164"/>
    <w:rsid w:val="006B0A2A"/>
    <w:rsid w:val="006B0BA6"/>
    <w:rsid w:val="006B153B"/>
    <w:rsid w:val="006B1903"/>
    <w:rsid w:val="006B1989"/>
    <w:rsid w:val="006B1AD7"/>
    <w:rsid w:val="006B2004"/>
    <w:rsid w:val="006B26B6"/>
    <w:rsid w:val="006B26C4"/>
    <w:rsid w:val="006B289F"/>
    <w:rsid w:val="006B2C66"/>
    <w:rsid w:val="006B325D"/>
    <w:rsid w:val="006B3552"/>
    <w:rsid w:val="006B391C"/>
    <w:rsid w:val="006B3AFC"/>
    <w:rsid w:val="006B408C"/>
    <w:rsid w:val="006B40F4"/>
    <w:rsid w:val="006B44F9"/>
    <w:rsid w:val="006B4607"/>
    <w:rsid w:val="006B4989"/>
    <w:rsid w:val="006B4BD9"/>
    <w:rsid w:val="006B4FD9"/>
    <w:rsid w:val="006B53A2"/>
    <w:rsid w:val="006B54A1"/>
    <w:rsid w:val="006B5B35"/>
    <w:rsid w:val="006B6234"/>
    <w:rsid w:val="006B6D7D"/>
    <w:rsid w:val="006B6FA3"/>
    <w:rsid w:val="006B7495"/>
    <w:rsid w:val="006B7ADE"/>
    <w:rsid w:val="006C04E3"/>
    <w:rsid w:val="006C04F1"/>
    <w:rsid w:val="006C0521"/>
    <w:rsid w:val="006C0CCC"/>
    <w:rsid w:val="006C1380"/>
    <w:rsid w:val="006C13B1"/>
    <w:rsid w:val="006C1975"/>
    <w:rsid w:val="006C1AAC"/>
    <w:rsid w:val="006C1F59"/>
    <w:rsid w:val="006C2416"/>
    <w:rsid w:val="006C24C6"/>
    <w:rsid w:val="006C2515"/>
    <w:rsid w:val="006C3426"/>
    <w:rsid w:val="006C3ED3"/>
    <w:rsid w:val="006C4372"/>
    <w:rsid w:val="006C4508"/>
    <w:rsid w:val="006C4B97"/>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9D9"/>
    <w:rsid w:val="006C7E46"/>
    <w:rsid w:val="006C7EDE"/>
    <w:rsid w:val="006C7FCE"/>
    <w:rsid w:val="006D0584"/>
    <w:rsid w:val="006D16F5"/>
    <w:rsid w:val="006D1826"/>
    <w:rsid w:val="006D1F96"/>
    <w:rsid w:val="006D211D"/>
    <w:rsid w:val="006D2492"/>
    <w:rsid w:val="006D2A89"/>
    <w:rsid w:val="006D2C28"/>
    <w:rsid w:val="006D2E8D"/>
    <w:rsid w:val="006D34C9"/>
    <w:rsid w:val="006D38BE"/>
    <w:rsid w:val="006D38E6"/>
    <w:rsid w:val="006D3F6C"/>
    <w:rsid w:val="006D42F4"/>
    <w:rsid w:val="006D5136"/>
    <w:rsid w:val="006D5C59"/>
    <w:rsid w:val="006D6665"/>
    <w:rsid w:val="006D68B9"/>
    <w:rsid w:val="006D69DF"/>
    <w:rsid w:val="006D736A"/>
    <w:rsid w:val="006D765F"/>
    <w:rsid w:val="006D7845"/>
    <w:rsid w:val="006E051B"/>
    <w:rsid w:val="006E07DA"/>
    <w:rsid w:val="006E0A2D"/>
    <w:rsid w:val="006E0F9A"/>
    <w:rsid w:val="006E1484"/>
    <w:rsid w:val="006E1781"/>
    <w:rsid w:val="006E195D"/>
    <w:rsid w:val="006E1DB3"/>
    <w:rsid w:val="006E1F2D"/>
    <w:rsid w:val="006E2650"/>
    <w:rsid w:val="006E2E13"/>
    <w:rsid w:val="006E3350"/>
    <w:rsid w:val="006E33B0"/>
    <w:rsid w:val="006E36DB"/>
    <w:rsid w:val="006E3D11"/>
    <w:rsid w:val="006E405D"/>
    <w:rsid w:val="006E4368"/>
    <w:rsid w:val="006E4369"/>
    <w:rsid w:val="006E4440"/>
    <w:rsid w:val="006E4C15"/>
    <w:rsid w:val="006E50DA"/>
    <w:rsid w:val="006E5783"/>
    <w:rsid w:val="006E5912"/>
    <w:rsid w:val="006E5A5E"/>
    <w:rsid w:val="006E5C76"/>
    <w:rsid w:val="006E5CB0"/>
    <w:rsid w:val="006E5D7E"/>
    <w:rsid w:val="006E607D"/>
    <w:rsid w:val="006E6102"/>
    <w:rsid w:val="006E632C"/>
    <w:rsid w:val="006E6580"/>
    <w:rsid w:val="006E68DA"/>
    <w:rsid w:val="006E6A31"/>
    <w:rsid w:val="006E6FD2"/>
    <w:rsid w:val="006E7440"/>
    <w:rsid w:val="006E7510"/>
    <w:rsid w:val="006E75EE"/>
    <w:rsid w:val="006E7F5D"/>
    <w:rsid w:val="006F011F"/>
    <w:rsid w:val="006F0203"/>
    <w:rsid w:val="006F04AE"/>
    <w:rsid w:val="006F0954"/>
    <w:rsid w:val="006F0F5A"/>
    <w:rsid w:val="006F1034"/>
    <w:rsid w:val="006F14E8"/>
    <w:rsid w:val="006F16CD"/>
    <w:rsid w:val="006F17E1"/>
    <w:rsid w:val="006F1E5F"/>
    <w:rsid w:val="006F27C6"/>
    <w:rsid w:val="006F2810"/>
    <w:rsid w:val="006F37A1"/>
    <w:rsid w:val="006F3EC8"/>
    <w:rsid w:val="006F40A8"/>
    <w:rsid w:val="006F4820"/>
    <w:rsid w:val="006F4DA6"/>
    <w:rsid w:val="006F522F"/>
    <w:rsid w:val="006F5355"/>
    <w:rsid w:val="006F5381"/>
    <w:rsid w:val="006F58F6"/>
    <w:rsid w:val="006F5977"/>
    <w:rsid w:val="006F5A05"/>
    <w:rsid w:val="006F5BD4"/>
    <w:rsid w:val="006F5DD1"/>
    <w:rsid w:val="006F62FC"/>
    <w:rsid w:val="006F7728"/>
    <w:rsid w:val="006F77AD"/>
    <w:rsid w:val="006F79EE"/>
    <w:rsid w:val="006F7C9B"/>
    <w:rsid w:val="006F7FB9"/>
    <w:rsid w:val="007001D5"/>
    <w:rsid w:val="007006F1"/>
    <w:rsid w:val="00700A70"/>
    <w:rsid w:val="00700DD4"/>
    <w:rsid w:val="0070148B"/>
    <w:rsid w:val="00702A93"/>
    <w:rsid w:val="00703136"/>
    <w:rsid w:val="0070398D"/>
    <w:rsid w:val="00703CAF"/>
    <w:rsid w:val="00703E2D"/>
    <w:rsid w:val="0070454C"/>
    <w:rsid w:val="0070474A"/>
    <w:rsid w:val="00704773"/>
    <w:rsid w:val="0070527E"/>
    <w:rsid w:val="00705999"/>
    <w:rsid w:val="00705C19"/>
    <w:rsid w:val="00706032"/>
    <w:rsid w:val="007062CE"/>
    <w:rsid w:val="00706366"/>
    <w:rsid w:val="00706368"/>
    <w:rsid w:val="00706ACD"/>
    <w:rsid w:val="00706DCB"/>
    <w:rsid w:val="00707220"/>
    <w:rsid w:val="00710B84"/>
    <w:rsid w:val="00711019"/>
    <w:rsid w:val="0071114E"/>
    <w:rsid w:val="0071123B"/>
    <w:rsid w:val="0071145C"/>
    <w:rsid w:val="0071176E"/>
    <w:rsid w:val="0071193A"/>
    <w:rsid w:val="00711CAF"/>
    <w:rsid w:val="00711FFC"/>
    <w:rsid w:val="007126A5"/>
    <w:rsid w:val="007127A5"/>
    <w:rsid w:val="007133C3"/>
    <w:rsid w:val="007134A1"/>
    <w:rsid w:val="00713968"/>
    <w:rsid w:val="0071457A"/>
    <w:rsid w:val="00714706"/>
    <w:rsid w:val="0071472C"/>
    <w:rsid w:val="00714813"/>
    <w:rsid w:val="00714EC6"/>
    <w:rsid w:val="007159AB"/>
    <w:rsid w:val="007159CB"/>
    <w:rsid w:val="00715B46"/>
    <w:rsid w:val="00715DD7"/>
    <w:rsid w:val="00716F1D"/>
    <w:rsid w:val="00716FD3"/>
    <w:rsid w:val="0071715E"/>
    <w:rsid w:val="00717688"/>
    <w:rsid w:val="00717B6E"/>
    <w:rsid w:val="00717C78"/>
    <w:rsid w:val="0072043F"/>
    <w:rsid w:val="00720FDC"/>
    <w:rsid w:val="00721684"/>
    <w:rsid w:val="00721762"/>
    <w:rsid w:val="007219EE"/>
    <w:rsid w:val="00721A74"/>
    <w:rsid w:val="007222BC"/>
    <w:rsid w:val="007229B8"/>
    <w:rsid w:val="00723389"/>
    <w:rsid w:val="00723C2E"/>
    <w:rsid w:val="00723E21"/>
    <w:rsid w:val="00723EF9"/>
    <w:rsid w:val="00724307"/>
    <w:rsid w:val="007247C9"/>
    <w:rsid w:val="00724A7D"/>
    <w:rsid w:val="00724CF5"/>
    <w:rsid w:val="007255DF"/>
    <w:rsid w:val="0072567B"/>
    <w:rsid w:val="0072570E"/>
    <w:rsid w:val="00726172"/>
    <w:rsid w:val="00726753"/>
    <w:rsid w:val="007268DD"/>
    <w:rsid w:val="00726F87"/>
    <w:rsid w:val="00727197"/>
    <w:rsid w:val="00727390"/>
    <w:rsid w:val="0072777D"/>
    <w:rsid w:val="00727CD1"/>
    <w:rsid w:val="00727D4D"/>
    <w:rsid w:val="0073012B"/>
    <w:rsid w:val="007302E0"/>
    <w:rsid w:val="00730301"/>
    <w:rsid w:val="00730462"/>
    <w:rsid w:val="0073051A"/>
    <w:rsid w:val="00730702"/>
    <w:rsid w:val="00730B7E"/>
    <w:rsid w:val="00730C38"/>
    <w:rsid w:val="00730C5B"/>
    <w:rsid w:val="007315ED"/>
    <w:rsid w:val="00731653"/>
    <w:rsid w:val="007318E5"/>
    <w:rsid w:val="00731AB5"/>
    <w:rsid w:val="00731EFF"/>
    <w:rsid w:val="0073288C"/>
    <w:rsid w:val="00732BA4"/>
    <w:rsid w:val="00732FC2"/>
    <w:rsid w:val="007337C5"/>
    <w:rsid w:val="00733A59"/>
    <w:rsid w:val="0073400F"/>
    <w:rsid w:val="00734265"/>
    <w:rsid w:val="007343D8"/>
    <w:rsid w:val="00735103"/>
    <w:rsid w:val="00735253"/>
    <w:rsid w:val="0073556E"/>
    <w:rsid w:val="0073558C"/>
    <w:rsid w:val="0073584C"/>
    <w:rsid w:val="00736477"/>
    <w:rsid w:val="00736498"/>
    <w:rsid w:val="00736587"/>
    <w:rsid w:val="007366F1"/>
    <w:rsid w:val="00736AC2"/>
    <w:rsid w:val="00736DA1"/>
    <w:rsid w:val="00737112"/>
    <w:rsid w:val="00737BFA"/>
    <w:rsid w:val="00737ED0"/>
    <w:rsid w:val="0074039E"/>
    <w:rsid w:val="0074095D"/>
    <w:rsid w:val="00740A52"/>
    <w:rsid w:val="00740BBB"/>
    <w:rsid w:val="00740D0A"/>
    <w:rsid w:val="00740D86"/>
    <w:rsid w:val="00741091"/>
    <w:rsid w:val="007416D9"/>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E0E"/>
    <w:rsid w:val="00745108"/>
    <w:rsid w:val="0074535A"/>
    <w:rsid w:val="007454FE"/>
    <w:rsid w:val="007458A4"/>
    <w:rsid w:val="00745C76"/>
    <w:rsid w:val="00745E7A"/>
    <w:rsid w:val="0074692B"/>
    <w:rsid w:val="00746C85"/>
    <w:rsid w:val="00746EE0"/>
    <w:rsid w:val="00746FD4"/>
    <w:rsid w:val="007472AF"/>
    <w:rsid w:val="00747761"/>
    <w:rsid w:val="00747CB1"/>
    <w:rsid w:val="007504AB"/>
    <w:rsid w:val="00750679"/>
    <w:rsid w:val="0075073C"/>
    <w:rsid w:val="00750828"/>
    <w:rsid w:val="00750AEA"/>
    <w:rsid w:val="00750E67"/>
    <w:rsid w:val="00750EDC"/>
    <w:rsid w:val="00751B7F"/>
    <w:rsid w:val="00751D35"/>
    <w:rsid w:val="007523D5"/>
    <w:rsid w:val="007528AF"/>
    <w:rsid w:val="00752B49"/>
    <w:rsid w:val="00752D2C"/>
    <w:rsid w:val="00752DAB"/>
    <w:rsid w:val="007537D1"/>
    <w:rsid w:val="007544F4"/>
    <w:rsid w:val="00755022"/>
    <w:rsid w:val="00755183"/>
    <w:rsid w:val="007554A3"/>
    <w:rsid w:val="0075571C"/>
    <w:rsid w:val="007559B0"/>
    <w:rsid w:val="00755B2D"/>
    <w:rsid w:val="007562A9"/>
    <w:rsid w:val="007562E9"/>
    <w:rsid w:val="00756491"/>
    <w:rsid w:val="00756698"/>
    <w:rsid w:val="00756ABC"/>
    <w:rsid w:val="007577F5"/>
    <w:rsid w:val="00757A5E"/>
    <w:rsid w:val="0076011B"/>
    <w:rsid w:val="00760D2F"/>
    <w:rsid w:val="00761999"/>
    <w:rsid w:val="00761A7B"/>
    <w:rsid w:val="00761AC8"/>
    <w:rsid w:val="00761C0D"/>
    <w:rsid w:val="00761CCC"/>
    <w:rsid w:val="00761D13"/>
    <w:rsid w:val="00761DE8"/>
    <w:rsid w:val="00762220"/>
    <w:rsid w:val="00762490"/>
    <w:rsid w:val="00762768"/>
    <w:rsid w:val="007629A8"/>
    <w:rsid w:val="00762B2D"/>
    <w:rsid w:val="00762C60"/>
    <w:rsid w:val="00763010"/>
    <w:rsid w:val="00763814"/>
    <w:rsid w:val="0076476E"/>
    <w:rsid w:val="007648D0"/>
    <w:rsid w:val="007652ED"/>
    <w:rsid w:val="0076533F"/>
    <w:rsid w:val="00765470"/>
    <w:rsid w:val="00765689"/>
    <w:rsid w:val="0076597F"/>
    <w:rsid w:val="00765A1A"/>
    <w:rsid w:val="00765A3F"/>
    <w:rsid w:val="00765B5C"/>
    <w:rsid w:val="00765CF4"/>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4AC"/>
    <w:rsid w:val="00771917"/>
    <w:rsid w:val="007722F4"/>
    <w:rsid w:val="0077299C"/>
    <w:rsid w:val="00772AC2"/>
    <w:rsid w:val="00773817"/>
    <w:rsid w:val="00773856"/>
    <w:rsid w:val="00773FFD"/>
    <w:rsid w:val="0077434A"/>
    <w:rsid w:val="00774802"/>
    <w:rsid w:val="00774869"/>
    <w:rsid w:val="007749A1"/>
    <w:rsid w:val="00775A4F"/>
    <w:rsid w:val="00775B45"/>
    <w:rsid w:val="00775E12"/>
    <w:rsid w:val="00776037"/>
    <w:rsid w:val="007762A6"/>
    <w:rsid w:val="007767A1"/>
    <w:rsid w:val="007768D1"/>
    <w:rsid w:val="00777040"/>
    <w:rsid w:val="007772AA"/>
    <w:rsid w:val="00777C6E"/>
    <w:rsid w:val="00777EA9"/>
    <w:rsid w:val="0078021A"/>
    <w:rsid w:val="0078049E"/>
    <w:rsid w:val="00780BE8"/>
    <w:rsid w:val="00780C72"/>
    <w:rsid w:val="00781015"/>
    <w:rsid w:val="0078251C"/>
    <w:rsid w:val="00782834"/>
    <w:rsid w:val="00782D13"/>
    <w:rsid w:val="00782F6C"/>
    <w:rsid w:val="00783065"/>
    <w:rsid w:val="00783223"/>
    <w:rsid w:val="00783488"/>
    <w:rsid w:val="007834A4"/>
    <w:rsid w:val="007838A3"/>
    <w:rsid w:val="00783A58"/>
    <w:rsid w:val="00783E4E"/>
    <w:rsid w:val="0078400A"/>
    <w:rsid w:val="0078427A"/>
    <w:rsid w:val="0078435F"/>
    <w:rsid w:val="00784CEE"/>
    <w:rsid w:val="00784D65"/>
    <w:rsid w:val="00784E48"/>
    <w:rsid w:val="00784EB4"/>
    <w:rsid w:val="007850B1"/>
    <w:rsid w:val="007854B9"/>
    <w:rsid w:val="00785567"/>
    <w:rsid w:val="007857A3"/>
    <w:rsid w:val="00785835"/>
    <w:rsid w:val="00785909"/>
    <w:rsid w:val="00785CCB"/>
    <w:rsid w:val="00785F06"/>
    <w:rsid w:val="007861E1"/>
    <w:rsid w:val="007862DD"/>
    <w:rsid w:val="007865FC"/>
    <w:rsid w:val="007868E9"/>
    <w:rsid w:val="007870C8"/>
    <w:rsid w:val="007871AB"/>
    <w:rsid w:val="00787431"/>
    <w:rsid w:val="007875D0"/>
    <w:rsid w:val="00787B6C"/>
    <w:rsid w:val="00790169"/>
    <w:rsid w:val="0079020B"/>
    <w:rsid w:val="007908A3"/>
    <w:rsid w:val="00790B7A"/>
    <w:rsid w:val="00790EA6"/>
    <w:rsid w:val="00790F8F"/>
    <w:rsid w:val="00791076"/>
    <w:rsid w:val="007911BA"/>
    <w:rsid w:val="007914E0"/>
    <w:rsid w:val="00791549"/>
    <w:rsid w:val="00791729"/>
    <w:rsid w:val="007921EA"/>
    <w:rsid w:val="007922C7"/>
    <w:rsid w:val="007922EE"/>
    <w:rsid w:val="0079266A"/>
    <w:rsid w:val="007928B4"/>
    <w:rsid w:val="0079293F"/>
    <w:rsid w:val="00792B5B"/>
    <w:rsid w:val="00792CC3"/>
    <w:rsid w:val="00792E5B"/>
    <w:rsid w:val="007931CC"/>
    <w:rsid w:val="00793575"/>
    <w:rsid w:val="007939DB"/>
    <w:rsid w:val="00793A09"/>
    <w:rsid w:val="007940F3"/>
    <w:rsid w:val="007940F7"/>
    <w:rsid w:val="00794AED"/>
    <w:rsid w:val="00794D4E"/>
    <w:rsid w:val="0079526E"/>
    <w:rsid w:val="00795348"/>
    <w:rsid w:val="00795C54"/>
    <w:rsid w:val="00795CC2"/>
    <w:rsid w:val="007962B6"/>
    <w:rsid w:val="007968FD"/>
    <w:rsid w:val="00796E33"/>
    <w:rsid w:val="0079706D"/>
    <w:rsid w:val="0079739C"/>
    <w:rsid w:val="0079749E"/>
    <w:rsid w:val="007975D2"/>
    <w:rsid w:val="00797C17"/>
    <w:rsid w:val="00797C49"/>
    <w:rsid w:val="00797DE5"/>
    <w:rsid w:val="00797FD7"/>
    <w:rsid w:val="007A0224"/>
    <w:rsid w:val="007A0264"/>
    <w:rsid w:val="007A030C"/>
    <w:rsid w:val="007A05B9"/>
    <w:rsid w:val="007A1468"/>
    <w:rsid w:val="007A16C4"/>
    <w:rsid w:val="007A1B12"/>
    <w:rsid w:val="007A1E1B"/>
    <w:rsid w:val="007A1E98"/>
    <w:rsid w:val="007A1ED1"/>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B24"/>
    <w:rsid w:val="007A3CEA"/>
    <w:rsid w:val="007A3D46"/>
    <w:rsid w:val="007A3DBA"/>
    <w:rsid w:val="007A3F48"/>
    <w:rsid w:val="007A45A5"/>
    <w:rsid w:val="007A4CBA"/>
    <w:rsid w:val="007A50E1"/>
    <w:rsid w:val="007A5126"/>
    <w:rsid w:val="007A52C2"/>
    <w:rsid w:val="007A53D8"/>
    <w:rsid w:val="007A5E1A"/>
    <w:rsid w:val="007A62C9"/>
    <w:rsid w:val="007A65B3"/>
    <w:rsid w:val="007A6BA3"/>
    <w:rsid w:val="007A6C8D"/>
    <w:rsid w:val="007A6CB2"/>
    <w:rsid w:val="007A7C17"/>
    <w:rsid w:val="007A7EDE"/>
    <w:rsid w:val="007A7FCD"/>
    <w:rsid w:val="007B0A94"/>
    <w:rsid w:val="007B0B28"/>
    <w:rsid w:val="007B0D07"/>
    <w:rsid w:val="007B0FB0"/>
    <w:rsid w:val="007B0FEB"/>
    <w:rsid w:val="007B141B"/>
    <w:rsid w:val="007B196B"/>
    <w:rsid w:val="007B1CB3"/>
    <w:rsid w:val="007B2008"/>
    <w:rsid w:val="007B2316"/>
    <w:rsid w:val="007B233A"/>
    <w:rsid w:val="007B25B2"/>
    <w:rsid w:val="007B2C70"/>
    <w:rsid w:val="007B3311"/>
    <w:rsid w:val="007B338C"/>
    <w:rsid w:val="007B352B"/>
    <w:rsid w:val="007B39DB"/>
    <w:rsid w:val="007B3A64"/>
    <w:rsid w:val="007B3B39"/>
    <w:rsid w:val="007B3B61"/>
    <w:rsid w:val="007B3B9E"/>
    <w:rsid w:val="007B3E04"/>
    <w:rsid w:val="007B3EBC"/>
    <w:rsid w:val="007B3F68"/>
    <w:rsid w:val="007B413E"/>
    <w:rsid w:val="007B41DA"/>
    <w:rsid w:val="007B4785"/>
    <w:rsid w:val="007B4837"/>
    <w:rsid w:val="007B4C4F"/>
    <w:rsid w:val="007B4DE6"/>
    <w:rsid w:val="007B525E"/>
    <w:rsid w:val="007B55BC"/>
    <w:rsid w:val="007B58D0"/>
    <w:rsid w:val="007B5F41"/>
    <w:rsid w:val="007B61B8"/>
    <w:rsid w:val="007B61EE"/>
    <w:rsid w:val="007B6331"/>
    <w:rsid w:val="007B669A"/>
    <w:rsid w:val="007B6A27"/>
    <w:rsid w:val="007B6AC3"/>
    <w:rsid w:val="007B6B69"/>
    <w:rsid w:val="007B6BF3"/>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A9B"/>
    <w:rsid w:val="007C1D05"/>
    <w:rsid w:val="007C2207"/>
    <w:rsid w:val="007C22F1"/>
    <w:rsid w:val="007C2540"/>
    <w:rsid w:val="007C2AB4"/>
    <w:rsid w:val="007C3395"/>
    <w:rsid w:val="007C3B64"/>
    <w:rsid w:val="007C40F2"/>
    <w:rsid w:val="007C45A5"/>
    <w:rsid w:val="007C49BB"/>
    <w:rsid w:val="007C4C0C"/>
    <w:rsid w:val="007C4C39"/>
    <w:rsid w:val="007C5623"/>
    <w:rsid w:val="007C65FE"/>
    <w:rsid w:val="007C6828"/>
    <w:rsid w:val="007C6CD4"/>
    <w:rsid w:val="007C766E"/>
    <w:rsid w:val="007C7ED4"/>
    <w:rsid w:val="007D0190"/>
    <w:rsid w:val="007D039D"/>
    <w:rsid w:val="007D0B01"/>
    <w:rsid w:val="007D0B11"/>
    <w:rsid w:val="007D0DC6"/>
    <w:rsid w:val="007D120D"/>
    <w:rsid w:val="007D1531"/>
    <w:rsid w:val="007D153F"/>
    <w:rsid w:val="007D1CAC"/>
    <w:rsid w:val="007D1D04"/>
    <w:rsid w:val="007D2083"/>
    <w:rsid w:val="007D2271"/>
    <w:rsid w:val="007D2366"/>
    <w:rsid w:val="007D2BE5"/>
    <w:rsid w:val="007D2C3D"/>
    <w:rsid w:val="007D2F34"/>
    <w:rsid w:val="007D3637"/>
    <w:rsid w:val="007D382F"/>
    <w:rsid w:val="007D3847"/>
    <w:rsid w:val="007D4A4B"/>
    <w:rsid w:val="007D4EDB"/>
    <w:rsid w:val="007D5364"/>
    <w:rsid w:val="007D54DA"/>
    <w:rsid w:val="007D560E"/>
    <w:rsid w:val="007D56CB"/>
    <w:rsid w:val="007D5C60"/>
    <w:rsid w:val="007D6712"/>
    <w:rsid w:val="007D6C82"/>
    <w:rsid w:val="007D6D4D"/>
    <w:rsid w:val="007D76A8"/>
    <w:rsid w:val="007D7C34"/>
    <w:rsid w:val="007E00AA"/>
    <w:rsid w:val="007E06D5"/>
    <w:rsid w:val="007E0B27"/>
    <w:rsid w:val="007E0B49"/>
    <w:rsid w:val="007E12D5"/>
    <w:rsid w:val="007E1719"/>
    <w:rsid w:val="007E184C"/>
    <w:rsid w:val="007E1A71"/>
    <w:rsid w:val="007E1E5F"/>
    <w:rsid w:val="007E2258"/>
    <w:rsid w:val="007E2762"/>
    <w:rsid w:val="007E2FA5"/>
    <w:rsid w:val="007E319A"/>
    <w:rsid w:val="007E3252"/>
    <w:rsid w:val="007E3929"/>
    <w:rsid w:val="007E40B3"/>
    <w:rsid w:val="007E4317"/>
    <w:rsid w:val="007E46A8"/>
    <w:rsid w:val="007E475A"/>
    <w:rsid w:val="007E5832"/>
    <w:rsid w:val="007E5C7E"/>
    <w:rsid w:val="007E5FE7"/>
    <w:rsid w:val="007E604B"/>
    <w:rsid w:val="007E62B0"/>
    <w:rsid w:val="007E6394"/>
    <w:rsid w:val="007E6851"/>
    <w:rsid w:val="007E68B4"/>
    <w:rsid w:val="007E6A9C"/>
    <w:rsid w:val="007E7249"/>
    <w:rsid w:val="007E7366"/>
    <w:rsid w:val="007E73F6"/>
    <w:rsid w:val="007E7418"/>
    <w:rsid w:val="007E7663"/>
    <w:rsid w:val="007E7783"/>
    <w:rsid w:val="007E79BC"/>
    <w:rsid w:val="007F0011"/>
    <w:rsid w:val="007F0702"/>
    <w:rsid w:val="007F0D0D"/>
    <w:rsid w:val="007F1365"/>
    <w:rsid w:val="007F168A"/>
    <w:rsid w:val="007F176C"/>
    <w:rsid w:val="007F1D45"/>
    <w:rsid w:val="007F23EA"/>
    <w:rsid w:val="007F25A5"/>
    <w:rsid w:val="007F2A4A"/>
    <w:rsid w:val="007F2A7C"/>
    <w:rsid w:val="007F3124"/>
    <w:rsid w:val="007F365E"/>
    <w:rsid w:val="007F3F65"/>
    <w:rsid w:val="007F4119"/>
    <w:rsid w:val="007F4473"/>
    <w:rsid w:val="007F46A1"/>
    <w:rsid w:val="007F48D6"/>
    <w:rsid w:val="007F4ADC"/>
    <w:rsid w:val="007F4B78"/>
    <w:rsid w:val="007F4C42"/>
    <w:rsid w:val="007F585B"/>
    <w:rsid w:val="007F600F"/>
    <w:rsid w:val="007F6217"/>
    <w:rsid w:val="007F62C3"/>
    <w:rsid w:val="007F65FB"/>
    <w:rsid w:val="007F673E"/>
    <w:rsid w:val="007F6848"/>
    <w:rsid w:val="007F6C11"/>
    <w:rsid w:val="007F6D4B"/>
    <w:rsid w:val="007F6FA6"/>
    <w:rsid w:val="007F723B"/>
    <w:rsid w:val="007F7ACF"/>
    <w:rsid w:val="007F7B1F"/>
    <w:rsid w:val="00800305"/>
    <w:rsid w:val="0080052D"/>
    <w:rsid w:val="008006F9"/>
    <w:rsid w:val="00800A70"/>
    <w:rsid w:val="00801036"/>
    <w:rsid w:val="00801243"/>
    <w:rsid w:val="0080151B"/>
    <w:rsid w:val="00801B70"/>
    <w:rsid w:val="00801E41"/>
    <w:rsid w:val="0080241D"/>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5E77"/>
    <w:rsid w:val="0080602D"/>
    <w:rsid w:val="00806152"/>
    <w:rsid w:val="0080697B"/>
    <w:rsid w:val="008069D9"/>
    <w:rsid w:val="00806A6C"/>
    <w:rsid w:val="00806C74"/>
    <w:rsid w:val="00807029"/>
    <w:rsid w:val="008073FF"/>
    <w:rsid w:val="00807646"/>
    <w:rsid w:val="008102ED"/>
    <w:rsid w:val="00810424"/>
    <w:rsid w:val="00810624"/>
    <w:rsid w:val="00810E49"/>
    <w:rsid w:val="0081115F"/>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D65"/>
    <w:rsid w:val="00814E8B"/>
    <w:rsid w:val="008154D6"/>
    <w:rsid w:val="00815D71"/>
    <w:rsid w:val="00815E22"/>
    <w:rsid w:val="0081633F"/>
    <w:rsid w:val="008168B7"/>
    <w:rsid w:val="008168C7"/>
    <w:rsid w:val="00816EE6"/>
    <w:rsid w:val="008170EC"/>
    <w:rsid w:val="0081729C"/>
    <w:rsid w:val="00817476"/>
    <w:rsid w:val="00817C73"/>
    <w:rsid w:val="00817E6C"/>
    <w:rsid w:val="00820D8C"/>
    <w:rsid w:val="00821C07"/>
    <w:rsid w:val="00821F60"/>
    <w:rsid w:val="008223F8"/>
    <w:rsid w:val="00822994"/>
    <w:rsid w:val="00822B54"/>
    <w:rsid w:val="008236E5"/>
    <w:rsid w:val="0082399A"/>
    <w:rsid w:val="008248B0"/>
    <w:rsid w:val="008248C3"/>
    <w:rsid w:val="00824A74"/>
    <w:rsid w:val="00825475"/>
    <w:rsid w:val="00825699"/>
    <w:rsid w:val="008256E3"/>
    <w:rsid w:val="00825A26"/>
    <w:rsid w:val="00825E83"/>
    <w:rsid w:val="00826FBD"/>
    <w:rsid w:val="0082732F"/>
    <w:rsid w:val="00827899"/>
    <w:rsid w:val="008278D4"/>
    <w:rsid w:val="00827A08"/>
    <w:rsid w:val="00827BA1"/>
    <w:rsid w:val="00827D03"/>
    <w:rsid w:val="00827D28"/>
    <w:rsid w:val="008301C1"/>
    <w:rsid w:val="008301DB"/>
    <w:rsid w:val="0083024A"/>
    <w:rsid w:val="00830437"/>
    <w:rsid w:val="008308C4"/>
    <w:rsid w:val="008321AA"/>
    <w:rsid w:val="0083229F"/>
    <w:rsid w:val="008325B6"/>
    <w:rsid w:val="00833220"/>
    <w:rsid w:val="00833361"/>
    <w:rsid w:val="00833809"/>
    <w:rsid w:val="00833BE6"/>
    <w:rsid w:val="00833EAC"/>
    <w:rsid w:val="008341D9"/>
    <w:rsid w:val="008348D0"/>
    <w:rsid w:val="00834BC8"/>
    <w:rsid w:val="00834BF3"/>
    <w:rsid w:val="00835228"/>
    <w:rsid w:val="00835586"/>
    <w:rsid w:val="008355A8"/>
    <w:rsid w:val="0083566A"/>
    <w:rsid w:val="00835921"/>
    <w:rsid w:val="00835BF2"/>
    <w:rsid w:val="00835C93"/>
    <w:rsid w:val="00835DC2"/>
    <w:rsid w:val="008361FD"/>
    <w:rsid w:val="00836578"/>
    <w:rsid w:val="00836CC1"/>
    <w:rsid w:val="00836CD7"/>
    <w:rsid w:val="0083778B"/>
    <w:rsid w:val="00837A87"/>
    <w:rsid w:val="00840160"/>
    <w:rsid w:val="008405BB"/>
    <w:rsid w:val="0084083E"/>
    <w:rsid w:val="00840A0D"/>
    <w:rsid w:val="00840AAD"/>
    <w:rsid w:val="00840E3E"/>
    <w:rsid w:val="00841482"/>
    <w:rsid w:val="008417EC"/>
    <w:rsid w:val="00841922"/>
    <w:rsid w:val="00841C3D"/>
    <w:rsid w:val="00841CBB"/>
    <w:rsid w:val="008420A7"/>
    <w:rsid w:val="00842F94"/>
    <w:rsid w:val="00843058"/>
    <w:rsid w:val="0084329E"/>
    <w:rsid w:val="008435B1"/>
    <w:rsid w:val="008435EC"/>
    <w:rsid w:val="008437D1"/>
    <w:rsid w:val="008438A7"/>
    <w:rsid w:val="00843AD4"/>
    <w:rsid w:val="00843B73"/>
    <w:rsid w:val="00844258"/>
    <w:rsid w:val="0084426A"/>
    <w:rsid w:val="00844897"/>
    <w:rsid w:val="00844AAA"/>
    <w:rsid w:val="00844FAA"/>
    <w:rsid w:val="0084523B"/>
    <w:rsid w:val="0084555D"/>
    <w:rsid w:val="00845CB5"/>
    <w:rsid w:val="008462BA"/>
    <w:rsid w:val="0084646F"/>
    <w:rsid w:val="00847056"/>
    <w:rsid w:val="0084720E"/>
    <w:rsid w:val="00847D60"/>
    <w:rsid w:val="00850264"/>
    <w:rsid w:val="008502BD"/>
    <w:rsid w:val="00850648"/>
    <w:rsid w:val="008506F9"/>
    <w:rsid w:val="00850C11"/>
    <w:rsid w:val="00850FF1"/>
    <w:rsid w:val="008512EE"/>
    <w:rsid w:val="008517EF"/>
    <w:rsid w:val="008518B0"/>
    <w:rsid w:val="008519C5"/>
    <w:rsid w:val="00851D0D"/>
    <w:rsid w:val="00851E28"/>
    <w:rsid w:val="008525FA"/>
    <w:rsid w:val="00852782"/>
    <w:rsid w:val="00853002"/>
    <w:rsid w:val="00853716"/>
    <w:rsid w:val="00853961"/>
    <w:rsid w:val="008539F4"/>
    <w:rsid w:val="00853C94"/>
    <w:rsid w:val="00853CCA"/>
    <w:rsid w:val="00853D66"/>
    <w:rsid w:val="0085432E"/>
    <w:rsid w:val="008543E8"/>
    <w:rsid w:val="00854DBC"/>
    <w:rsid w:val="00855254"/>
    <w:rsid w:val="008556A8"/>
    <w:rsid w:val="00855C1B"/>
    <w:rsid w:val="00855F32"/>
    <w:rsid w:val="00856441"/>
    <w:rsid w:val="00856570"/>
    <w:rsid w:val="00856CB6"/>
    <w:rsid w:val="00856EB8"/>
    <w:rsid w:val="00856F57"/>
    <w:rsid w:val="00856F9E"/>
    <w:rsid w:val="00857758"/>
    <w:rsid w:val="00857CB7"/>
    <w:rsid w:val="00860496"/>
    <w:rsid w:val="0086055D"/>
    <w:rsid w:val="008609D2"/>
    <w:rsid w:val="00860D5A"/>
    <w:rsid w:val="00860FF7"/>
    <w:rsid w:val="008620D8"/>
    <w:rsid w:val="00862B04"/>
    <w:rsid w:val="00863552"/>
    <w:rsid w:val="008635C4"/>
    <w:rsid w:val="008638CF"/>
    <w:rsid w:val="00863C73"/>
    <w:rsid w:val="00863D08"/>
    <w:rsid w:val="00863DF4"/>
    <w:rsid w:val="008641C7"/>
    <w:rsid w:val="00864467"/>
    <w:rsid w:val="00864789"/>
    <w:rsid w:val="00864AE3"/>
    <w:rsid w:val="00864E82"/>
    <w:rsid w:val="0086611F"/>
    <w:rsid w:val="0086649B"/>
    <w:rsid w:val="00866680"/>
    <w:rsid w:val="00867C00"/>
    <w:rsid w:val="00867F1A"/>
    <w:rsid w:val="008702C8"/>
    <w:rsid w:val="0087045C"/>
    <w:rsid w:val="008704AE"/>
    <w:rsid w:val="00870516"/>
    <w:rsid w:val="008705C5"/>
    <w:rsid w:val="00870ED8"/>
    <w:rsid w:val="00870F44"/>
    <w:rsid w:val="00871C69"/>
    <w:rsid w:val="00871C9D"/>
    <w:rsid w:val="00871F2E"/>
    <w:rsid w:val="00872095"/>
    <w:rsid w:val="008720D3"/>
    <w:rsid w:val="0087271F"/>
    <w:rsid w:val="00872C1B"/>
    <w:rsid w:val="00873151"/>
    <w:rsid w:val="00873275"/>
    <w:rsid w:val="008733E6"/>
    <w:rsid w:val="008741C3"/>
    <w:rsid w:val="008742C5"/>
    <w:rsid w:val="0087471D"/>
    <w:rsid w:val="00874796"/>
    <w:rsid w:val="008747D7"/>
    <w:rsid w:val="008747EC"/>
    <w:rsid w:val="00875F93"/>
    <w:rsid w:val="008768A4"/>
    <w:rsid w:val="00876917"/>
    <w:rsid w:val="00876C7F"/>
    <w:rsid w:val="00876D61"/>
    <w:rsid w:val="00876E38"/>
    <w:rsid w:val="00876F7E"/>
    <w:rsid w:val="0087708A"/>
    <w:rsid w:val="00877443"/>
    <w:rsid w:val="00877700"/>
    <w:rsid w:val="008779FC"/>
    <w:rsid w:val="00877DE0"/>
    <w:rsid w:val="00877EFB"/>
    <w:rsid w:val="0088008C"/>
    <w:rsid w:val="00880445"/>
    <w:rsid w:val="00880B1C"/>
    <w:rsid w:val="00880EA2"/>
    <w:rsid w:val="00882012"/>
    <w:rsid w:val="00882136"/>
    <w:rsid w:val="008828BD"/>
    <w:rsid w:val="00882D51"/>
    <w:rsid w:val="00882D70"/>
    <w:rsid w:val="00882DA6"/>
    <w:rsid w:val="00883990"/>
    <w:rsid w:val="00883CE1"/>
    <w:rsid w:val="0088424B"/>
    <w:rsid w:val="0088444B"/>
    <w:rsid w:val="008848C7"/>
    <w:rsid w:val="00884A23"/>
    <w:rsid w:val="00884C5B"/>
    <w:rsid w:val="008854F5"/>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48C"/>
    <w:rsid w:val="008917EA"/>
    <w:rsid w:val="00891D37"/>
    <w:rsid w:val="00891E5F"/>
    <w:rsid w:val="0089281D"/>
    <w:rsid w:val="00892A84"/>
    <w:rsid w:val="00892C9A"/>
    <w:rsid w:val="00893914"/>
    <w:rsid w:val="00893CC2"/>
    <w:rsid w:val="0089424A"/>
    <w:rsid w:val="008943CD"/>
    <w:rsid w:val="00894759"/>
    <w:rsid w:val="00894B32"/>
    <w:rsid w:val="00894BFE"/>
    <w:rsid w:val="00894E5B"/>
    <w:rsid w:val="008951E1"/>
    <w:rsid w:val="008954B2"/>
    <w:rsid w:val="00895977"/>
    <w:rsid w:val="00895B24"/>
    <w:rsid w:val="00895B30"/>
    <w:rsid w:val="00895F3B"/>
    <w:rsid w:val="00896243"/>
    <w:rsid w:val="00896413"/>
    <w:rsid w:val="0089648F"/>
    <w:rsid w:val="0089671B"/>
    <w:rsid w:val="00896C68"/>
    <w:rsid w:val="00897DEC"/>
    <w:rsid w:val="008A0308"/>
    <w:rsid w:val="008A048D"/>
    <w:rsid w:val="008A0B0A"/>
    <w:rsid w:val="008A0EAA"/>
    <w:rsid w:val="008A0EDF"/>
    <w:rsid w:val="008A0FC6"/>
    <w:rsid w:val="008A1200"/>
    <w:rsid w:val="008A229A"/>
    <w:rsid w:val="008A23F4"/>
    <w:rsid w:val="008A24D8"/>
    <w:rsid w:val="008A2556"/>
    <w:rsid w:val="008A25F0"/>
    <w:rsid w:val="008A2C14"/>
    <w:rsid w:val="008A2F0A"/>
    <w:rsid w:val="008A31B0"/>
    <w:rsid w:val="008A328B"/>
    <w:rsid w:val="008A3C56"/>
    <w:rsid w:val="008A3F4C"/>
    <w:rsid w:val="008A4461"/>
    <w:rsid w:val="008A4AD4"/>
    <w:rsid w:val="008A4CFF"/>
    <w:rsid w:val="008A4D34"/>
    <w:rsid w:val="008A4DFC"/>
    <w:rsid w:val="008A5271"/>
    <w:rsid w:val="008A528A"/>
    <w:rsid w:val="008A5647"/>
    <w:rsid w:val="008A5A9E"/>
    <w:rsid w:val="008A5EA8"/>
    <w:rsid w:val="008A68B0"/>
    <w:rsid w:val="008A6964"/>
    <w:rsid w:val="008A6AA0"/>
    <w:rsid w:val="008A6AFB"/>
    <w:rsid w:val="008A6C60"/>
    <w:rsid w:val="008A6EC1"/>
    <w:rsid w:val="008A7843"/>
    <w:rsid w:val="008A7852"/>
    <w:rsid w:val="008A7A7F"/>
    <w:rsid w:val="008A7D2A"/>
    <w:rsid w:val="008B0331"/>
    <w:rsid w:val="008B03BA"/>
    <w:rsid w:val="008B05A7"/>
    <w:rsid w:val="008B0B7D"/>
    <w:rsid w:val="008B0D97"/>
    <w:rsid w:val="008B0E4F"/>
    <w:rsid w:val="008B1989"/>
    <w:rsid w:val="008B277D"/>
    <w:rsid w:val="008B2827"/>
    <w:rsid w:val="008B2B9E"/>
    <w:rsid w:val="008B2DC1"/>
    <w:rsid w:val="008B2EC5"/>
    <w:rsid w:val="008B33A5"/>
    <w:rsid w:val="008B359D"/>
    <w:rsid w:val="008B35EC"/>
    <w:rsid w:val="008B3602"/>
    <w:rsid w:val="008B3807"/>
    <w:rsid w:val="008B3C30"/>
    <w:rsid w:val="008B4033"/>
    <w:rsid w:val="008B4051"/>
    <w:rsid w:val="008B42D3"/>
    <w:rsid w:val="008B4888"/>
    <w:rsid w:val="008B48B5"/>
    <w:rsid w:val="008B48EF"/>
    <w:rsid w:val="008B4B87"/>
    <w:rsid w:val="008B525F"/>
    <w:rsid w:val="008B5FF9"/>
    <w:rsid w:val="008B6206"/>
    <w:rsid w:val="008B6838"/>
    <w:rsid w:val="008B692B"/>
    <w:rsid w:val="008B6A19"/>
    <w:rsid w:val="008B6D1E"/>
    <w:rsid w:val="008B73FA"/>
    <w:rsid w:val="008B743E"/>
    <w:rsid w:val="008B75B2"/>
    <w:rsid w:val="008B7E4C"/>
    <w:rsid w:val="008B7FC2"/>
    <w:rsid w:val="008B7FC7"/>
    <w:rsid w:val="008C0045"/>
    <w:rsid w:val="008C05B1"/>
    <w:rsid w:val="008C08B2"/>
    <w:rsid w:val="008C0BE7"/>
    <w:rsid w:val="008C0C6B"/>
    <w:rsid w:val="008C10E6"/>
    <w:rsid w:val="008C1B95"/>
    <w:rsid w:val="008C2107"/>
    <w:rsid w:val="008C254A"/>
    <w:rsid w:val="008C26B1"/>
    <w:rsid w:val="008C2B22"/>
    <w:rsid w:val="008C3414"/>
    <w:rsid w:val="008C3651"/>
    <w:rsid w:val="008C3726"/>
    <w:rsid w:val="008C4479"/>
    <w:rsid w:val="008C466B"/>
    <w:rsid w:val="008C4ABA"/>
    <w:rsid w:val="008C4C06"/>
    <w:rsid w:val="008C4D1C"/>
    <w:rsid w:val="008C4F9A"/>
    <w:rsid w:val="008C567A"/>
    <w:rsid w:val="008C5A2F"/>
    <w:rsid w:val="008C5F24"/>
    <w:rsid w:val="008C6693"/>
    <w:rsid w:val="008C699A"/>
    <w:rsid w:val="008C6B82"/>
    <w:rsid w:val="008C6F2F"/>
    <w:rsid w:val="008C6F5B"/>
    <w:rsid w:val="008C70F4"/>
    <w:rsid w:val="008C7909"/>
    <w:rsid w:val="008C7968"/>
    <w:rsid w:val="008C7A72"/>
    <w:rsid w:val="008C7AB1"/>
    <w:rsid w:val="008D0A63"/>
    <w:rsid w:val="008D0EFE"/>
    <w:rsid w:val="008D11B7"/>
    <w:rsid w:val="008D142B"/>
    <w:rsid w:val="008D18E6"/>
    <w:rsid w:val="008D1A5C"/>
    <w:rsid w:val="008D1D9A"/>
    <w:rsid w:val="008D1E1D"/>
    <w:rsid w:val="008D2212"/>
    <w:rsid w:val="008D25A6"/>
    <w:rsid w:val="008D2881"/>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777A"/>
    <w:rsid w:val="008D7B69"/>
    <w:rsid w:val="008D7ED7"/>
    <w:rsid w:val="008E063F"/>
    <w:rsid w:val="008E08FB"/>
    <w:rsid w:val="008E098E"/>
    <w:rsid w:val="008E0995"/>
    <w:rsid w:val="008E0AD8"/>
    <w:rsid w:val="008E0BAF"/>
    <w:rsid w:val="008E0CFD"/>
    <w:rsid w:val="008E1105"/>
    <w:rsid w:val="008E1B41"/>
    <w:rsid w:val="008E1BA8"/>
    <w:rsid w:val="008E1BD8"/>
    <w:rsid w:val="008E3204"/>
    <w:rsid w:val="008E34CE"/>
    <w:rsid w:val="008E3518"/>
    <w:rsid w:val="008E3BC5"/>
    <w:rsid w:val="008E4153"/>
    <w:rsid w:val="008E42D4"/>
    <w:rsid w:val="008E5039"/>
    <w:rsid w:val="008E5331"/>
    <w:rsid w:val="008E55E9"/>
    <w:rsid w:val="008E56F2"/>
    <w:rsid w:val="008E57E9"/>
    <w:rsid w:val="008E595B"/>
    <w:rsid w:val="008E619B"/>
    <w:rsid w:val="008E6253"/>
    <w:rsid w:val="008E66E5"/>
    <w:rsid w:val="008E6ED1"/>
    <w:rsid w:val="008E711E"/>
    <w:rsid w:val="008E7D7B"/>
    <w:rsid w:val="008F09A8"/>
    <w:rsid w:val="008F0E1A"/>
    <w:rsid w:val="008F0FD4"/>
    <w:rsid w:val="008F12D8"/>
    <w:rsid w:val="008F12E3"/>
    <w:rsid w:val="008F164B"/>
    <w:rsid w:val="008F1A6E"/>
    <w:rsid w:val="008F1D9F"/>
    <w:rsid w:val="008F2333"/>
    <w:rsid w:val="008F234F"/>
    <w:rsid w:val="008F2644"/>
    <w:rsid w:val="008F2813"/>
    <w:rsid w:val="008F292E"/>
    <w:rsid w:val="008F2935"/>
    <w:rsid w:val="008F2C7A"/>
    <w:rsid w:val="008F2E5B"/>
    <w:rsid w:val="008F2EA9"/>
    <w:rsid w:val="008F310F"/>
    <w:rsid w:val="008F3904"/>
    <w:rsid w:val="008F3AB8"/>
    <w:rsid w:val="008F47A3"/>
    <w:rsid w:val="008F4A4A"/>
    <w:rsid w:val="008F4D08"/>
    <w:rsid w:val="008F4E5F"/>
    <w:rsid w:val="008F504C"/>
    <w:rsid w:val="008F54DE"/>
    <w:rsid w:val="008F5638"/>
    <w:rsid w:val="008F56CB"/>
    <w:rsid w:val="008F5E45"/>
    <w:rsid w:val="008F5E92"/>
    <w:rsid w:val="008F60AA"/>
    <w:rsid w:val="008F60E4"/>
    <w:rsid w:val="008F635E"/>
    <w:rsid w:val="008F6A1B"/>
    <w:rsid w:val="008F6A39"/>
    <w:rsid w:val="008F6EB6"/>
    <w:rsid w:val="008F7D30"/>
    <w:rsid w:val="009002EC"/>
    <w:rsid w:val="009006DC"/>
    <w:rsid w:val="009008AE"/>
    <w:rsid w:val="00900913"/>
    <w:rsid w:val="00900A8E"/>
    <w:rsid w:val="00900C39"/>
    <w:rsid w:val="0090155D"/>
    <w:rsid w:val="0090169C"/>
    <w:rsid w:val="00901847"/>
    <w:rsid w:val="00901945"/>
    <w:rsid w:val="00901A1D"/>
    <w:rsid w:val="00901A4D"/>
    <w:rsid w:val="00901CA3"/>
    <w:rsid w:val="00901D16"/>
    <w:rsid w:val="0090258A"/>
    <w:rsid w:val="009025AF"/>
    <w:rsid w:val="00902696"/>
    <w:rsid w:val="009034F0"/>
    <w:rsid w:val="00903537"/>
    <w:rsid w:val="00903784"/>
    <w:rsid w:val="00903827"/>
    <w:rsid w:val="00903974"/>
    <w:rsid w:val="00903A0B"/>
    <w:rsid w:val="00903C7C"/>
    <w:rsid w:val="00904101"/>
    <w:rsid w:val="00904910"/>
    <w:rsid w:val="00904BBC"/>
    <w:rsid w:val="00904BC5"/>
    <w:rsid w:val="00904CF0"/>
    <w:rsid w:val="00904DCD"/>
    <w:rsid w:val="00905442"/>
    <w:rsid w:val="00905625"/>
    <w:rsid w:val="00905B26"/>
    <w:rsid w:val="00905C28"/>
    <w:rsid w:val="009060C9"/>
    <w:rsid w:val="0090634D"/>
    <w:rsid w:val="00906368"/>
    <w:rsid w:val="00906396"/>
    <w:rsid w:val="00906B25"/>
    <w:rsid w:val="00906FBE"/>
    <w:rsid w:val="0090701A"/>
    <w:rsid w:val="009070F3"/>
    <w:rsid w:val="0090782C"/>
    <w:rsid w:val="00907985"/>
    <w:rsid w:val="00910107"/>
    <w:rsid w:val="00910184"/>
    <w:rsid w:val="0091034A"/>
    <w:rsid w:val="0091089B"/>
    <w:rsid w:val="009109C6"/>
    <w:rsid w:val="00911192"/>
    <w:rsid w:val="0091143C"/>
    <w:rsid w:val="009115C4"/>
    <w:rsid w:val="009115DD"/>
    <w:rsid w:val="0091197C"/>
    <w:rsid w:val="009121AF"/>
    <w:rsid w:val="00912B35"/>
    <w:rsid w:val="00912DAE"/>
    <w:rsid w:val="009138AB"/>
    <w:rsid w:val="00914197"/>
    <w:rsid w:val="009142F1"/>
    <w:rsid w:val="009151D3"/>
    <w:rsid w:val="009155CE"/>
    <w:rsid w:val="00915866"/>
    <w:rsid w:val="0091597B"/>
    <w:rsid w:val="00915AC0"/>
    <w:rsid w:val="00915E27"/>
    <w:rsid w:val="00916031"/>
    <w:rsid w:val="009163AD"/>
    <w:rsid w:val="009169FB"/>
    <w:rsid w:val="00916B68"/>
    <w:rsid w:val="00916DA1"/>
    <w:rsid w:val="00917351"/>
    <w:rsid w:val="0091774F"/>
    <w:rsid w:val="00917941"/>
    <w:rsid w:val="00917C2A"/>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ADD"/>
    <w:rsid w:val="00922BB7"/>
    <w:rsid w:val="0092314A"/>
    <w:rsid w:val="00923225"/>
    <w:rsid w:val="0092372A"/>
    <w:rsid w:val="00923850"/>
    <w:rsid w:val="00923DFA"/>
    <w:rsid w:val="00923E80"/>
    <w:rsid w:val="00923F62"/>
    <w:rsid w:val="00924384"/>
    <w:rsid w:val="00924A16"/>
    <w:rsid w:val="00924B50"/>
    <w:rsid w:val="00924C45"/>
    <w:rsid w:val="00924F9C"/>
    <w:rsid w:val="00925488"/>
    <w:rsid w:val="009255A4"/>
    <w:rsid w:val="0092576A"/>
    <w:rsid w:val="00925D8E"/>
    <w:rsid w:val="009260F9"/>
    <w:rsid w:val="009262C6"/>
    <w:rsid w:val="009262CC"/>
    <w:rsid w:val="00926354"/>
    <w:rsid w:val="00926557"/>
    <w:rsid w:val="009265BB"/>
    <w:rsid w:val="00926E65"/>
    <w:rsid w:val="00926F25"/>
    <w:rsid w:val="00926F4F"/>
    <w:rsid w:val="0092719F"/>
    <w:rsid w:val="00927BE0"/>
    <w:rsid w:val="00927F0F"/>
    <w:rsid w:val="00927FD1"/>
    <w:rsid w:val="00930497"/>
    <w:rsid w:val="00930629"/>
    <w:rsid w:val="009309DE"/>
    <w:rsid w:val="00930AAA"/>
    <w:rsid w:val="00930E3E"/>
    <w:rsid w:val="009312C3"/>
    <w:rsid w:val="009313E3"/>
    <w:rsid w:val="00931AF9"/>
    <w:rsid w:val="00932800"/>
    <w:rsid w:val="00932BA8"/>
    <w:rsid w:val="009337C1"/>
    <w:rsid w:val="009339E5"/>
    <w:rsid w:val="00933DE9"/>
    <w:rsid w:val="00933DFA"/>
    <w:rsid w:val="00933F29"/>
    <w:rsid w:val="0093445F"/>
    <w:rsid w:val="0093460D"/>
    <w:rsid w:val="0093471F"/>
    <w:rsid w:val="009347F4"/>
    <w:rsid w:val="0093489D"/>
    <w:rsid w:val="00934B6A"/>
    <w:rsid w:val="00934C7B"/>
    <w:rsid w:val="00934CDC"/>
    <w:rsid w:val="0093535C"/>
    <w:rsid w:val="009356DD"/>
    <w:rsid w:val="00935892"/>
    <w:rsid w:val="00935C66"/>
    <w:rsid w:val="00935F7A"/>
    <w:rsid w:val="009364EB"/>
    <w:rsid w:val="00936F01"/>
    <w:rsid w:val="009374F0"/>
    <w:rsid w:val="00937540"/>
    <w:rsid w:val="0093786C"/>
    <w:rsid w:val="00937CC0"/>
    <w:rsid w:val="00940022"/>
    <w:rsid w:val="009406C7"/>
    <w:rsid w:val="009407FD"/>
    <w:rsid w:val="00940ADC"/>
    <w:rsid w:val="00940BDA"/>
    <w:rsid w:val="00940C0D"/>
    <w:rsid w:val="00941962"/>
    <w:rsid w:val="00941B33"/>
    <w:rsid w:val="00941C3F"/>
    <w:rsid w:val="00941DE3"/>
    <w:rsid w:val="00941EF0"/>
    <w:rsid w:val="00941F1F"/>
    <w:rsid w:val="00942482"/>
    <w:rsid w:val="009424FB"/>
    <w:rsid w:val="009426F3"/>
    <w:rsid w:val="00942AD4"/>
    <w:rsid w:val="00942F70"/>
    <w:rsid w:val="00942FDF"/>
    <w:rsid w:val="00943181"/>
    <w:rsid w:val="00943601"/>
    <w:rsid w:val="009437FA"/>
    <w:rsid w:val="0094382E"/>
    <w:rsid w:val="009438EE"/>
    <w:rsid w:val="00943A0C"/>
    <w:rsid w:val="00943EDA"/>
    <w:rsid w:val="00943EF4"/>
    <w:rsid w:val="0094466D"/>
    <w:rsid w:val="00944723"/>
    <w:rsid w:val="0094487E"/>
    <w:rsid w:val="00944AB1"/>
    <w:rsid w:val="00944E95"/>
    <w:rsid w:val="009450B2"/>
    <w:rsid w:val="0094555B"/>
    <w:rsid w:val="009465C9"/>
    <w:rsid w:val="00946A3B"/>
    <w:rsid w:val="00946B9D"/>
    <w:rsid w:val="009470DF"/>
    <w:rsid w:val="00947571"/>
    <w:rsid w:val="00947783"/>
    <w:rsid w:val="009477AC"/>
    <w:rsid w:val="009479F7"/>
    <w:rsid w:val="00947A9D"/>
    <w:rsid w:val="00947C87"/>
    <w:rsid w:val="00950963"/>
    <w:rsid w:val="00950C9B"/>
    <w:rsid w:val="00950CD5"/>
    <w:rsid w:val="00951388"/>
    <w:rsid w:val="00951472"/>
    <w:rsid w:val="0095216D"/>
    <w:rsid w:val="0095218D"/>
    <w:rsid w:val="009521BE"/>
    <w:rsid w:val="00952896"/>
    <w:rsid w:val="009529D7"/>
    <w:rsid w:val="00952A71"/>
    <w:rsid w:val="0095344F"/>
    <w:rsid w:val="00953DBA"/>
    <w:rsid w:val="00953F45"/>
    <w:rsid w:val="009540A3"/>
    <w:rsid w:val="009542D6"/>
    <w:rsid w:val="00954957"/>
    <w:rsid w:val="00954A4F"/>
    <w:rsid w:val="009552CC"/>
    <w:rsid w:val="009559C8"/>
    <w:rsid w:val="00955C3B"/>
    <w:rsid w:val="00955CBA"/>
    <w:rsid w:val="00956141"/>
    <w:rsid w:val="00956288"/>
    <w:rsid w:val="0095656E"/>
    <w:rsid w:val="009565FA"/>
    <w:rsid w:val="00956CBA"/>
    <w:rsid w:val="00956D66"/>
    <w:rsid w:val="0095733D"/>
    <w:rsid w:val="009574C8"/>
    <w:rsid w:val="009578AD"/>
    <w:rsid w:val="00957AE8"/>
    <w:rsid w:val="00957F2A"/>
    <w:rsid w:val="00957F3C"/>
    <w:rsid w:val="00960012"/>
    <w:rsid w:val="0096023D"/>
    <w:rsid w:val="00960A76"/>
    <w:rsid w:val="00960B5E"/>
    <w:rsid w:val="00960C6A"/>
    <w:rsid w:val="00960EB0"/>
    <w:rsid w:val="00960F3F"/>
    <w:rsid w:val="009611CD"/>
    <w:rsid w:val="009612E9"/>
    <w:rsid w:val="009615E3"/>
    <w:rsid w:val="009618FE"/>
    <w:rsid w:val="00961FDA"/>
    <w:rsid w:val="009622A6"/>
    <w:rsid w:val="00962520"/>
    <w:rsid w:val="009629A7"/>
    <w:rsid w:val="00962CA5"/>
    <w:rsid w:val="00962E12"/>
    <w:rsid w:val="00963207"/>
    <w:rsid w:val="00963AF0"/>
    <w:rsid w:val="00963BC7"/>
    <w:rsid w:val="00963C7C"/>
    <w:rsid w:val="00963CC1"/>
    <w:rsid w:val="00964D70"/>
    <w:rsid w:val="009657C2"/>
    <w:rsid w:val="009667FE"/>
    <w:rsid w:val="009669C2"/>
    <w:rsid w:val="00966D8C"/>
    <w:rsid w:val="00966FF0"/>
    <w:rsid w:val="00967BE7"/>
    <w:rsid w:val="00967D70"/>
    <w:rsid w:val="00967F30"/>
    <w:rsid w:val="00967F73"/>
    <w:rsid w:val="00967FE3"/>
    <w:rsid w:val="0097018E"/>
    <w:rsid w:val="0097047A"/>
    <w:rsid w:val="00970766"/>
    <w:rsid w:val="00970B58"/>
    <w:rsid w:val="0097111B"/>
    <w:rsid w:val="00971435"/>
    <w:rsid w:val="009716D6"/>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976"/>
    <w:rsid w:val="0097630E"/>
    <w:rsid w:val="00976BF6"/>
    <w:rsid w:val="00976C76"/>
    <w:rsid w:val="00976F0F"/>
    <w:rsid w:val="00976F90"/>
    <w:rsid w:val="00977622"/>
    <w:rsid w:val="00977710"/>
    <w:rsid w:val="00977BF2"/>
    <w:rsid w:val="00980747"/>
    <w:rsid w:val="00980D7C"/>
    <w:rsid w:val="009812F7"/>
    <w:rsid w:val="009818C5"/>
    <w:rsid w:val="0098196E"/>
    <w:rsid w:val="00981C4D"/>
    <w:rsid w:val="009823E2"/>
    <w:rsid w:val="00982615"/>
    <w:rsid w:val="00982634"/>
    <w:rsid w:val="00982BCC"/>
    <w:rsid w:val="0098368A"/>
    <w:rsid w:val="009848AA"/>
    <w:rsid w:val="00984C54"/>
    <w:rsid w:val="00984F29"/>
    <w:rsid w:val="009850BE"/>
    <w:rsid w:val="00985270"/>
    <w:rsid w:val="00985377"/>
    <w:rsid w:val="0098538A"/>
    <w:rsid w:val="009858FF"/>
    <w:rsid w:val="0098592E"/>
    <w:rsid w:val="00985A33"/>
    <w:rsid w:val="00985DA9"/>
    <w:rsid w:val="009861C4"/>
    <w:rsid w:val="0098623F"/>
    <w:rsid w:val="009866CB"/>
    <w:rsid w:val="00986B73"/>
    <w:rsid w:val="00986FF0"/>
    <w:rsid w:val="0098737D"/>
    <w:rsid w:val="009874E5"/>
    <w:rsid w:val="00987792"/>
    <w:rsid w:val="0098786B"/>
    <w:rsid w:val="00987881"/>
    <w:rsid w:val="00987AEE"/>
    <w:rsid w:val="00987AFF"/>
    <w:rsid w:val="00987CAD"/>
    <w:rsid w:val="00990338"/>
    <w:rsid w:val="0099063B"/>
    <w:rsid w:val="00990B32"/>
    <w:rsid w:val="00990BB2"/>
    <w:rsid w:val="00991019"/>
    <w:rsid w:val="0099102F"/>
    <w:rsid w:val="00991167"/>
    <w:rsid w:val="0099126E"/>
    <w:rsid w:val="0099188D"/>
    <w:rsid w:val="009918D1"/>
    <w:rsid w:val="00992273"/>
    <w:rsid w:val="00992788"/>
    <w:rsid w:val="00992A0F"/>
    <w:rsid w:val="00992ACA"/>
    <w:rsid w:val="00992F4A"/>
    <w:rsid w:val="0099301C"/>
    <w:rsid w:val="009931FF"/>
    <w:rsid w:val="0099367F"/>
    <w:rsid w:val="009936F4"/>
    <w:rsid w:val="00993C18"/>
    <w:rsid w:val="00994650"/>
    <w:rsid w:val="00994761"/>
    <w:rsid w:val="00994968"/>
    <w:rsid w:val="00994A15"/>
    <w:rsid w:val="00994AD0"/>
    <w:rsid w:val="009951F0"/>
    <w:rsid w:val="009952E5"/>
    <w:rsid w:val="009954FD"/>
    <w:rsid w:val="00995B43"/>
    <w:rsid w:val="00995D4B"/>
    <w:rsid w:val="0099612A"/>
    <w:rsid w:val="0099682D"/>
    <w:rsid w:val="00997BF7"/>
    <w:rsid w:val="00997C6B"/>
    <w:rsid w:val="00997C92"/>
    <w:rsid w:val="00997F05"/>
    <w:rsid w:val="00997FE1"/>
    <w:rsid w:val="009A0012"/>
    <w:rsid w:val="009A02B4"/>
    <w:rsid w:val="009A05E8"/>
    <w:rsid w:val="009A090D"/>
    <w:rsid w:val="009A15C9"/>
    <w:rsid w:val="009A1911"/>
    <w:rsid w:val="009A1CF9"/>
    <w:rsid w:val="009A203C"/>
    <w:rsid w:val="009A2401"/>
    <w:rsid w:val="009A25E1"/>
    <w:rsid w:val="009A26E2"/>
    <w:rsid w:val="009A274F"/>
    <w:rsid w:val="009A280B"/>
    <w:rsid w:val="009A2D76"/>
    <w:rsid w:val="009A30FA"/>
    <w:rsid w:val="009A3250"/>
    <w:rsid w:val="009A366D"/>
    <w:rsid w:val="009A367E"/>
    <w:rsid w:val="009A38BF"/>
    <w:rsid w:val="009A3FFD"/>
    <w:rsid w:val="009A41D3"/>
    <w:rsid w:val="009A479F"/>
    <w:rsid w:val="009A4DB0"/>
    <w:rsid w:val="009A4E28"/>
    <w:rsid w:val="009A4E46"/>
    <w:rsid w:val="009A5AD2"/>
    <w:rsid w:val="009A5B50"/>
    <w:rsid w:val="009A60E5"/>
    <w:rsid w:val="009A663B"/>
    <w:rsid w:val="009A67CC"/>
    <w:rsid w:val="009A6821"/>
    <w:rsid w:val="009A6A46"/>
    <w:rsid w:val="009A6B54"/>
    <w:rsid w:val="009A6B91"/>
    <w:rsid w:val="009A6D72"/>
    <w:rsid w:val="009A70E8"/>
    <w:rsid w:val="009A7138"/>
    <w:rsid w:val="009A7257"/>
    <w:rsid w:val="009A79E9"/>
    <w:rsid w:val="009A7A0D"/>
    <w:rsid w:val="009B0016"/>
    <w:rsid w:val="009B00D9"/>
    <w:rsid w:val="009B055A"/>
    <w:rsid w:val="009B0743"/>
    <w:rsid w:val="009B0814"/>
    <w:rsid w:val="009B106F"/>
    <w:rsid w:val="009B142D"/>
    <w:rsid w:val="009B1B3F"/>
    <w:rsid w:val="009B2364"/>
    <w:rsid w:val="009B356F"/>
    <w:rsid w:val="009B49FC"/>
    <w:rsid w:val="009B4B03"/>
    <w:rsid w:val="009B4F08"/>
    <w:rsid w:val="009B5FAF"/>
    <w:rsid w:val="009B618F"/>
    <w:rsid w:val="009B67D1"/>
    <w:rsid w:val="009B681A"/>
    <w:rsid w:val="009B70C0"/>
    <w:rsid w:val="009B75F0"/>
    <w:rsid w:val="009C0180"/>
    <w:rsid w:val="009C026B"/>
    <w:rsid w:val="009C0387"/>
    <w:rsid w:val="009C0630"/>
    <w:rsid w:val="009C0915"/>
    <w:rsid w:val="009C0AA3"/>
    <w:rsid w:val="009C12C8"/>
    <w:rsid w:val="009C142F"/>
    <w:rsid w:val="009C16DA"/>
    <w:rsid w:val="009C1707"/>
    <w:rsid w:val="009C18B9"/>
    <w:rsid w:val="009C1C05"/>
    <w:rsid w:val="009C31BA"/>
    <w:rsid w:val="009C34C8"/>
    <w:rsid w:val="009C36D7"/>
    <w:rsid w:val="009C3722"/>
    <w:rsid w:val="009C399D"/>
    <w:rsid w:val="009C4EC5"/>
    <w:rsid w:val="009C5061"/>
    <w:rsid w:val="009C518A"/>
    <w:rsid w:val="009C5293"/>
    <w:rsid w:val="009C5B27"/>
    <w:rsid w:val="009C5EFF"/>
    <w:rsid w:val="009C611F"/>
    <w:rsid w:val="009C640F"/>
    <w:rsid w:val="009C6F6E"/>
    <w:rsid w:val="009C7477"/>
    <w:rsid w:val="009C7E0A"/>
    <w:rsid w:val="009C7E1A"/>
    <w:rsid w:val="009D05EB"/>
    <w:rsid w:val="009D06B4"/>
    <w:rsid w:val="009D0836"/>
    <w:rsid w:val="009D0858"/>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817"/>
    <w:rsid w:val="009D5A8F"/>
    <w:rsid w:val="009D5BFD"/>
    <w:rsid w:val="009D66A1"/>
    <w:rsid w:val="009D6830"/>
    <w:rsid w:val="009D6B05"/>
    <w:rsid w:val="009D6D12"/>
    <w:rsid w:val="009D7414"/>
    <w:rsid w:val="009D7836"/>
    <w:rsid w:val="009D7C8D"/>
    <w:rsid w:val="009D7E34"/>
    <w:rsid w:val="009E1B0A"/>
    <w:rsid w:val="009E1E3C"/>
    <w:rsid w:val="009E24F0"/>
    <w:rsid w:val="009E252F"/>
    <w:rsid w:val="009E2A37"/>
    <w:rsid w:val="009E2CF8"/>
    <w:rsid w:val="009E2E81"/>
    <w:rsid w:val="009E2FD2"/>
    <w:rsid w:val="009E32C2"/>
    <w:rsid w:val="009E358C"/>
    <w:rsid w:val="009E3A7D"/>
    <w:rsid w:val="009E3AD1"/>
    <w:rsid w:val="009E3B49"/>
    <w:rsid w:val="009E3BE7"/>
    <w:rsid w:val="009E3E34"/>
    <w:rsid w:val="009E4AE3"/>
    <w:rsid w:val="009E4B5C"/>
    <w:rsid w:val="009E4E21"/>
    <w:rsid w:val="009E4E38"/>
    <w:rsid w:val="009E4ED1"/>
    <w:rsid w:val="009E50AE"/>
    <w:rsid w:val="009E516A"/>
    <w:rsid w:val="009E57B9"/>
    <w:rsid w:val="009E5B2F"/>
    <w:rsid w:val="009E5C74"/>
    <w:rsid w:val="009E5E59"/>
    <w:rsid w:val="009E6653"/>
    <w:rsid w:val="009E69FC"/>
    <w:rsid w:val="009E6EEE"/>
    <w:rsid w:val="009E7259"/>
    <w:rsid w:val="009E7A62"/>
    <w:rsid w:val="009E7D65"/>
    <w:rsid w:val="009E7F7F"/>
    <w:rsid w:val="009F03DD"/>
    <w:rsid w:val="009F0501"/>
    <w:rsid w:val="009F072F"/>
    <w:rsid w:val="009F0786"/>
    <w:rsid w:val="009F14B4"/>
    <w:rsid w:val="009F1CBA"/>
    <w:rsid w:val="009F267C"/>
    <w:rsid w:val="009F28D6"/>
    <w:rsid w:val="009F2BFE"/>
    <w:rsid w:val="009F2C0B"/>
    <w:rsid w:val="009F2CDD"/>
    <w:rsid w:val="009F2E3F"/>
    <w:rsid w:val="009F2E61"/>
    <w:rsid w:val="009F2E8D"/>
    <w:rsid w:val="009F3122"/>
    <w:rsid w:val="009F3D3D"/>
    <w:rsid w:val="009F3F85"/>
    <w:rsid w:val="009F4549"/>
    <w:rsid w:val="009F48DE"/>
    <w:rsid w:val="009F4A80"/>
    <w:rsid w:val="009F4EB9"/>
    <w:rsid w:val="009F5339"/>
    <w:rsid w:val="009F54C7"/>
    <w:rsid w:val="009F568B"/>
    <w:rsid w:val="009F5A4E"/>
    <w:rsid w:val="009F5AC5"/>
    <w:rsid w:val="009F61AF"/>
    <w:rsid w:val="009F6209"/>
    <w:rsid w:val="009F73AA"/>
    <w:rsid w:val="009F7BA8"/>
    <w:rsid w:val="009F7E65"/>
    <w:rsid w:val="00A0081B"/>
    <w:rsid w:val="00A00A3E"/>
    <w:rsid w:val="00A00B72"/>
    <w:rsid w:val="00A00FDA"/>
    <w:rsid w:val="00A01FF6"/>
    <w:rsid w:val="00A02C85"/>
    <w:rsid w:val="00A02D0F"/>
    <w:rsid w:val="00A02E32"/>
    <w:rsid w:val="00A03090"/>
    <w:rsid w:val="00A03260"/>
    <w:rsid w:val="00A033DF"/>
    <w:rsid w:val="00A039B9"/>
    <w:rsid w:val="00A041D8"/>
    <w:rsid w:val="00A0486E"/>
    <w:rsid w:val="00A05239"/>
    <w:rsid w:val="00A055DD"/>
    <w:rsid w:val="00A060E1"/>
    <w:rsid w:val="00A06475"/>
    <w:rsid w:val="00A064AC"/>
    <w:rsid w:val="00A06D06"/>
    <w:rsid w:val="00A074FF"/>
    <w:rsid w:val="00A077CA"/>
    <w:rsid w:val="00A07D52"/>
    <w:rsid w:val="00A07E5A"/>
    <w:rsid w:val="00A10418"/>
    <w:rsid w:val="00A106E3"/>
    <w:rsid w:val="00A107FF"/>
    <w:rsid w:val="00A10ACC"/>
    <w:rsid w:val="00A10CCB"/>
    <w:rsid w:val="00A11170"/>
    <w:rsid w:val="00A1166E"/>
    <w:rsid w:val="00A11693"/>
    <w:rsid w:val="00A116CA"/>
    <w:rsid w:val="00A11A69"/>
    <w:rsid w:val="00A11EB3"/>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5F5"/>
    <w:rsid w:val="00A14748"/>
    <w:rsid w:val="00A14892"/>
    <w:rsid w:val="00A14C71"/>
    <w:rsid w:val="00A14DEE"/>
    <w:rsid w:val="00A1573A"/>
    <w:rsid w:val="00A158CE"/>
    <w:rsid w:val="00A15E12"/>
    <w:rsid w:val="00A15F2E"/>
    <w:rsid w:val="00A16119"/>
    <w:rsid w:val="00A16135"/>
    <w:rsid w:val="00A17099"/>
    <w:rsid w:val="00A171BD"/>
    <w:rsid w:val="00A174C2"/>
    <w:rsid w:val="00A17572"/>
    <w:rsid w:val="00A17826"/>
    <w:rsid w:val="00A179CD"/>
    <w:rsid w:val="00A17E98"/>
    <w:rsid w:val="00A20048"/>
    <w:rsid w:val="00A2053E"/>
    <w:rsid w:val="00A20D95"/>
    <w:rsid w:val="00A22349"/>
    <w:rsid w:val="00A225D4"/>
    <w:rsid w:val="00A23031"/>
    <w:rsid w:val="00A2362C"/>
    <w:rsid w:val="00A23756"/>
    <w:rsid w:val="00A23BF7"/>
    <w:rsid w:val="00A23F79"/>
    <w:rsid w:val="00A2423A"/>
    <w:rsid w:val="00A24972"/>
    <w:rsid w:val="00A254E9"/>
    <w:rsid w:val="00A25554"/>
    <w:rsid w:val="00A258C2"/>
    <w:rsid w:val="00A25B5A"/>
    <w:rsid w:val="00A25D2C"/>
    <w:rsid w:val="00A25E83"/>
    <w:rsid w:val="00A26CA2"/>
    <w:rsid w:val="00A2701E"/>
    <w:rsid w:val="00A272E8"/>
    <w:rsid w:val="00A27BD8"/>
    <w:rsid w:val="00A3018E"/>
    <w:rsid w:val="00A30302"/>
    <w:rsid w:val="00A30444"/>
    <w:rsid w:val="00A307E4"/>
    <w:rsid w:val="00A30C22"/>
    <w:rsid w:val="00A30CE5"/>
    <w:rsid w:val="00A30D83"/>
    <w:rsid w:val="00A30E64"/>
    <w:rsid w:val="00A314F2"/>
    <w:rsid w:val="00A31522"/>
    <w:rsid w:val="00A3159F"/>
    <w:rsid w:val="00A31E85"/>
    <w:rsid w:val="00A31F9E"/>
    <w:rsid w:val="00A32199"/>
    <w:rsid w:val="00A32228"/>
    <w:rsid w:val="00A323E8"/>
    <w:rsid w:val="00A324BD"/>
    <w:rsid w:val="00A32AF1"/>
    <w:rsid w:val="00A32E09"/>
    <w:rsid w:val="00A32F64"/>
    <w:rsid w:val="00A3352B"/>
    <w:rsid w:val="00A34416"/>
    <w:rsid w:val="00A34598"/>
    <w:rsid w:val="00A34A3A"/>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37FB6"/>
    <w:rsid w:val="00A4012B"/>
    <w:rsid w:val="00A40346"/>
    <w:rsid w:val="00A40377"/>
    <w:rsid w:val="00A403E0"/>
    <w:rsid w:val="00A4066A"/>
    <w:rsid w:val="00A406A3"/>
    <w:rsid w:val="00A40A9B"/>
    <w:rsid w:val="00A40C92"/>
    <w:rsid w:val="00A40D65"/>
    <w:rsid w:val="00A40FD5"/>
    <w:rsid w:val="00A41AE7"/>
    <w:rsid w:val="00A41C82"/>
    <w:rsid w:val="00A420D8"/>
    <w:rsid w:val="00A42A42"/>
    <w:rsid w:val="00A42BD7"/>
    <w:rsid w:val="00A42E16"/>
    <w:rsid w:val="00A43131"/>
    <w:rsid w:val="00A4346C"/>
    <w:rsid w:val="00A43895"/>
    <w:rsid w:val="00A43898"/>
    <w:rsid w:val="00A43BAA"/>
    <w:rsid w:val="00A44123"/>
    <w:rsid w:val="00A44AAE"/>
    <w:rsid w:val="00A44F2D"/>
    <w:rsid w:val="00A453E0"/>
    <w:rsid w:val="00A45AD1"/>
    <w:rsid w:val="00A45E89"/>
    <w:rsid w:val="00A46604"/>
    <w:rsid w:val="00A46799"/>
    <w:rsid w:val="00A46C4C"/>
    <w:rsid w:val="00A47866"/>
    <w:rsid w:val="00A47BD8"/>
    <w:rsid w:val="00A47D03"/>
    <w:rsid w:val="00A47ECE"/>
    <w:rsid w:val="00A505AE"/>
    <w:rsid w:val="00A506E6"/>
    <w:rsid w:val="00A50912"/>
    <w:rsid w:val="00A509DC"/>
    <w:rsid w:val="00A50BE3"/>
    <w:rsid w:val="00A50DE1"/>
    <w:rsid w:val="00A50F0F"/>
    <w:rsid w:val="00A51173"/>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54A9"/>
    <w:rsid w:val="00A5586C"/>
    <w:rsid w:val="00A55A6A"/>
    <w:rsid w:val="00A560A5"/>
    <w:rsid w:val="00A569FA"/>
    <w:rsid w:val="00A56E2A"/>
    <w:rsid w:val="00A56EDB"/>
    <w:rsid w:val="00A60268"/>
    <w:rsid w:val="00A602C9"/>
    <w:rsid w:val="00A60701"/>
    <w:rsid w:val="00A60BDE"/>
    <w:rsid w:val="00A61006"/>
    <w:rsid w:val="00A61337"/>
    <w:rsid w:val="00A6139A"/>
    <w:rsid w:val="00A617A9"/>
    <w:rsid w:val="00A6196E"/>
    <w:rsid w:val="00A61BD7"/>
    <w:rsid w:val="00A61CD5"/>
    <w:rsid w:val="00A621F0"/>
    <w:rsid w:val="00A62347"/>
    <w:rsid w:val="00A6239D"/>
    <w:rsid w:val="00A6255C"/>
    <w:rsid w:val="00A625EB"/>
    <w:rsid w:val="00A6278E"/>
    <w:rsid w:val="00A62EFC"/>
    <w:rsid w:val="00A62F38"/>
    <w:rsid w:val="00A63096"/>
    <w:rsid w:val="00A630E2"/>
    <w:rsid w:val="00A633B8"/>
    <w:rsid w:val="00A63529"/>
    <w:rsid w:val="00A63D25"/>
    <w:rsid w:val="00A64343"/>
    <w:rsid w:val="00A6464B"/>
    <w:rsid w:val="00A6470E"/>
    <w:rsid w:val="00A649DB"/>
    <w:rsid w:val="00A64ADC"/>
    <w:rsid w:val="00A64F06"/>
    <w:rsid w:val="00A651AB"/>
    <w:rsid w:val="00A6559D"/>
    <w:rsid w:val="00A65794"/>
    <w:rsid w:val="00A659E6"/>
    <w:rsid w:val="00A65BC9"/>
    <w:rsid w:val="00A6603F"/>
    <w:rsid w:val="00A6616D"/>
    <w:rsid w:val="00A66577"/>
    <w:rsid w:val="00A665F2"/>
    <w:rsid w:val="00A667D7"/>
    <w:rsid w:val="00A66878"/>
    <w:rsid w:val="00A66BC4"/>
    <w:rsid w:val="00A67C23"/>
    <w:rsid w:val="00A67CC1"/>
    <w:rsid w:val="00A67D52"/>
    <w:rsid w:val="00A7090B"/>
    <w:rsid w:val="00A70D48"/>
    <w:rsid w:val="00A71D26"/>
    <w:rsid w:val="00A71E5F"/>
    <w:rsid w:val="00A72430"/>
    <w:rsid w:val="00A72AA6"/>
    <w:rsid w:val="00A72AE0"/>
    <w:rsid w:val="00A7341D"/>
    <w:rsid w:val="00A73EB1"/>
    <w:rsid w:val="00A74653"/>
    <w:rsid w:val="00A748D8"/>
    <w:rsid w:val="00A750BA"/>
    <w:rsid w:val="00A752CE"/>
    <w:rsid w:val="00A757C5"/>
    <w:rsid w:val="00A75A8B"/>
    <w:rsid w:val="00A75F6B"/>
    <w:rsid w:val="00A766C4"/>
    <w:rsid w:val="00A767A7"/>
    <w:rsid w:val="00A7690B"/>
    <w:rsid w:val="00A76941"/>
    <w:rsid w:val="00A76D29"/>
    <w:rsid w:val="00A76DF1"/>
    <w:rsid w:val="00A77155"/>
    <w:rsid w:val="00A778A1"/>
    <w:rsid w:val="00A779D0"/>
    <w:rsid w:val="00A80747"/>
    <w:rsid w:val="00A807F2"/>
    <w:rsid w:val="00A80990"/>
    <w:rsid w:val="00A8135A"/>
    <w:rsid w:val="00A81980"/>
    <w:rsid w:val="00A824C5"/>
    <w:rsid w:val="00A82754"/>
    <w:rsid w:val="00A827B7"/>
    <w:rsid w:val="00A8299E"/>
    <w:rsid w:val="00A829D5"/>
    <w:rsid w:val="00A82A0C"/>
    <w:rsid w:val="00A82CA2"/>
    <w:rsid w:val="00A82D4A"/>
    <w:rsid w:val="00A8319E"/>
    <w:rsid w:val="00A833FC"/>
    <w:rsid w:val="00A83524"/>
    <w:rsid w:val="00A838FB"/>
    <w:rsid w:val="00A83A98"/>
    <w:rsid w:val="00A83C1F"/>
    <w:rsid w:val="00A84290"/>
    <w:rsid w:val="00A84B26"/>
    <w:rsid w:val="00A854D3"/>
    <w:rsid w:val="00A8559A"/>
    <w:rsid w:val="00A85719"/>
    <w:rsid w:val="00A85854"/>
    <w:rsid w:val="00A8655D"/>
    <w:rsid w:val="00A86BF5"/>
    <w:rsid w:val="00A86EC0"/>
    <w:rsid w:val="00A87496"/>
    <w:rsid w:val="00A87E2B"/>
    <w:rsid w:val="00A90448"/>
    <w:rsid w:val="00A90464"/>
    <w:rsid w:val="00A905B6"/>
    <w:rsid w:val="00A9096C"/>
    <w:rsid w:val="00A90AF3"/>
    <w:rsid w:val="00A90F95"/>
    <w:rsid w:val="00A91028"/>
    <w:rsid w:val="00A912B5"/>
    <w:rsid w:val="00A914F8"/>
    <w:rsid w:val="00A91826"/>
    <w:rsid w:val="00A919D8"/>
    <w:rsid w:val="00A91A0D"/>
    <w:rsid w:val="00A92499"/>
    <w:rsid w:val="00A925E9"/>
    <w:rsid w:val="00A929D4"/>
    <w:rsid w:val="00A92F84"/>
    <w:rsid w:val="00A93797"/>
    <w:rsid w:val="00A94114"/>
    <w:rsid w:val="00A9440E"/>
    <w:rsid w:val="00A947C9"/>
    <w:rsid w:val="00A948B2"/>
    <w:rsid w:val="00A94B57"/>
    <w:rsid w:val="00A95647"/>
    <w:rsid w:val="00A95991"/>
    <w:rsid w:val="00A95C65"/>
    <w:rsid w:val="00A96685"/>
    <w:rsid w:val="00A967BA"/>
    <w:rsid w:val="00A969FB"/>
    <w:rsid w:val="00A97615"/>
    <w:rsid w:val="00A97A96"/>
    <w:rsid w:val="00A97ACC"/>
    <w:rsid w:val="00A97BEB"/>
    <w:rsid w:val="00A97E70"/>
    <w:rsid w:val="00A97FBD"/>
    <w:rsid w:val="00AA0C81"/>
    <w:rsid w:val="00AA0DBD"/>
    <w:rsid w:val="00AA0F1C"/>
    <w:rsid w:val="00AA1149"/>
    <w:rsid w:val="00AA14D3"/>
    <w:rsid w:val="00AA1F14"/>
    <w:rsid w:val="00AA2041"/>
    <w:rsid w:val="00AA2407"/>
    <w:rsid w:val="00AA2EC8"/>
    <w:rsid w:val="00AA2FE9"/>
    <w:rsid w:val="00AA3457"/>
    <w:rsid w:val="00AA39D8"/>
    <w:rsid w:val="00AA3B8F"/>
    <w:rsid w:val="00AA3D05"/>
    <w:rsid w:val="00AA3EBA"/>
    <w:rsid w:val="00AA3F85"/>
    <w:rsid w:val="00AA45BF"/>
    <w:rsid w:val="00AA4748"/>
    <w:rsid w:val="00AA4ACC"/>
    <w:rsid w:val="00AA5074"/>
    <w:rsid w:val="00AA5342"/>
    <w:rsid w:val="00AA54F5"/>
    <w:rsid w:val="00AA550A"/>
    <w:rsid w:val="00AA5972"/>
    <w:rsid w:val="00AA5C99"/>
    <w:rsid w:val="00AA5D97"/>
    <w:rsid w:val="00AA5E6C"/>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AE"/>
    <w:rsid w:val="00AB372B"/>
    <w:rsid w:val="00AB3BF4"/>
    <w:rsid w:val="00AB40EC"/>
    <w:rsid w:val="00AB449D"/>
    <w:rsid w:val="00AB4D97"/>
    <w:rsid w:val="00AB4F52"/>
    <w:rsid w:val="00AB5445"/>
    <w:rsid w:val="00AB5614"/>
    <w:rsid w:val="00AB56D7"/>
    <w:rsid w:val="00AB5854"/>
    <w:rsid w:val="00AB5A67"/>
    <w:rsid w:val="00AB61B4"/>
    <w:rsid w:val="00AB61C3"/>
    <w:rsid w:val="00AB65AD"/>
    <w:rsid w:val="00AB6C88"/>
    <w:rsid w:val="00AB6D47"/>
    <w:rsid w:val="00AB70EE"/>
    <w:rsid w:val="00AB7942"/>
    <w:rsid w:val="00AB7E4C"/>
    <w:rsid w:val="00AC00F6"/>
    <w:rsid w:val="00AC0260"/>
    <w:rsid w:val="00AC0525"/>
    <w:rsid w:val="00AC061A"/>
    <w:rsid w:val="00AC0866"/>
    <w:rsid w:val="00AC0D50"/>
    <w:rsid w:val="00AC0F8A"/>
    <w:rsid w:val="00AC13BB"/>
    <w:rsid w:val="00AC13D3"/>
    <w:rsid w:val="00AC1829"/>
    <w:rsid w:val="00AC1D7F"/>
    <w:rsid w:val="00AC1EC3"/>
    <w:rsid w:val="00AC28CC"/>
    <w:rsid w:val="00AC2D68"/>
    <w:rsid w:val="00AC30A1"/>
    <w:rsid w:val="00AC317C"/>
    <w:rsid w:val="00AC3891"/>
    <w:rsid w:val="00AC3900"/>
    <w:rsid w:val="00AC3AAE"/>
    <w:rsid w:val="00AC3C21"/>
    <w:rsid w:val="00AC45B0"/>
    <w:rsid w:val="00AC4896"/>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D102F"/>
    <w:rsid w:val="00AD12E8"/>
    <w:rsid w:val="00AD151B"/>
    <w:rsid w:val="00AD15F4"/>
    <w:rsid w:val="00AD193B"/>
    <w:rsid w:val="00AD1B13"/>
    <w:rsid w:val="00AD1E70"/>
    <w:rsid w:val="00AD20DF"/>
    <w:rsid w:val="00AD2296"/>
    <w:rsid w:val="00AD2B5A"/>
    <w:rsid w:val="00AD2DD8"/>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5EF7"/>
    <w:rsid w:val="00AD6196"/>
    <w:rsid w:val="00AD63D0"/>
    <w:rsid w:val="00AD677C"/>
    <w:rsid w:val="00AD688F"/>
    <w:rsid w:val="00AD693C"/>
    <w:rsid w:val="00AD69F4"/>
    <w:rsid w:val="00AD6E13"/>
    <w:rsid w:val="00AD76CA"/>
    <w:rsid w:val="00AD76FC"/>
    <w:rsid w:val="00AD7E95"/>
    <w:rsid w:val="00AD7EEC"/>
    <w:rsid w:val="00AE01EC"/>
    <w:rsid w:val="00AE065C"/>
    <w:rsid w:val="00AE0CC9"/>
    <w:rsid w:val="00AE1B40"/>
    <w:rsid w:val="00AE1C9F"/>
    <w:rsid w:val="00AE2327"/>
    <w:rsid w:val="00AE2348"/>
    <w:rsid w:val="00AE2715"/>
    <w:rsid w:val="00AE2760"/>
    <w:rsid w:val="00AE2BEE"/>
    <w:rsid w:val="00AE2E18"/>
    <w:rsid w:val="00AE3873"/>
    <w:rsid w:val="00AE3D24"/>
    <w:rsid w:val="00AE3F2A"/>
    <w:rsid w:val="00AE4417"/>
    <w:rsid w:val="00AE4421"/>
    <w:rsid w:val="00AE51B8"/>
    <w:rsid w:val="00AE5355"/>
    <w:rsid w:val="00AE5573"/>
    <w:rsid w:val="00AE569D"/>
    <w:rsid w:val="00AE572F"/>
    <w:rsid w:val="00AE577A"/>
    <w:rsid w:val="00AE5C4E"/>
    <w:rsid w:val="00AE5FD1"/>
    <w:rsid w:val="00AE67EC"/>
    <w:rsid w:val="00AE6B4A"/>
    <w:rsid w:val="00AE6BD2"/>
    <w:rsid w:val="00AE7DDA"/>
    <w:rsid w:val="00AE7F8F"/>
    <w:rsid w:val="00AF02AA"/>
    <w:rsid w:val="00AF034F"/>
    <w:rsid w:val="00AF0CE7"/>
    <w:rsid w:val="00AF0F34"/>
    <w:rsid w:val="00AF13F9"/>
    <w:rsid w:val="00AF146F"/>
    <w:rsid w:val="00AF162E"/>
    <w:rsid w:val="00AF1889"/>
    <w:rsid w:val="00AF1CD2"/>
    <w:rsid w:val="00AF1DF5"/>
    <w:rsid w:val="00AF1E7A"/>
    <w:rsid w:val="00AF1F91"/>
    <w:rsid w:val="00AF2437"/>
    <w:rsid w:val="00AF2A92"/>
    <w:rsid w:val="00AF2AC4"/>
    <w:rsid w:val="00AF2F71"/>
    <w:rsid w:val="00AF3116"/>
    <w:rsid w:val="00AF3479"/>
    <w:rsid w:val="00AF3CA2"/>
    <w:rsid w:val="00AF3EFE"/>
    <w:rsid w:val="00AF4007"/>
    <w:rsid w:val="00AF406E"/>
    <w:rsid w:val="00AF4274"/>
    <w:rsid w:val="00AF4B22"/>
    <w:rsid w:val="00AF5550"/>
    <w:rsid w:val="00AF5755"/>
    <w:rsid w:val="00AF5B68"/>
    <w:rsid w:val="00AF5E48"/>
    <w:rsid w:val="00AF714C"/>
    <w:rsid w:val="00AF788F"/>
    <w:rsid w:val="00AF795C"/>
    <w:rsid w:val="00AF7F51"/>
    <w:rsid w:val="00B00134"/>
    <w:rsid w:val="00B002F3"/>
    <w:rsid w:val="00B0199F"/>
    <w:rsid w:val="00B01C90"/>
    <w:rsid w:val="00B01D31"/>
    <w:rsid w:val="00B01F1F"/>
    <w:rsid w:val="00B02021"/>
    <w:rsid w:val="00B02311"/>
    <w:rsid w:val="00B0281D"/>
    <w:rsid w:val="00B02BC3"/>
    <w:rsid w:val="00B02E35"/>
    <w:rsid w:val="00B02F5B"/>
    <w:rsid w:val="00B033E7"/>
    <w:rsid w:val="00B0344E"/>
    <w:rsid w:val="00B03B2C"/>
    <w:rsid w:val="00B03B8C"/>
    <w:rsid w:val="00B03C88"/>
    <w:rsid w:val="00B04115"/>
    <w:rsid w:val="00B04237"/>
    <w:rsid w:val="00B04421"/>
    <w:rsid w:val="00B045B4"/>
    <w:rsid w:val="00B046B4"/>
    <w:rsid w:val="00B04A7A"/>
    <w:rsid w:val="00B04EFB"/>
    <w:rsid w:val="00B04FF9"/>
    <w:rsid w:val="00B0539B"/>
    <w:rsid w:val="00B05577"/>
    <w:rsid w:val="00B059DA"/>
    <w:rsid w:val="00B059F7"/>
    <w:rsid w:val="00B05C9D"/>
    <w:rsid w:val="00B05DB5"/>
    <w:rsid w:val="00B06D49"/>
    <w:rsid w:val="00B06F4A"/>
    <w:rsid w:val="00B07261"/>
    <w:rsid w:val="00B07467"/>
    <w:rsid w:val="00B10427"/>
    <w:rsid w:val="00B11D3F"/>
    <w:rsid w:val="00B126F7"/>
    <w:rsid w:val="00B12A03"/>
    <w:rsid w:val="00B140CE"/>
    <w:rsid w:val="00B143A4"/>
    <w:rsid w:val="00B14550"/>
    <w:rsid w:val="00B147C3"/>
    <w:rsid w:val="00B15876"/>
    <w:rsid w:val="00B15A06"/>
    <w:rsid w:val="00B15A55"/>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CE"/>
    <w:rsid w:val="00B17CF4"/>
    <w:rsid w:val="00B17DF6"/>
    <w:rsid w:val="00B17E7F"/>
    <w:rsid w:val="00B20BE0"/>
    <w:rsid w:val="00B21067"/>
    <w:rsid w:val="00B21262"/>
    <w:rsid w:val="00B21A8A"/>
    <w:rsid w:val="00B21DA9"/>
    <w:rsid w:val="00B21F22"/>
    <w:rsid w:val="00B2228C"/>
    <w:rsid w:val="00B226C2"/>
    <w:rsid w:val="00B2270A"/>
    <w:rsid w:val="00B233BE"/>
    <w:rsid w:val="00B233E6"/>
    <w:rsid w:val="00B23617"/>
    <w:rsid w:val="00B24C4A"/>
    <w:rsid w:val="00B25162"/>
    <w:rsid w:val="00B25426"/>
    <w:rsid w:val="00B25AA2"/>
    <w:rsid w:val="00B25B82"/>
    <w:rsid w:val="00B25C9D"/>
    <w:rsid w:val="00B25CEE"/>
    <w:rsid w:val="00B2612E"/>
    <w:rsid w:val="00B26427"/>
    <w:rsid w:val="00B267E8"/>
    <w:rsid w:val="00B27308"/>
    <w:rsid w:val="00B27352"/>
    <w:rsid w:val="00B2768F"/>
    <w:rsid w:val="00B27AFF"/>
    <w:rsid w:val="00B27DD6"/>
    <w:rsid w:val="00B304E2"/>
    <w:rsid w:val="00B30558"/>
    <w:rsid w:val="00B30861"/>
    <w:rsid w:val="00B311AF"/>
    <w:rsid w:val="00B31754"/>
    <w:rsid w:val="00B319C9"/>
    <w:rsid w:val="00B31FC9"/>
    <w:rsid w:val="00B32235"/>
    <w:rsid w:val="00B3260B"/>
    <w:rsid w:val="00B328A1"/>
    <w:rsid w:val="00B328B7"/>
    <w:rsid w:val="00B32AEA"/>
    <w:rsid w:val="00B3328F"/>
    <w:rsid w:val="00B3387E"/>
    <w:rsid w:val="00B3415C"/>
    <w:rsid w:val="00B347B3"/>
    <w:rsid w:val="00B34845"/>
    <w:rsid w:val="00B34EF4"/>
    <w:rsid w:val="00B351C7"/>
    <w:rsid w:val="00B35501"/>
    <w:rsid w:val="00B359AD"/>
    <w:rsid w:val="00B36710"/>
    <w:rsid w:val="00B3790F"/>
    <w:rsid w:val="00B37950"/>
    <w:rsid w:val="00B37B58"/>
    <w:rsid w:val="00B37E14"/>
    <w:rsid w:val="00B37F29"/>
    <w:rsid w:val="00B400DF"/>
    <w:rsid w:val="00B4013E"/>
    <w:rsid w:val="00B4026E"/>
    <w:rsid w:val="00B40AD8"/>
    <w:rsid w:val="00B40F37"/>
    <w:rsid w:val="00B4124B"/>
    <w:rsid w:val="00B41B04"/>
    <w:rsid w:val="00B41BD2"/>
    <w:rsid w:val="00B41C3B"/>
    <w:rsid w:val="00B41DFB"/>
    <w:rsid w:val="00B4203C"/>
    <w:rsid w:val="00B420BB"/>
    <w:rsid w:val="00B423C0"/>
    <w:rsid w:val="00B42BD9"/>
    <w:rsid w:val="00B4362D"/>
    <w:rsid w:val="00B43686"/>
    <w:rsid w:val="00B43B84"/>
    <w:rsid w:val="00B44269"/>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8D7"/>
    <w:rsid w:val="00B47BD8"/>
    <w:rsid w:val="00B47CEC"/>
    <w:rsid w:val="00B500CE"/>
    <w:rsid w:val="00B5026B"/>
    <w:rsid w:val="00B50380"/>
    <w:rsid w:val="00B51072"/>
    <w:rsid w:val="00B51305"/>
    <w:rsid w:val="00B5137F"/>
    <w:rsid w:val="00B51BE5"/>
    <w:rsid w:val="00B51DE9"/>
    <w:rsid w:val="00B51E5E"/>
    <w:rsid w:val="00B51F48"/>
    <w:rsid w:val="00B520BD"/>
    <w:rsid w:val="00B524B6"/>
    <w:rsid w:val="00B5287C"/>
    <w:rsid w:val="00B52A45"/>
    <w:rsid w:val="00B52C93"/>
    <w:rsid w:val="00B52F7A"/>
    <w:rsid w:val="00B53BF7"/>
    <w:rsid w:val="00B53D89"/>
    <w:rsid w:val="00B53EBD"/>
    <w:rsid w:val="00B5401D"/>
    <w:rsid w:val="00B54024"/>
    <w:rsid w:val="00B54151"/>
    <w:rsid w:val="00B5444F"/>
    <w:rsid w:val="00B547B3"/>
    <w:rsid w:val="00B54C28"/>
    <w:rsid w:val="00B54E6E"/>
    <w:rsid w:val="00B55D75"/>
    <w:rsid w:val="00B55DBF"/>
    <w:rsid w:val="00B56259"/>
    <w:rsid w:val="00B56B48"/>
    <w:rsid w:val="00B5719A"/>
    <w:rsid w:val="00B5728B"/>
    <w:rsid w:val="00B57479"/>
    <w:rsid w:val="00B57CE2"/>
    <w:rsid w:val="00B57CF0"/>
    <w:rsid w:val="00B57E79"/>
    <w:rsid w:val="00B57F84"/>
    <w:rsid w:val="00B57FEA"/>
    <w:rsid w:val="00B6061D"/>
    <w:rsid w:val="00B615B5"/>
    <w:rsid w:val="00B616D6"/>
    <w:rsid w:val="00B61842"/>
    <w:rsid w:val="00B61D8F"/>
    <w:rsid w:val="00B62153"/>
    <w:rsid w:val="00B62654"/>
    <w:rsid w:val="00B63089"/>
    <w:rsid w:val="00B63212"/>
    <w:rsid w:val="00B6390D"/>
    <w:rsid w:val="00B639B7"/>
    <w:rsid w:val="00B63ED8"/>
    <w:rsid w:val="00B641EB"/>
    <w:rsid w:val="00B6487A"/>
    <w:rsid w:val="00B64A51"/>
    <w:rsid w:val="00B64B92"/>
    <w:rsid w:val="00B64CDC"/>
    <w:rsid w:val="00B653D9"/>
    <w:rsid w:val="00B654C1"/>
    <w:rsid w:val="00B655B4"/>
    <w:rsid w:val="00B66073"/>
    <w:rsid w:val="00B660B2"/>
    <w:rsid w:val="00B6640B"/>
    <w:rsid w:val="00B66643"/>
    <w:rsid w:val="00B66BCD"/>
    <w:rsid w:val="00B66C39"/>
    <w:rsid w:val="00B66F5D"/>
    <w:rsid w:val="00B6765D"/>
    <w:rsid w:val="00B6797E"/>
    <w:rsid w:val="00B679EC"/>
    <w:rsid w:val="00B67BA1"/>
    <w:rsid w:val="00B67DA1"/>
    <w:rsid w:val="00B67E7D"/>
    <w:rsid w:val="00B70411"/>
    <w:rsid w:val="00B7045F"/>
    <w:rsid w:val="00B705A4"/>
    <w:rsid w:val="00B70D13"/>
    <w:rsid w:val="00B70EF5"/>
    <w:rsid w:val="00B7171D"/>
    <w:rsid w:val="00B71782"/>
    <w:rsid w:val="00B71C22"/>
    <w:rsid w:val="00B71DE5"/>
    <w:rsid w:val="00B71FD7"/>
    <w:rsid w:val="00B721AF"/>
    <w:rsid w:val="00B72305"/>
    <w:rsid w:val="00B726B9"/>
    <w:rsid w:val="00B72994"/>
    <w:rsid w:val="00B72E37"/>
    <w:rsid w:val="00B72F3B"/>
    <w:rsid w:val="00B7326B"/>
    <w:rsid w:val="00B736C5"/>
    <w:rsid w:val="00B73A23"/>
    <w:rsid w:val="00B73A31"/>
    <w:rsid w:val="00B73A7F"/>
    <w:rsid w:val="00B73E86"/>
    <w:rsid w:val="00B740C1"/>
    <w:rsid w:val="00B742B6"/>
    <w:rsid w:val="00B743E6"/>
    <w:rsid w:val="00B7495C"/>
    <w:rsid w:val="00B74C1E"/>
    <w:rsid w:val="00B74FEC"/>
    <w:rsid w:val="00B750D9"/>
    <w:rsid w:val="00B7516E"/>
    <w:rsid w:val="00B7529B"/>
    <w:rsid w:val="00B75542"/>
    <w:rsid w:val="00B7591D"/>
    <w:rsid w:val="00B75959"/>
    <w:rsid w:val="00B75ACC"/>
    <w:rsid w:val="00B7607C"/>
    <w:rsid w:val="00B765D2"/>
    <w:rsid w:val="00B76CC6"/>
    <w:rsid w:val="00B77076"/>
    <w:rsid w:val="00B77108"/>
    <w:rsid w:val="00B77148"/>
    <w:rsid w:val="00B77319"/>
    <w:rsid w:val="00B774A4"/>
    <w:rsid w:val="00B77ABA"/>
    <w:rsid w:val="00B77B8C"/>
    <w:rsid w:val="00B77BEC"/>
    <w:rsid w:val="00B80502"/>
    <w:rsid w:val="00B80C34"/>
    <w:rsid w:val="00B80C36"/>
    <w:rsid w:val="00B80C45"/>
    <w:rsid w:val="00B80EBF"/>
    <w:rsid w:val="00B81005"/>
    <w:rsid w:val="00B811A4"/>
    <w:rsid w:val="00B81580"/>
    <w:rsid w:val="00B817BF"/>
    <w:rsid w:val="00B81C84"/>
    <w:rsid w:val="00B81D4B"/>
    <w:rsid w:val="00B820EB"/>
    <w:rsid w:val="00B821C3"/>
    <w:rsid w:val="00B82202"/>
    <w:rsid w:val="00B82340"/>
    <w:rsid w:val="00B825EC"/>
    <w:rsid w:val="00B82A0F"/>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404"/>
    <w:rsid w:val="00B8570C"/>
    <w:rsid w:val="00B85AA4"/>
    <w:rsid w:val="00B85BFB"/>
    <w:rsid w:val="00B85E43"/>
    <w:rsid w:val="00B85E58"/>
    <w:rsid w:val="00B863EE"/>
    <w:rsid w:val="00B868B1"/>
    <w:rsid w:val="00B86B46"/>
    <w:rsid w:val="00B86E4C"/>
    <w:rsid w:val="00B87333"/>
    <w:rsid w:val="00B875AD"/>
    <w:rsid w:val="00B8777B"/>
    <w:rsid w:val="00B87F7D"/>
    <w:rsid w:val="00B90C87"/>
    <w:rsid w:val="00B9114E"/>
    <w:rsid w:val="00B9131E"/>
    <w:rsid w:val="00B9133C"/>
    <w:rsid w:val="00B91D63"/>
    <w:rsid w:val="00B91E7C"/>
    <w:rsid w:val="00B920A3"/>
    <w:rsid w:val="00B922D1"/>
    <w:rsid w:val="00B92CC0"/>
    <w:rsid w:val="00B92F3A"/>
    <w:rsid w:val="00B930ED"/>
    <w:rsid w:val="00B931E1"/>
    <w:rsid w:val="00B93920"/>
    <w:rsid w:val="00B93952"/>
    <w:rsid w:val="00B93A00"/>
    <w:rsid w:val="00B93E2B"/>
    <w:rsid w:val="00B94232"/>
    <w:rsid w:val="00B94739"/>
    <w:rsid w:val="00B947B7"/>
    <w:rsid w:val="00B94D63"/>
    <w:rsid w:val="00B9511A"/>
    <w:rsid w:val="00B9521D"/>
    <w:rsid w:val="00B952C7"/>
    <w:rsid w:val="00B96484"/>
    <w:rsid w:val="00B967F4"/>
    <w:rsid w:val="00B96F3A"/>
    <w:rsid w:val="00B97448"/>
    <w:rsid w:val="00B9791E"/>
    <w:rsid w:val="00B97AB8"/>
    <w:rsid w:val="00BA0048"/>
    <w:rsid w:val="00BA0296"/>
    <w:rsid w:val="00BA0536"/>
    <w:rsid w:val="00BA0AB0"/>
    <w:rsid w:val="00BA0B9D"/>
    <w:rsid w:val="00BA0CAF"/>
    <w:rsid w:val="00BA0E2A"/>
    <w:rsid w:val="00BA179A"/>
    <w:rsid w:val="00BA1990"/>
    <w:rsid w:val="00BA1DB2"/>
    <w:rsid w:val="00BA1FFF"/>
    <w:rsid w:val="00BA218C"/>
    <w:rsid w:val="00BA289C"/>
    <w:rsid w:val="00BA2A50"/>
    <w:rsid w:val="00BA307F"/>
    <w:rsid w:val="00BA3B30"/>
    <w:rsid w:val="00BA3B3F"/>
    <w:rsid w:val="00BA3C1A"/>
    <w:rsid w:val="00BA3F93"/>
    <w:rsid w:val="00BA49ED"/>
    <w:rsid w:val="00BA4BFF"/>
    <w:rsid w:val="00BA4C89"/>
    <w:rsid w:val="00BA5444"/>
    <w:rsid w:val="00BA54B5"/>
    <w:rsid w:val="00BA5890"/>
    <w:rsid w:val="00BA5CF6"/>
    <w:rsid w:val="00BA6144"/>
    <w:rsid w:val="00BA6887"/>
    <w:rsid w:val="00BA6C9E"/>
    <w:rsid w:val="00BA6D32"/>
    <w:rsid w:val="00BA6EF7"/>
    <w:rsid w:val="00BA6F01"/>
    <w:rsid w:val="00BA7A72"/>
    <w:rsid w:val="00BB0521"/>
    <w:rsid w:val="00BB077B"/>
    <w:rsid w:val="00BB089A"/>
    <w:rsid w:val="00BB092C"/>
    <w:rsid w:val="00BB0995"/>
    <w:rsid w:val="00BB0B44"/>
    <w:rsid w:val="00BB0DF2"/>
    <w:rsid w:val="00BB0FF0"/>
    <w:rsid w:val="00BB13AB"/>
    <w:rsid w:val="00BB3075"/>
    <w:rsid w:val="00BB3146"/>
    <w:rsid w:val="00BB3232"/>
    <w:rsid w:val="00BB34E9"/>
    <w:rsid w:val="00BB37A1"/>
    <w:rsid w:val="00BB3E9F"/>
    <w:rsid w:val="00BB4205"/>
    <w:rsid w:val="00BB421E"/>
    <w:rsid w:val="00BB42FE"/>
    <w:rsid w:val="00BB45F0"/>
    <w:rsid w:val="00BB4639"/>
    <w:rsid w:val="00BB4DB9"/>
    <w:rsid w:val="00BB505A"/>
    <w:rsid w:val="00BB5AC0"/>
    <w:rsid w:val="00BB5DE0"/>
    <w:rsid w:val="00BB600E"/>
    <w:rsid w:val="00BB639C"/>
    <w:rsid w:val="00BB63C6"/>
    <w:rsid w:val="00BB64AD"/>
    <w:rsid w:val="00BB659C"/>
    <w:rsid w:val="00BB6697"/>
    <w:rsid w:val="00BB67AC"/>
    <w:rsid w:val="00BB6985"/>
    <w:rsid w:val="00BB7A0B"/>
    <w:rsid w:val="00BC0091"/>
    <w:rsid w:val="00BC0306"/>
    <w:rsid w:val="00BC0312"/>
    <w:rsid w:val="00BC0B50"/>
    <w:rsid w:val="00BC0CF7"/>
    <w:rsid w:val="00BC0EC4"/>
    <w:rsid w:val="00BC1110"/>
    <w:rsid w:val="00BC1A46"/>
    <w:rsid w:val="00BC2930"/>
    <w:rsid w:val="00BC2B0D"/>
    <w:rsid w:val="00BC2B8B"/>
    <w:rsid w:val="00BC2BC7"/>
    <w:rsid w:val="00BC300F"/>
    <w:rsid w:val="00BC37C0"/>
    <w:rsid w:val="00BC4149"/>
    <w:rsid w:val="00BC429F"/>
    <w:rsid w:val="00BC44A5"/>
    <w:rsid w:val="00BC4576"/>
    <w:rsid w:val="00BC46B5"/>
    <w:rsid w:val="00BC4EF6"/>
    <w:rsid w:val="00BC5092"/>
    <w:rsid w:val="00BC5493"/>
    <w:rsid w:val="00BC597A"/>
    <w:rsid w:val="00BC5A5C"/>
    <w:rsid w:val="00BC5E93"/>
    <w:rsid w:val="00BC6D07"/>
    <w:rsid w:val="00BC6D53"/>
    <w:rsid w:val="00BC7127"/>
    <w:rsid w:val="00BC72BA"/>
    <w:rsid w:val="00BC759A"/>
    <w:rsid w:val="00BC78EC"/>
    <w:rsid w:val="00BC7A07"/>
    <w:rsid w:val="00BC7D1D"/>
    <w:rsid w:val="00BC7D56"/>
    <w:rsid w:val="00BD024A"/>
    <w:rsid w:val="00BD09B8"/>
    <w:rsid w:val="00BD0FE7"/>
    <w:rsid w:val="00BD1216"/>
    <w:rsid w:val="00BD1570"/>
    <w:rsid w:val="00BD1E53"/>
    <w:rsid w:val="00BD2142"/>
    <w:rsid w:val="00BD2270"/>
    <w:rsid w:val="00BD23F5"/>
    <w:rsid w:val="00BD2873"/>
    <w:rsid w:val="00BD2892"/>
    <w:rsid w:val="00BD2B77"/>
    <w:rsid w:val="00BD2C79"/>
    <w:rsid w:val="00BD3538"/>
    <w:rsid w:val="00BD3675"/>
    <w:rsid w:val="00BD3729"/>
    <w:rsid w:val="00BD3A1C"/>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A00"/>
    <w:rsid w:val="00BD7C53"/>
    <w:rsid w:val="00BE0084"/>
    <w:rsid w:val="00BE04D3"/>
    <w:rsid w:val="00BE0B5E"/>
    <w:rsid w:val="00BE0E48"/>
    <w:rsid w:val="00BE103E"/>
    <w:rsid w:val="00BE171D"/>
    <w:rsid w:val="00BE1CD9"/>
    <w:rsid w:val="00BE1D6E"/>
    <w:rsid w:val="00BE2759"/>
    <w:rsid w:val="00BE2AA4"/>
    <w:rsid w:val="00BE2EDE"/>
    <w:rsid w:val="00BE3091"/>
    <w:rsid w:val="00BE33C6"/>
    <w:rsid w:val="00BE362C"/>
    <w:rsid w:val="00BE364C"/>
    <w:rsid w:val="00BE38AA"/>
    <w:rsid w:val="00BE3F1E"/>
    <w:rsid w:val="00BE425B"/>
    <w:rsid w:val="00BE4347"/>
    <w:rsid w:val="00BE460B"/>
    <w:rsid w:val="00BE4740"/>
    <w:rsid w:val="00BE4E64"/>
    <w:rsid w:val="00BE5AA2"/>
    <w:rsid w:val="00BE5AF0"/>
    <w:rsid w:val="00BE67C2"/>
    <w:rsid w:val="00BE68EB"/>
    <w:rsid w:val="00BE6FE8"/>
    <w:rsid w:val="00BE73D1"/>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349C"/>
    <w:rsid w:val="00BF3E21"/>
    <w:rsid w:val="00BF3EEF"/>
    <w:rsid w:val="00BF3EF6"/>
    <w:rsid w:val="00BF44E8"/>
    <w:rsid w:val="00BF45D7"/>
    <w:rsid w:val="00BF464C"/>
    <w:rsid w:val="00BF4852"/>
    <w:rsid w:val="00BF4903"/>
    <w:rsid w:val="00BF4AA1"/>
    <w:rsid w:val="00BF4AEF"/>
    <w:rsid w:val="00BF50E0"/>
    <w:rsid w:val="00BF5C59"/>
    <w:rsid w:val="00BF5F44"/>
    <w:rsid w:val="00BF603B"/>
    <w:rsid w:val="00BF6A77"/>
    <w:rsid w:val="00BF6E64"/>
    <w:rsid w:val="00BF7038"/>
    <w:rsid w:val="00BF70C1"/>
    <w:rsid w:val="00BF7197"/>
    <w:rsid w:val="00BF72A8"/>
    <w:rsid w:val="00BF72CB"/>
    <w:rsid w:val="00BF7A62"/>
    <w:rsid w:val="00C0042E"/>
    <w:rsid w:val="00C00FEE"/>
    <w:rsid w:val="00C016CC"/>
    <w:rsid w:val="00C017AE"/>
    <w:rsid w:val="00C021DE"/>
    <w:rsid w:val="00C02379"/>
    <w:rsid w:val="00C023DA"/>
    <w:rsid w:val="00C0262D"/>
    <w:rsid w:val="00C0290E"/>
    <w:rsid w:val="00C02C88"/>
    <w:rsid w:val="00C02C94"/>
    <w:rsid w:val="00C02FC8"/>
    <w:rsid w:val="00C0389F"/>
    <w:rsid w:val="00C0407D"/>
    <w:rsid w:val="00C045C1"/>
    <w:rsid w:val="00C045C9"/>
    <w:rsid w:val="00C04A89"/>
    <w:rsid w:val="00C04C22"/>
    <w:rsid w:val="00C04C98"/>
    <w:rsid w:val="00C0519F"/>
    <w:rsid w:val="00C05477"/>
    <w:rsid w:val="00C05573"/>
    <w:rsid w:val="00C05661"/>
    <w:rsid w:val="00C05758"/>
    <w:rsid w:val="00C05C0E"/>
    <w:rsid w:val="00C06074"/>
    <w:rsid w:val="00C060E8"/>
    <w:rsid w:val="00C06160"/>
    <w:rsid w:val="00C06543"/>
    <w:rsid w:val="00C06B28"/>
    <w:rsid w:val="00C06D84"/>
    <w:rsid w:val="00C06E43"/>
    <w:rsid w:val="00C07133"/>
    <w:rsid w:val="00C07D73"/>
    <w:rsid w:val="00C10516"/>
    <w:rsid w:val="00C1059A"/>
    <w:rsid w:val="00C105B8"/>
    <w:rsid w:val="00C105CE"/>
    <w:rsid w:val="00C109CA"/>
    <w:rsid w:val="00C10C2D"/>
    <w:rsid w:val="00C11444"/>
    <w:rsid w:val="00C119EB"/>
    <w:rsid w:val="00C11BE5"/>
    <w:rsid w:val="00C11C72"/>
    <w:rsid w:val="00C12030"/>
    <w:rsid w:val="00C1206E"/>
    <w:rsid w:val="00C12134"/>
    <w:rsid w:val="00C123DD"/>
    <w:rsid w:val="00C1240F"/>
    <w:rsid w:val="00C12A41"/>
    <w:rsid w:val="00C12F78"/>
    <w:rsid w:val="00C13016"/>
    <w:rsid w:val="00C13236"/>
    <w:rsid w:val="00C1347E"/>
    <w:rsid w:val="00C139F1"/>
    <w:rsid w:val="00C13F37"/>
    <w:rsid w:val="00C1429E"/>
    <w:rsid w:val="00C1443F"/>
    <w:rsid w:val="00C1495C"/>
    <w:rsid w:val="00C14D22"/>
    <w:rsid w:val="00C15267"/>
    <w:rsid w:val="00C1554B"/>
    <w:rsid w:val="00C15596"/>
    <w:rsid w:val="00C156FE"/>
    <w:rsid w:val="00C1583F"/>
    <w:rsid w:val="00C16260"/>
    <w:rsid w:val="00C1672E"/>
    <w:rsid w:val="00C170B1"/>
    <w:rsid w:val="00C171E0"/>
    <w:rsid w:val="00C171FE"/>
    <w:rsid w:val="00C172D3"/>
    <w:rsid w:val="00C172E5"/>
    <w:rsid w:val="00C174F0"/>
    <w:rsid w:val="00C176ED"/>
    <w:rsid w:val="00C17DB5"/>
    <w:rsid w:val="00C17E0A"/>
    <w:rsid w:val="00C200BD"/>
    <w:rsid w:val="00C20128"/>
    <w:rsid w:val="00C210C0"/>
    <w:rsid w:val="00C21AF5"/>
    <w:rsid w:val="00C22027"/>
    <w:rsid w:val="00C23021"/>
    <w:rsid w:val="00C233A9"/>
    <w:rsid w:val="00C238AC"/>
    <w:rsid w:val="00C24356"/>
    <w:rsid w:val="00C24B43"/>
    <w:rsid w:val="00C24B97"/>
    <w:rsid w:val="00C255E7"/>
    <w:rsid w:val="00C258A1"/>
    <w:rsid w:val="00C25AAF"/>
    <w:rsid w:val="00C25CA1"/>
    <w:rsid w:val="00C25DA7"/>
    <w:rsid w:val="00C26B8F"/>
    <w:rsid w:val="00C26EE6"/>
    <w:rsid w:val="00C26F45"/>
    <w:rsid w:val="00C27311"/>
    <w:rsid w:val="00C27317"/>
    <w:rsid w:val="00C27542"/>
    <w:rsid w:val="00C27647"/>
    <w:rsid w:val="00C27BBA"/>
    <w:rsid w:val="00C27FE7"/>
    <w:rsid w:val="00C30211"/>
    <w:rsid w:val="00C30B0F"/>
    <w:rsid w:val="00C30D32"/>
    <w:rsid w:val="00C30DF3"/>
    <w:rsid w:val="00C30F98"/>
    <w:rsid w:val="00C3135C"/>
    <w:rsid w:val="00C31B32"/>
    <w:rsid w:val="00C32781"/>
    <w:rsid w:val="00C327FD"/>
    <w:rsid w:val="00C32B00"/>
    <w:rsid w:val="00C32FD1"/>
    <w:rsid w:val="00C32FF8"/>
    <w:rsid w:val="00C33185"/>
    <w:rsid w:val="00C332A3"/>
    <w:rsid w:val="00C33526"/>
    <w:rsid w:val="00C335DF"/>
    <w:rsid w:val="00C33699"/>
    <w:rsid w:val="00C33E0C"/>
    <w:rsid w:val="00C33EA3"/>
    <w:rsid w:val="00C34C23"/>
    <w:rsid w:val="00C355F6"/>
    <w:rsid w:val="00C35BFE"/>
    <w:rsid w:val="00C36347"/>
    <w:rsid w:val="00C36356"/>
    <w:rsid w:val="00C369B5"/>
    <w:rsid w:val="00C36DC0"/>
    <w:rsid w:val="00C376BD"/>
    <w:rsid w:val="00C37AFE"/>
    <w:rsid w:val="00C37D8D"/>
    <w:rsid w:val="00C37EB2"/>
    <w:rsid w:val="00C37F5A"/>
    <w:rsid w:val="00C40159"/>
    <w:rsid w:val="00C401B2"/>
    <w:rsid w:val="00C403F9"/>
    <w:rsid w:val="00C406F3"/>
    <w:rsid w:val="00C407D1"/>
    <w:rsid w:val="00C410B6"/>
    <w:rsid w:val="00C4119D"/>
    <w:rsid w:val="00C4122A"/>
    <w:rsid w:val="00C41F98"/>
    <w:rsid w:val="00C4201E"/>
    <w:rsid w:val="00C42A9F"/>
    <w:rsid w:val="00C42B8C"/>
    <w:rsid w:val="00C42C21"/>
    <w:rsid w:val="00C42F72"/>
    <w:rsid w:val="00C43112"/>
    <w:rsid w:val="00C432A4"/>
    <w:rsid w:val="00C43437"/>
    <w:rsid w:val="00C43CE6"/>
    <w:rsid w:val="00C44863"/>
    <w:rsid w:val="00C44CEC"/>
    <w:rsid w:val="00C4512F"/>
    <w:rsid w:val="00C45201"/>
    <w:rsid w:val="00C4545D"/>
    <w:rsid w:val="00C45896"/>
    <w:rsid w:val="00C459A8"/>
    <w:rsid w:val="00C45A3B"/>
    <w:rsid w:val="00C45B1A"/>
    <w:rsid w:val="00C46280"/>
    <w:rsid w:val="00C46289"/>
    <w:rsid w:val="00C46532"/>
    <w:rsid w:val="00C467A0"/>
    <w:rsid w:val="00C46879"/>
    <w:rsid w:val="00C469D5"/>
    <w:rsid w:val="00C46CCF"/>
    <w:rsid w:val="00C46F8D"/>
    <w:rsid w:val="00C471B1"/>
    <w:rsid w:val="00C47424"/>
    <w:rsid w:val="00C47D02"/>
    <w:rsid w:val="00C50162"/>
    <w:rsid w:val="00C50236"/>
    <w:rsid w:val="00C508FC"/>
    <w:rsid w:val="00C518FC"/>
    <w:rsid w:val="00C519DF"/>
    <w:rsid w:val="00C51AF1"/>
    <w:rsid w:val="00C51D12"/>
    <w:rsid w:val="00C51DEE"/>
    <w:rsid w:val="00C521E3"/>
    <w:rsid w:val="00C52422"/>
    <w:rsid w:val="00C52776"/>
    <w:rsid w:val="00C527F4"/>
    <w:rsid w:val="00C53215"/>
    <w:rsid w:val="00C53418"/>
    <w:rsid w:val="00C53C60"/>
    <w:rsid w:val="00C54127"/>
    <w:rsid w:val="00C543BD"/>
    <w:rsid w:val="00C54422"/>
    <w:rsid w:val="00C548D8"/>
    <w:rsid w:val="00C54A56"/>
    <w:rsid w:val="00C54B44"/>
    <w:rsid w:val="00C54B8C"/>
    <w:rsid w:val="00C54E5E"/>
    <w:rsid w:val="00C550FC"/>
    <w:rsid w:val="00C552FF"/>
    <w:rsid w:val="00C558D2"/>
    <w:rsid w:val="00C567F2"/>
    <w:rsid w:val="00C56CEC"/>
    <w:rsid w:val="00C56CF1"/>
    <w:rsid w:val="00C56D81"/>
    <w:rsid w:val="00C56E5E"/>
    <w:rsid w:val="00C56E86"/>
    <w:rsid w:val="00C56FC0"/>
    <w:rsid w:val="00C575C0"/>
    <w:rsid w:val="00C60101"/>
    <w:rsid w:val="00C60C38"/>
    <w:rsid w:val="00C6113E"/>
    <w:rsid w:val="00C61251"/>
    <w:rsid w:val="00C61390"/>
    <w:rsid w:val="00C6145C"/>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811"/>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C03"/>
    <w:rsid w:val="00C707F3"/>
    <w:rsid w:val="00C709A4"/>
    <w:rsid w:val="00C70C9D"/>
    <w:rsid w:val="00C70EA8"/>
    <w:rsid w:val="00C7102B"/>
    <w:rsid w:val="00C7107A"/>
    <w:rsid w:val="00C7145E"/>
    <w:rsid w:val="00C715F0"/>
    <w:rsid w:val="00C71714"/>
    <w:rsid w:val="00C717A1"/>
    <w:rsid w:val="00C72423"/>
    <w:rsid w:val="00C7256E"/>
    <w:rsid w:val="00C72910"/>
    <w:rsid w:val="00C72A55"/>
    <w:rsid w:val="00C72C1A"/>
    <w:rsid w:val="00C72DC0"/>
    <w:rsid w:val="00C73353"/>
    <w:rsid w:val="00C7355D"/>
    <w:rsid w:val="00C739B9"/>
    <w:rsid w:val="00C7441B"/>
    <w:rsid w:val="00C74B22"/>
    <w:rsid w:val="00C75319"/>
    <w:rsid w:val="00C7569E"/>
    <w:rsid w:val="00C7611A"/>
    <w:rsid w:val="00C7651D"/>
    <w:rsid w:val="00C776B6"/>
    <w:rsid w:val="00C77886"/>
    <w:rsid w:val="00C77C5F"/>
    <w:rsid w:val="00C8016B"/>
    <w:rsid w:val="00C80521"/>
    <w:rsid w:val="00C807DD"/>
    <w:rsid w:val="00C80C3F"/>
    <w:rsid w:val="00C80C44"/>
    <w:rsid w:val="00C80D13"/>
    <w:rsid w:val="00C80FF8"/>
    <w:rsid w:val="00C8100A"/>
    <w:rsid w:val="00C810AB"/>
    <w:rsid w:val="00C818DA"/>
    <w:rsid w:val="00C81C86"/>
    <w:rsid w:val="00C81F08"/>
    <w:rsid w:val="00C8342C"/>
    <w:rsid w:val="00C84061"/>
    <w:rsid w:val="00C8432B"/>
    <w:rsid w:val="00C84509"/>
    <w:rsid w:val="00C845ED"/>
    <w:rsid w:val="00C84D90"/>
    <w:rsid w:val="00C850E1"/>
    <w:rsid w:val="00C8524F"/>
    <w:rsid w:val="00C85395"/>
    <w:rsid w:val="00C854AB"/>
    <w:rsid w:val="00C8608C"/>
    <w:rsid w:val="00C86543"/>
    <w:rsid w:val="00C86844"/>
    <w:rsid w:val="00C86B38"/>
    <w:rsid w:val="00C86BAC"/>
    <w:rsid w:val="00C874B4"/>
    <w:rsid w:val="00C8781B"/>
    <w:rsid w:val="00C87887"/>
    <w:rsid w:val="00C87E5D"/>
    <w:rsid w:val="00C902A2"/>
    <w:rsid w:val="00C90332"/>
    <w:rsid w:val="00C90583"/>
    <w:rsid w:val="00C906B5"/>
    <w:rsid w:val="00C90C3E"/>
    <w:rsid w:val="00C91C0F"/>
    <w:rsid w:val="00C920A2"/>
    <w:rsid w:val="00C924F0"/>
    <w:rsid w:val="00C924F2"/>
    <w:rsid w:val="00C928E7"/>
    <w:rsid w:val="00C9336F"/>
    <w:rsid w:val="00C9364E"/>
    <w:rsid w:val="00C93DFD"/>
    <w:rsid w:val="00C940F8"/>
    <w:rsid w:val="00C94172"/>
    <w:rsid w:val="00C945C7"/>
    <w:rsid w:val="00C94C1D"/>
    <w:rsid w:val="00C94CE6"/>
    <w:rsid w:val="00C94CF4"/>
    <w:rsid w:val="00C94D73"/>
    <w:rsid w:val="00C9568F"/>
    <w:rsid w:val="00C95940"/>
    <w:rsid w:val="00C95BB6"/>
    <w:rsid w:val="00C95DB1"/>
    <w:rsid w:val="00C95F1E"/>
    <w:rsid w:val="00C95F45"/>
    <w:rsid w:val="00C96836"/>
    <w:rsid w:val="00C969E0"/>
    <w:rsid w:val="00C96B5E"/>
    <w:rsid w:val="00C96C6A"/>
    <w:rsid w:val="00C96ECB"/>
    <w:rsid w:val="00C971B9"/>
    <w:rsid w:val="00C9721A"/>
    <w:rsid w:val="00C97552"/>
    <w:rsid w:val="00C97AE8"/>
    <w:rsid w:val="00CA00D2"/>
    <w:rsid w:val="00CA09CD"/>
    <w:rsid w:val="00CA0BB8"/>
    <w:rsid w:val="00CA0CF7"/>
    <w:rsid w:val="00CA111E"/>
    <w:rsid w:val="00CA1430"/>
    <w:rsid w:val="00CA1C2A"/>
    <w:rsid w:val="00CA1EB0"/>
    <w:rsid w:val="00CA2196"/>
    <w:rsid w:val="00CA2227"/>
    <w:rsid w:val="00CA2580"/>
    <w:rsid w:val="00CA2D9B"/>
    <w:rsid w:val="00CA2F00"/>
    <w:rsid w:val="00CA3381"/>
    <w:rsid w:val="00CA3469"/>
    <w:rsid w:val="00CA380B"/>
    <w:rsid w:val="00CA3E4C"/>
    <w:rsid w:val="00CA4181"/>
    <w:rsid w:val="00CA41E4"/>
    <w:rsid w:val="00CA44C2"/>
    <w:rsid w:val="00CA462B"/>
    <w:rsid w:val="00CA4DFF"/>
    <w:rsid w:val="00CA505D"/>
    <w:rsid w:val="00CA5188"/>
    <w:rsid w:val="00CA53BF"/>
    <w:rsid w:val="00CA5487"/>
    <w:rsid w:val="00CA5DEE"/>
    <w:rsid w:val="00CA6044"/>
    <w:rsid w:val="00CA7654"/>
    <w:rsid w:val="00CA7A16"/>
    <w:rsid w:val="00CA7A52"/>
    <w:rsid w:val="00CB02BC"/>
    <w:rsid w:val="00CB0327"/>
    <w:rsid w:val="00CB0A90"/>
    <w:rsid w:val="00CB1066"/>
    <w:rsid w:val="00CB15FD"/>
    <w:rsid w:val="00CB1C89"/>
    <w:rsid w:val="00CB2251"/>
    <w:rsid w:val="00CB2794"/>
    <w:rsid w:val="00CB2C7B"/>
    <w:rsid w:val="00CB3478"/>
    <w:rsid w:val="00CB370D"/>
    <w:rsid w:val="00CB3C74"/>
    <w:rsid w:val="00CB43BD"/>
    <w:rsid w:val="00CB4AE8"/>
    <w:rsid w:val="00CB4DDD"/>
    <w:rsid w:val="00CB4F0E"/>
    <w:rsid w:val="00CB4F9F"/>
    <w:rsid w:val="00CB5348"/>
    <w:rsid w:val="00CB5E7A"/>
    <w:rsid w:val="00CB6523"/>
    <w:rsid w:val="00CB6638"/>
    <w:rsid w:val="00CB68BD"/>
    <w:rsid w:val="00CB6E1D"/>
    <w:rsid w:val="00CB6F60"/>
    <w:rsid w:val="00CB7169"/>
    <w:rsid w:val="00CC013C"/>
    <w:rsid w:val="00CC0855"/>
    <w:rsid w:val="00CC0F02"/>
    <w:rsid w:val="00CC19FA"/>
    <w:rsid w:val="00CC1EFA"/>
    <w:rsid w:val="00CC2127"/>
    <w:rsid w:val="00CC2563"/>
    <w:rsid w:val="00CC2D1C"/>
    <w:rsid w:val="00CC3933"/>
    <w:rsid w:val="00CC3973"/>
    <w:rsid w:val="00CC3AE2"/>
    <w:rsid w:val="00CC3C4B"/>
    <w:rsid w:val="00CC3D6E"/>
    <w:rsid w:val="00CC3F6F"/>
    <w:rsid w:val="00CC4910"/>
    <w:rsid w:val="00CC4B8A"/>
    <w:rsid w:val="00CC4CD3"/>
    <w:rsid w:val="00CC510B"/>
    <w:rsid w:val="00CC53EF"/>
    <w:rsid w:val="00CC5486"/>
    <w:rsid w:val="00CC5F0E"/>
    <w:rsid w:val="00CC5F26"/>
    <w:rsid w:val="00CC64E7"/>
    <w:rsid w:val="00CC676D"/>
    <w:rsid w:val="00CC6901"/>
    <w:rsid w:val="00CC6C05"/>
    <w:rsid w:val="00CC718A"/>
    <w:rsid w:val="00CC72CE"/>
    <w:rsid w:val="00CC76E3"/>
    <w:rsid w:val="00CC7A01"/>
    <w:rsid w:val="00CC7A5F"/>
    <w:rsid w:val="00CC7DEB"/>
    <w:rsid w:val="00CD01B4"/>
    <w:rsid w:val="00CD025D"/>
    <w:rsid w:val="00CD07B8"/>
    <w:rsid w:val="00CD0932"/>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5693"/>
    <w:rsid w:val="00CD5879"/>
    <w:rsid w:val="00CD5B28"/>
    <w:rsid w:val="00CD5F12"/>
    <w:rsid w:val="00CD6154"/>
    <w:rsid w:val="00CD620F"/>
    <w:rsid w:val="00CD6721"/>
    <w:rsid w:val="00CD69C8"/>
    <w:rsid w:val="00CD6AEC"/>
    <w:rsid w:val="00CD6B05"/>
    <w:rsid w:val="00CD6CFD"/>
    <w:rsid w:val="00CD6D0A"/>
    <w:rsid w:val="00CD7D57"/>
    <w:rsid w:val="00CD7F20"/>
    <w:rsid w:val="00CE10C7"/>
    <w:rsid w:val="00CE1600"/>
    <w:rsid w:val="00CE1711"/>
    <w:rsid w:val="00CE1F6C"/>
    <w:rsid w:val="00CE279E"/>
    <w:rsid w:val="00CE28D6"/>
    <w:rsid w:val="00CE2A05"/>
    <w:rsid w:val="00CE2A56"/>
    <w:rsid w:val="00CE2E8F"/>
    <w:rsid w:val="00CE393F"/>
    <w:rsid w:val="00CE3A70"/>
    <w:rsid w:val="00CE3D31"/>
    <w:rsid w:val="00CE403B"/>
    <w:rsid w:val="00CE45BA"/>
    <w:rsid w:val="00CE490A"/>
    <w:rsid w:val="00CE4B2A"/>
    <w:rsid w:val="00CE53C4"/>
    <w:rsid w:val="00CE54E0"/>
    <w:rsid w:val="00CE54E1"/>
    <w:rsid w:val="00CE5782"/>
    <w:rsid w:val="00CE58FA"/>
    <w:rsid w:val="00CE59CD"/>
    <w:rsid w:val="00CE5F51"/>
    <w:rsid w:val="00CE5FDA"/>
    <w:rsid w:val="00CE66C8"/>
    <w:rsid w:val="00CE76FA"/>
    <w:rsid w:val="00CE7847"/>
    <w:rsid w:val="00CE7889"/>
    <w:rsid w:val="00CE7EAC"/>
    <w:rsid w:val="00CF0047"/>
    <w:rsid w:val="00CF0303"/>
    <w:rsid w:val="00CF046D"/>
    <w:rsid w:val="00CF0675"/>
    <w:rsid w:val="00CF06B3"/>
    <w:rsid w:val="00CF101F"/>
    <w:rsid w:val="00CF11BE"/>
    <w:rsid w:val="00CF1310"/>
    <w:rsid w:val="00CF13BC"/>
    <w:rsid w:val="00CF14C3"/>
    <w:rsid w:val="00CF16F5"/>
    <w:rsid w:val="00CF1943"/>
    <w:rsid w:val="00CF2B2B"/>
    <w:rsid w:val="00CF2E90"/>
    <w:rsid w:val="00CF3030"/>
    <w:rsid w:val="00CF31DA"/>
    <w:rsid w:val="00CF3269"/>
    <w:rsid w:val="00CF3485"/>
    <w:rsid w:val="00CF3B2E"/>
    <w:rsid w:val="00CF42B4"/>
    <w:rsid w:val="00CF4384"/>
    <w:rsid w:val="00CF4478"/>
    <w:rsid w:val="00CF44F9"/>
    <w:rsid w:val="00CF4B33"/>
    <w:rsid w:val="00CF4BD5"/>
    <w:rsid w:val="00CF52D0"/>
    <w:rsid w:val="00CF56BC"/>
    <w:rsid w:val="00CF5DE2"/>
    <w:rsid w:val="00CF65F3"/>
    <w:rsid w:val="00CF6834"/>
    <w:rsid w:val="00CF6B59"/>
    <w:rsid w:val="00CF76FD"/>
    <w:rsid w:val="00CF7E2C"/>
    <w:rsid w:val="00D001C4"/>
    <w:rsid w:val="00D00228"/>
    <w:rsid w:val="00D0045E"/>
    <w:rsid w:val="00D00478"/>
    <w:rsid w:val="00D005C3"/>
    <w:rsid w:val="00D005E9"/>
    <w:rsid w:val="00D00911"/>
    <w:rsid w:val="00D00A78"/>
    <w:rsid w:val="00D01151"/>
    <w:rsid w:val="00D012B4"/>
    <w:rsid w:val="00D01470"/>
    <w:rsid w:val="00D01476"/>
    <w:rsid w:val="00D01627"/>
    <w:rsid w:val="00D01665"/>
    <w:rsid w:val="00D01C27"/>
    <w:rsid w:val="00D01FBD"/>
    <w:rsid w:val="00D02898"/>
    <w:rsid w:val="00D02C74"/>
    <w:rsid w:val="00D03C09"/>
    <w:rsid w:val="00D03D3D"/>
    <w:rsid w:val="00D046C3"/>
    <w:rsid w:val="00D04F5B"/>
    <w:rsid w:val="00D05AEF"/>
    <w:rsid w:val="00D05B72"/>
    <w:rsid w:val="00D05D3F"/>
    <w:rsid w:val="00D06201"/>
    <w:rsid w:val="00D063AC"/>
    <w:rsid w:val="00D0645D"/>
    <w:rsid w:val="00D06746"/>
    <w:rsid w:val="00D06A78"/>
    <w:rsid w:val="00D06A91"/>
    <w:rsid w:val="00D06FC3"/>
    <w:rsid w:val="00D071B2"/>
    <w:rsid w:val="00D07561"/>
    <w:rsid w:val="00D078F9"/>
    <w:rsid w:val="00D07DB4"/>
    <w:rsid w:val="00D07ED3"/>
    <w:rsid w:val="00D10258"/>
    <w:rsid w:val="00D104E0"/>
    <w:rsid w:val="00D10530"/>
    <w:rsid w:val="00D10771"/>
    <w:rsid w:val="00D10A24"/>
    <w:rsid w:val="00D10D1B"/>
    <w:rsid w:val="00D110C3"/>
    <w:rsid w:val="00D119CF"/>
    <w:rsid w:val="00D11B39"/>
    <w:rsid w:val="00D11C4E"/>
    <w:rsid w:val="00D11C84"/>
    <w:rsid w:val="00D12059"/>
    <w:rsid w:val="00D1209D"/>
    <w:rsid w:val="00D125E5"/>
    <w:rsid w:val="00D12C2C"/>
    <w:rsid w:val="00D1308D"/>
    <w:rsid w:val="00D13632"/>
    <w:rsid w:val="00D137FD"/>
    <w:rsid w:val="00D1408D"/>
    <w:rsid w:val="00D14239"/>
    <w:rsid w:val="00D148D4"/>
    <w:rsid w:val="00D14E0D"/>
    <w:rsid w:val="00D152B5"/>
    <w:rsid w:val="00D15D58"/>
    <w:rsid w:val="00D15F59"/>
    <w:rsid w:val="00D15FCB"/>
    <w:rsid w:val="00D165F4"/>
    <w:rsid w:val="00D16940"/>
    <w:rsid w:val="00D17393"/>
    <w:rsid w:val="00D178D3"/>
    <w:rsid w:val="00D17B48"/>
    <w:rsid w:val="00D202A8"/>
    <w:rsid w:val="00D206FC"/>
    <w:rsid w:val="00D2092D"/>
    <w:rsid w:val="00D20DE3"/>
    <w:rsid w:val="00D210C6"/>
    <w:rsid w:val="00D2125C"/>
    <w:rsid w:val="00D21845"/>
    <w:rsid w:val="00D21C64"/>
    <w:rsid w:val="00D21D1F"/>
    <w:rsid w:val="00D2248D"/>
    <w:rsid w:val="00D22F0C"/>
    <w:rsid w:val="00D23163"/>
    <w:rsid w:val="00D233FD"/>
    <w:rsid w:val="00D235D3"/>
    <w:rsid w:val="00D240BC"/>
    <w:rsid w:val="00D247B7"/>
    <w:rsid w:val="00D24ADA"/>
    <w:rsid w:val="00D2506C"/>
    <w:rsid w:val="00D250A0"/>
    <w:rsid w:val="00D2519E"/>
    <w:rsid w:val="00D25462"/>
    <w:rsid w:val="00D25B08"/>
    <w:rsid w:val="00D2611B"/>
    <w:rsid w:val="00D266C2"/>
    <w:rsid w:val="00D26AFB"/>
    <w:rsid w:val="00D26C56"/>
    <w:rsid w:val="00D26EB7"/>
    <w:rsid w:val="00D27032"/>
    <w:rsid w:val="00D2758A"/>
    <w:rsid w:val="00D276E8"/>
    <w:rsid w:val="00D2787E"/>
    <w:rsid w:val="00D27BB0"/>
    <w:rsid w:val="00D27D5D"/>
    <w:rsid w:val="00D302C2"/>
    <w:rsid w:val="00D3031D"/>
    <w:rsid w:val="00D30407"/>
    <w:rsid w:val="00D30A64"/>
    <w:rsid w:val="00D30C3C"/>
    <w:rsid w:val="00D30E08"/>
    <w:rsid w:val="00D31283"/>
    <w:rsid w:val="00D3141F"/>
    <w:rsid w:val="00D319FB"/>
    <w:rsid w:val="00D31DA6"/>
    <w:rsid w:val="00D322AB"/>
    <w:rsid w:val="00D327E7"/>
    <w:rsid w:val="00D3288A"/>
    <w:rsid w:val="00D3299A"/>
    <w:rsid w:val="00D32D41"/>
    <w:rsid w:val="00D330E7"/>
    <w:rsid w:val="00D33234"/>
    <w:rsid w:val="00D336DB"/>
    <w:rsid w:val="00D339F2"/>
    <w:rsid w:val="00D33CE8"/>
    <w:rsid w:val="00D33E6C"/>
    <w:rsid w:val="00D34301"/>
    <w:rsid w:val="00D34338"/>
    <w:rsid w:val="00D3477B"/>
    <w:rsid w:val="00D35476"/>
    <w:rsid w:val="00D355E3"/>
    <w:rsid w:val="00D35BB7"/>
    <w:rsid w:val="00D35D08"/>
    <w:rsid w:val="00D360A8"/>
    <w:rsid w:val="00D3620E"/>
    <w:rsid w:val="00D36360"/>
    <w:rsid w:val="00D363DE"/>
    <w:rsid w:val="00D3653D"/>
    <w:rsid w:val="00D369DB"/>
    <w:rsid w:val="00D36E6C"/>
    <w:rsid w:val="00D371DF"/>
    <w:rsid w:val="00D37741"/>
    <w:rsid w:val="00D4011A"/>
    <w:rsid w:val="00D404CD"/>
    <w:rsid w:val="00D4101C"/>
    <w:rsid w:val="00D41218"/>
    <w:rsid w:val="00D414E8"/>
    <w:rsid w:val="00D41A09"/>
    <w:rsid w:val="00D41B6C"/>
    <w:rsid w:val="00D41B85"/>
    <w:rsid w:val="00D41EBD"/>
    <w:rsid w:val="00D42499"/>
    <w:rsid w:val="00D42F40"/>
    <w:rsid w:val="00D43162"/>
    <w:rsid w:val="00D4343B"/>
    <w:rsid w:val="00D43617"/>
    <w:rsid w:val="00D43652"/>
    <w:rsid w:val="00D436A4"/>
    <w:rsid w:val="00D43935"/>
    <w:rsid w:val="00D43AE4"/>
    <w:rsid w:val="00D44056"/>
    <w:rsid w:val="00D440B4"/>
    <w:rsid w:val="00D44207"/>
    <w:rsid w:val="00D44948"/>
    <w:rsid w:val="00D44B87"/>
    <w:rsid w:val="00D44C71"/>
    <w:rsid w:val="00D45019"/>
    <w:rsid w:val="00D4522C"/>
    <w:rsid w:val="00D45595"/>
    <w:rsid w:val="00D455BA"/>
    <w:rsid w:val="00D4562D"/>
    <w:rsid w:val="00D456F1"/>
    <w:rsid w:val="00D457A8"/>
    <w:rsid w:val="00D45945"/>
    <w:rsid w:val="00D45ABC"/>
    <w:rsid w:val="00D45B0F"/>
    <w:rsid w:val="00D45B65"/>
    <w:rsid w:val="00D45E2F"/>
    <w:rsid w:val="00D461BC"/>
    <w:rsid w:val="00D46289"/>
    <w:rsid w:val="00D46743"/>
    <w:rsid w:val="00D46AA4"/>
    <w:rsid w:val="00D4761B"/>
    <w:rsid w:val="00D47F65"/>
    <w:rsid w:val="00D50682"/>
    <w:rsid w:val="00D50970"/>
    <w:rsid w:val="00D509DE"/>
    <w:rsid w:val="00D50A49"/>
    <w:rsid w:val="00D50B2C"/>
    <w:rsid w:val="00D51386"/>
    <w:rsid w:val="00D51749"/>
    <w:rsid w:val="00D5184E"/>
    <w:rsid w:val="00D51ABC"/>
    <w:rsid w:val="00D51E0B"/>
    <w:rsid w:val="00D522A8"/>
    <w:rsid w:val="00D52632"/>
    <w:rsid w:val="00D52987"/>
    <w:rsid w:val="00D52FE5"/>
    <w:rsid w:val="00D53410"/>
    <w:rsid w:val="00D53CDB"/>
    <w:rsid w:val="00D53DA3"/>
    <w:rsid w:val="00D53F1B"/>
    <w:rsid w:val="00D53F42"/>
    <w:rsid w:val="00D54136"/>
    <w:rsid w:val="00D54835"/>
    <w:rsid w:val="00D54B9B"/>
    <w:rsid w:val="00D54BD4"/>
    <w:rsid w:val="00D54EDB"/>
    <w:rsid w:val="00D55064"/>
    <w:rsid w:val="00D550F9"/>
    <w:rsid w:val="00D55255"/>
    <w:rsid w:val="00D5539D"/>
    <w:rsid w:val="00D55D06"/>
    <w:rsid w:val="00D56298"/>
    <w:rsid w:val="00D563A2"/>
    <w:rsid w:val="00D56892"/>
    <w:rsid w:val="00D577DF"/>
    <w:rsid w:val="00D57D66"/>
    <w:rsid w:val="00D607B7"/>
    <w:rsid w:val="00D60933"/>
    <w:rsid w:val="00D60AA7"/>
    <w:rsid w:val="00D60B38"/>
    <w:rsid w:val="00D60BAA"/>
    <w:rsid w:val="00D61385"/>
    <w:rsid w:val="00D61640"/>
    <w:rsid w:val="00D61715"/>
    <w:rsid w:val="00D61788"/>
    <w:rsid w:val="00D61865"/>
    <w:rsid w:val="00D61896"/>
    <w:rsid w:val="00D61CBC"/>
    <w:rsid w:val="00D623A4"/>
    <w:rsid w:val="00D626ED"/>
    <w:rsid w:val="00D62C09"/>
    <w:rsid w:val="00D634CB"/>
    <w:rsid w:val="00D63FD6"/>
    <w:rsid w:val="00D6417B"/>
    <w:rsid w:val="00D641E6"/>
    <w:rsid w:val="00D6465C"/>
    <w:rsid w:val="00D64D84"/>
    <w:rsid w:val="00D651A9"/>
    <w:rsid w:val="00D65406"/>
    <w:rsid w:val="00D655D0"/>
    <w:rsid w:val="00D65A6E"/>
    <w:rsid w:val="00D65BDF"/>
    <w:rsid w:val="00D6606D"/>
    <w:rsid w:val="00D66653"/>
    <w:rsid w:val="00D667AD"/>
    <w:rsid w:val="00D66BE9"/>
    <w:rsid w:val="00D67045"/>
    <w:rsid w:val="00D6723F"/>
    <w:rsid w:val="00D672F0"/>
    <w:rsid w:val="00D6735C"/>
    <w:rsid w:val="00D67590"/>
    <w:rsid w:val="00D6786E"/>
    <w:rsid w:val="00D67ADD"/>
    <w:rsid w:val="00D67DE1"/>
    <w:rsid w:val="00D704CB"/>
    <w:rsid w:val="00D70853"/>
    <w:rsid w:val="00D708D0"/>
    <w:rsid w:val="00D70B3D"/>
    <w:rsid w:val="00D71401"/>
    <w:rsid w:val="00D71405"/>
    <w:rsid w:val="00D7147C"/>
    <w:rsid w:val="00D716C7"/>
    <w:rsid w:val="00D71990"/>
    <w:rsid w:val="00D71AAC"/>
    <w:rsid w:val="00D71AE5"/>
    <w:rsid w:val="00D71CBC"/>
    <w:rsid w:val="00D71DCE"/>
    <w:rsid w:val="00D72008"/>
    <w:rsid w:val="00D72256"/>
    <w:rsid w:val="00D72315"/>
    <w:rsid w:val="00D72533"/>
    <w:rsid w:val="00D726DC"/>
    <w:rsid w:val="00D72ABD"/>
    <w:rsid w:val="00D72BED"/>
    <w:rsid w:val="00D72C2C"/>
    <w:rsid w:val="00D732FE"/>
    <w:rsid w:val="00D73570"/>
    <w:rsid w:val="00D7418D"/>
    <w:rsid w:val="00D7442C"/>
    <w:rsid w:val="00D74834"/>
    <w:rsid w:val="00D74D17"/>
    <w:rsid w:val="00D74E3B"/>
    <w:rsid w:val="00D7502B"/>
    <w:rsid w:val="00D75292"/>
    <w:rsid w:val="00D7552B"/>
    <w:rsid w:val="00D75582"/>
    <w:rsid w:val="00D756ED"/>
    <w:rsid w:val="00D7589B"/>
    <w:rsid w:val="00D75AC2"/>
    <w:rsid w:val="00D76116"/>
    <w:rsid w:val="00D76432"/>
    <w:rsid w:val="00D766A4"/>
    <w:rsid w:val="00D7671E"/>
    <w:rsid w:val="00D76A3E"/>
    <w:rsid w:val="00D77C51"/>
    <w:rsid w:val="00D804A5"/>
    <w:rsid w:val="00D80FB9"/>
    <w:rsid w:val="00D8115A"/>
    <w:rsid w:val="00D811FB"/>
    <w:rsid w:val="00D81276"/>
    <w:rsid w:val="00D8136A"/>
    <w:rsid w:val="00D81807"/>
    <w:rsid w:val="00D81D81"/>
    <w:rsid w:val="00D81DA1"/>
    <w:rsid w:val="00D81EFA"/>
    <w:rsid w:val="00D82486"/>
    <w:rsid w:val="00D82818"/>
    <w:rsid w:val="00D83148"/>
    <w:rsid w:val="00D833DE"/>
    <w:rsid w:val="00D83725"/>
    <w:rsid w:val="00D8398F"/>
    <w:rsid w:val="00D83DAE"/>
    <w:rsid w:val="00D83F80"/>
    <w:rsid w:val="00D83FF9"/>
    <w:rsid w:val="00D84432"/>
    <w:rsid w:val="00D84D60"/>
    <w:rsid w:val="00D84E3F"/>
    <w:rsid w:val="00D85337"/>
    <w:rsid w:val="00D853ED"/>
    <w:rsid w:val="00D85E16"/>
    <w:rsid w:val="00D86386"/>
    <w:rsid w:val="00D864A6"/>
    <w:rsid w:val="00D86AC9"/>
    <w:rsid w:val="00D86C08"/>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139C"/>
    <w:rsid w:val="00D925AA"/>
    <w:rsid w:val="00D92AA2"/>
    <w:rsid w:val="00D92DB9"/>
    <w:rsid w:val="00D92F1A"/>
    <w:rsid w:val="00D92F40"/>
    <w:rsid w:val="00D93B6B"/>
    <w:rsid w:val="00D93D7D"/>
    <w:rsid w:val="00D941F0"/>
    <w:rsid w:val="00D943A4"/>
    <w:rsid w:val="00D94C0B"/>
    <w:rsid w:val="00D95034"/>
    <w:rsid w:val="00D952A6"/>
    <w:rsid w:val="00D953F3"/>
    <w:rsid w:val="00D955D9"/>
    <w:rsid w:val="00D9568F"/>
    <w:rsid w:val="00D95ADE"/>
    <w:rsid w:val="00D95B78"/>
    <w:rsid w:val="00D97394"/>
    <w:rsid w:val="00D973ED"/>
    <w:rsid w:val="00D977DE"/>
    <w:rsid w:val="00D97B9D"/>
    <w:rsid w:val="00D97BD9"/>
    <w:rsid w:val="00DA0016"/>
    <w:rsid w:val="00DA08B5"/>
    <w:rsid w:val="00DA0CC8"/>
    <w:rsid w:val="00DA11B2"/>
    <w:rsid w:val="00DA1B6D"/>
    <w:rsid w:val="00DA1C9A"/>
    <w:rsid w:val="00DA1F03"/>
    <w:rsid w:val="00DA1F7D"/>
    <w:rsid w:val="00DA25D3"/>
    <w:rsid w:val="00DA27A2"/>
    <w:rsid w:val="00DA2AB1"/>
    <w:rsid w:val="00DA3495"/>
    <w:rsid w:val="00DA3D5F"/>
    <w:rsid w:val="00DA4013"/>
    <w:rsid w:val="00DA437F"/>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7259"/>
    <w:rsid w:val="00DA7530"/>
    <w:rsid w:val="00DA758D"/>
    <w:rsid w:val="00DA7754"/>
    <w:rsid w:val="00DA7979"/>
    <w:rsid w:val="00DA79EE"/>
    <w:rsid w:val="00DA7E56"/>
    <w:rsid w:val="00DA7ED2"/>
    <w:rsid w:val="00DB015D"/>
    <w:rsid w:val="00DB030A"/>
    <w:rsid w:val="00DB0A6B"/>
    <w:rsid w:val="00DB0B04"/>
    <w:rsid w:val="00DB0F5E"/>
    <w:rsid w:val="00DB12D6"/>
    <w:rsid w:val="00DB141E"/>
    <w:rsid w:val="00DB1A74"/>
    <w:rsid w:val="00DB1AE7"/>
    <w:rsid w:val="00DB1CBF"/>
    <w:rsid w:val="00DB1E3C"/>
    <w:rsid w:val="00DB1E93"/>
    <w:rsid w:val="00DB2098"/>
    <w:rsid w:val="00DB2154"/>
    <w:rsid w:val="00DB27AE"/>
    <w:rsid w:val="00DB2A33"/>
    <w:rsid w:val="00DB2C9A"/>
    <w:rsid w:val="00DB2E06"/>
    <w:rsid w:val="00DB2EC2"/>
    <w:rsid w:val="00DB2FB5"/>
    <w:rsid w:val="00DB2FCD"/>
    <w:rsid w:val="00DB35BB"/>
    <w:rsid w:val="00DB37C6"/>
    <w:rsid w:val="00DB3C15"/>
    <w:rsid w:val="00DB3D89"/>
    <w:rsid w:val="00DB40D0"/>
    <w:rsid w:val="00DB4343"/>
    <w:rsid w:val="00DB4D94"/>
    <w:rsid w:val="00DB50AC"/>
    <w:rsid w:val="00DB54DF"/>
    <w:rsid w:val="00DB5606"/>
    <w:rsid w:val="00DB560F"/>
    <w:rsid w:val="00DB6019"/>
    <w:rsid w:val="00DB616F"/>
    <w:rsid w:val="00DB617F"/>
    <w:rsid w:val="00DB78BD"/>
    <w:rsid w:val="00DC049D"/>
    <w:rsid w:val="00DC073C"/>
    <w:rsid w:val="00DC0933"/>
    <w:rsid w:val="00DC0A97"/>
    <w:rsid w:val="00DC0B94"/>
    <w:rsid w:val="00DC14DC"/>
    <w:rsid w:val="00DC1726"/>
    <w:rsid w:val="00DC24A4"/>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324"/>
    <w:rsid w:val="00DC53EF"/>
    <w:rsid w:val="00DC5743"/>
    <w:rsid w:val="00DC575B"/>
    <w:rsid w:val="00DC5892"/>
    <w:rsid w:val="00DC6072"/>
    <w:rsid w:val="00DC61A4"/>
    <w:rsid w:val="00DC641E"/>
    <w:rsid w:val="00DC6C2C"/>
    <w:rsid w:val="00DC6D48"/>
    <w:rsid w:val="00DC74EF"/>
    <w:rsid w:val="00DD00A3"/>
    <w:rsid w:val="00DD070A"/>
    <w:rsid w:val="00DD086F"/>
    <w:rsid w:val="00DD13F7"/>
    <w:rsid w:val="00DD1F00"/>
    <w:rsid w:val="00DD214C"/>
    <w:rsid w:val="00DD2969"/>
    <w:rsid w:val="00DD2A87"/>
    <w:rsid w:val="00DD2B15"/>
    <w:rsid w:val="00DD2B4D"/>
    <w:rsid w:val="00DD2D30"/>
    <w:rsid w:val="00DD2EBC"/>
    <w:rsid w:val="00DD2F37"/>
    <w:rsid w:val="00DD3AAA"/>
    <w:rsid w:val="00DD3D85"/>
    <w:rsid w:val="00DD3E54"/>
    <w:rsid w:val="00DD42B7"/>
    <w:rsid w:val="00DD4F20"/>
    <w:rsid w:val="00DD550A"/>
    <w:rsid w:val="00DD560C"/>
    <w:rsid w:val="00DD5F9B"/>
    <w:rsid w:val="00DD5FF5"/>
    <w:rsid w:val="00DD60ED"/>
    <w:rsid w:val="00DD693C"/>
    <w:rsid w:val="00DD6B36"/>
    <w:rsid w:val="00DD723B"/>
    <w:rsid w:val="00DD72AC"/>
    <w:rsid w:val="00DD7335"/>
    <w:rsid w:val="00DD7E7E"/>
    <w:rsid w:val="00DE01E9"/>
    <w:rsid w:val="00DE0B15"/>
    <w:rsid w:val="00DE0BE8"/>
    <w:rsid w:val="00DE0CAD"/>
    <w:rsid w:val="00DE119E"/>
    <w:rsid w:val="00DE181C"/>
    <w:rsid w:val="00DE1BF2"/>
    <w:rsid w:val="00DE1F57"/>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65A0"/>
    <w:rsid w:val="00DE70B7"/>
    <w:rsid w:val="00DF0788"/>
    <w:rsid w:val="00DF08E4"/>
    <w:rsid w:val="00DF09F9"/>
    <w:rsid w:val="00DF0D46"/>
    <w:rsid w:val="00DF1365"/>
    <w:rsid w:val="00DF16E7"/>
    <w:rsid w:val="00DF1CC3"/>
    <w:rsid w:val="00DF2193"/>
    <w:rsid w:val="00DF2492"/>
    <w:rsid w:val="00DF2B16"/>
    <w:rsid w:val="00DF2B9E"/>
    <w:rsid w:val="00DF2D10"/>
    <w:rsid w:val="00DF2D14"/>
    <w:rsid w:val="00DF2E47"/>
    <w:rsid w:val="00DF3006"/>
    <w:rsid w:val="00DF4031"/>
    <w:rsid w:val="00DF40B5"/>
    <w:rsid w:val="00DF4F51"/>
    <w:rsid w:val="00DF50CB"/>
    <w:rsid w:val="00DF65AA"/>
    <w:rsid w:val="00DF67C0"/>
    <w:rsid w:val="00DF6A3E"/>
    <w:rsid w:val="00DF6AE8"/>
    <w:rsid w:val="00DF6BD5"/>
    <w:rsid w:val="00DF6CE0"/>
    <w:rsid w:val="00DF6E80"/>
    <w:rsid w:val="00DF7CDA"/>
    <w:rsid w:val="00DF7CDE"/>
    <w:rsid w:val="00E006A7"/>
    <w:rsid w:val="00E00AAD"/>
    <w:rsid w:val="00E00E90"/>
    <w:rsid w:val="00E01743"/>
    <w:rsid w:val="00E017AC"/>
    <w:rsid w:val="00E01B74"/>
    <w:rsid w:val="00E020C0"/>
    <w:rsid w:val="00E021CF"/>
    <w:rsid w:val="00E024F1"/>
    <w:rsid w:val="00E02BC7"/>
    <w:rsid w:val="00E02D0E"/>
    <w:rsid w:val="00E0345B"/>
    <w:rsid w:val="00E040C1"/>
    <w:rsid w:val="00E04144"/>
    <w:rsid w:val="00E04B6C"/>
    <w:rsid w:val="00E04BE8"/>
    <w:rsid w:val="00E04D00"/>
    <w:rsid w:val="00E05181"/>
    <w:rsid w:val="00E051C2"/>
    <w:rsid w:val="00E056CD"/>
    <w:rsid w:val="00E057C8"/>
    <w:rsid w:val="00E05FFD"/>
    <w:rsid w:val="00E06381"/>
    <w:rsid w:val="00E0664F"/>
    <w:rsid w:val="00E068AD"/>
    <w:rsid w:val="00E06C03"/>
    <w:rsid w:val="00E06C1E"/>
    <w:rsid w:val="00E06E5B"/>
    <w:rsid w:val="00E06EAC"/>
    <w:rsid w:val="00E07005"/>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7C"/>
    <w:rsid w:val="00E119E1"/>
    <w:rsid w:val="00E11A33"/>
    <w:rsid w:val="00E123F0"/>
    <w:rsid w:val="00E12FAB"/>
    <w:rsid w:val="00E1395F"/>
    <w:rsid w:val="00E13B2F"/>
    <w:rsid w:val="00E13E5F"/>
    <w:rsid w:val="00E14129"/>
    <w:rsid w:val="00E14476"/>
    <w:rsid w:val="00E14586"/>
    <w:rsid w:val="00E14794"/>
    <w:rsid w:val="00E149A4"/>
    <w:rsid w:val="00E15D1E"/>
    <w:rsid w:val="00E16378"/>
    <w:rsid w:val="00E16538"/>
    <w:rsid w:val="00E165DE"/>
    <w:rsid w:val="00E16CB1"/>
    <w:rsid w:val="00E1727D"/>
    <w:rsid w:val="00E177C8"/>
    <w:rsid w:val="00E177E0"/>
    <w:rsid w:val="00E17BAF"/>
    <w:rsid w:val="00E17D49"/>
    <w:rsid w:val="00E2028F"/>
    <w:rsid w:val="00E20C99"/>
    <w:rsid w:val="00E20CE2"/>
    <w:rsid w:val="00E20D8A"/>
    <w:rsid w:val="00E20E19"/>
    <w:rsid w:val="00E211A4"/>
    <w:rsid w:val="00E215D8"/>
    <w:rsid w:val="00E218CA"/>
    <w:rsid w:val="00E21C1C"/>
    <w:rsid w:val="00E220FF"/>
    <w:rsid w:val="00E2211A"/>
    <w:rsid w:val="00E22527"/>
    <w:rsid w:val="00E22747"/>
    <w:rsid w:val="00E22900"/>
    <w:rsid w:val="00E23508"/>
    <w:rsid w:val="00E2356F"/>
    <w:rsid w:val="00E236C4"/>
    <w:rsid w:val="00E23B48"/>
    <w:rsid w:val="00E23CA9"/>
    <w:rsid w:val="00E24157"/>
    <w:rsid w:val="00E24226"/>
    <w:rsid w:val="00E248B5"/>
    <w:rsid w:val="00E24F0F"/>
    <w:rsid w:val="00E24F5F"/>
    <w:rsid w:val="00E259C5"/>
    <w:rsid w:val="00E25B48"/>
    <w:rsid w:val="00E25FAA"/>
    <w:rsid w:val="00E26ACE"/>
    <w:rsid w:val="00E270D4"/>
    <w:rsid w:val="00E27368"/>
    <w:rsid w:val="00E27608"/>
    <w:rsid w:val="00E27753"/>
    <w:rsid w:val="00E27898"/>
    <w:rsid w:val="00E27A87"/>
    <w:rsid w:val="00E3006A"/>
    <w:rsid w:val="00E302BB"/>
    <w:rsid w:val="00E30587"/>
    <w:rsid w:val="00E30D6E"/>
    <w:rsid w:val="00E30E09"/>
    <w:rsid w:val="00E31A21"/>
    <w:rsid w:val="00E31EBB"/>
    <w:rsid w:val="00E323E2"/>
    <w:rsid w:val="00E3287D"/>
    <w:rsid w:val="00E32C35"/>
    <w:rsid w:val="00E33045"/>
    <w:rsid w:val="00E33373"/>
    <w:rsid w:val="00E336F7"/>
    <w:rsid w:val="00E33973"/>
    <w:rsid w:val="00E33A83"/>
    <w:rsid w:val="00E33E09"/>
    <w:rsid w:val="00E33E42"/>
    <w:rsid w:val="00E3413B"/>
    <w:rsid w:val="00E3471B"/>
    <w:rsid w:val="00E3491A"/>
    <w:rsid w:val="00E34AED"/>
    <w:rsid w:val="00E34C5B"/>
    <w:rsid w:val="00E35615"/>
    <w:rsid w:val="00E35F0A"/>
    <w:rsid w:val="00E36512"/>
    <w:rsid w:val="00E36658"/>
    <w:rsid w:val="00E36BBC"/>
    <w:rsid w:val="00E3705B"/>
    <w:rsid w:val="00E371BB"/>
    <w:rsid w:val="00E37594"/>
    <w:rsid w:val="00E375A5"/>
    <w:rsid w:val="00E37792"/>
    <w:rsid w:val="00E37867"/>
    <w:rsid w:val="00E37F26"/>
    <w:rsid w:val="00E37F9A"/>
    <w:rsid w:val="00E4087C"/>
    <w:rsid w:val="00E4093D"/>
    <w:rsid w:val="00E40E31"/>
    <w:rsid w:val="00E4166F"/>
    <w:rsid w:val="00E41DE5"/>
    <w:rsid w:val="00E4299E"/>
    <w:rsid w:val="00E42C70"/>
    <w:rsid w:val="00E430D1"/>
    <w:rsid w:val="00E4322A"/>
    <w:rsid w:val="00E4385F"/>
    <w:rsid w:val="00E43D70"/>
    <w:rsid w:val="00E44544"/>
    <w:rsid w:val="00E44F0C"/>
    <w:rsid w:val="00E44FDC"/>
    <w:rsid w:val="00E45325"/>
    <w:rsid w:val="00E4567E"/>
    <w:rsid w:val="00E4592D"/>
    <w:rsid w:val="00E45C87"/>
    <w:rsid w:val="00E46700"/>
    <w:rsid w:val="00E46712"/>
    <w:rsid w:val="00E4688F"/>
    <w:rsid w:val="00E46DD5"/>
    <w:rsid w:val="00E46EA8"/>
    <w:rsid w:val="00E477FD"/>
    <w:rsid w:val="00E47A72"/>
    <w:rsid w:val="00E47DD3"/>
    <w:rsid w:val="00E5008F"/>
    <w:rsid w:val="00E50557"/>
    <w:rsid w:val="00E51117"/>
    <w:rsid w:val="00E513C9"/>
    <w:rsid w:val="00E51CD4"/>
    <w:rsid w:val="00E51E1B"/>
    <w:rsid w:val="00E52028"/>
    <w:rsid w:val="00E522AC"/>
    <w:rsid w:val="00E528B6"/>
    <w:rsid w:val="00E5296F"/>
    <w:rsid w:val="00E52A37"/>
    <w:rsid w:val="00E531B5"/>
    <w:rsid w:val="00E53545"/>
    <w:rsid w:val="00E5414A"/>
    <w:rsid w:val="00E54198"/>
    <w:rsid w:val="00E54450"/>
    <w:rsid w:val="00E54FE9"/>
    <w:rsid w:val="00E550ED"/>
    <w:rsid w:val="00E5513B"/>
    <w:rsid w:val="00E5521E"/>
    <w:rsid w:val="00E55358"/>
    <w:rsid w:val="00E55444"/>
    <w:rsid w:val="00E55B96"/>
    <w:rsid w:val="00E55D2D"/>
    <w:rsid w:val="00E55EB8"/>
    <w:rsid w:val="00E562B6"/>
    <w:rsid w:val="00E565A5"/>
    <w:rsid w:val="00E566F4"/>
    <w:rsid w:val="00E566FD"/>
    <w:rsid w:val="00E569C8"/>
    <w:rsid w:val="00E56D52"/>
    <w:rsid w:val="00E56D9F"/>
    <w:rsid w:val="00E56FFE"/>
    <w:rsid w:val="00E5706F"/>
    <w:rsid w:val="00E57389"/>
    <w:rsid w:val="00E576C6"/>
    <w:rsid w:val="00E60461"/>
    <w:rsid w:val="00E60487"/>
    <w:rsid w:val="00E60858"/>
    <w:rsid w:val="00E608E5"/>
    <w:rsid w:val="00E61BB2"/>
    <w:rsid w:val="00E61BC7"/>
    <w:rsid w:val="00E61BF9"/>
    <w:rsid w:val="00E62142"/>
    <w:rsid w:val="00E62166"/>
    <w:rsid w:val="00E6222F"/>
    <w:rsid w:val="00E625DE"/>
    <w:rsid w:val="00E62B49"/>
    <w:rsid w:val="00E62E38"/>
    <w:rsid w:val="00E632C0"/>
    <w:rsid w:val="00E635C6"/>
    <w:rsid w:val="00E63C99"/>
    <w:rsid w:val="00E63E80"/>
    <w:rsid w:val="00E640F3"/>
    <w:rsid w:val="00E64255"/>
    <w:rsid w:val="00E643ED"/>
    <w:rsid w:val="00E64465"/>
    <w:rsid w:val="00E64588"/>
    <w:rsid w:val="00E64C41"/>
    <w:rsid w:val="00E64FC2"/>
    <w:rsid w:val="00E651A8"/>
    <w:rsid w:val="00E655C5"/>
    <w:rsid w:val="00E65D30"/>
    <w:rsid w:val="00E65DB0"/>
    <w:rsid w:val="00E65EB4"/>
    <w:rsid w:val="00E66299"/>
    <w:rsid w:val="00E66673"/>
    <w:rsid w:val="00E668E8"/>
    <w:rsid w:val="00E67280"/>
    <w:rsid w:val="00E67570"/>
    <w:rsid w:val="00E678C9"/>
    <w:rsid w:val="00E67B35"/>
    <w:rsid w:val="00E70030"/>
    <w:rsid w:val="00E70484"/>
    <w:rsid w:val="00E7091E"/>
    <w:rsid w:val="00E710F5"/>
    <w:rsid w:val="00E71131"/>
    <w:rsid w:val="00E714FD"/>
    <w:rsid w:val="00E717F8"/>
    <w:rsid w:val="00E718E0"/>
    <w:rsid w:val="00E71B0F"/>
    <w:rsid w:val="00E71F35"/>
    <w:rsid w:val="00E7236A"/>
    <w:rsid w:val="00E72584"/>
    <w:rsid w:val="00E728C4"/>
    <w:rsid w:val="00E72DE6"/>
    <w:rsid w:val="00E730A9"/>
    <w:rsid w:val="00E732EB"/>
    <w:rsid w:val="00E73832"/>
    <w:rsid w:val="00E7398E"/>
    <w:rsid w:val="00E73DEA"/>
    <w:rsid w:val="00E73F52"/>
    <w:rsid w:val="00E74526"/>
    <w:rsid w:val="00E75283"/>
    <w:rsid w:val="00E752C9"/>
    <w:rsid w:val="00E7531A"/>
    <w:rsid w:val="00E7557C"/>
    <w:rsid w:val="00E75662"/>
    <w:rsid w:val="00E75909"/>
    <w:rsid w:val="00E759BE"/>
    <w:rsid w:val="00E75E82"/>
    <w:rsid w:val="00E75FEB"/>
    <w:rsid w:val="00E76553"/>
    <w:rsid w:val="00E76615"/>
    <w:rsid w:val="00E77A8B"/>
    <w:rsid w:val="00E80014"/>
    <w:rsid w:val="00E8039D"/>
    <w:rsid w:val="00E804C6"/>
    <w:rsid w:val="00E8061F"/>
    <w:rsid w:val="00E80AB3"/>
    <w:rsid w:val="00E80CA9"/>
    <w:rsid w:val="00E8149C"/>
    <w:rsid w:val="00E8161D"/>
    <w:rsid w:val="00E8227B"/>
    <w:rsid w:val="00E827B5"/>
    <w:rsid w:val="00E83486"/>
    <w:rsid w:val="00E8348B"/>
    <w:rsid w:val="00E83B39"/>
    <w:rsid w:val="00E83E90"/>
    <w:rsid w:val="00E83EB7"/>
    <w:rsid w:val="00E8408B"/>
    <w:rsid w:val="00E84152"/>
    <w:rsid w:val="00E844AE"/>
    <w:rsid w:val="00E84FE1"/>
    <w:rsid w:val="00E8504A"/>
    <w:rsid w:val="00E850F6"/>
    <w:rsid w:val="00E855FC"/>
    <w:rsid w:val="00E857BF"/>
    <w:rsid w:val="00E859E1"/>
    <w:rsid w:val="00E85B54"/>
    <w:rsid w:val="00E85BF2"/>
    <w:rsid w:val="00E85EC3"/>
    <w:rsid w:val="00E86117"/>
    <w:rsid w:val="00E862D7"/>
    <w:rsid w:val="00E863A9"/>
    <w:rsid w:val="00E86E9C"/>
    <w:rsid w:val="00E86F81"/>
    <w:rsid w:val="00E87356"/>
    <w:rsid w:val="00E8751A"/>
    <w:rsid w:val="00E875E6"/>
    <w:rsid w:val="00E87794"/>
    <w:rsid w:val="00E8782F"/>
    <w:rsid w:val="00E87FAE"/>
    <w:rsid w:val="00E90115"/>
    <w:rsid w:val="00E90234"/>
    <w:rsid w:val="00E90537"/>
    <w:rsid w:val="00E90730"/>
    <w:rsid w:val="00E90DA6"/>
    <w:rsid w:val="00E91945"/>
    <w:rsid w:val="00E91D83"/>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593"/>
    <w:rsid w:val="00E956A1"/>
    <w:rsid w:val="00E9583E"/>
    <w:rsid w:val="00E95A5F"/>
    <w:rsid w:val="00E95DD2"/>
    <w:rsid w:val="00E96569"/>
    <w:rsid w:val="00E966F5"/>
    <w:rsid w:val="00E96ACF"/>
    <w:rsid w:val="00E97100"/>
    <w:rsid w:val="00E9722C"/>
    <w:rsid w:val="00E97D54"/>
    <w:rsid w:val="00EA038B"/>
    <w:rsid w:val="00EA0A6D"/>
    <w:rsid w:val="00EA0EB1"/>
    <w:rsid w:val="00EA0F8D"/>
    <w:rsid w:val="00EA148C"/>
    <w:rsid w:val="00EA19C4"/>
    <w:rsid w:val="00EA1F23"/>
    <w:rsid w:val="00EA24BE"/>
    <w:rsid w:val="00EA2611"/>
    <w:rsid w:val="00EA285A"/>
    <w:rsid w:val="00EA29FD"/>
    <w:rsid w:val="00EA2A08"/>
    <w:rsid w:val="00EA2F02"/>
    <w:rsid w:val="00EA3113"/>
    <w:rsid w:val="00EA33E0"/>
    <w:rsid w:val="00EA363B"/>
    <w:rsid w:val="00EA3960"/>
    <w:rsid w:val="00EA3A5A"/>
    <w:rsid w:val="00EA4226"/>
    <w:rsid w:val="00EA4236"/>
    <w:rsid w:val="00EA4ADC"/>
    <w:rsid w:val="00EA4B61"/>
    <w:rsid w:val="00EA4B84"/>
    <w:rsid w:val="00EA4FA9"/>
    <w:rsid w:val="00EA501B"/>
    <w:rsid w:val="00EA52C7"/>
    <w:rsid w:val="00EA52E1"/>
    <w:rsid w:val="00EA5882"/>
    <w:rsid w:val="00EA5953"/>
    <w:rsid w:val="00EA68D8"/>
    <w:rsid w:val="00EA6A98"/>
    <w:rsid w:val="00EA747E"/>
    <w:rsid w:val="00EB0334"/>
    <w:rsid w:val="00EB11A6"/>
    <w:rsid w:val="00EB1443"/>
    <w:rsid w:val="00EB1ACE"/>
    <w:rsid w:val="00EB1B3E"/>
    <w:rsid w:val="00EB20F5"/>
    <w:rsid w:val="00EB24C5"/>
    <w:rsid w:val="00EB2710"/>
    <w:rsid w:val="00EB2C46"/>
    <w:rsid w:val="00EB3B4B"/>
    <w:rsid w:val="00EB3DC9"/>
    <w:rsid w:val="00EB448B"/>
    <w:rsid w:val="00EB4510"/>
    <w:rsid w:val="00EB5972"/>
    <w:rsid w:val="00EB5D4C"/>
    <w:rsid w:val="00EB736A"/>
    <w:rsid w:val="00EC0A71"/>
    <w:rsid w:val="00EC0C4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AEE"/>
    <w:rsid w:val="00EC60DD"/>
    <w:rsid w:val="00EC6AEA"/>
    <w:rsid w:val="00EC70C7"/>
    <w:rsid w:val="00EC729E"/>
    <w:rsid w:val="00EC72E4"/>
    <w:rsid w:val="00EC75B4"/>
    <w:rsid w:val="00ED0160"/>
    <w:rsid w:val="00ED03AF"/>
    <w:rsid w:val="00ED03BB"/>
    <w:rsid w:val="00ED05B8"/>
    <w:rsid w:val="00ED06D7"/>
    <w:rsid w:val="00ED08BE"/>
    <w:rsid w:val="00ED08EF"/>
    <w:rsid w:val="00ED0E1D"/>
    <w:rsid w:val="00ED13A5"/>
    <w:rsid w:val="00ED13AC"/>
    <w:rsid w:val="00ED13FC"/>
    <w:rsid w:val="00ED1571"/>
    <w:rsid w:val="00ED164D"/>
    <w:rsid w:val="00ED17D0"/>
    <w:rsid w:val="00ED1A31"/>
    <w:rsid w:val="00ED1C06"/>
    <w:rsid w:val="00ED1D82"/>
    <w:rsid w:val="00ED1D86"/>
    <w:rsid w:val="00ED1DF3"/>
    <w:rsid w:val="00ED2BDA"/>
    <w:rsid w:val="00ED2BFA"/>
    <w:rsid w:val="00ED2FDA"/>
    <w:rsid w:val="00ED3321"/>
    <w:rsid w:val="00ED3AD9"/>
    <w:rsid w:val="00ED3C21"/>
    <w:rsid w:val="00ED3D80"/>
    <w:rsid w:val="00ED3EDA"/>
    <w:rsid w:val="00ED4051"/>
    <w:rsid w:val="00ED433B"/>
    <w:rsid w:val="00ED4F33"/>
    <w:rsid w:val="00ED5008"/>
    <w:rsid w:val="00ED552B"/>
    <w:rsid w:val="00ED5723"/>
    <w:rsid w:val="00ED5C2C"/>
    <w:rsid w:val="00ED5FB4"/>
    <w:rsid w:val="00ED68B3"/>
    <w:rsid w:val="00ED68FD"/>
    <w:rsid w:val="00ED6957"/>
    <w:rsid w:val="00ED69E3"/>
    <w:rsid w:val="00ED6BEF"/>
    <w:rsid w:val="00ED6D3F"/>
    <w:rsid w:val="00ED7518"/>
    <w:rsid w:val="00ED776E"/>
    <w:rsid w:val="00ED77A2"/>
    <w:rsid w:val="00ED7A5E"/>
    <w:rsid w:val="00ED7D57"/>
    <w:rsid w:val="00EE02C7"/>
    <w:rsid w:val="00EE051F"/>
    <w:rsid w:val="00EE0C88"/>
    <w:rsid w:val="00EE0CAA"/>
    <w:rsid w:val="00EE1096"/>
    <w:rsid w:val="00EE14D8"/>
    <w:rsid w:val="00EE16D3"/>
    <w:rsid w:val="00EE20F3"/>
    <w:rsid w:val="00EE2B7E"/>
    <w:rsid w:val="00EE2C4F"/>
    <w:rsid w:val="00EE368E"/>
    <w:rsid w:val="00EE38A0"/>
    <w:rsid w:val="00EE3AB2"/>
    <w:rsid w:val="00EE4344"/>
    <w:rsid w:val="00EE457B"/>
    <w:rsid w:val="00EE491E"/>
    <w:rsid w:val="00EE4EFD"/>
    <w:rsid w:val="00EE4F79"/>
    <w:rsid w:val="00EE509E"/>
    <w:rsid w:val="00EE518B"/>
    <w:rsid w:val="00EE5194"/>
    <w:rsid w:val="00EE5424"/>
    <w:rsid w:val="00EE5652"/>
    <w:rsid w:val="00EE5A01"/>
    <w:rsid w:val="00EE5FBB"/>
    <w:rsid w:val="00EE6122"/>
    <w:rsid w:val="00EE63FD"/>
    <w:rsid w:val="00EE6461"/>
    <w:rsid w:val="00EE651A"/>
    <w:rsid w:val="00EE66BA"/>
    <w:rsid w:val="00EE6CCA"/>
    <w:rsid w:val="00EE6DC1"/>
    <w:rsid w:val="00EE703A"/>
    <w:rsid w:val="00EE7244"/>
    <w:rsid w:val="00EE7346"/>
    <w:rsid w:val="00EE7F14"/>
    <w:rsid w:val="00EF0138"/>
    <w:rsid w:val="00EF0198"/>
    <w:rsid w:val="00EF04CD"/>
    <w:rsid w:val="00EF05AB"/>
    <w:rsid w:val="00EF08BC"/>
    <w:rsid w:val="00EF0E69"/>
    <w:rsid w:val="00EF149D"/>
    <w:rsid w:val="00EF15AD"/>
    <w:rsid w:val="00EF17A5"/>
    <w:rsid w:val="00EF1B1C"/>
    <w:rsid w:val="00EF1B22"/>
    <w:rsid w:val="00EF1F43"/>
    <w:rsid w:val="00EF2B2E"/>
    <w:rsid w:val="00EF34A8"/>
    <w:rsid w:val="00EF35AA"/>
    <w:rsid w:val="00EF39AB"/>
    <w:rsid w:val="00EF3D8B"/>
    <w:rsid w:val="00EF3DBE"/>
    <w:rsid w:val="00EF3E00"/>
    <w:rsid w:val="00EF425B"/>
    <w:rsid w:val="00EF43C5"/>
    <w:rsid w:val="00EF4751"/>
    <w:rsid w:val="00EF47F3"/>
    <w:rsid w:val="00EF4C02"/>
    <w:rsid w:val="00EF50EF"/>
    <w:rsid w:val="00EF5281"/>
    <w:rsid w:val="00EF5640"/>
    <w:rsid w:val="00EF5BD3"/>
    <w:rsid w:val="00EF66DC"/>
    <w:rsid w:val="00EF6B09"/>
    <w:rsid w:val="00EF6B94"/>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4BB"/>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27E7"/>
    <w:rsid w:val="00F130A4"/>
    <w:rsid w:val="00F133CD"/>
    <w:rsid w:val="00F13892"/>
    <w:rsid w:val="00F1391E"/>
    <w:rsid w:val="00F13974"/>
    <w:rsid w:val="00F13A73"/>
    <w:rsid w:val="00F13C84"/>
    <w:rsid w:val="00F1409C"/>
    <w:rsid w:val="00F1442D"/>
    <w:rsid w:val="00F14D29"/>
    <w:rsid w:val="00F1524D"/>
    <w:rsid w:val="00F1588C"/>
    <w:rsid w:val="00F15D91"/>
    <w:rsid w:val="00F15DBF"/>
    <w:rsid w:val="00F15FE0"/>
    <w:rsid w:val="00F160F3"/>
    <w:rsid w:val="00F16231"/>
    <w:rsid w:val="00F163C4"/>
    <w:rsid w:val="00F16740"/>
    <w:rsid w:val="00F16CBC"/>
    <w:rsid w:val="00F1754B"/>
    <w:rsid w:val="00F17792"/>
    <w:rsid w:val="00F17A93"/>
    <w:rsid w:val="00F17CD8"/>
    <w:rsid w:val="00F17D5C"/>
    <w:rsid w:val="00F17D87"/>
    <w:rsid w:val="00F17F85"/>
    <w:rsid w:val="00F202D1"/>
    <w:rsid w:val="00F20760"/>
    <w:rsid w:val="00F2082B"/>
    <w:rsid w:val="00F20860"/>
    <w:rsid w:val="00F20C1B"/>
    <w:rsid w:val="00F21177"/>
    <w:rsid w:val="00F211E5"/>
    <w:rsid w:val="00F212BB"/>
    <w:rsid w:val="00F21484"/>
    <w:rsid w:val="00F21667"/>
    <w:rsid w:val="00F216BA"/>
    <w:rsid w:val="00F21CFE"/>
    <w:rsid w:val="00F21D7B"/>
    <w:rsid w:val="00F2220C"/>
    <w:rsid w:val="00F227B1"/>
    <w:rsid w:val="00F235BA"/>
    <w:rsid w:val="00F2376B"/>
    <w:rsid w:val="00F23D20"/>
    <w:rsid w:val="00F24105"/>
    <w:rsid w:val="00F247A1"/>
    <w:rsid w:val="00F24A0B"/>
    <w:rsid w:val="00F24C92"/>
    <w:rsid w:val="00F24E6A"/>
    <w:rsid w:val="00F25AAA"/>
    <w:rsid w:val="00F25C04"/>
    <w:rsid w:val="00F25EFD"/>
    <w:rsid w:val="00F26482"/>
    <w:rsid w:val="00F26DE6"/>
    <w:rsid w:val="00F27068"/>
    <w:rsid w:val="00F271CC"/>
    <w:rsid w:val="00F27562"/>
    <w:rsid w:val="00F27666"/>
    <w:rsid w:val="00F276CB"/>
    <w:rsid w:val="00F27936"/>
    <w:rsid w:val="00F27F36"/>
    <w:rsid w:val="00F30437"/>
    <w:rsid w:val="00F31596"/>
    <w:rsid w:val="00F316E4"/>
    <w:rsid w:val="00F31D39"/>
    <w:rsid w:val="00F31F35"/>
    <w:rsid w:val="00F320B2"/>
    <w:rsid w:val="00F3214C"/>
    <w:rsid w:val="00F3295C"/>
    <w:rsid w:val="00F32A10"/>
    <w:rsid w:val="00F32C88"/>
    <w:rsid w:val="00F32ED0"/>
    <w:rsid w:val="00F32F22"/>
    <w:rsid w:val="00F3349F"/>
    <w:rsid w:val="00F336CC"/>
    <w:rsid w:val="00F3388E"/>
    <w:rsid w:val="00F3448A"/>
    <w:rsid w:val="00F346AC"/>
    <w:rsid w:val="00F3489D"/>
    <w:rsid w:val="00F34DCB"/>
    <w:rsid w:val="00F350B2"/>
    <w:rsid w:val="00F3517E"/>
    <w:rsid w:val="00F356E9"/>
    <w:rsid w:val="00F3573A"/>
    <w:rsid w:val="00F35810"/>
    <w:rsid w:val="00F3656B"/>
    <w:rsid w:val="00F365AE"/>
    <w:rsid w:val="00F367C4"/>
    <w:rsid w:val="00F36A64"/>
    <w:rsid w:val="00F36AC1"/>
    <w:rsid w:val="00F36C73"/>
    <w:rsid w:val="00F36CF8"/>
    <w:rsid w:val="00F370AF"/>
    <w:rsid w:val="00F372CE"/>
    <w:rsid w:val="00F37490"/>
    <w:rsid w:val="00F3764A"/>
    <w:rsid w:val="00F377CB"/>
    <w:rsid w:val="00F404F0"/>
    <w:rsid w:val="00F4086D"/>
    <w:rsid w:val="00F40A82"/>
    <w:rsid w:val="00F40EEA"/>
    <w:rsid w:val="00F40F57"/>
    <w:rsid w:val="00F410D0"/>
    <w:rsid w:val="00F41F98"/>
    <w:rsid w:val="00F42111"/>
    <w:rsid w:val="00F4278D"/>
    <w:rsid w:val="00F4293C"/>
    <w:rsid w:val="00F437B5"/>
    <w:rsid w:val="00F43902"/>
    <w:rsid w:val="00F43908"/>
    <w:rsid w:val="00F43A2F"/>
    <w:rsid w:val="00F43A74"/>
    <w:rsid w:val="00F44032"/>
    <w:rsid w:val="00F44CCB"/>
    <w:rsid w:val="00F45147"/>
    <w:rsid w:val="00F452CC"/>
    <w:rsid w:val="00F455B6"/>
    <w:rsid w:val="00F45B67"/>
    <w:rsid w:val="00F45E63"/>
    <w:rsid w:val="00F461C3"/>
    <w:rsid w:val="00F4727F"/>
    <w:rsid w:val="00F4732B"/>
    <w:rsid w:val="00F47C1E"/>
    <w:rsid w:val="00F47CB8"/>
    <w:rsid w:val="00F47EA4"/>
    <w:rsid w:val="00F50042"/>
    <w:rsid w:val="00F50461"/>
    <w:rsid w:val="00F5087A"/>
    <w:rsid w:val="00F50D0C"/>
    <w:rsid w:val="00F50F0B"/>
    <w:rsid w:val="00F51372"/>
    <w:rsid w:val="00F51ABB"/>
    <w:rsid w:val="00F51B41"/>
    <w:rsid w:val="00F51D8E"/>
    <w:rsid w:val="00F5263D"/>
    <w:rsid w:val="00F52A53"/>
    <w:rsid w:val="00F52B7A"/>
    <w:rsid w:val="00F5300D"/>
    <w:rsid w:val="00F53188"/>
    <w:rsid w:val="00F533BE"/>
    <w:rsid w:val="00F53424"/>
    <w:rsid w:val="00F53523"/>
    <w:rsid w:val="00F5352D"/>
    <w:rsid w:val="00F539BF"/>
    <w:rsid w:val="00F53CD4"/>
    <w:rsid w:val="00F53D8C"/>
    <w:rsid w:val="00F53E65"/>
    <w:rsid w:val="00F53FED"/>
    <w:rsid w:val="00F5416D"/>
    <w:rsid w:val="00F545D5"/>
    <w:rsid w:val="00F5477F"/>
    <w:rsid w:val="00F55285"/>
    <w:rsid w:val="00F556DB"/>
    <w:rsid w:val="00F55E0B"/>
    <w:rsid w:val="00F560FD"/>
    <w:rsid w:val="00F5645B"/>
    <w:rsid w:val="00F5672A"/>
    <w:rsid w:val="00F568A1"/>
    <w:rsid w:val="00F56BF1"/>
    <w:rsid w:val="00F57323"/>
    <w:rsid w:val="00F57511"/>
    <w:rsid w:val="00F57787"/>
    <w:rsid w:val="00F57CAA"/>
    <w:rsid w:val="00F608C6"/>
    <w:rsid w:val="00F60EA8"/>
    <w:rsid w:val="00F616C1"/>
    <w:rsid w:val="00F618AC"/>
    <w:rsid w:val="00F6200A"/>
    <w:rsid w:val="00F622A1"/>
    <w:rsid w:val="00F622DF"/>
    <w:rsid w:val="00F62432"/>
    <w:rsid w:val="00F6275A"/>
    <w:rsid w:val="00F6299C"/>
    <w:rsid w:val="00F62A9B"/>
    <w:rsid w:val="00F62CED"/>
    <w:rsid w:val="00F6324B"/>
    <w:rsid w:val="00F63BC6"/>
    <w:rsid w:val="00F64138"/>
    <w:rsid w:val="00F64DDC"/>
    <w:rsid w:val="00F65244"/>
    <w:rsid w:val="00F65597"/>
    <w:rsid w:val="00F657AC"/>
    <w:rsid w:val="00F65A6F"/>
    <w:rsid w:val="00F65BAF"/>
    <w:rsid w:val="00F66497"/>
    <w:rsid w:val="00F665CB"/>
    <w:rsid w:val="00F66979"/>
    <w:rsid w:val="00F66A85"/>
    <w:rsid w:val="00F66B64"/>
    <w:rsid w:val="00F66F21"/>
    <w:rsid w:val="00F67419"/>
    <w:rsid w:val="00F67997"/>
    <w:rsid w:val="00F702E5"/>
    <w:rsid w:val="00F70AB5"/>
    <w:rsid w:val="00F7117C"/>
    <w:rsid w:val="00F71487"/>
    <w:rsid w:val="00F72007"/>
    <w:rsid w:val="00F72021"/>
    <w:rsid w:val="00F724E3"/>
    <w:rsid w:val="00F72534"/>
    <w:rsid w:val="00F72CF3"/>
    <w:rsid w:val="00F72E18"/>
    <w:rsid w:val="00F73538"/>
    <w:rsid w:val="00F73E3D"/>
    <w:rsid w:val="00F73EFB"/>
    <w:rsid w:val="00F7404D"/>
    <w:rsid w:val="00F740D2"/>
    <w:rsid w:val="00F7425C"/>
    <w:rsid w:val="00F74577"/>
    <w:rsid w:val="00F74F73"/>
    <w:rsid w:val="00F75052"/>
    <w:rsid w:val="00F754BD"/>
    <w:rsid w:val="00F76319"/>
    <w:rsid w:val="00F7684E"/>
    <w:rsid w:val="00F769CD"/>
    <w:rsid w:val="00F76F69"/>
    <w:rsid w:val="00F773C8"/>
    <w:rsid w:val="00F774B1"/>
    <w:rsid w:val="00F779C8"/>
    <w:rsid w:val="00F77A8A"/>
    <w:rsid w:val="00F77DCC"/>
    <w:rsid w:val="00F80CF2"/>
    <w:rsid w:val="00F80D7F"/>
    <w:rsid w:val="00F810DD"/>
    <w:rsid w:val="00F813EB"/>
    <w:rsid w:val="00F8153A"/>
    <w:rsid w:val="00F81556"/>
    <w:rsid w:val="00F81EB2"/>
    <w:rsid w:val="00F82E49"/>
    <w:rsid w:val="00F82F8C"/>
    <w:rsid w:val="00F832F1"/>
    <w:rsid w:val="00F83C8D"/>
    <w:rsid w:val="00F84030"/>
    <w:rsid w:val="00F84576"/>
    <w:rsid w:val="00F84FA4"/>
    <w:rsid w:val="00F8520D"/>
    <w:rsid w:val="00F855A8"/>
    <w:rsid w:val="00F85977"/>
    <w:rsid w:val="00F85D97"/>
    <w:rsid w:val="00F86258"/>
    <w:rsid w:val="00F86316"/>
    <w:rsid w:val="00F8684A"/>
    <w:rsid w:val="00F868AF"/>
    <w:rsid w:val="00F86C23"/>
    <w:rsid w:val="00F86F94"/>
    <w:rsid w:val="00F87022"/>
    <w:rsid w:val="00F87343"/>
    <w:rsid w:val="00F8734A"/>
    <w:rsid w:val="00F87383"/>
    <w:rsid w:val="00F873DC"/>
    <w:rsid w:val="00F901AB"/>
    <w:rsid w:val="00F90790"/>
    <w:rsid w:val="00F90BF5"/>
    <w:rsid w:val="00F90F19"/>
    <w:rsid w:val="00F91B00"/>
    <w:rsid w:val="00F91E45"/>
    <w:rsid w:val="00F91EA6"/>
    <w:rsid w:val="00F92084"/>
    <w:rsid w:val="00F9256F"/>
    <w:rsid w:val="00F9286B"/>
    <w:rsid w:val="00F92E6B"/>
    <w:rsid w:val="00F93533"/>
    <w:rsid w:val="00F93B15"/>
    <w:rsid w:val="00F93B8D"/>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6C55"/>
    <w:rsid w:val="00F96C99"/>
    <w:rsid w:val="00F970D8"/>
    <w:rsid w:val="00F971DB"/>
    <w:rsid w:val="00F971E0"/>
    <w:rsid w:val="00F9723E"/>
    <w:rsid w:val="00F9788F"/>
    <w:rsid w:val="00F97DD3"/>
    <w:rsid w:val="00F97DEF"/>
    <w:rsid w:val="00F97E23"/>
    <w:rsid w:val="00F97F79"/>
    <w:rsid w:val="00FA0870"/>
    <w:rsid w:val="00FA0B13"/>
    <w:rsid w:val="00FA0C4E"/>
    <w:rsid w:val="00FA1C42"/>
    <w:rsid w:val="00FA1C68"/>
    <w:rsid w:val="00FA1CE9"/>
    <w:rsid w:val="00FA1E79"/>
    <w:rsid w:val="00FA223B"/>
    <w:rsid w:val="00FA24CE"/>
    <w:rsid w:val="00FA2556"/>
    <w:rsid w:val="00FA2625"/>
    <w:rsid w:val="00FA288C"/>
    <w:rsid w:val="00FA2A08"/>
    <w:rsid w:val="00FA2DA9"/>
    <w:rsid w:val="00FA2EC7"/>
    <w:rsid w:val="00FA303C"/>
    <w:rsid w:val="00FA3445"/>
    <w:rsid w:val="00FA36BA"/>
    <w:rsid w:val="00FA3FB6"/>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C43"/>
    <w:rsid w:val="00FB040D"/>
    <w:rsid w:val="00FB0549"/>
    <w:rsid w:val="00FB05AE"/>
    <w:rsid w:val="00FB08F3"/>
    <w:rsid w:val="00FB095D"/>
    <w:rsid w:val="00FB0D60"/>
    <w:rsid w:val="00FB1191"/>
    <w:rsid w:val="00FB127E"/>
    <w:rsid w:val="00FB18CA"/>
    <w:rsid w:val="00FB1A9B"/>
    <w:rsid w:val="00FB1D17"/>
    <w:rsid w:val="00FB1FEC"/>
    <w:rsid w:val="00FB20DC"/>
    <w:rsid w:val="00FB20F4"/>
    <w:rsid w:val="00FB23C7"/>
    <w:rsid w:val="00FB2E10"/>
    <w:rsid w:val="00FB31B3"/>
    <w:rsid w:val="00FB336A"/>
    <w:rsid w:val="00FB3520"/>
    <w:rsid w:val="00FB3659"/>
    <w:rsid w:val="00FB3DAE"/>
    <w:rsid w:val="00FB3DB2"/>
    <w:rsid w:val="00FB40B9"/>
    <w:rsid w:val="00FB4187"/>
    <w:rsid w:val="00FB4240"/>
    <w:rsid w:val="00FB48F3"/>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AAF"/>
    <w:rsid w:val="00FB7D7A"/>
    <w:rsid w:val="00FB7EDC"/>
    <w:rsid w:val="00FC1205"/>
    <w:rsid w:val="00FC1928"/>
    <w:rsid w:val="00FC192D"/>
    <w:rsid w:val="00FC1C91"/>
    <w:rsid w:val="00FC2817"/>
    <w:rsid w:val="00FC2E32"/>
    <w:rsid w:val="00FC2EE7"/>
    <w:rsid w:val="00FC3574"/>
    <w:rsid w:val="00FC3ADF"/>
    <w:rsid w:val="00FC3D85"/>
    <w:rsid w:val="00FC3E97"/>
    <w:rsid w:val="00FC3F76"/>
    <w:rsid w:val="00FC3FBF"/>
    <w:rsid w:val="00FC4D3E"/>
    <w:rsid w:val="00FC4DDA"/>
    <w:rsid w:val="00FC4FA9"/>
    <w:rsid w:val="00FC534C"/>
    <w:rsid w:val="00FC5A05"/>
    <w:rsid w:val="00FC5C11"/>
    <w:rsid w:val="00FC603D"/>
    <w:rsid w:val="00FC6203"/>
    <w:rsid w:val="00FC6E28"/>
    <w:rsid w:val="00FC7178"/>
    <w:rsid w:val="00FC7867"/>
    <w:rsid w:val="00FC7E2A"/>
    <w:rsid w:val="00FC7F88"/>
    <w:rsid w:val="00FD0148"/>
    <w:rsid w:val="00FD0168"/>
    <w:rsid w:val="00FD016A"/>
    <w:rsid w:val="00FD0598"/>
    <w:rsid w:val="00FD062D"/>
    <w:rsid w:val="00FD0A3A"/>
    <w:rsid w:val="00FD0B27"/>
    <w:rsid w:val="00FD11E5"/>
    <w:rsid w:val="00FD14B4"/>
    <w:rsid w:val="00FD15F4"/>
    <w:rsid w:val="00FD1E8D"/>
    <w:rsid w:val="00FD249A"/>
    <w:rsid w:val="00FD2CC7"/>
    <w:rsid w:val="00FD324B"/>
    <w:rsid w:val="00FD3455"/>
    <w:rsid w:val="00FD3858"/>
    <w:rsid w:val="00FD3A95"/>
    <w:rsid w:val="00FD3DDB"/>
    <w:rsid w:val="00FD4223"/>
    <w:rsid w:val="00FD44FB"/>
    <w:rsid w:val="00FD478D"/>
    <w:rsid w:val="00FD47A4"/>
    <w:rsid w:val="00FD5088"/>
    <w:rsid w:val="00FD50B8"/>
    <w:rsid w:val="00FD5646"/>
    <w:rsid w:val="00FD568E"/>
    <w:rsid w:val="00FD5B49"/>
    <w:rsid w:val="00FD6AD6"/>
    <w:rsid w:val="00FD6D41"/>
    <w:rsid w:val="00FD6E92"/>
    <w:rsid w:val="00FD7189"/>
    <w:rsid w:val="00FD72EE"/>
    <w:rsid w:val="00FD76C4"/>
    <w:rsid w:val="00FD7C79"/>
    <w:rsid w:val="00FD7D05"/>
    <w:rsid w:val="00FE0C8A"/>
    <w:rsid w:val="00FE0D7D"/>
    <w:rsid w:val="00FE1021"/>
    <w:rsid w:val="00FE13B7"/>
    <w:rsid w:val="00FE17F0"/>
    <w:rsid w:val="00FE1E4F"/>
    <w:rsid w:val="00FE22D4"/>
    <w:rsid w:val="00FE22E6"/>
    <w:rsid w:val="00FE2BAB"/>
    <w:rsid w:val="00FE2DFE"/>
    <w:rsid w:val="00FE3128"/>
    <w:rsid w:val="00FE3C33"/>
    <w:rsid w:val="00FE3E93"/>
    <w:rsid w:val="00FE42DF"/>
    <w:rsid w:val="00FE46BD"/>
    <w:rsid w:val="00FE490F"/>
    <w:rsid w:val="00FE494F"/>
    <w:rsid w:val="00FE4B50"/>
    <w:rsid w:val="00FE5761"/>
    <w:rsid w:val="00FE5C76"/>
    <w:rsid w:val="00FE5EA8"/>
    <w:rsid w:val="00FE6103"/>
    <w:rsid w:val="00FE618D"/>
    <w:rsid w:val="00FE648A"/>
    <w:rsid w:val="00FE64F0"/>
    <w:rsid w:val="00FE6757"/>
    <w:rsid w:val="00FE698D"/>
    <w:rsid w:val="00FE737F"/>
    <w:rsid w:val="00FF068E"/>
    <w:rsid w:val="00FF0BE2"/>
    <w:rsid w:val="00FF0C0B"/>
    <w:rsid w:val="00FF0C54"/>
    <w:rsid w:val="00FF0F68"/>
    <w:rsid w:val="00FF131E"/>
    <w:rsid w:val="00FF14B2"/>
    <w:rsid w:val="00FF15EF"/>
    <w:rsid w:val="00FF1634"/>
    <w:rsid w:val="00FF1985"/>
    <w:rsid w:val="00FF1E67"/>
    <w:rsid w:val="00FF1F63"/>
    <w:rsid w:val="00FF276D"/>
    <w:rsid w:val="00FF27DC"/>
    <w:rsid w:val="00FF27E5"/>
    <w:rsid w:val="00FF2EFB"/>
    <w:rsid w:val="00FF31CA"/>
    <w:rsid w:val="00FF3250"/>
    <w:rsid w:val="00FF3328"/>
    <w:rsid w:val="00FF3426"/>
    <w:rsid w:val="00FF34C4"/>
    <w:rsid w:val="00FF3AA9"/>
    <w:rsid w:val="00FF3F99"/>
    <w:rsid w:val="00FF474C"/>
    <w:rsid w:val="00FF49F4"/>
    <w:rsid w:val="00FF4C3A"/>
    <w:rsid w:val="00FF4E9A"/>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A3497"/>
  <w15:docId w15:val="{F434FFE6-4ABC-4AF4-A5BC-9082D9D9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76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link w:val="PrrafodelistaCar"/>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PrrafodelistaCar">
    <w:name w:val="Párrafo de lista Car"/>
    <w:link w:val="Prrafodelista"/>
    <w:uiPriority w:val="34"/>
    <w:locked/>
    <w:rsid w:val="00740BB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256">
      <w:bodyDiv w:val="1"/>
      <w:marLeft w:val="0"/>
      <w:marRight w:val="0"/>
      <w:marTop w:val="0"/>
      <w:marBottom w:val="0"/>
      <w:divBdr>
        <w:top w:val="none" w:sz="0" w:space="0" w:color="auto"/>
        <w:left w:val="none" w:sz="0" w:space="0" w:color="auto"/>
        <w:bottom w:val="none" w:sz="0" w:space="0" w:color="auto"/>
        <w:right w:val="none" w:sz="0" w:space="0" w:color="auto"/>
      </w:divBdr>
    </w:div>
    <w:div w:id="83458791">
      <w:bodyDiv w:val="1"/>
      <w:marLeft w:val="0"/>
      <w:marRight w:val="0"/>
      <w:marTop w:val="0"/>
      <w:marBottom w:val="0"/>
      <w:divBdr>
        <w:top w:val="none" w:sz="0" w:space="0" w:color="auto"/>
        <w:left w:val="none" w:sz="0" w:space="0" w:color="auto"/>
        <w:bottom w:val="none" w:sz="0" w:space="0" w:color="auto"/>
        <w:right w:val="none" w:sz="0" w:space="0" w:color="auto"/>
      </w:divBdr>
    </w:div>
    <w:div w:id="133110197">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7992">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389">
      <w:bodyDiv w:val="1"/>
      <w:marLeft w:val="0"/>
      <w:marRight w:val="0"/>
      <w:marTop w:val="0"/>
      <w:marBottom w:val="0"/>
      <w:divBdr>
        <w:top w:val="none" w:sz="0" w:space="0" w:color="auto"/>
        <w:left w:val="none" w:sz="0" w:space="0" w:color="auto"/>
        <w:bottom w:val="none" w:sz="0" w:space="0" w:color="auto"/>
        <w:right w:val="none" w:sz="0" w:space="0" w:color="auto"/>
      </w:divBdr>
    </w:div>
    <w:div w:id="657074298">
      <w:bodyDiv w:val="1"/>
      <w:marLeft w:val="0"/>
      <w:marRight w:val="0"/>
      <w:marTop w:val="0"/>
      <w:marBottom w:val="0"/>
      <w:divBdr>
        <w:top w:val="none" w:sz="0" w:space="0" w:color="auto"/>
        <w:left w:val="none" w:sz="0" w:space="0" w:color="auto"/>
        <w:bottom w:val="none" w:sz="0" w:space="0" w:color="auto"/>
        <w:right w:val="none" w:sz="0" w:space="0" w:color="auto"/>
      </w:divBdr>
    </w:div>
    <w:div w:id="67168971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26796925">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7055115">
      <w:bodyDiv w:val="1"/>
      <w:marLeft w:val="0"/>
      <w:marRight w:val="0"/>
      <w:marTop w:val="0"/>
      <w:marBottom w:val="0"/>
      <w:divBdr>
        <w:top w:val="none" w:sz="0" w:space="0" w:color="auto"/>
        <w:left w:val="none" w:sz="0" w:space="0" w:color="auto"/>
        <w:bottom w:val="none" w:sz="0" w:space="0" w:color="auto"/>
        <w:right w:val="none" w:sz="0" w:space="0" w:color="auto"/>
      </w:divBdr>
    </w:div>
    <w:div w:id="136644835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6627005">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8034811">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0236424">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872664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640_200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83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89B8-EE12-4517-B20E-AE7F35CCAD3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C03F8E1-B0C5-473B-90B6-0497EC369B18}">
  <ds:schemaRefs>
    <ds:schemaRef ds:uri="http://schemas.microsoft.com/sharepoint/v3/contenttype/forms"/>
  </ds:schemaRefs>
</ds:datastoreItem>
</file>

<file path=customXml/itemProps3.xml><?xml version="1.0" encoding="utf-8"?>
<ds:datastoreItem xmlns:ds="http://schemas.openxmlformats.org/officeDocument/2006/customXml" ds:itemID="{0A28EE17-3BF7-4F7C-AE58-2E72EF1B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27263-00C6-44F0-B107-BFEA8FE8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8653</Words>
  <Characters>49327</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57865</CharactersWithSpaces>
  <SharedDoc>false</SharedDoc>
  <HLinks>
    <vt:vector size="12" baseType="variant">
      <vt:variant>
        <vt:i4>3473427</vt:i4>
      </vt:variant>
      <vt:variant>
        <vt:i4>0</vt:i4>
      </vt:variant>
      <vt:variant>
        <vt:i4>0</vt:i4>
      </vt:variant>
      <vt:variant>
        <vt:i4>5</vt:i4>
      </vt:variant>
      <vt:variant>
        <vt:lpwstr>http://www.secretariasenado.gov.co/senado/basedoc/ley_0640_2001.html</vt:lpwstr>
      </vt:variant>
      <vt:variant>
        <vt:lpwstr>2</vt:lpwstr>
      </vt:variant>
      <vt:variant>
        <vt:i4>7012401</vt:i4>
      </vt:variant>
      <vt:variant>
        <vt:i4>0</vt:i4>
      </vt:variant>
      <vt:variant>
        <vt:i4>0</vt:i4>
      </vt:variant>
      <vt:variant>
        <vt:i4>5</vt:i4>
      </vt:variant>
      <vt:variant>
        <vt:lpwstr>http://www.alcaldiabogota.gov.co/sisjur/normas/Norma1.jsp?i=48366</vt:lpwstr>
      </vt:variant>
      <vt:variant>
        <vt:lpwstr>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cp:lastModifiedBy>
  <cp:revision>2</cp:revision>
  <cp:lastPrinted>2016-03-09T21:54:00Z</cp:lastPrinted>
  <dcterms:created xsi:type="dcterms:W3CDTF">2020-06-30T16:28:00Z</dcterms:created>
  <dcterms:modified xsi:type="dcterms:W3CDTF">2020-06-30T16:28:00Z</dcterms:modified>
</cp:coreProperties>
</file>