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45D19" w14:textId="77777777" w:rsidR="00C4526D" w:rsidRPr="003B7F2D" w:rsidRDefault="00076AC0" w:rsidP="005C2632">
      <w:pPr>
        <w:pStyle w:val="Puesto1"/>
        <w:jc w:val="both"/>
        <w:rPr>
          <w:szCs w:val="22"/>
        </w:rPr>
      </w:pPr>
      <w:r w:rsidRPr="003B7F2D">
        <w:rPr>
          <w:szCs w:val="22"/>
        </w:rPr>
        <w:t>FONADE</w:t>
      </w:r>
      <w:r w:rsidR="00DC5626">
        <w:rPr>
          <w:szCs w:val="22"/>
        </w:rPr>
        <w:t xml:space="preserve"> </w:t>
      </w:r>
      <w:r w:rsidR="00DC5626" w:rsidRPr="003B7F2D">
        <w:rPr>
          <w:szCs w:val="22"/>
        </w:rPr>
        <w:t>–</w:t>
      </w:r>
      <w:r w:rsidRPr="003B7F2D">
        <w:rPr>
          <w:szCs w:val="22"/>
        </w:rPr>
        <w:t xml:space="preserve"> Naturaleza</w:t>
      </w:r>
    </w:p>
    <w:p w14:paraId="5494862F" w14:textId="77777777" w:rsidR="00076AC0" w:rsidRPr="003B7F2D" w:rsidRDefault="00076AC0" w:rsidP="005C2632">
      <w:pPr>
        <w:pStyle w:val="Puesto1"/>
        <w:jc w:val="both"/>
        <w:rPr>
          <w:b w:val="0"/>
          <w:szCs w:val="22"/>
        </w:rPr>
      </w:pPr>
    </w:p>
    <w:p w14:paraId="60ECADE3" w14:textId="77777777" w:rsidR="00076AC0" w:rsidRPr="003B7F2D" w:rsidRDefault="00076AC0" w:rsidP="005C2632">
      <w:pPr>
        <w:pStyle w:val="Puesto1"/>
        <w:jc w:val="both"/>
        <w:rPr>
          <w:b w:val="0"/>
          <w:szCs w:val="22"/>
          <w:lang w:val="es-CO"/>
        </w:rPr>
      </w:pPr>
      <w:r w:rsidRPr="003B7F2D">
        <w:rPr>
          <w:b w:val="0"/>
          <w:szCs w:val="22"/>
          <w:lang w:val="es-CO"/>
        </w:rPr>
        <w:t xml:space="preserve">Aunque FONADE es una de las instituciones financieras de carácter público, en los términos del Estatuto Orgánico del Sistema Financiero (Decreto-ley 663 de 1993y sus modificaciones), es importante hacer notar que la Ley 1150 de 2007 le dio un especial tratamiento a los contratos celebrados por esa entidad, en cuanto, los sometió a la Ley 80 de 1993, a diferencia de la regla consagrada para la contratación de las otras entidades financieras con participación de capital público, que se rigen por las normas especiales de su actividad, las cuales, en materia de contratación, descansan en el derecho privado, sin perjuicio de la observancia de los principios de la gestión administrativa y fiscal. </w:t>
      </w:r>
    </w:p>
    <w:p w14:paraId="72D7BE1F" w14:textId="77777777" w:rsidR="00076AC0" w:rsidRPr="003B7F2D" w:rsidRDefault="00076AC0" w:rsidP="005C2632">
      <w:pPr>
        <w:pStyle w:val="Puesto1"/>
        <w:jc w:val="both"/>
        <w:rPr>
          <w:b w:val="0"/>
          <w:szCs w:val="22"/>
          <w:lang w:val="es-CO"/>
        </w:rPr>
      </w:pPr>
    </w:p>
    <w:p w14:paraId="59A5913D" w14:textId="77777777" w:rsidR="00076AC0" w:rsidRPr="003B7F2D" w:rsidRDefault="00076AC0" w:rsidP="005C2632">
      <w:pPr>
        <w:pStyle w:val="Puesto1"/>
        <w:jc w:val="both"/>
        <w:rPr>
          <w:szCs w:val="22"/>
        </w:rPr>
      </w:pPr>
      <w:r w:rsidRPr="003B7F2D">
        <w:rPr>
          <w:szCs w:val="22"/>
        </w:rPr>
        <w:t>LEY 1150 DE 2007 – Finalidad</w:t>
      </w:r>
      <w:r w:rsidRPr="003B7F2D">
        <w:rPr>
          <w:szCs w:val="22"/>
        </w:rPr>
        <w:tab/>
      </w:r>
    </w:p>
    <w:p w14:paraId="3FC1B33E" w14:textId="77777777" w:rsidR="00076AC0" w:rsidRPr="003B7F2D" w:rsidRDefault="00076AC0" w:rsidP="005C2632">
      <w:pPr>
        <w:pStyle w:val="Puesto1"/>
        <w:jc w:val="both"/>
        <w:rPr>
          <w:b w:val="0"/>
          <w:szCs w:val="22"/>
        </w:rPr>
      </w:pPr>
    </w:p>
    <w:p w14:paraId="05062273" w14:textId="77777777" w:rsidR="00076AC0" w:rsidRPr="003B7F2D" w:rsidRDefault="00076AC0" w:rsidP="005C2632">
      <w:pPr>
        <w:pStyle w:val="Textoindependiente"/>
        <w:autoSpaceDE/>
        <w:adjustRightInd/>
        <w:spacing w:line="240" w:lineRule="auto"/>
        <w:rPr>
          <w:rFonts w:cs="Arial"/>
          <w:sz w:val="22"/>
          <w:szCs w:val="22"/>
        </w:rPr>
      </w:pPr>
      <w:r w:rsidRPr="003B7F2D">
        <w:rPr>
          <w:rFonts w:cs="Arial"/>
          <w:sz w:val="22"/>
          <w:szCs w:val="22"/>
        </w:rPr>
        <w:t xml:space="preserve">La Ley 1150 de 2007 tuvo por objeto hacer más eficiente y transparente la función pública y que en el caso concreto de las entidades financieras públicas se inspiró en la situación de competencia en la que se desarrolla su objeto social, por lo cual las sustrajo de las reglas de la Ley 80 de 1993, en tanto que se justificaba la equidad en las normas de su contratación con respecto a las entidades privadas con las cuales competían. </w:t>
      </w:r>
    </w:p>
    <w:p w14:paraId="57644FD8" w14:textId="77777777" w:rsidR="00076AC0" w:rsidRPr="003B7F2D" w:rsidRDefault="00076AC0" w:rsidP="005C2632">
      <w:pPr>
        <w:pStyle w:val="Textoindependiente"/>
        <w:autoSpaceDE/>
        <w:adjustRightInd/>
        <w:spacing w:line="240" w:lineRule="auto"/>
        <w:rPr>
          <w:rFonts w:cs="Arial"/>
          <w:sz w:val="22"/>
          <w:szCs w:val="22"/>
        </w:rPr>
      </w:pPr>
    </w:p>
    <w:p w14:paraId="3E5808E8" w14:textId="77777777" w:rsidR="00076AC0" w:rsidRDefault="004E2107" w:rsidP="005C2632">
      <w:pPr>
        <w:pStyle w:val="Textoindependiente"/>
        <w:autoSpaceDE/>
        <w:adjustRightInd/>
        <w:spacing w:line="240" w:lineRule="auto"/>
        <w:rPr>
          <w:b/>
          <w:sz w:val="22"/>
          <w:szCs w:val="22"/>
        </w:rPr>
      </w:pPr>
      <w:r>
        <w:rPr>
          <w:rFonts w:cs="Arial"/>
          <w:b/>
          <w:sz w:val="22"/>
          <w:szCs w:val="22"/>
        </w:rPr>
        <w:t>FONADE –</w:t>
      </w:r>
      <w:r w:rsidR="00076AC0" w:rsidRPr="003B7F2D">
        <w:rPr>
          <w:rFonts w:cs="Arial"/>
          <w:b/>
          <w:sz w:val="22"/>
          <w:szCs w:val="22"/>
        </w:rPr>
        <w:t xml:space="preserve"> </w:t>
      </w:r>
      <w:r w:rsidR="00076AC0" w:rsidRPr="003B7F2D">
        <w:rPr>
          <w:b/>
          <w:sz w:val="22"/>
          <w:szCs w:val="22"/>
        </w:rPr>
        <w:t xml:space="preserve">Contratación de entidades financieras </w:t>
      </w:r>
    </w:p>
    <w:p w14:paraId="525A7449" w14:textId="77777777" w:rsidR="006E4FA8" w:rsidRPr="003B7F2D" w:rsidRDefault="006E4FA8" w:rsidP="005C2632">
      <w:pPr>
        <w:pStyle w:val="Textoindependiente"/>
        <w:autoSpaceDE/>
        <w:adjustRightInd/>
        <w:spacing w:line="240" w:lineRule="auto"/>
        <w:rPr>
          <w:rFonts w:cs="Arial"/>
          <w:sz w:val="22"/>
          <w:szCs w:val="22"/>
        </w:rPr>
      </w:pPr>
    </w:p>
    <w:p w14:paraId="732C03B6" w14:textId="77777777" w:rsidR="00076AC0" w:rsidRPr="003B7F2D" w:rsidRDefault="00076AC0" w:rsidP="005C2632">
      <w:pPr>
        <w:pStyle w:val="Textoindependiente"/>
        <w:autoSpaceDE/>
        <w:adjustRightInd/>
        <w:spacing w:line="240" w:lineRule="auto"/>
        <w:rPr>
          <w:rFonts w:cs="Arial"/>
          <w:sz w:val="22"/>
          <w:szCs w:val="22"/>
          <w:lang w:val="es-CO"/>
        </w:rPr>
      </w:pPr>
      <w:r w:rsidRPr="003B7F2D">
        <w:rPr>
          <w:rFonts w:cs="Arial"/>
          <w:sz w:val="22"/>
          <w:szCs w:val="22"/>
          <w:lang w:val="es-CO"/>
        </w:rPr>
        <w:t>La orientación finalmente adoptada por la Ley 1150 de 2007 para el caso de FONADE, toda vez que esa entidad no es un banco comercial y que su actividad ordinaria no consiste en la intermediación financiera típica, como es la de captar recursos del público para colocarlos a través de los contratos bancarios, a que se refieren el Estatuto Orgánico del Sistema Financiero y el Código de Comercio.</w:t>
      </w:r>
    </w:p>
    <w:p w14:paraId="7A974C3C" w14:textId="77777777" w:rsidR="00076AC0" w:rsidRPr="003B7F2D" w:rsidRDefault="00076AC0" w:rsidP="005C2632">
      <w:pPr>
        <w:pStyle w:val="Textoindependiente"/>
        <w:autoSpaceDE/>
        <w:adjustRightInd/>
        <w:spacing w:line="240" w:lineRule="auto"/>
        <w:rPr>
          <w:rFonts w:cs="Arial"/>
          <w:sz w:val="22"/>
          <w:szCs w:val="22"/>
        </w:rPr>
      </w:pPr>
    </w:p>
    <w:p w14:paraId="19548206" w14:textId="77777777" w:rsidR="00076AC0" w:rsidRPr="003B7F2D" w:rsidRDefault="00076AC0" w:rsidP="005C2632">
      <w:pPr>
        <w:pStyle w:val="Textoindependiente"/>
        <w:autoSpaceDE/>
        <w:adjustRightInd/>
        <w:spacing w:line="240" w:lineRule="auto"/>
        <w:rPr>
          <w:rFonts w:cs="Arial"/>
          <w:b/>
          <w:sz w:val="22"/>
          <w:szCs w:val="22"/>
          <w:lang w:val="es-CO"/>
        </w:rPr>
      </w:pPr>
      <w:r w:rsidRPr="003B7F2D">
        <w:rPr>
          <w:rFonts w:cs="Arial"/>
          <w:b/>
          <w:sz w:val="22"/>
          <w:szCs w:val="22"/>
          <w:lang w:val="es-CO"/>
        </w:rPr>
        <w:t>ENTIDAD</w:t>
      </w:r>
      <w:r w:rsidR="00654072">
        <w:rPr>
          <w:rFonts w:cs="Arial"/>
          <w:b/>
          <w:sz w:val="22"/>
          <w:szCs w:val="22"/>
          <w:lang w:val="es-CO"/>
        </w:rPr>
        <w:t xml:space="preserve">ES </w:t>
      </w:r>
      <w:r w:rsidRPr="003B7F2D">
        <w:rPr>
          <w:rFonts w:cs="Arial"/>
          <w:b/>
          <w:sz w:val="22"/>
          <w:szCs w:val="22"/>
          <w:lang w:val="es-CO"/>
        </w:rPr>
        <w:t>FINANCIER</w:t>
      </w:r>
      <w:r w:rsidR="00DC5626">
        <w:rPr>
          <w:rFonts w:cs="Arial"/>
          <w:b/>
          <w:sz w:val="22"/>
          <w:szCs w:val="22"/>
          <w:lang w:val="es-CO"/>
        </w:rPr>
        <w:t>A</w:t>
      </w:r>
      <w:r w:rsidRPr="003B7F2D">
        <w:rPr>
          <w:rFonts w:cs="Arial"/>
          <w:b/>
          <w:sz w:val="22"/>
          <w:szCs w:val="22"/>
          <w:lang w:val="es-CO"/>
        </w:rPr>
        <w:t xml:space="preserve">S – Objeto </w:t>
      </w:r>
    </w:p>
    <w:p w14:paraId="5A0CED21" w14:textId="77777777" w:rsidR="00076AC0" w:rsidRPr="003B7F2D" w:rsidRDefault="00076AC0" w:rsidP="005C2632">
      <w:pPr>
        <w:pStyle w:val="Textoindependiente"/>
        <w:autoSpaceDE/>
        <w:adjustRightInd/>
        <w:spacing w:line="240" w:lineRule="auto"/>
        <w:rPr>
          <w:rFonts w:cs="Arial"/>
          <w:sz w:val="22"/>
          <w:szCs w:val="22"/>
          <w:lang w:val="es-CO"/>
        </w:rPr>
      </w:pPr>
    </w:p>
    <w:p w14:paraId="3CF1F9BC" w14:textId="77777777" w:rsidR="00076AC0" w:rsidRPr="003B7F2D" w:rsidRDefault="00076AC0" w:rsidP="005C2632">
      <w:pPr>
        <w:pStyle w:val="Textoindependiente"/>
        <w:autoSpaceDE/>
        <w:adjustRightInd/>
        <w:spacing w:line="240" w:lineRule="auto"/>
        <w:rPr>
          <w:rFonts w:cs="Arial"/>
          <w:sz w:val="22"/>
          <w:szCs w:val="22"/>
          <w:lang w:val="es-CO"/>
        </w:rPr>
      </w:pPr>
      <w:r w:rsidRPr="003B7F2D">
        <w:rPr>
          <w:rFonts w:cs="Arial"/>
          <w:sz w:val="22"/>
          <w:szCs w:val="22"/>
          <w:lang w:val="es-CO"/>
        </w:rPr>
        <w:t>La gestión de la banca de desarrollo se asemeja más al objeto ordinario de las sociedades de servicios financieros, que a de las entidades bancarias, sin perjuicio de su particular condición de constituir un instrumento de gestión directa en materia de los planes y programas públicos.</w:t>
      </w:r>
    </w:p>
    <w:p w14:paraId="2A06669B" w14:textId="77777777" w:rsidR="00076AC0" w:rsidRPr="003B7F2D" w:rsidRDefault="00076AC0" w:rsidP="005C2632">
      <w:pPr>
        <w:pStyle w:val="Textoindependiente"/>
        <w:autoSpaceDE/>
        <w:adjustRightInd/>
        <w:spacing w:line="240" w:lineRule="auto"/>
        <w:rPr>
          <w:rFonts w:cs="Arial"/>
          <w:sz w:val="22"/>
          <w:szCs w:val="22"/>
        </w:rPr>
      </w:pPr>
    </w:p>
    <w:p w14:paraId="529B22D2" w14:textId="77777777" w:rsidR="00076AC0" w:rsidRPr="003B7F2D" w:rsidRDefault="00076AC0" w:rsidP="005C2632">
      <w:pPr>
        <w:pStyle w:val="Puesto1"/>
        <w:jc w:val="both"/>
        <w:rPr>
          <w:szCs w:val="22"/>
        </w:rPr>
      </w:pPr>
      <w:r w:rsidRPr="003B7F2D">
        <w:rPr>
          <w:szCs w:val="22"/>
        </w:rPr>
        <w:t>FONADE – Objeto – Servicio Financiero – Contratación derivada</w:t>
      </w:r>
    </w:p>
    <w:p w14:paraId="2493BC51" w14:textId="77777777" w:rsidR="00076AC0" w:rsidRPr="003B7F2D" w:rsidRDefault="00076AC0" w:rsidP="005C2632">
      <w:pPr>
        <w:pStyle w:val="Puesto1"/>
        <w:jc w:val="both"/>
        <w:rPr>
          <w:szCs w:val="22"/>
        </w:rPr>
      </w:pPr>
    </w:p>
    <w:p w14:paraId="52AC23BA" w14:textId="77777777" w:rsidR="00076AC0" w:rsidRPr="003B7F2D" w:rsidRDefault="00076AC0" w:rsidP="005C2632">
      <w:pPr>
        <w:pStyle w:val="Textoindependiente"/>
        <w:autoSpaceDE/>
        <w:adjustRightInd/>
        <w:spacing w:line="240" w:lineRule="auto"/>
        <w:rPr>
          <w:rFonts w:cs="Arial"/>
          <w:sz w:val="22"/>
          <w:szCs w:val="22"/>
          <w:lang w:val="es-CO"/>
        </w:rPr>
      </w:pPr>
      <w:r w:rsidRPr="003B7F2D">
        <w:rPr>
          <w:rFonts w:cs="Arial"/>
          <w:sz w:val="22"/>
          <w:szCs w:val="22"/>
          <w:lang w:val="es-CO"/>
        </w:rPr>
        <w:t>Dentro de objeto propio de FONADE, que se corresponde con una actividad de servicios financieros, se encuentra prevista la gerencia y ejecución de proyectos de desarrollo, en la cual, con recursos de presupuestos públicos y privados, FONADE despliega una capacidad ejecutora, que puede expresarse a través de la denominada contratación derivada, de la más diversa índole. Se denomina contratación derivada, en cuanto se trata de contratos que se originan en convenios interadministrativos, convenios de financiación, convenios de cooperación y cualquier otro tipo de contrato que funciona como acuerdo matriz o principal.</w:t>
      </w:r>
    </w:p>
    <w:p w14:paraId="30E3682B" w14:textId="77777777" w:rsidR="00076AC0" w:rsidRPr="003B7F2D" w:rsidRDefault="00076AC0" w:rsidP="005C2632">
      <w:pPr>
        <w:pStyle w:val="Textoindependiente"/>
        <w:autoSpaceDE/>
        <w:adjustRightInd/>
        <w:spacing w:line="240" w:lineRule="auto"/>
        <w:rPr>
          <w:rFonts w:cs="Arial"/>
          <w:sz w:val="22"/>
          <w:szCs w:val="22"/>
          <w:lang w:val="es-CO"/>
        </w:rPr>
      </w:pPr>
    </w:p>
    <w:p w14:paraId="1F200C0B" w14:textId="77777777" w:rsidR="00B010F3" w:rsidRPr="003B7F2D" w:rsidRDefault="006E4FA8" w:rsidP="005C2632">
      <w:pPr>
        <w:pStyle w:val="Textoindependiente"/>
        <w:autoSpaceDE/>
        <w:adjustRightInd/>
        <w:spacing w:line="240" w:lineRule="auto"/>
        <w:rPr>
          <w:rFonts w:cs="Arial"/>
          <w:sz w:val="22"/>
          <w:szCs w:val="22"/>
          <w:lang w:val="es-CO"/>
        </w:rPr>
      </w:pPr>
      <w:r>
        <w:rPr>
          <w:rFonts w:cs="Arial"/>
          <w:b/>
          <w:sz w:val="22"/>
          <w:szCs w:val="22"/>
          <w:lang w:val="es-CO"/>
        </w:rPr>
        <w:t xml:space="preserve">FONADE </w:t>
      </w:r>
      <w:r w:rsidR="00DC5626" w:rsidRPr="00DC5626">
        <w:rPr>
          <w:b/>
          <w:szCs w:val="22"/>
        </w:rPr>
        <w:t>–</w:t>
      </w:r>
      <w:r w:rsidR="00B010F3" w:rsidRPr="00DC5626">
        <w:rPr>
          <w:rFonts w:cs="Arial"/>
          <w:b/>
          <w:sz w:val="22"/>
          <w:szCs w:val="22"/>
          <w:lang w:val="es-CO"/>
        </w:rPr>
        <w:t xml:space="preserve"> Aplicación </w:t>
      </w:r>
      <w:r w:rsidR="00DC5626" w:rsidRPr="00DC5626">
        <w:rPr>
          <w:b/>
          <w:szCs w:val="22"/>
        </w:rPr>
        <w:t>–</w:t>
      </w:r>
      <w:r w:rsidR="00B010F3" w:rsidRPr="003B7F2D">
        <w:rPr>
          <w:rFonts w:cs="Arial"/>
          <w:b/>
          <w:sz w:val="22"/>
          <w:szCs w:val="22"/>
          <w:lang w:val="es-CO"/>
        </w:rPr>
        <w:t xml:space="preserve"> Ley 1150 de 2007</w:t>
      </w:r>
    </w:p>
    <w:p w14:paraId="2B7AD458" w14:textId="77777777" w:rsidR="00B010F3" w:rsidRPr="003B7F2D" w:rsidRDefault="00B010F3" w:rsidP="005C2632">
      <w:pPr>
        <w:pStyle w:val="Textoindependiente"/>
        <w:autoSpaceDE/>
        <w:adjustRightInd/>
        <w:spacing w:line="240" w:lineRule="auto"/>
        <w:rPr>
          <w:rFonts w:cs="Arial"/>
          <w:sz w:val="22"/>
          <w:szCs w:val="22"/>
          <w:lang w:val="es-CO"/>
        </w:rPr>
      </w:pPr>
    </w:p>
    <w:p w14:paraId="2230FF59" w14:textId="77777777" w:rsidR="00B010F3" w:rsidRPr="003B7F2D" w:rsidRDefault="00B010F3" w:rsidP="005C2632">
      <w:pPr>
        <w:pStyle w:val="Textoindependiente"/>
        <w:autoSpaceDE/>
        <w:adjustRightInd/>
        <w:spacing w:line="240" w:lineRule="auto"/>
        <w:rPr>
          <w:rFonts w:cs="Arial"/>
          <w:sz w:val="22"/>
          <w:szCs w:val="22"/>
          <w:lang w:val="es-CO"/>
        </w:rPr>
      </w:pPr>
      <w:r w:rsidRPr="003B7F2D">
        <w:rPr>
          <w:rFonts w:cs="Arial"/>
          <w:sz w:val="22"/>
          <w:szCs w:val="22"/>
          <w:lang w:val="es-CO"/>
        </w:rPr>
        <w:t xml:space="preserve">Por ello, y -tal vez- por la preponderancia de la función como banca de desarrollo, que se expresa a través de la gestión contractual con recursos de origen público o apalancados en la condición de entidad pública, el artículo 26 de la Ley 1150 de 2007 reubicó el régimen legal de la contratación de FONADE bajo la égida de la Ley 80 de 1993. </w:t>
      </w:r>
    </w:p>
    <w:p w14:paraId="4CC0C8D5" w14:textId="77777777" w:rsidR="00B010F3" w:rsidRPr="003B7F2D" w:rsidRDefault="00B010F3" w:rsidP="005C2632">
      <w:pPr>
        <w:pStyle w:val="Textoindependiente"/>
        <w:autoSpaceDE/>
        <w:adjustRightInd/>
        <w:spacing w:line="240" w:lineRule="auto"/>
        <w:rPr>
          <w:rFonts w:cs="Arial"/>
          <w:sz w:val="22"/>
          <w:szCs w:val="22"/>
          <w:lang w:val="es-CO"/>
        </w:rPr>
      </w:pPr>
    </w:p>
    <w:p w14:paraId="1AE56281" w14:textId="77777777" w:rsidR="00B010F3" w:rsidRPr="003B7F2D" w:rsidRDefault="006E4FA8" w:rsidP="005C2632">
      <w:pPr>
        <w:pStyle w:val="Textoindependiente"/>
        <w:autoSpaceDE/>
        <w:adjustRightInd/>
        <w:spacing w:line="240" w:lineRule="auto"/>
        <w:rPr>
          <w:rFonts w:cs="Arial"/>
          <w:b/>
          <w:sz w:val="22"/>
          <w:szCs w:val="22"/>
          <w:lang w:val="es-CO"/>
        </w:rPr>
      </w:pPr>
      <w:r>
        <w:rPr>
          <w:rFonts w:cs="Arial"/>
          <w:b/>
          <w:sz w:val="22"/>
          <w:szCs w:val="22"/>
          <w:lang w:val="es-CO"/>
        </w:rPr>
        <w:t xml:space="preserve">CONTRATACIÓN ESTATAL – </w:t>
      </w:r>
      <w:proofErr w:type="spellStart"/>
      <w:r>
        <w:rPr>
          <w:rFonts w:cs="Arial"/>
          <w:b/>
          <w:sz w:val="22"/>
          <w:szCs w:val="22"/>
          <w:lang w:val="es-CO"/>
        </w:rPr>
        <w:t>Fonade</w:t>
      </w:r>
      <w:proofErr w:type="spellEnd"/>
      <w:r>
        <w:rPr>
          <w:rFonts w:cs="Arial"/>
          <w:b/>
          <w:sz w:val="22"/>
          <w:szCs w:val="22"/>
          <w:lang w:val="es-CO"/>
        </w:rPr>
        <w:t xml:space="preserve"> - </w:t>
      </w:r>
      <w:r w:rsidR="00B010F3" w:rsidRPr="003B7F2D">
        <w:rPr>
          <w:rFonts w:cs="Arial"/>
          <w:b/>
          <w:sz w:val="22"/>
          <w:szCs w:val="22"/>
          <w:lang w:val="es-CO"/>
        </w:rPr>
        <w:t>L</w:t>
      </w:r>
      <w:r>
        <w:rPr>
          <w:rFonts w:cs="Arial"/>
          <w:b/>
          <w:sz w:val="22"/>
          <w:szCs w:val="22"/>
          <w:lang w:val="es-CO"/>
        </w:rPr>
        <w:t>ey 1450 de</w:t>
      </w:r>
      <w:r w:rsidR="00B010F3" w:rsidRPr="003B7F2D">
        <w:rPr>
          <w:rFonts w:cs="Arial"/>
          <w:b/>
          <w:sz w:val="22"/>
          <w:szCs w:val="22"/>
          <w:lang w:val="es-CO"/>
        </w:rPr>
        <w:t xml:space="preserve"> 2011 </w:t>
      </w:r>
      <w:r>
        <w:rPr>
          <w:rFonts w:cs="Arial"/>
          <w:b/>
          <w:sz w:val="22"/>
          <w:szCs w:val="22"/>
          <w:lang w:val="es-CO"/>
        </w:rPr>
        <w:t>–</w:t>
      </w:r>
      <w:r w:rsidR="00B010F3" w:rsidRPr="003B7F2D">
        <w:rPr>
          <w:rFonts w:cs="Arial"/>
          <w:b/>
          <w:sz w:val="22"/>
          <w:szCs w:val="22"/>
          <w:lang w:val="es-CO"/>
        </w:rPr>
        <w:t xml:space="preserve"> </w:t>
      </w:r>
      <w:r w:rsidRPr="003B7F2D">
        <w:rPr>
          <w:rFonts w:cs="Arial"/>
          <w:b/>
          <w:sz w:val="22"/>
          <w:szCs w:val="22"/>
          <w:lang w:val="es-CO"/>
        </w:rPr>
        <w:t>Ex</w:t>
      </w:r>
      <w:r>
        <w:rPr>
          <w:rFonts w:cs="Arial"/>
          <w:b/>
          <w:sz w:val="22"/>
          <w:szCs w:val="22"/>
          <w:lang w:val="es-CO"/>
        </w:rPr>
        <w:t>cepción de aplicar</w:t>
      </w:r>
      <w:r w:rsidR="00B010F3" w:rsidRPr="003B7F2D">
        <w:rPr>
          <w:rFonts w:cs="Arial"/>
          <w:b/>
          <w:sz w:val="22"/>
          <w:szCs w:val="22"/>
          <w:lang w:val="es-CO"/>
        </w:rPr>
        <w:t xml:space="preserve"> Ley 80 de 1993 – Jurisdicción competente</w:t>
      </w:r>
    </w:p>
    <w:p w14:paraId="6D00C182" w14:textId="77777777" w:rsidR="00B010F3" w:rsidRPr="003B7F2D" w:rsidRDefault="00B010F3" w:rsidP="005C2632">
      <w:pPr>
        <w:pStyle w:val="Textoindependiente"/>
        <w:autoSpaceDE/>
        <w:adjustRightInd/>
        <w:spacing w:line="240" w:lineRule="auto"/>
        <w:rPr>
          <w:rFonts w:cs="Arial"/>
          <w:sz w:val="22"/>
          <w:szCs w:val="22"/>
          <w:lang w:val="es-CO"/>
        </w:rPr>
      </w:pPr>
    </w:p>
    <w:p w14:paraId="510C7F7A" w14:textId="77777777" w:rsidR="00B010F3" w:rsidRPr="003B7F2D" w:rsidRDefault="00B010F3" w:rsidP="005C2632">
      <w:pPr>
        <w:pStyle w:val="Textoindependiente"/>
        <w:autoSpaceDE/>
        <w:adjustRightInd/>
        <w:spacing w:line="240" w:lineRule="auto"/>
        <w:rPr>
          <w:rFonts w:cs="Arial"/>
          <w:sz w:val="22"/>
          <w:szCs w:val="22"/>
          <w:lang w:val="es-CO"/>
        </w:rPr>
      </w:pPr>
      <w:r w:rsidRPr="003B7F2D">
        <w:rPr>
          <w:rFonts w:cs="Arial"/>
          <w:sz w:val="22"/>
          <w:szCs w:val="22"/>
          <w:lang w:val="es-CO"/>
        </w:rPr>
        <w:t xml:space="preserve">la Ley 1450 de 2011, contentiva del plan nacional de desarrollo </w:t>
      </w:r>
      <w:r w:rsidRPr="003B7F2D">
        <w:rPr>
          <w:rFonts w:cs="Arial"/>
          <w:i/>
          <w:sz w:val="22"/>
          <w:szCs w:val="22"/>
          <w:lang w:val="es-CO"/>
        </w:rPr>
        <w:t>“Todos por un nuevo País”</w:t>
      </w:r>
      <w:r w:rsidRPr="003B7F2D">
        <w:rPr>
          <w:rFonts w:cs="Arial"/>
          <w:sz w:val="22"/>
          <w:szCs w:val="22"/>
          <w:lang w:val="es-CO"/>
        </w:rPr>
        <w:t xml:space="preserve">, derogó el referido artículo, con lo cual FONADE quedó regulado, para efectos de su contratación ordinaria, por las normas propias de las entidades financieras de carácter público, esto es bajo las reglas del derecho privado, sin perjuicio de la observancia de los principios de la gestión administrativa y fiscal, así como del sometimiento a las inhabilidades e incompatibilidades de la Ley 80 de 1993. En relación con la jurisdicción competente para </w:t>
      </w:r>
      <w:r w:rsidRPr="003B7F2D">
        <w:rPr>
          <w:rFonts w:cs="Arial"/>
          <w:sz w:val="22"/>
          <w:szCs w:val="22"/>
          <w:lang w:val="es-CO"/>
        </w:rPr>
        <w:lastRenderedPageBreak/>
        <w:t xml:space="preserve">juzgar las controversias contractuales, en el período en que aplicó la Ley 80 de 1993 a la contratación de FONADE, (…) sin embargo (…) con la expedición de la Ley 1437 de 2011 (C.P.A.C.A), sin distinción alguna entre ellas, todas las controversias surgidas en los contratos que celebran las entidades financieras de carácter público en desarrollo del giro ordinario de los negocios, fueron sometidas a la jurisdicción ordinaria, por vía de excepción, de acuerdo con lo dispuesto en el artículo 105 del CPACA. </w:t>
      </w:r>
    </w:p>
    <w:p w14:paraId="678350D9" w14:textId="77777777" w:rsidR="00B010F3" w:rsidRPr="003B7F2D" w:rsidRDefault="00B010F3" w:rsidP="005C2632">
      <w:pPr>
        <w:pStyle w:val="Textoindependiente"/>
        <w:autoSpaceDE/>
        <w:adjustRightInd/>
        <w:spacing w:line="240" w:lineRule="auto"/>
        <w:rPr>
          <w:rFonts w:cs="Arial"/>
          <w:sz w:val="22"/>
          <w:szCs w:val="22"/>
          <w:lang w:val="es-CO"/>
        </w:rPr>
      </w:pPr>
    </w:p>
    <w:p w14:paraId="33C17365" w14:textId="77777777" w:rsidR="006E4FA8" w:rsidRDefault="006E4FA8" w:rsidP="005C2632">
      <w:pPr>
        <w:pStyle w:val="Textoindependiente"/>
        <w:autoSpaceDE/>
        <w:adjustRightInd/>
        <w:spacing w:line="240" w:lineRule="auto"/>
        <w:rPr>
          <w:rFonts w:cs="Arial"/>
          <w:b/>
          <w:sz w:val="22"/>
          <w:szCs w:val="22"/>
          <w:lang w:val="es-CO"/>
        </w:rPr>
      </w:pPr>
      <w:r>
        <w:rPr>
          <w:rFonts w:cs="Arial"/>
          <w:b/>
          <w:sz w:val="22"/>
          <w:szCs w:val="22"/>
          <w:lang w:val="es-CO"/>
        </w:rPr>
        <w:t>CLÁUSULAS EXORBITANTES – Criterio orientado</w:t>
      </w:r>
      <w:r w:rsidR="00530D2D">
        <w:rPr>
          <w:rFonts w:cs="Arial"/>
          <w:b/>
          <w:sz w:val="22"/>
          <w:szCs w:val="22"/>
          <w:lang w:val="es-CO"/>
        </w:rPr>
        <w:t>r</w:t>
      </w:r>
      <w:r>
        <w:rPr>
          <w:rFonts w:cs="Arial"/>
          <w:b/>
          <w:sz w:val="22"/>
          <w:szCs w:val="22"/>
          <w:lang w:val="es-CO"/>
        </w:rPr>
        <w:t xml:space="preserve"> – Juez competente </w:t>
      </w:r>
    </w:p>
    <w:p w14:paraId="1F74A603" w14:textId="77777777" w:rsidR="006E4FA8" w:rsidRDefault="006E4FA8" w:rsidP="005C2632">
      <w:pPr>
        <w:pStyle w:val="Textoindependiente"/>
        <w:autoSpaceDE/>
        <w:adjustRightInd/>
        <w:spacing w:line="240" w:lineRule="auto"/>
        <w:rPr>
          <w:rFonts w:cs="Arial"/>
          <w:b/>
          <w:sz w:val="22"/>
          <w:szCs w:val="22"/>
          <w:lang w:val="es-CO"/>
        </w:rPr>
      </w:pPr>
    </w:p>
    <w:p w14:paraId="59117D08" w14:textId="77777777" w:rsidR="00B010F3" w:rsidRDefault="006E4FA8" w:rsidP="005C2632">
      <w:pPr>
        <w:pStyle w:val="Textoindependiente"/>
        <w:autoSpaceDE/>
        <w:adjustRightInd/>
        <w:spacing w:line="240" w:lineRule="auto"/>
        <w:rPr>
          <w:rFonts w:cs="Arial"/>
          <w:sz w:val="22"/>
          <w:szCs w:val="22"/>
          <w:lang w:val="es-CO"/>
        </w:rPr>
      </w:pPr>
      <w:r w:rsidRPr="00083D8A">
        <w:rPr>
          <w:rFonts w:cs="Arial"/>
          <w:bCs/>
          <w:sz w:val="22"/>
          <w:szCs w:val="22"/>
          <w:lang w:val="es-CO"/>
        </w:rPr>
        <w:t>E</w:t>
      </w:r>
      <w:r w:rsidR="00B010F3" w:rsidRPr="00083D8A">
        <w:rPr>
          <w:rFonts w:cs="Arial"/>
          <w:bCs/>
          <w:sz w:val="22"/>
          <w:szCs w:val="22"/>
          <w:lang w:val="es-CO"/>
        </w:rPr>
        <w:t>l artículo 105</w:t>
      </w:r>
      <w:r w:rsidR="00B010F3" w:rsidRPr="003B7F2D">
        <w:rPr>
          <w:rFonts w:cs="Arial"/>
          <w:sz w:val="22"/>
          <w:szCs w:val="22"/>
          <w:lang w:val="es-CO"/>
        </w:rPr>
        <w:t xml:space="preserve"> del CPACA se puede entender orientado bajo la consideración de que el juez de la contratación estatal debe desprenderse tanto del juzgamiento de los contratos típicamente bancarios y de inversión financiera, como de aquellos tradicionalmente regidos por la Ley 80 de 1993, en tanto se encuentren dentro del giro ordinario de la entidad, toda vez que, al fin y al cabo, en ausencia de cláusulas exorbitantes, la función del servicio público en sentido lato se impone en todas las actividades de las entidades financieras, empero, su juzgamiento se rige por las instituciones jurídicas propias del derecho comercial. También se puede encontrar en la base de esa decisión legislativa contenida en el CPACA, que el mayor número de los procesos de las entidades financieras públicas se refiere a las contrataciones de crédito y a su cobranza, a los fondos de inversión y a las disputas comunes de los usuarios del sistema financiero, cuyo conocimiento por parte de la jurisdicción ordinaria es pertinente, con independencia de que la entidad financiera haya sido creada con capital público o privado. Sea cual fuere la razón implícita en la asignación de jurisdicción competente, para el caso concreto de FONADE, se tiene que advertir que corresponde a esta jurisdicción conocer de los contratos que esa entidad financiera celebró en vigencia del artículo 26 de la Ley 1150 de 2007, en el ejercicio de cláusulas exorbitantes, de acuerdo con las consideraciones que se exponen a continuación. </w:t>
      </w:r>
    </w:p>
    <w:p w14:paraId="0EF681BD" w14:textId="77777777" w:rsidR="006E4FA8" w:rsidRPr="003B7F2D" w:rsidRDefault="006E4FA8" w:rsidP="005C2632">
      <w:pPr>
        <w:pStyle w:val="Textoindependiente"/>
        <w:autoSpaceDE/>
        <w:adjustRightInd/>
        <w:spacing w:line="240" w:lineRule="auto"/>
        <w:rPr>
          <w:rFonts w:cs="Arial"/>
          <w:sz w:val="22"/>
          <w:szCs w:val="22"/>
          <w:lang w:val="es-CO"/>
        </w:rPr>
      </w:pPr>
    </w:p>
    <w:p w14:paraId="21DBDD5E" w14:textId="77777777" w:rsidR="00B010F3" w:rsidRPr="003B7F2D" w:rsidRDefault="006E4FA8" w:rsidP="005C2632">
      <w:pPr>
        <w:pStyle w:val="Textoindependiente"/>
        <w:autoSpaceDE/>
        <w:adjustRightInd/>
        <w:spacing w:line="240" w:lineRule="auto"/>
        <w:rPr>
          <w:rFonts w:cs="Arial"/>
          <w:sz w:val="22"/>
          <w:szCs w:val="22"/>
          <w:lang w:val="es-CO"/>
        </w:rPr>
      </w:pPr>
      <w:r>
        <w:rPr>
          <w:rFonts w:cs="Arial"/>
          <w:b/>
          <w:sz w:val="22"/>
          <w:szCs w:val="22"/>
          <w:lang w:val="es-CO"/>
        </w:rPr>
        <w:t xml:space="preserve">CLÁUSULAS EXORBITANTES </w:t>
      </w:r>
      <w:r w:rsidR="00B010F3" w:rsidRPr="003B7F2D">
        <w:rPr>
          <w:rFonts w:cs="Arial"/>
          <w:b/>
          <w:sz w:val="22"/>
          <w:szCs w:val="22"/>
          <w:lang w:val="es-CO"/>
        </w:rPr>
        <w:t>–</w:t>
      </w:r>
      <w:r w:rsidR="00B010F3" w:rsidRPr="003B7F2D">
        <w:rPr>
          <w:rFonts w:cs="Arial"/>
          <w:sz w:val="22"/>
          <w:szCs w:val="22"/>
          <w:lang w:val="es-CO"/>
        </w:rPr>
        <w:t xml:space="preserve"> </w:t>
      </w:r>
      <w:r w:rsidRPr="00454EC5">
        <w:rPr>
          <w:rFonts w:cs="Arial"/>
          <w:b/>
          <w:sz w:val="22"/>
          <w:szCs w:val="22"/>
          <w:lang w:val="es-CO"/>
        </w:rPr>
        <w:t>P</w:t>
      </w:r>
      <w:r w:rsidR="00DC5626">
        <w:rPr>
          <w:rFonts w:cs="Arial"/>
          <w:b/>
          <w:sz w:val="22"/>
          <w:szCs w:val="22"/>
          <w:lang w:val="es-CO"/>
        </w:rPr>
        <w:t>otestades –</w:t>
      </w:r>
      <w:r>
        <w:rPr>
          <w:rFonts w:cs="Arial"/>
          <w:sz w:val="22"/>
          <w:szCs w:val="22"/>
          <w:lang w:val="es-CO"/>
        </w:rPr>
        <w:t xml:space="preserve"> </w:t>
      </w:r>
      <w:r w:rsidR="00B010F3" w:rsidRPr="003B7F2D">
        <w:rPr>
          <w:rFonts w:cs="Arial"/>
          <w:b/>
          <w:sz w:val="22"/>
          <w:szCs w:val="22"/>
          <w:lang w:val="es-CO"/>
        </w:rPr>
        <w:t>Contratación pública</w:t>
      </w:r>
      <w:r w:rsidR="00B010F3" w:rsidRPr="003B7F2D">
        <w:rPr>
          <w:rFonts w:cs="Arial"/>
          <w:sz w:val="22"/>
          <w:szCs w:val="22"/>
          <w:lang w:val="es-CO"/>
        </w:rPr>
        <w:t xml:space="preserve"> </w:t>
      </w:r>
    </w:p>
    <w:p w14:paraId="0AC83159" w14:textId="77777777" w:rsidR="00B010F3" w:rsidRPr="003B7F2D" w:rsidRDefault="00B010F3" w:rsidP="005C2632">
      <w:pPr>
        <w:pStyle w:val="Textoindependiente"/>
        <w:autoSpaceDE/>
        <w:adjustRightInd/>
        <w:spacing w:line="240" w:lineRule="auto"/>
        <w:rPr>
          <w:rFonts w:cs="Arial"/>
          <w:sz w:val="22"/>
          <w:szCs w:val="22"/>
          <w:lang w:val="es-CO"/>
        </w:rPr>
      </w:pPr>
    </w:p>
    <w:p w14:paraId="3D19E0C6" w14:textId="77777777" w:rsidR="00B010F3" w:rsidRPr="003B7F2D" w:rsidRDefault="00B010F3" w:rsidP="005C2632">
      <w:pPr>
        <w:pStyle w:val="Textoindependiente"/>
        <w:autoSpaceDE/>
        <w:adjustRightInd/>
        <w:spacing w:line="240" w:lineRule="auto"/>
        <w:rPr>
          <w:rFonts w:cs="Arial"/>
          <w:color w:val="000000"/>
          <w:sz w:val="22"/>
          <w:szCs w:val="22"/>
        </w:rPr>
      </w:pPr>
      <w:r w:rsidRPr="003B7F2D">
        <w:rPr>
          <w:rFonts w:cs="Arial"/>
          <w:sz w:val="22"/>
          <w:szCs w:val="22"/>
        </w:rPr>
        <w:t xml:space="preserve">Las presencia de las potestades exorbitantes en la contratación pública ha marcado uno de los criterios delimitadores de la competencia de la jurisdicción de lo contencioso administrativo, siguiendo los derroteros de la Corte Constitucional expresados en la sentencia C-1436 de 2000, en relación con la jurisdicción arbitral, toda vez que en esa oportunidad la Corte Constitucional determinó la </w:t>
      </w:r>
      <w:proofErr w:type="spellStart"/>
      <w:r w:rsidRPr="003B7F2D">
        <w:rPr>
          <w:rFonts w:cs="Arial"/>
          <w:sz w:val="22"/>
          <w:szCs w:val="22"/>
        </w:rPr>
        <w:t>exequibilidad</w:t>
      </w:r>
      <w:proofErr w:type="spellEnd"/>
      <w:r w:rsidRPr="003B7F2D">
        <w:rPr>
          <w:rFonts w:cs="Arial"/>
          <w:sz w:val="22"/>
          <w:szCs w:val="22"/>
        </w:rPr>
        <w:t xml:space="preserve"> de </w:t>
      </w:r>
      <w:r w:rsidRPr="003B7F2D">
        <w:rPr>
          <w:rFonts w:cs="Arial"/>
          <w:color w:val="000000"/>
          <w:sz w:val="22"/>
          <w:szCs w:val="22"/>
          <w:shd w:val="clear" w:color="auto" w:fill="FFFFFF"/>
        </w:rPr>
        <w:t>los artículos 70 y 71 de la ley 80 de 1993, bajo el entendido de que los árbitros, “no tienen competencia para pronunciarse sobre los actos administrativos dictados por la administración en desarrollo de sus poderes excepcionales”.</w:t>
      </w:r>
      <w:r w:rsidR="002D5CCB" w:rsidRPr="003B7F2D">
        <w:rPr>
          <w:rFonts w:cs="Arial"/>
          <w:color w:val="000000"/>
          <w:sz w:val="22"/>
          <w:szCs w:val="22"/>
          <w:shd w:val="clear" w:color="auto" w:fill="FFFFFF"/>
        </w:rPr>
        <w:t xml:space="preserve"> (…) </w:t>
      </w:r>
      <w:r w:rsidR="002D5CCB" w:rsidRPr="003B7F2D">
        <w:rPr>
          <w:rFonts w:cs="Arial"/>
          <w:color w:val="000000"/>
          <w:sz w:val="22"/>
          <w:szCs w:val="22"/>
        </w:rPr>
        <w:t xml:space="preserve">Por otra parte, puede hacerse notar que el criterio de la exorbitancia, como poder característico y exclusivo del Estado contratante, se utilizó, como uno de los factores, para reservar la competencia a la jurisdicción de lo contencioso administrativo, en el numeral 3 del artículo 104 del CPACA, respecto de los contratos relativos a servicios públicos domiciliarios. </w:t>
      </w:r>
    </w:p>
    <w:p w14:paraId="24D0E3AC" w14:textId="77777777" w:rsidR="002D5CCB" w:rsidRPr="003B7F2D" w:rsidRDefault="002D5CCB" w:rsidP="005C2632">
      <w:pPr>
        <w:pStyle w:val="Textoindependiente"/>
        <w:autoSpaceDE/>
        <w:adjustRightInd/>
        <w:spacing w:line="240" w:lineRule="auto"/>
        <w:rPr>
          <w:rFonts w:cs="Arial"/>
          <w:color w:val="000000"/>
          <w:sz w:val="22"/>
          <w:szCs w:val="22"/>
        </w:rPr>
      </w:pPr>
    </w:p>
    <w:p w14:paraId="7CBB0BDB" w14:textId="77777777" w:rsidR="002D5CCB" w:rsidRDefault="006E4FA8" w:rsidP="005C2632">
      <w:pPr>
        <w:pStyle w:val="Textoindependiente"/>
        <w:autoSpaceDE/>
        <w:adjustRightInd/>
        <w:spacing w:line="240" w:lineRule="auto"/>
        <w:rPr>
          <w:rFonts w:cs="Arial"/>
          <w:b/>
          <w:color w:val="000000"/>
          <w:sz w:val="22"/>
          <w:szCs w:val="22"/>
          <w:shd w:val="clear" w:color="auto" w:fill="FFFFFF"/>
        </w:rPr>
      </w:pPr>
      <w:r>
        <w:rPr>
          <w:rFonts w:cs="Arial"/>
          <w:b/>
          <w:color w:val="000000"/>
          <w:sz w:val="22"/>
          <w:szCs w:val="22"/>
          <w:shd w:val="clear" w:color="auto" w:fill="FFFFFF"/>
        </w:rPr>
        <w:t>CADUC</w:t>
      </w:r>
      <w:r w:rsidR="004E2107">
        <w:rPr>
          <w:rFonts w:cs="Arial"/>
          <w:b/>
          <w:color w:val="000000"/>
          <w:sz w:val="22"/>
          <w:szCs w:val="22"/>
          <w:shd w:val="clear" w:color="auto" w:fill="FFFFFF"/>
        </w:rPr>
        <w:t>IDAD DEL CONTRATO – Facultad –</w:t>
      </w:r>
      <w:r>
        <w:rPr>
          <w:rFonts w:cs="Arial"/>
          <w:b/>
          <w:color w:val="000000"/>
          <w:sz w:val="22"/>
          <w:szCs w:val="22"/>
          <w:shd w:val="clear" w:color="auto" w:fill="FFFFFF"/>
        </w:rPr>
        <w:t xml:space="preserve"> Potestad exorbitante</w:t>
      </w:r>
    </w:p>
    <w:p w14:paraId="2EC2D09D" w14:textId="77777777" w:rsidR="006E4FA8" w:rsidRPr="003B7F2D" w:rsidRDefault="006E4FA8" w:rsidP="005C2632">
      <w:pPr>
        <w:pStyle w:val="Textoindependiente"/>
        <w:autoSpaceDE/>
        <w:adjustRightInd/>
        <w:spacing w:line="240" w:lineRule="auto"/>
        <w:rPr>
          <w:rFonts w:cs="Arial"/>
          <w:color w:val="000000"/>
          <w:sz w:val="22"/>
          <w:szCs w:val="22"/>
          <w:shd w:val="clear" w:color="auto" w:fill="FFFFFF"/>
        </w:rPr>
      </w:pPr>
    </w:p>
    <w:p w14:paraId="02C9DAD9" w14:textId="77777777" w:rsidR="002D5CCB" w:rsidRPr="003B7F2D" w:rsidRDefault="002D5CCB" w:rsidP="005C2632">
      <w:pPr>
        <w:pStyle w:val="Textoindependiente"/>
        <w:autoSpaceDE/>
        <w:adjustRightInd/>
        <w:spacing w:line="240" w:lineRule="auto"/>
        <w:rPr>
          <w:rFonts w:cs="Arial"/>
          <w:color w:val="000000"/>
          <w:sz w:val="22"/>
          <w:szCs w:val="22"/>
        </w:rPr>
      </w:pPr>
      <w:r w:rsidRPr="003B7F2D">
        <w:rPr>
          <w:rFonts w:cs="Arial"/>
          <w:sz w:val="22"/>
          <w:szCs w:val="22"/>
        </w:rPr>
        <w:t xml:space="preserve">La potestad exorbitante de declarar la caducidad del contrato estatal se entiende como una expresión del derecho sancionador dentro de las </w:t>
      </w:r>
      <w:r w:rsidRPr="003B7F2D">
        <w:rPr>
          <w:rFonts w:cs="Arial"/>
          <w:color w:val="000000"/>
          <w:sz w:val="22"/>
          <w:szCs w:val="22"/>
        </w:rPr>
        <w:t xml:space="preserve">funciones administrativas reservadas al Estado contratante para efectos de proteger los cometidos estatales. </w:t>
      </w:r>
    </w:p>
    <w:p w14:paraId="14DD7912" w14:textId="77777777" w:rsidR="002D5CCB" w:rsidRPr="003B7F2D" w:rsidRDefault="002D5CCB" w:rsidP="005C2632">
      <w:pPr>
        <w:pStyle w:val="Textoindependiente"/>
        <w:autoSpaceDE/>
        <w:adjustRightInd/>
        <w:spacing w:line="240" w:lineRule="auto"/>
        <w:rPr>
          <w:rFonts w:cs="Arial"/>
          <w:color w:val="000000"/>
          <w:sz w:val="22"/>
          <w:szCs w:val="22"/>
        </w:rPr>
      </w:pPr>
    </w:p>
    <w:p w14:paraId="0F7A70E6" w14:textId="77777777" w:rsidR="002D5CCB" w:rsidRPr="003B7F2D" w:rsidRDefault="002D5CCB" w:rsidP="005C2632">
      <w:pPr>
        <w:pStyle w:val="Textoindependiente"/>
        <w:autoSpaceDE/>
        <w:adjustRightInd/>
        <w:spacing w:line="240" w:lineRule="auto"/>
        <w:rPr>
          <w:rFonts w:cs="Arial"/>
          <w:b/>
          <w:color w:val="000000"/>
          <w:sz w:val="22"/>
          <w:szCs w:val="22"/>
        </w:rPr>
      </w:pPr>
      <w:r w:rsidRPr="003B7F2D">
        <w:rPr>
          <w:rFonts w:cs="Arial"/>
          <w:b/>
          <w:color w:val="000000"/>
          <w:sz w:val="22"/>
          <w:szCs w:val="22"/>
        </w:rPr>
        <w:t>ACTOS ADMINISTRATIVOS</w:t>
      </w:r>
      <w:r w:rsidR="00DC5626">
        <w:rPr>
          <w:rFonts w:cs="Arial"/>
          <w:b/>
          <w:color w:val="000000"/>
          <w:sz w:val="22"/>
          <w:szCs w:val="22"/>
        </w:rPr>
        <w:t xml:space="preserve"> </w:t>
      </w:r>
      <w:r w:rsidR="00DC5626">
        <w:rPr>
          <w:rFonts w:cs="Arial"/>
          <w:b/>
          <w:sz w:val="22"/>
          <w:szCs w:val="22"/>
          <w:lang w:val="es-CO"/>
        </w:rPr>
        <w:t>–</w:t>
      </w:r>
      <w:r w:rsidRPr="003B7F2D">
        <w:rPr>
          <w:rFonts w:cs="Arial"/>
          <w:b/>
          <w:color w:val="000000"/>
          <w:sz w:val="22"/>
          <w:szCs w:val="22"/>
        </w:rPr>
        <w:t xml:space="preserve">  Materia contractual</w:t>
      </w:r>
    </w:p>
    <w:p w14:paraId="6749EB5D" w14:textId="77777777" w:rsidR="002D5CCB" w:rsidRPr="003B7F2D" w:rsidRDefault="002D5CCB" w:rsidP="005C2632">
      <w:pPr>
        <w:pStyle w:val="Textoindependiente"/>
        <w:autoSpaceDE/>
        <w:adjustRightInd/>
        <w:spacing w:line="240" w:lineRule="auto"/>
        <w:rPr>
          <w:rFonts w:cs="Arial"/>
          <w:color w:val="000000"/>
          <w:sz w:val="22"/>
          <w:szCs w:val="22"/>
        </w:rPr>
      </w:pPr>
    </w:p>
    <w:p w14:paraId="19D73763" w14:textId="77777777" w:rsidR="002D5CCB" w:rsidRPr="003B7F2D" w:rsidRDefault="002D5CCB" w:rsidP="005C2632">
      <w:pPr>
        <w:pStyle w:val="Textoindependiente"/>
        <w:autoSpaceDE/>
        <w:adjustRightInd/>
        <w:spacing w:line="240" w:lineRule="auto"/>
        <w:rPr>
          <w:rFonts w:cs="Arial"/>
          <w:color w:val="000000"/>
          <w:sz w:val="22"/>
          <w:szCs w:val="22"/>
        </w:rPr>
      </w:pPr>
      <w:r w:rsidRPr="003B7F2D">
        <w:rPr>
          <w:rFonts w:cs="Arial"/>
          <w:color w:val="000000"/>
          <w:sz w:val="22"/>
          <w:szCs w:val="22"/>
        </w:rPr>
        <w:t xml:space="preserve">De conformidad con la Ley 80 de 1993, los actos administrativos exorbitantes en materia contractual son los expedidos en ejercicio de las potestades del artículo 14 de la Ley 80 de 1993, los cuales constituyen decisiones excepcionales y de gran impacto sobre el contrato y sobre el contratista, que se rigen por el principio de reserva de ley y que solo han sido consagradas por la ley para el Estado Contratante en determinados supuestos, además de que gozan del privilegio de lo previo, esto es, que pueden expedirse bajo un debido proceso, pero sin el imperativo de acudir previamente al Juez. </w:t>
      </w:r>
    </w:p>
    <w:p w14:paraId="70749A51" w14:textId="77777777" w:rsidR="002D5CCB" w:rsidRPr="003B7F2D" w:rsidRDefault="002D5CCB" w:rsidP="005C2632">
      <w:pPr>
        <w:pStyle w:val="Textoindependiente"/>
        <w:autoSpaceDE/>
        <w:adjustRightInd/>
        <w:spacing w:line="240" w:lineRule="auto"/>
        <w:rPr>
          <w:rFonts w:cs="Arial"/>
          <w:color w:val="000000"/>
          <w:sz w:val="22"/>
          <w:szCs w:val="22"/>
        </w:rPr>
      </w:pPr>
    </w:p>
    <w:p w14:paraId="44510EF6" w14:textId="77777777" w:rsidR="002D5CCB" w:rsidRPr="003B7F2D" w:rsidRDefault="002D5CCB" w:rsidP="005C2632">
      <w:pPr>
        <w:pStyle w:val="Textoindependiente"/>
        <w:autoSpaceDE/>
        <w:adjustRightInd/>
        <w:spacing w:line="240" w:lineRule="auto"/>
        <w:rPr>
          <w:rFonts w:cs="Arial"/>
          <w:color w:val="000000"/>
          <w:sz w:val="22"/>
          <w:szCs w:val="22"/>
        </w:rPr>
      </w:pPr>
      <w:r w:rsidRPr="003B7F2D">
        <w:rPr>
          <w:rFonts w:cs="Arial"/>
          <w:b/>
          <w:color w:val="000000"/>
          <w:sz w:val="22"/>
          <w:szCs w:val="22"/>
        </w:rPr>
        <w:t xml:space="preserve">FONADE </w:t>
      </w:r>
      <w:r w:rsidR="00DC5626">
        <w:rPr>
          <w:rFonts w:cs="Arial"/>
          <w:b/>
          <w:sz w:val="22"/>
          <w:szCs w:val="22"/>
          <w:lang w:val="es-CO"/>
        </w:rPr>
        <w:t>–</w:t>
      </w:r>
      <w:r w:rsidRPr="003B7F2D">
        <w:rPr>
          <w:rFonts w:cs="Arial"/>
          <w:b/>
          <w:color w:val="000000"/>
          <w:sz w:val="22"/>
          <w:szCs w:val="22"/>
        </w:rPr>
        <w:t xml:space="preserve"> Jurisdicción aplicable</w:t>
      </w:r>
      <w:r w:rsidRPr="003B7F2D">
        <w:rPr>
          <w:rFonts w:cs="Arial"/>
          <w:color w:val="000000"/>
          <w:sz w:val="22"/>
          <w:szCs w:val="22"/>
        </w:rPr>
        <w:t xml:space="preserve"> </w:t>
      </w:r>
    </w:p>
    <w:p w14:paraId="74B7BED1" w14:textId="77777777" w:rsidR="002D5CCB" w:rsidRPr="003B7F2D" w:rsidRDefault="002D5CCB" w:rsidP="005C2632">
      <w:pPr>
        <w:pStyle w:val="Textoindependiente"/>
        <w:autoSpaceDE/>
        <w:adjustRightInd/>
        <w:spacing w:line="240" w:lineRule="auto"/>
        <w:rPr>
          <w:rFonts w:cs="Arial"/>
          <w:sz w:val="22"/>
          <w:szCs w:val="22"/>
        </w:rPr>
      </w:pPr>
    </w:p>
    <w:p w14:paraId="482054C2" w14:textId="77777777" w:rsidR="002D5CCB" w:rsidRPr="003B7F2D" w:rsidRDefault="002D5CCB" w:rsidP="005C2632">
      <w:pPr>
        <w:pStyle w:val="Textoindependiente"/>
        <w:autoSpaceDE/>
        <w:adjustRightInd/>
        <w:spacing w:line="240" w:lineRule="auto"/>
        <w:rPr>
          <w:rFonts w:cs="Arial"/>
          <w:color w:val="000000"/>
          <w:sz w:val="22"/>
          <w:szCs w:val="22"/>
        </w:rPr>
      </w:pPr>
      <w:r w:rsidRPr="003B7F2D">
        <w:rPr>
          <w:rFonts w:cs="Arial"/>
          <w:sz w:val="22"/>
          <w:szCs w:val="22"/>
        </w:rPr>
        <w:lastRenderedPageBreak/>
        <w:t xml:space="preserve">Con fundamento en el criterio orgánico que se adoptó en la Ley 80 de 1993, en concordancia con el artículo 104 del CPACA, para definir la jurisdicción aplicable se debe tener en cuenta la condición de las partes en litigio, lo cual se aplica en este caso, dado que FONADE es una entidad estatal. (…) Es importante observar que la sentencia SU-242 de 2015 y el artículo 104 CPACA permiten establecer que, como regla general, el juez de lo contencioso administrativo conoce de los procesos relativos a contratos, cualquiera que sea su régimen, en los que sea parte una entidad pública. No obstante, en relación con las entidades financieras de carácter público, esta jurisdicción tiene la competencia solamente respecto de aquellos litigios en los que NO se configure la excepción del artículo </w:t>
      </w:r>
      <w:r w:rsidRPr="003B7F2D">
        <w:rPr>
          <w:rFonts w:cs="Arial"/>
          <w:i/>
          <w:sz w:val="22"/>
          <w:szCs w:val="22"/>
        </w:rPr>
        <w:t>105</w:t>
      </w:r>
      <w:r w:rsidRPr="003B7F2D">
        <w:rPr>
          <w:rFonts w:cs="Arial"/>
          <w:color w:val="000000"/>
          <w:sz w:val="22"/>
          <w:szCs w:val="22"/>
        </w:rPr>
        <w:t xml:space="preserve">. </w:t>
      </w:r>
    </w:p>
    <w:p w14:paraId="1B6061A2" w14:textId="77777777" w:rsidR="002D5CCB" w:rsidRPr="003B7F2D" w:rsidRDefault="002D5CCB" w:rsidP="005C2632">
      <w:pPr>
        <w:pStyle w:val="Sangradetextonormal"/>
        <w:spacing w:after="0" w:line="240" w:lineRule="auto"/>
        <w:ind w:left="0"/>
        <w:rPr>
          <w:rFonts w:ascii="Arial" w:hAnsi="Arial" w:cs="Arial"/>
          <w:sz w:val="22"/>
          <w:szCs w:val="22"/>
          <w:lang w:val="es-CO" w:eastAsia="ar-SA"/>
        </w:rPr>
      </w:pPr>
    </w:p>
    <w:p w14:paraId="5B8E3E72" w14:textId="77777777" w:rsidR="002D5CCB" w:rsidRPr="003B7F2D" w:rsidRDefault="002D5CCB" w:rsidP="005C2632">
      <w:pPr>
        <w:pStyle w:val="Sangradetextonormal"/>
        <w:spacing w:after="0" w:line="240" w:lineRule="auto"/>
        <w:ind w:left="0"/>
        <w:rPr>
          <w:rFonts w:ascii="Arial" w:hAnsi="Arial" w:cs="Arial"/>
          <w:b/>
          <w:sz w:val="22"/>
          <w:szCs w:val="22"/>
          <w:lang w:val="es-CO" w:eastAsia="ar-SA"/>
        </w:rPr>
      </w:pPr>
      <w:r w:rsidRPr="003B7F2D">
        <w:rPr>
          <w:rFonts w:ascii="Arial" w:hAnsi="Arial" w:cs="Arial"/>
          <w:b/>
          <w:sz w:val="22"/>
          <w:szCs w:val="22"/>
          <w:lang w:val="es-CO" w:eastAsia="ar-SA"/>
        </w:rPr>
        <w:t>PERJUICIO</w:t>
      </w:r>
      <w:r w:rsidR="006E4FA8">
        <w:rPr>
          <w:rFonts w:ascii="Arial" w:hAnsi="Arial" w:cs="Arial"/>
          <w:b/>
          <w:sz w:val="22"/>
          <w:szCs w:val="22"/>
          <w:lang w:val="es-CO" w:eastAsia="ar-SA"/>
        </w:rPr>
        <w:t>S</w:t>
      </w:r>
      <w:r w:rsidRPr="003B7F2D">
        <w:rPr>
          <w:rFonts w:ascii="Arial" w:hAnsi="Arial" w:cs="Arial"/>
          <w:b/>
          <w:sz w:val="22"/>
          <w:szCs w:val="22"/>
          <w:lang w:val="es-CO" w:eastAsia="ar-SA"/>
        </w:rPr>
        <w:t xml:space="preserve"> </w:t>
      </w:r>
      <w:r w:rsidR="006E4FA8">
        <w:rPr>
          <w:rFonts w:ascii="Arial" w:hAnsi="Arial" w:cs="Arial"/>
          <w:b/>
          <w:sz w:val="22"/>
          <w:szCs w:val="22"/>
          <w:lang w:val="es-CO" w:eastAsia="ar-SA"/>
        </w:rPr>
        <w:t>–</w:t>
      </w:r>
      <w:r w:rsidRPr="003B7F2D">
        <w:rPr>
          <w:rFonts w:ascii="Arial" w:hAnsi="Arial" w:cs="Arial"/>
          <w:b/>
          <w:sz w:val="22"/>
          <w:szCs w:val="22"/>
          <w:lang w:val="es-CO" w:eastAsia="ar-SA"/>
        </w:rPr>
        <w:t xml:space="preserve"> </w:t>
      </w:r>
      <w:r w:rsidR="00DC5626">
        <w:rPr>
          <w:rFonts w:ascii="Arial" w:hAnsi="Arial" w:cs="Arial"/>
          <w:b/>
          <w:sz w:val="22"/>
          <w:szCs w:val="22"/>
          <w:lang w:val="es-CO" w:eastAsia="ar-SA"/>
        </w:rPr>
        <w:t xml:space="preserve">Directos </w:t>
      </w:r>
      <w:r w:rsidR="00DC5626" w:rsidRPr="00DC5626">
        <w:rPr>
          <w:rFonts w:ascii="Arial" w:hAnsi="Arial" w:cs="Arial"/>
          <w:b/>
          <w:sz w:val="22"/>
          <w:szCs w:val="22"/>
          <w:lang w:val="es-CO" w:eastAsia="ar-SA"/>
        </w:rPr>
        <w:t>–</w:t>
      </w:r>
      <w:r w:rsidR="006E4FA8">
        <w:rPr>
          <w:rFonts w:ascii="Arial" w:hAnsi="Arial" w:cs="Arial"/>
          <w:b/>
          <w:sz w:val="22"/>
          <w:szCs w:val="22"/>
          <w:lang w:val="es-CO" w:eastAsia="ar-SA"/>
        </w:rPr>
        <w:t xml:space="preserve"> </w:t>
      </w:r>
      <w:r w:rsidRPr="003B7F2D">
        <w:rPr>
          <w:rFonts w:ascii="Arial" w:hAnsi="Arial" w:cs="Arial"/>
          <w:b/>
          <w:sz w:val="22"/>
          <w:szCs w:val="22"/>
          <w:lang w:val="es-CO" w:eastAsia="ar-SA"/>
        </w:rPr>
        <w:t>Concepto</w:t>
      </w:r>
    </w:p>
    <w:p w14:paraId="7AFE76E6" w14:textId="77777777" w:rsidR="002D5CCB" w:rsidRPr="003B7F2D" w:rsidRDefault="002D5CCB" w:rsidP="005C2632">
      <w:pPr>
        <w:pStyle w:val="Sangradetextonormal"/>
        <w:spacing w:after="0" w:line="240" w:lineRule="auto"/>
        <w:ind w:left="0"/>
        <w:rPr>
          <w:rFonts w:ascii="Arial" w:hAnsi="Arial" w:cs="Arial"/>
          <w:sz w:val="22"/>
          <w:szCs w:val="22"/>
          <w:lang w:val="es-CO" w:eastAsia="ar-SA"/>
        </w:rPr>
      </w:pPr>
    </w:p>
    <w:p w14:paraId="0F244D71" w14:textId="77777777" w:rsidR="002D5CCB" w:rsidRPr="003B7F2D" w:rsidRDefault="002D5CCB" w:rsidP="005C2632">
      <w:pPr>
        <w:pStyle w:val="Sangradetextonormal"/>
        <w:spacing w:after="0" w:line="240" w:lineRule="auto"/>
        <w:ind w:left="0"/>
        <w:rPr>
          <w:rFonts w:ascii="Arial" w:hAnsi="Arial" w:cs="Arial"/>
          <w:sz w:val="22"/>
          <w:szCs w:val="22"/>
          <w:lang w:val="es-CO" w:eastAsia="ar-SA"/>
        </w:rPr>
      </w:pPr>
      <w:r w:rsidRPr="003B7F2D">
        <w:rPr>
          <w:rFonts w:ascii="Arial" w:hAnsi="Arial" w:cs="Arial"/>
          <w:sz w:val="22"/>
          <w:szCs w:val="22"/>
          <w:lang w:val="es-CO" w:eastAsia="ar-SA"/>
        </w:rPr>
        <w:t xml:space="preserve">El concepto del perjuicio </w:t>
      </w:r>
      <w:r w:rsidRPr="003B7F2D">
        <w:rPr>
          <w:rFonts w:ascii="Arial" w:hAnsi="Arial" w:cs="Arial"/>
          <w:i/>
          <w:sz w:val="22"/>
          <w:szCs w:val="22"/>
          <w:lang w:val="es-CO" w:eastAsia="ar-SA"/>
        </w:rPr>
        <w:t>directo</w:t>
      </w:r>
      <w:r w:rsidRPr="003B7F2D">
        <w:rPr>
          <w:rFonts w:ascii="Arial" w:hAnsi="Arial" w:cs="Arial"/>
          <w:sz w:val="22"/>
          <w:szCs w:val="22"/>
          <w:lang w:val="es-CO" w:eastAsia="ar-SA"/>
        </w:rPr>
        <w:t xml:space="preserve">, se debe entender, en el contexto legal de las garantías contractuales, como el derivado del incumplimiento, esto es, el causado por la realización del riesgo amparado, cuya ocurrencia se origina en la conducta incumplida del contratista. </w:t>
      </w:r>
    </w:p>
    <w:p w14:paraId="7EBBB380" w14:textId="77777777" w:rsidR="002D5CCB" w:rsidRPr="003B7F2D" w:rsidRDefault="002D5CCB" w:rsidP="005C2632">
      <w:pPr>
        <w:pStyle w:val="Sangradetextonormal"/>
        <w:spacing w:after="0" w:line="240" w:lineRule="auto"/>
        <w:ind w:left="0"/>
        <w:rPr>
          <w:rFonts w:ascii="Arial" w:hAnsi="Arial" w:cs="Arial"/>
          <w:sz w:val="22"/>
          <w:szCs w:val="22"/>
          <w:lang w:val="es-CO" w:eastAsia="ar-SA"/>
        </w:rPr>
      </w:pPr>
    </w:p>
    <w:p w14:paraId="01E23256" w14:textId="77777777" w:rsidR="002D5CCB" w:rsidRPr="003B7F2D" w:rsidRDefault="002D5CCB" w:rsidP="005C2632">
      <w:pPr>
        <w:pStyle w:val="Sangradetextonormal"/>
        <w:spacing w:after="0" w:line="240" w:lineRule="auto"/>
        <w:ind w:left="0"/>
        <w:rPr>
          <w:rFonts w:ascii="Arial" w:hAnsi="Arial" w:cs="Arial"/>
          <w:b/>
          <w:sz w:val="22"/>
          <w:szCs w:val="22"/>
          <w:lang w:val="es-CO" w:eastAsia="ar-SA"/>
        </w:rPr>
      </w:pPr>
      <w:r w:rsidRPr="003B7F2D">
        <w:rPr>
          <w:rFonts w:ascii="Arial" w:hAnsi="Arial" w:cs="Arial"/>
          <w:b/>
          <w:sz w:val="22"/>
          <w:szCs w:val="22"/>
          <w:lang w:val="es-CO" w:eastAsia="ar-SA"/>
        </w:rPr>
        <w:t>PERJUICIO</w:t>
      </w:r>
      <w:r w:rsidR="006E4FA8">
        <w:rPr>
          <w:rFonts w:ascii="Arial" w:hAnsi="Arial" w:cs="Arial"/>
          <w:b/>
          <w:sz w:val="22"/>
          <w:szCs w:val="22"/>
          <w:lang w:val="es-CO" w:eastAsia="ar-SA"/>
        </w:rPr>
        <w:t>S</w:t>
      </w:r>
      <w:r w:rsidRPr="003B7F2D">
        <w:rPr>
          <w:rFonts w:ascii="Arial" w:hAnsi="Arial" w:cs="Arial"/>
          <w:b/>
          <w:sz w:val="22"/>
          <w:szCs w:val="22"/>
          <w:lang w:val="es-CO" w:eastAsia="ar-SA"/>
        </w:rPr>
        <w:t xml:space="preserve"> – </w:t>
      </w:r>
      <w:r w:rsidR="006E4FA8">
        <w:rPr>
          <w:rFonts w:ascii="Arial" w:hAnsi="Arial" w:cs="Arial"/>
          <w:b/>
          <w:sz w:val="22"/>
          <w:szCs w:val="22"/>
          <w:lang w:val="es-CO" w:eastAsia="ar-SA"/>
        </w:rPr>
        <w:t xml:space="preserve">Indirectos </w:t>
      </w:r>
      <w:r w:rsidR="00DC5626" w:rsidRPr="00DC5626">
        <w:rPr>
          <w:rFonts w:ascii="Arial" w:hAnsi="Arial" w:cs="Arial"/>
          <w:b/>
          <w:sz w:val="22"/>
          <w:szCs w:val="22"/>
          <w:lang w:val="es-CO" w:eastAsia="ar-SA"/>
        </w:rPr>
        <w:t>–</w:t>
      </w:r>
      <w:r w:rsidR="006E4FA8">
        <w:rPr>
          <w:rFonts w:ascii="Arial" w:hAnsi="Arial" w:cs="Arial"/>
          <w:b/>
          <w:sz w:val="22"/>
          <w:szCs w:val="22"/>
          <w:lang w:val="es-CO" w:eastAsia="ar-SA"/>
        </w:rPr>
        <w:t xml:space="preserve"> </w:t>
      </w:r>
      <w:r w:rsidRPr="003B7F2D">
        <w:rPr>
          <w:rFonts w:ascii="Arial" w:hAnsi="Arial" w:cs="Arial"/>
          <w:b/>
          <w:sz w:val="22"/>
          <w:szCs w:val="22"/>
          <w:lang w:val="es-CO" w:eastAsia="ar-SA"/>
        </w:rPr>
        <w:t>Concepto</w:t>
      </w:r>
    </w:p>
    <w:p w14:paraId="5DB1B208" w14:textId="77777777" w:rsidR="002D5CCB" w:rsidRPr="003B7F2D" w:rsidRDefault="002D5CCB" w:rsidP="005C2632">
      <w:pPr>
        <w:pStyle w:val="Sangradetextonormal"/>
        <w:spacing w:after="0" w:line="240" w:lineRule="auto"/>
        <w:ind w:left="0"/>
        <w:rPr>
          <w:rFonts w:ascii="Arial" w:hAnsi="Arial" w:cs="Arial"/>
          <w:b/>
          <w:sz w:val="22"/>
          <w:szCs w:val="22"/>
          <w:lang w:val="es-CO" w:eastAsia="ar-SA"/>
        </w:rPr>
      </w:pPr>
    </w:p>
    <w:p w14:paraId="0507BDDF" w14:textId="77777777" w:rsidR="002D5CCB" w:rsidRPr="003B7F2D" w:rsidRDefault="002D5CCB" w:rsidP="005C2632">
      <w:pPr>
        <w:pStyle w:val="Sangradetextonormal"/>
        <w:spacing w:after="0" w:line="240" w:lineRule="auto"/>
        <w:ind w:left="0"/>
        <w:rPr>
          <w:rFonts w:ascii="Arial" w:hAnsi="Arial" w:cs="Arial"/>
          <w:sz w:val="22"/>
          <w:szCs w:val="22"/>
          <w:lang w:val="es-CO" w:eastAsia="ar-SA"/>
        </w:rPr>
      </w:pPr>
      <w:r w:rsidRPr="003B7F2D">
        <w:rPr>
          <w:rFonts w:ascii="Arial" w:hAnsi="Arial" w:cs="Arial"/>
          <w:sz w:val="22"/>
          <w:szCs w:val="22"/>
          <w:lang w:val="es-CO" w:eastAsia="ar-SA"/>
        </w:rPr>
        <w:t xml:space="preserve">Perjuicio indirecto, consecutivo o consecuencial, el cual, entonces, no se produce en forma inmediata por el incumplimiento, sino que para su causación concurren otras fuentes, consecutivas o consecuenciales, que inciden de manera mediata, para ocasionar el perjuicio. </w:t>
      </w:r>
    </w:p>
    <w:p w14:paraId="150BB9C7" w14:textId="77777777" w:rsidR="002D5CCB" w:rsidRPr="003B7F2D" w:rsidRDefault="002D5CCB" w:rsidP="005C2632">
      <w:pPr>
        <w:pStyle w:val="Sangradetextonormal"/>
        <w:spacing w:after="0" w:line="240" w:lineRule="auto"/>
        <w:ind w:left="0"/>
        <w:rPr>
          <w:rFonts w:ascii="Arial" w:hAnsi="Arial" w:cs="Arial"/>
          <w:sz w:val="22"/>
          <w:szCs w:val="22"/>
          <w:lang w:val="es-CO" w:eastAsia="ar-SA"/>
        </w:rPr>
      </w:pPr>
    </w:p>
    <w:p w14:paraId="7DE2CFBF" w14:textId="77777777" w:rsidR="005C2632" w:rsidRPr="003B7F2D" w:rsidRDefault="005C2632" w:rsidP="005C2632">
      <w:pPr>
        <w:pStyle w:val="Sangradetextonormal"/>
        <w:spacing w:after="0" w:line="240" w:lineRule="auto"/>
        <w:ind w:left="0"/>
        <w:rPr>
          <w:rFonts w:ascii="Arial" w:hAnsi="Arial" w:cs="Arial"/>
          <w:b/>
          <w:sz w:val="22"/>
          <w:szCs w:val="22"/>
          <w:lang w:val="es-CO" w:eastAsia="ar-SA"/>
        </w:rPr>
      </w:pPr>
      <w:r w:rsidRPr="003B7F2D">
        <w:rPr>
          <w:rFonts w:ascii="Arial" w:hAnsi="Arial" w:cs="Arial"/>
          <w:b/>
          <w:sz w:val="22"/>
          <w:szCs w:val="22"/>
          <w:lang w:val="es-CO" w:eastAsia="ar-SA"/>
        </w:rPr>
        <w:t>GARANTÍAS</w:t>
      </w:r>
      <w:r w:rsidR="006E4FA8">
        <w:rPr>
          <w:rFonts w:ascii="Arial" w:hAnsi="Arial" w:cs="Arial"/>
          <w:b/>
          <w:sz w:val="22"/>
          <w:szCs w:val="22"/>
          <w:lang w:val="es-CO" w:eastAsia="ar-SA"/>
        </w:rPr>
        <w:t xml:space="preserve"> </w:t>
      </w:r>
      <w:r w:rsidRPr="003B7F2D">
        <w:rPr>
          <w:rFonts w:ascii="Arial" w:hAnsi="Arial" w:cs="Arial"/>
          <w:b/>
          <w:sz w:val="22"/>
          <w:szCs w:val="22"/>
          <w:lang w:val="es-CO" w:eastAsia="ar-SA"/>
        </w:rPr>
        <w:t xml:space="preserve">– </w:t>
      </w:r>
      <w:r w:rsidR="00DC5626">
        <w:rPr>
          <w:rFonts w:ascii="Arial" w:hAnsi="Arial" w:cs="Arial"/>
          <w:b/>
          <w:sz w:val="22"/>
          <w:szCs w:val="22"/>
          <w:lang w:val="es-CO" w:eastAsia="ar-SA"/>
        </w:rPr>
        <w:t xml:space="preserve">Contratación estatal </w:t>
      </w:r>
      <w:r w:rsidR="00DC5626" w:rsidRPr="00DC5626">
        <w:rPr>
          <w:rFonts w:ascii="Arial" w:hAnsi="Arial" w:cs="Arial"/>
          <w:b/>
          <w:sz w:val="22"/>
          <w:szCs w:val="22"/>
          <w:lang w:val="es-CO" w:eastAsia="ar-SA"/>
        </w:rPr>
        <w:t>–</w:t>
      </w:r>
      <w:r w:rsidR="006E4FA8">
        <w:rPr>
          <w:rFonts w:ascii="Arial" w:hAnsi="Arial" w:cs="Arial"/>
          <w:b/>
          <w:sz w:val="22"/>
          <w:szCs w:val="22"/>
          <w:lang w:val="es-CO" w:eastAsia="ar-SA"/>
        </w:rPr>
        <w:t xml:space="preserve"> Li</w:t>
      </w:r>
      <w:r w:rsidRPr="003B7F2D">
        <w:rPr>
          <w:rFonts w:ascii="Arial" w:hAnsi="Arial" w:cs="Arial"/>
          <w:b/>
          <w:sz w:val="22"/>
          <w:szCs w:val="22"/>
          <w:lang w:val="es-CO" w:eastAsia="ar-SA"/>
        </w:rPr>
        <w:t>mitaciones o exclusiones</w:t>
      </w:r>
    </w:p>
    <w:p w14:paraId="0148C508" w14:textId="77777777" w:rsidR="005C2632" w:rsidRPr="003B7F2D" w:rsidRDefault="005C2632" w:rsidP="005C2632">
      <w:pPr>
        <w:pStyle w:val="Sangradetextonormal"/>
        <w:spacing w:after="0" w:line="240" w:lineRule="auto"/>
        <w:ind w:left="0"/>
        <w:rPr>
          <w:rFonts w:ascii="Arial" w:hAnsi="Arial" w:cs="Arial"/>
          <w:sz w:val="22"/>
          <w:szCs w:val="22"/>
          <w:lang w:val="es-CO" w:eastAsia="ar-SA"/>
        </w:rPr>
      </w:pPr>
    </w:p>
    <w:p w14:paraId="5FBB7415" w14:textId="77777777" w:rsidR="005C2632" w:rsidRPr="003B7F2D" w:rsidRDefault="005C2632" w:rsidP="005C2632">
      <w:pPr>
        <w:pStyle w:val="Sangradetextonormal"/>
        <w:spacing w:after="0" w:line="240" w:lineRule="auto"/>
        <w:ind w:left="0"/>
        <w:rPr>
          <w:rFonts w:ascii="Arial" w:hAnsi="Arial" w:cs="Arial"/>
          <w:sz w:val="22"/>
          <w:szCs w:val="22"/>
          <w:lang w:val="es-CO" w:eastAsia="ar-SA"/>
        </w:rPr>
      </w:pPr>
      <w:r w:rsidRPr="003B7F2D">
        <w:rPr>
          <w:rFonts w:ascii="Arial" w:hAnsi="Arial" w:cs="Arial"/>
          <w:sz w:val="22"/>
          <w:szCs w:val="22"/>
          <w:lang w:val="es-CO" w:eastAsia="ar-SA"/>
        </w:rPr>
        <w:t>Resulta claro que en las garantías del contrato estatal no se pueden introducir limitaciones o exclusiones distintas de las previstas en la ley, para desconocer la cobertura respecto de aquellos perjuicios que se causen por el incumplimiento contractual, aunado a otras causas o mediante la concurrencia de otras circunstancias que sobrevienen precisamente por el referido incumplimiento.</w:t>
      </w:r>
    </w:p>
    <w:p w14:paraId="356141F7" w14:textId="7F1AF8B4" w:rsidR="002D5CCB" w:rsidRDefault="002D5CCB" w:rsidP="00083D8A">
      <w:pPr>
        <w:pStyle w:val="Sangradetextonormal"/>
        <w:spacing w:after="0" w:line="240" w:lineRule="auto"/>
        <w:ind w:left="0"/>
        <w:rPr>
          <w:rFonts w:ascii="Arial" w:hAnsi="Arial" w:cs="Arial"/>
          <w:szCs w:val="24"/>
          <w:lang w:val="es-CO" w:eastAsia="ar-SA"/>
        </w:rPr>
      </w:pPr>
    </w:p>
    <w:p w14:paraId="48C402FB" w14:textId="77777777" w:rsidR="00083D8A" w:rsidRDefault="00083D8A" w:rsidP="00083D8A">
      <w:pPr>
        <w:pStyle w:val="Sangradetextonormal"/>
        <w:spacing w:after="0" w:line="240" w:lineRule="auto"/>
        <w:ind w:left="0"/>
        <w:rPr>
          <w:rFonts w:ascii="Arial" w:hAnsi="Arial" w:cs="Arial"/>
          <w:szCs w:val="24"/>
          <w:lang w:val="es-CO" w:eastAsia="ar-SA"/>
        </w:rPr>
      </w:pPr>
    </w:p>
    <w:p w14:paraId="6F2C7B17" w14:textId="77777777" w:rsidR="00C85395" w:rsidRPr="00545310" w:rsidRDefault="00C85395" w:rsidP="00545310">
      <w:pPr>
        <w:pStyle w:val="Puesto1"/>
        <w:rPr>
          <w:sz w:val="24"/>
        </w:rPr>
      </w:pPr>
      <w:r w:rsidRPr="00545310">
        <w:rPr>
          <w:sz w:val="24"/>
        </w:rPr>
        <w:t>CONSEJO DE ESTADO</w:t>
      </w:r>
    </w:p>
    <w:p w14:paraId="187B23CF" w14:textId="77777777" w:rsidR="00E55A21" w:rsidRPr="00545310" w:rsidRDefault="00E55A21" w:rsidP="00545310">
      <w:pPr>
        <w:pStyle w:val="Puesto1"/>
        <w:rPr>
          <w:sz w:val="24"/>
        </w:rPr>
      </w:pPr>
    </w:p>
    <w:p w14:paraId="471978D1" w14:textId="77777777" w:rsidR="00C85395" w:rsidRPr="00545310" w:rsidRDefault="00C85395" w:rsidP="00545310">
      <w:pPr>
        <w:pStyle w:val="Puesto1"/>
        <w:rPr>
          <w:sz w:val="24"/>
        </w:rPr>
      </w:pPr>
      <w:r w:rsidRPr="00545310">
        <w:rPr>
          <w:sz w:val="24"/>
        </w:rPr>
        <w:t>SALA DE LO CONTENCIOSO ADMINISTRATIVO</w:t>
      </w:r>
    </w:p>
    <w:p w14:paraId="373CC1BE" w14:textId="77777777" w:rsidR="00E55A21" w:rsidRPr="00545310" w:rsidRDefault="00E55A21" w:rsidP="00545310">
      <w:pPr>
        <w:pStyle w:val="Puesto1"/>
        <w:rPr>
          <w:sz w:val="24"/>
        </w:rPr>
      </w:pPr>
    </w:p>
    <w:p w14:paraId="30E16B5E" w14:textId="77777777" w:rsidR="00545310" w:rsidRPr="00545310" w:rsidRDefault="000E6697" w:rsidP="00545310">
      <w:pPr>
        <w:pStyle w:val="Puesto1"/>
        <w:rPr>
          <w:sz w:val="24"/>
        </w:rPr>
      </w:pPr>
      <w:r w:rsidRPr="00545310">
        <w:rPr>
          <w:sz w:val="24"/>
        </w:rPr>
        <w:t>SECCIÓ</w:t>
      </w:r>
      <w:r w:rsidR="00C85395" w:rsidRPr="00545310">
        <w:rPr>
          <w:sz w:val="24"/>
        </w:rPr>
        <w:t>N TERCERA</w:t>
      </w:r>
      <w:r w:rsidRPr="00545310">
        <w:rPr>
          <w:sz w:val="24"/>
        </w:rPr>
        <w:t xml:space="preserve"> </w:t>
      </w:r>
    </w:p>
    <w:p w14:paraId="52E0CAB7" w14:textId="77777777" w:rsidR="00545310" w:rsidRPr="00545310" w:rsidRDefault="00545310" w:rsidP="00545310">
      <w:pPr>
        <w:pStyle w:val="Puesto1"/>
        <w:rPr>
          <w:sz w:val="24"/>
        </w:rPr>
      </w:pPr>
    </w:p>
    <w:p w14:paraId="14CDB8F5" w14:textId="77777777" w:rsidR="00C85395" w:rsidRPr="00545310" w:rsidRDefault="000E6697" w:rsidP="00545310">
      <w:pPr>
        <w:pStyle w:val="Puesto1"/>
        <w:rPr>
          <w:sz w:val="24"/>
        </w:rPr>
      </w:pPr>
      <w:r w:rsidRPr="00545310">
        <w:rPr>
          <w:sz w:val="24"/>
        </w:rPr>
        <w:t>SUBSECCIÓ</w:t>
      </w:r>
      <w:r w:rsidR="009479F7" w:rsidRPr="00545310">
        <w:rPr>
          <w:sz w:val="24"/>
        </w:rPr>
        <w:t>N A</w:t>
      </w:r>
    </w:p>
    <w:p w14:paraId="333D46C0" w14:textId="77777777" w:rsidR="00ED77A2" w:rsidRPr="00545310" w:rsidRDefault="00ED77A2" w:rsidP="00545310">
      <w:pPr>
        <w:pStyle w:val="Encabezado"/>
        <w:spacing w:line="240" w:lineRule="auto"/>
        <w:jc w:val="center"/>
        <w:rPr>
          <w:rFonts w:cs="Arial"/>
          <w:b/>
          <w:szCs w:val="24"/>
          <w:lang w:val="es-CO"/>
        </w:rPr>
      </w:pPr>
    </w:p>
    <w:p w14:paraId="50D012FC" w14:textId="77777777" w:rsidR="00C85395" w:rsidRPr="00545310" w:rsidRDefault="00C85395" w:rsidP="00545310">
      <w:pPr>
        <w:pStyle w:val="Encabezado"/>
        <w:spacing w:line="240" w:lineRule="auto"/>
        <w:jc w:val="center"/>
        <w:rPr>
          <w:rFonts w:cs="Arial"/>
          <w:spacing w:val="-3"/>
          <w:szCs w:val="24"/>
          <w:lang w:val="es-CO"/>
        </w:rPr>
      </w:pPr>
      <w:r w:rsidRPr="00545310">
        <w:rPr>
          <w:rFonts w:cs="Arial"/>
          <w:b/>
          <w:szCs w:val="24"/>
          <w:lang w:val="es-CO"/>
        </w:rPr>
        <w:t>Consej</w:t>
      </w:r>
      <w:r w:rsidR="00F556DB" w:rsidRPr="00545310">
        <w:rPr>
          <w:rFonts w:cs="Arial"/>
          <w:b/>
          <w:szCs w:val="24"/>
          <w:lang w:val="es-CO"/>
        </w:rPr>
        <w:t>er</w:t>
      </w:r>
      <w:r w:rsidR="00961FDA" w:rsidRPr="00545310">
        <w:rPr>
          <w:rFonts w:cs="Arial"/>
          <w:b/>
          <w:szCs w:val="24"/>
          <w:lang w:val="es-CO"/>
        </w:rPr>
        <w:t>a</w:t>
      </w:r>
      <w:r w:rsidR="00F556DB" w:rsidRPr="00545310">
        <w:rPr>
          <w:rFonts w:cs="Arial"/>
          <w:b/>
          <w:szCs w:val="24"/>
          <w:lang w:val="es-CO"/>
        </w:rPr>
        <w:t xml:space="preserve"> </w:t>
      </w:r>
      <w:r w:rsidR="00E55A21" w:rsidRPr="00545310">
        <w:rPr>
          <w:rFonts w:cs="Arial"/>
          <w:b/>
          <w:szCs w:val="24"/>
          <w:lang w:val="es-CO"/>
        </w:rPr>
        <w:t>p</w:t>
      </w:r>
      <w:r w:rsidR="00F556DB" w:rsidRPr="00545310">
        <w:rPr>
          <w:rFonts w:cs="Arial"/>
          <w:b/>
          <w:szCs w:val="24"/>
          <w:lang w:val="es-CO"/>
        </w:rPr>
        <w:t>onente: MA</w:t>
      </w:r>
      <w:r w:rsidR="00961FDA" w:rsidRPr="00545310">
        <w:rPr>
          <w:rFonts w:cs="Arial"/>
          <w:b/>
          <w:szCs w:val="24"/>
          <w:lang w:val="es-CO"/>
        </w:rPr>
        <w:t>RTA NUBIA VELÁSQUEZ RICO</w:t>
      </w:r>
    </w:p>
    <w:p w14:paraId="59752237" w14:textId="77777777" w:rsidR="008F2EA9" w:rsidRPr="00545310" w:rsidRDefault="008F2EA9" w:rsidP="00545310">
      <w:pPr>
        <w:spacing w:line="240" w:lineRule="auto"/>
        <w:rPr>
          <w:rFonts w:cs="Arial"/>
        </w:rPr>
      </w:pPr>
    </w:p>
    <w:p w14:paraId="7DAE7B8F" w14:textId="77777777" w:rsidR="00545310" w:rsidRDefault="00F21484" w:rsidP="00545310">
      <w:pPr>
        <w:pStyle w:val="Saludo"/>
        <w:spacing w:line="240" w:lineRule="auto"/>
        <w:rPr>
          <w:rFonts w:cs="Arial"/>
        </w:rPr>
      </w:pPr>
      <w:r w:rsidRPr="00545310">
        <w:rPr>
          <w:rFonts w:cs="Arial"/>
        </w:rPr>
        <w:t>B</w:t>
      </w:r>
      <w:r w:rsidR="00025C7D" w:rsidRPr="00545310">
        <w:rPr>
          <w:rFonts w:cs="Arial"/>
        </w:rPr>
        <w:t>ogotá</w:t>
      </w:r>
      <w:r w:rsidR="00545310" w:rsidRPr="00545310">
        <w:rPr>
          <w:rFonts w:cs="Arial"/>
        </w:rPr>
        <w:t>,</w:t>
      </w:r>
      <w:r w:rsidR="00025C7D" w:rsidRPr="00545310">
        <w:rPr>
          <w:rFonts w:cs="Arial"/>
        </w:rPr>
        <w:t xml:space="preserve"> D.C.,</w:t>
      </w:r>
      <w:r w:rsidR="00CA6A5A" w:rsidRPr="00545310">
        <w:rPr>
          <w:rFonts w:cs="Arial"/>
        </w:rPr>
        <w:t xml:space="preserve"> </w:t>
      </w:r>
      <w:r w:rsidR="003E53BB" w:rsidRPr="00545310">
        <w:rPr>
          <w:rFonts w:cs="Arial"/>
        </w:rPr>
        <w:t xml:space="preserve">tres (3) de agosto de </w:t>
      </w:r>
      <w:r w:rsidR="003D2359" w:rsidRPr="00545310">
        <w:rPr>
          <w:rFonts w:cs="Arial"/>
        </w:rPr>
        <w:t xml:space="preserve">dos mil </w:t>
      </w:r>
      <w:r w:rsidR="00F773C8" w:rsidRPr="00545310">
        <w:rPr>
          <w:rFonts w:cs="Arial"/>
        </w:rPr>
        <w:t>diecis</w:t>
      </w:r>
      <w:r w:rsidR="0007209C" w:rsidRPr="00545310">
        <w:rPr>
          <w:rFonts w:cs="Arial"/>
        </w:rPr>
        <w:t>iete</w:t>
      </w:r>
      <w:r w:rsidR="003D2359" w:rsidRPr="00545310">
        <w:rPr>
          <w:rFonts w:cs="Arial"/>
        </w:rPr>
        <w:t xml:space="preserve"> (201</w:t>
      </w:r>
      <w:r w:rsidR="0007209C" w:rsidRPr="00545310">
        <w:rPr>
          <w:rFonts w:cs="Arial"/>
        </w:rPr>
        <w:t>7</w:t>
      </w:r>
      <w:r w:rsidR="003D2359" w:rsidRPr="00545310">
        <w:rPr>
          <w:rFonts w:cs="Arial"/>
        </w:rPr>
        <w:t>)</w:t>
      </w:r>
    </w:p>
    <w:p w14:paraId="29C70626" w14:textId="77777777" w:rsidR="00545310" w:rsidRDefault="00545310" w:rsidP="00545310">
      <w:pPr>
        <w:pStyle w:val="Saludo"/>
        <w:spacing w:line="240" w:lineRule="auto"/>
        <w:rPr>
          <w:rFonts w:cs="Arial"/>
        </w:rPr>
      </w:pPr>
    </w:p>
    <w:p w14:paraId="5343BA8B" w14:textId="77777777" w:rsidR="00545310" w:rsidRPr="00545310" w:rsidRDefault="003B6C02" w:rsidP="00545310">
      <w:pPr>
        <w:pStyle w:val="Saludo"/>
        <w:spacing w:line="240" w:lineRule="auto"/>
        <w:rPr>
          <w:rFonts w:cs="Arial"/>
          <w:b/>
        </w:rPr>
      </w:pPr>
      <w:r w:rsidRPr="00545310">
        <w:rPr>
          <w:rFonts w:cs="Arial"/>
          <w:b/>
        </w:rPr>
        <w:t>R</w:t>
      </w:r>
      <w:r w:rsidR="00277A8F" w:rsidRPr="00545310">
        <w:rPr>
          <w:rFonts w:cs="Arial"/>
          <w:b/>
        </w:rPr>
        <w:t>adicación</w:t>
      </w:r>
      <w:r w:rsidR="00545310" w:rsidRPr="00545310">
        <w:rPr>
          <w:rFonts w:cs="Arial"/>
          <w:b/>
        </w:rPr>
        <w:t xml:space="preserve"> número</w:t>
      </w:r>
      <w:r w:rsidR="00277A8F" w:rsidRPr="00545310">
        <w:rPr>
          <w:rFonts w:cs="Arial"/>
          <w:b/>
        </w:rPr>
        <w:t>:</w:t>
      </w:r>
      <w:r w:rsidR="001D4205" w:rsidRPr="00545310">
        <w:rPr>
          <w:rFonts w:cs="Arial"/>
          <w:b/>
        </w:rPr>
        <w:t xml:space="preserve"> </w:t>
      </w:r>
      <w:r w:rsidR="000528F2" w:rsidRPr="00545310">
        <w:rPr>
          <w:rFonts w:cs="Arial"/>
          <w:b/>
        </w:rPr>
        <w:t>68001</w:t>
      </w:r>
      <w:r w:rsidR="00545310" w:rsidRPr="00545310">
        <w:rPr>
          <w:rFonts w:cs="Arial"/>
          <w:b/>
        </w:rPr>
        <w:t>-</w:t>
      </w:r>
      <w:r w:rsidR="000528F2" w:rsidRPr="00545310">
        <w:rPr>
          <w:rFonts w:cs="Arial"/>
          <w:b/>
        </w:rPr>
        <w:t>23</w:t>
      </w:r>
      <w:r w:rsidR="00545310" w:rsidRPr="00545310">
        <w:rPr>
          <w:rFonts w:cs="Arial"/>
          <w:b/>
        </w:rPr>
        <w:t>-</w:t>
      </w:r>
      <w:r w:rsidR="000528F2" w:rsidRPr="00545310">
        <w:rPr>
          <w:rFonts w:cs="Arial"/>
          <w:b/>
        </w:rPr>
        <w:t>33</w:t>
      </w:r>
      <w:r w:rsidR="00545310" w:rsidRPr="00545310">
        <w:rPr>
          <w:rFonts w:cs="Arial"/>
          <w:b/>
        </w:rPr>
        <w:t>-</w:t>
      </w:r>
      <w:r w:rsidR="000528F2" w:rsidRPr="00545310">
        <w:rPr>
          <w:rFonts w:cs="Arial"/>
          <w:b/>
        </w:rPr>
        <w:t>000</w:t>
      </w:r>
      <w:r w:rsidR="00545310" w:rsidRPr="00545310">
        <w:rPr>
          <w:rFonts w:cs="Arial"/>
          <w:b/>
        </w:rPr>
        <w:t>-</w:t>
      </w:r>
      <w:r w:rsidR="000528F2" w:rsidRPr="00545310">
        <w:rPr>
          <w:rFonts w:cs="Arial"/>
          <w:b/>
        </w:rPr>
        <w:t>2012</w:t>
      </w:r>
      <w:r w:rsidR="00545310" w:rsidRPr="00545310">
        <w:rPr>
          <w:rFonts w:cs="Arial"/>
          <w:b/>
        </w:rPr>
        <w:t>-</w:t>
      </w:r>
      <w:r w:rsidR="000528F2" w:rsidRPr="00545310">
        <w:rPr>
          <w:rFonts w:cs="Arial"/>
          <w:b/>
        </w:rPr>
        <w:t>00322</w:t>
      </w:r>
      <w:r w:rsidR="00545310" w:rsidRPr="00545310">
        <w:rPr>
          <w:rFonts w:cs="Arial"/>
          <w:b/>
        </w:rPr>
        <w:t>-</w:t>
      </w:r>
      <w:r w:rsidR="000528F2" w:rsidRPr="00545310">
        <w:rPr>
          <w:rFonts w:cs="Arial"/>
          <w:b/>
        </w:rPr>
        <w:t>01(52531)</w:t>
      </w:r>
    </w:p>
    <w:p w14:paraId="68583F0F" w14:textId="77777777" w:rsidR="00545310" w:rsidRPr="00545310" w:rsidRDefault="00545310" w:rsidP="00545310">
      <w:pPr>
        <w:pStyle w:val="Saludo"/>
        <w:spacing w:line="240" w:lineRule="auto"/>
        <w:rPr>
          <w:rFonts w:cs="Arial"/>
          <w:b/>
        </w:rPr>
      </w:pPr>
    </w:p>
    <w:p w14:paraId="1C78171D" w14:textId="77777777" w:rsidR="00545310" w:rsidRPr="00545310" w:rsidRDefault="00277A8F" w:rsidP="00545310">
      <w:pPr>
        <w:pStyle w:val="Saludo"/>
        <w:spacing w:line="240" w:lineRule="auto"/>
        <w:rPr>
          <w:rFonts w:cs="Arial"/>
          <w:b/>
        </w:rPr>
      </w:pPr>
      <w:r w:rsidRPr="00545310">
        <w:rPr>
          <w:rFonts w:cs="Arial"/>
          <w:b/>
        </w:rPr>
        <w:t xml:space="preserve">Actor: </w:t>
      </w:r>
      <w:r w:rsidR="000528F2" w:rsidRPr="00545310">
        <w:rPr>
          <w:rFonts w:cs="Arial"/>
          <w:b/>
        </w:rPr>
        <w:t>COMPA</w:t>
      </w:r>
      <w:r w:rsidR="00A448D3" w:rsidRPr="00545310">
        <w:rPr>
          <w:rFonts w:cs="Arial"/>
          <w:b/>
        </w:rPr>
        <w:t>ÑÍ</w:t>
      </w:r>
      <w:r w:rsidR="000528F2" w:rsidRPr="00545310">
        <w:rPr>
          <w:rFonts w:cs="Arial"/>
          <w:b/>
        </w:rPr>
        <w:t>A ASEGURADORA DE FIANZAS S.A. CONFIANZA</w:t>
      </w:r>
    </w:p>
    <w:p w14:paraId="461B8642" w14:textId="77777777" w:rsidR="00545310" w:rsidRPr="00545310" w:rsidRDefault="00545310" w:rsidP="00545310">
      <w:pPr>
        <w:pStyle w:val="Saludo"/>
        <w:spacing w:line="240" w:lineRule="auto"/>
        <w:rPr>
          <w:rFonts w:cs="Arial"/>
          <w:b/>
        </w:rPr>
      </w:pPr>
    </w:p>
    <w:p w14:paraId="28FA59D6" w14:textId="77777777" w:rsidR="00545310" w:rsidRPr="00545310" w:rsidRDefault="00277A8F" w:rsidP="00545310">
      <w:pPr>
        <w:pStyle w:val="Saludo"/>
        <w:spacing w:line="240" w:lineRule="auto"/>
        <w:rPr>
          <w:rFonts w:cs="Arial"/>
          <w:b/>
        </w:rPr>
      </w:pPr>
      <w:r w:rsidRPr="00545310">
        <w:rPr>
          <w:rFonts w:cs="Arial"/>
          <w:b/>
        </w:rPr>
        <w:t xml:space="preserve">Demandado: </w:t>
      </w:r>
      <w:r w:rsidR="008D1056" w:rsidRPr="00545310">
        <w:rPr>
          <w:rFonts w:cs="Arial"/>
          <w:b/>
        </w:rPr>
        <w:t>F</w:t>
      </w:r>
      <w:r w:rsidR="000528F2" w:rsidRPr="00545310">
        <w:rPr>
          <w:rFonts w:cs="Arial"/>
          <w:b/>
        </w:rPr>
        <w:t>ONDO FINANCIERO DE PROYECTOS DE DESARROLLO FONADE</w:t>
      </w:r>
    </w:p>
    <w:p w14:paraId="275521A3" w14:textId="77777777" w:rsidR="00545310" w:rsidRPr="00545310" w:rsidRDefault="00545310" w:rsidP="00545310">
      <w:pPr>
        <w:pStyle w:val="Saludo"/>
        <w:spacing w:line="240" w:lineRule="auto"/>
        <w:rPr>
          <w:rFonts w:cs="Arial"/>
          <w:b/>
        </w:rPr>
      </w:pPr>
    </w:p>
    <w:p w14:paraId="07F83B37" w14:textId="77777777" w:rsidR="00545310" w:rsidRPr="00545310" w:rsidRDefault="00545310" w:rsidP="00545310">
      <w:pPr>
        <w:pStyle w:val="Saludo"/>
        <w:spacing w:line="240" w:lineRule="auto"/>
        <w:rPr>
          <w:rFonts w:cs="Arial"/>
          <w:b/>
        </w:rPr>
      </w:pPr>
    </w:p>
    <w:p w14:paraId="59046E04" w14:textId="77777777" w:rsidR="00545310" w:rsidRPr="00545310" w:rsidRDefault="00545310" w:rsidP="00545310">
      <w:pPr>
        <w:pStyle w:val="Saludo"/>
        <w:spacing w:line="240" w:lineRule="auto"/>
        <w:rPr>
          <w:rFonts w:cs="Arial"/>
          <w:b/>
        </w:rPr>
      </w:pPr>
    </w:p>
    <w:p w14:paraId="19FD82C5" w14:textId="77777777" w:rsidR="00545310" w:rsidRPr="00545310" w:rsidRDefault="00545310" w:rsidP="00545310">
      <w:pPr>
        <w:pStyle w:val="Saludo"/>
        <w:spacing w:line="240" w:lineRule="auto"/>
        <w:rPr>
          <w:rFonts w:cs="Arial"/>
          <w:b/>
        </w:rPr>
      </w:pPr>
      <w:r w:rsidRPr="00545310">
        <w:rPr>
          <w:rFonts w:cs="Arial"/>
          <w:b/>
        </w:rPr>
        <w:t>Referencia</w:t>
      </w:r>
      <w:r w:rsidR="008D1056" w:rsidRPr="00545310">
        <w:rPr>
          <w:rFonts w:cs="Arial"/>
          <w:b/>
        </w:rPr>
        <w:t xml:space="preserve">: </w:t>
      </w:r>
      <w:r w:rsidRPr="00545310">
        <w:rPr>
          <w:rFonts w:cs="Arial"/>
          <w:b/>
        </w:rPr>
        <w:t>APELACIÓN SENTENCIA - MEDIO DE CONTROL DE CONTROVERSIAS CONTRACTUALES</w:t>
      </w:r>
    </w:p>
    <w:p w14:paraId="2D8E87F3" w14:textId="77777777" w:rsidR="00545310" w:rsidRPr="00545310" w:rsidRDefault="00545310" w:rsidP="00545310">
      <w:pPr>
        <w:pStyle w:val="Saludo"/>
        <w:spacing w:line="240" w:lineRule="auto"/>
        <w:rPr>
          <w:rFonts w:cs="Arial"/>
          <w:b/>
        </w:rPr>
      </w:pPr>
    </w:p>
    <w:p w14:paraId="50023A96" w14:textId="77777777" w:rsidR="00545310" w:rsidRDefault="00545310" w:rsidP="00545310">
      <w:pPr>
        <w:pStyle w:val="Saludo"/>
        <w:spacing w:line="240" w:lineRule="auto"/>
        <w:rPr>
          <w:rFonts w:cs="Arial"/>
        </w:rPr>
      </w:pPr>
    </w:p>
    <w:p w14:paraId="008E6702" w14:textId="77777777" w:rsidR="00545310" w:rsidRDefault="00545310" w:rsidP="00545310">
      <w:pPr>
        <w:pStyle w:val="Saludo"/>
        <w:spacing w:line="240" w:lineRule="auto"/>
        <w:rPr>
          <w:rFonts w:cs="Arial"/>
        </w:rPr>
      </w:pPr>
    </w:p>
    <w:p w14:paraId="72127B62" w14:textId="77777777" w:rsidR="000528F2" w:rsidRPr="00545310" w:rsidRDefault="00BA77BD" w:rsidP="00545310">
      <w:pPr>
        <w:pStyle w:val="Saludo"/>
        <w:spacing w:line="240" w:lineRule="auto"/>
        <w:rPr>
          <w:rFonts w:cs="Arial"/>
        </w:rPr>
      </w:pPr>
      <w:r w:rsidRPr="00545310">
        <w:rPr>
          <w:rFonts w:cs="Arial"/>
          <w:b/>
        </w:rPr>
        <w:lastRenderedPageBreak/>
        <w:t>Temas</w:t>
      </w:r>
      <w:r w:rsidR="008D1056" w:rsidRPr="00545310">
        <w:rPr>
          <w:rFonts w:cs="Arial"/>
          <w:b/>
        </w:rPr>
        <w:t>:</w:t>
      </w:r>
      <w:r w:rsidR="00C077DC" w:rsidRPr="00545310">
        <w:rPr>
          <w:rFonts w:cs="Arial"/>
          <w:b/>
        </w:rPr>
        <w:t xml:space="preserve"> </w:t>
      </w:r>
      <w:r w:rsidR="00204DF6" w:rsidRPr="00545310">
        <w:rPr>
          <w:rFonts w:cs="Arial"/>
        </w:rPr>
        <w:t xml:space="preserve">FONADE – </w:t>
      </w:r>
      <w:r w:rsidR="00AF37B6" w:rsidRPr="00545310">
        <w:rPr>
          <w:rFonts w:cs="Arial"/>
        </w:rPr>
        <w:t xml:space="preserve">Para los contratos que se rigieron por la Ley 80 de 1993 </w:t>
      </w:r>
      <w:r w:rsidR="00B237E5" w:rsidRPr="00545310">
        <w:rPr>
          <w:rFonts w:cs="Arial"/>
        </w:rPr>
        <w:t xml:space="preserve">en virtud del </w:t>
      </w:r>
      <w:r w:rsidR="00AF37B6" w:rsidRPr="00545310">
        <w:rPr>
          <w:rFonts w:cs="Arial"/>
        </w:rPr>
        <w:t>artículo 11 de la Ley 1150 de 2007, c</w:t>
      </w:r>
      <w:r w:rsidR="00A81C03" w:rsidRPr="00545310">
        <w:rPr>
          <w:rFonts w:cs="Arial"/>
        </w:rPr>
        <w:t xml:space="preserve">orresponde a la </w:t>
      </w:r>
      <w:r w:rsidR="00A52CB3" w:rsidRPr="00545310">
        <w:rPr>
          <w:rFonts w:cs="Arial"/>
        </w:rPr>
        <w:t>Jurisdicción de lo Contencioso Administrativo</w:t>
      </w:r>
      <w:r w:rsidR="00A81C03" w:rsidRPr="00545310">
        <w:rPr>
          <w:rFonts w:cs="Arial"/>
        </w:rPr>
        <w:t xml:space="preserve"> </w:t>
      </w:r>
      <w:r w:rsidR="00663CF6" w:rsidRPr="00545310">
        <w:rPr>
          <w:rFonts w:cs="Arial"/>
        </w:rPr>
        <w:t xml:space="preserve">conocer de la pretensión de nulidad </w:t>
      </w:r>
      <w:r w:rsidR="00357029" w:rsidRPr="00545310">
        <w:rPr>
          <w:rFonts w:cs="Arial"/>
        </w:rPr>
        <w:t>del acto administrativo mediante el cual se dec</w:t>
      </w:r>
      <w:r w:rsidR="00932876" w:rsidRPr="00545310">
        <w:rPr>
          <w:rFonts w:cs="Arial"/>
        </w:rPr>
        <w:t xml:space="preserve">laró </w:t>
      </w:r>
      <w:r w:rsidR="00357029" w:rsidRPr="00545310">
        <w:rPr>
          <w:rFonts w:cs="Arial"/>
        </w:rPr>
        <w:t xml:space="preserve">la caducidad del contrato y se </w:t>
      </w:r>
      <w:r w:rsidR="00932876" w:rsidRPr="00545310">
        <w:rPr>
          <w:rFonts w:cs="Arial"/>
        </w:rPr>
        <w:t>hizo</w:t>
      </w:r>
      <w:r w:rsidR="00357029" w:rsidRPr="00545310">
        <w:rPr>
          <w:rFonts w:cs="Arial"/>
        </w:rPr>
        <w:t xml:space="preserve"> efectiva la garantía </w:t>
      </w:r>
      <w:r w:rsidR="00663CF6" w:rsidRPr="00545310">
        <w:rPr>
          <w:rFonts w:cs="Arial"/>
        </w:rPr>
        <w:t xml:space="preserve">única </w:t>
      </w:r>
      <w:r w:rsidR="00357029" w:rsidRPr="00545310">
        <w:rPr>
          <w:rFonts w:cs="Arial"/>
        </w:rPr>
        <w:t xml:space="preserve">de cumplimiento, toda vez que </w:t>
      </w:r>
      <w:r w:rsidR="00663CF6" w:rsidRPr="00545310">
        <w:rPr>
          <w:rFonts w:cs="Arial"/>
        </w:rPr>
        <w:t xml:space="preserve">esa actuación </w:t>
      </w:r>
      <w:r w:rsidR="00357029" w:rsidRPr="00545310">
        <w:rPr>
          <w:rFonts w:cs="Arial"/>
        </w:rPr>
        <w:t>no hace parte del giro ordinario de lo</w:t>
      </w:r>
      <w:r w:rsidR="00A81C03" w:rsidRPr="00545310">
        <w:rPr>
          <w:rFonts w:cs="Arial"/>
        </w:rPr>
        <w:t>s</w:t>
      </w:r>
      <w:r w:rsidR="00357029" w:rsidRPr="00545310">
        <w:rPr>
          <w:rFonts w:cs="Arial"/>
        </w:rPr>
        <w:t xml:space="preserve"> negoci</w:t>
      </w:r>
      <w:r w:rsidR="00A81C03" w:rsidRPr="00545310">
        <w:rPr>
          <w:rFonts w:cs="Arial"/>
        </w:rPr>
        <w:t xml:space="preserve">os y no se enmarca en la excepción del artículo 105 </w:t>
      </w:r>
      <w:r w:rsidR="00663CF6" w:rsidRPr="00545310">
        <w:rPr>
          <w:rFonts w:cs="Arial"/>
        </w:rPr>
        <w:t xml:space="preserve">del </w:t>
      </w:r>
      <w:r w:rsidR="00A81C03" w:rsidRPr="00545310">
        <w:rPr>
          <w:rFonts w:cs="Arial"/>
        </w:rPr>
        <w:t>CPACA</w:t>
      </w:r>
      <w:r w:rsidR="00357029" w:rsidRPr="00545310">
        <w:rPr>
          <w:rFonts w:cs="Arial"/>
        </w:rPr>
        <w:t>.</w:t>
      </w:r>
      <w:r w:rsidR="005232FE" w:rsidRPr="00545310">
        <w:rPr>
          <w:rFonts w:cs="Arial"/>
        </w:rPr>
        <w:t>/</w:t>
      </w:r>
      <w:r w:rsidR="00357029" w:rsidRPr="00545310">
        <w:rPr>
          <w:rFonts w:cs="Arial"/>
        </w:rPr>
        <w:t xml:space="preserve"> </w:t>
      </w:r>
      <w:r w:rsidR="00A81C03" w:rsidRPr="00545310">
        <w:rPr>
          <w:rFonts w:cs="Arial"/>
        </w:rPr>
        <w:t>PÓLIZA DE SEGURO</w:t>
      </w:r>
      <w:r w:rsidR="00204DF6" w:rsidRPr="00545310">
        <w:rPr>
          <w:rFonts w:cs="Arial"/>
        </w:rPr>
        <w:t xml:space="preserve"> </w:t>
      </w:r>
      <w:r w:rsidR="00A81C03" w:rsidRPr="00545310">
        <w:rPr>
          <w:rFonts w:cs="Arial"/>
        </w:rPr>
        <w:t xml:space="preserve">- </w:t>
      </w:r>
      <w:r w:rsidR="00436988" w:rsidRPr="00545310">
        <w:rPr>
          <w:rFonts w:cs="Arial"/>
        </w:rPr>
        <w:t xml:space="preserve">cobertura de </w:t>
      </w:r>
      <w:r w:rsidR="00A81C03" w:rsidRPr="00545310">
        <w:rPr>
          <w:rFonts w:cs="Arial"/>
        </w:rPr>
        <w:t xml:space="preserve">los </w:t>
      </w:r>
      <w:r w:rsidR="00436988" w:rsidRPr="00545310">
        <w:rPr>
          <w:rFonts w:cs="Arial"/>
        </w:rPr>
        <w:t xml:space="preserve">perjuicios directos en </w:t>
      </w:r>
      <w:r w:rsidR="00204DF6" w:rsidRPr="00545310">
        <w:rPr>
          <w:rFonts w:cs="Arial"/>
        </w:rPr>
        <w:t xml:space="preserve">vigencia del </w:t>
      </w:r>
      <w:r w:rsidR="00204DF6" w:rsidRPr="00545310">
        <w:rPr>
          <w:rFonts w:cs="Arial"/>
          <w:lang w:val="es-CO" w:eastAsia="ar-SA"/>
        </w:rPr>
        <w:t>Decreto 4848 de 2008</w:t>
      </w:r>
      <w:r w:rsidR="00B26556" w:rsidRPr="00545310">
        <w:rPr>
          <w:rFonts w:cs="Arial"/>
          <w:lang w:val="es-CO" w:eastAsia="ar-SA"/>
        </w:rPr>
        <w:t xml:space="preserve"> </w:t>
      </w:r>
      <w:r w:rsidR="005232FE" w:rsidRPr="00545310">
        <w:rPr>
          <w:rFonts w:cs="Arial"/>
          <w:lang w:val="es-CO" w:eastAsia="ar-SA"/>
        </w:rPr>
        <w:t>/</w:t>
      </w:r>
      <w:r w:rsidR="00B26556" w:rsidRPr="00545310">
        <w:rPr>
          <w:rFonts w:cs="Arial"/>
          <w:lang w:val="es-CO" w:eastAsia="ar-SA"/>
        </w:rPr>
        <w:t xml:space="preserve"> PERJU</w:t>
      </w:r>
      <w:r w:rsidR="00E417BA" w:rsidRPr="00545310">
        <w:rPr>
          <w:rFonts w:cs="Arial"/>
          <w:lang w:val="es-CO" w:eastAsia="ar-SA"/>
        </w:rPr>
        <w:t>I</w:t>
      </w:r>
      <w:r w:rsidR="00B26556" w:rsidRPr="00545310">
        <w:rPr>
          <w:rFonts w:cs="Arial"/>
          <w:lang w:val="es-CO" w:eastAsia="ar-SA"/>
        </w:rPr>
        <w:t>CIOS DIRECTOS DERIVADO</w:t>
      </w:r>
      <w:r w:rsidR="009115AF" w:rsidRPr="00545310">
        <w:rPr>
          <w:rFonts w:cs="Arial"/>
          <w:lang w:val="es-CO" w:eastAsia="ar-SA"/>
        </w:rPr>
        <w:t>S</w:t>
      </w:r>
      <w:r w:rsidR="00B26556" w:rsidRPr="00545310">
        <w:rPr>
          <w:rFonts w:cs="Arial"/>
          <w:lang w:val="es-CO" w:eastAsia="ar-SA"/>
        </w:rPr>
        <w:t xml:space="preserve"> DEL INCUMPLIMIENTO </w:t>
      </w:r>
      <w:r w:rsidR="00A52CB3" w:rsidRPr="00545310">
        <w:rPr>
          <w:rFonts w:cs="Arial"/>
          <w:lang w:val="es-CO" w:eastAsia="ar-SA"/>
        </w:rPr>
        <w:t xml:space="preserve">- </w:t>
      </w:r>
      <w:r w:rsidR="00B26556" w:rsidRPr="00545310">
        <w:rPr>
          <w:rFonts w:cs="Arial"/>
          <w:lang w:val="es-CO" w:eastAsia="ar-SA"/>
        </w:rPr>
        <w:t>pueden c</w:t>
      </w:r>
      <w:r w:rsidR="00A52CB3" w:rsidRPr="00545310">
        <w:rPr>
          <w:rFonts w:cs="Arial"/>
          <w:lang w:val="es-CO" w:eastAsia="ar-SA"/>
        </w:rPr>
        <w:t xml:space="preserve">uantificarse con base en </w:t>
      </w:r>
      <w:r w:rsidR="00B26556" w:rsidRPr="00545310">
        <w:rPr>
          <w:rFonts w:cs="Arial"/>
          <w:lang w:val="es-CO" w:eastAsia="ar-SA"/>
        </w:rPr>
        <w:t xml:space="preserve">el </w:t>
      </w:r>
      <w:r w:rsidR="00204DF6" w:rsidRPr="00545310">
        <w:rPr>
          <w:rFonts w:cs="Arial"/>
          <w:lang w:val="es-CO" w:eastAsia="ar-SA"/>
        </w:rPr>
        <w:t>mayor costo de la contratación de la obra faltante</w:t>
      </w:r>
      <w:r w:rsidR="00B26556" w:rsidRPr="00545310">
        <w:rPr>
          <w:rFonts w:cs="Arial"/>
          <w:lang w:val="es-CO" w:eastAsia="ar-SA"/>
        </w:rPr>
        <w:t xml:space="preserve"> </w:t>
      </w:r>
    </w:p>
    <w:p w14:paraId="4A145FA1" w14:textId="77777777" w:rsidR="00BA77BD" w:rsidRPr="00545310" w:rsidRDefault="00BA77BD" w:rsidP="00BA77BD">
      <w:pPr>
        <w:widowControl w:val="0"/>
        <w:autoSpaceDE w:val="0"/>
        <w:autoSpaceDN w:val="0"/>
        <w:adjustRightInd w:val="0"/>
        <w:spacing w:line="240" w:lineRule="auto"/>
        <w:ind w:left="2124" w:hanging="2124"/>
        <w:rPr>
          <w:rFonts w:cs="Arial"/>
        </w:rPr>
      </w:pPr>
    </w:p>
    <w:p w14:paraId="0AA580A1" w14:textId="77777777" w:rsidR="00400E81" w:rsidRPr="00545310" w:rsidRDefault="00400E81" w:rsidP="00BA77BD">
      <w:pPr>
        <w:widowControl w:val="0"/>
        <w:autoSpaceDE w:val="0"/>
        <w:autoSpaceDN w:val="0"/>
        <w:adjustRightInd w:val="0"/>
        <w:spacing w:line="240" w:lineRule="auto"/>
        <w:ind w:left="2124" w:hanging="2124"/>
        <w:rPr>
          <w:rFonts w:cs="Arial"/>
        </w:rPr>
      </w:pPr>
    </w:p>
    <w:p w14:paraId="0A444B80" w14:textId="77777777" w:rsidR="00F21484" w:rsidRPr="00545310" w:rsidRDefault="00F21484" w:rsidP="00A33FE5">
      <w:pPr>
        <w:widowControl w:val="0"/>
        <w:autoSpaceDE w:val="0"/>
        <w:autoSpaceDN w:val="0"/>
        <w:adjustRightInd w:val="0"/>
        <w:rPr>
          <w:rFonts w:cs="Arial"/>
        </w:rPr>
      </w:pPr>
      <w:r w:rsidRPr="00545310">
        <w:rPr>
          <w:rFonts w:cs="Arial"/>
        </w:rPr>
        <w:t xml:space="preserve">Conoce la Sala </w:t>
      </w:r>
      <w:r w:rsidR="00C71714" w:rsidRPr="00545310">
        <w:rPr>
          <w:rFonts w:cs="Arial"/>
        </w:rPr>
        <w:t>el</w:t>
      </w:r>
      <w:r w:rsidR="00F53FED" w:rsidRPr="00545310">
        <w:rPr>
          <w:rFonts w:cs="Arial"/>
        </w:rPr>
        <w:t xml:space="preserve"> recurso de apelación presentado</w:t>
      </w:r>
      <w:r w:rsidR="00021148" w:rsidRPr="00545310">
        <w:rPr>
          <w:rFonts w:cs="Arial"/>
        </w:rPr>
        <w:t xml:space="preserve"> por la parte</w:t>
      </w:r>
      <w:r w:rsidR="00C73C87" w:rsidRPr="00545310">
        <w:rPr>
          <w:rFonts w:cs="Arial"/>
        </w:rPr>
        <w:t xml:space="preserve"> </w:t>
      </w:r>
      <w:r w:rsidR="00F605ED" w:rsidRPr="00545310">
        <w:rPr>
          <w:rFonts w:cs="Arial"/>
        </w:rPr>
        <w:t xml:space="preserve">demandada </w:t>
      </w:r>
      <w:r w:rsidR="00F53FED" w:rsidRPr="00545310">
        <w:rPr>
          <w:rFonts w:cs="Arial"/>
        </w:rPr>
        <w:t>contra</w:t>
      </w:r>
      <w:r w:rsidR="00E875E6" w:rsidRPr="00545310">
        <w:rPr>
          <w:rFonts w:cs="Arial"/>
        </w:rPr>
        <w:t xml:space="preserve"> la sentencia proferida por </w:t>
      </w:r>
      <w:r w:rsidR="007E4317" w:rsidRPr="00545310">
        <w:rPr>
          <w:rFonts w:cs="Arial"/>
        </w:rPr>
        <w:t>el Tribunal Administrativo de</w:t>
      </w:r>
      <w:r w:rsidR="005445E9" w:rsidRPr="00545310">
        <w:rPr>
          <w:rFonts w:cs="Arial"/>
        </w:rPr>
        <w:t xml:space="preserve"> </w:t>
      </w:r>
      <w:r w:rsidR="002323EA" w:rsidRPr="00545310">
        <w:rPr>
          <w:rFonts w:cs="Arial"/>
        </w:rPr>
        <w:t>Santander</w:t>
      </w:r>
      <w:r w:rsidR="00F605ED" w:rsidRPr="00545310">
        <w:rPr>
          <w:rFonts w:cs="Arial"/>
        </w:rPr>
        <w:t xml:space="preserve">, el 22 de </w:t>
      </w:r>
      <w:r w:rsidR="002323EA" w:rsidRPr="00545310">
        <w:rPr>
          <w:rFonts w:cs="Arial"/>
        </w:rPr>
        <w:t xml:space="preserve">julio </w:t>
      </w:r>
      <w:r w:rsidR="00F605ED" w:rsidRPr="00545310">
        <w:rPr>
          <w:rFonts w:cs="Arial"/>
        </w:rPr>
        <w:t>de 201</w:t>
      </w:r>
      <w:r w:rsidR="002323EA" w:rsidRPr="00545310">
        <w:rPr>
          <w:rFonts w:cs="Arial"/>
        </w:rPr>
        <w:t>4</w:t>
      </w:r>
      <w:r w:rsidRPr="00545310">
        <w:rPr>
          <w:rFonts w:cs="Arial"/>
        </w:rPr>
        <w:t>, mediante la cual se dispuso</w:t>
      </w:r>
      <w:r w:rsidR="000A4390" w:rsidRPr="00545310">
        <w:rPr>
          <w:rFonts w:cs="Arial"/>
        </w:rPr>
        <w:t xml:space="preserve"> (se transcribe textualmente, incluso con posibles errores)</w:t>
      </w:r>
      <w:r w:rsidRPr="00545310">
        <w:rPr>
          <w:rFonts w:cs="Arial"/>
        </w:rPr>
        <w:t>:</w:t>
      </w:r>
    </w:p>
    <w:p w14:paraId="79112B03" w14:textId="77777777" w:rsidR="00C71714" w:rsidRPr="00545310" w:rsidRDefault="00C71714" w:rsidP="00BA77BD">
      <w:pPr>
        <w:pStyle w:val="Textoindependienteprimerasangra2"/>
        <w:ind w:left="0" w:firstLine="0"/>
        <w:jc w:val="left"/>
        <w:rPr>
          <w:rFonts w:cs="Arial"/>
          <w:b/>
          <w:i/>
        </w:rPr>
      </w:pPr>
    </w:p>
    <w:p w14:paraId="22AC172A" w14:textId="77777777" w:rsidR="002323EA" w:rsidRPr="00545310" w:rsidRDefault="00312E2A" w:rsidP="0000298F">
      <w:pPr>
        <w:pStyle w:val="Textoindependienteprimerasangra2"/>
        <w:spacing w:line="276" w:lineRule="auto"/>
        <w:ind w:left="567" w:right="567" w:firstLine="0"/>
        <w:rPr>
          <w:rFonts w:cs="Arial"/>
          <w:i/>
        </w:rPr>
      </w:pPr>
      <w:r w:rsidRPr="00545310">
        <w:rPr>
          <w:rFonts w:cs="Arial"/>
          <w:i/>
        </w:rPr>
        <w:t>“</w:t>
      </w:r>
      <w:r w:rsidR="00F605ED" w:rsidRPr="00545310">
        <w:rPr>
          <w:rFonts w:cs="Arial"/>
          <w:b/>
          <w:i/>
        </w:rPr>
        <w:t>PRIMERO: DE</w:t>
      </w:r>
      <w:r w:rsidR="002323EA" w:rsidRPr="00545310">
        <w:rPr>
          <w:rFonts w:cs="Arial"/>
          <w:b/>
          <w:i/>
        </w:rPr>
        <w:t xml:space="preserve">NIÉGANSE </w:t>
      </w:r>
      <w:r w:rsidR="002323EA" w:rsidRPr="00545310">
        <w:rPr>
          <w:rFonts w:cs="Arial"/>
          <w:i/>
        </w:rPr>
        <w:t>las pretensiones de la demanda, de conformidad con lo expuesto en la parte motiva.</w:t>
      </w:r>
    </w:p>
    <w:p w14:paraId="3F017083" w14:textId="77777777" w:rsidR="002323EA" w:rsidRPr="00545310" w:rsidRDefault="002323EA" w:rsidP="0000298F">
      <w:pPr>
        <w:pStyle w:val="Textoindependienteprimerasangra2"/>
        <w:spacing w:line="276" w:lineRule="auto"/>
        <w:ind w:left="567" w:right="567" w:firstLine="0"/>
        <w:rPr>
          <w:rFonts w:cs="Arial"/>
          <w:i/>
        </w:rPr>
      </w:pPr>
    </w:p>
    <w:p w14:paraId="35462BA8" w14:textId="77777777" w:rsidR="00D51906" w:rsidRPr="00545310" w:rsidRDefault="001A45EE" w:rsidP="0000298F">
      <w:pPr>
        <w:pStyle w:val="Textoindependienteprimerasangra2"/>
        <w:spacing w:line="276" w:lineRule="auto"/>
        <w:ind w:left="567" w:right="567" w:firstLine="0"/>
        <w:rPr>
          <w:rFonts w:cs="Arial"/>
          <w:i/>
        </w:rPr>
      </w:pPr>
      <w:r w:rsidRPr="00545310">
        <w:rPr>
          <w:rFonts w:cs="Arial"/>
          <w:i/>
        </w:rPr>
        <w:t>”</w:t>
      </w:r>
      <w:r w:rsidR="00F605ED" w:rsidRPr="00545310">
        <w:rPr>
          <w:rFonts w:cs="Arial"/>
          <w:b/>
          <w:i/>
        </w:rPr>
        <w:t>SEGUNDO</w:t>
      </w:r>
      <w:r w:rsidR="0000298F" w:rsidRPr="00545310">
        <w:rPr>
          <w:rFonts w:cs="Arial"/>
          <w:i/>
        </w:rPr>
        <w:t>:</w:t>
      </w:r>
      <w:r w:rsidR="00F605ED" w:rsidRPr="00545310">
        <w:rPr>
          <w:rFonts w:cs="Arial"/>
          <w:i/>
        </w:rPr>
        <w:t xml:space="preserve"> </w:t>
      </w:r>
      <w:r w:rsidR="00222F81" w:rsidRPr="00545310">
        <w:rPr>
          <w:rFonts w:cs="Arial"/>
          <w:b/>
          <w:i/>
        </w:rPr>
        <w:t>CONDÉNASE</w:t>
      </w:r>
      <w:r w:rsidR="00222F81" w:rsidRPr="00545310">
        <w:rPr>
          <w:rFonts w:cs="Arial"/>
          <w:i/>
        </w:rPr>
        <w:t xml:space="preserve"> en costas a la sociedad demandante CONFIANZA S.A. las cuáles serán liquidadas por Secretaría una vez ejecutoriada la sentencia. Para tal efecto </w:t>
      </w:r>
      <w:r w:rsidR="00222F81" w:rsidRPr="00545310">
        <w:rPr>
          <w:rFonts w:cs="Arial"/>
          <w:b/>
          <w:i/>
        </w:rPr>
        <w:t>FÍJANSE</w:t>
      </w:r>
      <w:r w:rsidR="00222F81" w:rsidRPr="00545310">
        <w:rPr>
          <w:rFonts w:cs="Arial"/>
          <w:i/>
        </w:rPr>
        <w:t xml:space="preserve"> por concepto de agencias en derecho la suma equivalente al uno por ciento (1%)</w:t>
      </w:r>
      <w:r w:rsidR="0013699A" w:rsidRPr="00545310">
        <w:rPr>
          <w:rFonts w:cs="Arial"/>
          <w:i/>
        </w:rPr>
        <w:t xml:space="preserve"> del valor de las pretensiones negadas en esta sentencia, conforme a lo señalado en la parte considerativa. </w:t>
      </w:r>
    </w:p>
    <w:p w14:paraId="60058C3E" w14:textId="77777777" w:rsidR="0013699A" w:rsidRPr="00545310" w:rsidRDefault="0013699A" w:rsidP="0000298F">
      <w:pPr>
        <w:pStyle w:val="Textoindependienteprimerasangra2"/>
        <w:spacing w:line="276" w:lineRule="auto"/>
        <w:ind w:left="567" w:right="567" w:firstLine="0"/>
        <w:rPr>
          <w:rFonts w:cs="Arial"/>
          <w:i/>
        </w:rPr>
      </w:pPr>
    </w:p>
    <w:p w14:paraId="4FE219EA" w14:textId="77777777" w:rsidR="00920217" w:rsidRPr="00545310" w:rsidRDefault="0000298F" w:rsidP="00BC6806">
      <w:pPr>
        <w:pStyle w:val="Textoindependienteprimerasangra2"/>
        <w:spacing w:line="276" w:lineRule="auto"/>
        <w:ind w:left="567" w:right="567" w:firstLine="0"/>
        <w:rPr>
          <w:rFonts w:cs="Arial"/>
          <w:i/>
        </w:rPr>
      </w:pPr>
      <w:r w:rsidRPr="00545310">
        <w:rPr>
          <w:rFonts w:cs="Arial"/>
          <w:i/>
        </w:rPr>
        <w:t>“</w:t>
      </w:r>
      <w:r w:rsidR="00D51906" w:rsidRPr="00545310">
        <w:rPr>
          <w:rFonts w:cs="Arial"/>
          <w:b/>
          <w:i/>
        </w:rPr>
        <w:t>TERCERO</w:t>
      </w:r>
      <w:r w:rsidR="00D51906" w:rsidRPr="00545310">
        <w:rPr>
          <w:rFonts w:cs="Arial"/>
          <w:i/>
        </w:rPr>
        <w:t xml:space="preserve">: </w:t>
      </w:r>
      <w:r w:rsidR="0013699A" w:rsidRPr="00545310">
        <w:rPr>
          <w:rFonts w:cs="Arial"/>
          <w:i/>
        </w:rPr>
        <w:t>Contra la presente providencia procede el recurso de apelación en los términos del artículo 247 del Código de Procedimiento Administrativo y de lo Contencioso Administrativo</w:t>
      </w:r>
      <w:r w:rsidR="00BC6806" w:rsidRPr="00545310">
        <w:rPr>
          <w:rFonts w:cs="Arial"/>
          <w:i/>
        </w:rPr>
        <w:t>.</w:t>
      </w:r>
    </w:p>
    <w:p w14:paraId="3008F55C" w14:textId="77777777" w:rsidR="00920217" w:rsidRPr="00545310" w:rsidRDefault="00920217" w:rsidP="003A4660">
      <w:pPr>
        <w:pStyle w:val="Textoindependienteprimerasangra2"/>
        <w:spacing w:line="276" w:lineRule="auto"/>
        <w:ind w:left="567" w:right="567" w:firstLine="0"/>
        <w:rPr>
          <w:rFonts w:cs="Arial"/>
          <w:i/>
        </w:rPr>
      </w:pPr>
    </w:p>
    <w:p w14:paraId="62B98B9C" w14:textId="77777777" w:rsidR="00920217" w:rsidRPr="00545310" w:rsidRDefault="00920217" w:rsidP="003A4660">
      <w:pPr>
        <w:pStyle w:val="Textoindependienteprimerasangra2"/>
        <w:spacing w:line="276" w:lineRule="auto"/>
        <w:ind w:left="567" w:right="567" w:firstLine="0"/>
        <w:rPr>
          <w:rFonts w:cs="Arial"/>
          <w:i/>
        </w:rPr>
      </w:pPr>
      <w:r w:rsidRPr="00545310">
        <w:rPr>
          <w:rFonts w:cs="Arial"/>
          <w:i/>
        </w:rPr>
        <w:t>“</w:t>
      </w:r>
      <w:r w:rsidR="00BC6806" w:rsidRPr="00545310">
        <w:rPr>
          <w:rFonts w:cs="Arial"/>
          <w:b/>
          <w:i/>
        </w:rPr>
        <w:t>CUARTO</w:t>
      </w:r>
      <w:r w:rsidRPr="00545310">
        <w:rPr>
          <w:rFonts w:cs="Arial"/>
          <w:i/>
        </w:rPr>
        <w:t xml:space="preserve">: En firme </w:t>
      </w:r>
      <w:r w:rsidR="00BC6806" w:rsidRPr="00545310">
        <w:rPr>
          <w:rFonts w:cs="Arial"/>
          <w:i/>
        </w:rPr>
        <w:t>esta</w:t>
      </w:r>
      <w:r w:rsidRPr="00545310">
        <w:rPr>
          <w:rFonts w:cs="Arial"/>
          <w:i/>
        </w:rPr>
        <w:t xml:space="preserve"> providencia</w:t>
      </w:r>
      <w:r w:rsidR="00BC6806" w:rsidRPr="00545310">
        <w:rPr>
          <w:rFonts w:cs="Arial"/>
          <w:i/>
        </w:rPr>
        <w:t>,</w:t>
      </w:r>
      <w:r w:rsidRPr="00545310">
        <w:rPr>
          <w:rFonts w:cs="Arial"/>
          <w:i/>
        </w:rPr>
        <w:t xml:space="preserve"> archívese el expediente</w:t>
      </w:r>
      <w:r w:rsidR="00BC6806" w:rsidRPr="00545310">
        <w:rPr>
          <w:rFonts w:cs="Arial"/>
          <w:i/>
        </w:rPr>
        <w:t>, previas las anotaciones de rigor en el sistema Justicia Siglo XXI</w:t>
      </w:r>
      <w:r w:rsidRPr="00545310">
        <w:rPr>
          <w:rFonts w:cs="Arial"/>
          <w:i/>
        </w:rPr>
        <w:t>”.</w:t>
      </w:r>
    </w:p>
    <w:p w14:paraId="032DBA90" w14:textId="77777777" w:rsidR="003A4660" w:rsidRPr="00545310" w:rsidRDefault="003A4660" w:rsidP="003A4660">
      <w:pPr>
        <w:pStyle w:val="Textoindependienteprimerasangra2"/>
        <w:spacing w:line="276" w:lineRule="auto"/>
        <w:ind w:left="0" w:right="567" w:firstLine="0"/>
        <w:rPr>
          <w:rFonts w:cs="Arial"/>
          <w:i/>
        </w:rPr>
      </w:pPr>
    </w:p>
    <w:p w14:paraId="0C5AE674" w14:textId="77777777" w:rsidR="0015263D" w:rsidRPr="00545310" w:rsidRDefault="0015263D" w:rsidP="001A45EE">
      <w:pPr>
        <w:widowControl w:val="0"/>
        <w:autoSpaceDE w:val="0"/>
        <w:autoSpaceDN w:val="0"/>
        <w:adjustRightInd w:val="0"/>
        <w:spacing w:line="240" w:lineRule="auto"/>
        <w:ind w:left="851" w:right="567"/>
        <w:jc w:val="center"/>
        <w:rPr>
          <w:rFonts w:cs="Arial"/>
          <w:b/>
        </w:rPr>
      </w:pPr>
    </w:p>
    <w:p w14:paraId="1647B634" w14:textId="77777777" w:rsidR="00F21484" w:rsidRPr="00545310" w:rsidRDefault="00F21484" w:rsidP="00F82E49">
      <w:pPr>
        <w:pStyle w:val="Lista"/>
        <w:jc w:val="center"/>
        <w:rPr>
          <w:rFonts w:ascii="Arial" w:hAnsi="Arial" w:cs="Arial"/>
          <w:b/>
        </w:rPr>
      </w:pPr>
      <w:r w:rsidRPr="00545310">
        <w:rPr>
          <w:rFonts w:ascii="Arial" w:hAnsi="Arial" w:cs="Arial"/>
          <w:b/>
        </w:rPr>
        <w:t>I.</w:t>
      </w:r>
      <w:r w:rsidR="00E759BE" w:rsidRPr="00545310">
        <w:rPr>
          <w:rFonts w:ascii="Arial" w:hAnsi="Arial" w:cs="Arial"/>
          <w:b/>
        </w:rPr>
        <w:tab/>
      </w:r>
      <w:r w:rsidRPr="00545310">
        <w:rPr>
          <w:rFonts w:ascii="Arial" w:hAnsi="Arial" w:cs="Arial"/>
          <w:b/>
        </w:rPr>
        <w:t>A N T E C E D E N T E S</w:t>
      </w:r>
    </w:p>
    <w:p w14:paraId="5825ACFD" w14:textId="77777777" w:rsidR="00F00A7F" w:rsidRPr="00545310" w:rsidRDefault="00F00A7F" w:rsidP="00F21484">
      <w:pPr>
        <w:rPr>
          <w:rFonts w:cs="Arial"/>
          <w:b/>
        </w:rPr>
      </w:pPr>
    </w:p>
    <w:p w14:paraId="386A5B23" w14:textId="77777777" w:rsidR="00F21484" w:rsidRPr="00545310" w:rsidRDefault="00F21484" w:rsidP="00F82E49">
      <w:pPr>
        <w:pStyle w:val="Lista2"/>
        <w:ind w:left="0" w:firstLine="0"/>
        <w:rPr>
          <w:rFonts w:cs="Arial"/>
          <w:b/>
        </w:rPr>
      </w:pPr>
      <w:r w:rsidRPr="00545310">
        <w:rPr>
          <w:rFonts w:cs="Arial"/>
          <w:b/>
        </w:rPr>
        <w:t>1.</w:t>
      </w:r>
      <w:r w:rsidR="009D0836" w:rsidRPr="00545310">
        <w:rPr>
          <w:rFonts w:cs="Arial"/>
          <w:b/>
        </w:rPr>
        <w:t xml:space="preserve"> </w:t>
      </w:r>
      <w:r w:rsidRPr="00545310">
        <w:rPr>
          <w:rFonts w:cs="Arial"/>
          <w:b/>
        </w:rPr>
        <w:t>La demanda</w:t>
      </w:r>
    </w:p>
    <w:p w14:paraId="63371B30" w14:textId="77777777" w:rsidR="00F21484" w:rsidRPr="00545310" w:rsidRDefault="00F21484" w:rsidP="00F21484">
      <w:pPr>
        <w:widowControl w:val="0"/>
        <w:autoSpaceDE w:val="0"/>
        <w:autoSpaceDN w:val="0"/>
        <w:adjustRightInd w:val="0"/>
        <w:rPr>
          <w:rFonts w:cs="Arial"/>
        </w:rPr>
      </w:pPr>
    </w:p>
    <w:p w14:paraId="541AF998" w14:textId="77777777" w:rsidR="001627C9" w:rsidRPr="00545310" w:rsidRDefault="00F21484" w:rsidP="002001B2">
      <w:pPr>
        <w:pStyle w:val="Continuarlista2"/>
        <w:ind w:left="0"/>
        <w:rPr>
          <w:rFonts w:cs="Arial"/>
        </w:rPr>
      </w:pPr>
      <w:r w:rsidRPr="00545310">
        <w:rPr>
          <w:rFonts w:cs="Arial"/>
        </w:rPr>
        <w:t>M</w:t>
      </w:r>
      <w:r w:rsidR="00EA0EB1" w:rsidRPr="00545310">
        <w:rPr>
          <w:rFonts w:cs="Arial"/>
        </w:rPr>
        <w:t>ediante demanda presentada</w:t>
      </w:r>
      <w:r w:rsidR="00AA67A0" w:rsidRPr="00545310">
        <w:rPr>
          <w:rFonts w:cs="Arial"/>
        </w:rPr>
        <w:t xml:space="preserve"> </w:t>
      </w:r>
      <w:r w:rsidR="00FD5088" w:rsidRPr="00545310">
        <w:rPr>
          <w:rFonts w:cs="Arial"/>
        </w:rPr>
        <w:t xml:space="preserve">el </w:t>
      </w:r>
      <w:r w:rsidR="00E27498" w:rsidRPr="00545310">
        <w:rPr>
          <w:rFonts w:cs="Arial"/>
        </w:rPr>
        <w:t>10</w:t>
      </w:r>
      <w:r w:rsidR="005D33C1" w:rsidRPr="00545310">
        <w:rPr>
          <w:rFonts w:cs="Arial"/>
        </w:rPr>
        <w:t xml:space="preserve"> de </w:t>
      </w:r>
      <w:r w:rsidR="00E27498" w:rsidRPr="00545310">
        <w:rPr>
          <w:rFonts w:cs="Arial"/>
        </w:rPr>
        <w:t xml:space="preserve">diciembre </w:t>
      </w:r>
      <w:r w:rsidR="005D33C1" w:rsidRPr="00545310">
        <w:rPr>
          <w:rFonts w:cs="Arial"/>
        </w:rPr>
        <w:t>de 20</w:t>
      </w:r>
      <w:r w:rsidR="00E27498" w:rsidRPr="00545310">
        <w:rPr>
          <w:rFonts w:cs="Arial"/>
        </w:rPr>
        <w:t>12</w:t>
      </w:r>
      <w:r w:rsidR="005D33C1" w:rsidRPr="00545310">
        <w:rPr>
          <w:rFonts w:cs="Arial"/>
        </w:rPr>
        <w:t xml:space="preserve">, </w:t>
      </w:r>
      <w:r w:rsidR="009E07B8" w:rsidRPr="00545310">
        <w:rPr>
          <w:rFonts w:cs="Arial"/>
        </w:rPr>
        <w:t xml:space="preserve">la </w:t>
      </w:r>
      <w:r w:rsidR="00E27498" w:rsidRPr="00545310">
        <w:rPr>
          <w:rFonts w:cs="Arial"/>
        </w:rPr>
        <w:t>Compañía Aseguradora de Fianzas S.A. CONFIANZA S.A.</w:t>
      </w:r>
      <w:r w:rsidR="00B27AFF" w:rsidRPr="00545310">
        <w:rPr>
          <w:rFonts w:cs="Arial"/>
        </w:rPr>
        <w:t xml:space="preserve">, </w:t>
      </w:r>
      <w:r w:rsidR="00F5352D" w:rsidRPr="00545310">
        <w:rPr>
          <w:rFonts w:cs="Arial"/>
        </w:rPr>
        <w:t xml:space="preserve">en ejercicio </w:t>
      </w:r>
      <w:r w:rsidR="00FD5088" w:rsidRPr="00545310">
        <w:rPr>
          <w:rFonts w:cs="Arial"/>
        </w:rPr>
        <w:t>de</w:t>
      </w:r>
      <w:r w:rsidR="00E27498" w:rsidRPr="00545310">
        <w:rPr>
          <w:rFonts w:cs="Arial"/>
        </w:rPr>
        <w:t>l medio de control de controversias contractuales</w:t>
      </w:r>
      <w:r w:rsidR="00021148" w:rsidRPr="00545310">
        <w:rPr>
          <w:rFonts w:cs="Arial"/>
        </w:rPr>
        <w:t xml:space="preserve">, </w:t>
      </w:r>
      <w:r w:rsidR="00C6529F" w:rsidRPr="00545310">
        <w:rPr>
          <w:rFonts w:cs="Arial"/>
        </w:rPr>
        <w:t xml:space="preserve">obrando con </w:t>
      </w:r>
      <w:r w:rsidR="00C61A15" w:rsidRPr="00545310">
        <w:rPr>
          <w:rFonts w:cs="Arial"/>
        </w:rPr>
        <w:t xml:space="preserve">fundamento en </w:t>
      </w:r>
      <w:r w:rsidR="00C6529F" w:rsidRPr="00545310">
        <w:rPr>
          <w:rFonts w:cs="Arial"/>
        </w:rPr>
        <w:t xml:space="preserve">el </w:t>
      </w:r>
      <w:r w:rsidR="007A0264" w:rsidRPr="00545310">
        <w:rPr>
          <w:rFonts w:cs="Arial"/>
        </w:rPr>
        <w:t xml:space="preserve">artículo </w:t>
      </w:r>
      <w:r w:rsidR="00E27498" w:rsidRPr="00545310">
        <w:rPr>
          <w:rFonts w:cs="Arial"/>
        </w:rPr>
        <w:t xml:space="preserve">141 </w:t>
      </w:r>
      <w:r w:rsidR="007A0264" w:rsidRPr="00545310">
        <w:rPr>
          <w:rFonts w:cs="Arial"/>
        </w:rPr>
        <w:t xml:space="preserve">del Código </w:t>
      </w:r>
      <w:r w:rsidR="00E27498" w:rsidRPr="00545310">
        <w:rPr>
          <w:rFonts w:cs="Arial"/>
        </w:rPr>
        <w:t xml:space="preserve">de Procedimiento Administrativo y de lo </w:t>
      </w:r>
      <w:r w:rsidR="007A0264" w:rsidRPr="00545310">
        <w:rPr>
          <w:rFonts w:cs="Arial"/>
        </w:rPr>
        <w:t>Contencioso Administrativo</w:t>
      </w:r>
      <w:r w:rsidR="00E27498" w:rsidRPr="00545310">
        <w:rPr>
          <w:rFonts w:cs="Arial"/>
        </w:rPr>
        <w:t xml:space="preserve"> </w:t>
      </w:r>
      <w:r w:rsidR="00E27498" w:rsidRPr="00545310">
        <w:rPr>
          <w:rFonts w:cs="Arial"/>
        </w:rPr>
        <w:lastRenderedPageBreak/>
        <w:t>(CPACA)</w:t>
      </w:r>
      <w:r w:rsidR="007943B5" w:rsidRPr="00545310">
        <w:rPr>
          <w:rStyle w:val="Refdenotaalpie"/>
          <w:rFonts w:cs="Arial"/>
        </w:rPr>
        <w:footnoteReference w:id="1"/>
      </w:r>
      <w:r w:rsidR="007A0264" w:rsidRPr="00545310">
        <w:rPr>
          <w:rFonts w:cs="Arial"/>
        </w:rPr>
        <w:t xml:space="preserve">, </w:t>
      </w:r>
      <w:r w:rsidRPr="00545310">
        <w:rPr>
          <w:rFonts w:cs="Arial"/>
        </w:rPr>
        <w:t>solicit</w:t>
      </w:r>
      <w:r w:rsidR="00AC64D6" w:rsidRPr="00545310">
        <w:rPr>
          <w:rFonts w:cs="Arial"/>
        </w:rPr>
        <w:t>ó</w:t>
      </w:r>
      <w:r w:rsidRPr="00545310">
        <w:rPr>
          <w:rFonts w:cs="Arial"/>
        </w:rPr>
        <w:t xml:space="preserve"> las siguientes declaraciones y condenas</w:t>
      </w:r>
      <w:r w:rsidR="00F5352D" w:rsidRPr="00545310">
        <w:rPr>
          <w:rFonts w:cs="Arial"/>
        </w:rPr>
        <w:t xml:space="preserve"> contra</w:t>
      </w:r>
      <w:r w:rsidR="004B723D" w:rsidRPr="00545310">
        <w:rPr>
          <w:rFonts w:cs="Arial"/>
        </w:rPr>
        <w:t xml:space="preserve"> </w:t>
      </w:r>
      <w:r w:rsidR="001627C9" w:rsidRPr="00545310">
        <w:rPr>
          <w:rFonts w:cs="Arial"/>
        </w:rPr>
        <w:t>el Fondo de Proyectos de Desarrollo – FONADE</w:t>
      </w:r>
      <w:r w:rsidR="009E07B8" w:rsidRPr="00545310">
        <w:rPr>
          <w:rFonts w:cs="Arial"/>
        </w:rPr>
        <w:t xml:space="preserve"> (se transcribe literal incluso con posibles errores)</w:t>
      </w:r>
      <w:r w:rsidR="001627C9" w:rsidRPr="00545310">
        <w:rPr>
          <w:rFonts w:cs="Arial"/>
        </w:rPr>
        <w:t>:</w:t>
      </w:r>
    </w:p>
    <w:p w14:paraId="29E63169" w14:textId="77777777" w:rsidR="003076F9" w:rsidRPr="00545310" w:rsidRDefault="003076F9" w:rsidP="002001B2">
      <w:pPr>
        <w:pStyle w:val="Continuarlista2"/>
        <w:ind w:left="0"/>
        <w:rPr>
          <w:rFonts w:cs="Arial"/>
          <w:lang w:val="es-MX"/>
        </w:rPr>
      </w:pPr>
    </w:p>
    <w:p w14:paraId="7F023FEA" w14:textId="77777777" w:rsidR="008154E5" w:rsidRPr="00545310" w:rsidRDefault="00A15E12" w:rsidP="00A33FE5">
      <w:pPr>
        <w:pStyle w:val="Textoindependienteprimerasangra2"/>
        <w:spacing w:line="276" w:lineRule="auto"/>
        <w:ind w:left="567" w:right="567" w:firstLine="0"/>
        <w:rPr>
          <w:rFonts w:cs="Arial"/>
          <w:i/>
        </w:rPr>
      </w:pPr>
      <w:r w:rsidRPr="00545310">
        <w:rPr>
          <w:rFonts w:cs="Arial"/>
          <w:i/>
        </w:rPr>
        <w:t>“</w:t>
      </w:r>
      <w:r w:rsidR="001627C9" w:rsidRPr="00545310">
        <w:rPr>
          <w:rFonts w:cs="Arial"/>
          <w:b/>
          <w:i/>
        </w:rPr>
        <w:t>PRIMERA</w:t>
      </w:r>
      <w:r w:rsidR="001627C9" w:rsidRPr="00545310">
        <w:rPr>
          <w:rFonts w:cs="Arial"/>
          <w:i/>
        </w:rPr>
        <w:t xml:space="preserve">: </w:t>
      </w:r>
      <w:r w:rsidR="006E7C45" w:rsidRPr="00545310">
        <w:rPr>
          <w:rFonts w:cs="Arial"/>
          <w:i/>
        </w:rPr>
        <w:t xml:space="preserve">Que se declare la nulidad </w:t>
      </w:r>
      <w:r w:rsidR="006E7C45" w:rsidRPr="00545310">
        <w:rPr>
          <w:rFonts w:cs="Arial"/>
          <w:i/>
          <w:u w:val="single"/>
        </w:rPr>
        <w:t>parcial</w:t>
      </w:r>
      <w:r w:rsidR="006E7C45" w:rsidRPr="00545310">
        <w:rPr>
          <w:rFonts w:cs="Arial"/>
          <w:i/>
        </w:rPr>
        <w:t xml:space="preserve"> de la resolución número 962 proferida el 3 de mayo de 2011 por el Fondo de Proyectos de Desarrollo de FONADE (en adelante FONAD</w:t>
      </w:r>
      <w:r w:rsidR="00771D25" w:rsidRPr="00545310">
        <w:rPr>
          <w:rFonts w:cs="Arial"/>
          <w:i/>
        </w:rPr>
        <w:t>E</w:t>
      </w:r>
      <w:r w:rsidR="006E7C45" w:rsidRPr="00545310">
        <w:rPr>
          <w:rFonts w:cs="Arial"/>
          <w:i/>
        </w:rPr>
        <w:t xml:space="preserve">), mediante la cual se declaró la caducidad del contrato No. 2091477, se declaró la ocurrencia </w:t>
      </w:r>
      <w:r w:rsidR="00771D25" w:rsidRPr="00545310">
        <w:rPr>
          <w:rFonts w:cs="Arial"/>
          <w:i/>
        </w:rPr>
        <w:t>de los siniestros de incumplimiento y de buen manejo del anticipo, y se ordenó hacer efectivos los amparos de cumplimiento y de buen manejo del anticipo</w:t>
      </w:r>
      <w:r w:rsidR="00D94C3C" w:rsidRPr="00545310">
        <w:rPr>
          <w:rFonts w:cs="Arial"/>
          <w:i/>
        </w:rPr>
        <w:t xml:space="preserve"> de la garantía única de seguro de cumplimiento en favor de entidades estatales número 31 GU069732</w:t>
      </w:r>
      <w:r w:rsidR="00D445ED" w:rsidRPr="00545310">
        <w:rPr>
          <w:rFonts w:cs="Arial"/>
          <w:i/>
        </w:rPr>
        <w:t xml:space="preserve">, expedida por la </w:t>
      </w:r>
      <w:r w:rsidR="00F22874" w:rsidRPr="00545310">
        <w:rPr>
          <w:rFonts w:cs="Arial"/>
          <w:i/>
        </w:rPr>
        <w:t xml:space="preserve">Compañía Aseguradora de Fianzas S.A. Confianza, el 27 de mayo de 2009. Específicamente que se declare la nulidad del numeral cuarto de la resolución número 962 de 2011, teniendo en cuenta que se incluyeron dentro de la misma perjuicios inciertos e indirectos (mayor valor de las obras pendientes con ocasión del reajuste </w:t>
      </w:r>
      <w:r w:rsidR="008154E5" w:rsidRPr="00545310">
        <w:rPr>
          <w:rFonts w:cs="Arial"/>
          <w:i/>
        </w:rPr>
        <w:t>de precios realizado por FONADE y costo de la interventoría necesaria para terminar las obras)</w:t>
      </w:r>
      <w:r w:rsidR="00FA616C" w:rsidRPr="00545310">
        <w:rPr>
          <w:rFonts w:cs="Arial"/>
          <w:i/>
        </w:rPr>
        <w:t>,</w:t>
      </w:r>
      <w:r w:rsidR="008154E5" w:rsidRPr="00545310">
        <w:rPr>
          <w:rFonts w:cs="Arial"/>
          <w:i/>
        </w:rPr>
        <w:t xml:space="preserve"> y en consecuencia se declare que Confianza S.A. únicamente debe responder por los perjuicios directos derivados de los amparos de anticipo y cumplimiento (este último en la modalidad de cláusula penal).</w:t>
      </w:r>
    </w:p>
    <w:p w14:paraId="145AEBBF" w14:textId="77777777" w:rsidR="008154E5" w:rsidRPr="00545310" w:rsidRDefault="008154E5" w:rsidP="00A33FE5">
      <w:pPr>
        <w:pStyle w:val="Textoindependienteprimerasangra2"/>
        <w:spacing w:line="276" w:lineRule="auto"/>
        <w:ind w:left="567" w:right="567" w:firstLine="0"/>
        <w:rPr>
          <w:rFonts w:cs="Arial"/>
          <w:i/>
        </w:rPr>
      </w:pPr>
    </w:p>
    <w:p w14:paraId="7F12BC0D" w14:textId="77777777" w:rsidR="00FA616C" w:rsidRPr="00545310" w:rsidRDefault="000D337F" w:rsidP="00FA616C">
      <w:pPr>
        <w:pStyle w:val="Textoindependienteprimerasangra2"/>
        <w:spacing w:line="276" w:lineRule="auto"/>
        <w:ind w:left="567" w:right="567" w:firstLine="0"/>
        <w:rPr>
          <w:rFonts w:cs="Arial"/>
          <w:i/>
        </w:rPr>
      </w:pPr>
      <w:r w:rsidRPr="00545310">
        <w:rPr>
          <w:rFonts w:cs="Arial"/>
          <w:i/>
        </w:rPr>
        <w:t>“</w:t>
      </w:r>
      <w:r w:rsidR="008154E5" w:rsidRPr="00545310">
        <w:rPr>
          <w:rFonts w:cs="Arial"/>
          <w:b/>
          <w:i/>
        </w:rPr>
        <w:t>SEGUNDA</w:t>
      </w:r>
      <w:r w:rsidR="008154E5" w:rsidRPr="00545310">
        <w:rPr>
          <w:rFonts w:cs="Arial"/>
          <w:i/>
        </w:rPr>
        <w:t xml:space="preserve">: Que se declare la nulidad </w:t>
      </w:r>
      <w:r w:rsidR="00F270A0" w:rsidRPr="00545310">
        <w:rPr>
          <w:rFonts w:cs="Arial"/>
          <w:i/>
          <w:u w:val="single"/>
        </w:rPr>
        <w:t>parcial</w:t>
      </w:r>
      <w:r w:rsidR="00D94C3C" w:rsidRPr="00545310">
        <w:rPr>
          <w:rFonts w:cs="Arial"/>
          <w:i/>
        </w:rPr>
        <w:t xml:space="preserve"> </w:t>
      </w:r>
      <w:r w:rsidR="00F270A0" w:rsidRPr="00545310">
        <w:rPr>
          <w:rFonts w:cs="Arial"/>
          <w:i/>
        </w:rPr>
        <w:t xml:space="preserve">de la resolución número 1151 proferida el 8 de septiembre de 2011 por FONADE, por medio de la cual se resolvieron los recursos de reposición interpuestos por la Compañía Aseguradora de Fianzas S.A. y por Constructores André </w:t>
      </w:r>
      <w:proofErr w:type="spellStart"/>
      <w:r w:rsidR="00F270A0" w:rsidRPr="00545310">
        <w:rPr>
          <w:rFonts w:cs="Arial"/>
          <w:i/>
        </w:rPr>
        <w:t>Ltda</w:t>
      </w:r>
      <w:proofErr w:type="spellEnd"/>
      <w:r w:rsidR="00F270A0" w:rsidRPr="00545310">
        <w:rPr>
          <w:rFonts w:cs="Arial"/>
          <w:i/>
        </w:rPr>
        <w:t>, (hoy Construcciones André S.A.S</w:t>
      </w:r>
      <w:r w:rsidR="00CE2E61" w:rsidRPr="00545310">
        <w:rPr>
          <w:rFonts w:cs="Arial"/>
          <w:i/>
        </w:rPr>
        <w:t>.), modificando parcialmente la resolución número 962 proferida el 13 de mayo de 2011. Específicamente que se declare la nulidad de numeral segundo de la resolución número 1151 de 2011, teniendo en cuenta que se incluyeron dentro de la misma perju</w:t>
      </w:r>
      <w:r w:rsidR="00495F46" w:rsidRPr="00545310">
        <w:rPr>
          <w:rFonts w:cs="Arial"/>
          <w:i/>
        </w:rPr>
        <w:t>i</w:t>
      </w:r>
      <w:r w:rsidR="00CE2E61" w:rsidRPr="00545310">
        <w:rPr>
          <w:rFonts w:cs="Arial"/>
          <w:i/>
        </w:rPr>
        <w:t>cios inciertos e indirectos</w:t>
      </w:r>
      <w:r w:rsidR="00FA616C" w:rsidRPr="00545310">
        <w:rPr>
          <w:rFonts w:cs="Arial"/>
          <w:i/>
        </w:rPr>
        <w:t xml:space="preserve"> (mayor valor de las obras pendientes con ocasión del reajuste de precios realizado por FONADE y costo de la interventoría necesaria para terminar las obras), y en consecuencia se declare que Confianza S.A. únicamente debe responder por los perjuicios directos derivados de los amparos de anticipo y cumplimiento (este último en la modalidad de cláusula penal).</w:t>
      </w:r>
    </w:p>
    <w:p w14:paraId="0CC52B5F" w14:textId="77777777" w:rsidR="00FA616C" w:rsidRPr="00545310" w:rsidRDefault="00FA616C" w:rsidP="00FA616C">
      <w:pPr>
        <w:pStyle w:val="Textoindependienteprimerasangra2"/>
        <w:spacing w:line="276" w:lineRule="auto"/>
        <w:ind w:left="567" w:right="567" w:firstLine="0"/>
        <w:rPr>
          <w:rFonts w:cs="Arial"/>
          <w:i/>
        </w:rPr>
      </w:pPr>
    </w:p>
    <w:p w14:paraId="031D9DAD" w14:textId="77777777" w:rsidR="00FA616C" w:rsidRPr="00545310" w:rsidRDefault="000D337F" w:rsidP="00FA616C">
      <w:pPr>
        <w:pStyle w:val="Textoindependienteprimerasangra2"/>
        <w:spacing w:line="276" w:lineRule="auto"/>
        <w:ind w:left="567" w:right="567" w:firstLine="0"/>
        <w:rPr>
          <w:rFonts w:cs="Arial"/>
          <w:i/>
        </w:rPr>
      </w:pPr>
      <w:r w:rsidRPr="00545310">
        <w:rPr>
          <w:rFonts w:cs="Arial"/>
          <w:i/>
        </w:rPr>
        <w:t>“</w:t>
      </w:r>
      <w:r w:rsidR="00FA616C" w:rsidRPr="00545310">
        <w:rPr>
          <w:rFonts w:cs="Arial"/>
          <w:b/>
          <w:i/>
        </w:rPr>
        <w:t>TERCERA</w:t>
      </w:r>
      <w:r w:rsidR="00FA616C" w:rsidRPr="00545310">
        <w:rPr>
          <w:rFonts w:cs="Arial"/>
          <w:i/>
        </w:rPr>
        <w:t xml:space="preserve">: Que se declare la nulidad de la resolución número 1169 proferida el 16 de noviembre de 2011 por </w:t>
      </w:r>
      <w:proofErr w:type="spellStart"/>
      <w:r w:rsidR="00FA616C" w:rsidRPr="00545310">
        <w:rPr>
          <w:rFonts w:cs="Arial"/>
          <w:i/>
        </w:rPr>
        <w:t>Fonade</w:t>
      </w:r>
      <w:proofErr w:type="spellEnd"/>
      <w:r w:rsidR="00FA616C" w:rsidRPr="00545310">
        <w:rPr>
          <w:rFonts w:cs="Arial"/>
          <w:i/>
        </w:rPr>
        <w:t>, por medio de la cual se modificó parcialmente la resolución 1151 de 2011.</w:t>
      </w:r>
    </w:p>
    <w:p w14:paraId="2236B83C" w14:textId="77777777" w:rsidR="00FA616C" w:rsidRPr="00545310" w:rsidRDefault="00FA616C" w:rsidP="00FA616C">
      <w:pPr>
        <w:pStyle w:val="Textoindependienteprimerasangra2"/>
        <w:spacing w:line="276" w:lineRule="auto"/>
        <w:ind w:left="567" w:right="567" w:firstLine="0"/>
        <w:rPr>
          <w:rFonts w:cs="Arial"/>
          <w:i/>
        </w:rPr>
      </w:pPr>
    </w:p>
    <w:p w14:paraId="2846AD18" w14:textId="77777777" w:rsidR="00974B1E" w:rsidRPr="00545310" w:rsidRDefault="000D337F" w:rsidP="00FA616C">
      <w:pPr>
        <w:pStyle w:val="Textoindependienteprimerasangra2"/>
        <w:spacing w:line="276" w:lineRule="auto"/>
        <w:ind w:left="567" w:right="567" w:firstLine="0"/>
        <w:rPr>
          <w:rFonts w:cs="Arial"/>
          <w:i/>
        </w:rPr>
      </w:pPr>
      <w:r w:rsidRPr="00545310">
        <w:rPr>
          <w:rFonts w:cs="Arial"/>
          <w:i/>
        </w:rPr>
        <w:t>“</w:t>
      </w:r>
      <w:r w:rsidR="00FA616C" w:rsidRPr="00545310">
        <w:rPr>
          <w:rFonts w:cs="Arial"/>
          <w:b/>
          <w:i/>
        </w:rPr>
        <w:t>CUARTA</w:t>
      </w:r>
      <w:r w:rsidR="00FA616C" w:rsidRPr="00545310">
        <w:rPr>
          <w:rFonts w:cs="Arial"/>
          <w:i/>
        </w:rPr>
        <w:t>: Que en atención al pago realizado por la Compañía Aseguradora de Fianzas S.A. C</w:t>
      </w:r>
      <w:r w:rsidR="00974B1E" w:rsidRPr="00545310">
        <w:rPr>
          <w:rFonts w:cs="Arial"/>
          <w:i/>
        </w:rPr>
        <w:t xml:space="preserve">onfianza, se declare que ésta no adeuda </w:t>
      </w:r>
      <w:r w:rsidR="00974B1E" w:rsidRPr="00545310">
        <w:rPr>
          <w:rFonts w:cs="Arial"/>
          <w:i/>
        </w:rPr>
        <w:lastRenderedPageBreak/>
        <w:t>suma alguna a FONADE, por cuenta de la garantía única de seguro de cumplimiento en favor de entidades estatales número 31 GU069732.</w:t>
      </w:r>
    </w:p>
    <w:p w14:paraId="3A6B2D4A" w14:textId="77777777" w:rsidR="00974B1E" w:rsidRPr="00545310" w:rsidRDefault="00974B1E" w:rsidP="00FA616C">
      <w:pPr>
        <w:pStyle w:val="Textoindependienteprimerasangra2"/>
        <w:spacing w:line="276" w:lineRule="auto"/>
        <w:ind w:left="567" w:right="567" w:firstLine="0"/>
        <w:rPr>
          <w:rFonts w:cs="Arial"/>
          <w:i/>
        </w:rPr>
      </w:pPr>
    </w:p>
    <w:p w14:paraId="3CB532DF" w14:textId="77777777" w:rsidR="00FA616C" w:rsidRPr="00545310" w:rsidRDefault="000D337F" w:rsidP="00FA616C">
      <w:pPr>
        <w:pStyle w:val="Textoindependienteprimerasangra2"/>
        <w:spacing w:line="276" w:lineRule="auto"/>
        <w:ind w:left="567" w:right="567" w:firstLine="0"/>
        <w:rPr>
          <w:rFonts w:cs="Arial"/>
          <w:i/>
        </w:rPr>
      </w:pPr>
      <w:r w:rsidRPr="00545310">
        <w:rPr>
          <w:rFonts w:cs="Arial"/>
          <w:i/>
        </w:rPr>
        <w:t>“</w:t>
      </w:r>
      <w:r w:rsidR="00974B1E" w:rsidRPr="00545310">
        <w:rPr>
          <w:rFonts w:cs="Arial"/>
          <w:b/>
          <w:i/>
        </w:rPr>
        <w:t>QUINTA</w:t>
      </w:r>
      <w:r w:rsidR="00974B1E" w:rsidRPr="00545310">
        <w:rPr>
          <w:rFonts w:cs="Arial"/>
          <w:i/>
        </w:rPr>
        <w:t>: Que como consecuencia de la nulidad de los actos administrativos enunciados, se declare que Confianza S.A. pagó $130’876.431 en exceso de lo que estaba obligada.</w:t>
      </w:r>
    </w:p>
    <w:p w14:paraId="0E6D5754" w14:textId="77777777" w:rsidR="00AA5626" w:rsidRPr="00545310" w:rsidRDefault="00AA5626" w:rsidP="00FA616C">
      <w:pPr>
        <w:pStyle w:val="Textoindependienteprimerasangra2"/>
        <w:spacing w:line="276" w:lineRule="auto"/>
        <w:ind w:left="567" w:right="567" w:firstLine="0"/>
        <w:rPr>
          <w:rFonts w:cs="Arial"/>
          <w:i/>
        </w:rPr>
      </w:pPr>
    </w:p>
    <w:p w14:paraId="13BBDB7A" w14:textId="77777777" w:rsidR="00AA5626" w:rsidRPr="00545310" w:rsidRDefault="000D337F" w:rsidP="00FA616C">
      <w:pPr>
        <w:pStyle w:val="Textoindependienteprimerasangra2"/>
        <w:spacing w:line="276" w:lineRule="auto"/>
        <w:ind w:left="567" w:right="567" w:firstLine="0"/>
        <w:rPr>
          <w:rFonts w:cs="Arial"/>
          <w:i/>
        </w:rPr>
      </w:pPr>
      <w:r w:rsidRPr="00545310">
        <w:rPr>
          <w:rFonts w:cs="Arial"/>
          <w:i/>
        </w:rPr>
        <w:t>“</w:t>
      </w:r>
      <w:r w:rsidR="00AA5626" w:rsidRPr="00545310">
        <w:rPr>
          <w:rFonts w:cs="Arial"/>
          <w:b/>
          <w:i/>
        </w:rPr>
        <w:t>SEXTA</w:t>
      </w:r>
      <w:r w:rsidR="00AA5626" w:rsidRPr="00545310">
        <w:rPr>
          <w:rFonts w:cs="Arial"/>
          <w:i/>
        </w:rPr>
        <w:t>: Que como consecuencia de la nulidad de los actos administrativos enunciados, se ordene restituir, la suma de $130’876.431. junto con los intereses moratorios, suma de dinero pagada en exceso por Confianza, con cargo a la garantía única de seguro de cumplimiento en favor de entidades estatales número 31 GU075569</w:t>
      </w:r>
      <w:r w:rsidRPr="00545310">
        <w:rPr>
          <w:rStyle w:val="Refdenotaalpie"/>
          <w:rFonts w:cs="Arial"/>
          <w:i/>
        </w:rPr>
        <w:footnoteReference w:id="2"/>
      </w:r>
      <w:r w:rsidR="00B5334A" w:rsidRPr="00545310">
        <w:rPr>
          <w:rFonts w:cs="Arial"/>
          <w:i/>
        </w:rPr>
        <w:t>.</w:t>
      </w:r>
    </w:p>
    <w:p w14:paraId="28DFA65F" w14:textId="77777777" w:rsidR="00B5334A" w:rsidRPr="00545310" w:rsidRDefault="00B5334A" w:rsidP="00FA616C">
      <w:pPr>
        <w:pStyle w:val="Textoindependienteprimerasangra2"/>
        <w:spacing w:line="276" w:lineRule="auto"/>
        <w:ind w:left="567" w:right="567" w:firstLine="0"/>
        <w:rPr>
          <w:rFonts w:cs="Arial"/>
          <w:i/>
        </w:rPr>
      </w:pPr>
    </w:p>
    <w:p w14:paraId="26FE5631" w14:textId="77777777" w:rsidR="00B5334A" w:rsidRPr="00545310" w:rsidRDefault="00B5334A" w:rsidP="00B5334A">
      <w:pPr>
        <w:pStyle w:val="Textoindependienteprimerasangra2"/>
        <w:spacing w:line="240" w:lineRule="auto"/>
        <w:ind w:left="567" w:right="567" w:firstLine="0"/>
        <w:rPr>
          <w:rFonts w:cs="Arial"/>
          <w:i/>
        </w:rPr>
      </w:pPr>
      <w:r w:rsidRPr="00545310">
        <w:rPr>
          <w:rFonts w:cs="Arial"/>
          <w:i/>
        </w:rPr>
        <w:t>“</w:t>
      </w:r>
      <w:r w:rsidRPr="00545310">
        <w:rPr>
          <w:rFonts w:cs="Arial"/>
          <w:b/>
          <w:i/>
        </w:rPr>
        <w:t>SÉPTIMA</w:t>
      </w:r>
      <w:r w:rsidRPr="00545310">
        <w:rPr>
          <w:rFonts w:cs="Arial"/>
          <w:i/>
        </w:rPr>
        <w:t>: Que se condene en costas [a] FONADE en favor de Confianza S.A.”</w:t>
      </w:r>
      <w:r w:rsidRPr="00545310">
        <w:rPr>
          <w:rStyle w:val="Refdenotaalpie"/>
          <w:rFonts w:cs="Arial"/>
          <w:i/>
        </w:rPr>
        <w:footnoteReference w:id="3"/>
      </w:r>
      <w:r w:rsidRPr="00545310">
        <w:rPr>
          <w:rFonts w:cs="Arial"/>
          <w:i/>
        </w:rPr>
        <w:t xml:space="preserve"> </w:t>
      </w:r>
    </w:p>
    <w:p w14:paraId="063D5AD0" w14:textId="77777777" w:rsidR="00EC367B" w:rsidRPr="00545310" w:rsidRDefault="00EC367B" w:rsidP="00A33FE5">
      <w:pPr>
        <w:pStyle w:val="Textoindependienteprimerasangra2"/>
        <w:spacing w:line="240" w:lineRule="auto"/>
        <w:ind w:left="0" w:right="567" w:firstLine="0"/>
        <w:rPr>
          <w:rFonts w:cs="Arial"/>
          <w:i/>
        </w:rPr>
      </w:pPr>
    </w:p>
    <w:p w14:paraId="7AD19C33" w14:textId="77777777" w:rsidR="009115AF" w:rsidRPr="00545310" w:rsidRDefault="009115AF" w:rsidP="00A33FE5">
      <w:pPr>
        <w:pStyle w:val="Textoindependienteprimerasangra2"/>
        <w:spacing w:line="240" w:lineRule="auto"/>
        <w:ind w:left="0" w:right="567" w:firstLine="0"/>
        <w:rPr>
          <w:rFonts w:cs="Arial"/>
          <w:b/>
        </w:rPr>
      </w:pPr>
    </w:p>
    <w:p w14:paraId="56624B09" w14:textId="77777777" w:rsidR="00F21484" w:rsidRPr="00545310" w:rsidRDefault="00F21484" w:rsidP="00A33FE5">
      <w:pPr>
        <w:pStyle w:val="Textoindependienteprimerasangra2"/>
        <w:spacing w:line="240" w:lineRule="auto"/>
        <w:ind w:left="0" w:right="567" w:firstLine="0"/>
        <w:rPr>
          <w:rFonts w:cs="Arial"/>
          <w:b/>
        </w:rPr>
      </w:pPr>
      <w:r w:rsidRPr="00545310">
        <w:rPr>
          <w:rFonts w:cs="Arial"/>
          <w:b/>
        </w:rPr>
        <w:t>2.</w:t>
      </w:r>
      <w:r w:rsidR="009D0836" w:rsidRPr="00545310">
        <w:rPr>
          <w:rFonts w:cs="Arial"/>
          <w:b/>
        </w:rPr>
        <w:t xml:space="preserve"> </w:t>
      </w:r>
      <w:r w:rsidRPr="00545310">
        <w:rPr>
          <w:rFonts w:cs="Arial"/>
          <w:b/>
        </w:rPr>
        <w:t>Los hechos</w:t>
      </w:r>
    </w:p>
    <w:p w14:paraId="13E57183" w14:textId="77777777" w:rsidR="005E0015" w:rsidRPr="00545310" w:rsidRDefault="005E0015" w:rsidP="0090169C">
      <w:pPr>
        <w:widowControl w:val="0"/>
        <w:autoSpaceDE w:val="0"/>
        <w:autoSpaceDN w:val="0"/>
        <w:adjustRightInd w:val="0"/>
        <w:rPr>
          <w:rFonts w:cs="Arial"/>
          <w:lang w:val="es-MX"/>
        </w:rPr>
      </w:pPr>
    </w:p>
    <w:p w14:paraId="64406EE0" w14:textId="77777777" w:rsidR="00D45ABC" w:rsidRPr="00545310" w:rsidRDefault="00D45ABC" w:rsidP="0090169C">
      <w:pPr>
        <w:pStyle w:val="Textoindependiente"/>
        <w:rPr>
          <w:rFonts w:cs="Arial"/>
          <w:szCs w:val="24"/>
        </w:rPr>
      </w:pPr>
      <w:r w:rsidRPr="00545310">
        <w:rPr>
          <w:rFonts w:cs="Arial"/>
          <w:szCs w:val="24"/>
          <w:lang w:val="es-CO"/>
        </w:rPr>
        <w:t>E</w:t>
      </w:r>
      <w:r w:rsidRPr="00545310">
        <w:rPr>
          <w:rFonts w:cs="Arial"/>
          <w:szCs w:val="24"/>
        </w:rPr>
        <w:t>n el escrito de demanda</w:t>
      </w:r>
      <w:r w:rsidR="004E6E35" w:rsidRPr="00545310">
        <w:rPr>
          <w:rFonts w:cs="Arial"/>
          <w:szCs w:val="24"/>
        </w:rPr>
        <w:t>,</w:t>
      </w:r>
      <w:r w:rsidR="00FD5088" w:rsidRPr="00545310">
        <w:rPr>
          <w:rFonts w:cs="Arial"/>
          <w:szCs w:val="24"/>
        </w:rPr>
        <w:t xml:space="preserve"> </w:t>
      </w:r>
      <w:r w:rsidRPr="00545310">
        <w:rPr>
          <w:rFonts w:cs="Arial"/>
          <w:szCs w:val="24"/>
        </w:rPr>
        <w:t xml:space="preserve">la parte actora narró los </w:t>
      </w:r>
      <w:r w:rsidR="00CA10BB" w:rsidRPr="00545310">
        <w:rPr>
          <w:rFonts w:cs="Arial"/>
          <w:szCs w:val="24"/>
        </w:rPr>
        <w:t>hechos que se resumen a continuación</w:t>
      </w:r>
      <w:r w:rsidRPr="00545310">
        <w:rPr>
          <w:rFonts w:cs="Arial"/>
          <w:szCs w:val="24"/>
        </w:rPr>
        <w:t>:</w:t>
      </w:r>
    </w:p>
    <w:p w14:paraId="16EA81BC" w14:textId="77777777" w:rsidR="00F82E49" w:rsidRPr="00545310" w:rsidRDefault="00F82E49" w:rsidP="0090169C">
      <w:pPr>
        <w:pStyle w:val="Lista2"/>
        <w:ind w:left="0" w:firstLine="0"/>
        <w:rPr>
          <w:rFonts w:cs="Arial"/>
          <w:b/>
        </w:rPr>
      </w:pPr>
    </w:p>
    <w:p w14:paraId="3D7FD486" w14:textId="77777777" w:rsidR="00315AAC" w:rsidRPr="00545310" w:rsidRDefault="00AD3DAF" w:rsidP="001627C9">
      <w:pPr>
        <w:pStyle w:val="Lista2"/>
        <w:ind w:left="0" w:firstLine="0"/>
        <w:rPr>
          <w:rFonts w:cs="Arial"/>
        </w:rPr>
      </w:pPr>
      <w:r w:rsidRPr="00545310">
        <w:rPr>
          <w:rFonts w:cs="Arial"/>
          <w:b/>
        </w:rPr>
        <w:t>2.1</w:t>
      </w:r>
      <w:r w:rsidRPr="00545310">
        <w:rPr>
          <w:rFonts w:cs="Arial"/>
        </w:rPr>
        <w:t xml:space="preserve">. </w:t>
      </w:r>
      <w:r w:rsidR="00CD69A2" w:rsidRPr="00545310">
        <w:rPr>
          <w:rFonts w:cs="Arial"/>
        </w:rPr>
        <w:t xml:space="preserve">El 22 de mayo de 2009, FONADE y Construcciones André </w:t>
      </w:r>
      <w:proofErr w:type="spellStart"/>
      <w:r w:rsidR="00065E61" w:rsidRPr="00545310">
        <w:rPr>
          <w:rFonts w:cs="Arial"/>
        </w:rPr>
        <w:t>Ltda</w:t>
      </w:r>
      <w:proofErr w:type="spellEnd"/>
      <w:r w:rsidR="00065E61" w:rsidRPr="00545310">
        <w:rPr>
          <w:rFonts w:cs="Arial"/>
        </w:rPr>
        <w:t xml:space="preserve"> (</w:t>
      </w:r>
      <w:r w:rsidR="00FA07DF" w:rsidRPr="00545310">
        <w:rPr>
          <w:rFonts w:cs="Arial"/>
        </w:rPr>
        <w:t xml:space="preserve">luego denominada </w:t>
      </w:r>
      <w:r w:rsidR="00065E61" w:rsidRPr="00545310">
        <w:rPr>
          <w:rFonts w:cs="Arial"/>
        </w:rPr>
        <w:t xml:space="preserve">Construcciones André S.A.S.) celebraron el contrato </w:t>
      </w:r>
      <w:r w:rsidR="00246E10" w:rsidRPr="00545310">
        <w:rPr>
          <w:rFonts w:cs="Arial"/>
        </w:rPr>
        <w:t xml:space="preserve">2091477, cuyo objeto fue la ejecución de la obra de </w:t>
      </w:r>
      <w:r w:rsidR="00246E10" w:rsidRPr="00545310">
        <w:rPr>
          <w:rFonts w:cs="Arial"/>
          <w:i/>
        </w:rPr>
        <w:t>“CONSTRUCCI</w:t>
      </w:r>
      <w:r w:rsidR="0040119B" w:rsidRPr="00545310">
        <w:rPr>
          <w:rFonts w:cs="Arial"/>
          <w:i/>
        </w:rPr>
        <w:t>Ó</w:t>
      </w:r>
      <w:r w:rsidR="00246E10" w:rsidRPr="00545310">
        <w:rPr>
          <w:rFonts w:cs="Arial"/>
          <w:i/>
        </w:rPr>
        <w:t>N DE LAS INFRAESTRUCTURA DE LA INSTITUCIÓN EDUCATIVA RIO</w:t>
      </w:r>
      <w:r w:rsidR="009E07B8" w:rsidRPr="00545310">
        <w:rPr>
          <w:rFonts w:cs="Arial"/>
          <w:i/>
        </w:rPr>
        <w:t xml:space="preserve"> </w:t>
      </w:r>
      <w:r w:rsidR="00246E10" w:rsidRPr="00545310">
        <w:rPr>
          <w:rFonts w:cs="Arial"/>
          <w:i/>
        </w:rPr>
        <w:t>FR</w:t>
      </w:r>
      <w:r w:rsidR="009E07B8" w:rsidRPr="00545310">
        <w:rPr>
          <w:rFonts w:cs="Arial"/>
          <w:i/>
        </w:rPr>
        <w:t>Í</w:t>
      </w:r>
      <w:r w:rsidR="00246E10" w:rsidRPr="00545310">
        <w:rPr>
          <w:rFonts w:cs="Arial"/>
          <w:i/>
        </w:rPr>
        <w:t>O</w:t>
      </w:r>
      <w:r w:rsidR="00315AAC" w:rsidRPr="00545310">
        <w:rPr>
          <w:rFonts w:cs="Arial"/>
          <w:i/>
        </w:rPr>
        <w:t>”</w:t>
      </w:r>
      <w:r w:rsidR="00315AAC" w:rsidRPr="00545310">
        <w:rPr>
          <w:rFonts w:cs="Arial"/>
        </w:rPr>
        <w:t xml:space="preserve"> ubicada en Floridablanca – Santander.</w:t>
      </w:r>
    </w:p>
    <w:p w14:paraId="6C09009A" w14:textId="77777777" w:rsidR="00315AAC" w:rsidRPr="00545310" w:rsidRDefault="00315AAC" w:rsidP="001627C9">
      <w:pPr>
        <w:pStyle w:val="Lista2"/>
        <w:ind w:left="0" w:firstLine="0"/>
        <w:rPr>
          <w:rFonts w:cs="Arial"/>
        </w:rPr>
      </w:pPr>
    </w:p>
    <w:p w14:paraId="306911AD" w14:textId="77777777" w:rsidR="005E02AA" w:rsidRPr="00545310" w:rsidRDefault="00315AAC" w:rsidP="001627C9">
      <w:pPr>
        <w:pStyle w:val="Lista2"/>
        <w:ind w:left="0" w:firstLine="0"/>
        <w:rPr>
          <w:rFonts w:cs="Arial"/>
        </w:rPr>
      </w:pPr>
      <w:r w:rsidRPr="00545310">
        <w:rPr>
          <w:rFonts w:cs="Arial"/>
          <w:b/>
        </w:rPr>
        <w:t>2.2.</w:t>
      </w:r>
      <w:r w:rsidRPr="00545310">
        <w:rPr>
          <w:rFonts w:cs="Arial"/>
        </w:rPr>
        <w:t xml:space="preserve"> El 27 de mayo de 2009, CONFIANZA expidió la garantía única de cumplimiento a favor de entidades estatales, distinguida con el número 31 GU069732</w:t>
      </w:r>
      <w:r w:rsidR="006D363A" w:rsidRPr="00545310">
        <w:rPr>
          <w:rFonts w:cs="Arial"/>
        </w:rPr>
        <w:t>.</w:t>
      </w:r>
    </w:p>
    <w:p w14:paraId="49D7EBE5" w14:textId="77777777" w:rsidR="005E02AA" w:rsidRPr="00545310" w:rsidRDefault="005E02AA" w:rsidP="001627C9">
      <w:pPr>
        <w:pStyle w:val="Lista2"/>
        <w:ind w:left="0" w:firstLine="0"/>
        <w:rPr>
          <w:rFonts w:cs="Arial"/>
        </w:rPr>
      </w:pPr>
    </w:p>
    <w:p w14:paraId="7B81860E" w14:textId="77777777" w:rsidR="009115AF" w:rsidRPr="00545310" w:rsidRDefault="005E02AA" w:rsidP="001627C9">
      <w:pPr>
        <w:pStyle w:val="Lista2"/>
        <w:ind w:left="0" w:firstLine="0"/>
        <w:rPr>
          <w:rFonts w:cs="Arial"/>
        </w:rPr>
      </w:pPr>
      <w:r w:rsidRPr="00545310">
        <w:rPr>
          <w:rFonts w:cs="Arial"/>
          <w:b/>
        </w:rPr>
        <w:t>2.3.</w:t>
      </w:r>
      <w:r w:rsidRPr="00545310">
        <w:rPr>
          <w:rFonts w:cs="Arial"/>
        </w:rPr>
        <w:t xml:space="preserve"> Mediante Resolución 692 de </w:t>
      </w:r>
      <w:r w:rsidR="006D363A" w:rsidRPr="00545310">
        <w:rPr>
          <w:rFonts w:cs="Arial"/>
        </w:rPr>
        <w:t xml:space="preserve">13 de mayo de </w:t>
      </w:r>
      <w:r w:rsidRPr="00545310">
        <w:rPr>
          <w:rFonts w:cs="Arial"/>
        </w:rPr>
        <w:t xml:space="preserve">2011, FONADE declaró la caducidad del contrato </w:t>
      </w:r>
      <w:r w:rsidR="0040119B" w:rsidRPr="00545310">
        <w:rPr>
          <w:rFonts w:cs="Arial"/>
        </w:rPr>
        <w:t xml:space="preserve">2091477 </w:t>
      </w:r>
      <w:r w:rsidRPr="00545310">
        <w:rPr>
          <w:rFonts w:cs="Arial"/>
        </w:rPr>
        <w:t xml:space="preserve">y la ocurrencia de los siniestros de cumplimiento y </w:t>
      </w:r>
      <w:r w:rsidR="009E07B8" w:rsidRPr="00545310">
        <w:rPr>
          <w:rFonts w:cs="Arial"/>
        </w:rPr>
        <w:t xml:space="preserve">de </w:t>
      </w:r>
      <w:r w:rsidRPr="00545310">
        <w:rPr>
          <w:rFonts w:cs="Arial"/>
        </w:rPr>
        <w:t xml:space="preserve">anticipo. En dicha resolución, FONADE ordenó hacer efectiva la cláusula penal pecuniaria, con cargo al amparo de cumplimiento. </w:t>
      </w:r>
      <w:r w:rsidR="00352F95" w:rsidRPr="00545310">
        <w:rPr>
          <w:rFonts w:cs="Arial"/>
        </w:rPr>
        <w:t xml:space="preserve">También, </w:t>
      </w:r>
      <w:r w:rsidR="009115AF" w:rsidRPr="00545310">
        <w:rPr>
          <w:rFonts w:cs="Arial"/>
        </w:rPr>
        <w:t xml:space="preserve">mediante la </w:t>
      </w:r>
      <w:r w:rsidR="00352F95" w:rsidRPr="00545310">
        <w:rPr>
          <w:rFonts w:cs="Arial"/>
        </w:rPr>
        <w:t>citada resolución</w:t>
      </w:r>
      <w:r w:rsidR="00C60175" w:rsidRPr="00545310">
        <w:rPr>
          <w:rFonts w:cs="Arial"/>
        </w:rPr>
        <w:t>,</w:t>
      </w:r>
      <w:r w:rsidR="00352F95" w:rsidRPr="00545310">
        <w:rPr>
          <w:rFonts w:cs="Arial"/>
        </w:rPr>
        <w:t xml:space="preserve"> FONADE decidió hacer efectivo el amparo de cumplimiento por la suma de $185’256.987,56</w:t>
      </w:r>
      <w:r w:rsidR="004F7C71" w:rsidRPr="00545310">
        <w:rPr>
          <w:rFonts w:cs="Arial"/>
        </w:rPr>
        <w:t>.</w:t>
      </w:r>
    </w:p>
    <w:p w14:paraId="3300CD6F" w14:textId="77777777" w:rsidR="00352F95" w:rsidRPr="00545310" w:rsidRDefault="00352F95" w:rsidP="001627C9">
      <w:pPr>
        <w:pStyle w:val="Lista2"/>
        <w:ind w:left="0" w:firstLine="0"/>
        <w:rPr>
          <w:rFonts w:cs="Arial"/>
        </w:rPr>
      </w:pPr>
    </w:p>
    <w:p w14:paraId="40D5E906" w14:textId="77777777" w:rsidR="0048733E" w:rsidRPr="00545310" w:rsidRDefault="00352F95" w:rsidP="001627C9">
      <w:pPr>
        <w:pStyle w:val="Lista2"/>
        <w:ind w:left="0" w:firstLine="0"/>
        <w:rPr>
          <w:rFonts w:cs="Arial"/>
        </w:rPr>
      </w:pPr>
      <w:r w:rsidRPr="00545310">
        <w:rPr>
          <w:rFonts w:cs="Arial"/>
          <w:b/>
        </w:rPr>
        <w:lastRenderedPageBreak/>
        <w:t>2.4.</w:t>
      </w:r>
      <w:r w:rsidRPr="00545310">
        <w:rPr>
          <w:rFonts w:cs="Arial"/>
        </w:rPr>
        <w:t xml:space="preserve"> </w:t>
      </w:r>
      <w:r w:rsidR="00925936" w:rsidRPr="00545310">
        <w:rPr>
          <w:rFonts w:cs="Arial"/>
        </w:rPr>
        <w:t xml:space="preserve">Mediante Resolución 1151 de </w:t>
      </w:r>
      <w:r w:rsidR="006D363A" w:rsidRPr="00545310">
        <w:rPr>
          <w:rFonts w:cs="Arial"/>
        </w:rPr>
        <w:t xml:space="preserve">8 de septiembre de </w:t>
      </w:r>
      <w:r w:rsidR="00925936" w:rsidRPr="00545310">
        <w:rPr>
          <w:rFonts w:cs="Arial"/>
        </w:rPr>
        <w:t>2011, FONADE resolvió</w:t>
      </w:r>
      <w:r w:rsidR="00C776E8" w:rsidRPr="00545310">
        <w:rPr>
          <w:rFonts w:cs="Arial"/>
        </w:rPr>
        <w:t xml:space="preserve"> los recursos de reposición interpuestos por la constructora y por la compañía de seguros y modificó parcialmente la Resolución 962, </w:t>
      </w:r>
      <w:r w:rsidR="0048733E" w:rsidRPr="00545310">
        <w:rPr>
          <w:rFonts w:cs="Arial"/>
        </w:rPr>
        <w:t>de manera desfavorable</w:t>
      </w:r>
      <w:r w:rsidR="00C776E8" w:rsidRPr="00545310">
        <w:rPr>
          <w:rFonts w:cs="Arial"/>
        </w:rPr>
        <w:t xml:space="preserve"> a la </w:t>
      </w:r>
      <w:r w:rsidR="00925936" w:rsidRPr="00545310">
        <w:rPr>
          <w:rFonts w:cs="Arial"/>
        </w:rPr>
        <w:t>compañía aseguradora</w:t>
      </w:r>
      <w:r w:rsidR="0048733E" w:rsidRPr="00545310">
        <w:rPr>
          <w:rFonts w:cs="Arial"/>
        </w:rPr>
        <w:t>.</w:t>
      </w:r>
    </w:p>
    <w:p w14:paraId="695972E1" w14:textId="77777777" w:rsidR="0048733E" w:rsidRPr="00545310" w:rsidRDefault="0048733E" w:rsidP="001627C9">
      <w:pPr>
        <w:pStyle w:val="Lista2"/>
        <w:ind w:left="0" w:firstLine="0"/>
        <w:rPr>
          <w:rFonts w:cs="Arial"/>
        </w:rPr>
      </w:pPr>
    </w:p>
    <w:p w14:paraId="27990A91" w14:textId="77777777" w:rsidR="00F86CD5" w:rsidRPr="00545310" w:rsidRDefault="0048733E" w:rsidP="001627C9">
      <w:pPr>
        <w:pStyle w:val="Lista2"/>
        <w:ind w:left="0" w:firstLine="0"/>
        <w:rPr>
          <w:rFonts w:cs="Arial"/>
        </w:rPr>
      </w:pPr>
      <w:r w:rsidRPr="00545310">
        <w:rPr>
          <w:rFonts w:cs="Arial"/>
          <w:b/>
        </w:rPr>
        <w:t>2.5.</w:t>
      </w:r>
      <w:r w:rsidRPr="00545310">
        <w:rPr>
          <w:rFonts w:cs="Arial"/>
        </w:rPr>
        <w:t xml:space="preserve"> </w:t>
      </w:r>
      <w:r w:rsidR="0002571E" w:rsidRPr="00545310">
        <w:rPr>
          <w:rFonts w:cs="Arial"/>
        </w:rPr>
        <w:t xml:space="preserve">De acuerdo con lo que expuso </w:t>
      </w:r>
      <w:r w:rsidR="00E2035F" w:rsidRPr="00545310">
        <w:rPr>
          <w:rFonts w:cs="Arial"/>
        </w:rPr>
        <w:t>l</w:t>
      </w:r>
      <w:r w:rsidR="00B953C9" w:rsidRPr="00545310">
        <w:rPr>
          <w:rFonts w:cs="Arial"/>
        </w:rPr>
        <w:t>a</w:t>
      </w:r>
      <w:r w:rsidR="00E2035F" w:rsidRPr="00545310">
        <w:rPr>
          <w:rFonts w:cs="Arial"/>
        </w:rPr>
        <w:t xml:space="preserve"> demandante, </w:t>
      </w:r>
      <w:r w:rsidR="0002571E" w:rsidRPr="00545310">
        <w:rPr>
          <w:rFonts w:cs="Arial"/>
        </w:rPr>
        <w:t>en la Resolución 11</w:t>
      </w:r>
      <w:r w:rsidR="00B953C9" w:rsidRPr="00545310">
        <w:rPr>
          <w:rFonts w:cs="Arial"/>
        </w:rPr>
        <w:t>5</w:t>
      </w:r>
      <w:r w:rsidR="0002571E" w:rsidRPr="00545310">
        <w:rPr>
          <w:rFonts w:cs="Arial"/>
        </w:rPr>
        <w:t xml:space="preserve">1, </w:t>
      </w:r>
      <w:r w:rsidRPr="00545310">
        <w:rPr>
          <w:rFonts w:cs="Arial"/>
        </w:rPr>
        <w:t>FONADE determin</w:t>
      </w:r>
      <w:r w:rsidR="00363D94" w:rsidRPr="00545310">
        <w:rPr>
          <w:rFonts w:cs="Arial"/>
        </w:rPr>
        <w:t>ó</w:t>
      </w:r>
      <w:r w:rsidRPr="00545310">
        <w:rPr>
          <w:rFonts w:cs="Arial"/>
        </w:rPr>
        <w:t xml:space="preserve"> que los perjuicios causados obedecían a </w:t>
      </w:r>
      <w:r w:rsidR="00C60175" w:rsidRPr="00545310">
        <w:rPr>
          <w:rFonts w:cs="Arial"/>
        </w:rPr>
        <w:t>varios conceptos</w:t>
      </w:r>
      <w:r w:rsidR="00B953C9" w:rsidRPr="00545310">
        <w:rPr>
          <w:rFonts w:cs="Arial"/>
        </w:rPr>
        <w:t>, a saber</w:t>
      </w:r>
      <w:r w:rsidR="00C60175" w:rsidRPr="00545310">
        <w:rPr>
          <w:rFonts w:cs="Arial"/>
        </w:rPr>
        <w:t xml:space="preserve">: </w:t>
      </w:r>
      <w:r w:rsidRPr="00545310">
        <w:rPr>
          <w:rFonts w:cs="Arial"/>
        </w:rPr>
        <w:t>mayor costo o valor de obra</w:t>
      </w:r>
      <w:r w:rsidR="0002571E" w:rsidRPr="00545310">
        <w:rPr>
          <w:rFonts w:cs="Arial"/>
        </w:rPr>
        <w:t xml:space="preserve"> no ejecutada</w:t>
      </w:r>
      <w:r w:rsidR="0072090D" w:rsidRPr="00545310">
        <w:rPr>
          <w:rFonts w:cs="Arial"/>
        </w:rPr>
        <w:t>,</w:t>
      </w:r>
      <w:r w:rsidR="0002571E" w:rsidRPr="00545310">
        <w:rPr>
          <w:rFonts w:cs="Arial"/>
        </w:rPr>
        <w:t xml:space="preserve"> </w:t>
      </w:r>
      <w:r w:rsidR="004F7C71" w:rsidRPr="00545310">
        <w:rPr>
          <w:rFonts w:cs="Arial"/>
        </w:rPr>
        <w:t xml:space="preserve">de conformidad con </w:t>
      </w:r>
      <w:r w:rsidR="0002571E" w:rsidRPr="00545310">
        <w:rPr>
          <w:rFonts w:cs="Arial"/>
        </w:rPr>
        <w:t>la actualización de precios efectuada por esa entidad</w:t>
      </w:r>
      <w:r w:rsidR="00FA07DF" w:rsidRPr="00545310">
        <w:rPr>
          <w:rFonts w:cs="Arial"/>
        </w:rPr>
        <w:t>;</w:t>
      </w:r>
      <w:r w:rsidR="0002571E" w:rsidRPr="00545310">
        <w:rPr>
          <w:rFonts w:cs="Arial"/>
        </w:rPr>
        <w:t xml:space="preserve"> </w:t>
      </w:r>
      <w:r w:rsidRPr="00545310">
        <w:rPr>
          <w:rFonts w:cs="Arial"/>
        </w:rPr>
        <w:t xml:space="preserve">costos de interventoría </w:t>
      </w:r>
      <w:r w:rsidR="009A4DD8" w:rsidRPr="00545310">
        <w:rPr>
          <w:rFonts w:cs="Arial"/>
        </w:rPr>
        <w:t xml:space="preserve">necesarios </w:t>
      </w:r>
      <w:r w:rsidRPr="00545310">
        <w:rPr>
          <w:rFonts w:cs="Arial"/>
        </w:rPr>
        <w:t>para terminar las obras pendientes</w:t>
      </w:r>
      <w:r w:rsidR="0072090D" w:rsidRPr="00545310">
        <w:rPr>
          <w:rFonts w:cs="Arial"/>
        </w:rPr>
        <w:t>;</w:t>
      </w:r>
      <w:r w:rsidRPr="00545310">
        <w:rPr>
          <w:rFonts w:cs="Arial"/>
        </w:rPr>
        <w:t xml:space="preserve"> valor de la interventoría </w:t>
      </w:r>
      <w:r w:rsidR="005850EF" w:rsidRPr="00545310">
        <w:rPr>
          <w:rFonts w:cs="Arial"/>
        </w:rPr>
        <w:t xml:space="preserve">prestada por DAIMCO E.U </w:t>
      </w:r>
      <w:r w:rsidRPr="00545310">
        <w:rPr>
          <w:rFonts w:cs="Arial"/>
        </w:rPr>
        <w:t xml:space="preserve">y </w:t>
      </w:r>
      <w:r w:rsidR="0002571E" w:rsidRPr="00545310">
        <w:rPr>
          <w:rFonts w:cs="Arial"/>
        </w:rPr>
        <w:t xml:space="preserve">el </w:t>
      </w:r>
      <w:r w:rsidRPr="00545310">
        <w:rPr>
          <w:rFonts w:cs="Arial"/>
        </w:rPr>
        <w:t>servicio de vigilancia de las obras</w:t>
      </w:r>
      <w:r w:rsidR="00E2035F" w:rsidRPr="00545310">
        <w:rPr>
          <w:rFonts w:cs="Arial"/>
        </w:rPr>
        <w:t xml:space="preserve"> por el término de seis meses</w:t>
      </w:r>
      <w:r w:rsidR="00C60175" w:rsidRPr="00545310">
        <w:rPr>
          <w:rFonts w:cs="Arial"/>
        </w:rPr>
        <w:t>.</w:t>
      </w:r>
      <w:r w:rsidR="00363D94" w:rsidRPr="00545310">
        <w:rPr>
          <w:rFonts w:cs="Arial"/>
        </w:rPr>
        <w:t xml:space="preserve"> </w:t>
      </w:r>
    </w:p>
    <w:p w14:paraId="35371493" w14:textId="77777777" w:rsidR="00F86CD5" w:rsidRPr="00545310" w:rsidRDefault="00F86CD5" w:rsidP="001627C9">
      <w:pPr>
        <w:pStyle w:val="Lista2"/>
        <w:ind w:left="0" w:firstLine="0"/>
        <w:rPr>
          <w:rFonts w:cs="Arial"/>
        </w:rPr>
      </w:pPr>
    </w:p>
    <w:p w14:paraId="1D1D1236" w14:textId="77777777" w:rsidR="0004371D" w:rsidRPr="00545310" w:rsidRDefault="00E2035F" w:rsidP="001627C9">
      <w:pPr>
        <w:pStyle w:val="Lista2"/>
        <w:ind w:left="0" w:firstLine="0"/>
        <w:rPr>
          <w:rFonts w:cs="Arial"/>
        </w:rPr>
      </w:pPr>
      <w:r w:rsidRPr="00545310">
        <w:rPr>
          <w:rFonts w:cs="Arial"/>
        </w:rPr>
        <w:t xml:space="preserve">Según narró </w:t>
      </w:r>
      <w:r w:rsidR="009561C5" w:rsidRPr="00545310">
        <w:rPr>
          <w:rFonts w:cs="Arial"/>
        </w:rPr>
        <w:t>la</w:t>
      </w:r>
      <w:r w:rsidRPr="00545310">
        <w:rPr>
          <w:rFonts w:cs="Arial"/>
        </w:rPr>
        <w:t xml:space="preserve"> demandante, </w:t>
      </w:r>
      <w:r w:rsidR="009561C5" w:rsidRPr="00545310">
        <w:rPr>
          <w:rFonts w:cs="Arial"/>
        </w:rPr>
        <w:t xml:space="preserve">en la Resolución 1151 de 2011 se indicó que </w:t>
      </w:r>
      <w:r w:rsidRPr="00545310">
        <w:rPr>
          <w:rFonts w:cs="Arial"/>
        </w:rPr>
        <w:t>d</w:t>
      </w:r>
      <w:r w:rsidR="00363D94" w:rsidRPr="00545310">
        <w:rPr>
          <w:rFonts w:cs="Arial"/>
        </w:rPr>
        <w:t xml:space="preserve">el total de los supuestos </w:t>
      </w:r>
      <w:r w:rsidR="0048733E" w:rsidRPr="00545310">
        <w:rPr>
          <w:rFonts w:cs="Arial"/>
        </w:rPr>
        <w:t>p</w:t>
      </w:r>
      <w:r w:rsidR="00363D94" w:rsidRPr="00545310">
        <w:rPr>
          <w:rFonts w:cs="Arial"/>
        </w:rPr>
        <w:t xml:space="preserve">erjuicios </w:t>
      </w:r>
      <w:r w:rsidR="009561C5" w:rsidRPr="00545310">
        <w:rPr>
          <w:rFonts w:cs="Arial"/>
        </w:rPr>
        <w:t xml:space="preserve">liquidados por </w:t>
      </w:r>
      <w:r w:rsidR="00363D94" w:rsidRPr="00545310">
        <w:rPr>
          <w:rFonts w:cs="Arial"/>
        </w:rPr>
        <w:t>FONADE</w:t>
      </w:r>
      <w:r w:rsidR="009561C5" w:rsidRPr="00545310">
        <w:rPr>
          <w:rFonts w:cs="Arial"/>
        </w:rPr>
        <w:t xml:space="preserve"> se</w:t>
      </w:r>
      <w:r w:rsidR="00363D94" w:rsidRPr="00545310">
        <w:rPr>
          <w:rFonts w:cs="Arial"/>
        </w:rPr>
        <w:t xml:space="preserve"> descont</w:t>
      </w:r>
      <w:r w:rsidR="002B056F" w:rsidRPr="00545310">
        <w:rPr>
          <w:rFonts w:cs="Arial"/>
        </w:rPr>
        <w:t>aba</w:t>
      </w:r>
      <w:r w:rsidR="00363D94" w:rsidRPr="00545310">
        <w:rPr>
          <w:rFonts w:cs="Arial"/>
        </w:rPr>
        <w:t xml:space="preserve"> el valor del acta de obra 12, pendiente de pago y el valor de la cláusula penal pactada</w:t>
      </w:r>
      <w:r w:rsidR="00B953C9" w:rsidRPr="00545310">
        <w:rPr>
          <w:rFonts w:cs="Arial"/>
        </w:rPr>
        <w:t xml:space="preserve"> aplicada de manera proporcional a la ejecución de la obra</w:t>
      </w:r>
      <w:r w:rsidR="00363D94" w:rsidRPr="00545310">
        <w:rPr>
          <w:rFonts w:cs="Arial"/>
        </w:rPr>
        <w:t xml:space="preserve">, </w:t>
      </w:r>
      <w:r w:rsidR="00B953C9" w:rsidRPr="00545310">
        <w:rPr>
          <w:rFonts w:cs="Arial"/>
        </w:rPr>
        <w:t xml:space="preserve">con lo cual </w:t>
      </w:r>
      <w:r w:rsidR="0004371D" w:rsidRPr="00545310">
        <w:rPr>
          <w:rFonts w:cs="Arial"/>
        </w:rPr>
        <w:t xml:space="preserve">se </w:t>
      </w:r>
      <w:r w:rsidR="00363D94" w:rsidRPr="00545310">
        <w:rPr>
          <w:rFonts w:cs="Arial"/>
        </w:rPr>
        <w:t>lleg</w:t>
      </w:r>
      <w:r w:rsidR="00B953C9" w:rsidRPr="00545310">
        <w:rPr>
          <w:rFonts w:cs="Arial"/>
        </w:rPr>
        <w:t xml:space="preserve">ó </w:t>
      </w:r>
      <w:r w:rsidR="00363D94" w:rsidRPr="00545310">
        <w:rPr>
          <w:rFonts w:cs="Arial"/>
        </w:rPr>
        <w:t xml:space="preserve">a un </w:t>
      </w:r>
      <w:r w:rsidR="002B056F" w:rsidRPr="00545310">
        <w:rPr>
          <w:rFonts w:cs="Arial"/>
        </w:rPr>
        <w:t xml:space="preserve">nuevo </w:t>
      </w:r>
      <w:r w:rsidR="00363D94" w:rsidRPr="00545310">
        <w:rPr>
          <w:rFonts w:cs="Arial"/>
        </w:rPr>
        <w:t>valor de perjuicios adicionales no cubiertos por la cláusula penal, por la suma de $373’168.864,96.</w:t>
      </w:r>
      <w:r w:rsidR="00C60175" w:rsidRPr="00545310">
        <w:rPr>
          <w:rFonts w:cs="Arial"/>
        </w:rPr>
        <w:t xml:space="preserve"> De esta manera, a juicio de la demandante</w:t>
      </w:r>
      <w:r w:rsidR="00F86CD5" w:rsidRPr="00545310">
        <w:rPr>
          <w:rFonts w:cs="Arial"/>
        </w:rPr>
        <w:t>,</w:t>
      </w:r>
      <w:r w:rsidR="00C60175" w:rsidRPr="00545310">
        <w:rPr>
          <w:rFonts w:cs="Arial"/>
        </w:rPr>
        <w:t xml:space="preserve"> FONADE incrementó</w:t>
      </w:r>
      <w:r w:rsidR="00073063" w:rsidRPr="00545310">
        <w:rPr>
          <w:rFonts w:cs="Arial"/>
        </w:rPr>
        <w:t>,</w:t>
      </w:r>
      <w:r w:rsidR="00C60175" w:rsidRPr="00545310">
        <w:rPr>
          <w:rFonts w:cs="Arial"/>
        </w:rPr>
        <w:t xml:space="preserve"> e</w:t>
      </w:r>
      <w:r w:rsidR="00F86CD5" w:rsidRPr="00545310">
        <w:rPr>
          <w:rFonts w:cs="Arial"/>
        </w:rPr>
        <w:t xml:space="preserve">n sede del recurso de reposición, el </w:t>
      </w:r>
      <w:r w:rsidR="00C60175" w:rsidRPr="00545310">
        <w:rPr>
          <w:rFonts w:cs="Arial"/>
        </w:rPr>
        <w:t>valor por el que hizo valer el amparo de cumplim</w:t>
      </w:r>
      <w:r w:rsidR="005D28C4" w:rsidRPr="00545310">
        <w:rPr>
          <w:rFonts w:cs="Arial"/>
        </w:rPr>
        <w:t>i</w:t>
      </w:r>
      <w:r w:rsidR="00C60175" w:rsidRPr="00545310">
        <w:rPr>
          <w:rFonts w:cs="Arial"/>
        </w:rPr>
        <w:t>ento</w:t>
      </w:r>
      <w:r w:rsidR="0004371D" w:rsidRPr="00545310">
        <w:rPr>
          <w:rFonts w:cs="Arial"/>
        </w:rPr>
        <w:t>.</w:t>
      </w:r>
    </w:p>
    <w:p w14:paraId="7F506E0A" w14:textId="77777777" w:rsidR="005D28C4" w:rsidRPr="00545310" w:rsidRDefault="005D28C4" w:rsidP="001627C9">
      <w:pPr>
        <w:pStyle w:val="Lista2"/>
        <w:ind w:left="0" w:firstLine="0"/>
        <w:rPr>
          <w:rFonts w:cs="Arial"/>
        </w:rPr>
      </w:pPr>
    </w:p>
    <w:p w14:paraId="4B9A8053" w14:textId="77777777" w:rsidR="005B7BD2" w:rsidRPr="00545310" w:rsidRDefault="009A4DD8" w:rsidP="001627C9">
      <w:pPr>
        <w:pStyle w:val="Lista2"/>
        <w:ind w:left="0" w:firstLine="0"/>
        <w:rPr>
          <w:rFonts w:cs="Arial"/>
        </w:rPr>
      </w:pPr>
      <w:r w:rsidRPr="00545310">
        <w:rPr>
          <w:rFonts w:cs="Arial"/>
          <w:b/>
        </w:rPr>
        <w:t>2.6.</w:t>
      </w:r>
      <w:r w:rsidRPr="00545310">
        <w:rPr>
          <w:rFonts w:cs="Arial"/>
        </w:rPr>
        <w:t xml:space="preserve"> CONFIANZA advirtió que </w:t>
      </w:r>
      <w:r w:rsidR="0080350A" w:rsidRPr="00545310">
        <w:rPr>
          <w:rFonts w:cs="Arial"/>
        </w:rPr>
        <w:t>los supuestos perjuicio por mayores costos</w:t>
      </w:r>
      <w:r w:rsidRPr="00545310">
        <w:rPr>
          <w:rFonts w:cs="Arial"/>
        </w:rPr>
        <w:t>, calculado</w:t>
      </w:r>
      <w:r w:rsidR="00997DC4" w:rsidRPr="00545310">
        <w:rPr>
          <w:rFonts w:cs="Arial"/>
        </w:rPr>
        <w:t>s</w:t>
      </w:r>
      <w:r w:rsidRPr="00545310">
        <w:rPr>
          <w:rFonts w:cs="Arial"/>
        </w:rPr>
        <w:t xml:space="preserve"> por FONADE, era</w:t>
      </w:r>
      <w:r w:rsidR="00997DC4" w:rsidRPr="00545310">
        <w:rPr>
          <w:rFonts w:cs="Arial"/>
        </w:rPr>
        <w:t>n</w:t>
      </w:r>
      <w:r w:rsidRPr="00545310">
        <w:rPr>
          <w:rFonts w:cs="Arial"/>
        </w:rPr>
        <w:t xml:space="preserve"> incierto</w:t>
      </w:r>
      <w:r w:rsidR="00997DC4" w:rsidRPr="00545310">
        <w:rPr>
          <w:rFonts w:cs="Arial"/>
        </w:rPr>
        <w:t>s</w:t>
      </w:r>
      <w:r w:rsidRPr="00545310">
        <w:rPr>
          <w:rFonts w:cs="Arial"/>
        </w:rPr>
        <w:t xml:space="preserve"> y, por tanto, no susceptible</w:t>
      </w:r>
      <w:r w:rsidR="00997DC4" w:rsidRPr="00545310">
        <w:rPr>
          <w:rFonts w:cs="Arial"/>
        </w:rPr>
        <w:t>s</w:t>
      </w:r>
      <w:r w:rsidRPr="00545310">
        <w:rPr>
          <w:rFonts w:cs="Arial"/>
        </w:rPr>
        <w:t xml:space="preserve"> de indemnización con cargo a la póliza de seguro de cumplimiento.</w:t>
      </w:r>
      <w:r w:rsidR="005850EF" w:rsidRPr="00545310">
        <w:rPr>
          <w:rFonts w:cs="Arial"/>
        </w:rPr>
        <w:t xml:space="preserve"> </w:t>
      </w:r>
      <w:r w:rsidR="005D28C4" w:rsidRPr="00545310">
        <w:rPr>
          <w:rFonts w:cs="Arial"/>
        </w:rPr>
        <w:t xml:space="preserve">Aseveró </w:t>
      </w:r>
      <w:r w:rsidR="005850EF" w:rsidRPr="00545310">
        <w:rPr>
          <w:rFonts w:cs="Arial"/>
        </w:rPr>
        <w:t xml:space="preserve">que </w:t>
      </w:r>
      <w:r w:rsidR="005D28C4" w:rsidRPr="00545310">
        <w:rPr>
          <w:rFonts w:cs="Arial"/>
        </w:rPr>
        <w:t xml:space="preserve">los </w:t>
      </w:r>
      <w:r w:rsidR="005850EF" w:rsidRPr="00545310">
        <w:rPr>
          <w:rFonts w:cs="Arial"/>
        </w:rPr>
        <w:t xml:space="preserve">únicos valores ciertos </w:t>
      </w:r>
      <w:r w:rsidR="00EA6463" w:rsidRPr="00545310">
        <w:rPr>
          <w:rFonts w:cs="Arial"/>
        </w:rPr>
        <w:t xml:space="preserve">eran </w:t>
      </w:r>
      <w:r w:rsidR="005D28C4" w:rsidRPr="00545310">
        <w:rPr>
          <w:rFonts w:cs="Arial"/>
        </w:rPr>
        <w:t xml:space="preserve">los correspondientes al monto </w:t>
      </w:r>
      <w:r w:rsidR="005850EF" w:rsidRPr="00545310">
        <w:rPr>
          <w:rFonts w:cs="Arial"/>
        </w:rPr>
        <w:t xml:space="preserve">pendiente de pago </w:t>
      </w:r>
      <w:r w:rsidR="005D28C4" w:rsidRPr="00545310">
        <w:rPr>
          <w:rFonts w:cs="Arial"/>
        </w:rPr>
        <w:t xml:space="preserve">por concepto de </w:t>
      </w:r>
      <w:r w:rsidR="005850EF" w:rsidRPr="00545310">
        <w:rPr>
          <w:rFonts w:cs="Arial"/>
        </w:rPr>
        <w:t xml:space="preserve">la interventoría </w:t>
      </w:r>
      <w:r w:rsidR="00EA6463" w:rsidRPr="00545310">
        <w:rPr>
          <w:rFonts w:cs="Arial"/>
        </w:rPr>
        <w:t>prestada p</w:t>
      </w:r>
      <w:r w:rsidR="005D28C4" w:rsidRPr="00545310">
        <w:rPr>
          <w:rFonts w:cs="Arial"/>
        </w:rPr>
        <w:t>or</w:t>
      </w:r>
      <w:r w:rsidR="00EA6463" w:rsidRPr="00545310">
        <w:rPr>
          <w:rFonts w:cs="Arial"/>
        </w:rPr>
        <w:t xml:space="preserve"> DAIMCO E.U</w:t>
      </w:r>
      <w:r w:rsidR="00073063" w:rsidRPr="00545310">
        <w:rPr>
          <w:rFonts w:cs="Arial"/>
        </w:rPr>
        <w:t>.</w:t>
      </w:r>
      <w:r w:rsidR="00EA6463" w:rsidRPr="00545310">
        <w:rPr>
          <w:rFonts w:cs="Arial"/>
        </w:rPr>
        <w:t xml:space="preserve"> </w:t>
      </w:r>
      <w:r w:rsidR="005850EF" w:rsidRPr="00545310">
        <w:rPr>
          <w:rFonts w:cs="Arial"/>
        </w:rPr>
        <w:t xml:space="preserve">y </w:t>
      </w:r>
      <w:r w:rsidR="005D28C4" w:rsidRPr="00545310">
        <w:rPr>
          <w:rFonts w:cs="Arial"/>
        </w:rPr>
        <w:t>a</w:t>
      </w:r>
      <w:r w:rsidR="005850EF" w:rsidRPr="00545310">
        <w:rPr>
          <w:rFonts w:cs="Arial"/>
        </w:rPr>
        <w:t>l servicio de vigilancia, los cuales ascendían a $130’876.430, suma que se encontraba comprendida en el monto de la cláusula penal</w:t>
      </w:r>
      <w:r w:rsidR="005B7BD2" w:rsidRPr="00545310">
        <w:rPr>
          <w:rFonts w:cs="Arial"/>
        </w:rPr>
        <w:t xml:space="preserve"> y que, por ello, considera</w:t>
      </w:r>
      <w:r w:rsidR="002B056F" w:rsidRPr="00545310">
        <w:rPr>
          <w:rFonts w:cs="Arial"/>
        </w:rPr>
        <w:t>ba</w:t>
      </w:r>
      <w:r w:rsidR="005B7BD2" w:rsidRPr="00545310">
        <w:rPr>
          <w:rFonts w:cs="Arial"/>
        </w:rPr>
        <w:t xml:space="preserve"> que le deb</w:t>
      </w:r>
      <w:r w:rsidR="002B056F" w:rsidRPr="00545310">
        <w:rPr>
          <w:rFonts w:cs="Arial"/>
        </w:rPr>
        <w:t>ía</w:t>
      </w:r>
      <w:r w:rsidR="005B7BD2" w:rsidRPr="00545310">
        <w:rPr>
          <w:rFonts w:cs="Arial"/>
        </w:rPr>
        <w:t xml:space="preserve"> ser devuelta.</w:t>
      </w:r>
    </w:p>
    <w:p w14:paraId="0139D263" w14:textId="77777777" w:rsidR="00315AAC" w:rsidRPr="00545310" w:rsidRDefault="00315AAC" w:rsidP="001627C9">
      <w:pPr>
        <w:pStyle w:val="Lista2"/>
        <w:ind w:left="0" w:firstLine="0"/>
        <w:rPr>
          <w:rFonts w:cs="Arial"/>
        </w:rPr>
      </w:pPr>
    </w:p>
    <w:p w14:paraId="2248D877" w14:textId="77777777" w:rsidR="004821B1" w:rsidRPr="00545310" w:rsidRDefault="00EA6463" w:rsidP="001627C9">
      <w:pPr>
        <w:pStyle w:val="Lista2"/>
        <w:ind w:left="0" w:firstLine="0"/>
        <w:rPr>
          <w:rFonts w:cs="Arial"/>
        </w:rPr>
      </w:pPr>
      <w:r w:rsidRPr="00545310">
        <w:rPr>
          <w:rFonts w:cs="Arial"/>
          <w:b/>
        </w:rPr>
        <w:t>2.7.</w:t>
      </w:r>
      <w:r w:rsidRPr="00545310">
        <w:rPr>
          <w:rFonts w:cs="Arial"/>
        </w:rPr>
        <w:t xml:space="preserve"> </w:t>
      </w:r>
      <w:r w:rsidR="005D28C4" w:rsidRPr="00545310">
        <w:rPr>
          <w:rFonts w:cs="Arial"/>
        </w:rPr>
        <w:t>CONFIANZA narró que, p</w:t>
      </w:r>
      <w:r w:rsidRPr="00545310">
        <w:rPr>
          <w:rFonts w:cs="Arial"/>
        </w:rPr>
        <w:t xml:space="preserve">ese a las falencias de los actos administrativos, teniendo en cuenta la presunción de legalidad y el mérito ejecutivo de las resoluciones citadas, la compañía aseguradora pagó </w:t>
      </w:r>
      <w:r w:rsidR="009967CF" w:rsidRPr="00545310">
        <w:rPr>
          <w:rFonts w:cs="Arial"/>
        </w:rPr>
        <w:t xml:space="preserve">a FONADE </w:t>
      </w:r>
      <w:r w:rsidRPr="00545310">
        <w:rPr>
          <w:rFonts w:cs="Arial"/>
        </w:rPr>
        <w:t>la suma de $1.773’923.280</w:t>
      </w:r>
      <w:r w:rsidR="009967CF" w:rsidRPr="00545310">
        <w:rPr>
          <w:rFonts w:cs="Arial"/>
        </w:rPr>
        <w:t xml:space="preserve"> en el mes de enero de 2012 y la suma </w:t>
      </w:r>
      <w:r w:rsidR="004821B1" w:rsidRPr="00545310">
        <w:rPr>
          <w:rFonts w:cs="Arial"/>
        </w:rPr>
        <w:t xml:space="preserve">adicional </w:t>
      </w:r>
      <w:r w:rsidR="009967CF" w:rsidRPr="00545310">
        <w:rPr>
          <w:rFonts w:cs="Arial"/>
        </w:rPr>
        <w:t>de $86’494.576 en el mes de febrero de 2012, para un total de $1.860’417.854,36</w:t>
      </w:r>
      <w:r w:rsidR="00222D62" w:rsidRPr="00545310">
        <w:rPr>
          <w:rFonts w:cs="Arial"/>
        </w:rPr>
        <w:t xml:space="preserve">. </w:t>
      </w:r>
    </w:p>
    <w:p w14:paraId="5FA4FF0F" w14:textId="77777777" w:rsidR="004821B1" w:rsidRPr="00545310" w:rsidRDefault="004821B1" w:rsidP="001627C9">
      <w:pPr>
        <w:pStyle w:val="Lista2"/>
        <w:ind w:left="0" w:firstLine="0"/>
        <w:rPr>
          <w:rFonts w:cs="Arial"/>
        </w:rPr>
      </w:pPr>
    </w:p>
    <w:p w14:paraId="57D9BFC5" w14:textId="77777777" w:rsidR="00AE641B" w:rsidRPr="00545310" w:rsidRDefault="00222D62" w:rsidP="001627C9">
      <w:pPr>
        <w:pStyle w:val="Lista2"/>
        <w:ind w:left="0" w:firstLine="0"/>
        <w:rPr>
          <w:rFonts w:cs="Arial"/>
        </w:rPr>
      </w:pPr>
      <w:r w:rsidRPr="00545310">
        <w:rPr>
          <w:rFonts w:cs="Arial"/>
        </w:rPr>
        <w:t xml:space="preserve">Detalló que ese pago </w:t>
      </w:r>
      <w:r w:rsidR="004821B1" w:rsidRPr="00545310">
        <w:rPr>
          <w:rFonts w:cs="Arial"/>
        </w:rPr>
        <w:t xml:space="preserve">realizado </w:t>
      </w:r>
      <w:r w:rsidRPr="00545310">
        <w:rPr>
          <w:rFonts w:cs="Arial"/>
        </w:rPr>
        <w:t xml:space="preserve">correspondió a los </w:t>
      </w:r>
      <w:r w:rsidR="009967CF" w:rsidRPr="00545310">
        <w:rPr>
          <w:rFonts w:cs="Arial"/>
        </w:rPr>
        <w:t xml:space="preserve">siguientes conceptos: </w:t>
      </w:r>
      <w:r w:rsidR="00FE027B" w:rsidRPr="00545310">
        <w:rPr>
          <w:rFonts w:cs="Arial"/>
        </w:rPr>
        <w:t xml:space="preserve">anticipo no amortizado, </w:t>
      </w:r>
      <w:r w:rsidR="009967CF" w:rsidRPr="00545310">
        <w:rPr>
          <w:rFonts w:cs="Arial"/>
        </w:rPr>
        <w:t>interventoría actual (DAIMCO E</w:t>
      </w:r>
      <w:r w:rsidR="00F86CD5" w:rsidRPr="00545310">
        <w:rPr>
          <w:rFonts w:cs="Arial"/>
        </w:rPr>
        <w:t>.</w:t>
      </w:r>
      <w:r w:rsidR="009967CF" w:rsidRPr="00545310">
        <w:rPr>
          <w:rFonts w:cs="Arial"/>
        </w:rPr>
        <w:t>U</w:t>
      </w:r>
      <w:r w:rsidR="00073063" w:rsidRPr="00545310">
        <w:rPr>
          <w:rFonts w:cs="Arial"/>
        </w:rPr>
        <w:t>.</w:t>
      </w:r>
      <w:r w:rsidR="009967CF" w:rsidRPr="00545310">
        <w:rPr>
          <w:rFonts w:cs="Arial"/>
        </w:rPr>
        <w:t xml:space="preserve">), vigilancia del predio, y </w:t>
      </w:r>
      <w:r w:rsidRPr="00545310">
        <w:rPr>
          <w:rFonts w:cs="Arial"/>
        </w:rPr>
        <w:t xml:space="preserve">el </w:t>
      </w:r>
      <w:r w:rsidR="009967CF" w:rsidRPr="00545310">
        <w:rPr>
          <w:rFonts w:cs="Arial"/>
        </w:rPr>
        <w:t>75.75</w:t>
      </w:r>
      <w:r w:rsidRPr="00545310">
        <w:rPr>
          <w:rFonts w:cs="Arial"/>
        </w:rPr>
        <w:t>%</w:t>
      </w:r>
      <w:r w:rsidR="009967CF" w:rsidRPr="00545310">
        <w:rPr>
          <w:rFonts w:cs="Arial"/>
        </w:rPr>
        <w:t xml:space="preserve"> </w:t>
      </w:r>
      <w:r w:rsidR="009967CF" w:rsidRPr="00545310">
        <w:rPr>
          <w:rFonts w:cs="Arial"/>
        </w:rPr>
        <w:lastRenderedPageBreak/>
        <w:t>de la cláusula penal</w:t>
      </w:r>
      <w:r w:rsidR="00AE641B" w:rsidRPr="00545310">
        <w:rPr>
          <w:rFonts w:cs="Arial"/>
        </w:rPr>
        <w:t xml:space="preserve">, </w:t>
      </w:r>
      <w:r w:rsidRPr="00545310">
        <w:rPr>
          <w:rFonts w:cs="Arial"/>
        </w:rPr>
        <w:t xml:space="preserve">establecido </w:t>
      </w:r>
      <w:r w:rsidR="00AE641B" w:rsidRPr="00545310">
        <w:rPr>
          <w:rFonts w:cs="Arial"/>
        </w:rPr>
        <w:t>en proporción a la obra no ejecutada</w:t>
      </w:r>
      <w:r w:rsidR="002B056F" w:rsidRPr="00545310">
        <w:rPr>
          <w:rFonts w:cs="Arial"/>
        </w:rPr>
        <w:t>, de acuerdo con la Resolución 11</w:t>
      </w:r>
      <w:r w:rsidR="00FE027B" w:rsidRPr="00545310">
        <w:rPr>
          <w:rFonts w:cs="Arial"/>
        </w:rPr>
        <w:t>5</w:t>
      </w:r>
      <w:r w:rsidR="002B056F" w:rsidRPr="00545310">
        <w:rPr>
          <w:rFonts w:cs="Arial"/>
        </w:rPr>
        <w:t>1</w:t>
      </w:r>
      <w:r w:rsidR="00AE641B" w:rsidRPr="00545310">
        <w:rPr>
          <w:rFonts w:cs="Arial"/>
        </w:rPr>
        <w:t xml:space="preserve">. </w:t>
      </w:r>
    </w:p>
    <w:p w14:paraId="579EDE81" w14:textId="77777777" w:rsidR="00AE641B" w:rsidRPr="00545310" w:rsidRDefault="00AE641B" w:rsidP="001627C9">
      <w:pPr>
        <w:pStyle w:val="Lista2"/>
        <w:ind w:left="0" w:firstLine="0"/>
        <w:rPr>
          <w:rFonts w:cs="Arial"/>
        </w:rPr>
      </w:pPr>
    </w:p>
    <w:p w14:paraId="04CAD0F6" w14:textId="77777777" w:rsidR="0067402E" w:rsidRPr="00545310" w:rsidRDefault="00AE641B" w:rsidP="001627C9">
      <w:pPr>
        <w:pStyle w:val="Lista2"/>
        <w:ind w:left="0" w:firstLine="0"/>
        <w:rPr>
          <w:rFonts w:cs="Arial"/>
        </w:rPr>
      </w:pPr>
      <w:r w:rsidRPr="00545310">
        <w:rPr>
          <w:rFonts w:cs="Arial"/>
          <w:b/>
        </w:rPr>
        <w:t>2.8.</w:t>
      </w:r>
      <w:r w:rsidRPr="00545310">
        <w:rPr>
          <w:rFonts w:cs="Arial"/>
        </w:rPr>
        <w:t xml:space="preserve"> De </w:t>
      </w:r>
      <w:r w:rsidR="002B056F" w:rsidRPr="00545310">
        <w:rPr>
          <w:rFonts w:cs="Arial"/>
        </w:rPr>
        <w:t xml:space="preserve">conformidad </w:t>
      </w:r>
      <w:r w:rsidRPr="00545310">
        <w:rPr>
          <w:rFonts w:cs="Arial"/>
        </w:rPr>
        <w:t xml:space="preserve">con lo anterior, la suma de $373’168.865, </w:t>
      </w:r>
      <w:r w:rsidR="005B7BD2" w:rsidRPr="00545310">
        <w:rPr>
          <w:rFonts w:cs="Arial"/>
        </w:rPr>
        <w:t>fi</w:t>
      </w:r>
      <w:r w:rsidR="005D662E" w:rsidRPr="00545310">
        <w:rPr>
          <w:rFonts w:cs="Arial"/>
        </w:rPr>
        <w:t>j</w:t>
      </w:r>
      <w:r w:rsidR="005B7BD2" w:rsidRPr="00545310">
        <w:rPr>
          <w:rFonts w:cs="Arial"/>
        </w:rPr>
        <w:t>a</w:t>
      </w:r>
      <w:r w:rsidR="005D662E" w:rsidRPr="00545310">
        <w:rPr>
          <w:rFonts w:cs="Arial"/>
        </w:rPr>
        <w:t>d</w:t>
      </w:r>
      <w:r w:rsidR="005B7BD2" w:rsidRPr="00545310">
        <w:rPr>
          <w:rFonts w:cs="Arial"/>
        </w:rPr>
        <w:t xml:space="preserve">a </w:t>
      </w:r>
      <w:r w:rsidR="00635A67" w:rsidRPr="00545310">
        <w:rPr>
          <w:rFonts w:cs="Arial"/>
        </w:rPr>
        <w:t xml:space="preserve">mediante Resolución 1151, </w:t>
      </w:r>
      <w:r w:rsidR="005B7BD2" w:rsidRPr="00545310">
        <w:rPr>
          <w:rFonts w:cs="Arial"/>
        </w:rPr>
        <w:t>como perjuicio adicional a</w:t>
      </w:r>
      <w:r w:rsidR="00635A67" w:rsidRPr="00545310">
        <w:rPr>
          <w:rFonts w:cs="Arial"/>
        </w:rPr>
        <w:t xml:space="preserve">l monto de </w:t>
      </w:r>
      <w:r w:rsidR="005B7BD2" w:rsidRPr="00545310">
        <w:rPr>
          <w:rFonts w:cs="Arial"/>
        </w:rPr>
        <w:t>la cláusula penal</w:t>
      </w:r>
      <w:r w:rsidR="00635A67" w:rsidRPr="00545310">
        <w:rPr>
          <w:rFonts w:cs="Arial"/>
        </w:rPr>
        <w:t xml:space="preserve">, </w:t>
      </w:r>
      <w:r w:rsidR="00304C6D" w:rsidRPr="00545310">
        <w:rPr>
          <w:rFonts w:cs="Arial"/>
        </w:rPr>
        <w:t xml:space="preserve">no fue </w:t>
      </w:r>
      <w:r w:rsidR="00D81579" w:rsidRPr="00545310">
        <w:rPr>
          <w:rFonts w:cs="Arial"/>
        </w:rPr>
        <w:t>pagada por CONFIANZA</w:t>
      </w:r>
      <w:r w:rsidR="00D52D41" w:rsidRPr="00545310">
        <w:rPr>
          <w:rFonts w:cs="Arial"/>
        </w:rPr>
        <w:t>,</w:t>
      </w:r>
      <w:r w:rsidR="00D81579" w:rsidRPr="00545310">
        <w:rPr>
          <w:rFonts w:cs="Arial"/>
        </w:rPr>
        <w:t xml:space="preserve"> en atención a que </w:t>
      </w:r>
      <w:r w:rsidR="005969E5" w:rsidRPr="00545310">
        <w:rPr>
          <w:rFonts w:cs="Arial"/>
        </w:rPr>
        <w:t xml:space="preserve">obedecía a </w:t>
      </w:r>
      <w:r w:rsidR="00D81579" w:rsidRPr="00545310">
        <w:rPr>
          <w:rFonts w:cs="Arial"/>
        </w:rPr>
        <w:t>supuestos perjuicios</w:t>
      </w:r>
      <w:r w:rsidR="00635A67" w:rsidRPr="00545310">
        <w:rPr>
          <w:rFonts w:cs="Arial"/>
        </w:rPr>
        <w:t xml:space="preserve"> que no se encontraban </w:t>
      </w:r>
      <w:r w:rsidR="00D81579" w:rsidRPr="00545310">
        <w:rPr>
          <w:rFonts w:cs="Arial"/>
        </w:rPr>
        <w:t>cubiertos por la póliza de seguro</w:t>
      </w:r>
      <w:r w:rsidR="00304C6D" w:rsidRPr="00545310">
        <w:rPr>
          <w:rFonts w:cs="Arial"/>
        </w:rPr>
        <w:t>.</w:t>
      </w:r>
      <w:r w:rsidR="00D81579" w:rsidRPr="00545310">
        <w:rPr>
          <w:rFonts w:cs="Arial"/>
        </w:rPr>
        <w:t xml:space="preserve"> </w:t>
      </w:r>
      <w:r w:rsidR="005D662E" w:rsidRPr="00545310">
        <w:rPr>
          <w:rFonts w:cs="Arial"/>
        </w:rPr>
        <w:t xml:space="preserve">La compañía de seguros reiteró que dichos perjuicios </w:t>
      </w:r>
      <w:r w:rsidR="00721A36" w:rsidRPr="00545310">
        <w:rPr>
          <w:rFonts w:cs="Arial"/>
        </w:rPr>
        <w:t>eran</w:t>
      </w:r>
      <w:r w:rsidR="005D662E" w:rsidRPr="00545310">
        <w:rPr>
          <w:rFonts w:cs="Arial"/>
        </w:rPr>
        <w:t xml:space="preserve"> inciertos y consecuenciales, tal como se lo advirtió a FONADE, al explicar</w:t>
      </w:r>
      <w:r w:rsidR="0067402E" w:rsidRPr="00545310">
        <w:rPr>
          <w:rFonts w:cs="Arial"/>
        </w:rPr>
        <w:t>le</w:t>
      </w:r>
      <w:r w:rsidR="005D662E" w:rsidRPr="00545310">
        <w:rPr>
          <w:rFonts w:cs="Arial"/>
        </w:rPr>
        <w:t xml:space="preserve"> las razones por las cuales no est</w:t>
      </w:r>
      <w:r w:rsidR="0004371D" w:rsidRPr="00545310">
        <w:rPr>
          <w:rFonts w:cs="Arial"/>
        </w:rPr>
        <w:t>aba</w:t>
      </w:r>
      <w:r w:rsidR="005D662E" w:rsidRPr="00545310">
        <w:rPr>
          <w:rFonts w:cs="Arial"/>
        </w:rPr>
        <w:t xml:space="preserve"> obligada a su pago</w:t>
      </w:r>
      <w:r w:rsidR="0067402E" w:rsidRPr="00545310">
        <w:rPr>
          <w:rFonts w:cs="Arial"/>
        </w:rPr>
        <w:t>.</w:t>
      </w:r>
    </w:p>
    <w:p w14:paraId="73BF1587" w14:textId="77777777" w:rsidR="0067402E" w:rsidRPr="00545310" w:rsidRDefault="0067402E" w:rsidP="001627C9">
      <w:pPr>
        <w:pStyle w:val="Lista2"/>
        <w:ind w:left="0" w:firstLine="0"/>
        <w:rPr>
          <w:rFonts w:cs="Arial"/>
        </w:rPr>
      </w:pPr>
    </w:p>
    <w:p w14:paraId="04A9C3AC" w14:textId="77777777" w:rsidR="00CE6083" w:rsidRPr="00545310" w:rsidRDefault="0067402E" w:rsidP="001627C9">
      <w:pPr>
        <w:pStyle w:val="Lista2"/>
        <w:ind w:left="0" w:firstLine="0"/>
        <w:rPr>
          <w:rFonts w:cs="Arial"/>
        </w:rPr>
      </w:pPr>
      <w:r w:rsidRPr="00545310">
        <w:rPr>
          <w:rFonts w:cs="Arial"/>
          <w:b/>
        </w:rPr>
        <w:t>2.9.</w:t>
      </w:r>
      <w:r w:rsidRPr="00545310">
        <w:rPr>
          <w:rFonts w:cs="Arial"/>
        </w:rPr>
        <w:t xml:space="preserve"> Finalmente, CONFIANZA </w:t>
      </w:r>
      <w:r w:rsidR="001A0FF6" w:rsidRPr="00545310">
        <w:rPr>
          <w:rFonts w:cs="Arial"/>
        </w:rPr>
        <w:t xml:space="preserve">advirtió que </w:t>
      </w:r>
      <w:r w:rsidRPr="00545310">
        <w:rPr>
          <w:rFonts w:cs="Arial"/>
        </w:rPr>
        <w:t xml:space="preserve">interpuso </w:t>
      </w:r>
      <w:r w:rsidR="001A0FF6" w:rsidRPr="00545310">
        <w:rPr>
          <w:rFonts w:cs="Arial"/>
        </w:rPr>
        <w:t xml:space="preserve">un nuevo </w:t>
      </w:r>
      <w:r w:rsidRPr="00545310">
        <w:rPr>
          <w:rFonts w:cs="Arial"/>
        </w:rPr>
        <w:t xml:space="preserve">recurso de reposición contra la Resolución 1151 de </w:t>
      </w:r>
      <w:r w:rsidR="00CE6083" w:rsidRPr="00545310">
        <w:rPr>
          <w:rFonts w:cs="Arial"/>
        </w:rPr>
        <w:t xml:space="preserve">8 de septiembre de </w:t>
      </w:r>
      <w:r w:rsidRPr="00545310">
        <w:rPr>
          <w:rFonts w:cs="Arial"/>
        </w:rPr>
        <w:t xml:space="preserve">2011, </w:t>
      </w:r>
      <w:r w:rsidR="001A0FF6" w:rsidRPr="00545310">
        <w:rPr>
          <w:rFonts w:cs="Arial"/>
        </w:rPr>
        <w:t xml:space="preserve">en atención a las nuevas cifras que incorporó ese acto administrativo, </w:t>
      </w:r>
      <w:r w:rsidRPr="00545310">
        <w:rPr>
          <w:rFonts w:cs="Arial"/>
        </w:rPr>
        <w:t>como resultado de</w:t>
      </w:r>
      <w:r w:rsidR="001A0FF6" w:rsidRPr="00545310">
        <w:rPr>
          <w:rFonts w:cs="Arial"/>
        </w:rPr>
        <w:t xml:space="preserve">l cual </w:t>
      </w:r>
      <w:r w:rsidR="00165F35" w:rsidRPr="00545310">
        <w:rPr>
          <w:rFonts w:cs="Arial"/>
        </w:rPr>
        <w:t>FONADE expidió la Resolución 1169 del 14 de noviem</w:t>
      </w:r>
      <w:r w:rsidR="001A0FF6" w:rsidRPr="00545310">
        <w:rPr>
          <w:rFonts w:cs="Arial"/>
        </w:rPr>
        <w:t xml:space="preserve">bre </w:t>
      </w:r>
      <w:r w:rsidR="00165F35" w:rsidRPr="00545310">
        <w:rPr>
          <w:rFonts w:cs="Arial"/>
        </w:rPr>
        <w:t xml:space="preserve">de 2011, mediante la cual modificó la Resolución 1151, pero únicamente en </w:t>
      </w:r>
      <w:r w:rsidR="00CE6083" w:rsidRPr="00545310">
        <w:rPr>
          <w:rFonts w:cs="Arial"/>
        </w:rPr>
        <w:t xml:space="preserve">su artículo octavo, para efectos de indicar que contra </w:t>
      </w:r>
      <w:r w:rsidR="001E1EFA" w:rsidRPr="00545310">
        <w:rPr>
          <w:rFonts w:cs="Arial"/>
        </w:rPr>
        <w:t>esta última Resolución s</w:t>
      </w:r>
      <w:r w:rsidR="00073063" w:rsidRPr="00545310">
        <w:rPr>
          <w:rFonts w:cs="Arial"/>
        </w:rPr>
        <w:t>í</w:t>
      </w:r>
      <w:r w:rsidR="001E1EFA" w:rsidRPr="00545310">
        <w:rPr>
          <w:rFonts w:cs="Arial"/>
        </w:rPr>
        <w:t xml:space="preserve"> </w:t>
      </w:r>
      <w:r w:rsidR="00CE6083" w:rsidRPr="00545310">
        <w:rPr>
          <w:rFonts w:cs="Arial"/>
        </w:rPr>
        <w:t>procedía el recurso de reposición</w:t>
      </w:r>
      <w:r w:rsidR="00721A36" w:rsidRPr="00545310">
        <w:rPr>
          <w:rFonts w:cs="Arial"/>
        </w:rPr>
        <w:t>.</w:t>
      </w:r>
    </w:p>
    <w:p w14:paraId="7FC4590C" w14:textId="77777777" w:rsidR="0067402E" w:rsidRPr="00545310" w:rsidRDefault="0067402E" w:rsidP="001627C9">
      <w:pPr>
        <w:pStyle w:val="Lista2"/>
        <w:ind w:left="0" w:firstLine="0"/>
        <w:rPr>
          <w:rFonts w:cs="Arial"/>
        </w:rPr>
      </w:pPr>
    </w:p>
    <w:p w14:paraId="2A993113" w14:textId="77777777" w:rsidR="003D178D" w:rsidRPr="00545310" w:rsidRDefault="003D178D" w:rsidP="0090169C">
      <w:pPr>
        <w:pStyle w:val="Continuarlista2"/>
        <w:ind w:left="0"/>
        <w:rPr>
          <w:rFonts w:cs="Arial"/>
          <w:b/>
        </w:rPr>
      </w:pPr>
      <w:r w:rsidRPr="00545310">
        <w:rPr>
          <w:rFonts w:cs="Arial"/>
          <w:b/>
        </w:rPr>
        <w:t>3. Concepto de violación</w:t>
      </w:r>
    </w:p>
    <w:p w14:paraId="51FC685D" w14:textId="77777777" w:rsidR="000E2AD6" w:rsidRPr="00545310" w:rsidRDefault="000E2AD6" w:rsidP="0090169C">
      <w:pPr>
        <w:pStyle w:val="Continuarlista2"/>
        <w:ind w:left="0"/>
        <w:rPr>
          <w:rFonts w:cs="Arial"/>
        </w:rPr>
      </w:pPr>
    </w:p>
    <w:p w14:paraId="5B3C960B" w14:textId="77777777" w:rsidR="004B4866" w:rsidRPr="00545310" w:rsidRDefault="000E2AD6" w:rsidP="008D4E6C">
      <w:pPr>
        <w:pStyle w:val="Continuarlista2"/>
        <w:ind w:left="0"/>
        <w:rPr>
          <w:rFonts w:cs="Arial"/>
        </w:rPr>
      </w:pPr>
      <w:r w:rsidRPr="00545310">
        <w:rPr>
          <w:rFonts w:cs="Arial"/>
        </w:rPr>
        <w:t xml:space="preserve">La parte </w:t>
      </w:r>
      <w:r w:rsidR="008B03BA" w:rsidRPr="00545310">
        <w:rPr>
          <w:rFonts w:cs="Arial"/>
        </w:rPr>
        <w:t xml:space="preserve">actora </w:t>
      </w:r>
      <w:r w:rsidRPr="00545310">
        <w:rPr>
          <w:rFonts w:cs="Arial"/>
        </w:rPr>
        <w:t>i</w:t>
      </w:r>
      <w:r w:rsidR="006323F5" w:rsidRPr="00545310">
        <w:rPr>
          <w:rFonts w:cs="Arial"/>
        </w:rPr>
        <w:t xml:space="preserve">nvocó </w:t>
      </w:r>
      <w:r w:rsidR="005D2367" w:rsidRPr="00545310">
        <w:rPr>
          <w:rFonts w:cs="Arial"/>
        </w:rPr>
        <w:t xml:space="preserve">la </w:t>
      </w:r>
      <w:r w:rsidR="00C8558C" w:rsidRPr="00545310">
        <w:rPr>
          <w:rFonts w:cs="Arial"/>
        </w:rPr>
        <w:t>“</w:t>
      </w:r>
      <w:r w:rsidR="005D2367" w:rsidRPr="00545310">
        <w:rPr>
          <w:rFonts w:cs="Arial"/>
          <w:i/>
        </w:rPr>
        <w:t>nulidad por falta de motivación sobre la cuantía de la pérdida</w:t>
      </w:r>
      <w:r w:rsidR="00C8558C" w:rsidRPr="00545310">
        <w:rPr>
          <w:rFonts w:cs="Arial"/>
          <w:i/>
        </w:rPr>
        <w:t>”</w:t>
      </w:r>
      <w:r w:rsidR="00C8558C" w:rsidRPr="00545310">
        <w:rPr>
          <w:rFonts w:cs="Arial"/>
        </w:rPr>
        <w:t>,</w:t>
      </w:r>
      <w:r w:rsidR="005D2367" w:rsidRPr="00545310">
        <w:rPr>
          <w:rFonts w:cs="Arial"/>
        </w:rPr>
        <w:t xml:space="preserve"> con fundamento en la violación de los artículos 29 de la Constitución Política, </w:t>
      </w:r>
      <w:r w:rsidR="00D52D41" w:rsidRPr="00545310">
        <w:rPr>
          <w:rFonts w:cs="Arial"/>
        </w:rPr>
        <w:t>d</w:t>
      </w:r>
      <w:r w:rsidR="005D2367" w:rsidRPr="00545310">
        <w:rPr>
          <w:rFonts w:cs="Arial"/>
        </w:rPr>
        <w:t xml:space="preserve">el artículo 3 del CPACA y </w:t>
      </w:r>
      <w:r w:rsidR="00D52D41" w:rsidRPr="00545310">
        <w:rPr>
          <w:rFonts w:cs="Arial"/>
        </w:rPr>
        <w:t>d</w:t>
      </w:r>
      <w:r w:rsidR="005D2367" w:rsidRPr="00545310">
        <w:rPr>
          <w:rFonts w:cs="Arial"/>
        </w:rPr>
        <w:t xml:space="preserve">el artículo 1077 del </w:t>
      </w:r>
      <w:proofErr w:type="spellStart"/>
      <w:r w:rsidR="005D2367" w:rsidRPr="00545310">
        <w:rPr>
          <w:rFonts w:cs="Arial"/>
        </w:rPr>
        <w:t>C.Co</w:t>
      </w:r>
      <w:proofErr w:type="spellEnd"/>
      <w:r w:rsidR="005D2367" w:rsidRPr="00545310">
        <w:rPr>
          <w:rFonts w:cs="Arial"/>
        </w:rPr>
        <w:t>., de acuerdo con los cuales correspondía a FONADE demostrar la ocurrencia del siniestro</w:t>
      </w:r>
      <w:r w:rsidR="00F80FEA" w:rsidRPr="00545310">
        <w:rPr>
          <w:rFonts w:cs="Arial"/>
        </w:rPr>
        <w:t xml:space="preserve"> y</w:t>
      </w:r>
      <w:r w:rsidR="000969A4" w:rsidRPr="00545310">
        <w:rPr>
          <w:rFonts w:cs="Arial"/>
        </w:rPr>
        <w:t xml:space="preserve"> motivar de manera suficiente el acto administrativo</w:t>
      </w:r>
      <w:r w:rsidR="002E1DE0" w:rsidRPr="00545310">
        <w:rPr>
          <w:rFonts w:cs="Arial"/>
        </w:rPr>
        <w:t xml:space="preserve">. </w:t>
      </w:r>
    </w:p>
    <w:p w14:paraId="3E55112B" w14:textId="77777777" w:rsidR="004B4866" w:rsidRPr="00545310" w:rsidRDefault="004B4866" w:rsidP="008D4E6C">
      <w:pPr>
        <w:pStyle w:val="Continuarlista2"/>
        <w:ind w:left="0"/>
        <w:rPr>
          <w:rFonts w:cs="Arial"/>
        </w:rPr>
      </w:pPr>
    </w:p>
    <w:p w14:paraId="60806B0C" w14:textId="77777777" w:rsidR="00604837" w:rsidRPr="00545310" w:rsidRDefault="002E1DE0" w:rsidP="008D4E6C">
      <w:pPr>
        <w:pStyle w:val="Continuarlista2"/>
        <w:ind w:left="0"/>
        <w:rPr>
          <w:rFonts w:cs="Arial"/>
        </w:rPr>
      </w:pPr>
      <w:r w:rsidRPr="00545310">
        <w:rPr>
          <w:rFonts w:cs="Arial"/>
        </w:rPr>
        <w:t xml:space="preserve">Argumentó </w:t>
      </w:r>
      <w:r w:rsidR="000969A4" w:rsidRPr="00545310">
        <w:rPr>
          <w:rFonts w:cs="Arial"/>
        </w:rPr>
        <w:t xml:space="preserve">que en la Resolución 962 </w:t>
      </w:r>
      <w:r w:rsidR="00F80FEA" w:rsidRPr="00545310">
        <w:rPr>
          <w:rFonts w:cs="Arial"/>
        </w:rPr>
        <w:t xml:space="preserve">esa entidad </w:t>
      </w:r>
      <w:r w:rsidR="000969A4" w:rsidRPr="00545310">
        <w:rPr>
          <w:rFonts w:cs="Arial"/>
        </w:rPr>
        <w:t xml:space="preserve">tasó los perjuicios adicionales a la cláusula penal en la suma de $185’256.987,56 y de </w:t>
      </w:r>
      <w:r w:rsidR="00F56C72" w:rsidRPr="00545310">
        <w:rPr>
          <w:rFonts w:cs="Arial"/>
          <w:i/>
        </w:rPr>
        <w:t>“</w:t>
      </w:r>
      <w:r w:rsidR="000969A4" w:rsidRPr="00545310">
        <w:rPr>
          <w:rFonts w:cs="Arial"/>
          <w:i/>
        </w:rPr>
        <w:t>manera inexplicable</w:t>
      </w:r>
      <w:r w:rsidR="00F56C72" w:rsidRPr="00545310">
        <w:rPr>
          <w:rFonts w:cs="Arial"/>
          <w:i/>
        </w:rPr>
        <w:t>”</w:t>
      </w:r>
      <w:r w:rsidR="000969A4" w:rsidRPr="00545310">
        <w:rPr>
          <w:rFonts w:cs="Arial"/>
        </w:rPr>
        <w:t>, al resolver el recurso de reposición</w:t>
      </w:r>
      <w:r w:rsidR="00721A36" w:rsidRPr="00545310">
        <w:rPr>
          <w:rFonts w:cs="Arial"/>
        </w:rPr>
        <w:t xml:space="preserve">, mediante la </w:t>
      </w:r>
      <w:r w:rsidR="001E1EFA" w:rsidRPr="00545310">
        <w:rPr>
          <w:rFonts w:cs="Arial"/>
        </w:rPr>
        <w:t>R</w:t>
      </w:r>
      <w:r w:rsidR="00721A36" w:rsidRPr="00545310">
        <w:rPr>
          <w:rFonts w:cs="Arial"/>
        </w:rPr>
        <w:t xml:space="preserve">esolución 1151 de 2011, </w:t>
      </w:r>
      <w:r w:rsidR="000969A4" w:rsidRPr="00545310">
        <w:rPr>
          <w:rFonts w:cs="Arial"/>
        </w:rPr>
        <w:t>lo</w:t>
      </w:r>
      <w:r w:rsidR="00F80FEA" w:rsidRPr="00545310">
        <w:rPr>
          <w:rFonts w:cs="Arial"/>
        </w:rPr>
        <w:t>s</w:t>
      </w:r>
      <w:r w:rsidR="00F56C72" w:rsidRPr="00545310">
        <w:rPr>
          <w:rFonts w:cs="Arial"/>
        </w:rPr>
        <w:t xml:space="preserve"> incrementó a la suma de $373’168.864</w:t>
      </w:r>
      <w:r w:rsidR="00604837" w:rsidRPr="00545310">
        <w:rPr>
          <w:rFonts w:cs="Arial"/>
        </w:rPr>
        <w:t xml:space="preserve">. </w:t>
      </w:r>
    </w:p>
    <w:p w14:paraId="39978FB0" w14:textId="77777777" w:rsidR="00CB1001" w:rsidRPr="00545310" w:rsidRDefault="00CB1001" w:rsidP="0090169C">
      <w:pPr>
        <w:pStyle w:val="Lista3"/>
        <w:ind w:left="0" w:firstLine="0"/>
        <w:rPr>
          <w:rFonts w:cs="Arial"/>
        </w:rPr>
      </w:pPr>
    </w:p>
    <w:p w14:paraId="06703519" w14:textId="77777777" w:rsidR="001E0419" w:rsidRPr="00545310" w:rsidRDefault="001E1EFA" w:rsidP="0090169C">
      <w:pPr>
        <w:pStyle w:val="Lista3"/>
        <w:ind w:left="0" w:firstLine="0"/>
        <w:rPr>
          <w:rFonts w:cs="Arial"/>
        </w:rPr>
      </w:pPr>
      <w:r w:rsidRPr="00545310">
        <w:rPr>
          <w:rFonts w:cs="Arial"/>
        </w:rPr>
        <w:t>En su demanda</w:t>
      </w:r>
      <w:r w:rsidR="00213BB0" w:rsidRPr="00545310">
        <w:rPr>
          <w:rFonts w:cs="Arial"/>
        </w:rPr>
        <w:t>,</w:t>
      </w:r>
      <w:r w:rsidRPr="00545310">
        <w:rPr>
          <w:rFonts w:cs="Arial"/>
        </w:rPr>
        <w:t xml:space="preserve"> </w:t>
      </w:r>
      <w:r w:rsidR="00FA20C8" w:rsidRPr="00545310">
        <w:rPr>
          <w:rFonts w:cs="Arial"/>
        </w:rPr>
        <w:t xml:space="preserve">CONFIANZA </w:t>
      </w:r>
      <w:r w:rsidRPr="00545310">
        <w:rPr>
          <w:rFonts w:cs="Arial"/>
        </w:rPr>
        <w:t xml:space="preserve">presentó </w:t>
      </w:r>
      <w:r w:rsidR="00DF424A" w:rsidRPr="00545310">
        <w:rPr>
          <w:rFonts w:cs="Arial"/>
        </w:rPr>
        <w:t xml:space="preserve">un acápite denominado </w:t>
      </w:r>
      <w:r w:rsidR="00FA20C8" w:rsidRPr="00545310">
        <w:rPr>
          <w:rFonts w:cs="Arial"/>
          <w:i/>
        </w:rPr>
        <w:t>“a nadie es lícito crearse su propia prueba”</w:t>
      </w:r>
      <w:r w:rsidR="00DF424A" w:rsidRPr="00545310">
        <w:rPr>
          <w:rFonts w:cs="Arial"/>
          <w:i/>
        </w:rPr>
        <w:t xml:space="preserve">, </w:t>
      </w:r>
      <w:r w:rsidR="00DF424A" w:rsidRPr="00545310">
        <w:rPr>
          <w:rFonts w:cs="Arial"/>
        </w:rPr>
        <w:t xml:space="preserve">en el cual </w:t>
      </w:r>
      <w:r w:rsidR="00CB1001" w:rsidRPr="00545310">
        <w:rPr>
          <w:rFonts w:cs="Arial"/>
        </w:rPr>
        <w:t xml:space="preserve">afirmó </w:t>
      </w:r>
      <w:r w:rsidR="00FA20C8" w:rsidRPr="00545310">
        <w:rPr>
          <w:rFonts w:cs="Arial"/>
        </w:rPr>
        <w:t xml:space="preserve">que </w:t>
      </w:r>
      <w:r w:rsidR="00CB1001" w:rsidRPr="00545310">
        <w:rPr>
          <w:rFonts w:cs="Arial"/>
        </w:rPr>
        <w:t xml:space="preserve">ni el contratista ni </w:t>
      </w:r>
      <w:r w:rsidR="00FA20C8" w:rsidRPr="00545310">
        <w:rPr>
          <w:rFonts w:cs="Arial"/>
        </w:rPr>
        <w:t>esa compañía aseguradora tuv</w:t>
      </w:r>
      <w:r w:rsidR="00CB1001" w:rsidRPr="00545310">
        <w:rPr>
          <w:rFonts w:cs="Arial"/>
        </w:rPr>
        <w:t xml:space="preserve">ieron </w:t>
      </w:r>
      <w:r w:rsidR="00FA20C8" w:rsidRPr="00545310">
        <w:rPr>
          <w:rFonts w:cs="Arial"/>
        </w:rPr>
        <w:t xml:space="preserve">acceso a los estudios </w:t>
      </w:r>
      <w:r w:rsidR="00F80FEA" w:rsidRPr="00545310">
        <w:rPr>
          <w:rFonts w:cs="Arial"/>
        </w:rPr>
        <w:t xml:space="preserve">de precios </w:t>
      </w:r>
      <w:r w:rsidR="00FA20C8" w:rsidRPr="00545310">
        <w:rPr>
          <w:rFonts w:cs="Arial"/>
        </w:rPr>
        <w:t xml:space="preserve">de FONADE, con base en los cuales se </w:t>
      </w:r>
      <w:r w:rsidR="00CB1001" w:rsidRPr="00545310">
        <w:rPr>
          <w:rFonts w:cs="Arial"/>
        </w:rPr>
        <w:t xml:space="preserve">ajustaron </w:t>
      </w:r>
      <w:r w:rsidR="00FA20C8" w:rsidRPr="00545310">
        <w:rPr>
          <w:rFonts w:cs="Arial"/>
        </w:rPr>
        <w:t xml:space="preserve">los </w:t>
      </w:r>
      <w:r w:rsidR="00CB1001" w:rsidRPr="00545310">
        <w:rPr>
          <w:rFonts w:cs="Arial"/>
        </w:rPr>
        <w:t xml:space="preserve">supuestos </w:t>
      </w:r>
      <w:r w:rsidR="00FA20C8" w:rsidRPr="00545310">
        <w:rPr>
          <w:rFonts w:cs="Arial"/>
        </w:rPr>
        <w:t>perjuicios</w:t>
      </w:r>
      <w:r w:rsidR="00C8558C" w:rsidRPr="00545310">
        <w:rPr>
          <w:rFonts w:cs="Arial"/>
        </w:rPr>
        <w:t>. A</w:t>
      </w:r>
      <w:r w:rsidR="001E0419" w:rsidRPr="00545310">
        <w:rPr>
          <w:rFonts w:cs="Arial"/>
        </w:rPr>
        <w:t xml:space="preserve">gregó que </w:t>
      </w:r>
      <w:r w:rsidR="009D19BB" w:rsidRPr="00545310">
        <w:rPr>
          <w:rFonts w:cs="Arial"/>
        </w:rPr>
        <w:t xml:space="preserve">el informe que se utilizó </w:t>
      </w:r>
      <w:r w:rsidR="009D19BB" w:rsidRPr="00545310">
        <w:rPr>
          <w:rFonts w:cs="Arial"/>
        </w:rPr>
        <w:lastRenderedPageBreak/>
        <w:t xml:space="preserve">como </w:t>
      </w:r>
      <w:r w:rsidR="001E0419" w:rsidRPr="00545310">
        <w:rPr>
          <w:rFonts w:cs="Arial"/>
        </w:rPr>
        <w:t xml:space="preserve">prueba </w:t>
      </w:r>
      <w:r w:rsidR="009D19BB" w:rsidRPr="00545310">
        <w:rPr>
          <w:rFonts w:cs="Arial"/>
        </w:rPr>
        <w:t xml:space="preserve">de los perjuicios </w:t>
      </w:r>
      <w:r w:rsidR="001E0419" w:rsidRPr="00545310">
        <w:rPr>
          <w:rFonts w:cs="Arial"/>
        </w:rPr>
        <w:t>no cumplió con los requisitos del artículo 243 del CPC</w:t>
      </w:r>
      <w:r w:rsidR="00CB1001" w:rsidRPr="00545310">
        <w:rPr>
          <w:rStyle w:val="Refdenotaalpie"/>
          <w:rFonts w:cs="Arial"/>
        </w:rPr>
        <w:footnoteReference w:id="4"/>
      </w:r>
      <w:r w:rsidR="00F80FEA" w:rsidRPr="00545310">
        <w:rPr>
          <w:rFonts w:cs="Arial"/>
        </w:rPr>
        <w:t>,</w:t>
      </w:r>
      <w:r w:rsidR="001E0419" w:rsidRPr="00545310">
        <w:rPr>
          <w:rFonts w:cs="Arial"/>
        </w:rPr>
        <w:t xml:space="preserve"> hoy </w:t>
      </w:r>
      <w:r w:rsidR="00F80FEA" w:rsidRPr="00545310">
        <w:rPr>
          <w:rFonts w:cs="Arial"/>
        </w:rPr>
        <w:t xml:space="preserve">del artículo </w:t>
      </w:r>
      <w:r w:rsidR="001E0419" w:rsidRPr="00545310">
        <w:rPr>
          <w:rFonts w:cs="Arial"/>
        </w:rPr>
        <w:t>234 del nuevo código</w:t>
      </w:r>
      <w:r w:rsidR="00CB1001" w:rsidRPr="00545310">
        <w:rPr>
          <w:rStyle w:val="Refdenotaalpie"/>
          <w:rFonts w:cs="Arial"/>
        </w:rPr>
        <w:footnoteReference w:id="5"/>
      </w:r>
      <w:r w:rsidR="001E0419" w:rsidRPr="00545310">
        <w:rPr>
          <w:rFonts w:cs="Arial"/>
        </w:rPr>
        <w:t xml:space="preserve">. </w:t>
      </w:r>
    </w:p>
    <w:p w14:paraId="19B1B19D" w14:textId="77777777" w:rsidR="001E0419" w:rsidRPr="00545310" w:rsidRDefault="001E0419" w:rsidP="0090169C">
      <w:pPr>
        <w:pStyle w:val="Lista3"/>
        <w:ind w:left="0" w:firstLine="0"/>
        <w:rPr>
          <w:rFonts w:cs="Arial"/>
          <w:b/>
        </w:rPr>
      </w:pPr>
    </w:p>
    <w:p w14:paraId="50F789FC" w14:textId="77777777" w:rsidR="00246347" w:rsidRPr="00545310" w:rsidRDefault="00C8558C" w:rsidP="0090169C">
      <w:pPr>
        <w:pStyle w:val="Lista3"/>
        <w:ind w:left="0" w:firstLine="0"/>
        <w:rPr>
          <w:rFonts w:cs="Arial"/>
        </w:rPr>
      </w:pPr>
      <w:r w:rsidRPr="00545310">
        <w:rPr>
          <w:rFonts w:cs="Arial"/>
        </w:rPr>
        <w:t xml:space="preserve">Igualmente, en el concepto de violación, </w:t>
      </w:r>
      <w:r w:rsidR="003A25D3" w:rsidRPr="00545310">
        <w:rPr>
          <w:rFonts w:cs="Arial"/>
        </w:rPr>
        <w:t>CONFIANZA</w:t>
      </w:r>
      <w:r w:rsidRPr="00545310">
        <w:rPr>
          <w:rFonts w:cs="Arial"/>
        </w:rPr>
        <w:t xml:space="preserve"> argumentó la “</w:t>
      </w:r>
      <w:r w:rsidRPr="00545310">
        <w:rPr>
          <w:rFonts w:cs="Arial"/>
          <w:i/>
        </w:rPr>
        <w:t>inexistencia de un daño cierto y concreto”</w:t>
      </w:r>
      <w:r w:rsidRPr="00545310">
        <w:rPr>
          <w:rFonts w:cs="Arial"/>
        </w:rPr>
        <w:t xml:space="preserve"> y </w:t>
      </w:r>
      <w:r w:rsidR="00F80FEA" w:rsidRPr="00545310">
        <w:rPr>
          <w:rFonts w:cs="Arial"/>
        </w:rPr>
        <w:t xml:space="preserve">afirmó </w:t>
      </w:r>
      <w:r w:rsidRPr="00545310">
        <w:rPr>
          <w:rFonts w:cs="Arial"/>
        </w:rPr>
        <w:t>que no existió prueba del daño ni de su cuantía.</w:t>
      </w:r>
      <w:r w:rsidR="00246347" w:rsidRPr="00545310">
        <w:rPr>
          <w:rFonts w:cs="Arial"/>
        </w:rPr>
        <w:t xml:space="preserve"> </w:t>
      </w:r>
    </w:p>
    <w:p w14:paraId="437559FE" w14:textId="77777777" w:rsidR="00246347" w:rsidRPr="00545310" w:rsidRDefault="00246347" w:rsidP="0090169C">
      <w:pPr>
        <w:pStyle w:val="Lista3"/>
        <w:ind w:left="0" w:firstLine="0"/>
        <w:rPr>
          <w:rFonts w:cs="Arial"/>
        </w:rPr>
      </w:pPr>
    </w:p>
    <w:p w14:paraId="080A5020" w14:textId="77777777" w:rsidR="004B4866" w:rsidRPr="00545310" w:rsidRDefault="00487D2C" w:rsidP="0090169C">
      <w:pPr>
        <w:pStyle w:val="Lista3"/>
        <w:ind w:left="0" w:firstLine="0"/>
        <w:rPr>
          <w:rFonts w:cs="Arial"/>
        </w:rPr>
      </w:pPr>
      <w:r w:rsidRPr="00545310">
        <w:rPr>
          <w:rFonts w:cs="Arial"/>
        </w:rPr>
        <w:t>Como consecuencia</w:t>
      </w:r>
      <w:r w:rsidR="003A25D3" w:rsidRPr="00545310">
        <w:rPr>
          <w:rFonts w:cs="Arial"/>
        </w:rPr>
        <w:t xml:space="preserve">, CONFIANZA </w:t>
      </w:r>
      <w:r w:rsidR="00680AF2" w:rsidRPr="00545310">
        <w:rPr>
          <w:rFonts w:cs="Arial"/>
        </w:rPr>
        <w:t xml:space="preserve">reafirmó </w:t>
      </w:r>
      <w:r w:rsidRPr="00545310">
        <w:rPr>
          <w:rFonts w:cs="Arial"/>
        </w:rPr>
        <w:t xml:space="preserve">que </w:t>
      </w:r>
      <w:r w:rsidR="00CE4E74" w:rsidRPr="00545310">
        <w:rPr>
          <w:rFonts w:cs="Arial"/>
        </w:rPr>
        <w:t>mediante los act</w:t>
      </w:r>
      <w:r w:rsidR="00E1601D" w:rsidRPr="00545310">
        <w:rPr>
          <w:rFonts w:cs="Arial"/>
        </w:rPr>
        <w:t>o</w:t>
      </w:r>
      <w:r w:rsidR="00CE4E74" w:rsidRPr="00545310">
        <w:rPr>
          <w:rFonts w:cs="Arial"/>
        </w:rPr>
        <w:t xml:space="preserve">s administrativos cuya nulidad se demandó, FONADE </w:t>
      </w:r>
      <w:r w:rsidR="004B4866" w:rsidRPr="00545310">
        <w:rPr>
          <w:rFonts w:cs="Arial"/>
        </w:rPr>
        <w:t xml:space="preserve">le estaba cobrando </w:t>
      </w:r>
      <w:r w:rsidRPr="00545310">
        <w:rPr>
          <w:rFonts w:cs="Arial"/>
        </w:rPr>
        <w:t>perjuicios no indemnizables, por tratarse de montos inciertos e indirectos</w:t>
      </w:r>
      <w:r w:rsidR="005C0E17" w:rsidRPr="00545310">
        <w:rPr>
          <w:rFonts w:cs="Arial"/>
        </w:rPr>
        <w:t xml:space="preserve">. </w:t>
      </w:r>
    </w:p>
    <w:p w14:paraId="0EB08FDA" w14:textId="77777777" w:rsidR="004B4866" w:rsidRPr="00545310" w:rsidRDefault="004B4866" w:rsidP="0090169C">
      <w:pPr>
        <w:pStyle w:val="Lista3"/>
        <w:ind w:left="0" w:firstLine="0"/>
        <w:rPr>
          <w:rFonts w:cs="Arial"/>
        </w:rPr>
      </w:pPr>
    </w:p>
    <w:p w14:paraId="268B68D3" w14:textId="77777777" w:rsidR="00A50556" w:rsidRPr="00545310" w:rsidRDefault="00A50556" w:rsidP="0090169C">
      <w:pPr>
        <w:pStyle w:val="Lista3"/>
        <w:ind w:left="0" w:firstLine="0"/>
        <w:rPr>
          <w:rFonts w:cs="Arial"/>
        </w:rPr>
      </w:pPr>
      <w:r w:rsidRPr="00545310">
        <w:rPr>
          <w:rFonts w:cs="Arial"/>
        </w:rPr>
        <w:t>Finalmente</w:t>
      </w:r>
      <w:r w:rsidR="00213BB0" w:rsidRPr="00545310">
        <w:rPr>
          <w:rFonts w:cs="Arial"/>
        </w:rPr>
        <w:t>,</w:t>
      </w:r>
      <w:r w:rsidRPr="00545310">
        <w:rPr>
          <w:rFonts w:cs="Arial"/>
        </w:rPr>
        <w:t xml:space="preserve"> </w:t>
      </w:r>
      <w:r w:rsidR="002763FC" w:rsidRPr="00545310">
        <w:rPr>
          <w:rFonts w:cs="Arial"/>
        </w:rPr>
        <w:t xml:space="preserve">observó </w:t>
      </w:r>
      <w:r w:rsidRPr="00545310">
        <w:rPr>
          <w:rFonts w:cs="Arial"/>
        </w:rPr>
        <w:t xml:space="preserve">que al resolver el recurso de reposición FONADE violó el principio de la </w:t>
      </w:r>
      <w:r w:rsidR="00D76285" w:rsidRPr="00545310">
        <w:rPr>
          <w:rFonts w:cs="Arial"/>
        </w:rPr>
        <w:t>“</w:t>
      </w:r>
      <w:r w:rsidR="00213BB0" w:rsidRPr="00545310">
        <w:rPr>
          <w:rFonts w:cs="Arial"/>
        </w:rPr>
        <w:t>n</w:t>
      </w:r>
      <w:r w:rsidR="00D76285" w:rsidRPr="00545310">
        <w:rPr>
          <w:rFonts w:cs="Arial"/>
          <w:i/>
        </w:rPr>
        <w:t>o</w:t>
      </w:r>
      <w:r w:rsidR="00295EB0" w:rsidRPr="00545310">
        <w:rPr>
          <w:rFonts w:cs="Arial"/>
          <w:i/>
        </w:rPr>
        <w:t>n</w:t>
      </w:r>
      <w:r w:rsidR="00D76285" w:rsidRPr="00545310">
        <w:rPr>
          <w:rFonts w:cs="Arial"/>
        </w:rPr>
        <w:t xml:space="preserve"> </w:t>
      </w:r>
      <w:proofErr w:type="spellStart"/>
      <w:r w:rsidRPr="00545310">
        <w:rPr>
          <w:rFonts w:cs="Arial"/>
          <w:i/>
        </w:rPr>
        <w:t>reformatio</w:t>
      </w:r>
      <w:proofErr w:type="spellEnd"/>
      <w:r w:rsidRPr="00545310">
        <w:rPr>
          <w:rFonts w:cs="Arial"/>
          <w:i/>
        </w:rPr>
        <w:t xml:space="preserve"> in </w:t>
      </w:r>
      <w:proofErr w:type="spellStart"/>
      <w:r w:rsidRPr="00545310">
        <w:rPr>
          <w:rFonts w:cs="Arial"/>
          <w:i/>
        </w:rPr>
        <w:t>pejus</w:t>
      </w:r>
      <w:proofErr w:type="spellEnd"/>
      <w:r w:rsidR="00D76285" w:rsidRPr="00545310">
        <w:rPr>
          <w:rFonts w:cs="Arial"/>
          <w:i/>
        </w:rPr>
        <w:t>”</w:t>
      </w:r>
      <w:r w:rsidRPr="00545310">
        <w:rPr>
          <w:rFonts w:cs="Arial"/>
        </w:rPr>
        <w:t xml:space="preserve">, </w:t>
      </w:r>
      <w:r w:rsidR="003A25D3" w:rsidRPr="00545310">
        <w:rPr>
          <w:rFonts w:cs="Arial"/>
        </w:rPr>
        <w:t xml:space="preserve">por </w:t>
      </w:r>
      <w:r w:rsidRPr="00545310">
        <w:rPr>
          <w:rFonts w:cs="Arial"/>
        </w:rPr>
        <w:t>hacer más gravosa la situaci</w:t>
      </w:r>
      <w:r w:rsidR="004A4861" w:rsidRPr="00545310">
        <w:rPr>
          <w:rFonts w:cs="Arial"/>
        </w:rPr>
        <w:t>ó</w:t>
      </w:r>
      <w:r w:rsidRPr="00545310">
        <w:rPr>
          <w:rFonts w:cs="Arial"/>
        </w:rPr>
        <w:t xml:space="preserve">n de la parte recurrente, </w:t>
      </w:r>
      <w:r w:rsidR="004B4866" w:rsidRPr="00545310">
        <w:rPr>
          <w:rFonts w:cs="Arial"/>
        </w:rPr>
        <w:t xml:space="preserve">la cual estaba </w:t>
      </w:r>
      <w:r w:rsidRPr="00545310">
        <w:rPr>
          <w:rFonts w:cs="Arial"/>
        </w:rPr>
        <w:t xml:space="preserve">conformada en </w:t>
      </w:r>
      <w:r w:rsidR="003A25D3" w:rsidRPr="00545310">
        <w:rPr>
          <w:rFonts w:cs="Arial"/>
        </w:rPr>
        <w:t>este</w:t>
      </w:r>
      <w:r w:rsidRPr="00545310">
        <w:rPr>
          <w:rFonts w:cs="Arial"/>
        </w:rPr>
        <w:t xml:space="preserve"> caso por el contratista y la compañía aseguradora. </w:t>
      </w:r>
      <w:r w:rsidR="00FD33F1" w:rsidRPr="00545310">
        <w:rPr>
          <w:rFonts w:cs="Arial"/>
        </w:rPr>
        <w:t>Por ello</w:t>
      </w:r>
      <w:r w:rsidR="00213BB0" w:rsidRPr="00545310">
        <w:rPr>
          <w:rFonts w:cs="Arial"/>
        </w:rPr>
        <w:t>,</w:t>
      </w:r>
      <w:r w:rsidR="00FD33F1" w:rsidRPr="00545310">
        <w:rPr>
          <w:rFonts w:cs="Arial"/>
        </w:rPr>
        <w:t xml:space="preserve"> concluyó que</w:t>
      </w:r>
      <w:r w:rsidR="00213BB0" w:rsidRPr="00545310">
        <w:rPr>
          <w:rFonts w:cs="Arial"/>
        </w:rPr>
        <w:t xml:space="preserve"> </w:t>
      </w:r>
      <w:r w:rsidR="004A4861" w:rsidRPr="00545310">
        <w:rPr>
          <w:rFonts w:cs="Arial"/>
        </w:rPr>
        <w:t>los actos acusados debían ser anulados</w:t>
      </w:r>
      <w:r w:rsidR="00FD33F1" w:rsidRPr="00545310">
        <w:rPr>
          <w:rFonts w:cs="Arial"/>
        </w:rPr>
        <w:t xml:space="preserve">, </w:t>
      </w:r>
      <w:r w:rsidR="002763FC" w:rsidRPr="00545310">
        <w:rPr>
          <w:rFonts w:cs="Arial"/>
        </w:rPr>
        <w:t xml:space="preserve">también. </w:t>
      </w:r>
      <w:r w:rsidR="00FD33F1" w:rsidRPr="00545310">
        <w:rPr>
          <w:rFonts w:cs="Arial"/>
        </w:rPr>
        <w:t>por haber incrementado la afectación del amparo de cumplimiento.</w:t>
      </w:r>
      <w:r w:rsidR="004A4861" w:rsidRPr="00545310">
        <w:rPr>
          <w:rFonts w:cs="Arial"/>
        </w:rPr>
        <w:t xml:space="preserve"> </w:t>
      </w:r>
    </w:p>
    <w:p w14:paraId="4D413D32" w14:textId="77777777" w:rsidR="00667B7C" w:rsidRPr="00545310" w:rsidRDefault="00667B7C" w:rsidP="0090169C">
      <w:pPr>
        <w:pStyle w:val="Lista3"/>
        <w:ind w:left="0" w:firstLine="0"/>
        <w:rPr>
          <w:rFonts w:cs="Arial"/>
        </w:rPr>
      </w:pPr>
    </w:p>
    <w:p w14:paraId="5AD57922" w14:textId="77777777" w:rsidR="00200835" w:rsidRPr="00545310" w:rsidRDefault="00200835" w:rsidP="0090169C">
      <w:pPr>
        <w:pStyle w:val="Lista3"/>
        <w:ind w:left="0" w:firstLine="0"/>
        <w:rPr>
          <w:rFonts w:cs="Arial"/>
          <w:b/>
        </w:rPr>
      </w:pPr>
      <w:r w:rsidRPr="00545310">
        <w:rPr>
          <w:rFonts w:cs="Arial"/>
          <w:b/>
        </w:rPr>
        <w:t>4. Conciliación extrajudicial</w:t>
      </w:r>
    </w:p>
    <w:p w14:paraId="4A95029D" w14:textId="77777777" w:rsidR="00667B7C" w:rsidRPr="00545310" w:rsidRDefault="00667B7C" w:rsidP="0090169C">
      <w:pPr>
        <w:pStyle w:val="Lista3"/>
        <w:ind w:left="0" w:firstLine="0"/>
        <w:rPr>
          <w:rFonts w:cs="Arial"/>
        </w:rPr>
      </w:pPr>
    </w:p>
    <w:p w14:paraId="51922523" w14:textId="77777777" w:rsidR="00667B7C" w:rsidRPr="00545310" w:rsidRDefault="00200835" w:rsidP="0090169C">
      <w:pPr>
        <w:pStyle w:val="Lista3"/>
        <w:ind w:left="0" w:firstLine="0"/>
        <w:rPr>
          <w:rFonts w:cs="Arial"/>
        </w:rPr>
      </w:pPr>
      <w:r w:rsidRPr="00545310">
        <w:rPr>
          <w:rFonts w:cs="Arial"/>
        </w:rPr>
        <w:t xml:space="preserve">La demandante presentó la constancia de las diligencias de </w:t>
      </w:r>
      <w:r w:rsidR="00435AFC" w:rsidRPr="00545310">
        <w:rPr>
          <w:rFonts w:cs="Arial"/>
        </w:rPr>
        <w:t xml:space="preserve">la </w:t>
      </w:r>
      <w:r w:rsidRPr="00545310">
        <w:rPr>
          <w:rFonts w:cs="Arial"/>
        </w:rPr>
        <w:t xml:space="preserve">conciliación extrajudicial, expedida por la </w:t>
      </w:r>
      <w:r w:rsidR="00667B7C" w:rsidRPr="00545310">
        <w:rPr>
          <w:rFonts w:cs="Arial"/>
        </w:rPr>
        <w:t>Procuraduría 159 Judicial II para asuntos administrativos</w:t>
      </w:r>
      <w:r w:rsidR="00435AFC" w:rsidRPr="00545310">
        <w:rPr>
          <w:rFonts w:cs="Arial"/>
        </w:rPr>
        <w:t>, la cual resultó fallida</w:t>
      </w:r>
      <w:r w:rsidR="00435AFC" w:rsidRPr="00545310">
        <w:rPr>
          <w:rStyle w:val="Refdenotaalpie"/>
          <w:rFonts w:cs="Arial"/>
        </w:rPr>
        <w:footnoteReference w:id="6"/>
      </w:r>
      <w:r w:rsidR="00667B7C" w:rsidRPr="00545310">
        <w:rPr>
          <w:rFonts w:cs="Arial"/>
        </w:rPr>
        <w:t>.</w:t>
      </w:r>
    </w:p>
    <w:p w14:paraId="6EA7A354" w14:textId="77777777" w:rsidR="00997DC4" w:rsidRPr="00545310" w:rsidRDefault="00997DC4" w:rsidP="0090169C">
      <w:pPr>
        <w:pStyle w:val="Lista3"/>
        <w:ind w:left="0" w:firstLine="0"/>
        <w:rPr>
          <w:rFonts w:cs="Arial"/>
        </w:rPr>
      </w:pPr>
    </w:p>
    <w:p w14:paraId="3031B1C5" w14:textId="77777777" w:rsidR="00076569" w:rsidRPr="00545310" w:rsidRDefault="00076569" w:rsidP="0090169C">
      <w:pPr>
        <w:pStyle w:val="Lista3"/>
        <w:ind w:left="0" w:firstLine="0"/>
        <w:rPr>
          <w:rFonts w:cs="Arial"/>
          <w:b/>
        </w:rPr>
      </w:pPr>
    </w:p>
    <w:p w14:paraId="7D7DADE7" w14:textId="77777777" w:rsidR="00076569" w:rsidRPr="00545310" w:rsidRDefault="00076569" w:rsidP="0090169C">
      <w:pPr>
        <w:pStyle w:val="Lista3"/>
        <w:ind w:left="0" w:firstLine="0"/>
        <w:rPr>
          <w:rFonts w:cs="Arial"/>
          <w:b/>
        </w:rPr>
      </w:pPr>
    </w:p>
    <w:p w14:paraId="598560DE" w14:textId="77777777" w:rsidR="00076569" w:rsidRPr="00545310" w:rsidRDefault="00076569" w:rsidP="0090169C">
      <w:pPr>
        <w:pStyle w:val="Lista3"/>
        <w:ind w:left="0" w:firstLine="0"/>
        <w:rPr>
          <w:rFonts w:cs="Arial"/>
          <w:b/>
        </w:rPr>
      </w:pPr>
    </w:p>
    <w:p w14:paraId="6CE1F87E" w14:textId="77777777" w:rsidR="00076569" w:rsidRPr="00545310" w:rsidRDefault="00076569" w:rsidP="0090169C">
      <w:pPr>
        <w:pStyle w:val="Lista3"/>
        <w:ind w:left="0" w:firstLine="0"/>
        <w:rPr>
          <w:rFonts w:cs="Arial"/>
          <w:b/>
        </w:rPr>
      </w:pPr>
    </w:p>
    <w:p w14:paraId="3406DD6E" w14:textId="77777777" w:rsidR="00F21484" w:rsidRPr="00545310" w:rsidRDefault="00435AFC" w:rsidP="0090169C">
      <w:pPr>
        <w:pStyle w:val="Lista3"/>
        <w:ind w:left="0" w:firstLine="0"/>
        <w:rPr>
          <w:rFonts w:cs="Arial"/>
          <w:b/>
        </w:rPr>
      </w:pPr>
      <w:r w:rsidRPr="00545310">
        <w:rPr>
          <w:rFonts w:cs="Arial"/>
          <w:b/>
        </w:rPr>
        <w:t>5</w:t>
      </w:r>
      <w:r w:rsidR="00F21484" w:rsidRPr="00545310">
        <w:rPr>
          <w:rFonts w:cs="Arial"/>
          <w:b/>
        </w:rPr>
        <w:t>.</w:t>
      </w:r>
      <w:r w:rsidR="00CE2A56" w:rsidRPr="00545310">
        <w:rPr>
          <w:rFonts w:cs="Arial"/>
          <w:b/>
        </w:rPr>
        <w:t xml:space="preserve"> </w:t>
      </w:r>
      <w:r w:rsidR="00F21484" w:rsidRPr="00545310">
        <w:rPr>
          <w:rFonts w:cs="Arial"/>
          <w:b/>
        </w:rPr>
        <w:t>Actuación procesal</w:t>
      </w:r>
    </w:p>
    <w:p w14:paraId="06698EEB" w14:textId="77777777" w:rsidR="00F21484" w:rsidRPr="00545310" w:rsidRDefault="00F21484" w:rsidP="0090169C">
      <w:pPr>
        <w:rPr>
          <w:rFonts w:cs="Arial"/>
          <w:bCs/>
          <w:iCs/>
        </w:rPr>
      </w:pPr>
    </w:p>
    <w:p w14:paraId="1A9C8B90" w14:textId="77777777" w:rsidR="00861153" w:rsidRPr="00545310" w:rsidRDefault="00435AFC" w:rsidP="00CB0A90">
      <w:pPr>
        <w:pStyle w:val="Lista4"/>
        <w:ind w:left="0" w:firstLine="0"/>
        <w:rPr>
          <w:rFonts w:cs="Arial"/>
        </w:rPr>
      </w:pPr>
      <w:r w:rsidRPr="00545310">
        <w:rPr>
          <w:rFonts w:cs="Arial"/>
          <w:b/>
        </w:rPr>
        <w:lastRenderedPageBreak/>
        <w:t>5</w:t>
      </w:r>
      <w:r w:rsidR="00265D85" w:rsidRPr="00545310">
        <w:rPr>
          <w:rFonts w:cs="Arial"/>
          <w:b/>
        </w:rPr>
        <w:t>.1.</w:t>
      </w:r>
      <w:r w:rsidR="00CE2A56" w:rsidRPr="00545310">
        <w:rPr>
          <w:rFonts w:cs="Arial"/>
          <w:b/>
        </w:rPr>
        <w:t xml:space="preserve"> </w:t>
      </w:r>
      <w:r w:rsidR="00CB48ED" w:rsidRPr="00545310">
        <w:rPr>
          <w:rFonts w:cs="Arial"/>
        </w:rPr>
        <w:t xml:space="preserve">La </w:t>
      </w:r>
      <w:r w:rsidR="00FD3133" w:rsidRPr="00545310">
        <w:rPr>
          <w:rFonts w:cs="Arial"/>
        </w:rPr>
        <w:t>demanda fue admitida el 22 de febrero de 2013</w:t>
      </w:r>
      <w:r w:rsidR="00FD3133" w:rsidRPr="00545310">
        <w:rPr>
          <w:rStyle w:val="Refdenotaalpie"/>
          <w:rFonts w:cs="Arial"/>
        </w:rPr>
        <w:footnoteReference w:id="7"/>
      </w:r>
      <w:r w:rsidR="00FD3133" w:rsidRPr="00545310">
        <w:rPr>
          <w:rFonts w:cs="Arial"/>
        </w:rPr>
        <w:t xml:space="preserve">; la  </w:t>
      </w:r>
      <w:r w:rsidR="00CB48ED" w:rsidRPr="00545310">
        <w:rPr>
          <w:rFonts w:cs="Arial"/>
        </w:rPr>
        <w:t>audiencia inicial se llevó a cabo el 16 de enero de 2014</w:t>
      </w:r>
      <w:r w:rsidR="00CB48ED" w:rsidRPr="00545310">
        <w:rPr>
          <w:rStyle w:val="Refdenotaalpie"/>
          <w:rFonts w:cs="Arial"/>
        </w:rPr>
        <w:footnoteReference w:id="8"/>
      </w:r>
      <w:r w:rsidR="00CB48ED" w:rsidRPr="00545310">
        <w:rPr>
          <w:rFonts w:cs="Arial"/>
        </w:rPr>
        <w:t xml:space="preserve">; </w:t>
      </w:r>
      <w:r w:rsidR="00CA44F6" w:rsidRPr="00545310">
        <w:rPr>
          <w:rFonts w:cs="Arial"/>
        </w:rPr>
        <w:t>la audiencia de pruebas se adelantó el 18 de marzo y el 8 de abril de 2014</w:t>
      </w:r>
      <w:r w:rsidR="00CA44F6" w:rsidRPr="00545310">
        <w:rPr>
          <w:rStyle w:val="Refdenotaalpie"/>
          <w:rFonts w:cs="Arial"/>
        </w:rPr>
        <w:footnoteReference w:id="9"/>
      </w:r>
      <w:r w:rsidR="00861153" w:rsidRPr="00545310">
        <w:rPr>
          <w:rFonts w:cs="Arial"/>
        </w:rPr>
        <w:t>.</w:t>
      </w:r>
    </w:p>
    <w:p w14:paraId="02A2E404" w14:textId="77777777" w:rsidR="00CB0A90" w:rsidRPr="00545310" w:rsidRDefault="00CB0A90" w:rsidP="00CB0A90">
      <w:pPr>
        <w:pStyle w:val="Lista4"/>
        <w:ind w:left="0" w:firstLine="0"/>
        <w:rPr>
          <w:rFonts w:cs="Arial"/>
          <w:b/>
          <w:bCs/>
          <w:iCs/>
        </w:rPr>
      </w:pPr>
    </w:p>
    <w:p w14:paraId="3E12129E" w14:textId="77777777" w:rsidR="00CD13E3" w:rsidRPr="00545310" w:rsidRDefault="00435AFC" w:rsidP="00CD13E3">
      <w:pPr>
        <w:pStyle w:val="Continuarlista2"/>
        <w:ind w:left="0"/>
        <w:rPr>
          <w:rFonts w:cs="Arial"/>
        </w:rPr>
      </w:pPr>
      <w:r w:rsidRPr="00545310">
        <w:rPr>
          <w:rFonts w:cs="Arial"/>
          <w:b/>
          <w:bCs/>
          <w:iCs/>
        </w:rPr>
        <w:t>5</w:t>
      </w:r>
      <w:r w:rsidR="003E4910" w:rsidRPr="00545310">
        <w:rPr>
          <w:rFonts w:cs="Arial"/>
          <w:b/>
          <w:bCs/>
          <w:iCs/>
        </w:rPr>
        <w:t>.</w:t>
      </w:r>
      <w:r w:rsidR="00A86BF5" w:rsidRPr="00545310">
        <w:rPr>
          <w:rFonts w:cs="Arial"/>
          <w:b/>
          <w:bCs/>
          <w:iCs/>
        </w:rPr>
        <w:t>2</w:t>
      </w:r>
      <w:r w:rsidR="003E4910" w:rsidRPr="00545310">
        <w:rPr>
          <w:rFonts w:cs="Arial"/>
          <w:b/>
          <w:bCs/>
          <w:iCs/>
        </w:rPr>
        <w:t>.</w:t>
      </w:r>
      <w:r w:rsidR="006144E0" w:rsidRPr="00545310">
        <w:rPr>
          <w:rFonts w:cs="Arial"/>
          <w:b/>
          <w:bCs/>
          <w:iCs/>
        </w:rPr>
        <w:t xml:space="preserve"> </w:t>
      </w:r>
      <w:r w:rsidR="00861153" w:rsidRPr="00545310">
        <w:rPr>
          <w:rFonts w:cs="Arial"/>
          <w:bCs/>
          <w:iCs/>
        </w:rPr>
        <w:t>De conformidad con el auto de 2 de septiembre de 2013, se design</w:t>
      </w:r>
      <w:r w:rsidR="00304A98" w:rsidRPr="00545310">
        <w:rPr>
          <w:rFonts w:cs="Arial"/>
          <w:bCs/>
          <w:iCs/>
        </w:rPr>
        <w:t>ó</w:t>
      </w:r>
      <w:r w:rsidR="00861153" w:rsidRPr="00545310">
        <w:rPr>
          <w:rFonts w:cs="Arial"/>
          <w:bCs/>
          <w:iCs/>
        </w:rPr>
        <w:t xml:space="preserve"> </w:t>
      </w:r>
      <w:r w:rsidR="00861153" w:rsidRPr="00545310">
        <w:rPr>
          <w:rFonts w:cs="Arial"/>
          <w:bCs/>
          <w:i/>
          <w:iCs/>
        </w:rPr>
        <w:t>curador a</w:t>
      </w:r>
      <w:r w:rsidR="009547EC" w:rsidRPr="00545310">
        <w:rPr>
          <w:rFonts w:cs="Arial"/>
          <w:bCs/>
          <w:i/>
          <w:iCs/>
        </w:rPr>
        <w:t>d</w:t>
      </w:r>
      <w:r w:rsidR="00861153" w:rsidRPr="00545310">
        <w:rPr>
          <w:rFonts w:cs="Arial"/>
          <w:bCs/>
          <w:i/>
          <w:iCs/>
        </w:rPr>
        <w:t xml:space="preserve"> </w:t>
      </w:r>
      <w:proofErr w:type="spellStart"/>
      <w:r w:rsidR="00861153" w:rsidRPr="00545310">
        <w:rPr>
          <w:rFonts w:cs="Arial"/>
          <w:bCs/>
          <w:i/>
          <w:iCs/>
        </w:rPr>
        <w:t>litem</w:t>
      </w:r>
      <w:proofErr w:type="spellEnd"/>
      <w:r w:rsidR="00861153" w:rsidRPr="00545310">
        <w:rPr>
          <w:rFonts w:cs="Arial"/>
          <w:bCs/>
          <w:iCs/>
        </w:rPr>
        <w:t xml:space="preserve"> para representar a Constru</w:t>
      </w:r>
      <w:r w:rsidR="00CD13E3" w:rsidRPr="00545310">
        <w:rPr>
          <w:rFonts w:cs="Arial"/>
          <w:bCs/>
          <w:iCs/>
        </w:rPr>
        <w:t>c</w:t>
      </w:r>
      <w:r w:rsidR="00861153" w:rsidRPr="00545310">
        <w:rPr>
          <w:rFonts w:cs="Arial"/>
          <w:bCs/>
          <w:iCs/>
        </w:rPr>
        <w:t xml:space="preserve">ciones </w:t>
      </w:r>
      <w:r w:rsidR="00304A98" w:rsidRPr="00545310">
        <w:rPr>
          <w:rFonts w:cs="Arial"/>
          <w:bCs/>
          <w:iCs/>
        </w:rPr>
        <w:t>André S.A.S.</w:t>
      </w:r>
      <w:r w:rsidR="00FD33F1" w:rsidRPr="00545310">
        <w:rPr>
          <w:rFonts w:cs="Arial"/>
          <w:bCs/>
          <w:iCs/>
        </w:rPr>
        <w:t>, contratista de la obra a la que se le declaró la caducidad del contrato</w:t>
      </w:r>
      <w:r w:rsidR="0057599A" w:rsidRPr="00545310">
        <w:rPr>
          <w:rFonts w:cs="Arial"/>
          <w:bCs/>
          <w:iCs/>
        </w:rPr>
        <w:t>.</w:t>
      </w:r>
      <w:r w:rsidR="00304A98" w:rsidRPr="00545310">
        <w:rPr>
          <w:rFonts w:cs="Arial"/>
          <w:bCs/>
          <w:iCs/>
        </w:rPr>
        <w:t xml:space="preserve"> </w:t>
      </w:r>
      <w:r w:rsidR="009547EC" w:rsidRPr="00545310">
        <w:rPr>
          <w:rFonts w:cs="Arial"/>
          <w:bCs/>
          <w:iCs/>
        </w:rPr>
        <w:t xml:space="preserve">Dicho </w:t>
      </w:r>
      <w:r w:rsidR="00CD13E3" w:rsidRPr="00545310">
        <w:rPr>
          <w:rFonts w:cs="Arial"/>
        </w:rPr>
        <w:t>curador</w:t>
      </w:r>
      <w:r w:rsidR="009547EC" w:rsidRPr="00545310">
        <w:rPr>
          <w:rFonts w:cs="Arial"/>
        </w:rPr>
        <w:t xml:space="preserve"> intervino en el proceso</w:t>
      </w:r>
      <w:r w:rsidR="007F676B" w:rsidRPr="00545310">
        <w:rPr>
          <w:rFonts w:cs="Arial"/>
        </w:rPr>
        <w:t xml:space="preserve"> mediante escrito en el cual</w:t>
      </w:r>
      <w:r w:rsidR="009547EC" w:rsidRPr="00545310">
        <w:rPr>
          <w:rFonts w:cs="Arial"/>
        </w:rPr>
        <w:t xml:space="preserve"> a</w:t>
      </w:r>
      <w:r w:rsidR="00CD13E3" w:rsidRPr="00545310">
        <w:rPr>
          <w:rFonts w:cs="Arial"/>
        </w:rPr>
        <w:t>firmó aquellos hechos narrados por la compañía de seguros que encontró soportado</w:t>
      </w:r>
      <w:r w:rsidR="007F676B" w:rsidRPr="00545310">
        <w:rPr>
          <w:rFonts w:cs="Arial"/>
        </w:rPr>
        <w:t>s</w:t>
      </w:r>
      <w:r w:rsidR="00CD13E3" w:rsidRPr="00545310">
        <w:rPr>
          <w:rFonts w:cs="Arial"/>
        </w:rPr>
        <w:t xml:space="preserve"> con las pruebas documentales y manifestó que</w:t>
      </w:r>
      <w:r w:rsidR="00213BB0" w:rsidRPr="00545310">
        <w:rPr>
          <w:rFonts w:cs="Arial"/>
        </w:rPr>
        <w:t>,</w:t>
      </w:r>
      <w:r w:rsidR="00CD13E3" w:rsidRPr="00545310">
        <w:rPr>
          <w:rFonts w:cs="Arial"/>
        </w:rPr>
        <w:t xml:space="preserve"> respecto de las pretensiones, se atenía a lo que llegara a decidirse con arreglo a los fundamentos de hecho y de derecho. </w:t>
      </w:r>
    </w:p>
    <w:p w14:paraId="566114D6" w14:textId="77777777" w:rsidR="00CA48EA" w:rsidRPr="00545310" w:rsidRDefault="00CA48EA" w:rsidP="0090169C">
      <w:pPr>
        <w:pStyle w:val="Lista2"/>
        <w:ind w:left="0" w:firstLine="0"/>
        <w:rPr>
          <w:rFonts w:cs="Arial"/>
          <w:b/>
        </w:rPr>
      </w:pPr>
    </w:p>
    <w:p w14:paraId="656933A0" w14:textId="77777777" w:rsidR="00F21484" w:rsidRPr="00545310" w:rsidRDefault="00FD3133" w:rsidP="0090169C">
      <w:pPr>
        <w:pStyle w:val="Lista2"/>
        <w:ind w:left="0" w:firstLine="0"/>
        <w:rPr>
          <w:rFonts w:cs="Arial"/>
          <w:b/>
        </w:rPr>
      </w:pPr>
      <w:r w:rsidRPr="00545310">
        <w:rPr>
          <w:rFonts w:cs="Arial"/>
          <w:b/>
        </w:rPr>
        <w:t>5</w:t>
      </w:r>
      <w:r w:rsidR="0009687C" w:rsidRPr="00545310">
        <w:rPr>
          <w:rFonts w:cs="Arial"/>
          <w:b/>
        </w:rPr>
        <w:t>.</w:t>
      </w:r>
      <w:r w:rsidRPr="00545310">
        <w:rPr>
          <w:rFonts w:cs="Arial"/>
          <w:b/>
        </w:rPr>
        <w:t>3</w:t>
      </w:r>
      <w:r w:rsidR="0009687C" w:rsidRPr="00545310">
        <w:rPr>
          <w:rFonts w:cs="Arial"/>
          <w:b/>
        </w:rPr>
        <w:t>.</w:t>
      </w:r>
      <w:r w:rsidR="006144E0" w:rsidRPr="00545310">
        <w:rPr>
          <w:rFonts w:cs="Arial"/>
          <w:b/>
        </w:rPr>
        <w:t xml:space="preserve"> </w:t>
      </w:r>
      <w:r w:rsidR="00F21484" w:rsidRPr="00545310">
        <w:rPr>
          <w:rFonts w:cs="Arial"/>
          <w:b/>
        </w:rPr>
        <w:t>Contestación de la demanda</w:t>
      </w:r>
    </w:p>
    <w:p w14:paraId="0FEE71D2" w14:textId="77777777" w:rsidR="00F21484" w:rsidRPr="00545310" w:rsidRDefault="00F21484" w:rsidP="00F21484">
      <w:pPr>
        <w:rPr>
          <w:rFonts w:cs="Arial"/>
          <w:b/>
          <w:bCs/>
          <w:iCs/>
        </w:rPr>
      </w:pPr>
    </w:p>
    <w:p w14:paraId="49913FF5" w14:textId="77777777" w:rsidR="00AE5748" w:rsidRPr="00545310" w:rsidRDefault="00CD13E3" w:rsidP="0090169C">
      <w:pPr>
        <w:pStyle w:val="Continuarlista2"/>
        <w:ind w:left="0"/>
        <w:rPr>
          <w:rFonts w:cs="Arial"/>
        </w:rPr>
      </w:pPr>
      <w:r w:rsidRPr="00545310">
        <w:rPr>
          <w:rFonts w:cs="Arial"/>
        </w:rPr>
        <w:t>FONADE</w:t>
      </w:r>
      <w:r w:rsidR="007F676B" w:rsidRPr="00545310">
        <w:rPr>
          <w:rFonts w:cs="Arial"/>
        </w:rPr>
        <w:t xml:space="preserve">, en calidad de parte demandada, </w:t>
      </w:r>
      <w:r w:rsidRPr="00545310">
        <w:rPr>
          <w:rFonts w:cs="Arial"/>
        </w:rPr>
        <w:t>se opuso a las pretensiones de la demanda</w:t>
      </w:r>
      <w:r w:rsidR="001C1DBB" w:rsidRPr="00545310">
        <w:rPr>
          <w:rFonts w:cs="Arial"/>
        </w:rPr>
        <w:t>. En cuanto a los hechos</w:t>
      </w:r>
      <w:r w:rsidR="00213BB0" w:rsidRPr="00545310">
        <w:rPr>
          <w:rFonts w:cs="Arial"/>
        </w:rPr>
        <w:t>,</w:t>
      </w:r>
      <w:r w:rsidR="001C1DBB" w:rsidRPr="00545310">
        <w:rPr>
          <w:rFonts w:cs="Arial"/>
        </w:rPr>
        <w:t xml:space="preserve"> explicó que celebró un convenio interadministrativo con el Ministerio de Educación, en virtud del cual adelantó la gerencia integral de proyectos No. 197013, </w:t>
      </w:r>
      <w:r w:rsidR="00AE5748" w:rsidRPr="00545310">
        <w:rPr>
          <w:rFonts w:cs="Arial"/>
        </w:rPr>
        <w:t xml:space="preserve">destinada a la construcción y dotación de nueva infraestructura educativa. </w:t>
      </w:r>
      <w:r w:rsidR="002305A8" w:rsidRPr="00545310">
        <w:rPr>
          <w:rFonts w:cs="Arial"/>
        </w:rPr>
        <w:t xml:space="preserve">Agregó </w:t>
      </w:r>
      <w:r w:rsidR="007F676B" w:rsidRPr="00545310">
        <w:rPr>
          <w:rFonts w:cs="Arial"/>
        </w:rPr>
        <w:t>que e</w:t>
      </w:r>
      <w:r w:rsidR="00AE5748" w:rsidRPr="00545310">
        <w:rPr>
          <w:rFonts w:cs="Arial"/>
        </w:rPr>
        <w:t xml:space="preserve">n desarrollo de ese convenio </w:t>
      </w:r>
      <w:r w:rsidR="00CA48EA" w:rsidRPr="00545310">
        <w:rPr>
          <w:rFonts w:cs="Arial"/>
        </w:rPr>
        <w:t xml:space="preserve">interadministrativo </w:t>
      </w:r>
      <w:r w:rsidR="00AE5748" w:rsidRPr="00545310">
        <w:rPr>
          <w:rFonts w:cs="Arial"/>
        </w:rPr>
        <w:t>adelantó un procedimiento de selección del contratista para la ejecución de la infraestructura educativa en R</w:t>
      </w:r>
      <w:r w:rsidR="007342C9" w:rsidRPr="00545310">
        <w:rPr>
          <w:rFonts w:cs="Arial"/>
        </w:rPr>
        <w:t>ío</w:t>
      </w:r>
      <w:r w:rsidR="00AE5748" w:rsidRPr="00545310">
        <w:rPr>
          <w:rFonts w:cs="Arial"/>
        </w:rPr>
        <w:t xml:space="preserve"> Fr</w:t>
      </w:r>
      <w:r w:rsidR="00213BB0" w:rsidRPr="00545310">
        <w:rPr>
          <w:rFonts w:cs="Arial"/>
        </w:rPr>
        <w:t>í</w:t>
      </w:r>
      <w:r w:rsidR="00AE5748" w:rsidRPr="00545310">
        <w:rPr>
          <w:rFonts w:cs="Arial"/>
        </w:rPr>
        <w:t>o, Floridablanca – Santander</w:t>
      </w:r>
      <w:r w:rsidR="007F676B" w:rsidRPr="00545310">
        <w:rPr>
          <w:rFonts w:cs="Arial"/>
        </w:rPr>
        <w:t xml:space="preserve"> y celebró el contrato </w:t>
      </w:r>
      <w:r w:rsidR="002579A4" w:rsidRPr="00545310">
        <w:rPr>
          <w:rFonts w:cs="Arial"/>
        </w:rPr>
        <w:t xml:space="preserve">correspondiente, </w:t>
      </w:r>
      <w:r w:rsidR="007F676B" w:rsidRPr="00545310">
        <w:rPr>
          <w:rFonts w:cs="Arial"/>
        </w:rPr>
        <w:t>cuyo cumplimiento fue garantizado por la compañía aseguradora, ahora demandante.</w:t>
      </w:r>
      <w:r w:rsidR="00AE5748" w:rsidRPr="00545310">
        <w:rPr>
          <w:rFonts w:cs="Arial"/>
        </w:rPr>
        <w:t xml:space="preserve"> </w:t>
      </w:r>
    </w:p>
    <w:p w14:paraId="644F7C75" w14:textId="77777777" w:rsidR="007342C9" w:rsidRPr="00545310" w:rsidRDefault="007342C9" w:rsidP="0090169C">
      <w:pPr>
        <w:pStyle w:val="Continuarlista2"/>
        <w:ind w:left="0"/>
        <w:rPr>
          <w:rFonts w:cs="Arial"/>
        </w:rPr>
      </w:pPr>
    </w:p>
    <w:p w14:paraId="58668844" w14:textId="77777777" w:rsidR="00B01C42" w:rsidRPr="00545310" w:rsidRDefault="007342C9" w:rsidP="0090169C">
      <w:pPr>
        <w:pStyle w:val="Continuarlista2"/>
        <w:ind w:left="0"/>
        <w:rPr>
          <w:rFonts w:cs="Arial"/>
        </w:rPr>
      </w:pPr>
      <w:r w:rsidRPr="00545310">
        <w:rPr>
          <w:rFonts w:cs="Arial"/>
        </w:rPr>
        <w:t>Dentro de ese contexto</w:t>
      </w:r>
      <w:r w:rsidR="00B155F4" w:rsidRPr="00545310">
        <w:rPr>
          <w:rFonts w:cs="Arial"/>
        </w:rPr>
        <w:t>, la demandada indicó</w:t>
      </w:r>
      <w:r w:rsidRPr="00545310">
        <w:rPr>
          <w:rFonts w:cs="Arial"/>
        </w:rPr>
        <w:t xml:space="preserve"> que el incumplimiento de Construcciones André S.A.S. no eximió a FONADE de adelantar el proyecto respectivo, razón por la cual</w:t>
      </w:r>
      <w:r w:rsidR="002579A4" w:rsidRPr="00545310">
        <w:rPr>
          <w:rFonts w:cs="Arial"/>
        </w:rPr>
        <w:t>, decretada la caducidad</w:t>
      </w:r>
      <w:r w:rsidRPr="00545310">
        <w:rPr>
          <w:rFonts w:cs="Arial"/>
        </w:rPr>
        <w:t xml:space="preserve"> </w:t>
      </w:r>
      <w:r w:rsidR="002579A4" w:rsidRPr="00545310">
        <w:rPr>
          <w:rFonts w:cs="Arial"/>
        </w:rPr>
        <w:t>del contrato, por el incumplimiento de</w:t>
      </w:r>
      <w:r w:rsidR="0057599A" w:rsidRPr="00545310">
        <w:rPr>
          <w:rFonts w:cs="Arial"/>
        </w:rPr>
        <w:t xml:space="preserve"> la</w:t>
      </w:r>
      <w:r w:rsidR="002579A4" w:rsidRPr="00545310">
        <w:rPr>
          <w:rFonts w:cs="Arial"/>
        </w:rPr>
        <w:t xml:space="preserve"> contratista, </w:t>
      </w:r>
      <w:r w:rsidR="0057599A" w:rsidRPr="00545310">
        <w:rPr>
          <w:rFonts w:cs="Arial"/>
        </w:rPr>
        <w:t xml:space="preserve">FONADE </w:t>
      </w:r>
      <w:r w:rsidR="002579A4" w:rsidRPr="00545310">
        <w:rPr>
          <w:rFonts w:cs="Arial"/>
        </w:rPr>
        <w:t xml:space="preserve">se </w:t>
      </w:r>
      <w:r w:rsidR="0057599A" w:rsidRPr="00545310">
        <w:rPr>
          <w:rFonts w:cs="Arial"/>
        </w:rPr>
        <w:t>encontró</w:t>
      </w:r>
      <w:r w:rsidR="002579A4" w:rsidRPr="00545310">
        <w:rPr>
          <w:rFonts w:cs="Arial"/>
        </w:rPr>
        <w:t xml:space="preserve"> obligada a </w:t>
      </w:r>
      <w:r w:rsidRPr="00545310">
        <w:rPr>
          <w:rFonts w:cs="Arial"/>
        </w:rPr>
        <w:t>re</w:t>
      </w:r>
      <w:r w:rsidR="00E1601D" w:rsidRPr="00545310">
        <w:rPr>
          <w:rFonts w:cs="Arial"/>
        </w:rPr>
        <w:t xml:space="preserve">alizar un nuevo </w:t>
      </w:r>
      <w:r w:rsidRPr="00545310">
        <w:rPr>
          <w:rFonts w:cs="Arial"/>
        </w:rPr>
        <w:t xml:space="preserve">procedimiento de contratación para </w:t>
      </w:r>
      <w:r w:rsidR="000A71B9" w:rsidRPr="00545310">
        <w:rPr>
          <w:rFonts w:cs="Arial"/>
        </w:rPr>
        <w:t xml:space="preserve">completar </w:t>
      </w:r>
      <w:r w:rsidRPr="00545310">
        <w:rPr>
          <w:rFonts w:cs="Arial"/>
        </w:rPr>
        <w:t xml:space="preserve">la obra faltante. </w:t>
      </w:r>
    </w:p>
    <w:p w14:paraId="70868AE4" w14:textId="77777777" w:rsidR="00B01C42" w:rsidRPr="00545310" w:rsidRDefault="00B01C42" w:rsidP="0090169C">
      <w:pPr>
        <w:pStyle w:val="Continuarlista2"/>
        <w:ind w:left="0"/>
        <w:rPr>
          <w:rFonts w:cs="Arial"/>
        </w:rPr>
      </w:pPr>
    </w:p>
    <w:p w14:paraId="748B4622" w14:textId="77777777" w:rsidR="00A73852" w:rsidRPr="00545310" w:rsidRDefault="000013BC" w:rsidP="0090169C">
      <w:pPr>
        <w:pStyle w:val="Continuarlista2"/>
        <w:ind w:left="0"/>
        <w:rPr>
          <w:rFonts w:cs="Arial"/>
        </w:rPr>
      </w:pPr>
      <w:r w:rsidRPr="00545310">
        <w:rPr>
          <w:rFonts w:cs="Arial"/>
        </w:rPr>
        <w:t xml:space="preserve">Argumentó </w:t>
      </w:r>
      <w:r w:rsidR="00B01C42" w:rsidRPr="00545310">
        <w:rPr>
          <w:rFonts w:cs="Arial"/>
        </w:rPr>
        <w:t>que los perjuicios s</w:t>
      </w:r>
      <w:r w:rsidR="002F7EA5" w:rsidRPr="00545310">
        <w:rPr>
          <w:rFonts w:cs="Arial"/>
        </w:rPr>
        <w:t>í</w:t>
      </w:r>
      <w:r w:rsidR="00B01C42" w:rsidRPr="00545310">
        <w:rPr>
          <w:rFonts w:cs="Arial"/>
        </w:rPr>
        <w:t xml:space="preserve"> eran ciertos y directos, que se calcularon con base en el estudio realizado por el área técnica de FONADE</w:t>
      </w:r>
      <w:r w:rsidR="00A73852" w:rsidRPr="00545310">
        <w:rPr>
          <w:rFonts w:cs="Arial"/>
        </w:rPr>
        <w:t xml:space="preserve">, cuyo propósito fue </w:t>
      </w:r>
      <w:r w:rsidR="00A73852" w:rsidRPr="00545310">
        <w:rPr>
          <w:rFonts w:cs="Arial"/>
        </w:rPr>
        <w:lastRenderedPageBreak/>
        <w:t xml:space="preserve">establecer el valor actualizado de las obras que se requerían para culminar la construcción, después del grave incumplimiento </w:t>
      </w:r>
      <w:r w:rsidRPr="00545310">
        <w:rPr>
          <w:rFonts w:cs="Arial"/>
        </w:rPr>
        <w:t xml:space="preserve">en que incurrió la </w:t>
      </w:r>
      <w:r w:rsidR="00A73852" w:rsidRPr="00545310">
        <w:rPr>
          <w:rFonts w:cs="Arial"/>
        </w:rPr>
        <w:t xml:space="preserve">contratista. </w:t>
      </w:r>
    </w:p>
    <w:p w14:paraId="1E0E898E" w14:textId="77777777" w:rsidR="00A73852" w:rsidRPr="00545310" w:rsidRDefault="00A73852" w:rsidP="0090169C">
      <w:pPr>
        <w:pStyle w:val="Continuarlista2"/>
        <w:ind w:left="0"/>
        <w:rPr>
          <w:rFonts w:cs="Arial"/>
        </w:rPr>
      </w:pPr>
    </w:p>
    <w:p w14:paraId="2EBFC229" w14:textId="77777777" w:rsidR="00716CAC" w:rsidRPr="00545310" w:rsidRDefault="004A274D" w:rsidP="0090169C">
      <w:pPr>
        <w:pStyle w:val="Continuarlista2"/>
        <w:ind w:left="0"/>
        <w:rPr>
          <w:rFonts w:cs="Arial"/>
        </w:rPr>
      </w:pPr>
      <w:r w:rsidRPr="00545310">
        <w:rPr>
          <w:rFonts w:cs="Arial"/>
        </w:rPr>
        <w:t xml:space="preserve">Afirmó </w:t>
      </w:r>
      <w:r w:rsidR="00A73852" w:rsidRPr="00545310">
        <w:rPr>
          <w:rFonts w:cs="Arial"/>
        </w:rPr>
        <w:t xml:space="preserve">que </w:t>
      </w:r>
      <w:r w:rsidRPr="00545310">
        <w:rPr>
          <w:rFonts w:cs="Arial"/>
        </w:rPr>
        <w:t xml:space="preserve">al atender la reclamación, </w:t>
      </w:r>
      <w:r w:rsidR="00A73852" w:rsidRPr="00545310">
        <w:rPr>
          <w:rFonts w:cs="Arial"/>
        </w:rPr>
        <w:t>la aseguradora</w:t>
      </w:r>
      <w:r w:rsidR="002E3FA2" w:rsidRPr="00545310">
        <w:rPr>
          <w:rFonts w:cs="Arial"/>
        </w:rPr>
        <w:t xml:space="preserve"> </w:t>
      </w:r>
      <w:r w:rsidR="002E3FA2" w:rsidRPr="00545310">
        <w:rPr>
          <w:rFonts w:cs="Arial"/>
          <w:i/>
        </w:rPr>
        <w:t>“aceptó y reconoció su obligación de pago, quedando insoluto el valor”</w:t>
      </w:r>
      <w:r w:rsidR="002E3FA2" w:rsidRPr="00545310">
        <w:rPr>
          <w:rFonts w:cs="Arial"/>
        </w:rPr>
        <w:t xml:space="preserve"> de $242’292.431,96</w:t>
      </w:r>
      <w:r w:rsidR="00716CAC" w:rsidRPr="00545310">
        <w:rPr>
          <w:rFonts w:cs="Arial"/>
        </w:rPr>
        <w:t>, más intereses de mora</w:t>
      </w:r>
      <w:r w:rsidR="002E3FA2" w:rsidRPr="00545310">
        <w:rPr>
          <w:rFonts w:cs="Arial"/>
        </w:rPr>
        <w:t>.</w:t>
      </w:r>
      <w:r w:rsidR="00716CAC" w:rsidRPr="00545310">
        <w:rPr>
          <w:rFonts w:cs="Arial"/>
        </w:rPr>
        <w:t xml:space="preserve">  </w:t>
      </w:r>
    </w:p>
    <w:p w14:paraId="0D8873DE" w14:textId="77777777" w:rsidR="00716CAC" w:rsidRPr="00545310" w:rsidRDefault="00716CAC" w:rsidP="0090169C">
      <w:pPr>
        <w:pStyle w:val="Continuarlista2"/>
        <w:ind w:left="0"/>
        <w:rPr>
          <w:rFonts w:cs="Arial"/>
        </w:rPr>
      </w:pPr>
    </w:p>
    <w:p w14:paraId="46D1BE60" w14:textId="77777777" w:rsidR="00716CAC" w:rsidRPr="00545310" w:rsidRDefault="00716CAC" w:rsidP="0090169C">
      <w:pPr>
        <w:pStyle w:val="Continuarlista2"/>
        <w:ind w:left="0"/>
        <w:rPr>
          <w:rFonts w:cs="Arial"/>
        </w:rPr>
      </w:pPr>
      <w:r w:rsidRPr="00545310">
        <w:rPr>
          <w:rFonts w:cs="Arial"/>
        </w:rPr>
        <w:t xml:space="preserve">Se mostró en desacuerdo con la forma como la </w:t>
      </w:r>
      <w:r w:rsidR="000013BC" w:rsidRPr="00545310">
        <w:rPr>
          <w:rFonts w:cs="Arial"/>
        </w:rPr>
        <w:t xml:space="preserve">compañía aseguradora </w:t>
      </w:r>
      <w:r w:rsidRPr="00545310">
        <w:rPr>
          <w:rFonts w:cs="Arial"/>
        </w:rPr>
        <w:t>presentó e</w:t>
      </w:r>
      <w:r w:rsidR="000013BC" w:rsidRPr="00545310">
        <w:rPr>
          <w:rFonts w:cs="Arial"/>
        </w:rPr>
        <w:t xml:space="preserve">n la demanda </w:t>
      </w:r>
      <w:r w:rsidR="0057599A" w:rsidRPr="00545310">
        <w:rPr>
          <w:rFonts w:cs="Arial"/>
        </w:rPr>
        <w:t xml:space="preserve">el </w:t>
      </w:r>
      <w:r w:rsidRPr="00545310">
        <w:rPr>
          <w:rFonts w:cs="Arial"/>
        </w:rPr>
        <w:t xml:space="preserve">cálculo del valor adeudado, puesto que el </w:t>
      </w:r>
      <w:r w:rsidR="009556C0" w:rsidRPr="00545310">
        <w:rPr>
          <w:rFonts w:cs="Arial"/>
        </w:rPr>
        <w:t xml:space="preserve">monto </w:t>
      </w:r>
      <w:r w:rsidRPr="00545310">
        <w:rPr>
          <w:rFonts w:cs="Arial"/>
        </w:rPr>
        <w:t>total de los perjuicios</w:t>
      </w:r>
      <w:r w:rsidR="000E3170" w:rsidRPr="00545310">
        <w:rPr>
          <w:rFonts w:cs="Arial"/>
        </w:rPr>
        <w:t xml:space="preserve"> por el incumplimiento</w:t>
      </w:r>
      <w:r w:rsidR="000013BC" w:rsidRPr="00545310">
        <w:rPr>
          <w:rFonts w:cs="Arial"/>
        </w:rPr>
        <w:t>,</w:t>
      </w:r>
      <w:r w:rsidRPr="00545310">
        <w:rPr>
          <w:rFonts w:cs="Arial"/>
        </w:rPr>
        <w:t xml:space="preserve"> </w:t>
      </w:r>
      <w:r w:rsidR="003175F8" w:rsidRPr="00545310">
        <w:rPr>
          <w:rFonts w:cs="Arial"/>
        </w:rPr>
        <w:t>de acuerdo con lo dispuesto en los actos acusados</w:t>
      </w:r>
      <w:r w:rsidR="000013BC" w:rsidRPr="00545310">
        <w:rPr>
          <w:rFonts w:cs="Arial"/>
        </w:rPr>
        <w:t>,</w:t>
      </w:r>
      <w:r w:rsidR="003175F8" w:rsidRPr="00545310">
        <w:rPr>
          <w:rFonts w:cs="Arial"/>
        </w:rPr>
        <w:t xml:space="preserve"> </w:t>
      </w:r>
      <w:r w:rsidRPr="00545310">
        <w:rPr>
          <w:rFonts w:cs="Arial"/>
        </w:rPr>
        <w:t>era de $2.102’710.289.32</w:t>
      </w:r>
      <w:r w:rsidR="00084D8B" w:rsidRPr="00545310">
        <w:rPr>
          <w:rFonts w:cs="Arial"/>
        </w:rPr>
        <w:t xml:space="preserve"> –descontando el monto por pagar del acta No. 12-</w:t>
      </w:r>
      <w:r w:rsidRPr="00545310">
        <w:rPr>
          <w:rFonts w:cs="Arial"/>
        </w:rPr>
        <w:t xml:space="preserve"> y no de $1.729’541.421</w:t>
      </w:r>
      <w:r w:rsidR="002F7EA5" w:rsidRPr="00545310">
        <w:rPr>
          <w:rFonts w:cs="Arial"/>
        </w:rPr>
        <w:t>,</w:t>
      </w:r>
      <w:r w:rsidRPr="00545310">
        <w:rPr>
          <w:rFonts w:cs="Arial"/>
        </w:rPr>
        <w:t xml:space="preserve"> como </w:t>
      </w:r>
      <w:r w:rsidR="000013BC" w:rsidRPr="00545310">
        <w:rPr>
          <w:rFonts w:cs="Arial"/>
        </w:rPr>
        <w:t xml:space="preserve">se </w:t>
      </w:r>
      <w:r w:rsidRPr="00545310">
        <w:rPr>
          <w:rFonts w:cs="Arial"/>
        </w:rPr>
        <w:t xml:space="preserve">sugirió </w:t>
      </w:r>
      <w:r w:rsidR="000013BC" w:rsidRPr="00545310">
        <w:rPr>
          <w:rFonts w:cs="Arial"/>
        </w:rPr>
        <w:t xml:space="preserve">en </w:t>
      </w:r>
      <w:r w:rsidRPr="00545310">
        <w:rPr>
          <w:rFonts w:cs="Arial"/>
        </w:rPr>
        <w:t xml:space="preserve">la demanda. </w:t>
      </w:r>
    </w:p>
    <w:p w14:paraId="77814196" w14:textId="77777777" w:rsidR="00716CAC" w:rsidRPr="00545310" w:rsidRDefault="00716CAC" w:rsidP="0090169C">
      <w:pPr>
        <w:pStyle w:val="Continuarlista2"/>
        <w:ind w:left="0"/>
        <w:rPr>
          <w:rFonts w:cs="Arial"/>
        </w:rPr>
      </w:pPr>
    </w:p>
    <w:p w14:paraId="34BE1A18" w14:textId="77777777" w:rsidR="000E3170" w:rsidRPr="00545310" w:rsidRDefault="009556C0" w:rsidP="0090169C">
      <w:pPr>
        <w:pStyle w:val="Continuarlista2"/>
        <w:ind w:left="0"/>
        <w:rPr>
          <w:rFonts w:cs="Arial"/>
        </w:rPr>
      </w:pPr>
      <w:r w:rsidRPr="00545310">
        <w:rPr>
          <w:rFonts w:cs="Arial"/>
        </w:rPr>
        <w:t>FONAD</w:t>
      </w:r>
      <w:r w:rsidR="003175F8" w:rsidRPr="00545310">
        <w:rPr>
          <w:rFonts w:cs="Arial"/>
        </w:rPr>
        <w:t>E</w:t>
      </w:r>
      <w:r w:rsidRPr="00545310">
        <w:rPr>
          <w:rFonts w:cs="Arial"/>
        </w:rPr>
        <w:t xml:space="preserve"> presentó </w:t>
      </w:r>
      <w:r w:rsidR="003175F8" w:rsidRPr="00545310">
        <w:rPr>
          <w:rFonts w:cs="Arial"/>
        </w:rPr>
        <w:t xml:space="preserve">las </w:t>
      </w:r>
      <w:r w:rsidR="00CD7D62" w:rsidRPr="00545310">
        <w:rPr>
          <w:rFonts w:cs="Arial"/>
        </w:rPr>
        <w:t xml:space="preserve">siguientes </w:t>
      </w:r>
      <w:r w:rsidR="003175F8" w:rsidRPr="00545310">
        <w:rPr>
          <w:rFonts w:cs="Arial"/>
          <w:b/>
        </w:rPr>
        <w:t>excepciones</w:t>
      </w:r>
      <w:r w:rsidR="003175F8" w:rsidRPr="00545310">
        <w:rPr>
          <w:rFonts w:cs="Arial"/>
        </w:rPr>
        <w:t xml:space="preserve"> de </w:t>
      </w:r>
      <w:r w:rsidR="00CD7D62" w:rsidRPr="00545310">
        <w:rPr>
          <w:rFonts w:cs="Arial"/>
        </w:rPr>
        <w:t xml:space="preserve">mérito: </w:t>
      </w:r>
      <w:r w:rsidR="00CD7D62" w:rsidRPr="00545310">
        <w:rPr>
          <w:rFonts w:cs="Arial"/>
          <w:b/>
        </w:rPr>
        <w:t>i)</w:t>
      </w:r>
      <w:r w:rsidR="00CD7D62" w:rsidRPr="00545310">
        <w:rPr>
          <w:rFonts w:cs="Arial"/>
        </w:rPr>
        <w:t xml:space="preserve"> los actos acusados fueron debidamente motivados en cuanto a la existencia y cuantía de los perjuicios, </w:t>
      </w:r>
      <w:r w:rsidR="006F37EF" w:rsidRPr="00545310">
        <w:rPr>
          <w:rFonts w:cs="Arial"/>
        </w:rPr>
        <w:t>l</w:t>
      </w:r>
      <w:r w:rsidR="002F7EA5" w:rsidRPr="00545310">
        <w:rPr>
          <w:rFonts w:cs="Arial"/>
        </w:rPr>
        <w:t>o</w:t>
      </w:r>
      <w:r w:rsidR="005105EE" w:rsidRPr="00545310">
        <w:rPr>
          <w:rFonts w:cs="Arial"/>
        </w:rPr>
        <w:t xml:space="preserve"> cual respaldó con </w:t>
      </w:r>
      <w:r w:rsidR="00CD7D62" w:rsidRPr="00545310">
        <w:rPr>
          <w:rFonts w:cs="Arial"/>
        </w:rPr>
        <w:t xml:space="preserve">un cuadro </w:t>
      </w:r>
      <w:r w:rsidR="0035743C" w:rsidRPr="00545310">
        <w:rPr>
          <w:rFonts w:cs="Arial"/>
        </w:rPr>
        <w:t xml:space="preserve">detallado </w:t>
      </w:r>
      <w:r w:rsidR="00AE305F" w:rsidRPr="00545310">
        <w:rPr>
          <w:rFonts w:cs="Arial"/>
        </w:rPr>
        <w:t xml:space="preserve">por </w:t>
      </w:r>
      <w:r w:rsidR="0035743C" w:rsidRPr="00545310">
        <w:rPr>
          <w:rFonts w:cs="Arial"/>
        </w:rPr>
        <w:t>rubro y/o concepto, valor y la motivación o fundamento</w:t>
      </w:r>
      <w:r w:rsidR="006F37EF" w:rsidRPr="00545310">
        <w:rPr>
          <w:rFonts w:cs="Arial"/>
        </w:rPr>
        <w:t xml:space="preserve"> </w:t>
      </w:r>
      <w:r w:rsidR="005105EE" w:rsidRPr="00545310">
        <w:rPr>
          <w:rFonts w:cs="Arial"/>
        </w:rPr>
        <w:t>correspondiente</w:t>
      </w:r>
      <w:r w:rsidR="0035743C" w:rsidRPr="00545310">
        <w:rPr>
          <w:rFonts w:cs="Arial"/>
        </w:rPr>
        <w:t xml:space="preserve">; </w:t>
      </w:r>
      <w:proofErr w:type="spellStart"/>
      <w:r w:rsidR="00CD7D62" w:rsidRPr="00545310">
        <w:rPr>
          <w:rFonts w:cs="Arial"/>
          <w:b/>
        </w:rPr>
        <w:t>ii</w:t>
      </w:r>
      <w:proofErr w:type="spellEnd"/>
      <w:r w:rsidR="00CD7D62" w:rsidRPr="00545310">
        <w:rPr>
          <w:rFonts w:cs="Arial"/>
          <w:b/>
        </w:rPr>
        <w:t>)</w:t>
      </w:r>
      <w:r w:rsidR="00CD7D62" w:rsidRPr="00545310">
        <w:rPr>
          <w:rFonts w:cs="Arial"/>
        </w:rPr>
        <w:t xml:space="preserve"> </w:t>
      </w:r>
      <w:r w:rsidR="0035743C" w:rsidRPr="00545310">
        <w:rPr>
          <w:rFonts w:cs="Arial"/>
        </w:rPr>
        <w:t xml:space="preserve">los perjuicios son una consecuencia directa del incumplimiento y existe certeza sobre su existencia; </w:t>
      </w:r>
      <w:proofErr w:type="spellStart"/>
      <w:r w:rsidR="0035743C" w:rsidRPr="00545310">
        <w:rPr>
          <w:rFonts w:cs="Arial"/>
          <w:b/>
        </w:rPr>
        <w:t>iii</w:t>
      </w:r>
      <w:proofErr w:type="spellEnd"/>
      <w:r w:rsidR="0035743C" w:rsidRPr="00545310">
        <w:rPr>
          <w:rFonts w:cs="Arial"/>
          <w:b/>
        </w:rPr>
        <w:t>)</w:t>
      </w:r>
      <w:r w:rsidR="0035743C" w:rsidRPr="00545310">
        <w:rPr>
          <w:rFonts w:cs="Arial"/>
        </w:rPr>
        <w:t xml:space="preserve"> la cuantificación de los perjuicios fue debidamente motivada, se basó en estudios y análisis objetivos y </w:t>
      </w:r>
      <w:r w:rsidR="009003CA" w:rsidRPr="00545310">
        <w:rPr>
          <w:rFonts w:cs="Arial"/>
        </w:rPr>
        <w:t>no</w:t>
      </w:r>
      <w:r w:rsidR="0035743C" w:rsidRPr="00545310">
        <w:rPr>
          <w:rFonts w:cs="Arial"/>
        </w:rPr>
        <w:t xml:space="preserve"> fue caprichosa ni arbitraria</w:t>
      </w:r>
      <w:r w:rsidR="00C54CB9" w:rsidRPr="00545310">
        <w:rPr>
          <w:rFonts w:cs="Arial"/>
        </w:rPr>
        <w:t>. En est</w:t>
      </w:r>
      <w:r w:rsidR="005105EE" w:rsidRPr="00545310">
        <w:rPr>
          <w:rFonts w:cs="Arial"/>
        </w:rPr>
        <w:t>a excepción</w:t>
      </w:r>
      <w:r w:rsidR="002F7EA5" w:rsidRPr="00545310">
        <w:rPr>
          <w:rFonts w:cs="Arial"/>
        </w:rPr>
        <w:t>,</w:t>
      </w:r>
      <w:r w:rsidR="005105EE" w:rsidRPr="00545310">
        <w:rPr>
          <w:rFonts w:cs="Arial"/>
        </w:rPr>
        <w:t xml:space="preserve"> FONADE </w:t>
      </w:r>
      <w:r w:rsidR="009003CA" w:rsidRPr="00545310">
        <w:rPr>
          <w:rFonts w:cs="Arial"/>
        </w:rPr>
        <w:t xml:space="preserve">presentó </w:t>
      </w:r>
      <w:r w:rsidR="00C54CB9" w:rsidRPr="00545310">
        <w:rPr>
          <w:rFonts w:cs="Arial"/>
        </w:rPr>
        <w:t xml:space="preserve">un cuadro </w:t>
      </w:r>
      <w:r w:rsidR="00173337" w:rsidRPr="00545310">
        <w:rPr>
          <w:rFonts w:cs="Arial"/>
        </w:rPr>
        <w:t>en el que especificó las variaciones contenidas en la Resolución 1151</w:t>
      </w:r>
      <w:r w:rsidR="009003CA" w:rsidRPr="00545310">
        <w:rPr>
          <w:rFonts w:cs="Arial"/>
        </w:rPr>
        <w:t xml:space="preserve">. Especificó que </w:t>
      </w:r>
      <w:r w:rsidR="00173337" w:rsidRPr="00545310">
        <w:rPr>
          <w:rFonts w:cs="Arial"/>
        </w:rPr>
        <w:t>FONADE accedió a establecer la cláusula penal en forma proporcional</w:t>
      </w:r>
      <w:r w:rsidR="002F7EA5" w:rsidRPr="00545310">
        <w:rPr>
          <w:rFonts w:cs="Arial"/>
        </w:rPr>
        <w:t>,</w:t>
      </w:r>
      <w:r w:rsidR="005105EE" w:rsidRPr="00545310">
        <w:rPr>
          <w:rFonts w:cs="Arial"/>
        </w:rPr>
        <w:t xml:space="preserve"> de acuerdo con lo solicitado en el recurso de reposición, empero </w:t>
      </w:r>
      <w:r w:rsidR="00173337" w:rsidRPr="00545310">
        <w:rPr>
          <w:rFonts w:cs="Arial"/>
        </w:rPr>
        <w:t>advirt</w:t>
      </w:r>
      <w:r w:rsidR="005105EE" w:rsidRPr="00545310">
        <w:rPr>
          <w:rFonts w:cs="Arial"/>
        </w:rPr>
        <w:t xml:space="preserve">ió que en la resolución se indicó que </w:t>
      </w:r>
      <w:r w:rsidR="00173337" w:rsidRPr="00545310">
        <w:rPr>
          <w:rFonts w:cs="Arial"/>
        </w:rPr>
        <w:t>los perjuicios totales no variaban</w:t>
      </w:r>
      <w:r w:rsidR="006F37EF" w:rsidRPr="00545310">
        <w:rPr>
          <w:rFonts w:cs="Arial"/>
        </w:rPr>
        <w:t xml:space="preserve">. </w:t>
      </w:r>
      <w:r w:rsidR="005105EE" w:rsidRPr="00545310">
        <w:rPr>
          <w:rFonts w:cs="Arial"/>
        </w:rPr>
        <w:t xml:space="preserve">Por tanto, </w:t>
      </w:r>
      <w:r w:rsidR="006F37EF" w:rsidRPr="00545310">
        <w:rPr>
          <w:rFonts w:cs="Arial"/>
        </w:rPr>
        <w:t xml:space="preserve">enfocó la excepción </w:t>
      </w:r>
      <w:r w:rsidR="005105EE" w:rsidRPr="00545310">
        <w:rPr>
          <w:rFonts w:cs="Arial"/>
        </w:rPr>
        <w:t xml:space="preserve">en demostrar </w:t>
      </w:r>
      <w:r w:rsidR="006F37EF" w:rsidRPr="00545310">
        <w:rPr>
          <w:rFonts w:cs="Arial"/>
        </w:rPr>
        <w:t>que no es cierto que se hubiera incluido un rubro adicional</w:t>
      </w:r>
      <w:r w:rsidR="009003CA" w:rsidRPr="00545310">
        <w:rPr>
          <w:rFonts w:cs="Arial"/>
        </w:rPr>
        <w:t xml:space="preserve"> en la Resolución 1151</w:t>
      </w:r>
      <w:r w:rsidR="003E13C5" w:rsidRPr="00545310">
        <w:rPr>
          <w:rFonts w:cs="Arial"/>
        </w:rPr>
        <w:t xml:space="preserve">; </w:t>
      </w:r>
      <w:proofErr w:type="spellStart"/>
      <w:r w:rsidR="003E13C5" w:rsidRPr="00545310">
        <w:rPr>
          <w:rFonts w:cs="Arial"/>
          <w:b/>
        </w:rPr>
        <w:t>iv</w:t>
      </w:r>
      <w:proofErr w:type="spellEnd"/>
      <w:r w:rsidR="003E13C5" w:rsidRPr="00545310">
        <w:rPr>
          <w:rFonts w:cs="Arial"/>
          <w:b/>
        </w:rPr>
        <w:t>)</w:t>
      </w:r>
      <w:r w:rsidR="003E13C5" w:rsidRPr="00545310">
        <w:rPr>
          <w:rFonts w:cs="Arial"/>
        </w:rPr>
        <w:t xml:space="preserve"> no existió </w:t>
      </w:r>
      <w:proofErr w:type="spellStart"/>
      <w:r w:rsidR="003E13C5" w:rsidRPr="00545310">
        <w:rPr>
          <w:rFonts w:cs="Arial"/>
          <w:i/>
        </w:rPr>
        <w:t>reformatio</w:t>
      </w:r>
      <w:proofErr w:type="spellEnd"/>
      <w:r w:rsidR="003E13C5" w:rsidRPr="00545310">
        <w:rPr>
          <w:rFonts w:cs="Arial"/>
          <w:i/>
        </w:rPr>
        <w:t xml:space="preserve"> in </w:t>
      </w:r>
      <w:proofErr w:type="spellStart"/>
      <w:r w:rsidR="003E13C5" w:rsidRPr="00545310">
        <w:rPr>
          <w:rFonts w:cs="Arial"/>
          <w:i/>
        </w:rPr>
        <w:t>pejus</w:t>
      </w:r>
      <w:proofErr w:type="spellEnd"/>
      <w:r w:rsidR="003E13C5" w:rsidRPr="00545310">
        <w:rPr>
          <w:rFonts w:cs="Arial"/>
        </w:rPr>
        <w:t>, lo cual</w:t>
      </w:r>
      <w:r w:rsidR="000E78D3" w:rsidRPr="00545310">
        <w:rPr>
          <w:rFonts w:cs="Arial"/>
        </w:rPr>
        <w:t xml:space="preserve">, según afirmó FONADE, se </w:t>
      </w:r>
      <w:r w:rsidR="003E13C5" w:rsidRPr="00545310">
        <w:rPr>
          <w:rFonts w:cs="Arial"/>
        </w:rPr>
        <w:t>comprueba con la lectura de la Resolución 962</w:t>
      </w:r>
      <w:r w:rsidR="009003CA" w:rsidRPr="00545310">
        <w:rPr>
          <w:rFonts w:cs="Arial"/>
        </w:rPr>
        <w:t xml:space="preserve">, dado que </w:t>
      </w:r>
      <w:r w:rsidR="003E13C5" w:rsidRPr="00545310">
        <w:rPr>
          <w:rFonts w:cs="Arial"/>
        </w:rPr>
        <w:t xml:space="preserve">los perjuicios </w:t>
      </w:r>
      <w:r w:rsidR="000E3170" w:rsidRPr="00545310">
        <w:rPr>
          <w:rFonts w:cs="Arial"/>
        </w:rPr>
        <w:t xml:space="preserve">totales </w:t>
      </w:r>
      <w:r w:rsidR="003E13C5" w:rsidRPr="00545310">
        <w:rPr>
          <w:rFonts w:cs="Arial"/>
        </w:rPr>
        <w:t xml:space="preserve">no </w:t>
      </w:r>
      <w:r w:rsidR="00254516" w:rsidRPr="00545310">
        <w:rPr>
          <w:rFonts w:cs="Arial"/>
        </w:rPr>
        <w:t xml:space="preserve">se cuantificaron en la suma </w:t>
      </w:r>
      <w:r w:rsidR="007E3774" w:rsidRPr="00545310">
        <w:rPr>
          <w:rFonts w:cs="Arial"/>
        </w:rPr>
        <w:t xml:space="preserve">total </w:t>
      </w:r>
      <w:r w:rsidR="00254516" w:rsidRPr="00545310">
        <w:rPr>
          <w:rFonts w:cs="Arial"/>
        </w:rPr>
        <w:t xml:space="preserve">de </w:t>
      </w:r>
      <w:r w:rsidR="003E13C5" w:rsidRPr="00545310">
        <w:rPr>
          <w:rFonts w:cs="Arial"/>
        </w:rPr>
        <w:t xml:space="preserve">$2.067.466’455,70, como se dio a entender con las cifras de la demanda. </w:t>
      </w:r>
    </w:p>
    <w:p w14:paraId="7BFBD545" w14:textId="77777777" w:rsidR="000E3170" w:rsidRPr="00545310" w:rsidRDefault="000E3170" w:rsidP="0090169C">
      <w:pPr>
        <w:pStyle w:val="Continuarlista2"/>
        <w:ind w:left="0"/>
        <w:rPr>
          <w:rFonts w:cs="Arial"/>
        </w:rPr>
      </w:pPr>
    </w:p>
    <w:p w14:paraId="0731AE02" w14:textId="77777777" w:rsidR="00AE305F" w:rsidRPr="00545310" w:rsidRDefault="00EB1E66" w:rsidP="0090169C">
      <w:pPr>
        <w:pStyle w:val="Continuarlista2"/>
        <w:ind w:left="0"/>
        <w:rPr>
          <w:rFonts w:cs="Arial"/>
        </w:rPr>
      </w:pPr>
      <w:r w:rsidRPr="00545310">
        <w:rPr>
          <w:rFonts w:cs="Arial"/>
        </w:rPr>
        <w:t xml:space="preserve">Según FONADE, la demandante </w:t>
      </w:r>
      <w:r w:rsidR="004A4EA9" w:rsidRPr="00545310">
        <w:rPr>
          <w:rFonts w:cs="Arial"/>
        </w:rPr>
        <w:t xml:space="preserve">omitió, </w:t>
      </w:r>
      <w:r w:rsidRPr="00545310">
        <w:rPr>
          <w:rFonts w:cs="Arial"/>
        </w:rPr>
        <w:t xml:space="preserve">olvidó </w:t>
      </w:r>
      <w:r w:rsidR="00F1633E" w:rsidRPr="00545310">
        <w:rPr>
          <w:rFonts w:cs="Arial"/>
        </w:rPr>
        <w:t xml:space="preserve">o pasó por alto </w:t>
      </w:r>
      <w:r w:rsidRPr="00545310">
        <w:rPr>
          <w:rFonts w:cs="Arial"/>
        </w:rPr>
        <w:t xml:space="preserve">el contenido del artículo séptimo de la </w:t>
      </w:r>
      <w:r w:rsidR="000E3170" w:rsidRPr="00545310">
        <w:rPr>
          <w:rFonts w:cs="Arial"/>
        </w:rPr>
        <w:t>R</w:t>
      </w:r>
      <w:r w:rsidRPr="00545310">
        <w:rPr>
          <w:rFonts w:cs="Arial"/>
        </w:rPr>
        <w:t>esolución 962 que ordenó pagar el antici</w:t>
      </w:r>
      <w:r w:rsidR="00AE305F" w:rsidRPr="00545310">
        <w:rPr>
          <w:rFonts w:cs="Arial"/>
        </w:rPr>
        <w:t>po</w:t>
      </w:r>
      <w:r w:rsidRPr="00545310">
        <w:rPr>
          <w:rFonts w:cs="Arial"/>
        </w:rPr>
        <w:t xml:space="preserve"> girado y no devuelto, “</w:t>
      </w:r>
      <w:r w:rsidRPr="00545310">
        <w:rPr>
          <w:rFonts w:cs="Arial"/>
          <w:i/>
        </w:rPr>
        <w:t>pues dicho rubro m</w:t>
      </w:r>
      <w:r w:rsidR="00295EB0" w:rsidRPr="00545310">
        <w:rPr>
          <w:rFonts w:cs="Arial"/>
          <w:i/>
        </w:rPr>
        <w:t>á</w:t>
      </w:r>
      <w:r w:rsidRPr="00545310">
        <w:rPr>
          <w:rFonts w:cs="Arial"/>
          <w:i/>
        </w:rPr>
        <w:t>s el descuento ya explicado del acta 12 corresponden a la diferencia enunciada por la demandante</w:t>
      </w:r>
      <w:r w:rsidR="00AE305F" w:rsidRPr="00545310">
        <w:rPr>
          <w:rFonts w:cs="Arial"/>
          <w:i/>
        </w:rPr>
        <w:t>”</w:t>
      </w:r>
      <w:r w:rsidR="00AE305F" w:rsidRPr="00545310">
        <w:rPr>
          <w:rStyle w:val="Refdenotaalpie"/>
          <w:rFonts w:cs="Arial"/>
          <w:i/>
        </w:rPr>
        <w:footnoteReference w:id="10"/>
      </w:r>
      <w:r w:rsidR="00AE305F" w:rsidRPr="00545310">
        <w:rPr>
          <w:rFonts w:cs="Arial"/>
        </w:rPr>
        <w:t>.</w:t>
      </w:r>
    </w:p>
    <w:p w14:paraId="17ED329C" w14:textId="77777777" w:rsidR="004A4EA9" w:rsidRPr="00545310" w:rsidRDefault="004A4EA9" w:rsidP="00F11F08">
      <w:pPr>
        <w:pStyle w:val="Lista2"/>
        <w:ind w:left="0" w:firstLine="0"/>
        <w:rPr>
          <w:rFonts w:cs="Arial"/>
          <w:b/>
        </w:rPr>
      </w:pPr>
    </w:p>
    <w:p w14:paraId="01BB40C6" w14:textId="77777777" w:rsidR="00F21484" w:rsidRPr="00545310" w:rsidRDefault="002763FC" w:rsidP="00F11F08">
      <w:pPr>
        <w:pStyle w:val="Lista2"/>
        <w:ind w:left="0" w:firstLine="0"/>
        <w:rPr>
          <w:rFonts w:cs="Arial"/>
          <w:b/>
        </w:rPr>
      </w:pPr>
      <w:r w:rsidRPr="00545310">
        <w:rPr>
          <w:rFonts w:cs="Arial"/>
          <w:b/>
        </w:rPr>
        <w:t>6</w:t>
      </w:r>
      <w:r w:rsidR="00E04DD6" w:rsidRPr="00545310">
        <w:rPr>
          <w:rFonts w:cs="Arial"/>
          <w:b/>
        </w:rPr>
        <w:t>.</w:t>
      </w:r>
      <w:r w:rsidR="00077B4B" w:rsidRPr="00545310">
        <w:rPr>
          <w:rFonts w:cs="Arial"/>
          <w:b/>
        </w:rPr>
        <w:t xml:space="preserve"> </w:t>
      </w:r>
      <w:r w:rsidR="00F21484" w:rsidRPr="00545310">
        <w:rPr>
          <w:rFonts w:cs="Arial"/>
          <w:b/>
        </w:rPr>
        <w:t>La sentencia impugnada</w:t>
      </w:r>
    </w:p>
    <w:p w14:paraId="07B0A4F4" w14:textId="77777777" w:rsidR="00D550F9" w:rsidRPr="00545310" w:rsidRDefault="00D550F9" w:rsidP="00D550F9">
      <w:pPr>
        <w:numPr>
          <w:ilvl w:val="12"/>
          <w:numId w:val="0"/>
        </w:numPr>
        <w:rPr>
          <w:rFonts w:cs="Arial"/>
          <w:bCs/>
        </w:rPr>
      </w:pPr>
    </w:p>
    <w:p w14:paraId="1EB4E0E3" w14:textId="77777777" w:rsidR="008B153A" w:rsidRPr="00545310" w:rsidRDefault="00D550F9" w:rsidP="00F11F08">
      <w:pPr>
        <w:pStyle w:val="Continuarlista2"/>
        <w:ind w:left="0"/>
        <w:rPr>
          <w:rFonts w:cs="Arial"/>
        </w:rPr>
      </w:pPr>
      <w:r w:rsidRPr="00545310">
        <w:rPr>
          <w:rFonts w:cs="Arial"/>
        </w:rPr>
        <w:t xml:space="preserve">El Tribunal </w:t>
      </w:r>
      <w:r w:rsidR="00C90583" w:rsidRPr="00545310">
        <w:rPr>
          <w:rFonts w:cs="Arial"/>
        </w:rPr>
        <w:t>Administrativo de</w:t>
      </w:r>
      <w:r w:rsidR="00A44F2D" w:rsidRPr="00545310">
        <w:rPr>
          <w:rFonts w:cs="Arial"/>
        </w:rPr>
        <w:t xml:space="preserve"> </w:t>
      </w:r>
      <w:r w:rsidR="00C358FD" w:rsidRPr="00545310">
        <w:rPr>
          <w:rFonts w:cs="Arial"/>
        </w:rPr>
        <w:t xml:space="preserve">Santander </w:t>
      </w:r>
      <w:r w:rsidRPr="00545310">
        <w:rPr>
          <w:rFonts w:cs="Arial"/>
        </w:rPr>
        <w:t xml:space="preserve">profirió sentencia </w:t>
      </w:r>
      <w:r w:rsidR="00276074" w:rsidRPr="00545310">
        <w:rPr>
          <w:rFonts w:cs="Arial"/>
        </w:rPr>
        <w:t xml:space="preserve">el </w:t>
      </w:r>
      <w:r w:rsidR="008B153A" w:rsidRPr="00545310">
        <w:rPr>
          <w:rFonts w:cs="Arial"/>
        </w:rPr>
        <w:t>22 de julio de 2014, en la que denegó las pretensiones de la demandante y le impuso una condena en costas</w:t>
      </w:r>
      <w:r w:rsidR="00C853B1" w:rsidRPr="00545310">
        <w:rPr>
          <w:rFonts w:cs="Arial"/>
        </w:rPr>
        <w:t xml:space="preserve">, con fijación de agencias en derecho por el </w:t>
      </w:r>
      <w:r w:rsidR="008B153A" w:rsidRPr="00545310">
        <w:rPr>
          <w:rFonts w:cs="Arial"/>
        </w:rPr>
        <w:t xml:space="preserve">equivalente al  1% de </w:t>
      </w:r>
      <w:r w:rsidR="00F1633E" w:rsidRPr="00545310">
        <w:rPr>
          <w:rFonts w:cs="Arial"/>
        </w:rPr>
        <w:t>sus</w:t>
      </w:r>
      <w:r w:rsidR="008B153A" w:rsidRPr="00545310">
        <w:rPr>
          <w:rFonts w:cs="Arial"/>
        </w:rPr>
        <w:t xml:space="preserve"> pretensiones.</w:t>
      </w:r>
    </w:p>
    <w:p w14:paraId="1C24306F" w14:textId="77777777" w:rsidR="008B153A" w:rsidRPr="00545310" w:rsidRDefault="008B153A" w:rsidP="00F11F08">
      <w:pPr>
        <w:pStyle w:val="Continuarlista2"/>
        <w:ind w:left="0"/>
        <w:rPr>
          <w:rFonts w:cs="Arial"/>
        </w:rPr>
      </w:pPr>
    </w:p>
    <w:p w14:paraId="3362E3F6" w14:textId="77777777" w:rsidR="006B62B9" w:rsidRPr="00545310" w:rsidRDefault="006B62B9" w:rsidP="00F11F08">
      <w:pPr>
        <w:pStyle w:val="Continuarlista2"/>
        <w:ind w:left="0"/>
        <w:rPr>
          <w:rFonts w:cs="Arial"/>
        </w:rPr>
      </w:pPr>
      <w:r w:rsidRPr="00545310">
        <w:rPr>
          <w:rFonts w:cs="Arial"/>
        </w:rPr>
        <w:t>Las principales consideraciones de la sentencia impugnada se resumen así:</w:t>
      </w:r>
    </w:p>
    <w:p w14:paraId="73D01717" w14:textId="77777777" w:rsidR="006B62B9" w:rsidRPr="00545310" w:rsidRDefault="006B62B9" w:rsidP="00F11F08">
      <w:pPr>
        <w:pStyle w:val="Continuarlista2"/>
        <w:ind w:left="0"/>
        <w:rPr>
          <w:rFonts w:cs="Arial"/>
        </w:rPr>
      </w:pPr>
    </w:p>
    <w:p w14:paraId="1112B0D3" w14:textId="77777777" w:rsidR="008B153A" w:rsidRPr="00545310" w:rsidRDefault="002763FC" w:rsidP="00F11F08">
      <w:pPr>
        <w:pStyle w:val="Continuarlista2"/>
        <w:ind w:left="0"/>
        <w:rPr>
          <w:rFonts w:cs="Arial"/>
        </w:rPr>
      </w:pPr>
      <w:r w:rsidRPr="00545310">
        <w:rPr>
          <w:rFonts w:cs="Arial"/>
          <w:b/>
        </w:rPr>
        <w:t>6</w:t>
      </w:r>
      <w:r w:rsidR="006B62B9" w:rsidRPr="00545310">
        <w:rPr>
          <w:rFonts w:cs="Arial"/>
          <w:b/>
        </w:rPr>
        <w:t>.1.</w:t>
      </w:r>
      <w:r w:rsidR="006B62B9" w:rsidRPr="00545310">
        <w:rPr>
          <w:rFonts w:cs="Arial"/>
        </w:rPr>
        <w:t xml:space="preserve"> </w:t>
      </w:r>
      <w:r w:rsidR="007F19DE" w:rsidRPr="00545310">
        <w:rPr>
          <w:rFonts w:cs="Arial"/>
        </w:rPr>
        <w:t>Teniendo en cuenta la situación especial de las garantías de cumplimi</w:t>
      </w:r>
      <w:r w:rsidR="00EF0801" w:rsidRPr="00545310">
        <w:rPr>
          <w:rFonts w:cs="Arial"/>
        </w:rPr>
        <w:t>e</w:t>
      </w:r>
      <w:r w:rsidR="007F19DE" w:rsidRPr="00545310">
        <w:rPr>
          <w:rFonts w:cs="Arial"/>
        </w:rPr>
        <w:t>nto</w:t>
      </w:r>
      <w:r w:rsidR="00EF0801" w:rsidRPr="00545310">
        <w:rPr>
          <w:rFonts w:cs="Arial"/>
        </w:rPr>
        <w:t>, con fundamento en el artículo 68 del CCA, tal como lo ha expuesto la jurisprudencia del Consejo de Estado</w:t>
      </w:r>
      <w:r w:rsidR="00EF0801" w:rsidRPr="00545310">
        <w:rPr>
          <w:rStyle w:val="Refdenotaalpie"/>
          <w:rFonts w:cs="Arial"/>
        </w:rPr>
        <w:footnoteReference w:id="11"/>
      </w:r>
      <w:r w:rsidR="00EF0801" w:rsidRPr="00545310">
        <w:rPr>
          <w:rFonts w:cs="Arial"/>
        </w:rPr>
        <w:t xml:space="preserve">, </w:t>
      </w:r>
      <w:r w:rsidR="00180209" w:rsidRPr="00545310">
        <w:rPr>
          <w:rFonts w:cs="Arial"/>
        </w:rPr>
        <w:t>FONADE</w:t>
      </w:r>
      <w:r w:rsidR="006B62B9" w:rsidRPr="00545310">
        <w:rPr>
          <w:rFonts w:cs="Arial"/>
        </w:rPr>
        <w:t xml:space="preserve"> </w:t>
      </w:r>
      <w:r w:rsidR="00180209" w:rsidRPr="00545310">
        <w:rPr>
          <w:rFonts w:cs="Arial"/>
        </w:rPr>
        <w:t>tenía la prerrogativa de declarar unilateralm</w:t>
      </w:r>
      <w:r w:rsidR="00EF0801" w:rsidRPr="00545310">
        <w:rPr>
          <w:rFonts w:cs="Arial"/>
        </w:rPr>
        <w:t>e</w:t>
      </w:r>
      <w:r w:rsidR="00180209" w:rsidRPr="00545310">
        <w:rPr>
          <w:rFonts w:cs="Arial"/>
        </w:rPr>
        <w:t>nte la ocurrencia del siniestro mediante acto admin</w:t>
      </w:r>
      <w:r w:rsidR="00EF0801" w:rsidRPr="00545310">
        <w:rPr>
          <w:rFonts w:cs="Arial"/>
        </w:rPr>
        <w:t>i</w:t>
      </w:r>
      <w:r w:rsidR="00180209" w:rsidRPr="00545310">
        <w:rPr>
          <w:rFonts w:cs="Arial"/>
        </w:rPr>
        <w:t>strativo, en</w:t>
      </w:r>
      <w:r w:rsidR="00EF0801" w:rsidRPr="00545310">
        <w:rPr>
          <w:rFonts w:cs="Arial"/>
        </w:rPr>
        <w:t xml:space="preserve"> </w:t>
      </w:r>
      <w:r w:rsidR="00180209" w:rsidRPr="00545310">
        <w:rPr>
          <w:rFonts w:cs="Arial"/>
        </w:rPr>
        <w:t xml:space="preserve">el cual </w:t>
      </w:r>
      <w:r w:rsidR="00180209" w:rsidRPr="00545310">
        <w:rPr>
          <w:rFonts w:cs="Arial"/>
          <w:i/>
        </w:rPr>
        <w:t>“necesariamente deb</w:t>
      </w:r>
      <w:r w:rsidR="00EF0801" w:rsidRPr="00545310">
        <w:rPr>
          <w:rFonts w:cs="Arial"/>
          <w:i/>
        </w:rPr>
        <w:t>ía</w:t>
      </w:r>
      <w:r w:rsidR="00180209" w:rsidRPr="00545310">
        <w:rPr>
          <w:rFonts w:cs="Arial"/>
          <w:i/>
        </w:rPr>
        <w:t xml:space="preserve"> determinar la cuantía del daño causado, al margen, incluso, de que la compañía de seguros no compartiera su decisión”</w:t>
      </w:r>
      <w:r w:rsidR="00180209" w:rsidRPr="00545310">
        <w:rPr>
          <w:rStyle w:val="Refdenotaalpie"/>
          <w:rFonts w:cs="Arial"/>
          <w:i/>
        </w:rPr>
        <w:footnoteReference w:id="12"/>
      </w:r>
      <w:r w:rsidR="00A14F14" w:rsidRPr="00545310">
        <w:rPr>
          <w:rFonts w:cs="Arial"/>
          <w:i/>
        </w:rPr>
        <w:t>.</w:t>
      </w:r>
      <w:r w:rsidR="008B153A" w:rsidRPr="00545310">
        <w:rPr>
          <w:rFonts w:cs="Arial"/>
        </w:rPr>
        <w:t xml:space="preserve"> </w:t>
      </w:r>
    </w:p>
    <w:p w14:paraId="15165A42" w14:textId="77777777" w:rsidR="00C358FD" w:rsidRPr="00545310" w:rsidRDefault="00C358FD" w:rsidP="00F11F08">
      <w:pPr>
        <w:pStyle w:val="Continuarlista2"/>
        <w:ind w:left="0"/>
        <w:rPr>
          <w:rFonts w:cs="Arial"/>
        </w:rPr>
      </w:pPr>
    </w:p>
    <w:p w14:paraId="15915405" w14:textId="77777777" w:rsidR="00266176" w:rsidRPr="00545310" w:rsidRDefault="00184FE0" w:rsidP="00C56CF1">
      <w:pPr>
        <w:pStyle w:val="Lista2"/>
        <w:ind w:left="0" w:firstLine="0"/>
        <w:rPr>
          <w:rFonts w:cs="Arial"/>
          <w:lang w:val="es-MX"/>
        </w:rPr>
      </w:pPr>
      <w:r w:rsidRPr="00545310">
        <w:rPr>
          <w:rFonts w:cs="Arial"/>
          <w:lang w:val="es-MX"/>
        </w:rPr>
        <w:t xml:space="preserve">El Tribunal </w:t>
      </w:r>
      <w:r w:rsidRPr="00545310">
        <w:rPr>
          <w:rFonts w:cs="Arial"/>
          <w:i/>
          <w:lang w:val="es-MX"/>
        </w:rPr>
        <w:t>a quo</w:t>
      </w:r>
      <w:r w:rsidRPr="00545310">
        <w:rPr>
          <w:rFonts w:cs="Arial"/>
          <w:lang w:val="es-MX"/>
        </w:rPr>
        <w:t xml:space="preserve"> encontró que e</w:t>
      </w:r>
      <w:r w:rsidR="00266176" w:rsidRPr="00545310">
        <w:rPr>
          <w:rFonts w:cs="Arial"/>
          <w:lang w:val="es-MX"/>
        </w:rPr>
        <w:t xml:space="preserve">l acto administrativo fue debidamente motivado, de manera objetiva, </w:t>
      </w:r>
      <w:r w:rsidR="00266176" w:rsidRPr="00545310">
        <w:rPr>
          <w:rFonts w:cs="Arial"/>
          <w:i/>
          <w:lang w:val="es-MX"/>
        </w:rPr>
        <w:t>“consultando el valor de los precios de mercado”</w:t>
      </w:r>
      <w:r w:rsidR="00266176" w:rsidRPr="00545310">
        <w:rPr>
          <w:rFonts w:cs="Arial"/>
          <w:lang w:val="es-MX"/>
        </w:rPr>
        <w:t xml:space="preserve"> </w:t>
      </w:r>
      <w:r w:rsidR="00C853B1" w:rsidRPr="00545310">
        <w:rPr>
          <w:rFonts w:cs="Arial"/>
          <w:lang w:val="es-MX"/>
        </w:rPr>
        <w:t xml:space="preserve">para </w:t>
      </w:r>
      <w:r w:rsidR="00266176" w:rsidRPr="00545310">
        <w:rPr>
          <w:rFonts w:cs="Arial"/>
          <w:lang w:val="es-MX"/>
        </w:rPr>
        <w:t xml:space="preserve">cada uno de los </w:t>
      </w:r>
      <w:r w:rsidR="00C853B1" w:rsidRPr="00545310">
        <w:rPr>
          <w:rFonts w:cs="Arial"/>
          <w:lang w:val="es-MX"/>
        </w:rPr>
        <w:t xml:space="preserve">rubros del </w:t>
      </w:r>
      <w:r w:rsidR="00266176" w:rsidRPr="00545310">
        <w:rPr>
          <w:rFonts w:cs="Arial"/>
          <w:lang w:val="es-MX"/>
        </w:rPr>
        <w:t>perju</w:t>
      </w:r>
      <w:r w:rsidR="00C853B1" w:rsidRPr="00545310">
        <w:rPr>
          <w:rFonts w:cs="Arial"/>
          <w:lang w:val="es-MX"/>
        </w:rPr>
        <w:t>i</w:t>
      </w:r>
      <w:r w:rsidR="00266176" w:rsidRPr="00545310">
        <w:rPr>
          <w:rFonts w:cs="Arial"/>
          <w:lang w:val="es-MX"/>
        </w:rPr>
        <w:t>cio ocasionado por el incumplimiento.</w:t>
      </w:r>
    </w:p>
    <w:p w14:paraId="03510695" w14:textId="77777777" w:rsidR="00266176" w:rsidRPr="00545310" w:rsidRDefault="00266176" w:rsidP="00C56CF1">
      <w:pPr>
        <w:pStyle w:val="Lista2"/>
        <w:ind w:left="0" w:firstLine="0"/>
        <w:rPr>
          <w:rFonts w:cs="Arial"/>
          <w:b/>
          <w:lang w:val="es-MX"/>
        </w:rPr>
      </w:pPr>
    </w:p>
    <w:p w14:paraId="56762F89" w14:textId="77777777" w:rsidR="005B3187" w:rsidRPr="00545310" w:rsidRDefault="002763FC" w:rsidP="00C56CF1">
      <w:pPr>
        <w:pStyle w:val="Lista2"/>
        <w:ind w:left="0" w:firstLine="0"/>
        <w:rPr>
          <w:rFonts w:cs="Arial"/>
          <w:b/>
          <w:lang w:val="es-MX"/>
        </w:rPr>
      </w:pPr>
      <w:r w:rsidRPr="00545310">
        <w:rPr>
          <w:rFonts w:cs="Arial"/>
          <w:b/>
          <w:lang w:val="es-MX"/>
        </w:rPr>
        <w:t>6</w:t>
      </w:r>
      <w:r w:rsidR="00184FE0" w:rsidRPr="00545310">
        <w:rPr>
          <w:rFonts w:cs="Arial"/>
          <w:b/>
          <w:lang w:val="es-MX"/>
        </w:rPr>
        <w:t xml:space="preserve">.2. </w:t>
      </w:r>
      <w:r w:rsidR="00184FE0" w:rsidRPr="00545310">
        <w:rPr>
          <w:rFonts w:cs="Arial"/>
          <w:lang w:val="es-MX"/>
        </w:rPr>
        <w:t>En el asunto sub examine</w:t>
      </w:r>
      <w:r w:rsidR="00A14F14" w:rsidRPr="00545310">
        <w:rPr>
          <w:rFonts w:cs="Arial"/>
          <w:lang w:val="es-MX"/>
        </w:rPr>
        <w:t>, para el a quo resultó</w:t>
      </w:r>
      <w:r w:rsidR="00184FE0" w:rsidRPr="00545310">
        <w:rPr>
          <w:rFonts w:cs="Arial"/>
          <w:lang w:val="es-MX"/>
        </w:rPr>
        <w:t xml:space="preserve"> claro que procedía la declaratoria de caducidad del contrato, </w:t>
      </w:r>
      <w:r w:rsidR="004B403D" w:rsidRPr="00545310">
        <w:rPr>
          <w:rFonts w:cs="Arial"/>
          <w:lang w:val="es-MX"/>
        </w:rPr>
        <w:t xml:space="preserve">dado que </w:t>
      </w:r>
      <w:r w:rsidR="00184FE0" w:rsidRPr="00545310">
        <w:rPr>
          <w:rFonts w:cs="Arial"/>
          <w:lang w:val="es-MX"/>
        </w:rPr>
        <w:t>los informes de interventoría demostraron que la constructora se apartó del contrato</w:t>
      </w:r>
      <w:r w:rsidR="005B3187" w:rsidRPr="00545310">
        <w:rPr>
          <w:rFonts w:cs="Arial"/>
          <w:lang w:val="es-MX"/>
        </w:rPr>
        <w:t xml:space="preserve">. Con </w:t>
      </w:r>
      <w:r w:rsidR="004B403D" w:rsidRPr="00545310">
        <w:rPr>
          <w:rFonts w:cs="Arial"/>
          <w:lang w:val="es-MX"/>
        </w:rPr>
        <w:t xml:space="preserve">base en </w:t>
      </w:r>
      <w:r w:rsidR="005B3187" w:rsidRPr="00545310">
        <w:rPr>
          <w:rFonts w:cs="Arial"/>
          <w:lang w:val="es-MX"/>
        </w:rPr>
        <w:t xml:space="preserve">la lectura de los actos administrativos y con </w:t>
      </w:r>
      <w:r w:rsidR="00167479" w:rsidRPr="00545310">
        <w:rPr>
          <w:rFonts w:cs="Arial"/>
          <w:lang w:val="es-MX"/>
        </w:rPr>
        <w:t xml:space="preserve">fundamento en </w:t>
      </w:r>
      <w:r w:rsidR="005B3187" w:rsidRPr="00545310">
        <w:rPr>
          <w:rFonts w:cs="Arial"/>
          <w:lang w:val="es-MX"/>
        </w:rPr>
        <w:t>los testimonios practicados en el proceso</w:t>
      </w:r>
      <w:r w:rsidR="004B403D" w:rsidRPr="00545310">
        <w:rPr>
          <w:rFonts w:cs="Arial"/>
          <w:lang w:val="es-MX"/>
        </w:rPr>
        <w:t>,</w:t>
      </w:r>
      <w:r w:rsidR="005B3187" w:rsidRPr="00545310">
        <w:rPr>
          <w:rFonts w:cs="Arial"/>
          <w:lang w:val="es-MX"/>
        </w:rPr>
        <w:t xml:space="preserve"> </w:t>
      </w:r>
      <w:r w:rsidR="00BA5AEC" w:rsidRPr="00545310">
        <w:rPr>
          <w:rFonts w:cs="Arial"/>
          <w:lang w:val="es-MX"/>
        </w:rPr>
        <w:t xml:space="preserve">el Tribunal </w:t>
      </w:r>
      <w:r w:rsidR="00167479" w:rsidRPr="00545310">
        <w:rPr>
          <w:rFonts w:cs="Arial"/>
          <w:i/>
          <w:lang w:val="es-MX"/>
        </w:rPr>
        <w:t>a quo</w:t>
      </w:r>
      <w:r w:rsidR="00167479" w:rsidRPr="00545310">
        <w:rPr>
          <w:rFonts w:cs="Arial"/>
          <w:lang w:val="es-MX"/>
        </w:rPr>
        <w:t xml:space="preserve"> </w:t>
      </w:r>
      <w:r w:rsidR="00BA5AEC" w:rsidRPr="00545310">
        <w:rPr>
          <w:rFonts w:cs="Arial"/>
          <w:lang w:val="es-MX"/>
        </w:rPr>
        <w:t xml:space="preserve">corroboró </w:t>
      </w:r>
      <w:r w:rsidR="005B3187" w:rsidRPr="00545310">
        <w:rPr>
          <w:rFonts w:cs="Arial"/>
          <w:lang w:val="es-MX"/>
        </w:rPr>
        <w:t xml:space="preserve">que el incumplimiento </w:t>
      </w:r>
      <w:r w:rsidR="004B403D" w:rsidRPr="00545310">
        <w:rPr>
          <w:rFonts w:cs="Arial"/>
          <w:lang w:val="es-MX"/>
        </w:rPr>
        <w:t xml:space="preserve">de la contratista </w:t>
      </w:r>
      <w:r w:rsidR="005B3187" w:rsidRPr="00545310">
        <w:rPr>
          <w:rFonts w:cs="Arial"/>
          <w:lang w:val="es-MX"/>
        </w:rPr>
        <w:t>fue reiterado y grave.</w:t>
      </w:r>
      <w:r w:rsidR="005B3187" w:rsidRPr="00545310">
        <w:rPr>
          <w:rFonts w:cs="Arial"/>
          <w:b/>
          <w:lang w:val="es-MX"/>
        </w:rPr>
        <w:t xml:space="preserve"> </w:t>
      </w:r>
      <w:r w:rsidR="00D67ED9" w:rsidRPr="00545310">
        <w:rPr>
          <w:rFonts w:cs="Arial"/>
          <w:b/>
          <w:lang w:val="es-MX"/>
        </w:rPr>
        <w:t xml:space="preserve"> </w:t>
      </w:r>
    </w:p>
    <w:p w14:paraId="0F0A7776" w14:textId="77777777" w:rsidR="00D67ED9" w:rsidRPr="00545310" w:rsidRDefault="00D67ED9" w:rsidP="00C56CF1">
      <w:pPr>
        <w:pStyle w:val="Lista2"/>
        <w:ind w:left="0" w:firstLine="0"/>
        <w:rPr>
          <w:rFonts w:cs="Arial"/>
          <w:b/>
          <w:lang w:val="es-MX"/>
        </w:rPr>
      </w:pPr>
    </w:p>
    <w:p w14:paraId="1F95A86F" w14:textId="77777777" w:rsidR="00822B71" w:rsidRPr="00545310" w:rsidRDefault="00D67ED9" w:rsidP="00C56CF1">
      <w:pPr>
        <w:pStyle w:val="Lista2"/>
        <w:ind w:left="0" w:firstLine="0"/>
        <w:rPr>
          <w:rFonts w:cs="Arial"/>
          <w:lang w:val="es-MX"/>
        </w:rPr>
      </w:pPr>
      <w:r w:rsidRPr="00545310">
        <w:rPr>
          <w:rFonts w:cs="Arial"/>
          <w:lang w:val="es-MX"/>
        </w:rPr>
        <w:t xml:space="preserve">El Tribunal </w:t>
      </w:r>
      <w:r w:rsidR="004B403D" w:rsidRPr="00545310">
        <w:rPr>
          <w:rFonts w:cs="Arial"/>
          <w:i/>
          <w:lang w:val="es-MX"/>
        </w:rPr>
        <w:t>a quo</w:t>
      </w:r>
      <w:r w:rsidR="004B403D" w:rsidRPr="00545310">
        <w:rPr>
          <w:rFonts w:cs="Arial"/>
          <w:lang w:val="es-MX"/>
        </w:rPr>
        <w:t xml:space="preserve"> se apoyó en </w:t>
      </w:r>
      <w:r w:rsidR="00BA5AEC" w:rsidRPr="00545310">
        <w:rPr>
          <w:rFonts w:cs="Arial"/>
          <w:lang w:val="es-MX"/>
        </w:rPr>
        <w:t xml:space="preserve">las declaraciones de los distintos testigos y concluyó </w:t>
      </w:r>
      <w:r w:rsidRPr="00545310">
        <w:rPr>
          <w:rFonts w:cs="Arial"/>
          <w:lang w:val="es-MX"/>
        </w:rPr>
        <w:t xml:space="preserve">que los perjuicios </w:t>
      </w:r>
      <w:r w:rsidR="00822B71" w:rsidRPr="00545310">
        <w:rPr>
          <w:rFonts w:cs="Arial"/>
          <w:lang w:val="es-MX"/>
        </w:rPr>
        <w:t>-</w:t>
      </w:r>
      <w:r w:rsidRPr="00545310">
        <w:rPr>
          <w:rFonts w:cs="Arial"/>
          <w:lang w:val="es-MX"/>
        </w:rPr>
        <w:t>derivados del incumplimiento palmario que llevó a declarar la caducidad del contrato</w:t>
      </w:r>
      <w:r w:rsidR="00822B71" w:rsidRPr="00545310">
        <w:rPr>
          <w:rFonts w:cs="Arial"/>
          <w:lang w:val="es-MX"/>
        </w:rPr>
        <w:t>-</w:t>
      </w:r>
      <w:r w:rsidRPr="00545310">
        <w:rPr>
          <w:rFonts w:cs="Arial"/>
          <w:lang w:val="es-MX"/>
        </w:rPr>
        <w:t xml:space="preserve"> estaban claramente establecidos y que eran ciertos e indiscutibles, en cuanto se referían a la obra </w:t>
      </w:r>
      <w:r w:rsidR="00BA5AEC" w:rsidRPr="00545310">
        <w:rPr>
          <w:rFonts w:cs="Arial"/>
          <w:lang w:val="es-MX"/>
        </w:rPr>
        <w:t xml:space="preserve">contratada, </w:t>
      </w:r>
      <w:r w:rsidRPr="00545310">
        <w:rPr>
          <w:rFonts w:cs="Arial"/>
          <w:lang w:val="es-MX"/>
        </w:rPr>
        <w:t>que el contratista no terminó.</w:t>
      </w:r>
      <w:r w:rsidR="00D71AAB" w:rsidRPr="00545310">
        <w:rPr>
          <w:rFonts w:cs="Arial"/>
          <w:lang w:val="es-MX"/>
        </w:rPr>
        <w:t xml:space="preserve"> </w:t>
      </w:r>
    </w:p>
    <w:p w14:paraId="4B6B7780" w14:textId="77777777" w:rsidR="00822B71" w:rsidRPr="00545310" w:rsidRDefault="00822B71" w:rsidP="00C56CF1">
      <w:pPr>
        <w:pStyle w:val="Lista2"/>
        <w:ind w:left="0" w:firstLine="0"/>
        <w:rPr>
          <w:rFonts w:cs="Arial"/>
          <w:lang w:val="es-MX"/>
        </w:rPr>
      </w:pPr>
    </w:p>
    <w:p w14:paraId="74D446C8" w14:textId="77777777" w:rsidR="00A11D82" w:rsidRPr="00545310" w:rsidRDefault="00D71AAB" w:rsidP="00C56CF1">
      <w:pPr>
        <w:pStyle w:val="Lista2"/>
        <w:ind w:left="0" w:firstLine="0"/>
        <w:rPr>
          <w:rFonts w:cs="Arial"/>
          <w:lang w:val="es-MX"/>
        </w:rPr>
      </w:pPr>
      <w:r w:rsidRPr="00545310">
        <w:rPr>
          <w:rFonts w:cs="Arial"/>
          <w:lang w:val="es-MX"/>
        </w:rPr>
        <w:t>Reseñó que los testigos indicaron que las obras por ejecutar fueron determinadas de acuerdo con la medición de lo ejecutado y con el informe del área de estudios pr</w:t>
      </w:r>
      <w:r w:rsidR="00A11D82" w:rsidRPr="00545310">
        <w:rPr>
          <w:rFonts w:cs="Arial"/>
          <w:lang w:val="es-MX"/>
        </w:rPr>
        <w:t>e</w:t>
      </w:r>
      <w:r w:rsidRPr="00545310">
        <w:rPr>
          <w:rFonts w:cs="Arial"/>
          <w:lang w:val="es-MX"/>
        </w:rPr>
        <w:t>vios con base en el cual se estableció el perjuicio por el mayor costo de la obra en que ten</w:t>
      </w:r>
      <w:r w:rsidR="00A11D82" w:rsidRPr="00545310">
        <w:rPr>
          <w:rFonts w:cs="Arial"/>
          <w:lang w:val="es-MX"/>
        </w:rPr>
        <w:t>ía que incurrir FONADE, por cuenta del incumplimiento del contratista.</w:t>
      </w:r>
    </w:p>
    <w:p w14:paraId="0EAC6C55" w14:textId="77777777" w:rsidR="00167479" w:rsidRPr="00545310" w:rsidRDefault="00167479" w:rsidP="00C56CF1">
      <w:pPr>
        <w:pStyle w:val="Lista2"/>
        <w:ind w:left="0" w:firstLine="0"/>
        <w:rPr>
          <w:rFonts w:cs="Arial"/>
          <w:b/>
          <w:lang w:val="es-MX"/>
        </w:rPr>
      </w:pPr>
    </w:p>
    <w:p w14:paraId="07C4AE28" w14:textId="77777777" w:rsidR="003368A5" w:rsidRPr="00545310" w:rsidRDefault="002763FC" w:rsidP="00C56CF1">
      <w:pPr>
        <w:pStyle w:val="Lista2"/>
        <w:ind w:left="0" w:firstLine="0"/>
        <w:rPr>
          <w:rFonts w:cs="Arial"/>
          <w:lang w:val="es-MX"/>
        </w:rPr>
      </w:pPr>
      <w:r w:rsidRPr="00545310">
        <w:rPr>
          <w:rFonts w:cs="Arial"/>
          <w:b/>
          <w:lang w:val="es-MX"/>
        </w:rPr>
        <w:t>6</w:t>
      </w:r>
      <w:r w:rsidR="006F124D" w:rsidRPr="00545310">
        <w:rPr>
          <w:rFonts w:cs="Arial"/>
          <w:b/>
          <w:lang w:val="es-MX"/>
        </w:rPr>
        <w:t xml:space="preserve">.3. </w:t>
      </w:r>
      <w:r w:rsidR="00CC080B" w:rsidRPr="00545310">
        <w:rPr>
          <w:rFonts w:cs="Arial"/>
          <w:lang w:val="es-MX"/>
        </w:rPr>
        <w:t xml:space="preserve">Con fundamento en lo narrado por los testigos, el Tribunal </w:t>
      </w:r>
      <w:r w:rsidR="00822B71" w:rsidRPr="00545310">
        <w:rPr>
          <w:rFonts w:cs="Arial"/>
          <w:i/>
          <w:lang w:val="es-MX"/>
        </w:rPr>
        <w:t>a quo</w:t>
      </w:r>
      <w:r w:rsidR="00822B71" w:rsidRPr="00545310">
        <w:rPr>
          <w:rFonts w:cs="Arial"/>
          <w:lang w:val="es-MX"/>
        </w:rPr>
        <w:t xml:space="preserve"> </w:t>
      </w:r>
      <w:r w:rsidR="00CC080B" w:rsidRPr="00545310">
        <w:rPr>
          <w:rFonts w:cs="Arial"/>
          <w:lang w:val="es-MX"/>
        </w:rPr>
        <w:t>concluyó que “</w:t>
      </w:r>
      <w:r w:rsidR="00CC080B" w:rsidRPr="00545310">
        <w:rPr>
          <w:rFonts w:cs="Arial"/>
          <w:i/>
          <w:lang w:val="es-MX"/>
        </w:rPr>
        <w:t>la actuación adelantada por FONADE tuvo plena observancia del debido proceso”,</w:t>
      </w:r>
      <w:r w:rsidR="00CC080B" w:rsidRPr="00545310">
        <w:rPr>
          <w:rFonts w:cs="Arial"/>
          <w:lang w:val="es-MX"/>
        </w:rPr>
        <w:t xml:space="preserve"> a lo cual agregó que</w:t>
      </w:r>
      <w:r w:rsidR="00822B71" w:rsidRPr="00545310">
        <w:rPr>
          <w:rFonts w:cs="Arial"/>
          <w:lang w:val="es-MX"/>
        </w:rPr>
        <w:t xml:space="preserve">, por su parte, </w:t>
      </w:r>
      <w:r w:rsidR="00CC080B" w:rsidRPr="00545310">
        <w:rPr>
          <w:rFonts w:cs="Arial"/>
          <w:lang w:val="es-MX"/>
        </w:rPr>
        <w:t>la demandante falló en la carga de la prueba</w:t>
      </w:r>
      <w:r w:rsidR="0013388B" w:rsidRPr="00545310">
        <w:rPr>
          <w:rFonts w:cs="Arial"/>
          <w:lang w:val="es-MX"/>
        </w:rPr>
        <w:t>,</w:t>
      </w:r>
      <w:r w:rsidR="00CC080B" w:rsidRPr="00545310">
        <w:rPr>
          <w:rFonts w:cs="Arial"/>
          <w:lang w:val="es-MX"/>
        </w:rPr>
        <w:t xml:space="preserve"> dado que </w:t>
      </w:r>
      <w:r w:rsidR="00822B71" w:rsidRPr="00545310">
        <w:rPr>
          <w:rFonts w:cs="Arial"/>
          <w:lang w:val="es-MX"/>
        </w:rPr>
        <w:t xml:space="preserve">dejó de probar </w:t>
      </w:r>
      <w:r w:rsidR="00CC080B" w:rsidRPr="00545310">
        <w:rPr>
          <w:rFonts w:cs="Arial"/>
          <w:lang w:val="es-MX"/>
        </w:rPr>
        <w:t xml:space="preserve">que las cuantías </w:t>
      </w:r>
      <w:r w:rsidR="003368A5" w:rsidRPr="00545310">
        <w:rPr>
          <w:rFonts w:cs="Arial"/>
          <w:lang w:val="es-MX"/>
        </w:rPr>
        <w:t>contenidas en los actos administrativos “</w:t>
      </w:r>
      <w:r w:rsidR="003368A5" w:rsidRPr="00545310">
        <w:rPr>
          <w:rFonts w:cs="Arial"/>
          <w:i/>
          <w:lang w:val="es-MX"/>
        </w:rPr>
        <w:t>no consultaban la real pérdida</w:t>
      </w:r>
      <w:r w:rsidR="003368A5" w:rsidRPr="00545310">
        <w:rPr>
          <w:rFonts w:cs="Arial"/>
          <w:lang w:val="es-MX"/>
        </w:rPr>
        <w:t>”</w:t>
      </w:r>
      <w:r w:rsidR="003368A5" w:rsidRPr="00545310">
        <w:rPr>
          <w:rStyle w:val="Refdenotaalpie"/>
          <w:rFonts w:cs="Arial"/>
          <w:lang w:val="es-MX"/>
        </w:rPr>
        <w:footnoteReference w:id="13"/>
      </w:r>
      <w:r w:rsidR="003368A5" w:rsidRPr="00545310">
        <w:rPr>
          <w:rFonts w:cs="Arial"/>
          <w:lang w:val="es-MX"/>
        </w:rPr>
        <w:t>.</w:t>
      </w:r>
    </w:p>
    <w:p w14:paraId="1F59EDA1" w14:textId="77777777" w:rsidR="003368A5" w:rsidRPr="00545310" w:rsidRDefault="003368A5" w:rsidP="00C56CF1">
      <w:pPr>
        <w:pStyle w:val="Lista2"/>
        <w:ind w:left="0" w:firstLine="0"/>
        <w:rPr>
          <w:rFonts w:cs="Arial"/>
          <w:lang w:val="es-MX"/>
        </w:rPr>
      </w:pPr>
    </w:p>
    <w:p w14:paraId="57FDFCB3" w14:textId="77777777" w:rsidR="00E36C4B" w:rsidRPr="00545310" w:rsidRDefault="002763FC" w:rsidP="00C56CF1">
      <w:pPr>
        <w:pStyle w:val="Lista2"/>
        <w:ind w:left="0" w:firstLine="0"/>
        <w:rPr>
          <w:rFonts w:cs="Arial"/>
          <w:lang w:val="es-MX"/>
        </w:rPr>
      </w:pPr>
      <w:r w:rsidRPr="00545310">
        <w:rPr>
          <w:rFonts w:cs="Arial"/>
          <w:b/>
          <w:lang w:val="es-MX"/>
        </w:rPr>
        <w:t>6</w:t>
      </w:r>
      <w:r w:rsidR="006F124D" w:rsidRPr="00545310">
        <w:rPr>
          <w:rFonts w:cs="Arial"/>
          <w:b/>
          <w:lang w:val="es-MX"/>
        </w:rPr>
        <w:t xml:space="preserve">.4. </w:t>
      </w:r>
      <w:r w:rsidR="00E36C4B" w:rsidRPr="00545310">
        <w:rPr>
          <w:rFonts w:cs="Arial"/>
          <w:lang w:val="es-MX"/>
        </w:rPr>
        <w:t xml:space="preserve">Finalmente, en torno de la excepción por violación del principio de </w:t>
      </w:r>
      <w:r w:rsidR="00E36C4B" w:rsidRPr="00545310">
        <w:rPr>
          <w:rFonts w:cs="Arial"/>
          <w:i/>
          <w:lang w:val="es-MX"/>
        </w:rPr>
        <w:t xml:space="preserve">no </w:t>
      </w:r>
      <w:r w:rsidR="00E36C4B" w:rsidRPr="00545310">
        <w:rPr>
          <w:rFonts w:cs="Arial"/>
          <w:lang w:val="es-MX"/>
        </w:rPr>
        <w:t xml:space="preserve"> </w:t>
      </w:r>
      <w:proofErr w:type="spellStart"/>
      <w:r w:rsidR="00E36C4B" w:rsidRPr="00545310">
        <w:rPr>
          <w:rFonts w:cs="Arial"/>
          <w:i/>
          <w:lang w:val="es-MX"/>
        </w:rPr>
        <w:t>reformatio</w:t>
      </w:r>
      <w:proofErr w:type="spellEnd"/>
      <w:r w:rsidR="00E36C4B" w:rsidRPr="00545310">
        <w:rPr>
          <w:rFonts w:cs="Arial"/>
          <w:i/>
          <w:lang w:val="es-MX"/>
        </w:rPr>
        <w:t xml:space="preserve"> in </w:t>
      </w:r>
      <w:proofErr w:type="spellStart"/>
      <w:r w:rsidR="00E36C4B" w:rsidRPr="00545310">
        <w:rPr>
          <w:rFonts w:cs="Arial"/>
          <w:i/>
          <w:lang w:val="es-MX"/>
        </w:rPr>
        <w:t>pejus</w:t>
      </w:r>
      <w:proofErr w:type="spellEnd"/>
      <w:r w:rsidR="00E36C4B" w:rsidRPr="00545310">
        <w:rPr>
          <w:rFonts w:cs="Arial"/>
          <w:lang w:val="es-MX"/>
        </w:rPr>
        <w:t xml:space="preserve">, el Tribunal </w:t>
      </w:r>
      <w:r w:rsidR="00E36C4B" w:rsidRPr="00545310">
        <w:rPr>
          <w:rFonts w:cs="Arial"/>
          <w:i/>
          <w:lang w:val="es-MX"/>
        </w:rPr>
        <w:t>a quo</w:t>
      </w:r>
      <w:r w:rsidR="00E36C4B" w:rsidRPr="00545310">
        <w:rPr>
          <w:rFonts w:cs="Arial"/>
          <w:lang w:val="es-MX"/>
        </w:rPr>
        <w:t xml:space="preserve"> observó que la compañía aseguradora no fue la única </w:t>
      </w:r>
      <w:r w:rsidR="004F7786" w:rsidRPr="00545310">
        <w:rPr>
          <w:rFonts w:cs="Arial"/>
          <w:lang w:val="es-MX"/>
        </w:rPr>
        <w:t>que presentó recurso de reposición</w:t>
      </w:r>
      <w:r w:rsidR="0013388B" w:rsidRPr="00545310">
        <w:rPr>
          <w:rFonts w:cs="Arial"/>
          <w:lang w:val="es-MX"/>
        </w:rPr>
        <w:t>,</w:t>
      </w:r>
      <w:r w:rsidR="00E36C4B" w:rsidRPr="00545310">
        <w:rPr>
          <w:rFonts w:cs="Arial"/>
          <w:lang w:val="es-MX"/>
        </w:rPr>
        <w:t xml:space="preserve"> dado que la constructora también </w:t>
      </w:r>
      <w:r w:rsidR="004F7786" w:rsidRPr="00545310">
        <w:rPr>
          <w:rFonts w:cs="Arial"/>
          <w:lang w:val="es-MX"/>
        </w:rPr>
        <w:t xml:space="preserve">lo </w:t>
      </w:r>
      <w:r w:rsidR="00E36C4B" w:rsidRPr="00545310">
        <w:rPr>
          <w:rFonts w:cs="Arial"/>
          <w:lang w:val="es-MX"/>
        </w:rPr>
        <w:t xml:space="preserve">interpuso </w:t>
      </w:r>
      <w:r w:rsidR="004F7786" w:rsidRPr="00545310">
        <w:rPr>
          <w:rFonts w:cs="Arial"/>
          <w:lang w:val="es-MX"/>
        </w:rPr>
        <w:t>y lo sustentó</w:t>
      </w:r>
      <w:r w:rsidR="00E36C4B" w:rsidRPr="00545310">
        <w:rPr>
          <w:rFonts w:cs="Arial"/>
          <w:lang w:val="es-MX"/>
        </w:rPr>
        <w:t xml:space="preserve">, circunstancia en la cual la Administración no estaba limitada por los argumentos de la aseguradora, ahora demandante. </w:t>
      </w:r>
    </w:p>
    <w:p w14:paraId="45D4363E" w14:textId="77777777" w:rsidR="00167479" w:rsidRPr="00545310" w:rsidRDefault="00167479" w:rsidP="00C56CF1">
      <w:pPr>
        <w:pStyle w:val="Lista2"/>
        <w:ind w:left="0" w:firstLine="0"/>
        <w:rPr>
          <w:rFonts w:cs="Arial"/>
          <w:b/>
          <w:lang w:val="es-MX"/>
        </w:rPr>
      </w:pPr>
    </w:p>
    <w:p w14:paraId="7931D2D8" w14:textId="77777777" w:rsidR="000E6697" w:rsidRPr="00545310" w:rsidRDefault="002763FC" w:rsidP="00C56CF1">
      <w:pPr>
        <w:pStyle w:val="Lista2"/>
        <w:ind w:left="0" w:firstLine="0"/>
        <w:rPr>
          <w:rFonts w:cs="Arial"/>
          <w:b/>
          <w:lang w:val="es-MX"/>
        </w:rPr>
      </w:pPr>
      <w:r w:rsidRPr="00545310">
        <w:rPr>
          <w:rFonts w:cs="Arial"/>
          <w:b/>
          <w:lang w:val="es-MX"/>
        </w:rPr>
        <w:t>7</w:t>
      </w:r>
      <w:r w:rsidR="00C23021" w:rsidRPr="00545310">
        <w:rPr>
          <w:rFonts w:cs="Arial"/>
          <w:b/>
          <w:lang w:val="es-MX"/>
        </w:rPr>
        <w:t>.</w:t>
      </w:r>
      <w:r w:rsidR="00A25E83" w:rsidRPr="00545310">
        <w:rPr>
          <w:rFonts w:cs="Arial"/>
          <w:b/>
          <w:lang w:val="es-MX"/>
        </w:rPr>
        <w:t xml:space="preserve"> </w:t>
      </w:r>
      <w:r w:rsidR="00484F35" w:rsidRPr="00545310">
        <w:rPr>
          <w:rFonts w:cs="Arial"/>
          <w:b/>
          <w:lang w:val="es-MX"/>
        </w:rPr>
        <w:t>El</w:t>
      </w:r>
      <w:r w:rsidR="000E6697" w:rsidRPr="00545310">
        <w:rPr>
          <w:rFonts w:cs="Arial"/>
          <w:b/>
          <w:lang w:val="es-MX"/>
        </w:rPr>
        <w:t xml:space="preserve"> recurso de apelación</w:t>
      </w:r>
      <w:r w:rsidR="00F21484" w:rsidRPr="00545310">
        <w:rPr>
          <w:rFonts w:cs="Arial"/>
          <w:b/>
          <w:lang w:val="es-MX"/>
        </w:rPr>
        <w:t xml:space="preserve"> </w:t>
      </w:r>
    </w:p>
    <w:p w14:paraId="07729F02" w14:textId="77777777" w:rsidR="00751B7F" w:rsidRPr="00545310" w:rsidRDefault="00751B7F" w:rsidP="00F21484">
      <w:pPr>
        <w:rPr>
          <w:rFonts w:cs="Arial"/>
          <w:bCs/>
          <w:lang w:val="es-MX"/>
        </w:rPr>
      </w:pPr>
    </w:p>
    <w:p w14:paraId="534AD0FD" w14:textId="77777777" w:rsidR="001F1DCD" w:rsidRPr="00545310" w:rsidRDefault="00167479" w:rsidP="007B4785">
      <w:pPr>
        <w:pStyle w:val="Textoindependiente"/>
        <w:rPr>
          <w:rFonts w:cs="Arial"/>
          <w:szCs w:val="24"/>
        </w:rPr>
      </w:pPr>
      <w:r w:rsidRPr="00545310">
        <w:rPr>
          <w:rFonts w:cs="Arial"/>
          <w:szCs w:val="24"/>
        </w:rPr>
        <w:t>CONFIANZA</w:t>
      </w:r>
      <w:r w:rsidR="0013388B" w:rsidRPr="00545310">
        <w:rPr>
          <w:rFonts w:cs="Arial"/>
          <w:szCs w:val="24"/>
        </w:rPr>
        <w:t>,</w:t>
      </w:r>
      <w:r w:rsidR="005263F8" w:rsidRPr="00545310">
        <w:rPr>
          <w:rFonts w:cs="Arial"/>
          <w:szCs w:val="24"/>
        </w:rPr>
        <w:t xml:space="preserve"> obrando como </w:t>
      </w:r>
      <w:r w:rsidR="00D70853" w:rsidRPr="00545310">
        <w:rPr>
          <w:rFonts w:cs="Arial"/>
          <w:szCs w:val="24"/>
        </w:rPr>
        <w:t xml:space="preserve">parte </w:t>
      </w:r>
      <w:r w:rsidR="00106CCD" w:rsidRPr="00545310">
        <w:rPr>
          <w:rFonts w:cs="Arial"/>
          <w:szCs w:val="24"/>
        </w:rPr>
        <w:t>demanda</w:t>
      </w:r>
      <w:r w:rsidR="00D72FAD" w:rsidRPr="00545310">
        <w:rPr>
          <w:rFonts w:cs="Arial"/>
          <w:szCs w:val="24"/>
        </w:rPr>
        <w:t>nte</w:t>
      </w:r>
      <w:r w:rsidR="005263F8" w:rsidRPr="00545310">
        <w:rPr>
          <w:rFonts w:cs="Arial"/>
          <w:szCs w:val="24"/>
        </w:rPr>
        <w:t>,</w:t>
      </w:r>
      <w:r w:rsidR="00106CCD" w:rsidRPr="00545310">
        <w:rPr>
          <w:rFonts w:cs="Arial"/>
          <w:szCs w:val="24"/>
        </w:rPr>
        <w:t xml:space="preserve"> </w:t>
      </w:r>
      <w:r w:rsidR="00033A87" w:rsidRPr="00545310">
        <w:rPr>
          <w:rFonts w:cs="Arial"/>
          <w:szCs w:val="24"/>
        </w:rPr>
        <w:t>impugn</w:t>
      </w:r>
      <w:r w:rsidR="00E84FE1" w:rsidRPr="00545310">
        <w:rPr>
          <w:rFonts w:cs="Arial"/>
          <w:szCs w:val="24"/>
        </w:rPr>
        <w:t>ó</w:t>
      </w:r>
      <w:r w:rsidR="00033A87" w:rsidRPr="00545310">
        <w:rPr>
          <w:rFonts w:cs="Arial"/>
          <w:szCs w:val="24"/>
        </w:rPr>
        <w:t xml:space="preserve"> la </w:t>
      </w:r>
      <w:r w:rsidR="00DA568E" w:rsidRPr="00545310">
        <w:rPr>
          <w:rFonts w:cs="Arial"/>
          <w:szCs w:val="24"/>
        </w:rPr>
        <w:t>sentencia de primera instancia</w:t>
      </w:r>
      <w:r w:rsidR="002E1E4B" w:rsidRPr="00545310">
        <w:rPr>
          <w:rFonts w:cs="Arial"/>
          <w:szCs w:val="24"/>
        </w:rPr>
        <w:t>,</w:t>
      </w:r>
      <w:r w:rsidR="00C56CF1" w:rsidRPr="00545310">
        <w:rPr>
          <w:rFonts w:cs="Arial"/>
          <w:szCs w:val="24"/>
        </w:rPr>
        <w:t xml:space="preserve"> </w:t>
      </w:r>
      <w:r w:rsidRPr="00545310">
        <w:rPr>
          <w:rFonts w:cs="Arial"/>
          <w:szCs w:val="24"/>
        </w:rPr>
        <w:t>mediante escrito presentado el 13 de agosto de 2014</w:t>
      </w:r>
      <w:r w:rsidRPr="00545310">
        <w:rPr>
          <w:rStyle w:val="Refdenotaalpie"/>
          <w:rFonts w:cs="Arial"/>
          <w:szCs w:val="24"/>
        </w:rPr>
        <w:footnoteReference w:id="14"/>
      </w:r>
      <w:r w:rsidRPr="00545310">
        <w:rPr>
          <w:rFonts w:cs="Arial"/>
          <w:szCs w:val="24"/>
        </w:rPr>
        <w:t>.</w:t>
      </w:r>
    </w:p>
    <w:p w14:paraId="78405BC3" w14:textId="77777777" w:rsidR="001F1DCD" w:rsidRPr="00545310" w:rsidRDefault="001F1DCD" w:rsidP="007B4785">
      <w:pPr>
        <w:pStyle w:val="Textoindependiente"/>
        <w:rPr>
          <w:rFonts w:cs="Arial"/>
          <w:szCs w:val="24"/>
        </w:rPr>
      </w:pPr>
    </w:p>
    <w:p w14:paraId="580D5095" w14:textId="77777777" w:rsidR="001F1DCD" w:rsidRPr="00545310" w:rsidRDefault="001F1DCD" w:rsidP="007B4785">
      <w:pPr>
        <w:pStyle w:val="Textoindependiente"/>
        <w:rPr>
          <w:rFonts w:cs="Arial"/>
          <w:szCs w:val="24"/>
        </w:rPr>
      </w:pPr>
      <w:r w:rsidRPr="00545310">
        <w:rPr>
          <w:rFonts w:cs="Arial"/>
          <w:szCs w:val="24"/>
        </w:rPr>
        <w:t>En cuanto a la apreciación sobre el debido proceso, la apelante indicó</w:t>
      </w:r>
      <w:r w:rsidR="0013388B" w:rsidRPr="00545310">
        <w:rPr>
          <w:rFonts w:cs="Arial"/>
          <w:szCs w:val="24"/>
        </w:rPr>
        <w:t xml:space="preserve"> (se transcribe literal incluso con posibles errores)</w:t>
      </w:r>
      <w:r w:rsidRPr="00545310">
        <w:rPr>
          <w:rFonts w:cs="Arial"/>
          <w:szCs w:val="24"/>
        </w:rPr>
        <w:t>:</w:t>
      </w:r>
    </w:p>
    <w:p w14:paraId="11D95101" w14:textId="77777777" w:rsidR="003E668E" w:rsidRPr="00545310" w:rsidRDefault="003E668E" w:rsidP="003E668E">
      <w:pPr>
        <w:pStyle w:val="Textoindependiente"/>
        <w:spacing w:line="276" w:lineRule="auto"/>
        <w:ind w:left="567" w:right="567"/>
        <w:rPr>
          <w:rFonts w:cs="Arial"/>
          <w:i/>
          <w:szCs w:val="24"/>
        </w:rPr>
      </w:pPr>
    </w:p>
    <w:p w14:paraId="590543EA" w14:textId="77777777" w:rsidR="00D80F17" w:rsidRPr="00545310" w:rsidRDefault="001F1DCD" w:rsidP="003E668E">
      <w:pPr>
        <w:pStyle w:val="Textoindependiente"/>
        <w:spacing w:line="276" w:lineRule="auto"/>
        <w:ind w:left="567" w:right="567"/>
        <w:rPr>
          <w:rFonts w:cs="Arial"/>
          <w:i/>
          <w:szCs w:val="24"/>
        </w:rPr>
      </w:pPr>
      <w:r w:rsidRPr="00545310">
        <w:rPr>
          <w:rFonts w:cs="Arial"/>
          <w:i/>
          <w:szCs w:val="24"/>
        </w:rPr>
        <w:t xml:space="preserve">“Lo que ocurrió en el caso sub examine, tal y como se demostró en el proceso, fue que FONADE </w:t>
      </w:r>
      <w:r w:rsidRPr="00545310">
        <w:rPr>
          <w:rFonts w:cs="Arial"/>
          <w:i/>
          <w:szCs w:val="24"/>
          <w:u w:val="single"/>
        </w:rPr>
        <w:t>nunca</w:t>
      </w:r>
      <w:r w:rsidRPr="00545310">
        <w:rPr>
          <w:rFonts w:cs="Arial"/>
          <w:i/>
          <w:szCs w:val="24"/>
        </w:rPr>
        <w:t xml:space="preserve"> le corrió traslado a la aseguradora de los informes t</w:t>
      </w:r>
      <w:r w:rsidR="00D80F17" w:rsidRPr="00545310">
        <w:rPr>
          <w:rFonts w:cs="Arial"/>
          <w:i/>
          <w:szCs w:val="24"/>
        </w:rPr>
        <w:t>é</w:t>
      </w:r>
      <w:r w:rsidRPr="00545310">
        <w:rPr>
          <w:rFonts w:cs="Arial"/>
          <w:i/>
          <w:szCs w:val="24"/>
        </w:rPr>
        <w:t>cnicos en los que se tasaron los perjuicios adicionales causados c</w:t>
      </w:r>
      <w:r w:rsidR="003E668E" w:rsidRPr="00545310">
        <w:rPr>
          <w:rFonts w:cs="Arial"/>
          <w:i/>
          <w:szCs w:val="24"/>
        </w:rPr>
        <w:t>o</w:t>
      </w:r>
      <w:r w:rsidRPr="00545310">
        <w:rPr>
          <w:rFonts w:cs="Arial"/>
          <w:i/>
          <w:szCs w:val="24"/>
        </w:rPr>
        <w:t xml:space="preserve">mo consecuencia </w:t>
      </w:r>
      <w:r w:rsidR="003E668E" w:rsidRPr="00545310">
        <w:rPr>
          <w:rFonts w:cs="Arial"/>
          <w:i/>
          <w:szCs w:val="24"/>
        </w:rPr>
        <w:t>d</w:t>
      </w:r>
      <w:r w:rsidRPr="00545310">
        <w:rPr>
          <w:rFonts w:cs="Arial"/>
          <w:i/>
          <w:szCs w:val="24"/>
        </w:rPr>
        <w:t>el incumplimi</w:t>
      </w:r>
      <w:r w:rsidR="003E668E" w:rsidRPr="00545310">
        <w:rPr>
          <w:rFonts w:cs="Arial"/>
          <w:i/>
          <w:szCs w:val="24"/>
        </w:rPr>
        <w:t>e</w:t>
      </w:r>
      <w:r w:rsidRPr="00545310">
        <w:rPr>
          <w:rFonts w:cs="Arial"/>
          <w:i/>
          <w:szCs w:val="24"/>
        </w:rPr>
        <w:t>nto</w:t>
      </w:r>
      <w:r w:rsidR="00D80F17" w:rsidRPr="00545310">
        <w:rPr>
          <w:rFonts w:cs="Arial"/>
          <w:i/>
          <w:szCs w:val="24"/>
        </w:rPr>
        <w:t xml:space="preserve"> (…) lo que implica una flagrante violación al debido proceso de la aseguradora, violación que da lugar a que se declare la nulidad de las resoluciones”</w:t>
      </w:r>
      <w:r w:rsidR="00D80F17" w:rsidRPr="00545310">
        <w:rPr>
          <w:rStyle w:val="Refdenotaalpie"/>
          <w:rFonts w:cs="Arial"/>
          <w:i/>
          <w:szCs w:val="24"/>
        </w:rPr>
        <w:footnoteReference w:id="15"/>
      </w:r>
      <w:r w:rsidR="00D80F17" w:rsidRPr="00545310">
        <w:rPr>
          <w:rFonts w:cs="Arial"/>
          <w:i/>
          <w:szCs w:val="24"/>
        </w:rPr>
        <w:t>.</w:t>
      </w:r>
    </w:p>
    <w:p w14:paraId="3A0B5CD2" w14:textId="77777777" w:rsidR="00091032" w:rsidRPr="00545310" w:rsidRDefault="00091032" w:rsidP="003E668E">
      <w:pPr>
        <w:pStyle w:val="Textoindependiente"/>
        <w:spacing w:line="276" w:lineRule="auto"/>
        <w:ind w:left="567" w:right="567"/>
        <w:rPr>
          <w:rFonts w:cs="Arial"/>
          <w:i/>
          <w:szCs w:val="24"/>
        </w:rPr>
      </w:pPr>
    </w:p>
    <w:p w14:paraId="60F4C4F2" w14:textId="77777777" w:rsidR="00584152" w:rsidRPr="00545310" w:rsidRDefault="00091032" w:rsidP="003E668E">
      <w:pPr>
        <w:pStyle w:val="Textoindependiente"/>
        <w:spacing w:line="276" w:lineRule="auto"/>
        <w:ind w:left="567" w:right="567"/>
        <w:rPr>
          <w:rFonts w:cs="Arial"/>
          <w:i/>
          <w:szCs w:val="24"/>
        </w:rPr>
      </w:pPr>
      <w:r w:rsidRPr="00545310">
        <w:rPr>
          <w:rFonts w:cs="Arial"/>
          <w:i/>
          <w:szCs w:val="24"/>
        </w:rPr>
        <w:t>“</w:t>
      </w:r>
      <w:r w:rsidR="00584152" w:rsidRPr="00545310">
        <w:rPr>
          <w:rFonts w:cs="Arial"/>
          <w:i/>
          <w:szCs w:val="24"/>
        </w:rPr>
        <w:t>(…)</w:t>
      </w:r>
      <w:r w:rsidR="006F7E22" w:rsidRPr="00545310">
        <w:rPr>
          <w:rFonts w:cs="Arial"/>
          <w:i/>
          <w:szCs w:val="24"/>
        </w:rPr>
        <w:t>.</w:t>
      </w:r>
    </w:p>
    <w:p w14:paraId="29345DE5" w14:textId="77777777" w:rsidR="00091032" w:rsidRPr="00545310" w:rsidRDefault="00091032" w:rsidP="003E668E">
      <w:pPr>
        <w:pStyle w:val="Textoindependiente"/>
        <w:spacing w:line="276" w:lineRule="auto"/>
        <w:ind w:left="567" w:right="567"/>
        <w:rPr>
          <w:rFonts w:cs="Arial"/>
          <w:i/>
          <w:szCs w:val="24"/>
        </w:rPr>
      </w:pPr>
    </w:p>
    <w:p w14:paraId="5902D5D5" w14:textId="77777777" w:rsidR="00584152" w:rsidRPr="00545310" w:rsidRDefault="00091032" w:rsidP="003E668E">
      <w:pPr>
        <w:pStyle w:val="Textoindependiente"/>
        <w:spacing w:line="276" w:lineRule="auto"/>
        <w:ind w:left="567" w:right="567"/>
        <w:rPr>
          <w:rFonts w:cs="Arial"/>
          <w:i/>
          <w:szCs w:val="24"/>
        </w:rPr>
      </w:pPr>
      <w:r w:rsidRPr="00545310">
        <w:rPr>
          <w:rFonts w:cs="Arial"/>
          <w:i/>
          <w:szCs w:val="24"/>
        </w:rPr>
        <w:lastRenderedPageBreak/>
        <w:t>“</w:t>
      </w:r>
      <w:r w:rsidR="00584152" w:rsidRPr="00545310">
        <w:rPr>
          <w:rFonts w:cs="Arial"/>
          <w:i/>
          <w:szCs w:val="24"/>
        </w:rPr>
        <w:t>Es importante tener en cuenta que para esta fecha, aún NO se había expedido la Ley 1474 de 2011, Estatuto Anticorrupción, que reguló un procedimi</w:t>
      </w:r>
      <w:r w:rsidRPr="00545310">
        <w:rPr>
          <w:rFonts w:cs="Arial"/>
          <w:i/>
          <w:szCs w:val="24"/>
        </w:rPr>
        <w:t>ento</w:t>
      </w:r>
      <w:r w:rsidR="00584152" w:rsidRPr="00545310">
        <w:rPr>
          <w:rFonts w:cs="Arial"/>
          <w:i/>
          <w:szCs w:val="24"/>
        </w:rPr>
        <w:t xml:space="preserve"> oral para la declaración de caducidad</w:t>
      </w:r>
      <w:r w:rsidRPr="00545310">
        <w:rPr>
          <w:rFonts w:cs="Arial"/>
          <w:i/>
          <w:szCs w:val="24"/>
        </w:rPr>
        <w:t>.</w:t>
      </w:r>
      <w:r w:rsidR="00584152" w:rsidRPr="00545310">
        <w:rPr>
          <w:rFonts w:cs="Arial"/>
          <w:i/>
          <w:szCs w:val="24"/>
        </w:rPr>
        <w:t xml:space="preserve"> Por tal razón</w:t>
      </w:r>
      <w:r w:rsidRPr="00545310">
        <w:rPr>
          <w:rFonts w:cs="Arial"/>
          <w:i/>
          <w:szCs w:val="24"/>
        </w:rPr>
        <w:t>;</w:t>
      </w:r>
    </w:p>
    <w:p w14:paraId="5CD23CB2" w14:textId="77777777" w:rsidR="00091032" w:rsidRPr="00545310" w:rsidRDefault="00091032" w:rsidP="003E668E">
      <w:pPr>
        <w:pStyle w:val="Textoindependiente"/>
        <w:spacing w:line="276" w:lineRule="auto"/>
        <w:ind w:left="567" w:right="567"/>
        <w:rPr>
          <w:rFonts w:cs="Arial"/>
          <w:i/>
          <w:szCs w:val="24"/>
        </w:rPr>
      </w:pPr>
    </w:p>
    <w:p w14:paraId="086F5D39" w14:textId="77777777" w:rsidR="003E668E" w:rsidRPr="00545310" w:rsidRDefault="003E668E" w:rsidP="003E668E">
      <w:pPr>
        <w:pStyle w:val="Textoindependiente"/>
        <w:numPr>
          <w:ilvl w:val="0"/>
          <w:numId w:val="32"/>
        </w:numPr>
        <w:spacing w:line="276" w:lineRule="auto"/>
        <w:ind w:left="567" w:right="567" w:firstLine="0"/>
        <w:rPr>
          <w:rFonts w:cs="Arial"/>
          <w:i/>
          <w:szCs w:val="24"/>
        </w:rPr>
      </w:pPr>
      <w:r w:rsidRPr="00545310">
        <w:rPr>
          <w:rFonts w:cs="Arial"/>
          <w:i/>
          <w:szCs w:val="24"/>
        </w:rPr>
        <w:t xml:space="preserve">No se profirió acto administrativo </w:t>
      </w:r>
      <w:proofErr w:type="spellStart"/>
      <w:r w:rsidRPr="00545310">
        <w:rPr>
          <w:rFonts w:cs="Arial"/>
          <w:i/>
          <w:szCs w:val="24"/>
        </w:rPr>
        <w:t>aperturando</w:t>
      </w:r>
      <w:proofErr w:type="spellEnd"/>
      <w:r w:rsidRPr="00545310">
        <w:rPr>
          <w:rFonts w:cs="Arial"/>
          <w:i/>
          <w:szCs w:val="24"/>
        </w:rPr>
        <w:t xml:space="preserve"> el pro</w:t>
      </w:r>
      <w:r w:rsidR="00584152" w:rsidRPr="00545310">
        <w:rPr>
          <w:rFonts w:cs="Arial"/>
          <w:i/>
          <w:szCs w:val="24"/>
        </w:rPr>
        <w:t>c</w:t>
      </w:r>
      <w:r w:rsidRPr="00545310">
        <w:rPr>
          <w:rFonts w:cs="Arial"/>
          <w:i/>
          <w:szCs w:val="24"/>
        </w:rPr>
        <w:t>eso sancionatorio.</w:t>
      </w:r>
    </w:p>
    <w:p w14:paraId="3357FE0B" w14:textId="77777777" w:rsidR="003E668E" w:rsidRPr="00545310" w:rsidRDefault="003E668E" w:rsidP="003E668E">
      <w:pPr>
        <w:pStyle w:val="Textoindependiente"/>
        <w:numPr>
          <w:ilvl w:val="0"/>
          <w:numId w:val="32"/>
        </w:numPr>
        <w:spacing w:line="276" w:lineRule="auto"/>
        <w:ind w:left="567" w:right="567" w:firstLine="0"/>
        <w:rPr>
          <w:rFonts w:cs="Arial"/>
          <w:i/>
          <w:szCs w:val="24"/>
        </w:rPr>
      </w:pPr>
      <w:r w:rsidRPr="00545310">
        <w:rPr>
          <w:rFonts w:cs="Arial"/>
          <w:i/>
          <w:szCs w:val="24"/>
        </w:rPr>
        <w:t>No se le corrió traslado a la aseguradora ni a la cont</w:t>
      </w:r>
      <w:r w:rsidR="00887BDB" w:rsidRPr="00545310">
        <w:rPr>
          <w:rFonts w:cs="Arial"/>
          <w:i/>
          <w:szCs w:val="24"/>
        </w:rPr>
        <w:t>r</w:t>
      </w:r>
      <w:r w:rsidR="00091032" w:rsidRPr="00545310">
        <w:rPr>
          <w:rFonts w:cs="Arial"/>
          <w:i/>
          <w:szCs w:val="24"/>
        </w:rPr>
        <w:t>a</w:t>
      </w:r>
      <w:r w:rsidRPr="00545310">
        <w:rPr>
          <w:rFonts w:cs="Arial"/>
          <w:i/>
          <w:szCs w:val="24"/>
        </w:rPr>
        <w:t>tista de</w:t>
      </w:r>
      <w:r w:rsidR="00091032" w:rsidRPr="00545310">
        <w:rPr>
          <w:rFonts w:cs="Arial"/>
          <w:i/>
          <w:szCs w:val="24"/>
        </w:rPr>
        <w:t>l</w:t>
      </w:r>
      <w:r w:rsidRPr="00545310">
        <w:rPr>
          <w:rFonts w:cs="Arial"/>
          <w:i/>
          <w:szCs w:val="24"/>
        </w:rPr>
        <w:t xml:space="preserve"> </w:t>
      </w:r>
      <w:r w:rsidR="00091032" w:rsidRPr="00545310">
        <w:rPr>
          <w:rFonts w:cs="Arial"/>
          <w:i/>
          <w:szCs w:val="24"/>
        </w:rPr>
        <w:t>inf</w:t>
      </w:r>
      <w:r w:rsidRPr="00545310">
        <w:rPr>
          <w:rFonts w:cs="Arial"/>
          <w:i/>
          <w:szCs w:val="24"/>
        </w:rPr>
        <w:t>orme del Á</w:t>
      </w:r>
      <w:r w:rsidR="00091032" w:rsidRPr="00545310">
        <w:rPr>
          <w:rFonts w:cs="Arial"/>
          <w:i/>
          <w:szCs w:val="24"/>
        </w:rPr>
        <w:t xml:space="preserve">rea de </w:t>
      </w:r>
      <w:r w:rsidRPr="00545310">
        <w:rPr>
          <w:rFonts w:cs="Arial"/>
          <w:i/>
          <w:szCs w:val="24"/>
        </w:rPr>
        <w:t>Estudios Previos de FONADE</w:t>
      </w:r>
      <w:r w:rsidR="00091032" w:rsidRPr="00545310">
        <w:rPr>
          <w:rFonts w:cs="Arial"/>
          <w:i/>
          <w:szCs w:val="24"/>
        </w:rPr>
        <w:t>.</w:t>
      </w:r>
    </w:p>
    <w:p w14:paraId="51B9B786" w14:textId="77777777" w:rsidR="00091032" w:rsidRPr="00545310" w:rsidRDefault="00091032" w:rsidP="00091032">
      <w:pPr>
        <w:pStyle w:val="Textoindependiente"/>
        <w:spacing w:line="276" w:lineRule="auto"/>
        <w:ind w:right="567"/>
        <w:rPr>
          <w:rFonts w:cs="Arial"/>
          <w:i/>
          <w:szCs w:val="24"/>
        </w:rPr>
      </w:pPr>
    </w:p>
    <w:p w14:paraId="5CC26D1D" w14:textId="77777777" w:rsidR="006660E1" w:rsidRPr="00545310" w:rsidRDefault="00887BDB" w:rsidP="00887BDB">
      <w:pPr>
        <w:pStyle w:val="Textoindependiente"/>
        <w:spacing w:line="276" w:lineRule="auto"/>
        <w:ind w:left="567" w:right="567"/>
        <w:rPr>
          <w:rFonts w:cs="Arial"/>
          <w:i/>
          <w:szCs w:val="24"/>
        </w:rPr>
      </w:pPr>
      <w:r w:rsidRPr="00545310">
        <w:rPr>
          <w:rFonts w:cs="Arial"/>
          <w:i/>
          <w:szCs w:val="24"/>
        </w:rPr>
        <w:t>“</w:t>
      </w:r>
      <w:r w:rsidR="00091032" w:rsidRPr="00545310">
        <w:rPr>
          <w:rFonts w:cs="Arial"/>
          <w:i/>
          <w:szCs w:val="24"/>
        </w:rPr>
        <w:t>Tampoco se le dio oportunidad a la aseguradora de controvertir el porcentaje de ejecución del contrato</w:t>
      </w:r>
      <w:r w:rsidR="00B30AF2" w:rsidRPr="00545310">
        <w:rPr>
          <w:rFonts w:cs="Arial"/>
          <w:i/>
          <w:szCs w:val="24"/>
        </w:rPr>
        <w:t>.</w:t>
      </w:r>
    </w:p>
    <w:p w14:paraId="29E0DEC8" w14:textId="77777777" w:rsidR="006660E1" w:rsidRPr="00545310" w:rsidRDefault="006660E1" w:rsidP="00887BDB">
      <w:pPr>
        <w:pStyle w:val="Textoindependiente"/>
        <w:spacing w:line="276" w:lineRule="auto"/>
        <w:ind w:left="567" w:right="567"/>
        <w:rPr>
          <w:rFonts w:cs="Arial"/>
          <w:i/>
          <w:szCs w:val="24"/>
        </w:rPr>
      </w:pPr>
    </w:p>
    <w:p w14:paraId="32CF720D" w14:textId="77777777" w:rsidR="006660E1" w:rsidRPr="00545310" w:rsidRDefault="004F7786" w:rsidP="00887BDB">
      <w:pPr>
        <w:pStyle w:val="Textoindependiente"/>
        <w:spacing w:line="276" w:lineRule="auto"/>
        <w:ind w:left="567" w:right="567"/>
        <w:rPr>
          <w:rFonts w:cs="Arial"/>
          <w:i/>
          <w:szCs w:val="24"/>
        </w:rPr>
      </w:pPr>
      <w:r w:rsidRPr="00545310">
        <w:rPr>
          <w:rFonts w:cs="Arial"/>
          <w:i/>
          <w:szCs w:val="24"/>
        </w:rPr>
        <w:t>“</w:t>
      </w:r>
      <w:r w:rsidR="006660E1" w:rsidRPr="00545310">
        <w:rPr>
          <w:rFonts w:cs="Arial"/>
          <w:i/>
          <w:szCs w:val="24"/>
        </w:rPr>
        <w:t>(…).</w:t>
      </w:r>
    </w:p>
    <w:p w14:paraId="5B573CEE" w14:textId="77777777" w:rsidR="006660E1" w:rsidRPr="00545310" w:rsidRDefault="006660E1" w:rsidP="00887BDB">
      <w:pPr>
        <w:pStyle w:val="Textoindependiente"/>
        <w:spacing w:line="276" w:lineRule="auto"/>
        <w:ind w:left="567" w:right="567"/>
        <w:rPr>
          <w:rFonts w:cs="Arial"/>
          <w:i/>
          <w:szCs w:val="24"/>
        </w:rPr>
      </w:pPr>
    </w:p>
    <w:p w14:paraId="3CC958FE" w14:textId="77777777" w:rsidR="006660E1" w:rsidRPr="00545310" w:rsidRDefault="004F7786" w:rsidP="00887BDB">
      <w:pPr>
        <w:pStyle w:val="Textoindependiente"/>
        <w:spacing w:line="276" w:lineRule="auto"/>
        <w:ind w:left="567" w:right="567"/>
        <w:rPr>
          <w:rFonts w:cs="Arial"/>
          <w:i/>
          <w:szCs w:val="24"/>
        </w:rPr>
      </w:pPr>
      <w:r w:rsidRPr="00545310">
        <w:rPr>
          <w:rFonts w:cs="Arial"/>
          <w:i/>
          <w:szCs w:val="24"/>
        </w:rPr>
        <w:t>“</w:t>
      </w:r>
      <w:r w:rsidR="006660E1" w:rsidRPr="00545310">
        <w:rPr>
          <w:rFonts w:cs="Arial"/>
          <w:i/>
          <w:szCs w:val="24"/>
        </w:rPr>
        <w:t>Adicionalmente no se adelantó un trámite administrativo que garantizara el de</w:t>
      </w:r>
      <w:r w:rsidR="00982C61" w:rsidRPr="00545310">
        <w:rPr>
          <w:rFonts w:cs="Arial"/>
          <w:i/>
          <w:szCs w:val="24"/>
        </w:rPr>
        <w:t>r</w:t>
      </w:r>
      <w:r w:rsidR="006660E1" w:rsidRPr="00545310">
        <w:rPr>
          <w:rFonts w:cs="Arial"/>
          <w:i/>
          <w:szCs w:val="24"/>
        </w:rPr>
        <w:t>echo de audiencia, en el que se permitiera a las partes conocer las pruebas recaudadas (…).</w:t>
      </w:r>
    </w:p>
    <w:p w14:paraId="1367DCA5" w14:textId="77777777" w:rsidR="006660E1" w:rsidRPr="00545310" w:rsidRDefault="006660E1" w:rsidP="00887BDB">
      <w:pPr>
        <w:pStyle w:val="Textoindependiente"/>
        <w:spacing w:line="276" w:lineRule="auto"/>
        <w:ind w:left="567" w:right="567"/>
        <w:rPr>
          <w:rFonts w:cs="Arial"/>
          <w:i/>
          <w:szCs w:val="24"/>
        </w:rPr>
      </w:pPr>
    </w:p>
    <w:p w14:paraId="12886DA7" w14:textId="77777777" w:rsidR="00887BDB" w:rsidRPr="00545310" w:rsidRDefault="004F7786" w:rsidP="00887BDB">
      <w:pPr>
        <w:pStyle w:val="Textoindependiente"/>
        <w:spacing w:line="276" w:lineRule="auto"/>
        <w:ind w:left="567" w:right="567"/>
        <w:rPr>
          <w:rFonts w:cs="Arial"/>
          <w:i/>
          <w:szCs w:val="24"/>
        </w:rPr>
      </w:pPr>
      <w:r w:rsidRPr="00545310">
        <w:rPr>
          <w:rFonts w:cs="Arial"/>
          <w:i/>
          <w:szCs w:val="24"/>
        </w:rPr>
        <w:t>“</w:t>
      </w:r>
      <w:r w:rsidR="006660E1" w:rsidRPr="00545310">
        <w:rPr>
          <w:rFonts w:cs="Arial"/>
          <w:i/>
          <w:szCs w:val="24"/>
        </w:rPr>
        <w:t>Y para esa fecha ya el Consejo de Estado había proferido varias sentencias</w:t>
      </w:r>
      <w:r w:rsidR="00982C61" w:rsidRPr="00545310">
        <w:rPr>
          <w:rFonts w:cs="Arial"/>
          <w:i/>
          <w:szCs w:val="24"/>
        </w:rPr>
        <w:t xml:space="preserve"> en las que sostuvo que siempre y en todo caso, en tratándose de declaración de caducidad admin</w:t>
      </w:r>
      <w:r w:rsidRPr="00545310">
        <w:rPr>
          <w:rFonts w:cs="Arial"/>
          <w:i/>
          <w:szCs w:val="24"/>
        </w:rPr>
        <w:t>i</w:t>
      </w:r>
      <w:r w:rsidR="00982C61" w:rsidRPr="00545310">
        <w:rPr>
          <w:rFonts w:cs="Arial"/>
          <w:i/>
          <w:szCs w:val="24"/>
        </w:rPr>
        <w:t>strativa del contrato, se debía garantizar el debido proceso y particularmente, el derecho de defensa, tanto a la contratista como a la aseguradora”</w:t>
      </w:r>
      <w:r w:rsidR="00982C61" w:rsidRPr="00545310">
        <w:rPr>
          <w:rStyle w:val="Refdenotaalpie"/>
          <w:rFonts w:cs="Arial"/>
          <w:i/>
          <w:szCs w:val="24"/>
        </w:rPr>
        <w:footnoteReference w:id="16"/>
      </w:r>
      <w:r w:rsidR="00982C61" w:rsidRPr="00545310">
        <w:rPr>
          <w:rFonts w:cs="Arial"/>
          <w:i/>
          <w:szCs w:val="24"/>
        </w:rPr>
        <w:t>.</w:t>
      </w:r>
    </w:p>
    <w:p w14:paraId="16E34CA1" w14:textId="77777777" w:rsidR="00887BDB" w:rsidRPr="00545310" w:rsidRDefault="00887BDB" w:rsidP="00887BDB">
      <w:pPr>
        <w:pStyle w:val="Textoindependiente"/>
        <w:spacing w:line="276" w:lineRule="auto"/>
        <w:ind w:left="567" w:right="567"/>
        <w:rPr>
          <w:rFonts w:cs="Arial"/>
          <w:i/>
          <w:szCs w:val="24"/>
        </w:rPr>
      </w:pPr>
    </w:p>
    <w:p w14:paraId="28FF6F5E" w14:textId="77777777" w:rsidR="00517C92" w:rsidRPr="00545310" w:rsidRDefault="00517C92" w:rsidP="007B4785">
      <w:pPr>
        <w:pStyle w:val="Textoindependiente"/>
        <w:rPr>
          <w:rFonts w:cs="Arial"/>
          <w:szCs w:val="24"/>
        </w:rPr>
      </w:pPr>
    </w:p>
    <w:p w14:paraId="6A60296F" w14:textId="77777777" w:rsidR="00517C92" w:rsidRPr="00545310" w:rsidRDefault="00887BDB" w:rsidP="007B4785">
      <w:pPr>
        <w:pStyle w:val="Textoindependiente"/>
        <w:rPr>
          <w:rFonts w:cs="Arial"/>
          <w:szCs w:val="24"/>
        </w:rPr>
      </w:pPr>
      <w:r w:rsidRPr="00545310">
        <w:rPr>
          <w:rFonts w:cs="Arial"/>
          <w:szCs w:val="24"/>
        </w:rPr>
        <w:t xml:space="preserve">Frente a la </w:t>
      </w:r>
      <w:r w:rsidR="00B30AF2" w:rsidRPr="00545310">
        <w:rPr>
          <w:rFonts w:cs="Arial"/>
          <w:szCs w:val="24"/>
        </w:rPr>
        <w:t xml:space="preserve">suficiencia de la </w:t>
      </w:r>
      <w:r w:rsidRPr="00545310">
        <w:rPr>
          <w:rFonts w:cs="Arial"/>
          <w:szCs w:val="24"/>
        </w:rPr>
        <w:t xml:space="preserve">motivación del acto administrativo, la apelante manifestó que no compartía las consideraciones </w:t>
      </w:r>
      <w:r w:rsidR="00B30AF2" w:rsidRPr="00545310">
        <w:rPr>
          <w:rFonts w:cs="Arial"/>
          <w:szCs w:val="24"/>
        </w:rPr>
        <w:t xml:space="preserve">del </w:t>
      </w:r>
      <w:r w:rsidR="004A4EA9" w:rsidRPr="00545310">
        <w:rPr>
          <w:rFonts w:cs="Arial"/>
          <w:szCs w:val="24"/>
        </w:rPr>
        <w:t>T</w:t>
      </w:r>
      <w:r w:rsidR="00B30AF2" w:rsidRPr="00545310">
        <w:rPr>
          <w:rFonts w:cs="Arial"/>
          <w:szCs w:val="24"/>
        </w:rPr>
        <w:t xml:space="preserve">ribunal </w:t>
      </w:r>
      <w:r w:rsidR="00B30AF2" w:rsidRPr="00545310">
        <w:rPr>
          <w:rFonts w:cs="Arial"/>
          <w:i/>
          <w:szCs w:val="24"/>
        </w:rPr>
        <w:t>a quo</w:t>
      </w:r>
      <w:r w:rsidR="00B30AF2" w:rsidRPr="00545310">
        <w:rPr>
          <w:rFonts w:cs="Arial"/>
          <w:szCs w:val="24"/>
        </w:rPr>
        <w:t xml:space="preserve">, </w:t>
      </w:r>
      <w:r w:rsidRPr="00545310">
        <w:rPr>
          <w:rFonts w:cs="Arial"/>
          <w:szCs w:val="24"/>
        </w:rPr>
        <w:t xml:space="preserve">dado que </w:t>
      </w:r>
      <w:r w:rsidR="00517C92" w:rsidRPr="00545310">
        <w:rPr>
          <w:rFonts w:cs="Arial"/>
          <w:szCs w:val="24"/>
        </w:rPr>
        <w:t>en los actos acusados solo se citó el informe de un área interna de FONADE y “</w:t>
      </w:r>
      <w:r w:rsidR="00517C92" w:rsidRPr="00545310">
        <w:rPr>
          <w:rFonts w:cs="Arial"/>
          <w:i/>
          <w:szCs w:val="24"/>
          <w:u w:val="single"/>
        </w:rPr>
        <w:t>no se determinaron cuáles eran las obras necesarias para la terminación de la institución educativa</w:t>
      </w:r>
      <w:r w:rsidR="00517C92" w:rsidRPr="00545310">
        <w:rPr>
          <w:rFonts w:cs="Arial"/>
          <w:szCs w:val="24"/>
        </w:rPr>
        <w:t>”</w:t>
      </w:r>
      <w:r w:rsidR="00517C92" w:rsidRPr="00545310">
        <w:rPr>
          <w:rStyle w:val="Refdenotaalpie"/>
          <w:rFonts w:cs="Arial"/>
          <w:szCs w:val="24"/>
        </w:rPr>
        <w:footnoteReference w:id="17"/>
      </w:r>
      <w:r w:rsidR="00517C92" w:rsidRPr="00545310">
        <w:rPr>
          <w:rFonts w:cs="Arial"/>
          <w:szCs w:val="24"/>
        </w:rPr>
        <w:t>.</w:t>
      </w:r>
    </w:p>
    <w:p w14:paraId="062281B0" w14:textId="77777777" w:rsidR="003436FF" w:rsidRPr="00545310" w:rsidRDefault="003436FF" w:rsidP="007B4785">
      <w:pPr>
        <w:pStyle w:val="Textoindependiente"/>
        <w:rPr>
          <w:rFonts w:cs="Arial"/>
          <w:szCs w:val="24"/>
        </w:rPr>
      </w:pPr>
    </w:p>
    <w:p w14:paraId="74D5E1CD" w14:textId="77777777" w:rsidR="003436FF" w:rsidRPr="00545310" w:rsidRDefault="003436FF" w:rsidP="007B4785">
      <w:pPr>
        <w:pStyle w:val="Textoindependiente"/>
        <w:rPr>
          <w:rFonts w:cs="Arial"/>
          <w:szCs w:val="24"/>
        </w:rPr>
      </w:pPr>
      <w:r w:rsidRPr="00545310">
        <w:rPr>
          <w:rFonts w:cs="Arial"/>
          <w:szCs w:val="24"/>
        </w:rPr>
        <w:t>También</w:t>
      </w:r>
      <w:r w:rsidR="00295878" w:rsidRPr="00545310">
        <w:rPr>
          <w:rFonts w:cs="Arial"/>
          <w:szCs w:val="24"/>
        </w:rPr>
        <w:t>,</w:t>
      </w:r>
      <w:r w:rsidRPr="00545310">
        <w:rPr>
          <w:rFonts w:cs="Arial"/>
          <w:szCs w:val="24"/>
        </w:rPr>
        <w:t xml:space="preserve"> </w:t>
      </w:r>
      <w:r w:rsidR="00295878" w:rsidRPr="00545310">
        <w:rPr>
          <w:rFonts w:cs="Arial"/>
          <w:szCs w:val="24"/>
        </w:rPr>
        <w:t xml:space="preserve">la apelante </w:t>
      </w:r>
      <w:r w:rsidRPr="00545310">
        <w:rPr>
          <w:rFonts w:cs="Arial"/>
          <w:szCs w:val="24"/>
        </w:rPr>
        <w:t xml:space="preserve">observó que </w:t>
      </w:r>
      <w:r w:rsidR="00295878" w:rsidRPr="00545310">
        <w:rPr>
          <w:rFonts w:cs="Arial"/>
          <w:szCs w:val="24"/>
        </w:rPr>
        <w:t xml:space="preserve">en los </w:t>
      </w:r>
      <w:r w:rsidR="006B13B2" w:rsidRPr="00545310">
        <w:rPr>
          <w:rFonts w:cs="Arial"/>
          <w:szCs w:val="24"/>
        </w:rPr>
        <w:t xml:space="preserve">actos </w:t>
      </w:r>
      <w:r w:rsidR="00295878" w:rsidRPr="00545310">
        <w:rPr>
          <w:rFonts w:cs="Arial"/>
          <w:szCs w:val="24"/>
        </w:rPr>
        <w:t xml:space="preserve">administrativos acusados </w:t>
      </w:r>
      <w:r w:rsidRPr="00545310">
        <w:rPr>
          <w:rFonts w:cs="Arial"/>
          <w:szCs w:val="24"/>
        </w:rPr>
        <w:t>no había claridad acerca de la metodología empleada para determinar los precios de mercado.</w:t>
      </w:r>
    </w:p>
    <w:p w14:paraId="4C445D66" w14:textId="77777777" w:rsidR="003436FF" w:rsidRPr="00545310" w:rsidRDefault="003436FF" w:rsidP="007B4785">
      <w:pPr>
        <w:pStyle w:val="Textoindependiente"/>
        <w:rPr>
          <w:rFonts w:cs="Arial"/>
          <w:szCs w:val="24"/>
        </w:rPr>
      </w:pPr>
    </w:p>
    <w:p w14:paraId="75BFE97E" w14:textId="77777777" w:rsidR="00DB5E97" w:rsidRPr="00545310" w:rsidRDefault="003436FF" w:rsidP="007B4785">
      <w:pPr>
        <w:pStyle w:val="Textoindependiente"/>
        <w:rPr>
          <w:rFonts w:cs="Arial"/>
          <w:szCs w:val="24"/>
        </w:rPr>
      </w:pPr>
      <w:r w:rsidRPr="00545310">
        <w:rPr>
          <w:rFonts w:cs="Arial"/>
          <w:szCs w:val="24"/>
        </w:rPr>
        <w:t xml:space="preserve">Por otra parte, la apelante argumentó que </w:t>
      </w:r>
      <w:r w:rsidR="00DB5E97" w:rsidRPr="00545310">
        <w:rPr>
          <w:rFonts w:cs="Arial"/>
          <w:szCs w:val="24"/>
        </w:rPr>
        <w:t>“</w:t>
      </w:r>
      <w:r w:rsidR="00DB5E97" w:rsidRPr="00545310">
        <w:rPr>
          <w:rFonts w:cs="Arial"/>
          <w:i/>
          <w:szCs w:val="24"/>
        </w:rPr>
        <w:t>se consideró erradamente que la cuantía de los perjuicios era cierta”.</w:t>
      </w:r>
      <w:r w:rsidR="00DB5E97" w:rsidRPr="00545310">
        <w:rPr>
          <w:rFonts w:cs="Arial"/>
          <w:szCs w:val="24"/>
        </w:rPr>
        <w:t xml:space="preserve"> En ese punto </w:t>
      </w:r>
      <w:r w:rsidR="004A4EA9" w:rsidRPr="00545310">
        <w:rPr>
          <w:rFonts w:cs="Arial"/>
          <w:szCs w:val="24"/>
        </w:rPr>
        <w:t xml:space="preserve">del escrito de apelación </w:t>
      </w:r>
      <w:r w:rsidR="00DB5E97" w:rsidRPr="00545310">
        <w:rPr>
          <w:rFonts w:cs="Arial"/>
          <w:szCs w:val="24"/>
        </w:rPr>
        <w:t>indicó</w:t>
      </w:r>
      <w:r w:rsidR="0013388B" w:rsidRPr="00545310">
        <w:rPr>
          <w:rFonts w:cs="Arial"/>
          <w:szCs w:val="24"/>
        </w:rPr>
        <w:t xml:space="preserve"> (se transcribe literal incluso con posibles errores):</w:t>
      </w:r>
    </w:p>
    <w:p w14:paraId="5E6D8600" w14:textId="77777777" w:rsidR="00DB5E97" w:rsidRPr="00545310" w:rsidRDefault="00DB5E97" w:rsidP="007B4785">
      <w:pPr>
        <w:pStyle w:val="Textoindependiente"/>
        <w:rPr>
          <w:rFonts w:cs="Arial"/>
          <w:szCs w:val="24"/>
        </w:rPr>
      </w:pPr>
    </w:p>
    <w:p w14:paraId="2ABA9853" w14:textId="77777777" w:rsidR="00DB5E97" w:rsidRPr="00545310" w:rsidRDefault="00DB5E97" w:rsidP="00B37951">
      <w:pPr>
        <w:pStyle w:val="Textoindependiente"/>
        <w:spacing w:line="276" w:lineRule="auto"/>
        <w:ind w:left="567" w:right="567"/>
        <w:rPr>
          <w:rFonts w:cs="Arial"/>
          <w:szCs w:val="24"/>
        </w:rPr>
      </w:pPr>
      <w:r w:rsidRPr="00545310">
        <w:rPr>
          <w:rFonts w:cs="Arial"/>
          <w:szCs w:val="24"/>
        </w:rPr>
        <w:lastRenderedPageBreak/>
        <w:t>“</w:t>
      </w:r>
      <w:r w:rsidRPr="00545310">
        <w:rPr>
          <w:rFonts w:cs="Arial"/>
          <w:i/>
          <w:szCs w:val="24"/>
        </w:rPr>
        <w:t xml:space="preserve">Afirmamos que los perjuicios no son ciertos, </w:t>
      </w:r>
      <w:r w:rsidR="00B37951" w:rsidRPr="00545310">
        <w:rPr>
          <w:rFonts w:cs="Arial"/>
          <w:i/>
          <w:szCs w:val="24"/>
        </w:rPr>
        <w:t>no porque no haya certeza sobre su causación, sino sobre su cuantía. Por eso empleamos la palabra perjuicios (consecuenciales) y no daños (lesión)”</w:t>
      </w:r>
      <w:r w:rsidR="00E60F6F" w:rsidRPr="00545310">
        <w:rPr>
          <w:rFonts w:cs="Arial"/>
          <w:i/>
          <w:szCs w:val="24"/>
        </w:rPr>
        <w:t>.</w:t>
      </w:r>
    </w:p>
    <w:p w14:paraId="53727853" w14:textId="77777777" w:rsidR="00DB5E97" w:rsidRPr="00545310" w:rsidRDefault="00DB5E97" w:rsidP="007B4785">
      <w:pPr>
        <w:pStyle w:val="Textoindependiente"/>
        <w:rPr>
          <w:rFonts w:cs="Arial"/>
          <w:szCs w:val="24"/>
        </w:rPr>
      </w:pPr>
    </w:p>
    <w:p w14:paraId="697EEFA0" w14:textId="77777777" w:rsidR="00991BF6" w:rsidRPr="00545310" w:rsidRDefault="00991BF6" w:rsidP="007B4785">
      <w:pPr>
        <w:pStyle w:val="Textoindependiente"/>
        <w:rPr>
          <w:rFonts w:cs="Arial"/>
          <w:szCs w:val="24"/>
        </w:rPr>
      </w:pPr>
      <w:r w:rsidRPr="00545310">
        <w:rPr>
          <w:rFonts w:cs="Arial"/>
          <w:szCs w:val="24"/>
        </w:rPr>
        <w:t xml:space="preserve">La compañía aseguradora </w:t>
      </w:r>
      <w:r w:rsidR="00DB5E97" w:rsidRPr="00545310">
        <w:rPr>
          <w:rFonts w:cs="Arial"/>
          <w:szCs w:val="24"/>
        </w:rPr>
        <w:t>a</w:t>
      </w:r>
      <w:r w:rsidR="007113B5" w:rsidRPr="00545310">
        <w:rPr>
          <w:rFonts w:cs="Arial"/>
          <w:szCs w:val="24"/>
        </w:rPr>
        <w:t xml:space="preserve">gregó </w:t>
      </w:r>
      <w:r w:rsidRPr="00545310">
        <w:rPr>
          <w:rFonts w:cs="Arial"/>
          <w:szCs w:val="24"/>
        </w:rPr>
        <w:t xml:space="preserve">en su apelación </w:t>
      </w:r>
      <w:r w:rsidR="00DB5E97" w:rsidRPr="00545310">
        <w:rPr>
          <w:rFonts w:cs="Arial"/>
          <w:szCs w:val="24"/>
        </w:rPr>
        <w:t xml:space="preserve">que </w:t>
      </w:r>
      <w:r w:rsidR="006B13B2" w:rsidRPr="00545310">
        <w:rPr>
          <w:rFonts w:cs="Arial"/>
          <w:szCs w:val="24"/>
        </w:rPr>
        <w:t xml:space="preserve">esa entidad </w:t>
      </w:r>
      <w:r w:rsidR="00DB5E97" w:rsidRPr="00545310">
        <w:rPr>
          <w:rFonts w:cs="Arial"/>
          <w:szCs w:val="24"/>
        </w:rPr>
        <w:t>no desatendió su carga probatoria</w:t>
      </w:r>
      <w:r w:rsidRPr="00545310">
        <w:rPr>
          <w:rFonts w:cs="Arial"/>
          <w:szCs w:val="24"/>
        </w:rPr>
        <w:t xml:space="preserve">, por cuanto aportó las resoluciones </w:t>
      </w:r>
      <w:r w:rsidR="006B13B2" w:rsidRPr="00545310">
        <w:rPr>
          <w:rFonts w:cs="Arial"/>
          <w:szCs w:val="24"/>
        </w:rPr>
        <w:t xml:space="preserve">y en ellas no se </w:t>
      </w:r>
      <w:r w:rsidRPr="00545310">
        <w:rPr>
          <w:rFonts w:cs="Arial"/>
          <w:szCs w:val="24"/>
        </w:rPr>
        <w:t xml:space="preserve">menciona el traslado </w:t>
      </w:r>
      <w:r w:rsidR="006B13B2" w:rsidRPr="00545310">
        <w:rPr>
          <w:rFonts w:cs="Arial"/>
          <w:szCs w:val="24"/>
        </w:rPr>
        <w:t>de</w:t>
      </w:r>
      <w:r w:rsidR="007113B5" w:rsidRPr="00545310">
        <w:rPr>
          <w:rFonts w:cs="Arial"/>
          <w:szCs w:val="24"/>
        </w:rPr>
        <w:t xml:space="preserve">l </w:t>
      </w:r>
      <w:r w:rsidR="006B13B2" w:rsidRPr="00545310">
        <w:rPr>
          <w:rFonts w:cs="Arial"/>
          <w:szCs w:val="24"/>
        </w:rPr>
        <w:t>informe</w:t>
      </w:r>
      <w:r w:rsidR="007113B5" w:rsidRPr="00545310">
        <w:rPr>
          <w:rFonts w:cs="Arial"/>
          <w:szCs w:val="24"/>
        </w:rPr>
        <w:t xml:space="preserve"> realizado solo con dos días de anticipación a la fecha en </w:t>
      </w:r>
      <w:r w:rsidR="00E60F6F" w:rsidRPr="00545310">
        <w:rPr>
          <w:rFonts w:cs="Arial"/>
          <w:szCs w:val="24"/>
        </w:rPr>
        <w:t xml:space="preserve">la cual </w:t>
      </w:r>
      <w:r w:rsidR="007113B5" w:rsidRPr="00545310">
        <w:rPr>
          <w:rFonts w:cs="Arial"/>
          <w:szCs w:val="24"/>
        </w:rPr>
        <w:t xml:space="preserve">se decretó la caducidad del contrato. </w:t>
      </w:r>
      <w:r w:rsidR="006B13B2" w:rsidRPr="00545310">
        <w:rPr>
          <w:rFonts w:cs="Arial"/>
          <w:szCs w:val="24"/>
        </w:rPr>
        <w:t xml:space="preserve">Agregó que </w:t>
      </w:r>
      <w:r w:rsidRPr="00545310">
        <w:rPr>
          <w:rFonts w:cs="Arial"/>
          <w:szCs w:val="24"/>
        </w:rPr>
        <w:t xml:space="preserve">en su oportunidad contrainterrogó a los testigos y logró corroborar </w:t>
      </w:r>
      <w:r w:rsidR="007113B5" w:rsidRPr="00545310">
        <w:rPr>
          <w:rFonts w:cs="Arial"/>
          <w:szCs w:val="24"/>
        </w:rPr>
        <w:t xml:space="preserve">dentro del proceso </w:t>
      </w:r>
      <w:r w:rsidRPr="00545310">
        <w:rPr>
          <w:rFonts w:cs="Arial"/>
          <w:szCs w:val="24"/>
        </w:rPr>
        <w:t xml:space="preserve">que no se había corrido traslado del informe interno. </w:t>
      </w:r>
    </w:p>
    <w:p w14:paraId="45BBC768" w14:textId="77777777" w:rsidR="00991BF6" w:rsidRPr="00545310" w:rsidRDefault="00991BF6" w:rsidP="007B4785">
      <w:pPr>
        <w:pStyle w:val="Textoindependiente"/>
        <w:rPr>
          <w:rFonts w:cs="Arial"/>
          <w:szCs w:val="24"/>
        </w:rPr>
      </w:pPr>
    </w:p>
    <w:p w14:paraId="4FDDCB67" w14:textId="77777777" w:rsidR="002D21AC" w:rsidRPr="00545310" w:rsidRDefault="00991BF6" w:rsidP="007B4785">
      <w:pPr>
        <w:pStyle w:val="Textoindependiente"/>
        <w:rPr>
          <w:rFonts w:cs="Arial"/>
          <w:szCs w:val="24"/>
        </w:rPr>
      </w:pPr>
      <w:r w:rsidRPr="00545310">
        <w:rPr>
          <w:rFonts w:cs="Arial"/>
          <w:szCs w:val="24"/>
        </w:rPr>
        <w:t>Finalmente</w:t>
      </w:r>
      <w:r w:rsidR="00F26830" w:rsidRPr="00545310">
        <w:rPr>
          <w:rFonts w:cs="Arial"/>
          <w:szCs w:val="24"/>
        </w:rPr>
        <w:t xml:space="preserve">, la </w:t>
      </w:r>
      <w:r w:rsidR="006B13B2" w:rsidRPr="00545310">
        <w:rPr>
          <w:rFonts w:cs="Arial"/>
          <w:szCs w:val="24"/>
        </w:rPr>
        <w:t xml:space="preserve">apelante </w:t>
      </w:r>
      <w:r w:rsidRPr="00545310">
        <w:rPr>
          <w:rFonts w:cs="Arial"/>
          <w:szCs w:val="24"/>
        </w:rPr>
        <w:t xml:space="preserve">insistió en que </w:t>
      </w:r>
      <w:r w:rsidR="00DB5E97" w:rsidRPr="00545310">
        <w:rPr>
          <w:rFonts w:cs="Arial"/>
          <w:szCs w:val="24"/>
        </w:rPr>
        <w:t xml:space="preserve">se violó el principio de la </w:t>
      </w:r>
      <w:r w:rsidR="00DB5E97" w:rsidRPr="00545310">
        <w:rPr>
          <w:rFonts w:cs="Arial"/>
          <w:i/>
          <w:szCs w:val="24"/>
        </w:rPr>
        <w:t xml:space="preserve">no </w:t>
      </w:r>
      <w:proofErr w:type="spellStart"/>
      <w:r w:rsidR="00DB5E97" w:rsidRPr="00545310">
        <w:rPr>
          <w:rFonts w:cs="Arial"/>
          <w:i/>
          <w:szCs w:val="24"/>
        </w:rPr>
        <w:t>reformatio</w:t>
      </w:r>
      <w:proofErr w:type="spellEnd"/>
      <w:r w:rsidR="00DB5E97" w:rsidRPr="00545310">
        <w:rPr>
          <w:rFonts w:cs="Arial"/>
          <w:i/>
          <w:szCs w:val="24"/>
        </w:rPr>
        <w:t xml:space="preserve"> in </w:t>
      </w:r>
      <w:proofErr w:type="spellStart"/>
      <w:r w:rsidR="00DB5E97" w:rsidRPr="00545310">
        <w:rPr>
          <w:rFonts w:cs="Arial"/>
          <w:i/>
          <w:szCs w:val="24"/>
        </w:rPr>
        <w:t>pejus</w:t>
      </w:r>
      <w:proofErr w:type="spellEnd"/>
      <w:r w:rsidR="002D21AC" w:rsidRPr="00545310">
        <w:rPr>
          <w:rFonts w:cs="Arial"/>
          <w:szCs w:val="24"/>
        </w:rPr>
        <w:t xml:space="preserve">, dado que </w:t>
      </w:r>
      <w:r w:rsidR="002D21AC" w:rsidRPr="00545310">
        <w:rPr>
          <w:rFonts w:cs="Arial"/>
          <w:i/>
          <w:szCs w:val="24"/>
        </w:rPr>
        <w:t>“FONADE, valiéndose del recurso de reposición interpuesto por el contratista Construcciones André y por Confianza”</w:t>
      </w:r>
      <w:r w:rsidR="00F26830" w:rsidRPr="00545310">
        <w:rPr>
          <w:rStyle w:val="Refdenotaalpie"/>
          <w:rFonts w:cs="Arial"/>
          <w:szCs w:val="24"/>
        </w:rPr>
        <w:footnoteReference w:id="18"/>
      </w:r>
      <w:r w:rsidR="00F26830" w:rsidRPr="00545310">
        <w:rPr>
          <w:rFonts w:cs="Arial"/>
          <w:i/>
          <w:szCs w:val="24"/>
        </w:rPr>
        <w:t xml:space="preserve">, </w:t>
      </w:r>
      <w:r w:rsidR="00F26830" w:rsidRPr="00545310">
        <w:rPr>
          <w:rFonts w:cs="Arial"/>
          <w:szCs w:val="24"/>
        </w:rPr>
        <w:t>aumentó el valor de afectación de la póliza de seguro.</w:t>
      </w:r>
    </w:p>
    <w:p w14:paraId="0AD11A78" w14:textId="77777777" w:rsidR="00175A43" w:rsidRPr="00545310" w:rsidRDefault="00175A43" w:rsidP="00106CCD">
      <w:pPr>
        <w:rPr>
          <w:rFonts w:cs="Arial"/>
          <w:bCs/>
          <w:lang w:val="es-MX"/>
        </w:rPr>
      </w:pPr>
    </w:p>
    <w:p w14:paraId="12F11E3A" w14:textId="77777777" w:rsidR="00771917" w:rsidRPr="00545310" w:rsidRDefault="00076569" w:rsidP="00484F35">
      <w:pPr>
        <w:rPr>
          <w:rFonts w:cs="Arial"/>
          <w:b/>
          <w:bCs/>
          <w:lang w:val="es-MX"/>
        </w:rPr>
      </w:pPr>
      <w:r w:rsidRPr="00545310">
        <w:rPr>
          <w:rFonts w:cs="Arial"/>
          <w:b/>
          <w:bCs/>
          <w:lang w:val="es-MX"/>
        </w:rPr>
        <w:t>8</w:t>
      </w:r>
      <w:r w:rsidR="002D0DAD" w:rsidRPr="00545310">
        <w:rPr>
          <w:rFonts w:cs="Arial"/>
          <w:b/>
          <w:bCs/>
          <w:lang w:val="es-MX"/>
        </w:rPr>
        <w:t>.</w:t>
      </w:r>
      <w:r w:rsidR="00B82FEE" w:rsidRPr="00545310">
        <w:rPr>
          <w:rFonts w:cs="Arial"/>
          <w:b/>
          <w:bCs/>
          <w:lang w:val="es-MX"/>
        </w:rPr>
        <w:t xml:space="preserve"> </w:t>
      </w:r>
      <w:r w:rsidR="007B4785" w:rsidRPr="00545310">
        <w:rPr>
          <w:rFonts w:cs="Arial"/>
          <w:b/>
          <w:bCs/>
          <w:lang w:val="es-MX"/>
        </w:rPr>
        <w:t>Alegatos en segunda instancia</w:t>
      </w:r>
    </w:p>
    <w:p w14:paraId="47214620" w14:textId="77777777" w:rsidR="007B4785" w:rsidRPr="00545310" w:rsidRDefault="007B4785" w:rsidP="00484F35">
      <w:pPr>
        <w:rPr>
          <w:rFonts w:cs="Arial"/>
          <w:bCs/>
          <w:lang w:val="es-MX"/>
        </w:rPr>
      </w:pPr>
    </w:p>
    <w:p w14:paraId="628C1629" w14:textId="77777777" w:rsidR="00C1277A" w:rsidRPr="00545310" w:rsidRDefault="00B82FEE" w:rsidP="000519A7">
      <w:pPr>
        <w:rPr>
          <w:rFonts w:cs="Arial"/>
          <w:bCs/>
          <w:lang w:val="es-MX"/>
        </w:rPr>
      </w:pPr>
      <w:r w:rsidRPr="00545310">
        <w:rPr>
          <w:rFonts w:cs="Arial"/>
          <w:bCs/>
          <w:lang w:val="es-MX"/>
        </w:rPr>
        <w:t xml:space="preserve">En la oportunidad para alegar, </w:t>
      </w:r>
      <w:r w:rsidR="00122AC2" w:rsidRPr="00545310">
        <w:rPr>
          <w:rFonts w:cs="Arial"/>
          <w:bCs/>
          <w:lang w:val="es-MX"/>
        </w:rPr>
        <w:t>FONADE advirtió que en la demanda “</w:t>
      </w:r>
      <w:r w:rsidR="00122AC2" w:rsidRPr="00545310">
        <w:rPr>
          <w:rFonts w:cs="Arial"/>
          <w:bCs/>
          <w:i/>
          <w:lang w:val="es-MX"/>
        </w:rPr>
        <w:t xml:space="preserve">no se incluyó un argumento relativo a la supuesta violación del debido proceso sancionatorio por la falta de traslado de las pruebas” </w:t>
      </w:r>
      <w:r w:rsidR="00122AC2" w:rsidRPr="00545310">
        <w:rPr>
          <w:rFonts w:cs="Arial"/>
          <w:bCs/>
          <w:lang w:val="es-MX"/>
        </w:rPr>
        <w:t xml:space="preserve">y reseñó que por tratarse de un argumento nuevo, las </w:t>
      </w:r>
      <w:r w:rsidR="00C1277A" w:rsidRPr="00545310">
        <w:rPr>
          <w:rFonts w:cs="Arial"/>
          <w:bCs/>
          <w:lang w:val="es-MX"/>
        </w:rPr>
        <w:t>acusaciones no fueron sometidas a controversia</w:t>
      </w:r>
      <w:r w:rsidR="00295878" w:rsidRPr="00545310">
        <w:rPr>
          <w:rFonts w:cs="Arial"/>
          <w:bCs/>
          <w:lang w:val="es-MX"/>
        </w:rPr>
        <w:t xml:space="preserve"> en la primera instancia</w:t>
      </w:r>
      <w:r w:rsidR="00C1277A" w:rsidRPr="00545310">
        <w:rPr>
          <w:rFonts w:cs="Arial"/>
          <w:bCs/>
          <w:lang w:val="es-MX"/>
        </w:rPr>
        <w:t>, de manera que no podían ser acogidas por la v</w:t>
      </w:r>
      <w:r w:rsidR="0058156A" w:rsidRPr="00545310">
        <w:rPr>
          <w:rFonts w:cs="Arial"/>
          <w:bCs/>
          <w:lang w:val="es-MX"/>
        </w:rPr>
        <w:t>í</w:t>
      </w:r>
      <w:r w:rsidR="00C1277A" w:rsidRPr="00545310">
        <w:rPr>
          <w:rFonts w:cs="Arial"/>
          <w:bCs/>
          <w:lang w:val="es-MX"/>
        </w:rPr>
        <w:t>a del recurso de apelación.</w:t>
      </w:r>
    </w:p>
    <w:p w14:paraId="333B093F" w14:textId="77777777" w:rsidR="00C1277A" w:rsidRPr="00545310" w:rsidRDefault="00C1277A" w:rsidP="000519A7">
      <w:pPr>
        <w:rPr>
          <w:rFonts w:cs="Arial"/>
          <w:bCs/>
          <w:lang w:val="es-MX"/>
        </w:rPr>
      </w:pPr>
    </w:p>
    <w:p w14:paraId="7ADE945E" w14:textId="77777777" w:rsidR="00E73E14" w:rsidRPr="00545310" w:rsidRDefault="00C1277A" w:rsidP="000519A7">
      <w:pPr>
        <w:rPr>
          <w:rFonts w:cs="Arial"/>
          <w:bCs/>
          <w:lang w:val="es-MX"/>
        </w:rPr>
      </w:pPr>
      <w:r w:rsidRPr="00545310">
        <w:rPr>
          <w:rFonts w:cs="Arial"/>
          <w:bCs/>
          <w:lang w:val="es-MX"/>
        </w:rPr>
        <w:t>No obstante, indicó que s</w:t>
      </w:r>
      <w:r w:rsidR="00F25772" w:rsidRPr="00545310">
        <w:rPr>
          <w:rFonts w:cs="Arial"/>
          <w:bCs/>
          <w:lang w:val="es-MX"/>
        </w:rPr>
        <w:t>í</w:t>
      </w:r>
      <w:r w:rsidRPr="00545310">
        <w:rPr>
          <w:rFonts w:cs="Arial"/>
          <w:bCs/>
          <w:lang w:val="es-MX"/>
        </w:rPr>
        <w:t xml:space="preserve"> se </w:t>
      </w:r>
      <w:r w:rsidR="00F25772" w:rsidRPr="00545310">
        <w:rPr>
          <w:rFonts w:cs="Arial"/>
          <w:bCs/>
          <w:lang w:val="es-MX"/>
        </w:rPr>
        <w:t xml:space="preserve">respetó </w:t>
      </w:r>
      <w:r w:rsidRPr="00545310">
        <w:rPr>
          <w:rFonts w:cs="Arial"/>
          <w:bCs/>
          <w:lang w:val="es-MX"/>
        </w:rPr>
        <w:t>el debido proceso y que la modificación de la afectación a la póliza</w:t>
      </w:r>
      <w:r w:rsidR="004D3153" w:rsidRPr="00545310">
        <w:rPr>
          <w:rFonts w:cs="Arial"/>
          <w:bCs/>
          <w:lang w:val="es-MX"/>
        </w:rPr>
        <w:t xml:space="preserve"> se produjo </w:t>
      </w:r>
      <w:r w:rsidR="0058156A" w:rsidRPr="00545310">
        <w:rPr>
          <w:rFonts w:cs="Arial"/>
          <w:bCs/>
          <w:lang w:val="es-MX"/>
        </w:rPr>
        <w:t xml:space="preserve">como consecuencia </w:t>
      </w:r>
      <w:r w:rsidRPr="00545310">
        <w:rPr>
          <w:rFonts w:cs="Arial"/>
          <w:bCs/>
          <w:lang w:val="es-MX"/>
        </w:rPr>
        <w:t>del recurso de reposición</w:t>
      </w:r>
      <w:r w:rsidR="00496CEA" w:rsidRPr="00545310">
        <w:rPr>
          <w:rFonts w:cs="Arial"/>
          <w:bCs/>
          <w:lang w:val="es-MX"/>
        </w:rPr>
        <w:t xml:space="preserve">, en el cual </w:t>
      </w:r>
      <w:r w:rsidR="004D3153" w:rsidRPr="00545310">
        <w:rPr>
          <w:rFonts w:cs="Arial"/>
          <w:bCs/>
          <w:lang w:val="es-MX"/>
        </w:rPr>
        <w:t xml:space="preserve">FONADE accedió a </w:t>
      </w:r>
      <w:r w:rsidR="00E73E14" w:rsidRPr="00545310">
        <w:rPr>
          <w:rFonts w:cs="Arial"/>
          <w:bCs/>
          <w:lang w:val="es-MX"/>
        </w:rPr>
        <w:t>aplic</w:t>
      </w:r>
      <w:r w:rsidR="004D3153" w:rsidRPr="00545310">
        <w:rPr>
          <w:rFonts w:cs="Arial"/>
          <w:bCs/>
          <w:lang w:val="es-MX"/>
        </w:rPr>
        <w:t>ar</w:t>
      </w:r>
      <w:r w:rsidR="00E73E14" w:rsidRPr="00545310">
        <w:rPr>
          <w:rFonts w:cs="Arial"/>
          <w:bCs/>
          <w:lang w:val="es-MX"/>
        </w:rPr>
        <w:t xml:space="preserve"> proporcionalmente la cláusula pena</w:t>
      </w:r>
      <w:r w:rsidR="002B3D59" w:rsidRPr="00545310">
        <w:rPr>
          <w:rFonts w:cs="Arial"/>
          <w:bCs/>
          <w:lang w:val="es-MX"/>
        </w:rPr>
        <w:t>l</w:t>
      </w:r>
      <w:r w:rsidR="00496CEA" w:rsidRPr="00545310">
        <w:rPr>
          <w:rFonts w:cs="Arial"/>
          <w:bCs/>
          <w:lang w:val="es-MX"/>
        </w:rPr>
        <w:t xml:space="preserve"> y que</w:t>
      </w:r>
      <w:r w:rsidR="002B3D59" w:rsidRPr="00545310">
        <w:rPr>
          <w:rFonts w:cs="Arial"/>
          <w:bCs/>
          <w:lang w:val="es-MX"/>
        </w:rPr>
        <w:t xml:space="preserve">, por otra parte, </w:t>
      </w:r>
      <w:r w:rsidR="00851BDA" w:rsidRPr="00545310">
        <w:rPr>
          <w:rFonts w:cs="Arial"/>
          <w:bCs/>
          <w:lang w:val="es-MX"/>
        </w:rPr>
        <w:t xml:space="preserve">afirmó que </w:t>
      </w:r>
      <w:r w:rsidR="00496CEA" w:rsidRPr="00545310">
        <w:rPr>
          <w:rFonts w:cs="Arial"/>
          <w:bCs/>
          <w:lang w:val="es-MX"/>
        </w:rPr>
        <w:t xml:space="preserve">el expediente de dicha actuación se conservó </w:t>
      </w:r>
      <w:r w:rsidR="00E73E14" w:rsidRPr="00545310">
        <w:rPr>
          <w:rFonts w:cs="Arial"/>
          <w:bCs/>
          <w:lang w:val="es-MX"/>
        </w:rPr>
        <w:t>de conformidad con el artículo 59 del CPACA</w:t>
      </w:r>
      <w:r w:rsidR="00496CEA" w:rsidRPr="00545310">
        <w:rPr>
          <w:rStyle w:val="Refdenotaalpie"/>
          <w:rFonts w:cs="Arial"/>
          <w:bCs/>
          <w:lang w:val="es-MX"/>
        </w:rPr>
        <w:footnoteReference w:id="19"/>
      </w:r>
      <w:r w:rsidR="00E73E14" w:rsidRPr="00545310">
        <w:rPr>
          <w:rFonts w:cs="Arial"/>
          <w:bCs/>
          <w:lang w:val="es-MX"/>
        </w:rPr>
        <w:t>.</w:t>
      </w:r>
    </w:p>
    <w:p w14:paraId="47EEDC39" w14:textId="77777777" w:rsidR="00E73E14" w:rsidRPr="00545310" w:rsidRDefault="00E73E14" w:rsidP="000519A7">
      <w:pPr>
        <w:rPr>
          <w:rFonts w:cs="Arial"/>
          <w:bCs/>
          <w:lang w:val="es-MX"/>
        </w:rPr>
      </w:pPr>
    </w:p>
    <w:p w14:paraId="31835D23" w14:textId="77777777" w:rsidR="006F7CB9" w:rsidRPr="00545310" w:rsidRDefault="00E73E14" w:rsidP="000519A7">
      <w:pPr>
        <w:rPr>
          <w:rFonts w:cs="Arial"/>
          <w:bCs/>
          <w:lang w:val="es-MX"/>
        </w:rPr>
      </w:pPr>
      <w:r w:rsidRPr="00545310">
        <w:rPr>
          <w:rFonts w:cs="Arial"/>
          <w:bCs/>
          <w:lang w:val="es-MX"/>
        </w:rPr>
        <w:t>También reseñ</w:t>
      </w:r>
      <w:r w:rsidR="00F25772" w:rsidRPr="00545310">
        <w:rPr>
          <w:rFonts w:cs="Arial"/>
          <w:bCs/>
          <w:lang w:val="es-MX"/>
        </w:rPr>
        <w:t>ó</w:t>
      </w:r>
      <w:r w:rsidRPr="00545310">
        <w:rPr>
          <w:rFonts w:cs="Arial"/>
          <w:bCs/>
          <w:lang w:val="es-MX"/>
        </w:rPr>
        <w:t xml:space="preserve"> </w:t>
      </w:r>
      <w:r w:rsidR="003D53C3" w:rsidRPr="00545310">
        <w:rPr>
          <w:rFonts w:cs="Arial"/>
          <w:bCs/>
          <w:lang w:val="es-MX"/>
        </w:rPr>
        <w:t xml:space="preserve">que la aseguradora presentó un escrito en contra de </w:t>
      </w:r>
      <w:r w:rsidRPr="00545310">
        <w:rPr>
          <w:rFonts w:cs="Arial"/>
          <w:bCs/>
          <w:lang w:val="es-MX"/>
        </w:rPr>
        <w:t>la Resolución 11</w:t>
      </w:r>
      <w:r w:rsidR="003D53C3" w:rsidRPr="00545310">
        <w:rPr>
          <w:rFonts w:cs="Arial"/>
          <w:bCs/>
          <w:lang w:val="es-MX"/>
        </w:rPr>
        <w:t>51</w:t>
      </w:r>
      <w:r w:rsidR="009A6647" w:rsidRPr="00545310">
        <w:rPr>
          <w:rFonts w:cs="Arial"/>
          <w:bCs/>
          <w:lang w:val="es-MX"/>
        </w:rPr>
        <w:t xml:space="preserve"> de 8 de septiembre de 2011</w:t>
      </w:r>
      <w:r w:rsidR="003D53C3" w:rsidRPr="00545310">
        <w:rPr>
          <w:rFonts w:cs="Arial"/>
          <w:bCs/>
          <w:lang w:val="es-MX"/>
        </w:rPr>
        <w:t>, el cual le fue atendido para garantizarle el derecho de defensa</w:t>
      </w:r>
      <w:r w:rsidR="00E60F6F" w:rsidRPr="00545310">
        <w:rPr>
          <w:rFonts w:cs="Arial"/>
          <w:bCs/>
          <w:lang w:val="es-MX"/>
        </w:rPr>
        <w:t>,</w:t>
      </w:r>
      <w:r w:rsidR="003D53C3" w:rsidRPr="00545310">
        <w:rPr>
          <w:rFonts w:cs="Arial"/>
          <w:bCs/>
          <w:lang w:val="es-MX"/>
        </w:rPr>
        <w:t xml:space="preserve"> aunque</w:t>
      </w:r>
      <w:r w:rsidR="00F25772" w:rsidRPr="00545310">
        <w:rPr>
          <w:rFonts w:cs="Arial"/>
          <w:bCs/>
          <w:lang w:val="es-MX"/>
        </w:rPr>
        <w:t xml:space="preserve"> </w:t>
      </w:r>
      <w:r w:rsidR="009A6647" w:rsidRPr="00545310">
        <w:rPr>
          <w:rFonts w:cs="Arial"/>
          <w:bCs/>
          <w:lang w:val="es-MX"/>
        </w:rPr>
        <w:t xml:space="preserve">en </w:t>
      </w:r>
      <w:r w:rsidR="00F25772" w:rsidRPr="00545310">
        <w:rPr>
          <w:rFonts w:cs="Arial"/>
          <w:bCs/>
          <w:lang w:val="es-MX"/>
        </w:rPr>
        <w:t>dicha resolución</w:t>
      </w:r>
      <w:r w:rsidR="003D53C3" w:rsidRPr="00545310">
        <w:rPr>
          <w:rFonts w:cs="Arial"/>
          <w:bCs/>
          <w:lang w:val="es-MX"/>
        </w:rPr>
        <w:t xml:space="preserve"> </w:t>
      </w:r>
      <w:r w:rsidR="009A6647" w:rsidRPr="00545310">
        <w:rPr>
          <w:rFonts w:cs="Arial"/>
          <w:bCs/>
          <w:lang w:val="es-MX"/>
        </w:rPr>
        <w:t xml:space="preserve">se indicó que </w:t>
      </w:r>
      <w:r w:rsidR="003D53C3" w:rsidRPr="00545310">
        <w:rPr>
          <w:rFonts w:cs="Arial"/>
          <w:bCs/>
          <w:lang w:val="es-MX"/>
        </w:rPr>
        <w:t xml:space="preserve">no procedía recurso alguno. </w:t>
      </w:r>
      <w:r w:rsidR="00F25772" w:rsidRPr="00545310">
        <w:rPr>
          <w:rFonts w:cs="Arial"/>
          <w:bCs/>
          <w:lang w:val="es-MX"/>
        </w:rPr>
        <w:t xml:space="preserve">Precisamente, </w:t>
      </w:r>
      <w:r w:rsidR="006F7CB9" w:rsidRPr="00545310">
        <w:rPr>
          <w:rFonts w:cs="Arial"/>
          <w:bCs/>
          <w:lang w:val="es-MX"/>
        </w:rPr>
        <w:t xml:space="preserve">según explicó </w:t>
      </w:r>
      <w:r w:rsidR="00A35EF9" w:rsidRPr="00545310">
        <w:rPr>
          <w:rFonts w:cs="Arial"/>
          <w:bCs/>
          <w:lang w:val="es-MX"/>
        </w:rPr>
        <w:t>FONADE</w:t>
      </w:r>
      <w:r w:rsidR="006F7CB9" w:rsidRPr="00545310">
        <w:rPr>
          <w:rFonts w:cs="Arial"/>
          <w:bCs/>
          <w:lang w:val="es-MX"/>
        </w:rPr>
        <w:t xml:space="preserve">, </w:t>
      </w:r>
      <w:r w:rsidR="003D53C3" w:rsidRPr="00545310">
        <w:rPr>
          <w:rFonts w:cs="Arial"/>
          <w:bCs/>
          <w:lang w:val="es-MX"/>
        </w:rPr>
        <w:t xml:space="preserve">mediante </w:t>
      </w:r>
      <w:r w:rsidR="00F25772" w:rsidRPr="00545310">
        <w:rPr>
          <w:rFonts w:cs="Arial"/>
          <w:bCs/>
          <w:lang w:val="es-MX"/>
        </w:rPr>
        <w:t>R</w:t>
      </w:r>
      <w:r w:rsidR="003D53C3" w:rsidRPr="00545310">
        <w:rPr>
          <w:rFonts w:cs="Arial"/>
          <w:bCs/>
          <w:lang w:val="es-MX"/>
        </w:rPr>
        <w:t xml:space="preserve">esolución 1169 de 2011 </w:t>
      </w:r>
      <w:r w:rsidR="003D53C3" w:rsidRPr="00545310">
        <w:rPr>
          <w:rFonts w:cs="Arial"/>
          <w:bCs/>
          <w:lang w:val="es-MX"/>
        </w:rPr>
        <w:lastRenderedPageBreak/>
        <w:t>se dispuso modificar el artículo 8 de la Resolución 1151</w:t>
      </w:r>
      <w:r w:rsidR="00E60F6F" w:rsidRPr="00545310">
        <w:rPr>
          <w:rFonts w:cs="Arial"/>
          <w:bCs/>
          <w:lang w:val="es-MX"/>
        </w:rPr>
        <w:t>,</w:t>
      </w:r>
      <w:r w:rsidR="003D53C3" w:rsidRPr="00545310">
        <w:rPr>
          <w:rFonts w:cs="Arial"/>
          <w:bCs/>
          <w:lang w:val="es-MX"/>
        </w:rPr>
        <w:t xml:space="preserve"> en cuanto a la procedencia del recurso</w:t>
      </w:r>
      <w:r w:rsidR="006F7CB9" w:rsidRPr="00545310">
        <w:rPr>
          <w:rFonts w:cs="Arial"/>
          <w:bCs/>
          <w:lang w:val="es-MX"/>
        </w:rPr>
        <w:t xml:space="preserve">, para actuar en la forma más garantista. </w:t>
      </w:r>
    </w:p>
    <w:p w14:paraId="1798C6CF" w14:textId="77777777" w:rsidR="006F7CB9" w:rsidRPr="00545310" w:rsidRDefault="006F7CB9" w:rsidP="000519A7">
      <w:pPr>
        <w:rPr>
          <w:rFonts w:cs="Arial"/>
          <w:bCs/>
          <w:lang w:val="es-MX"/>
        </w:rPr>
      </w:pPr>
    </w:p>
    <w:p w14:paraId="5B0FA46D" w14:textId="77777777" w:rsidR="00F97029" w:rsidRPr="00545310" w:rsidRDefault="00F97029" w:rsidP="000519A7">
      <w:pPr>
        <w:rPr>
          <w:rFonts w:cs="Arial"/>
          <w:bCs/>
          <w:lang w:val="es-MX"/>
        </w:rPr>
      </w:pPr>
      <w:r w:rsidRPr="00545310">
        <w:rPr>
          <w:rFonts w:cs="Arial"/>
          <w:bCs/>
          <w:lang w:val="es-MX"/>
        </w:rPr>
        <w:t>Igualmente</w:t>
      </w:r>
      <w:r w:rsidR="00812A33" w:rsidRPr="00545310">
        <w:rPr>
          <w:rFonts w:cs="Arial"/>
          <w:bCs/>
          <w:lang w:val="es-MX"/>
        </w:rPr>
        <w:t>,</w:t>
      </w:r>
      <w:r w:rsidRPr="00545310">
        <w:rPr>
          <w:rFonts w:cs="Arial"/>
          <w:bCs/>
          <w:lang w:val="es-MX"/>
        </w:rPr>
        <w:t xml:space="preserve"> </w:t>
      </w:r>
      <w:r w:rsidR="00F25772" w:rsidRPr="00545310">
        <w:rPr>
          <w:rFonts w:cs="Arial"/>
          <w:bCs/>
          <w:lang w:val="es-MX"/>
        </w:rPr>
        <w:t xml:space="preserve">reseñó </w:t>
      </w:r>
      <w:r w:rsidRPr="00545310">
        <w:rPr>
          <w:rFonts w:cs="Arial"/>
          <w:bCs/>
          <w:lang w:val="es-MX"/>
        </w:rPr>
        <w:t xml:space="preserve">que se dio curso a la </w:t>
      </w:r>
      <w:r w:rsidR="00496CEA" w:rsidRPr="00545310">
        <w:rPr>
          <w:rFonts w:cs="Arial"/>
          <w:bCs/>
          <w:lang w:val="es-MX"/>
        </w:rPr>
        <w:t xml:space="preserve">nueva </w:t>
      </w:r>
      <w:r w:rsidRPr="00545310">
        <w:rPr>
          <w:rFonts w:cs="Arial"/>
          <w:bCs/>
          <w:lang w:val="es-MX"/>
        </w:rPr>
        <w:t xml:space="preserve">petición </w:t>
      </w:r>
      <w:r w:rsidR="00A35EF9" w:rsidRPr="00545310">
        <w:rPr>
          <w:rFonts w:cs="Arial"/>
          <w:bCs/>
          <w:lang w:val="es-MX"/>
        </w:rPr>
        <w:t xml:space="preserve">como </w:t>
      </w:r>
      <w:r w:rsidRPr="00545310">
        <w:rPr>
          <w:rFonts w:cs="Arial"/>
          <w:bCs/>
          <w:lang w:val="es-MX"/>
        </w:rPr>
        <w:t>revocatoria directa y que</w:t>
      </w:r>
      <w:r w:rsidR="00496CEA" w:rsidRPr="00545310">
        <w:rPr>
          <w:rFonts w:cs="Arial"/>
          <w:bCs/>
          <w:lang w:val="es-MX"/>
        </w:rPr>
        <w:t>, en efecto</w:t>
      </w:r>
      <w:r w:rsidR="00E60F6F" w:rsidRPr="00545310">
        <w:rPr>
          <w:rFonts w:cs="Arial"/>
          <w:bCs/>
          <w:lang w:val="es-MX"/>
        </w:rPr>
        <w:t>,</w:t>
      </w:r>
      <w:r w:rsidR="00496CEA" w:rsidRPr="00545310">
        <w:rPr>
          <w:rFonts w:cs="Arial"/>
          <w:bCs/>
          <w:lang w:val="es-MX"/>
        </w:rPr>
        <w:t xml:space="preserve"> se</w:t>
      </w:r>
      <w:r w:rsidRPr="00545310">
        <w:rPr>
          <w:rFonts w:cs="Arial"/>
          <w:bCs/>
          <w:lang w:val="es-MX"/>
        </w:rPr>
        <w:t xml:space="preserve"> </w:t>
      </w:r>
      <w:r w:rsidR="0057705C" w:rsidRPr="00545310">
        <w:rPr>
          <w:rFonts w:cs="Arial"/>
          <w:bCs/>
          <w:lang w:val="es-MX"/>
        </w:rPr>
        <w:t>modificó el a</w:t>
      </w:r>
      <w:r w:rsidR="00427F7D" w:rsidRPr="00545310">
        <w:rPr>
          <w:rFonts w:cs="Arial"/>
          <w:bCs/>
          <w:lang w:val="es-MX"/>
        </w:rPr>
        <w:t xml:space="preserve">rtículo referido al trámite del </w:t>
      </w:r>
      <w:r w:rsidR="0057705C" w:rsidRPr="00545310">
        <w:rPr>
          <w:rFonts w:cs="Arial"/>
          <w:bCs/>
          <w:lang w:val="es-MX"/>
        </w:rPr>
        <w:t xml:space="preserve">recurso de reposición </w:t>
      </w:r>
      <w:r w:rsidR="00427F7D" w:rsidRPr="00545310">
        <w:rPr>
          <w:rFonts w:cs="Arial"/>
          <w:bCs/>
          <w:lang w:val="es-MX"/>
        </w:rPr>
        <w:t xml:space="preserve">contra la Resolución 1151, no obstante lo cual </w:t>
      </w:r>
      <w:r w:rsidRPr="00545310">
        <w:rPr>
          <w:rFonts w:cs="Arial"/>
          <w:bCs/>
          <w:lang w:val="es-MX"/>
        </w:rPr>
        <w:t xml:space="preserve">reiteró </w:t>
      </w:r>
      <w:r w:rsidR="00427F7D" w:rsidRPr="00545310">
        <w:rPr>
          <w:rFonts w:cs="Arial"/>
          <w:bCs/>
          <w:lang w:val="es-MX"/>
        </w:rPr>
        <w:t xml:space="preserve">que </w:t>
      </w:r>
      <w:r w:rsidRPr="00545310">
        <w:rPr>
          <w:rFonts w:cs="Arial"/>
          <w:bCs/>
          <w:lang w:val="es-MX"/>
        </w:rPr>
        <w:t xml:space="preserve">la aseguradora </w:t>
      </w:r>
      <w:r w:rsidR="00427F7D" w:rsidRPr="00545310">
        <w:rPr>
          <w:rFonts w:cs="Arial"/>
          <w:bCs/>
          <w:lang w:val="es-MX"/>
        </w:rPr>
        <w:t xml:space="preserve">estaba en la </w:t>
      </w:r>
      <w:r w:rsidRPr="00545310">
        <w:rPr>
          <w:rFonts w:cs="Arial"/>
          <w:bCs/>
          <w:lang w:val="es-MX"/>
        </w:rPr>
        <w:t xml:space="preserve">obligación de pagar las sumas de dinero </w:t>
      </w:r>
      <w:r w:rsidR="002B3D59" w:rsidRPr="00545310">
        <w:rPr>
          <w:rFonts w:cs="Arial"/>
          <w:bCs/>
          <w:lang w:val="es-MX"/>
        </w:rPr>
        <w:t xml:space="preserve">correspondientes a los </w:t>
      </w:r>
      <w:r w:rsidR="00427F7D" w:rsidRPr="00545310">
        <w:rPr>
          <w:rFonts w:cs="Arial"/>
          <w:bCs/>
          <w:lang w:val="es-MX"/>
        </w:rPr>
        <w:t xml:space="preserve">perjuicios causados por </w:t>
      </w:r>
      <w:r w:rsidRPr="00545310">
        <w:rPr>
          <w:rFonts w:cs="Arial"/>
          <w:bCs/>
          <w:lang w:val="es-MX"/>
        </w:rPr>
        <w:t xml:space="preserve">la caducidad del contrato. </w:t>
      </w:r>
    </w:p>
    <w:p w14:paraId="0223D067" w14:textId="77777777" w:rsidR="00F97029" w:rsidRPr="00545310" w:rsidRDefault="00F97029" w:rsidP="000519A7">
      <w:pPr>
        <w:rPr>
          <w:rFonts w:cs="Arial"/>
          <w:bCs/>
          <w:lang w:val="es-MX"/>
        </w:rPr>
      </w:pPr>
    </w:p>
    <w:p w14:paraId="32FEBAFD" w14:textId="77777777" w:rsidR="00C20133" w:rsidRPr="00545310" w:rsidRDefault="00F97029" w:rsidP="000519A7">
      <w:pPr>
        <w:rPr>
          <w:rFonts w:cs="Arial"/>
          <w:bCs/>
          <w:lang w:val="es-MX"/>
        </w:rPr>
      </w:pPr>
      <w:r w:rsidRPr="00545310">
        <w:rPr>
          <w:rFonts w:cs="Arial"/>
          <w:bCs/>
          <w:lang w:val="es-MX"/>
        </w:rPr>
        <w:t xml:space="preserve">Reafirmó que </w:t>
      </w:r>
      <w:r w:rsidR="00427F7D" w:rsidRPr="00545310">
        <w:rPr>
          <w:rFonts w:cs="Arial"/>
          <w:bCs/>
          <w:lang w:val="es-MX"/>
        </w:rPr>
        <w:t xml:space="preserve">FONADE </w:t>
      </w:r>
      <w:r w:rsidRPr="00545310">
        <w:rPr>
          <w:rFonts w:cs="Arial"/>
          <w:bCs/>
          <w:lang w:val="es-MX"/>
        </w:rPr>
        <w:t>motivó adecuadamente los actos administr</w:t>
      </w:r>
      <w:r w:rsidR="00C20133" w:rsidRPr="00545310">
        <w:rPr>
          <w:rFonts w:cs="Arial"/>
          <w:bCs/>
          <w:lang w:val="es-MX"/>
        </w:rPr>
        <w:t>a</w:t>
      </w:r>
      <w:r w:rsidRPr="00545310">
        <w:rPr>
          <w:rFonts w:cs="Arial"/>
          <w:bCs/>
          <w:lang w:val="es-MX"/>
        </w:rPr>
        <w:t>tivos</w:t>
      </w:r>
      <w:r w:rsidR="00C20133" w:rsidRPr="00545310">
        <w:rPr>
          <w:rFonts w:cs="Arial"/>
          <w:bCs/>
          <w:lang w:val="es-MX"/>
        </w:rPr>
        <w:t xml:space="preserve"> y que la valoración en la que se soportó no fue caprichosa, sino que se basó en un informe que fue suficientemente detallado, según lo explicaron los testigos en el proceso.</w:t>
      </w:r>
    </w:p>
    <w:p w14:paraId="71583EE5" w14:textId="77777777" w:rsidR="00C20133" w:rsidRPr="00545310" w:rsidRDefault="00C20133" w:rsidP="000519A7">
      <w:pPr>
        <w:rPr>
          <w:rFonts w:cs="Arial"/>
          <w:bCs/>
          <w:lang w:val="es-MX"/>
        </w:rPr>
      </w:pPr>
    </w:p>
    <w:p w14:paraId="6171D6DE" w14:textId="77777777" w:rsidR="00C20133" w:rsidRPr="00545310" w:rsidRDefault="00812A33" w:rsidP="000519A7">
      <w:pPr>
        <w:rPr>
          <w:rFonts w:cs="Arial"/>
          <w:bCs/>
          <w:lang w:val="es-MX"/>
        </w:rPr>
      </w:pPr>
      <w:r w:rsidRPr="00545310">
        <w:rPr>
          <w:rFonts w:cs="Arial"/>
          <w:bCs/>
          <w:lang w:val="es-MX"/>
        </w:rPr>
        <w:t>D</w:t>
      </w:r>
      <w:r w:rsidR="00C20133" w:rsidRPr="00545310">
        <w:rPr>
          <w:rFonts w:cs="Arial"/>
          <w:bCs/>
          <w:lang w:val="es-MX"/>
        </w:rPr>
        <w:t xml:space="preserve">estacó lo afirmado por el Tribunal </w:t>
      </w:r>
      <w:r w:rsidR="00C20133" w:rsidRPr="00545310">
        <w:rPr>
          <w:rFonts w:cs="Arial"/>
          <w:bCs/>
          <w:i/>
          <w:lang w:val="es-MX"/>
        </w:rPr>
        <w:t>a quo</w:t>
      </w:r>
      <w:r w:rsidR="00C20133" w:rsidRPr="00545310">
        <w:rPr>
          <w:rFonts w:cs="Arial"/>
          <w:bCs/>
          <w:lang w:val="es-MX"/>
        </w:rPr>
        <w:t xml:space="preserve">, en cuanto </w:t>
      </w:r>
      <w:r w:rsidR="00E60F6F" w:rsidRPr="00545310">
        <w:rPr>
          <w:rFonts w:cs="Arial"/>
          <w:bCs/>
          <w:lang w:val="es-MX"/>
        </w:rPr>
        <w:t xml:space="preserve">a </w:t>
      </w:r>
      <w:r w:rsidR="00C20133" w:rsidRPr="00545310">
        <w:rPr>
          <w:rFonts w:cs="Arial"/>
          <w:bCs/>
          <w:lang w:val="es-MX"/>
        </w:rPr>
        <w:t>que FONADE ten</w:t>
      </w:r>
      <w:r w:rsidR="000423B3" w:rsidRPr="00545310">
        <w:rPr>
          <w:rFonts w:cs="Arial"/>
          <w:bCs/>
          <w:lang w:val="es-MX"/>
        </w:rPr>
        <w:t>ía</w:t>
      </w:r>
      <w:r w:rsidR="00C20133" w:rsidRPr="00545310">
        <w:rPr>
          <w:rFonts w:cs="Arial"/>
          <w:bCs/>
          <w:lang w:val="es-MX"/>
        </w:rPr>
        <w:t xml:space="preserve"> la potesta</w:t>
      </w:r>
      <w:r w:rsidR="001845EB" w:rsidRPr="00545310">
        <w:rPr>
          <w:rFonts w:cs="Arial"/>
          <w:bCs/>
          <w:lang w:val="es-MX"/>
        </w:rPr>
        <w:t>d</w:t>
      </w:r>
      <w:r w:rsidR="00C20133" w:rsidRPr="00545310">
        <w:rPr>
          <w:rFonts w:cs="Arial"/>
          <w:bCs/>
          <w:lang w:val="es-MX"/>
        </w:rPr>
        <w:t xml:space="preserve"> unilateral de declarar la ocurrencia del siniestro y, por tanto, de cuantificar el perjuicio amparado por la póliza.</w:t>
      </w:r>
    </w:p>
    <w:p w14:paraId="674CF044" w14:textId="77777777" w:rsidR="008C1C7B" w:rsidRPr="00545310" w:rsidRDefault="008C1C7B" w:rsidP="00484F35">
      <w:pPr>
        <w:rPr>
          <w:rFonts w:cs="Arial"/>
          <w:bCs/>
          <w:lang w:val="es-MX"/>
        </w:rPr>
      </w:pPr>
    </w:p>
    <w:p w14:paraId="0DAA56F2" w14:textId="77777777" w:rsidR="00EA2817" w:rsidRPr="00545310" w:rsidRDefault="001845EB" w:rsidP="00484F35">
      <w:pPr>
        <w:rPr>
          <w:rFonts w:cs="Arial"/>
          <w:bCs/>
          <w:lang w:val="es-MX"/>
        </w:rPr>
      </w:pPr>
      <w:r w:rsidRPr="00545310">
        <w:rPr>
          <w:rFonts w:cs="Arial"/>
          <w:bCs/>
          <w:lang w:val="es-MX"/>
        </w:rPr>
        <w:t xml:space="preserve">Finalmente, </w:t>
      </w:r>
      <w:r w:rsidR="006F4AE0" w:rsidRPr="00545310">
        <w:rPr>
          <w:rFonts w:cs="Arial"/>
          <w:bCs/>
          <w:lang w:val="es-MX"/>
        </w:rPr>
        <w:t xml:space="preserve">FONADE </w:t>
      </w:r>
      <w:r w:rsidRPr="00545310">
        <w:rPr>
          <w:rFonts w:cs="Arial"/>
          <w:bCs/>
          <w:lang w:val="es-MX"/>
        </w:rPr>
        <w:t>reiter</w:t>
      </w:r>
      <w:r w:rsidR="006F4AE0" w:rsidRPr="00545310">
        <w:rPr>
          <w:rFonts w:cs="Arial"/>
          <w:bCs/>
          <w:lang w:val="es-MX"/>
        </w:rPr>
        <w:t>ó</w:t>
      </w:r>
      <w:r w:rsidRPr="00545310">
        <w:rPr>
          <w:rFonts w:cs="Arial"/>
          <w:bCs/>
          <w:lang w:val="es-MX"/>
        </w:rPr>
        <w:t xml:space="preserve"> que el mayor valor de la obra </w:t>
      </w:r>
      <w:r w:rsidR="00545281" w:rsidRPr="00545310">
        <w:rPr>
          <w:rFonts w:cs="Arial"/>
          <w:bCs/>
          <w:lang w:val="es-MX"/>
        </w:rPr>
        <w:t xml:space="preserve">por ejecutar </w:t>
      </w:r>
      <w:r w:rsidRPr="00545310">
        <w:rPr>
          <w:rFonts w:cs="Arial"/>
          <w:bCs/>
          <w:lang w:val="es-MX"/>
        </w:rPr>
        <w:t>ten</w:t>
      </w:r>
      <w:r w:rsidR="00545281" w:rsidRPr="00545310">
        <w:rPr>
          <w:rFonts w:cs="Arial"/>
          <w:bCs/>
          <w:lang w:val="es-MX"/>
        </w:rPr>
        <w:t>ía</w:t>
      </w:r>
      <w:r w:rsidRPr="00545310">
        <w:rPr>
          <w:rFonts w:cs="Arial"/>
          <w:bCs/>
          <w:lang w:val="es-MX"/>
        </w:rPr>
        <w:t xml:space="preserve"> como causa directa el incumplimiento del contrato </w:t>
      </w:r>
      <w:r w:rsidR="000423B3" w:rsidRPr="00545310">
        <w:rPr>
          <w:rFonts w:cs="Arial"/>
          <w:bCs/>
          <w:lang w:val="es-MX"/>
        </w:rPr>
        <w:t xml:space="preserve">de obra </w:t>
      </w:r>
      <w:r w:rsidRPr="00545310">
        <w:rPr>
          <w:rFonts w:cs="Arial"/>
          <w:bCs/>
          <w:lang w:val="es-MX"/>
        </w:rPr>
        <w:t>“</w:t>
      </w:r>
      <w:r w:rsidRPr="00545310">
        <w:rPr>
          <w:rFonts w:cs="Arial"/>
          <w:bCs/>
          <w:i/>
          <w:lang w:val="es-MX"/>
        </w:rPr>
        <w:t>pues si el contratista lo hubiera cumplido cabalmente, no se habría</w:t>
      </w:r>
      <w:r w:rsidR="000423B3" w:rsidRPr="00545310">
        <w:rPr>
          <w:rFonts w:cs="Arial"/>
          <w:bCs/>
          <w:i/>
          <w:lang w:val="es-MX"/>
        </w:rPr>
        <w:t>n</w:t>
      </w:r>
      <w:r w:rsidRPr="00545310">
        <w:rPr>
          <w:rFonts w:cs="Arial"/>
          <w:bCs/>
          <w:i/>
          <w:lang w:val="es-MX"/>
        </w:rPr>
        <w:t xml:space="preserve"> </w:t>
      </w:r>
      <w:r w:rsidR="00545281" w:rsidRPr="00545310">
        <w:rPr>
          <w:rFonts w:cs="Arial"/>
          <w:bCs/>
          <w:i/>
          <w:lang w:val="es-MX"/>
        </w:rPr>
        <w:t>tenido que cubrir dichos rubros y así quedó demostrado en el proceso”</w:t>
      </w:r>
      <w:r w:rsidR="00545281" w:rsidRPr="00545310">
        <w:rPr>
          <w:rStyle w:val="Refdenotaalpie"/>
          <w:rFonts w:cs="Arial"/>
          <w:bCs/>
          <w:i/>
          <w:lang w:val="es-MX"/>
        </w:rPr>
        <w:footnoteReference w:id="20"/>
      </w:r>
      <w:r w:rsidR="00545281" w:rsidRPr="00545310">
        <w:rPr>
          <w:rFonts w:cs="Arial"/>
          <w:bCs/>
          <w:lang w:val="es-MX"/>
        </w:rPr>
        <w:t>, dado que los ítems ten</w:t>
      </w:r>
      <w:r w:rsidR="000423B3" w:rsidRPr="00545310">
        <w:rPr>
          <w:rFonts w:cs="Arial"/>
          <w:bCs/>
          <w:lang w:val="es-MX"/>
        </w:rPr>
        <w:t>ían</w:t>
      </w:r>
      <w:r w:rsidR="00545281" w:rsidRPr="00545310">
        <w:rPr>
          <w:rFonts w:cs="Arial"/>
          <w:bCs/>
          <w:lang w:val="es-MX"/>
        </w:rPr>
        <w:t xml:space="preserve"> relación con el mayor tiempo de obra que supuso el incumplimiento</w:t>
      </w:r>
      <w:r w:rsidR="00EA2817" w:rsidRPr="00545310">
        <w:rPr>
          <w:rFonts w:cs="Arial"/>
          <w:bCs/>
          <w:lang w:val="es-MX"/>
        </w:rPr>
        <w:t xml:space="preserve"> </w:t>
      </w:r>
      <w:r w:rsidR="000423B3" w:rsidRPr="00545310">
        <w:rPr>
          <w:rFonts w:cs="Arial"/>
          <w:bCs/>
          <w:lang w:val="es-MX"/>
        </w:rPr>
        <w:t xml:space="preserve">del contrato, </w:t>
      </w:r>
      <w:r w:rsidR="00EA2817" w:rsidRPr="00545310">
        <w:rPr>
          <w:rFonts w:cs="Arial"/>
          <w:bCs/>
          <w:lang w:val="es-MX"/>
        </w:rPr>
        <w:t xml:space="preserve">consistente en la parálisis que llevó a la </w:t>
      </w:r>
      <w:r w:rsidR="000423B3" w:rsidRPr="00545310">
        <w:rPr>
          <w:rFonts w:cs="Arial"/>
          <w:bCs/>
          <w:lang w:val="es-MX"/>
        </w:rPr>
        <w:t xml:space="preserve">imposición de la </w:t>
      </w:r>
      <w:r w:rsidR="00EA2817" w:rsidRPr="00545310">
        <w:rPr>
          <w:rFonts w:cs="Arial"/>
          <w:bCs/>
          <w:lang w:val="es-MX"/>
        </w:rPr>
        <w:t xml:space="preserve">caducidad </w:t>
      </w:r>
      <w:r w:rsidR="000423B3" w:rsidRPr="00545310">
        <w:rPr>
          <w:rFonts w:cs="Arial"/>
          <w:bCs/>
          <w:lang w:val="es-MX"/>
        </w:rPr>
        <w:t>contractual</w:t>
      </w:r>
      <w:r w:rsidR="00EA2817" w:rsidRPr="00545310">
        <w:rPr>
          <w:rFonts w:cs="Arial"/>
          <w:bCs/>
          <w:lang w:val="es-MX"/>
        </w:rPr>
        <w:t>. Especificó que obr</w:t>
      </w:r>
      <w:r w:rsidR="0058156A" w:rsidRPr="00545310">
        <w:rPr>
          <w:rFonts w:cs="Arial"/>
          <w:bCs/>
          <w:lang w:val="es-MX"/>
        </w:rPr>
        <w:t>a</w:t>
      </w:r>
      <w:r w:rsidR="00EA2817" w:rsidRPr="00545310">
        <w:rPr>
          <w:rFonts w:cs="Arial"/>
          <w:bCs/>
          <w:lang w:val="es-MX"/>
        </w:rPr>
        <w:t xml:space="preserve"> en el expediente el contrato 2123680</w:t>
      </w:r>
      <w:r w:rsidR="00F331ED" w:rsidRPr="00545310">
        <w:rPr>
          <w:rFonts w:cs="Arial"/>
          <w:bCs/>
          <w:lang w:val="es-MX"/>
        </w:rPr>
        <w:t>,</w:t>
      </w:r>
      <w:r w:rsidR="00EA2817" w:rsidRPr="00545310">
        <w:rPr>
          <w:rFonts w:cs="Arial"/>
          <w:bCs/>
          <w:lang w:val="es-MX"/>
        </w:rPr>
        <w:t xml:space="preserve"> su</w:t>
      </w:r>
      <w:r w:rsidR="0058156A" w:rsidRPr="00545310">
        <w:rPr>
          <w:rFonts w:cs="Arial"/>
          <w:bCs/>
          <w:lang w:val="es-MX"/>
        </w:rPr>
        <w:t>s</w:t>
      </w:r>
      <w:r w:rsidR="00EA2817" w:rsidRPr="00545310">
        <w:rPr>
          <w:rFonts w:cs="Arial"/>
          <w:bCs/>
          <w:lang w:val="es-MX"/>
        </w:rPr>
        <w:t>cri</w:t>
      </w:r>
      <w:r w:rsidR="0058156A" w:rsidRPr="00545310">
        <w:rPr>
          <w:rFonts w:cs="Arial"/>
          <w:bCs/>
          <w:lang w:val="es-MX"/>
        </w:rPr>
        <w:t>t</w:t>
      </w:r>
      <w:r w:rsidR="00EA2817" w:rsidRPr="00545310">
        <w:rPr>
          <w:rFonts w:cs="Arial"/>
          <w:bCs/>
          <w:lang w:val="es-MX"/>
        </w:rPr>
        <w:t>o con el consorcio PRK, cuyo objeto fue la terminación de la construcción.</w:t>
      </w:r>
    </w:p>
    <w:p w14:paraId="5AD62727" w14:textId="77777777" w:rsidR="00EA2817" w:rsidRPr="00545310" w:rsidRDefault="00EA2817" w:rsidP="00484F35">
      <w:pPr>
        <w:rPr>
          <w:rFonts w:cs="Arial"/>
          <w:bCs/>
          <w:lang w:val="es-MX"/>
        </w:rPr>
      </w:pPr>
    </w:p>
    <w:p w14:paraId="64A8E792" w14:textId="77777777" w:rsidR="009D6FA1" w:rsidRPr="00545310" w:rsidRDefault="009D6FA1" w:rsidP="00484F35">
      <w:pPr>
        <w:rPr>
          <w:rFonts w:cs="Arial"/>
          <w:bCs/>
          <w:lang w:val="es-MX"/>
        </w:rPr>
      </w:pPr>
      <w:r w:rsidRPr="00545310">
        <w:rPr>
          <w:rFonts w:cs="Arial"/>
          <w:bCs/>
          <w:lang w:val="es-MX"/>
        </w:rPr>
        <w:t>La parte actora y el Ministerio Público guardaron silencio en su oportunidad.</w:t>
      </w:r>
    </w:p>
    <w:p w14:paraId="3EC8B52A" w14:textId="77777777" w:rsidR="00CC74EB" w:rsidRPr="00545310" w:rsidRDefault="00CC74EB" w:rsidP="00484F35">
      <w:pPr>
        <w:rPr>
          <w:rFonts w:cs="Arial"/>
          <w:bCs/>
          <w:lang w:val="es-MX"/>
        </w:rPr>
      </w:pPr>
    </w:p>
    <w:p w14:paraId="34DAE007" w14:textId="77777777" w:rsidR="00C23021" w:rsidRPr="00545310" w:rsidRDefault="00C23021" w:rsidP="00F21484">
      <w:pPr>
        <w:jc w:val="center"/>
        <w:rPr>
          <w:rFonts w:cs="Arial"/>
          <w:b/>
        </w:rPr>
      </w:pPr>
    </w:p>
    <w:p w14:paraId="4BD1493B" w14:textId="77777777" w:rsidR="00F21484" w:rsidRPr="00545310" w:rsidRDefault="00F21484" w:rsidP="00E84FE1">
      <w:pPr>
        <w:pStyle w:val="Lista"/>
        <w:jc w:val="center"/>
        <w:rPr>
          <w:rFonts w:ascii="Arial" w:hAnsi="Arial" w:cs="Arial"/>
          <w:b/>
        </w:rPr>
      </w:pPr>
      <w:r w:rsidRPr="00545310">
        <w:rPr>
          <w:rFonts w:ascii="Arial" w:hAnsi="Arial" w:cs="Arial"/>
          <w:b/>
        </w:rPr>
        <w:t>II.</w:t>
      </w:r>
      <w:r w:rsidR="00E759BE" w:rsidRPr="00545310">
        <w:rPr>
          <w:rFonts w:ascii="Arial" w:hAnsi="Arial" w:cs="Arial"/>
          <w:b/>
        </w:rPr>
        <w:tab/>
      </w:r>
      <w:r w:rsidRPr="00545310">
        <w:rPr>
          <w:rFonts w:ascii="Arial" w:hAnsi="Arial" w:cs="Arial"/>
          <w:b/>
        </w:rPr>
        <w:t>C O N S I D E R A C I O N E S</w:t>
      </w:r>
    </w:p>
    <w:p w14:paraId="36F32A5C" w14:textId="77777777" w:rsidR="00C23021" w:rsidRPr="00545310" w:rsidRDefault="00C23021" w:rsidP="00050CA0">
      <w:pPr>
        <w:jc w:val="center"/>
        <w:rPr>
          <w:rFonts w:cs="Arial"/>
          <w:b/>
        </w:rPr>
      </w:pPr>
    </w:p>
    <w:p w14:paraId="29ACE1AB" w14:textId="77777777" w:rsidR="00ED77A2" w:rsidRPr="00545310" w:rsidRDefault="00ED77A2" w:rsidP="009265BB">
      <w:pPr>
        <w:rPr>
          <w:rFonts w:cs="Arial"/>
        </w:rPr>
      </w:pPr>
    </w:p>
    <w:p w14:paraId="685A1338" w14:textId="77777777" w:rsidR="0052529B" w:rsidRPr="00545310" w:rsidRDefault="0052529B" w:rsidP="00AD0323">
      <w:pPr>
        <w:pStyle w:val="Sangradetextonormal"/>
        <w:spacing w:after="0"/>
        <w:ind w:left="0"/>
        <w:rPr>
          <w:rFonts w:ascii="Arial" w:hAnsi="Arial" w:cs="Arial"/>
          <w:szCs w:val="24"/>
        </w:rPr>
      </w:pPr>
      <w:r w:rsidRPr="00545310">
        <w:rPr>
          <w:rFonts w:ascii="Arial" w:hAnsi="Arial" w:cs="Arial"/>
          <w:szCs w:val="24"/>
        </w:rPr>
        <w:t xml:space="preserve">Para resolver la segunda instancia de la presente </w:t>
      </w:r>
      <w:r w:rsidRPr="00545310">
        <w:rPr>
          <w:rFonts w:ascii="Arial" w:hAnsi="Arial" w:cs="Arial"/>
          <w:i/>
          <w:szCs w:val="24"/>
        </w:rPr>
        <w:t>litis</w:t>
      </w:r>
      <w:r w:rsidR="00DD3E54" w:rsidRPr="00545310">
        <w:rPr>
          <w:rFonts w:ascii="Arial" w:hAnsi="Arial" w:cs="Arial"/>
          <w:szCs w:val="24"/>
        </w:rPr>
        <w:t>, se abordará</w:t>
      </w:r>
      <w:r w:rsidRPr="00545310">
        <w:rPr>
          <w:rFonts w:ascii="Arial" w:hAnsi="Arial" w:cs="Arial"/>
          <w:szCs w:val="24"/>
        </w:rPr>
        <w:t xml:space="preserve">n los siguientes temas: </w:t>
      </w:r>
      <w:r w:rsidR="00445973" w:rsidRPr="00545310">
        <w:rPr>
          <w:rFonts w:ascii="Arial" w:hAnsi="Arial" w:cs="Arial"/>
          <w:b/>
          <w:szCs w:val="24"/>
        </w:rPr>
        <w:t>1</w:t>
      </w:r>
      <w:r w:rsidR="00A50912" w:rsidRPr="00545310">
        <w:rPr>
          <w:rFonts w:ascii="Arial" w:hAnsi="Arial" w:cs="Arial"/>
          <w:b/>
          <w:szCs w:val="24"/>
        </w:rPr>
        <w:t>)</w:t>
      </w:r>
      <w:r w:rsidR="00F813EB" w:rsidRPr="00545310">
        <w:rPr>
          <w:rFonts w:ascii="Arial" w:hAnsi="Arial" w:cs="Arial"/>
          <w:szCs w:val="24"/>
        </w:rPr>
        <w:t xml:space="preserve"> </w:t>
      </w:r>
      <w:r w:rsidR="00025187" w:rsidRPr="00545310">
        <w:rPr>
          <w:rFonts w:ascii="Arial" w:hAnsi="Arial" w:cs="Arial"/>
          <w:szCs w:val="24"/>
        </w:rPr>
        <w:t>j</w:t>
      </w:r>
      <w:r w:rsidR="00BF3EF6" w:rsidRPr="00545310">
        <w:rPr>
          <w:rFonts w:ascii="Arial" w:hAnsi="Arial" w:cs="Arial"/>
          <w:szCs w:val="24"/>
        </w:rPr>
        <w:t>urisdicción</w:t>
      </w:r>
      <w:r w:rsidR="00EA5153" w:rsidRPr="00545310">
        <w:rPr>
          <w:rFonts w:ascii="Arial" w:hAnsi="Arial" w:cs="Arial"/>
          <w:szCs w:val="24"/>
        </w:rPr>
        <w:t xml:space="preserve"> y competencia del Consejo de Estado</w:t>
      </w:r>
      <w:r w:rsidR="00327A99" w:rsidRPr="00545310">
        <w:rPr>
          <w:rFonts w:ascii="Arial" w:hAnsi="Arial" w:cs="Arial"/>
          <w:szCs w:val="24"/>
        </w:rPr>
        <w:t xml:space="preserve">; </w:t>
      </w:r>
      <w:r w:rsidR="00445973" w:rsidRPr="00545310">
        <w:rPr>
          <w:rFonts w:ascii="Arial" w:hAnsi="Arial" w:cs="Arial"/>
          <w:b/>
          <w:szCs w:val="24"/>
        </w:rPr>
        <w:t>2</w:t>
      </w:r>
      <w:r w:rsidR="00A50912" w:rsidRPr="00545310">
        <w:rPr>
          <w:rFonts w:ascii="Arial" w:hAnsi="Arial" w:cs="Arial"/>
          <w:b/>
          <w:szCs w:val="24"/>
        </w:rPr>
        <w:t>)</w:t>
      </w:r>
      <w:r w:rsidR="00E8149C" w:rsidRPr="00545310">
        <w:rPr>
          <w:rFonts w:ascii="Arial" w:hAnsi="Arial" w:cs="Arial"/>
          <w:szCs w:val="24"/>
        </w:rPr>
        <w:t xml:space="preserve"> </w:t>
      </w:r>
      <w:r w:rsidR="00025187" w:rsidRPr="00545310">
        <w:rPr>
          <w:rFonts w:ascii="Arial" w:hAnsi="Arial" w:cs="Arial"/>
          <w:szCs w:val="24"/>
        </w:rPr>
        <w:t>c</w:t>
      </w:r>
      <w:r w:rsidR="00327A99" w:rsidRPr="00545310">
        <w:rPr>
          <w:rFonts w:ascii="Arial" w:hAnsi="Arial" w:cs="Arial"/>
          <w:szCs w:val="24"/>
        </w:rPr>
        <w:t xml:space="preserve">ompetencia por </w:t>
      </w:r>
      <w:r w:rsidR="00327A99" w:rsidRPr="00545310">
        <w:rPr>
          <w:rFonts w:ascii="Arial" w:hAnsi="Arial" w:cs="Arial"/>
          <w:szCs w:val="24"/>
        </w:rPr>
        <w:lastRenderedPageBreak/>
        <w:t xml:space="preserve">cuantía; </w:t>
      </w:r>
      <w:r w:rsidR="00327A99" w:rsidRPr="00545310">
        <w:rPr>
          <w:rFonts w:ascii="Arial" w:hAnsi="Arial" w:cs="Arial"/>
          <w:b/>
          <w:szCs w:val="24"/>
        </w:rPr>
        <w:t>3)</w:t>
      </w:r>
      <w:r w:rsidR="00327A99" w:rsidRPr="00545310">
        <w:rPr>
          <w:rFonts w:ascii="Arial" w:hAnsi="Arial" w:cs="Arial"/>
          <w:szCs w:val="24"/>
        </w:rPr>
        <w:t xml:space="preserve"> oportunidad en la presentación de la demanda;</w:t>
      </w:r>
      <w:r w:rsidR="00327A99" w:rsidRPr="00545310">
        <w:rPr>
          <w:rFonts w:ascii="Arial" w:hAnsi="Arial" w:cs="Arial"/>
          <w:b/>
          <w:szCs w:val="24"/>
        </w:rPr>
        <w:t xml:space="preserve"> 4</w:t>
      </w:r>
      <w:r w:rsidR="009D6FA1" w:rsidRPr="00545310">
        <w:rPr>
          <w:rFonts w:ascii="Arial" w:hAnsi="Arial" w:cs="Arial"/>
          <w:b/>
          <w:szCs w:val="24"/>
        </w:rPr>
        <w:t xml:space="preserve">) </w:t>
      </w:r>
      <w:r w:rsidR="00025187" w:rsidRPr="00545310">
        <w:rPr>
          <w:rFonts w:ascii="Arial" w:hAnsi="Arial" w:cs="Arial"/>
          <w:szCs w:val="24"/>
        </w:rPr>
        <w:t>r</w:t>
      </w:r>
      <w:r w:rsidR="00327A99" w:rsidRPr="00545310">
        <w:rPr>
          <w:rFonts w:ascii="Arial" w:hAnsi="Arial" w:cs="Arial"/>
          <w:bCs/>
          <w:szCs w:val="24"/>
        </w:rPr>
        <w:t>égimen jurídico de los contratos celebrados por FONADE, en vigencia de la disposición contenida en el artículo 26 de la Ley 1150 de 2007</w:t>
      </w:r>
      <w:r w:rsidR="004A0CC1" w:rsidRPr="00545310">
        <w:rPr>
          <w:rFonts w:ascii="Arial" w:hAnsi="Arial" w:cs="Arial"/>
          <w:bCs/>
          <w:szCs w:val="24"/>
        </w:rPr>
        <w:t>;</w:t>
      </w:r>
      <w:r w:rsidR="00327A99" w:rsidRPr="00545310">
        <w:rPr>
          <w:rFonts w:ascii="Arial" w:hAnsi="Arial" w:cs="Arial"/>
          <w:b/>
          <w:bCs/>
          <w:szCs w:val="24"/>
        </w:rPr>
        <w:t xml:space="preserve"> </w:t>
      </w:r>
      <w:r w:rsidR="00025187" w:rsidRPr="00545310">
        <w:rPr>
          <w:rFonts w:ascii="Arial" w:hAnsi="Arial" w:cs="Arial"/>
          <w:b/>
          <w:bCs/>
          <w:szCs w:val="24"/>
        </w:rPr>
        <w:t xml:space="preserve">5) </w:t>
      </w:r>
      <w:r w:rsidR="00025187" w:rsidRPr="00545310">
        <w:rPr>
          <w:rFonts w:ascii="Arial" w:hAnsi="Arial" w:cs="Arial"/>
          <w:bCs/>
          <w:szCs w:val="24"/>
        </w:rPr>
        <w:t>c</w:t>
      </w:r>
      <w:r w:rsidR="00025187" w:rsidRPr="00545310">
        <w:rPr>
          <w:rFonts w:ascii="Arial" w:hAnsi="Arial" w:cs="Arial"/>
          <w:szCs w:val="24"/>
          <w:lang w:val="es-CO" w:eastAsia="ar-SA"/>
        </w:rPr>
        <w:t xml:space="preserve">obertura de la garantía única de cumplimiento; </w:t>
      </w:r>
      <w:r w:rsidR="00810766" w:rsidRPr="00545310">
        <w:rPr>
          <w:rFonts w:ascii="Arial" w:hAnsi="Arial" w:cs="Arial"/>
          <w:b/>
          <w:szCs w:val="24"/>
          <w:lang w:val="es-CO" w:eastAsia="ar-SA"/>
        </w:rPr>
        <w:t>6)</w:t>
      </w:r>
      <w:r w:rsidR="00810766" w:rsidRPr="00545310">
        <w:rPr>
          <w:rFonts w:ascii="Arial" w:hAnsi="Arial" w:cs="Arial"/>
          <w:szCs w:val="24"/>
          <w:lang w:val="es-CO" w:eastAsia="ar-SA"/>
        </w:rPr>
        <w:t xml:space="preserve"> delimitación de la apelación</w:t>
      </w:r>
      <w:r w:rsidR="009826FF" w:rsidRPr="00545310">
        <w:rPr>
          <w:rFonts w:ascii="Arial" w:hAnsi="Arial" w:cs="Arial"/>
          <w:szCs w:val="24"/>
          <w:lang w:val="es-CO" w:eastAsia="ar-SA"/>
        </w:rPr>
        <w:t>;</w:t>
      </w:r>
      <w:r w:rsidR="009826FF" w:rsidRPr="00545310">
        <w:rPr>
          <w:rFonts w:ascii="Arial" w:hAnsi="Arial" w:cs="Arial"/>
          <w:b/>
          <w:szCs w:val="24"/>
          <w:lang w:val="es-CO" w:eastAsia="ar-SA"/>
        </w:rPr>
        <w:t xml:space="preserve"> 7) </w:t>
      </w:r>
      <w:r w:rsidR="009826FF" w:rsidRPr="00545310">
        <w:rPr>
          <w:rFonts w:ascii="Arial" w:hAnsi="Arial" w:cs="Arial"/>
          <w:szCs w:val="24"/>
          <w:lang w:val="es-CO" w:eastAsia="ar-SA"/>
        </w:rPr>
        <w:t>el caso concreto;</w:t>
      </w:r>
      <w:r w:rsidR="009826FF" w:rsidRPr="00545310">
        <w:rPr>
          <w:rFonts w:ascii="Arial" w:hAnsi="Arial" w:cs="Arial"/>
          <w:b/>
          <w:szCs w:val="24"/>
          <w:lang w:val="es-CO" w:eastAsia="ar-SA"/>
        </w:rPr>
        <w:t xml:space="preserve"> 8) </w:t>
      </w:r>
      <w:r w:rsidR="009826FF" w:rsidRPr="00545310">
        <w:rPr>
          <w:rFonts w:ascii="Arial" w:hAnsi="Arial" w:cs="Arial"/>
          <w:szCs w:val="24"/>
          <w:lang w:val="es-CO" w:eastAsia="ar-SA"/>
        </w:rPr>
        <w:t>conclusiones;</w:t>
      </w:r>
      <w:r w:rsidR="009826FF" w:rsidRPr="00545310">
        <w:rPr>
          <w:rFonts w:ascii="Arial" w:hAnsi="Arial" w:cs="Arial"/>
          <w:b/>
          <w:szCs w:val="24"/>
          <w:lang w:val="es-CO" w:eastAsia="ar-SA"/>
        </w:rPr>
        <w:t xml:space="preserve"> </w:t>
      </w:r>
      <w:r w:rsidR="00EF35BA" w:rsidRPr="00545310">
        <w:rPr>
          <w:rFonts w:ascii="Arial" w:hAnsi="Arial" w:cs="Arial"/>
          <w:b/>
          <w:szCs w:val="24"/>
          <w:lang w:val="es-ES_tradnl"/>
        </w:rPr>
        <w:t>9)</w:t>
      </w:r>
      <w:r w:rsidR="00EF35BA" w:rsidRPr="00545310">
        <w:rPr>
          <w:rFonts w:ascii="Arial" w:hAnsi="Arial" w:cs="Arial"/>
          <w:szCs w:val="24"/>
          <w:lang w:val="es-ES_tradnl"/>
        </w:rPr>
        <w:t xml:space="preserve"> </w:t>
      </w:r>
      <w:r w:rsidR="009826FF" w:rsidRPr="00545310">
        <w:rPr>
          <w:rFonts w:ascii="Arial" w:hAnsi="Arial" w:cs="Arial"/>
          <w:szCs w:val="24"/>
          <w:lang w:val="es-ES_tradnl"/>
        </w:rPr>
        <w:t xml:space="preserve">el principio de </w:t>
      </w:r>
      <w:r w:rsidR="009826FF" w:rsidRPr="00545310">
        <w:rPr>
          <w:rFonts w:ascii="Arial" w:hAnsi="Arial" w:cs="Arial"/>
          <w:i/>
          <w:szCs w:val="24"/>
          <w:lang w:val="es-ES_tradnl"/>
        </w:rPr>
        <w:t xml:space="preserve">non </w:t>
      </w:r>
      <w:proofErr w:type="spellStart"/>
      <w:r w:rsidR="009826FF" w:rsidRPr="00545310">
        <w:rPr>
          <w:rFonts w:ascii="Arial" w:hAnsi="Arial" w:cs="Arial"/>
          <w:i/>
          <w:szCs w:val="24"/>
          <w:lang w:val="es-ES_tradnl"/>
        </w:rPr>
        <w:t>reformatio</w:t>
      </w:r>
      <w:proofErr w:type="spellEnd"/>
      <w:r w:rsidR="009826FF" w:rsidRPr="00545310">
        <w:rPr>
          <w:rFonts w:ascii="Arial" w:hAnsi="Arial" w:cs="Arial"/>
          <w:i/>
          <w:szCs w:val="24"/>
          <w:lang w:val="es-ES_tradnl"/>
        </w:rPr>
        <w:t xml:space="preserve"> in </w:t>
      </w:r>
      <w:proofErr w:type="spellStart"/>
      <w:r w:rsidR="009826FF" w:rsidRPr="00545310">
        <w:rPr>
          <w:rFonts w:ascii="Arial" w:hAnsi="Arial" w:cs="Arial"/>
          <w:i/>
          <w:szCs w:val="24"/>
          <w:lang w:val="es-ES_tradnl"/>
        </w:rPr>
        <w:t>pejus</w:t>
      </w:r>
      <w:proofErr w:type="spellEnd"/>
      <w:r w:rsidR="009826FF" w:rsidRPr="00545310">
        <w:rPr>
          <w:rFonts w:ascii="Arial" w:hAnsi="Arial" w:cs="Arial"/>
          <w:szCs w:val="24"/>
          <w:lang w:val="es-ES_tradnl"/>
        </w:rPr>
        <w:t xml:space="preserve">; </w:t>
      </w:r>
      <w:r w:rsidR="00EF35BA" w:rsidRPr="00545310">
        <w:rPr>
          <w:rFonts w:ascii="Arial" w:hAnsi="Arial" w:cs="Arial"/>
          <w:b/>
          <w:szCs w:val="24"/>
        </w:rPr>
        <w:t>10</w:t>
      </w:r>
      <w:r w:rsidR="00FA2EC7" w:rsidRPr="00545310">
        <w:rPr>
          <w:rFonts w:ascii="Arial" w:hAnsi="Arial" w:cs="Arial"/>
          <w:b/>
          <w:szCs w:val="24"/>
        </w:rPr>
        <w:t>)</w:t>
      </w:r>
      <w:r w:rsidR="00A10418" w:rsidRPr="00545310">
        <w:rPr>
          <w:rFonts w:ascii="Arial" w:hAnsi="Arial" w:cs="Arial"/>
          <w:szCs w:val="24"/>
        </w:rPr>
        <w:t xml:space="preserve"> </w:t>
      </w:r>
      <w:r w:rsidR="00E87111" w:rsidRPr="00545310">
        <w:rPr>
          <w:rFonts w:ascii="Arial" w:hAnsi="Arial" w:cs="Arial"/>
          <w:szCs w:val="24"/>
        </w:rPr>
        <w:t>C</w:t>
      </w:r>
      <w:r w:rsidR="00F810DD" w:rsidRPr="00545310">
        <w:rPr>
          <w:rFonts w:ascii="Arial" w:hAnsi="Arial" w:cs="Arial"/>
          <w:szCs w:val="24"/>
        </w:rPr>
        <w:t>ostas</w:t>
      </w:r>
      <w:r w:rsidRPr="00545310">
        <w:rPr>
          <w:rFonts w:ascii="Arial" w:hAnsi="Arial" w:cs="Arial"/>
          <w:szCs w:val="24"/>
        </w:rPr>
        <w:t>.</w:t>
      </w:r>
    </w:p>
    <w:p w14:paraId="62A02ABA" w14:textId="77777777" w:rsidR="00C874B4" w:rsidRPr="00545310" w:rsidRDefault="00C874B4" w:rsidP="009265BB">
      <w:pPr>
        <w:pStyle w:val="NormalWeb"/>
        <w:spacing w:before="0" w:beforeAutospacing="0" w:after="0" w:afterAutospacing="0"/>
        <w:rPr>
          <w:rFonts w:cs="Arial"/>
        </w:rPr>
      </w:pPr>
    </w:p>
    <w:p w14:paraId="3594042D" w14:textId="77777777" w:rsidR="00117C54" w:rsidRPr="00545310" w:rsidRDefault="00CD461C" w:rsidP="00CD461C">
      <w:pPr>
        <w:rPr>
          <w:rFonts w:cs="Arial"/>
          <w:b/>
          <w:lang w:val="es-CO"/>
        </w:rPr>
      </w:pPr>
      <w:r w:rsidRPr="00545310">
        <w:rPr>
          <w:rFonts w:cs="Arial"/>
          <w:b/>
          <w:lang w:val="es-CO"/>
        </w:rPr>
        <w:t>1</w:t>
      </w:r>
      <w:r w:rsidR="00F971DB" w:rsidRPr="00545310">
        <w:rPr>
          <w:rFonts w:cs="Arial"/>
          <w:b/>
          <w:lang w:val="es-CO"/>
        </w:rPr>
        <w:t>.</w:t>
      </w:r>
      <w:r w:rsidR="002B5EAB" w:rsidRPr="00545310">
        <w:rPr>
          <w:rFonts w:cs="Arial"/>
          <w:b/>
          <w:lang w:val="es-CO"/>
        </w:rPr>
        <w:t xml:space="preserve"> </w:t>
      </w:r>
      <w:r w:rsidR="007127F4" w:rsidRPr="00545310">
        <w:rPr>
          <w:rFonts w:cs="Arial"/>
          <w:b/>
          <w:lang w:val="es-CO"/>
        </w:rPr>
        <w:t>Jurisdicción y c</w:t>
      </w:r>
      <w:r w:rsidR="00C874B4" w:rsidRPr="00545310">
        <w:rPr>
          <w:rFonts w:cs="Arial"/>
          <w:b/>
          <w:lang w:val="es-CO"/>
        </w:rPr>
        <w:t>ompetencia del Consejo de Estado</w:t>
      </w:r>
    </w:p>
    <w:p w14:paraId="0A710DB0" w14:textId="77777777" w:rsidR="00205871" w:rsidRPr="00545310" w:rsidRDefault="00205871" w:rsidP="00117C54">
      <w:pPr>
        <w:rPr>
          <w:rFonts w:cs="Arial"/>
          <w:b/>
          <w:lang w:val="es-CO"/>
        </w:rPr>
      </w:pPr>
    </w:p>
    <w:p w14:paraId="2E26DC86" w14:textId="77777777" w:rsidR="00205871" w:rsidRPr="00545310" w:rsidRDefault="00F971DB" w:rsidP="00F971DB">
      <w:pPr>
        <w:rPr>
          <w:rFonts w:cs="Arial"/>
          <w:b/>
          <w:lang w:val="es-CO"/>
        </w:rPr>
      </w:pPr>
      <w:r w:rsidRPr="00545310">
        <w:rPr>
          <w:rFonts w:cs="Arial"/>
          <w:b/>
          <w:lang w:val="es-CO"/>
        </w:rPr>
        <w:t xml:space="preserve">1.1. </w:t>
      </w:r>
      <w:r w:rsidR="00205871" w:rsidRPr="00545310">
        <w:rPr>
          <w:rFonts w:cs="Arial"/>
          <w:b/>
          <w:lang w:val="es-CO"/>
        </w:rPr>
        <w:t xml:space="preserve">Jurisdicción </w:t>
      </w:r>
      <w:r w:rsidR="00EA5153" w:rsidRPr="00545310">
        <w:rPr>
          <w:rFonts w:cs="Arial"/>
          <w:b/>
          <w:lang w:val="es-CO"/>
        </w:rPr>
        <w:t>c</w:t>
      </w:r>
      <w:r w:rsidR="00205871" w:rsidRPr="00545310">
        <w:rPr>
          <w:rFonts w:cs="Arial"/>
          <w:b/>
          <w:lang w:val="es-CO"/>
        </w:rPr>
        <w:t>ompetente</w:t>
      </w:r>
    </w:p>
    <w:p w14:paraId="23E6D460" w14:textId="77777777" w:rsidR="00A43131" w:rsidRPr="00545310" w:rsidRDefault="00A43131" w:rsidP="00E27368">
      <w:pPr>
        <w:pStyle w:val="Textoindependiente"/>
        <w:autoSpaceDE/>
        <w:adjustRightInd/>
        <w:rPr>
          <w:rFonts w:cs="Arial"/>
          <w:szCs w:val="24"/>
          <w:lang w:val="es-CO"/>
        </w:rPr>
      </w:pPr>
    </w:p>
    <w:p w14:paraId="696E3C97" w14:textId="77777777" w:rsidR="00994EFB" w:rsidRPr="00545310" w:rsidRDefault="00994EFB" w:rsidP="00745C9B">
      <w:pPr>
        <w:pStyle w:val="Textoindependiente"/>
        <w:autoSpaceDE/>
        <w:adjustRightInd/>
        <w:spacing w:line="240" w:lineRule="auto"/>
        <w:rPr>
          <w:rFonts w:cs="Arial"/>
          <w:b/>
          <w:szCs w:val="24"/>
          <w:lang w:val="es-CO"/>
        </w:rPr>
      </w:pPr>
      <w:r w:rsidRPr="00545310">
        <w:rPr>
          <w:rFonts w:cs="Arial"/>
          <w:b/>
          <w:szCs w:val="24"/>
          <w:lang w:val="es-CO"/>
        </w:rPr>
        <w:t>1.1.1</w:t>
      </w:r>
      <w:r w:rsidR="00DA207D" w:rsidRPr="00545310">
        <w:rPr>
          <w:rFonts w:cs="Arial"/>
          <w:b/>
          <w:szCs w:val="24"/>
          <w:lang w:val="es-CO"/>
        </w:rPr>
        <w:t xml:space="preserve">. </w:t>
      </w:r>
      <w:r w:rsidRPr="00545310">
        <w:rPr>
          <w:rFonts w:cs="Arial"/>
          <w:b/>
          <w:szCs w:val="24"/>
          <w:lang w:val="es-CO"/>
        </w:rPr>
        <w:t>Anotaciones generales sobre la contratación de la</w:t>
      </w:r>
      <w:r w:rsidR="00745C9B" w:rsidRPr="00545310">
        <w:rPr>
          <w:rFonts w:cs="Arial"/>
          <w:b/>
          <w:szCs w:val="24"/>
          <w:lang w:val="es-CO"/>
        </w:rPr>
        <w:t xml:space="preserve">s entidades financieras </w:t>
      </w:r>
    </w:p>
    <w:p w14:paraId="45176544" w14:textId="77777777" w:rsidR="00994EFB" w:rsidRPr="00545310" w:rsidRDefault="00994EFB" w:rsidP="00E27368">
      <w:pPr>
        <w:pStyle w:val="Textoindependiente"/>
        <w:autoSpaceDE/>
        <w:adjustRightInd/>
        <w:rPr>
          <w:rFonts w:cs="Arial"/>
          <w:szCs w:val="24"/>
          <w:lang w:val="es-CO"/>
        </w:rPr>
      </w:pPr>
    </w:p>
    <w:p w14:paraId="2D94B793" w14:textId="77777777" w:rsidR="00263485" w:rsidRPr="00545310" w:rsidRDefault="00BE6AC8" w:rsidP="00E27368">
      <w:pPr>
        <w:pStyle w:val="Textoindependiente"/>
        <w:autoSpaceDE/>
        <w:adjustRightInd/>
        <w:rPr>
          <w:rFonts w:cs="Arial"/>
          <w:szCs w:val="24"/>
          <w:lang w:val="es-CO"/>
        </w:rPr>
      </w:pPr>
      <w:r w:rsidRPr="00545310">
        <w:rPr>
          <w:rFonts w:cs="Arial"/>
          <w:szCs w:val="24"/>
          <w:lang w:val="es-CO"/>
        </w:rPr>
        <w:t xml:space="preserve">Aunque </w:t>
      </w:r>
      <w:r w:rsidR="00B237E5" w:rsidRPr="00545310">
        <w:rPr>
          <w:rFonts w:cs="Arial"/>
          <w:szCs w:val="24"/>
          <w:lang w:val="es-CO"/>
        </w:rPr>
        <w:t>FONAD</w:t>
      </w:r>
      <w:r w:rsidRPr="00545310">
        <w:rPr>
          <w:rFonts w:cs="Arial"/>
          <w:szCs w:val="24"/>
          <w:lang w:val="es-CO"/>
        </w:rPr>
        <w:t xml:space="preserve">E es una de las </w:t>
      </w:r>
      <w:r w:rsidR="00394A12" w:rsidRPr="00545310">
        <w:rPr>
          <w:rFonts w:cs="Arial"/>
          <w:szCs w:val="24"/>
          <w:lang w:val="es-CO"/>
        </w:rPr>
        <w:t xml:space="preserve">instituciones financieras </w:t>
      </w:r>
      <w:r w:rsidRPr="00545310">
        <w:rPr>
          <w:rFonts w:cs="Arial"/>
          <w:szCs w:val="24"/>
          <w:lang w:val="es-CO"/>
        </w:rPr>
        <w:t xml:space="preserve">de carácter público, </w:t>
      </w:r>
      <w:r w:rsidR="00394A12" w:rsidRPr="00545310">
        <w:rPr>
          <w:rFonts w:cs="Arial"/>
          <w:szCs w:val="24"/>
          <w:lang w:val="es-CO"/>
        </w:rPr>
        <w:t>en los términos del Estatuto Orgánico del Sistema Financiero</w:t>
      </w:r>
      <w:r w:rsidR="00F05860" w:rsidRPr="00545310">
        <w:rPr>
          <w:rFonts w:cs="Arial"/>
          <w:szCs w:val="24"/>
          <w:lang w:val="es-CO"/>
        </w:rPr>
        <w:t xml:space="preserve"> (Decreto-ley 663 de 1993y sus modificaciones)</w:t>
      </w:r>
      <w:r w:rsidR="00394A12" w:rsidRPr="00545310">
        <w:rPr>
          <w:rFonts w:cs="Arial"/>
          <w:szCs w:val="24"/>
          <w:lang w:val="es-CO"/>
        </w:rPr>
        <w:t xml:space="preserve">, </w:t>
      </w:r>
      <w:r w:rsidR="00F05860" w:rsidRPr="00545310">
        <w:rPr>
          <w:rFonts w:cs="Arial"/>
          <w:szCs w:val="24"/>
          <w:lang w:val="es-CO"/>
        </w:rPr>
        <w:t xml:space="preserve">es importante hacer notar que </w:t>
      </w:r>
      <w:r w:rsidRPr="00545310">
        <w:rPr>
          <w:rFonts w:cs="Arial"/>
          <w:szCs w:val="24"/>
          <w:lang w:val="es-CO"/>
        </w:rPr>
        <w:t>la Ley 1150 de 2007 le dio un especial tratamiento a los contratos celebrados por esa entidad, e</w:t>
      </w:r>
      <w:r w:rsidR="00394A12" w:rsidRPr="00545310">
        <w:rPr>
          <w:rFonts w:cs="Arial"/>
          <w:szCs w:val="24"/>
          <w:lang w:val="es-CO"/>
        </w:rPr>
        <w:t xml:space="preserve">n cuanto, </w:t>
      </w:r>
      <w:r w:rsidR="00F05860" w:rsidRPr="00545310">
        <w:rPr>
          <w:rFonts w:cs="Arial"/>
          <w:szCs w:val="24"/>
          <w:lang w:val="es-CO"/>
        </w:rPr>
        <w:t>los sometió a la Ley 80 de 1993, a</w:t>
      </w:r>
      <w:r w:rsidR="00394A12" w:rsidRPr="00545310">
        <w:rPr>
          <w:rFonts w:cs="Arial"/>
          <w:szCs w:val="24"/>
          <w:lang w:val="es-CO"/>
        </w:rPr>
        <w:t xml:space="preserve"> diferencia de la</w:t>
      </w:r>
      <w:r w:rsidR="00F05860" w:rsidRPr="00545310">
        <w:rPr>
          <w:rFonts w:cs="Arial"/>
          <w:szCs w:val="24"/>
          <w:lang w:val="es-CO"/>
        </w:rPr>
        <w:t xml:space="preserve"> regla consagrada para la contratación de las</w:t>
      </w:r>
      <w:r w:rsidR="00394A12" w:rsidRPr="00545310">
        <w:rPr>
          <w:rFonts w:cs="Arial"/>
          <w:szCs w:val="24"/>
          <w:lang w:val="es-CO"/>
        </w:rPr>
        <w:t xml:space="preserve"> otras entidades </w:t>
      </w:r>
      <w:r w:rsidR="008E0C7A" w:rsidRPr="00545310">
        <w:rPr>
          <w:rFonts w:cs="Arial"/>
          <w:szCs w:val="24"/>
          <w:lang w:val="es-CO"/>
        </w:rPr>
        <w:t xml:space="preserve">financieras con participación de capital público, </w:t>
      </w:r>
      <w:r w:rsidR="00263485" w:rsidRPr="00545310">
        <w:rPr>
          <w:rFonts w:cs="Arial"/>
          <w:szCs w:val="24"/>
          <w:lang w:val="es-CO"/>
        </w:rPr>
        <w:t xml:space="preserve">que se rigen por </w:t>
      </w:r>
      <w:r w:rsidR="008E0C7A" w:rsidRPr="00545310">
        <w:rPr>
          <w:rFonts w:cs="Arial"/>
          <w:szCs w:val="24"/>
          <w:lang w:val="es-CO"/>
        </w:rPr>
        <w:t xml:space="preserve">las </w:t>
      </w:r>
      <w:r w:rsidR="00745C9B" w:rsidRPr="00545310">
        <w:rPr>
          <w:rFonts w:cs="Arial"/>
          <w:szCs w:val="24"/>
          <w:lang w:val="es-CO"/>
        </w:rPr>
        <w:t xml:space="preserve">normas </w:t>
      </w:r>
      <w:r w:rsidR="009B4453" w:rsidRPr="00545310">
        <w:rPr>
          <w:rFonts w:cs="Arial"/>
          <w:szCs w:val="24"/>
          <w:lang w:val="es-CO"/>
        </w:rPr>
        <w:t xml:space="preserve">especiales de su actividad, las cuales, en materia de </w:t>
      </w:r>
      <w:r w:rsidR="00745C9B" w:rsidRPr="00545310">
        <w:rPr>
          <w:rFonts w:cs="Arial"/>
          <w:szCs w:val="24"/>
          <w:lang w:val="es-CO"/>
        </w:rPr>
        <w:t>contratación</w:t>
      </w:r>
      <w:r w:rsidR="009B4453" w:rsidRPr="00545310">
        <w:rPr>
          <w:rFonts w:cs="Arial"/>
          <w:szCs w:val="24"/>
          <w:lang w:val="es-CO"/>
        </w:rPr>
        <w:t>,</w:t>
      </w:r>
      <w:r w:rsidR="00745C9B" w:rsidRPr="00545310">
        <w:rPr>
          <w:rFonts w:cs="Arial"/>
          <w:szCs w:val="24"/>
          <w:lang w:val="es-CO"/>
        </w:rPr>
        <w:t xml:space="preserve"> de</w:t>
      </w:r>
      <w:r w:rsidR="009B4453" w:rsidRPr="00545310">
        <w:rPr>
          <w:rFonts w:cs="Arial"/>
          <w:szCs w:val="24"/>
          <w:lang w:val="es-CO"/>
        </w:rPr>
        <w:t>scansan en e</w:t>
      </w:r>
      <w:r w:rsidR="00745C9B" w:rsidRPr="00545310">
        <w:rPr>
          <w:rFonts w:cs="Arial"/>
          <w:szCs w:val="24"/>
          <w:lang w:val="es-CO"/>
        </w:rPr>
        <w:t xml:space="preserve">l </w:t>
      </w:r>
      <w:r w:rsidR="00263485" w:rsidRPr="00545310">
        <w:rPr>
          <w:rFonts w:cs="Arial"/>
          <w:szCs w:val="24"/>
          <w:lang w:val="es-CO"/>
        </w:rPr>
        <w:t>derecho privado</w:t>
      </w:r>
      <w:r w:rsidR="009B4453" w:rsidRPr="00545310">
        <w:rPr>
          <w:rFonts w:cs="Arial"/>
          <w:szCs w:val="24"/>
          <w:lang w:val="es-CO"/>
        </w:rPr>
        <w:t>, sin perjuicio de la observancia de los principios de la gestión administrativa y fiscal</w:t>
      </w:r>
      <w:r w:rsidR="009B4453" w:rsidRPr="00545310">
        <w:rPr>
          <w:rStyle w:val="Refdenotaalpie"/>
          <w:rFonts w:cs="Arial"/>
          <w:szCs w:val="24"/>
          <w:lang w:val="es-CO"/>
        </w:rPr>
        <w:footnoteReference w:id="21"/>
      </w:r>
      <w:r w:rsidR="00F05860" w:rsidRPr="00545310">
        <w:rPr>
          <w:rFonts w:cs="Arial"/>
          <w:szCs w:val="24"/>
          <w:lang w:val="es-CO"/>
        </w:rPr>
        <w:t>.</w:t>
      </w:r>
    </w:p>
    <w:p w14:paraId="3D533C06" w14:textId="77777777" w:rsidR="009B4453" w:rsidRPr="00545310" w:rsidRDefault="009B4453" w:rsidP="00E27368">
      <w:pPr>
        <w:pStyle w:val="Textoindependiente"/>
        <w:autoSpaceDE/>
        <w:adjustRightInd/>
        <w:rPr>
          <w:rFonts w:cs="Arial"/>
          <w:szCs w:val="24"/>
          <w:lang w:val="es-CO"/>
        </w:rPr>
      </w:pPr>
    </w:p>
    <w:p w14:paraId="3D327FCE" w14:textId="77777777" w:rsidR="00562806" w:rsidRPr="00545310" w:rsidRDefault="00CD576C" w:rsidP="00CD576C">
      <w:pPr>
        <w:pStyle w:val="Textoindependiente"/>
        <w:autoSpaceDE/>
        <w:adjustRightInd/>
        <w:rPr>
          <w:rFonts w:cs="Arial"/>
          <w:szCs w:val="24"/>
        </w:rPr>
      </w:pPr>
      <w:r w:rsidRPr="00545310">
        <w:rPr>
          <w:rFonts w:cs="Arial"/>
          <w:szCs w:val="24"/>
        </w:rPr>
        <w:t>Se conoce que la Ley 1150 de 2007 tuvo por objeto hacer más eficiente y transparente la función pública</w:t>
      </w:r>
      <w:r w:rsidRPr="00545310">
        <w:rPr>
          <w:rStyle w:val="Refdenotaalpie"/>
          <w:rFonts w:cs="Arial"/>
          <w:szCs w:val="24"/>
        </w:rPr>
        <w:footnoteReference w:id="22"/>
      </w:r>
      <w:r w:rsidRPr="00545310">
        <w:rPr>
          <w:rFonts w:cs="Arial"/>
          <w:szCs w:val="24"/>
        </w:rPr>
        <w:t xml:space="preserve"> y que en el caso concreto de las entidades </w:t>
      </w:r>
      <w:r w:rsidRPr="00545310">
        <w:rPr>
          <w:rFonts w:cs="Arial"/>
          <w:szCs w:val="24"/>
        </w:rPr>
        <w:lastRenderedPageBreak/>
        <w:t>financieras públicas se inspiró en la situación de competencia en la que se desarrolla su objeto social</w:t>
      </w:r>
      <w:r w:rsidRPr="00545310">
        <w:rPr>
          <w:rStyle w:val="Refdenotaalpie"/>
          <w:rFonts w:cs="Arial"/>
          <w:szCs w:val="24"/>
        </w:rPr>
        <w:footnoteReference w:id="23"/>
      </w:r>
      <w:r w:rsidRPr="00545310">
        <w:rPr>
          <w:rFonts w:cs="Arial"/>
          <w:szCs w:val="24"/>
        </w:rPr>
        <w:t xml:space="preserve">, por lo cual las sustrajo de las reglas de la Ley 80 de 1993, en tanto que se justificaba la equidad en las normas de su contratación con respecto a las entidades privadas con las cuales competían. </w:t>
      </w:r>
    </w:p>
    <w:p w14:paraId="555DE291" w14:textId="77777777" w:rsidR="00562806" w:rsidRPr="00545310" w:rsidRDefault="00562806" w:rsidP="00CD576C">
      <w:pPr>
        <w:pStyle w:val="Textoindependiente"/>
        <w:autoSpaceDE/>
        <w:adjustRightInd/>
        <w:rPr>
          <w:rFonts w:cs="Arial"/>
          <w:szCs w:val="24"/>
        </w:rPr>
      </w:pPr>
    </w:p>
    <w:p w14:paraId="0DC9C1A0" w14:textId="77777777" w:rsidR="00CD576C" w:rsidRPr="00545310" w:rsidRDefault="00CD576C" w:rsidP="00CD576C">
      <w:pPr>
        <w:pStyle w:val="Textoindependiente"/>
        <w:autoSpaceDE/>
        <w:adjustRightInd/>
        <w:rPr>
          <w:rFonts w:cs="Arial"/>
          <w:szCs w:val="24"/>
        </w:rPr>
      </w:pPr>
      <w:r w:rsidRPr="00545310">
        <w:rPr>
          <w:rFonts w:cs="Arial"/>
          <w:szCs w:val="24"/>
        </w:rPr>
        <w:t>No obstante, bajo ese criterio</w:t>
      </w:r>
      <w:r w:rsidR="00BE01E0" w:rsidRPr="00545310">
        <w:rPr>
          <w:rFonts w:cs="Arial"/>
          <w:szCs w:val="24"/>
        </w:rPr>
        <w:t xml:space="preserve">, la Ley 1150 de 2007 </w:t>
      </w:r>
      <w:r w:rsidRPr="00545310">
        <w:rPr>
          <w:rFonts w:cs="Arial"/>
          <w:szCs w:val="24"/>
        </w:rPr>
        <w:t>no flexibilizó la contratación de FONADE, cuyo régimen se ubicó bajo la normativa de la Ley 80 de 1993.</w:t>
      </w:r>
    </w:p>
    <w:p w14:paraId="1015CEA6" w14:textId="77777777" w:rsidR="00263485" w:rsidRPr="00545310" w:rsidRDefault="00263485" w:rsidP="00E27368">
      <w:pPr>
        <w:pStyle w:val="Textoindependiente"/>
        <w:autoSpaceDE/>
        <w:adjustRightInd/>
        <w:rPr>
          <w:rFonts w:cs="Arial"/>
          <w:szCs w:val="24"/>
          <w:lang w:val="es-CO"/>
        </w:rPr>
      </w:pPr>
    </w:p>
    <w:p w14:paraId="2FA580A3" w14:textId="77777777" w:rsidR="009E7049" w:rsidRPr="00545310" w:rsidRDefault="00CD576C" w:rsidP="00E27368">
      <w:pPr>
        <w:pStyle w:val="Textoindependiente"/>
        <w:autoSpaceDE/>
        <w:adjustRightInd/>
        <w:rPr>
          <w:rFonts w:cs="Arial"/>
          <w:szCs w:val="24"/>
          <w:lang w:val="es-CO"/>
        </w:rPr>
      </w:pPr>
      <w:r w:rsidRPr="00545310">
        <w:rPr>
          <w:rFonts w:cs="Arial"/>
          <w:szCs w:val="24"/>
          <w:lang w:val="es-CO"/>
        </w:rPr>
        <w:t xml:space="preserve">Se entiende la orientación </w:t>
      </w:r>
      <w:r w:rsidR="00050E06" w:rsidRPr="00545310">
        <w:rPr>
          <w:rFonts w:cs="Arial"/>
          <w:szCs w:val="24"/>
          <w:lang w:val="es-CO"/>
        </w:rPr>
        <w:t xml:space="preserve">finalmente adoptada por </w:t>
      </w:r>
      <w:r w:rsidRPr="00545310">
        <w:rPr>
          <w:rFonts w:cs="Arial"/>
          <w:szCs w:val="24"/>
          <w:lang w:val="es-CO"/>
        </w:rPr>
        <w:t xml:space="preserve">la Ley 1150 de 2007 </w:t>
      </w:r>
      <w:r w:rsidR="00562806" w:rsidRPr="00545310">
        <w:rPr>
          <w:rFonts w:cs="Arial"/>
          <w:szCs w:val="24"/>
          <w:lang w:val="es-CO"/>
        </w:rPr>
        <w:t>para el caso de FONADE</w:t>
      </w:r>
      <w:r w:rsidR="00BE01E0" w:rsidRPr="00545310">
        <w:rPr>
          <w:rFonts w:cs="Arial"/>
          <w:szCs w:val="24"/>
          <w:lang w:val="es-CO"/>
        </w:rPr>
        <w:t>,</w:t>
      </w:r>
      <w:r w:rsidR="00562806" w:rsidRPr="00545310">
        <w:rPr>
          <w:rFonts w:cs="Arial"/>
          <w:szCs w:val="24"/>
          <w:lang w:val="es-CO"/>
        </w:rPr>
        <w:t xml:space="preserve"> </w:t>
      </w:r>
      <w:r w:rsidRPr="00545310">
        <w:rPr>
          <w:rFonts w:cs="Arial"/>
          <w:szCs w:val="24"/>
          <w:lang w:val="es-CO"/>
        </w:rPr>
        <w:t xml:space="preserve">toda vez que </w:t>
      </w:r>
      <w:r w:rsidR="00562806" w:rsidRPr="00545310">
        <w:rPr>
          <w:rFonts w:cs="Arial"/>
          <w:szCs w:val="24"/>
          <w:lang w:val="es-CO"/>
        </w:rPr>
        <w:t xml:space="preserve">esa entidad no </w:t>
      </w:r>
      <w:r w:rsidR="00263485" w:rsidRPr="00545310">
        <w:rPr>
          <w:rFonts w:cs="Arial"/>
          <w:szCs w:val="24"/>
          <w:lang w:val="es-CO"/>
        </w:rPr>
        <w:t xml:space="preserve">es un banco comercial y que su actividad </w:t>
      </w:r>
      <w:r w:rsidR="00DA207D" w:rsidRPr="00545310">
        <w:rPr>
          <w:rFonts w:cs="Arial"/>
          <w:szCs w:val="24"/>
          <w:lang w:val="es-CO"/>
        </w:rPr>
        <w:t xml:space="preserve">ordinaria </w:t>
      </w:r>
      <w:r w:rsidR="00263485" w:rsidRPr="00545310">
        <w:rPr>
          <w:rFonts w:cs="Arial"/>
          <w:szCs w:val="24"/>
          <w:lang w:val="es-CO"/>
        </w:rPr>
        <w:t xml:space="preserve">no consiste en </w:t>
      </w:r>
      <w:r w:rsidR="008E0C7A" w:rsidRPr="00545310">
        <w:rPr>
          <w:rFonts w:cs="Arial"/>
          <w:szCs w:val="24"/>
          <w:lang w:val="es-CO"/>
        </w:rPr>
        <w:t xml:space="preserve">la </w:t>
      </w:r>
      <w:r w:rsidR="00263485" w:rsidRPr="00545310">
        <w:rPr>
          <w:rFonts w:cs="Arial"/>
          <w:szCs w:val="24"/>
          <w:lang w:val="es-CO"/>
        </w:rPr>
        <w:t>intermediación financiera típica, como es la de captar recursos del público para colocarlos</w:t>
      </w:r>
      <w:r w:rsidR="00806823" w:rsidRPr="00545310">
        <w:rPr>
          <w:rFonts w:cs="Arial"/>
          <w:szCs w:val="24"/>
          <w:lang w:val="es-CO"/>
        </w:rPr>
        <w:t xml:space="preserve"> a través de los contratos bancarios</w:t>
      </w:r>
      <w:r w:rsidR="00263485" w:rsidRPr="00545310">
        <w:rPr>
          <w:rFonts w:cs="Arial"/>
          <w:szCs w:val="24"/>
          <w:lang w:val="es-CO"/>
        </w:rPr>
        <w:t xml:space="preserve">, </w:t>
      </w:r>
      <w:r w:rsidR="00806823" w:rsidRPr="00545310">
        <w:rPr>
          <w:rFonts w:cs="Arial"/>
          <w:szCs w:val="24"/>
          <w:lang w:val="es-CO"/>
        </w:rPr>
        <w:t>a que se refiere</w:t>
      </w:r>
      <w:r w:rsidR="009F3124" w:rsidRPr="00545310">
        <w:rPr>
          <w:rFonts w:cs="Arial"/>
          <w:szCs w:val="24"/>
          <w:lang w:val="es-CO"/>
        </w:rPr>
        <w:t>n</w:t>
      </w:r>
      <w:r w:rsidR="00806823" w:rsidRPr="00545310">
        <w:rPr>
          <w:rFonts w:cs="Arial"/>
          <w:szCs w:val="24"/>
          <w:lang w:val="es-CO"/>
        </w:rPr>
        <w:t xml:space="preserve"> el </w:t>
      </w:r>
      <w:r w:rsidR="009F3124" w:rsidRPr="00545310">
        <w:rPr>
          <w:rFonts w:cs="Arial"/>
          <w:szCs w:val="24"/>
          <w:lang w:val="es-CO"/>
        </w:rPr>
        <w:t xml:space="preserve">Estatuto Orgánico del Sistema Financiero y el </w:t>
      </w:r>
      <w:r w:rsidR="00806823" w:rsidRPr="00545310">
        <w:rPr>
          <w:rFonts w:cs="Arial"/>
          <w:szCs w:val="24"/>
          <w:lang w:val="es-CO"/>
        </w:rPr>
        <w:t>Código de Comercio</w:t>
      </w:r>
      <w:r w:rsidR="009E7049" w:rsidRPr="00545310">
        <w:rPr>
          <w:rFonts w:cs="Arial"/>
          <w:szCs w:val="24"/>
          <w:lang w:val="es-CO"/>
        </w:rPr>
        <w:t>.</w:t>
      </w:r>
    </w:p>
    <w:p w14:paraId="7B44A7E1" w14:textId="77777777" w:rsidR="00DA207D" w:rsidRPr="00545310" w:rsidRDefault="00DA207D" w:rsidP="00E27368">
      <w:pPr>
        <w:pStyle w:val="Textoindependiente"/>
        <w:autoSpaceDE/>
        <w:adjustRightInd/>
        <w:rPr>
          <w:rFonts w:cs="Arial"/>
          <w:szCs w:val="24"/>
          <w:lang w:val="es-CO"/>
        </w:rPr>
      </w:pPr>
    </w:p>
    <w:p w14:paraId="13E96B8F" w14:textId="77777777" w:rsidR="00CA560D" w:rsidRPr="00545310" w:rsidRDefault="00806823" w:rsidP="00E27368">
      <w:pPr>
        <w:pStyle w:val="Textoindependiente"/>
        <w:autoSpaceDE/>
        <w:adjustRightInd/>
        <w:rPr>
          <w:rFonts w:cs="Arial"/>
          <w:szCs w:val="24"/>
          <w:lang w:val="es-CO"/>
        </w:rPr>
      </w:pPr>
      <w:r w:rsidRPr="00545310">
        <w:rPr>
          <w:rFonts w:cs="Arial"/>
          <w:szCs w:val="24"/>
          <w:lang w:val="es-CO"/>
        </w:rPr>
        <w:t xml:space="preserve">Si se mira con cuidado el objeto definido </w:t>
      </w:r>
      <w:r w:rsidR="00CA560D" w:rsidRPr="00545310">
        <w:rPr>
          <w:rFonts w:cs="Arial"/>
          <w:szCs w:val="24"/>
          <w:lang w:val="es-CO"/>
        </w:rPr>
        <w:t xml:space="preserve">para FONADE </w:t>
      </w:r>
      <w:r w:rsidRPr="00545310">
        <w:rPr>
          <w:rFonts w:cs="Arial"/>
          <w:szCs w:val="24"/>
          <w:lang w:val="es-CO"/>
        </w:rPr>
        <w:t xml:space="preserve">en el Estatuto Orgánico del Sistema Financiero, se entiende </w:t>
      </w:r>
      <w:r w:rsidR="009E7049" w:rsidRPr="00545310">
        <w:rPr>
          <w:rFonts w:cs="Arial"/>
          <w:szCs w:val="24"/>
          <w:lang w:val="es-CO"/>
        </w:rPr>
        <w:t xml:space="preserve">que </w:t>
      </w:r>
      <w:r w:rsidR="009F3124" w:rsidRPr="00545310">
        <w:rPr>
          <w:rFonts w:cs="Arial"/>
          <w:szCs w:val="24"/>
          <w:lang w:val="es-CO"/>
        </w:rPr>
        <w:t xml:space="preserve">a esa entidad </w:t>
      </w:r>
      <w:r w:rsidR="009E7049" w:rsidRPr="00545310">
        <w:rPr>
          <w:rFonts w:cs="Arial"/>
          <w:szCs w:val="24"/>
          <w:lang w:val="es-CO"/>
        </w:rPr>
        <w:t xml:space="preserve">le corresponde una </w:t>
      </w:r>
      <w:r w:rsidRPr="00545310">
        <w:rPr>
          <w:rFonts w:cs="Arial"/>
          <w:szCs w:val="24"/>
          <w:lang w:val="es-CO"/>
        </w:rPr>
        <w:t xml:space="preserve">función de la denominada </w:t>
      </w:r>
      <w:r w:rsidRPr="00545310">
        <w:rPr>
          <w:rFonts w:cs="Arial"/>
          <w:i/>
          <w:szCs w:val="24"/>
          <w:lang w:val="es-CO"/>
        </w:rPr>
        <w:t>banca de desarrollo</w:t>
      </w:r>
      <w:r w:rsidRPr="00545310">
        <w:rPr>
          <w:rFonts w:cs="Arial"/>
          <w:szCs w:val="24"/>
          <w:lang w:val="es-CO"/>
        </w:rPr>
        <w:t xml:space="preserve">, cuya actividad </w:t>
      </w:r>
      <w:r w:rsidR="007478FE" w:rsidRPr="00545310">
        <w:rPr>
          <w:rFonts w:cs="Arial"/>
          <w:szCs w:val="24"/>
          <w:lang w:val="es-CO"/>
        </w:rPr>
        <w:t>es diferente de l</w:t>
      </w:r>
      <w:r w:rsidR="00DA207D" w:rsidRPr="00545310">
        <w:rPr>
          <w:rFonts w:cs="Arial"/>
          <w:szCs w:val="24"/>
          <w:lang w:val="es-CO"/>
        </w:rPr>
        <w:t xml:space="preserve">a que </w:t>
      </w:r>
      <w:r w:rsidR="00CA560D" w:rsidRPr="00545310">
        <w:rPr>
          <w:rFonts w:cs="Arial"/>
          <w:szCs w:val="24"/>
          <w:lang w:val="es-CO"/>
        </w:rPr>
        <w:t>ordinariamente realiza un banco comercial</w:t>
      </w:r>
      <w:r w:rsidR="009E7049" w:rsidRPr="00545310">
        <w:rPr>
          <w:rFonts w:cs="Arial"/>
          <w:szCs w:val="24"/>
          <w:lang w:val="es-CO"/>
        </w:rPr>
        <w:t xml:space="preserve"> </w:t>
      </w:r>
      <w:r w:rsidR="00C0363D" w:rsidRPr="00545310">
        <w:rPr>
          <w:rFonts w:cs="Arial"/>
          <w:szCs w:val="24"/>
          <w:lang w:val="es-CO"/>
        </w:rPr>
        <w:t>(</w:t>
      </w:r>
      <w:r w:rsidR="0092300B" w:rsidRPr="00545310">
        <w:rPr>
          <w:rFonts w:cs="Arial"/>
          <w:szCs w:val="24"/>
          <w:lang w:val="es-CO"/>
        </w:rPr>
        <w:t xml:space="preserve">la actividad bancaria de servicio al público en general </w:t>
      </w:r>
      <w:r w:rsidR="00DA207D" w:rsidRPr="00545310">
        <w:rPr>
          <w:rFonts w:cs="Arial"/>
          <w:szCs w:val="24"/>
          <w:lang w:val="es-CO"/>
        </w:rPr>
        <w:t xml:space="preserve">se conoce como </w:t>
      </w:r>
      <w:r w:rsidR="007478FE" w:rsidRPr="00545310">
        <w:rPr>
          <w:rFonts w:cs="Arial"/>
          <w:szCs w:val="24"/>
          <w:lang w:val="es-CO"/>
        </w:rPr>
        <w:t>banca de primer piso</w:t>
      </w:r>
      <w:r w:rsidR="00C0363D" w:rsidRPr="00545310">
        <w:rPr>
          <w:rFonts w:cs="Arial"/>
          <w:szCs w:val="24"/>
          <w:lang w:val="es-CO"/>
        </w:rPr>
        <w:t>)</w:t>
      </w:r>
      <w:r w:rsidR="00DA207D" w:rsidRPr="00545310">
        <w:rPr>
          <w:rFonts w:cs="Arial"/>
          <w:szCs w:val="24"/>
          <w:lang w:val="es-CO"/>
        </w:rPr>
        <w:t xml:space="preserve">. </w:t>
      </w:r>
    </w:p>
    <w:p w14:paraId="7CD01A7F" w14:textId="77777777" w:rsidR="00CA560D" w:rsidRPr="00545310" w:rsidRDefault="00CA560D" w:rsidP="00E27368">
      <w:pPr>
        <w:pStyle w:val="Textoindependiente"/>
        <w:autoSpaceDE/>
        <w:adjustRightInd/>
        <w:rPr>
          <w:rFonts w:cs="Arial"/>
          <w:szCs w:val="24"/>
          <w:lang w:val="es-CO"/>
        </w:rPr>
      </w:pPr>
    </w:p>
    <w:p w14:paraId="56957A43" w14:textId="77777777" w:rsidR="00806823" w:rsidRPr="00545310" w:rsidRDefault="000D7268" w:rsidP="00E27368">
      <w:pPr>
        <w:pStyle w:val="Textoindependiente"/>
        <w:autoSpaceDE/>
        <w:adjustRightInd/>
        <w:rPr>
          <w:rFonts w:cs="Arial"/>
          <w:szCs w:val="24"/>
          <w:lang w:val="es-CO"/>
        </w:rPr>
      </w:pPr>
      <w:r w:rsidRPr="00545310">
        <w:rPr>
          <w:rFonts w:cs="Arial"/>
          <w:szCs w:val="24"/>
          <w:lang w:val="es-CO"/>
        </w:rPr>
        <w:t>De esa apreciación se advierte que l</w:t>
      </w:r>
      <w:r w:rsidR="00DA207D" w:rsidRPr="00545310">
        <w:rPr>
          <w:rFonts w:cs="Arial"/>
          <w:szCs w:val="24"/>
          <w:lang w:val="es-CO"/>
        </w:rPr>
        <w:t xml:space="preserve">a gestión de la banca de desarrollo </w:t>
      </w:r>
      <w:r w:rsidR="007478FE" w:rsidRPr="00545310">
        <w:rPr>
          <w:rFonts w:cs="Arial"/>
          <w:szCs w:val="24"/>
          <w:lang w:val="es-CO"/>
        </w:rPr>
        <w:t>se</w:t>
      </w:r>
      <w:r w:rsidR="00806823" w:rsidRPr="00545310">
        <w:rPr>
          <w:rFonts w:cs="Arial"/>
          <w:szCs w:val="24"/>
          <w:lang w:val="es-CO"/>
        </w:rPr>
        <w:t xml:space="preserve"> asemeja más a</w:t>
      </w:r>
      <w:r w:rsidR="00A74C46" w:rsidRPr="00545310">
        <w:rPr>
          <w:rFonts w:cs="Arial"/>
          <w:szCs w:val="24"/>
          <w:lang w:val="es-CO"/>
        </w:rPr>
        <w:t xml:space="preserve">l objeto ordinario </w:t>
      </w:r>
      <w:r w:rsidR="00806823" w:rsidRPr="00545310">
        <w:rPr>
          <w:rFonts w:cs="Arial"/>
          <w:szCs w:val="24"/>
          <w:lang w:val="es-CO"/>
        </w:rPr>
        <w:t xml:space="preserve">de las sociedades de servicios financieros, que a </w:t>
      </w:r>
      <w:r w:rsidRPr="00545310">
        <w:rPr>
          <w:rFonts w:cs="Arial"/>
          <w:szCs w:val="24"/>
          <w:lang w:val="es-CO"/>
        </w:rPr>
        <w:t xml:space="preserve">de </w:t>
      </w:r>
      <w:r w:rsidR="00806823" w:rsidRPr="00545310">
        <w:rPr>
          <w:rFonts w:cs="Arial"/>
          <w:szCs w:val="24"/>
          <w:lang w:val="es-CO"/>
        </w:rPr>
        <w:t>la</w:t>
      </w:r>
      <w:r w:rsidRPr="00545310">
        <w:rPr>
          <w:rFonts w:cs="Arial"/>
          <w:szCs w:val="24"/>
          <w:lang w:val="es-CO"/>
        </w:rPr>
        <w:t>s</w:t>
      </w:r>
      <w:r w:rsidR="00806823" w:rsidRPr="00545310">
        <w:rPr>
          <w:rFonts w:cs="Arial"/>
          <w:szCs w:val="24"/>
          <w:lang w:val="es-CO"/>
        </w:rPr>
        <w:t xml:space="preserve"> entidades bancarias</w:t>
      </w:r>
      <w:r w:rsidR="004145B6" w:rsidRPr="00545310">
        <w:rPr>
          <w:rFonts w:cs="Arial"/>
          <w:szCs w:val="24"/>
          <w:lang w:val="es-CO"/>
        </w:rPr>
        <w:t>, sin perjuicio de su particular condición de constituir un instrumento de gestión directa en materia de los planes y programas públicos</w:t>
      </w:r>
      <w:r w:rsidR="00214B62" w:rsidRPr="00545310">
        <w:rPr>
          <w:rFonts w:cs="Arial"/>
          <w:szCs w:val="24"/>
          <w:lang w:val="es-CO"/>
        </w:rPr>
        <w:t>.</w:t>
      </w:r>
    </w:p>
    <w:p w14:paraId="3F804D8F" w14:textId="77777777" w:rsidR="00A15B67" w:rsidRPr="00545310" w:rsidRDefault="00A15B67" w:rsidP="00E27368">
      <w:pPr>
        <w:pStyle w:val="Textoindependiente"/>
        <w:autoSpaceDE/>
        <w:adjustRightInd/>
        <w:rPr>
          <w:rFonts w:cs="Arial"/>
          <w:szCs w:val="24"/>
        </w:rPr>
      </w:pPr>
    </w:p>
    <w:p w14:paraId="382C2C09" w14:textId="77777777" w:rsidR="00090A73" w:rsidRPr="00545310" w:rsidRDefault="00A74C46" w:rsidP="00E27368">
      <w:pPr>
        <w:pStyle w:val="Textoindependiente"/>
        <w:autoSpaceDE/>
        <w:adjustRightInd/>
        <w:rPr>
          <w:rFonts w:cs="Arial"/>
          <w:szCs w:val="24"/>
          <w:lang w:val="es-CO"/>
        </w:rPr>
      </w:pPr>
      <w:r w:rsidRPr="00545310">
        <w:rPr>
          <w:rFonts w:cs="Arial"/>
          <w:szCs w:val="24"/>
          <w:lang w:val="es-CO"/>
        </w:rPr>
        <w:t xml:space="preserve">Dentro de </w:t>
      </w:r>
      <w:r w:rsidR="000D7268" w:rsidRPr="00545310">
        <w:rPr>
          <w:rFonts w:cs="Arial"/>
          <w:szCs w:val="24"/>
          <w:lang w:val="es-CO"/>
        </w:rPr>
        <w:t xml:space="preserve">objeto </w:t>
      </w:r>
      <w:r w:rsidR="00806823" w:rsidRPr="00545310">
        <w:rPr>
          <w:rFonts w:cs="Arial"/>
          <w:szCs w:val="24"/>
          <w:lang w:val="es-CO"/>
        </w:rPr>
        <w:t>propi</w:t>
      </w:r>
      <w:r w:rsidR="000D7268" w:rsidRPr="00545310">
        <w:rPr>
          <w:rFonts w:cs="Arial"/>
          <w:szCs w:val="24"/>
          <w:lang w:val="es-CO"/>
        </w:rPr>
        <w:t>o</w:t>
      </w:r>
      <w:r w:rsidR="00806823" w:rsidRPr="00545310">
        <w:rPr>
          <w:rFonts w:cs="Arial"/>
          <w:szCs w:val="24"/>
          <w:lang w:val="es-CO"/>
        </w:rPr>
        <w:t xml:space="preserve"> de FONADE</w:t>
      </w:r>
      <w:r w:rsidR="000143CA" w:rsidRPr="00545310">
        <w:rPr>
          <w:rFonts w:cs="Arial"/>
          <w:szCs w:val="24"/>
          <w:lang w:val="es-CO"/>
        </w:rPr>
        <w:t xml:space="preserve">, que </w:t>
      </w:r>
      <w:r w:rsidR="000D7268" w:rsidRPr="00545310">
        <w:rPr>
          <w:rFonts w:cs="Arial"/>
          <w:szCs w:val="24"/>
          <w:lang w:val="es-CO"/>
        </w:rPr>
        <w:t xml:space="preserve">se corresponde con </w:t>
      </w:r>
      <w:r w:rsidR="000143CA" w:rsidRPr="00545310">
        <w:rPr>
          <w:rFonts w:cs="Arial"/>
          <w:szCs w:val="24"/>
          <w:lang w:val="es-CO"/>
        </w:rPr>
        <w:t xml:space="preserve">una actividad </w:t>
      </w:r>
      <w:r w:rsidR="005A13DE" w:rsidRPr="00545310">
        <w:rPr>
          <w:rFonts w:cs="Arial"/>
          <w:szCs w:val="24"/>
          <w:lang w:val="es-CO"/>
        </w:rPr>
        <w:t xml:space="preserve">de servicios </w:t>
      </w:r>
      <w:r w:rsidR="000143CA" w:rsidRPr="00545310">
        <w:rPr>
          <w:rFonts w:cs="Arial"/>
          <w:szCs w:val="24"/>
          <w:lang w:val="es-CO"/>
        </w:rPr>
        <w:t>financier</w:t>
      </w:r>
      <w:r w:rsidR="005A13DE" w:rsidRPr="00545310">
        <w:rPr>
          <w:rFonts w:cs="Arial"/>
          <w:szCs w:val="24"/>
          <w:lang w:val="es-CO"/>
        </w:rPr>
        <w:t>os</w:t>
      </w:r>
      <w:r w:rsidR="000143CA" w:rsidRPr="00545310">
        <w:rPr>
          <w:rFonts w:cs="Arial"/>
          <w:szCs w:val="24"/>
          <w:lang w:val="es-CO"/>
        </w:rPr>
        <w:t xml:space="preserve">, </w:t>
      </w:r>
      <w:r w:rsidR="000D7268" w:rsidRPr="00545310">
        <w:rPr>
          <w:rFonts w:cs="Arial"/>
          <w:szCs w:val="24"/>
          <w:lang w:val="es-CO"/>
        </w:rPr>
        <w:t>se encuentra previst</w:t>
      </w:r>
      <w:r w:rsidRPr="00545310">
        <w:rPr>
          <w:rFonts w:cs="Arial"/>
          <w:szCs w:val="24"/>
          <w:lang w:val="es-CO"/>
        </w:rPr>
        <w:t>a</w:t>
      </w:r>
      <w:r w:rsidR="000D7268" w:rsidRPr="00545310">
        <w:rPr>
          <w:rFonts w:cs="Arial"/>
          <w:szCs w:val="24"/>
          <w:lang w:val="es-CO"/>
        </w:rPr>
        <w:t xml:space="preserve"> </w:t>
      </w:r>
      <w:r w:rsidR="000143CA" w:rsidRPr="00545310">
        <w:rPr>
          <w:rFonts w:cs="Arial"/>
          <w:szCs w:val="24"/>
          <w:lang w:val="es-CO"/>
        </w:rPr>
        <w:t xml:space="preserve">la gerencia y ejecución de proyectos de </w:t>
      </w:r>
      <w:r w:rsidR="000143CA" w:rsidRPr="00545310">
        <w:rPr>
          <w:rFonts w:cs="Arial"/>
          <w:szCs w:val="24"/>
          <w:lang w:val="es-CO"/>
        </w:rPr>
        <w:lastRenderedPageBreak/>
        <w:t xml:space="preserve">desarrollo, en la cual, con recursos de presupuestos públicos y privados, FONADE despliega una capacidad ejecutora, que </w:t>
      </w:r>
      <w:r w:rsidR="00F26681" w:rsidRPr="00545310">
        <w:rPr>
          <w:rFonts w:cs="Arial"/>
          <w:szCs w:val="24"/>
          <w:lang w:val="es-CO"/>
        </w:rPr>
        <w:t xml:space="preserve">puede expresarse </w:t>
      </w:r>
      <w:r w:rsidRPr="00545310">
        <w:rPr>
          <w:rFonts w:cs="Arial"/>
          <w:szCs w:val="24"/>
          <w:lang w:val="es-CO"/>
        </w:rPr>
        <w:t xml:space="preserve">a través de la </w:t>
      </w:r>
      <w:r w:rsidR="001F32E7" w:rsidRPr="00545310">
        <w:rPr>
          <w:rFonts w:cs="Arial"/>
          <w:szCs w:val="24"/>
          <w:lang w:val="es-CO"/>
        </w:rPr>
        <w:t>denominada contratación derivada</w:t>
      </w:r>
      <w:r w:rsidRPr="00545310">
        <w:rPr>
          <w:rFonts w:cs="Arial"/>
          <w:szCs w:val="24"/>
          <w:lang w:val="es-CO"/>
        </w:rPr>
        <w:t xml:space="preserve">, </w:t>
      </w:r>
      <w:r w:rsidR="00F26681" w:rsidRPr="00545310">
        <w:rPr>
          <w:rFonts w:cs="Arial"/>
          <w:szCs w:val="24"/>
          <w:lang w:val="es-CO"/>
        </w:rPr>
        <w:t>de la más diversa índole</w:t>
      </w:r>
      <w:r w:rsidR="00BD5D2E" w:rsidRPr="00545310">
        <w:rPr>
          <w:rFonts w:cs="Arial"/>
          <w:szCs w:val="24"/>
          <w:lang w:val="es-CO"/>
        </w:rPr>
        <w:t xml:space="preserve">. </w:t>
      </w:r>
    </w:p>
    <w:p w14:paraId="11A21AE2" w14:textId="77777777" w:rsidR="00090A73" w:rsidRPr="00545310" w:rsidRDefault="00090A73" w:rsidP="00E27368">
      <w:pPr>
        <w:pStyle w:val="Textoindependiente"/>
        <w:autoSpaceDE/>
        <w:adjustRightInd/>
        <w:rPr>
          <w:rFonts w:cs="Arial"/>
          <w:szCs w:val="24"/>
          <w:lang w:val="es-CO"/>
        </w:rPr>
      </w:pPr>
    </w:p>
    <w:p w14:paraId="12EDF9C4" w14:textId="77777777" w:rsidR="0092300B" w:rsidRPr="00545310" w:rsidRDefault="00090A73" w:rsidP="00E27368">
      <w:pPr>
        <w:pStyle w:val="Textoindependiente"/>
        <w:autoSpaceDE/>
        <w:adjustRightInd/>
        <w:rPr>
          <w:rFonts w:cs="Arial"/>
          <w:szCs w:val="24"/>
          <w:lang w:val="es-CO"/>
        </w:rPr>
      </w:pPr>
      <w:r w:rsidRPr="00545310">
        <w:rPr>
          <w:rFonts w:cs="Arial"/>
          <w:szCs w:val="24"/>
          <w:lang w:val="es-CO"/>
        </w:rPr>
        <w:t xml:space="preserve">Se denomina </w:t>
      </w:r>
      <w:r w:rsidR="00BD5D2E" w:rsidRPr="00545310">
        <w:rPr>
          <w:rFonts w:cs="Arial"/>
          <w:szCs w:val="24"/>
          <w:lang w:val="es-CO"/>
        </w:rPr>
        <w:t>contratación derivada</w:t>
      </w:r>
      <w:r w:rsidR="00DA0CF9" w:rsidRPr="00545310">
        <w:rPr>
          <w:rFonts w:cs="Arial"/>
          <w:szCs w:val="24"/>
          <w:lang w:val="es-CO"/>
        </w:rPr>
        <w:t xml:space="preserve">, </w:t>
      </w:r>
      <w:r w:rsidR="007478FE" w:rsidRPr="00545310">
        <w:rPr>
          <w:rFonts w:cs="Arial"/>
          <w:szCs w:val="24"/>
          <w:lang w:val="es-CO"/>
        </w:rPr>
        <w:t xml:space="preserve">en cuanto se </w:t>
      </w:r>
      <w:r w:rsidR="00F26681" w:rsidRPr="00545310">
        <w:rPr>
          <w:rFonts w:cs="Arial"/>
          <w:szCs w:val="24"/>
          <w:lang w:val="es-CO"/>
        </w:rPr>
        <w:t xml:space="preserve">trata de contratos que se </w:t>
      </w:r>
      <w:r w:rsidR="007478FE" w:rsidRPr="00545310">
        <w:rPr>
          <w:rFonts w:cs="Arial"/>
          <w:szCs w:val="24"/>
          <w:lang w:val="es-CO"/>
        </w:rPr>
        <w:t>origina</w:t>
      </w:r>
      <w:r w:rsidR="00F26681" w:rsidRPr="00545310">
        <w:rPr>
          <w:rFonts w:cs="Arial"/>
          <w:szCs w:val="24"/>
          <w:lang w:val="es-CO"/>
        </w:rPr>
        <w:t xml:space="preserve">n </w:t>
      </w:r>
      <w:r w:rsidR="007478FE" w:rsidRPr="00545310">
        <w:rPr>
          <w:rFonts w:cs="Arial"/>
          <w:szCs w:val="24"/>
          <w:lang w:val="es-CO"/>
        </w:rPr>
        <w:t>en convenio</w:t>
      </w:r>
      <w:r w:rsidR="00F26681" w:rsidRPr="00545310">
        <w:rPr>
          <w:rFonts w:cs="Arial"/>
          <w:szCs w:val="24"/>
          <w:lang w:val="es-CO"/>
        </w:rPr>
        <w:t>s</w:t>
      </w:r>
      <w:r w:rsidR="007478FE" w:rsidRPr="00545310">
        <w:rPr>
          <w:rFonts w:cs="Arial"/>
          <w:szCs w:val="24"/>
          <w:lang w:val="es-CO"/>
        </w:rPr>
        <w:t xml:space="preserve"> interadministrativo</w:t>
      </w:r>
      <w:r w:rsidR="00F26681" w:rsidRPr="00545310">
        <w:rPr>
          <w:rFonts w:cs="Arial"/>
          <w:szCs w:val="24"/>
          <w:lang w:val="es-CO"/>
        </w:rPr>
        <w:t>s</w:t>
      </w:r>
      <w:r w:rsidR="007478FE" w:rsidRPr="00545310">
        <w:rPr>
          <w:rFonts w:cs="Arial"/>
          <w:szCs w:val="24"/>
          <w:lang w:val="es-CO"/>
        </w:rPr>
        <w:t xml:space="preserve">, </w:t>
      </w:r>
      <w:r w:rsidR="00F26681" w:rsidRPr="00545310">
        <w:rPr>
          <w:rFonts w:cs="Arial"/>
          <w:szCs w:val="24"/>
          <w:lang w:val="es-CO"/>
        </w:rPr>
        <w:t xml:space="preserve">convenios de financiación, convenios de </w:t>
      </w:r>
      <w:r w:rsidR="007478FE" w:rsidRPr="00545310">
        <w:rPr>
          <w:rFonts w:cs="Arial"/>
          <w:szCs w:val="24"/>
          <w:lang w:val="es-CO"/>
        </w:rPr>
        <w:t xml:space="preserve">cooperación y </w:t>
      </w:r>
      <w:r w:rsidR="00F26681" w:rsidRPr="00545310">
        <w:rPr>
          <w:rFonts w:cs="Arial"/>
          <w:szCs w:val="24"/>
          <w:lang w:val="es-CO"/>
        </w:rPr>
        <w:t xml:space="preserve">cualquier </w:t>
      </w:r>
      <w:r w:rsidR="007478FE" w:rsidRPr="00545310">
        <w:rPr>
          <w:rFonts w:cs="Arial"/>
          <w:szCs w:val="24"/>
          <w:lang w:val="es-CO"/>
        </w:rPr>
        <w:t xml:space="preserve">otro tipo de contrato </w:t>
      </w:r>
      <w:r w:rsidR="004145B6" w:rsidRPr="00545310">
        <w:rPr>
          <w:rFonts w:cs="Arial"/>
          <w:szCs w:val="24"/>
          <w:lang w:val="es-CO"/>
        </w:rPr>
        <w:t xml:space="preserve">que funciona como </w:t>
      </w:r>
      <w:r w:rsidR="00EF04DF" w:rsidRPr="00545310">
        <w:rPr>
          <w:rFonts w:cs="Arial"/>
          <w:szCs w:val="24"/>
          <w:lang w:val="es-CO"/>
        </w:rPr>
        <w:t xml:space="preserve">acuerdo </w:t>
      </w:r>
      <w:r w:rsidR="002B3950" w:rsidRPr="00545310">
        <w:rPr>
          <w:rFonts w:cs="Arial"/>
          <w:szCs w:val="24"/>
          <w:lang w:val="es-CO"/>
        </w:rPr>
        <w:t>matriz o principal</w:t>
      </w:r>
      <w:r w:rsidR="00BD5D2E" w:rsidRPr="00545310">
        <w:rPr>
          <w:rFonts w:cs="Arial"/>
          <w:szCs w:val="24"/>
          <w:lang w:val="es-CO"/>
        </w:rPr>
        <w:t>.</w:t>
      </w:r>
    </w:p>
    <w:p w14:paraId="4E938761" w14:textId="77777777" w:rsidR="0092300B" w:rsidRPr="00545310" w:rsidRDefault="0092300B" w:rsidP="00E27368">
      <w:pPr>
        <w:pStyle w:val="Textoindependiente"/>
        <w:autoSpaceDE/>
        <w:adjustRightInd/>
        <w:rPr>
          <w:rFonts w:cs="Arial"/>
          <w:szCs w:val="24"/>
          <w:lang w:val="es-CO"/>
        </w:rPr>
      </w:pPr>
    </w:p>
    <w:p w14:paraId="0CBD7067" w14:textId="77777777" w:rsidR="00A85486" w:rsidRPr="00545310" w:rsidRDefault="00BD5D2E" w:rsidP="00E27368">
      <w:pPr>
        <w:pStyle w:val="Textoindependiente"/>
        <w:autoSpaceDE/>
        <w:adjustRightInd/>
        <w:rPr>
          <w:rFonts w:cs="Arial"/>
          <w:szCs w:val="24"/>
          <w:lang w:val="es-CO"/>
        </w:rPr>
      </w:pPr>
      <w:r w:rsidRPr="00545310">
        <w:rPr>
          <w:rFonts w:cs="Arial"/>
          <w:szCs w:val="24"/>
          <w:lang w:val="es-CO"/>
        </w:rPr>
        <w:t>Se advierte que</w:t>
      </w:r>
      <w:r w:rsidR="0017102B" w:rsidRPr="00545310">
        <w:rPr>
          <w:rFonts w:cs="Arial"/>
          <w:szCs w:val="24"/>
          <w:lang w:val="es-CO"/>
        </w:rPr>
        <w:t>,</w:t>
      </w:r>
      <w:r w:rsidRPr="00545310">
        <w:rPr>
          <w:rFonts w:cs="Arial"/>
          <w:szCs w:val="24"/>
          <w:lang w:val="es-CO"/>
        </w:rPr>
        <w:t xml:space="preserve"> </w:t>
      </w:r>
      <w:r w:rsidR="0017102B" w:rsidRPr="00545310">
        <w:rPr>
          <w:rFonts w:cs="Arial"/>
          <w:szCs w:val="24"/>
          <w:lang w:val="es-CO"/>
        </w:rPr>
        <w:t>en cada caso, el tipo de</w:t>
      </w:r>
      <w:r w:rsidR="00A74C46" w:rsidRPr="00545310">
        <w:rPr>
          <w:rFonts w:cs="Arial"/>
          <w:szCs w:val="24"/>
          <w:lang w:val="es-CO"/>
        </w:rPr>
        <w:t xml:space="preserve"> contrato derivado </w:t>
      </w:r>
      <w:r w:rsidR="00F26681" w:rsidRPr="00545310">
        <w:rPr>
          <w:rFonts w:cs="Arial"/>
          <w:szCs w:val="24"/>
          <w:lang w:val="es-CO"/>
        </w:rPr>
        <w:t>está en últimas determinad</w:t>
      </w:r>
      <w:r w:rsidR="0017102B" w:rsidRPr="00545310">
        <w:rPr>
          <w:rFonts w:cs="Arial"/>
          <w:szCs w:val="24"/>
          <w:lang w:val="es-CO"/>
        </w:rPr>
        <w:t>o</w:t>
      </w:r>
      <w:r w:rsidR="00F26681" w:rsidRPr="00545310">
        <w:rPr>
          <w:rFonts w:cs="Arial"/>
          <w:szCs w:val="24"/>
          <w:lang w:val="es-CO"/>
        </w:rPr>
        <w:t xml:space="preserve"> por la </w:t>
      </w:r>
      <w:r w:rsidR="00A74C46" w:rsidRPr="00545310">
        <w:rPr>
          <w:rFonts w:cs="Arial"/>
          <w:szCs w:val="24"/>
          <w:lang w:val="es-CO"/>
        </w:rPr>
        <w:t xml:space="preserve">capacidad jurídica </w:t>
      </w:r>
      <w:r w:rsidR="00F26681" w:rsidRPr="00545310">
        <w:rPr>
          <w:rFonts w:cs="Arial"/>
          <w:szCs w:val="24"/>
          <w:lang w:val="es-CO"/>
        </w:rPr>
        <w:t>de las entidades que co</w:t>
      </w:r>
      <w:r w:rsidR="00A74C46" w:rsidRPr="00545310">
        <w:rPr>
          <w:rFonts w:cs="Arial"/>
          <w:szCs w:val="24"/>
          <w:lang w:val="es-CO"/>
        </w:rPr>
        <w:t>nforman el respectivo convenio</w:t>
      </w:r>
      <w:r w:rsidR="00A85486" w:rsidRPr="00545310">
        <w:rPr>
          <w:rFonts w:cs="Arial"/>
          <w:szCs w:val="24"/>
          <w:lang w:val="es-CO"/>
        </w:rPr>
        <w:t xml:space="preserve"> y que, en algunos </w:t>
      </w:r>
      <w:r w:rsidR="00EF04DF" w:rsidRPr="00545310">
        <w:rPr>
          <w:rFonts w:cs="Arial"/>
          <w:szCs w:val="24"/>
          <w:lang w:val="es-CO"/>
        </w:rPr>
        <w:t>eventos la gestión de proyectos</w:t>
      </w:r>
      <w:r w:rsidR="00A85486" w:rsidRPr="00545310">
        <w:rPr>
          <w:rFonts w:cs="Arial"/>
          <w:szCs w:val="24"/>
          <w:lang w:val="es-CO"/>
        </w:rPr>
        <w:t xml:space="preserve">, se asimila a </w:t>
      </w:r>
      <w:r w:rsidR="00EF04DF" w:rsidRPr="00545310">
        <w:rPr>
          <w:rFonts w:cs="Arial"/>
          <w:szCs w:val="24"/>
          <w:lang w:val="es-CO"/>
        </w:rPr>
        <w:t xml:space="preserve">la que se despliega en </w:t>
      </w:r>
      <w:r w:rsidR="00A85486" w:rsidRPr="00545310">
        <w:rPr>
          <w:rFonts w:cs="Arial"/>
          <w:szCs w:val="24"/>
          <w:lang w:val="es-CO"/>
        </w:rPr>
        <w:t xml:space="preserve">los </w:t>
      </w:r>
      <w:r w:rsidR="0092300B" w:rsidRPr="00545310">
        <w:rPr>
          <w:rFonts w:cs="Arial"/>
          <w:szCs w:val="24"/>
          <w:lang w:val="es-CO"/>
        </w:rPr>
        <w:t xml:space="preserve">contratos </w:t>
      </w:r>
      <w:r w:rsidR="00A85486" w:rsidRPr="00545310">
        <w:rPr>
          <w:rFonts w:cs="Arial"/>
          <w:szCs w:val="24"/>
          <w:lang w:val="es-CO"/>
        </w:rPr>
        <w:t>que realizan las entidades fiduciarias públicas, a través de regímenes que también pueden acogerse a normas de derecho privado en algunos de sus esquemas legales</w:t>
      </w:r>
      <w:r w:rsidR="0017102B" w:rsidRPr="00545310">
        <w:rPr>
          <w:rStyle w:val="Refdenotaalpie"/>
          <w:rFonts w:cs="Arial"/>
          <w:szCs w:val="24"/>
          <w:lang w:val="es-CO"/>
        </w:rPr>
        <w:footnoteReference w:id="24"/>
      </w:r>
      <w:r w:rsidR="00050E06" w:rsidRPr="00545310">
        <w:rPr>
          <w:rFonts w:cs="Arial"/>
          <w:szCs w:val="24"/>
          <w:lang w:val="es-CO"/>
        </w:rPr>
        <w:t>.</w:t>
      </w:r>
      <w:r w:rsidR="00A85486" w:rsidRPr="00545310">
        <w:rPr>
          <w:rFonts w:cs="Arial"/>
          <w:szCs w:val="24"/>
          <w:lang w:val="es-CO"/>
        </w:rPr>
        <w:t xml:space="preserve"> </w:t>
      </w:r>
    </w:p>
    <w:p w14:paraId="5A8DE2ED" w14:textId="77777777" w:rsidR="00E2479E" w:rsidRPr="00545310" w:rsidRDefault="00E2479E" w:rsidP="00E27368">
      <w:pPr>
        <w:pStyle w:val="Textoindependiente"/>
        <w:autoSpaceDE/>
        <w:adjustRightInd/>
        <w:rPr>
          <w:rFonts w:cs="Arial"/>
          <w:szCs w:val="24"/>
          <w:lang w:val="es-CO"/>
        </w:rPr>
      </w:pPr>
    </w:p>
    <w:p w14:paraId="10479131" w14:textId="77777777" w:rsidR="00455B6B" w:rsidRPr="00545310" w:rsidRDefault="00E2479E" w:rsidP="00E27368">
      <w:pPr>
        <w:pStyle w:val="Textoindependiente"/>
        <w:autoSpaceDE/>
        <w:adjustRightInd/>
        <w:rPr>
          <w:rFonts w:cs="Arial"/>
          <w:szCs w:val="24"/>
          <w:lang w:val="es-CO"/>
        </w:rPr>
      </w:pPr>
      <w:r w:rsidRPr="00545310">
        <w:rPr>
          <w:rFonts w:cs="Arial"/>
          <w:szCs w:val="24"/>
          <w:lang w:val="es-CO"/>
        </w:rPr>
        <w:t xml:space="preserve">Por ello, </w:t>
      </w:r>
      <w:r w:rsidR="00371E36" w:rsidRPr="00545310">
        <w:rPr>
          <w:rFonts w:cs="Arial"/>
          <w:szCs w:val="24"/>
          <w:lang w:val="es-CO"/>
        </w:rPr>
        <w:t xml:space="preserve">y </w:t>
      </w:r>
      <w:r w:rsidR="001857C6" w:rsidRPr="00545310">
        <w:rPr>
          <w:rFonts w:cs="Arial"/>
          <w:szCs w:val="24"/>
          <w:lang w:val="es-CO"/>
        </w:rPr>
        <w:t>-</w:t>
      </w:r>
      <w:r w:rsidRPr="00545310">
        <w:rPr>
          <w:rFonts w:cs="Arial"/>
          <w:szCs w:val="24"/>
          <w:lang w:val="es-CO"/>
        </w:rPr>
        <w:t>tal vez</w:t>
      </w:r>
      <w:r w:rsidR="001857C6" w:rsidRPr="00545310">
        <w:rPr>
          <w:rFonts w:cs="Arial"/>
          <w:szCs w:val="24"/>
          <w:lang w:val="es-CO"/>
        </w:rPr>
        <w:t>-</w:t>
      </w:r>
      <w:r w:rsidRPr="00545310">
        <w:rPr>
          <w:rFonts w:cs="Arial"/>
          <w:szCs w:val="24"/>
          <w:lang w:val="es-CO"/>
        </w:rPr>
        <w:t xml:space="preserve"> por la preponderancia de </w:t>
      </w:r>
      <w:r w:rsidR="0000005D" w:rsidRPr="00545310">
        <w:rPr>
          <w:rFonts w:cs="Arial"/>
          <w:szCs w:val="24"/>
          <w:lang w:val="es-CO"/>
        </w:rPr>
        <w:t xml:space="preserve">la </w:t>
      </w:r>
      <w:r w:rsidR="00925B3F" w:rsidRPr="00545310">
        <w:rPr>
          <w:rFonts w:cs="Arial"/>
          <w:szCs w:val="24"/>
          <w:lang w:val="es-CO"/>
        </w:rPr>
        <w:t>función como banca de desarrollo</w:t>
      </w:r>
      <w:r w:rsidR="0000005D" w:rsidRPr="00545310">
        <w:rPr>
          <w:rFonts w:cs="Arial"/>
          <w:szCs w:val="24"/>
          <w:lang w:val="es-CO"/>
        </w:rPr>
        <w:t>,</w:t>
      </w:r>
      <w:r w:rsidR="00925B3F" w:rsidRPr="00545310">
        <w:rPr>
          <w:rFonts w:cs="Arial"/>
          <w:szCs w:val="24"/>
          <w:lang w:val="es-CO"/>
        </w:rPr>
        <w:t xml:space="preserve"> que se expresa a través de la </w:t>
      </w:r>
      <w:r w:rsidRPr="00545310">
        <w:rPr>
          <w:rFonts w:cs="Arial"/>
          <w:szCs w:val="24"/>
          <w:lang w:val="es-CO"/>
        </w:rPr>
        <w:t>gestión contractual con recursos de origen público</w:t>
      </w:r>
      <w:r w:rsidR="00DF45BD" w:rsidRPr="00545310">
        <w:rPr>
          <w:rFonts w:cs="Arial"/>
          <w:szCs w:val="24"/>
          <w:lang w:val="es-CO"/>
        </w:rPr>
        <w:t xml:space="preserve"> o apalancados en la condición de entidad pública</w:t>
      </w:r>
      <w:r w:rsidRPr="00545310">
        <w:rPr>
          <w:rFonts w:cs="Arial"/>
          <w:szCs w:val="24"/>
          <w:lang w:val="es-CO"/>
        </w:rPr>
        <w:t xml:space="preserve">, </w:t>
      </w:r>
      <w:r w:rsidR="00925B3F" w:rsidRPr="00545310">
        <w:rPr>
          <w:rFonts w:cs="Arial"/>
          <w:szCs w:val="24"/>
          <w:lang w:val="es-CO"/>
        </w:rPr>
        <w:t xml:space="preserve">el artículo 26 de </w:t>
      </w:r>
      <w:r w:rsidRPr="00545310">
        <w:rPr>
          <w:rFonts w:cs="Arial"/>
          <w:szCs w:val="24"/>
          <w:lang w:val="es-CO"/>
        </w:rPr>
        <w:t>la Ley 1150 de 2007 reubicó el régimen legal de la contratación de FONADE bajo la égida de la Ley 80 de 1993</w:t>
      </w:r>
      <w:r w:rsidR="00925B3F" w:rsidRPr="00545310">
        <w:rPr>
          <w:rFonts w:cs="Arial"/>
          <w:szCs w:val="24"/>
          <w:lang w:val="es-CO"/>
        </w:rPr>
        <w:t xml:space="preserve">. </w:t>
      </w:r>
    </w:p>
    <w:p w14:paraId="2499B847" w14:textId="77777777" w:rsidR="0017102B" w:rsidRPr="00545310" w:rsidRDefault="0017102B" w:rsidP="00E27368">
      <w:pPr>
        <w:pStyle w:val="Textoindependiente"/>
        <w:autoSpaceDE/>
        <w:adjustRightInd/>
        <w:rPr>
          <w:rFonts w:cs="Arial"/>
          <w:szCs w:val="24"/>
          <w:lang w:val="es-CO"/>
        </w:rPr>
      </w:pPr>
    </w:p>
    <w:p w14:paraId="383F4D77" w14:textId="77777777" w:rsidR="00925B3F" w:rsidRPr="00545310" w:rsidRDefault="00925B3F" w:rsidP="00E27368">
      <w:pPr>
        <w:pStyle w:val="Textoindependiente"/>
        <w:autoSpaceDE/>
        <w:adjustRightInd/>
        <w:rPr>
          <w:rFonts w:cs="Arial"/>
          <w:szCs w:val="24"/>
          <w:lang w:val="es-CO"/>
        </w:rPr>
      </w:pPr>
      <w:r w:rsidRPr="00545310">
        <w:rPr>
          <w:rFonts w:cs="Arial"/>
          <w:szCs w:val="24"/>
          <w:lang w:val="es-CO"/>
        </w:rPr>
        <w:t>Sin embargo, la Ley 1450 de 2011</w:t>
      </w:r>
      <w:r w:rsidR="00DF45BD" w:rsidRPr="00545310">
        <w:rPr>
          <w:rFonts w:cs="Arial"/>
          <w:szCs w:val="24"/>
          <w:lang w:val="es-CO"/>
        </w:rPr>
        <w:t>, contentiv</w:t>
      </w:r>
      <w:r w:rsidR="00455B6B" w:rsidRPr="00545310">
        <w:rPr>
          <w:rFonts w:cs="Arial"/>
          <w:szCs w:val="24"/>
          <w:lang w:val="es-CO"/>
        </w:rPr>
        <w:t>a</w:t>
      </w:r>
      <w:r w:rsidR="00DF45BD" w:rsidRPr="00545310">
        <w:rPr>
          <w:rFonts w:cs="Arial"/>
          <w:szCs w:val="24"/>
          <w:lang w:val="es-CO"/>
        </w:rPr>
        <w:t xml:space="preserve"> del plan nacional de desarrollo</w:t>
      </w:r>
      <w:r w:rsidR="001D2B0E" w:rsidRPr="00545310">
        <w:rPr>
          <w:rFonts w:cs="Arial"/>
          <w:szCs w:val="24"/>
          <w:lang w:val="es-CO"/>
        </w:rPr>
        <w:t xml:space="preserve"> </w:t>
      </w:r>
      <w:r w:rsidR="001D2B0E" w:rsidRPr="00545310">
        <w:rPr>
          <w:rFonts w:cs="Arial"/>
          <w:i/>
          <w:szCs w:val="24"/>
          <w:lang w:val="es-CO"/>
        </w:rPr>
        <w:t>“Todos por un nuevo País”</w:t>
      </w:r>
      <w:r w:rsidR="00DF45BD" w:rsidRPr="00545310">
        <w:rPr>
          <w:rFonts w:cs="Arial"/>
          <w:szCs w:val="24"/>
          <w:lang w:val="es-CO"/>
        </w:rPr>
        <w:t xml:space="preserve">, </w:t>
      </w:r>
      <w:r w:rsidRPr="00545310">
        <w:rPr>
          <w:rFonts w:cs="Arial"/>
          <w:szCs w:val="24"/>
          <w:lang w:val="es-CO"/>
        </w:rPr>
        <w:t>derogó el referido artículo, con lo cual FONADE quedó regulado</w:t>
      </w:r>
      <w:r w:rsidR="003A4853" w:rsidRPr="00545310">
        <w:rPr>
          <w:rFonts w:cs="Arial"/>
          <w:szCs w:val="24"/>
          <w:lang w:val="es-CO"/>
        </w:rPr>
        <w:t xml:space="preserve">, para efectos de su contratación ordinaria, </w:t>
      </w:r>
      <w:r w:rsidRPr="00545310">
        <w:rPr>
          <w:rFonts w:cs="Arial"/>
          <w:szCs w:val="24"/>
          <w:lang w:val="es-CO"/>
        </w:rPr>
        <w:t>por las normas propias de las entidades financieras de carácter público, esto es bajo las reglas del derecho privado</w:t>
      </w:r>
      <w:r w:rsidR="001D2B0E" w:rsidRPr="00545310">
        <w:rPr>
          <w:rStyle w:val="Refdenotaalpie"/>
          <w:rFonts w:cs="Arial"/>
          <w:szCs w:val="24"/>
          <w:lang w:val="es-CO"/>
        </w:rPr>
        <w:footnoteReference w:id="25"/>
      </w:r>
      <w:r w:rsidR="00EF04DF" w:rsidRPr="00545310">
        <w:rPr>
          <w:rFonts w:cs="Arial"/>
          <w:szCs w:val="24"/>
          <w:lang w:val="es-CO"/>
        </w:rPr>
        <w:t xml:space="preserve">, sin </w:t>
      </w:r>
      <w:r w:rsidR="00EF04DF" w:rsidRPr="00545310">
        <w:rPr>
          <w:rFonts w:cs="Arial"/>
          <w:szCs w:val="24"/>
          <w:lang w:val="es-CO"/>
        </w:rPr>
        <w:lastRenderedPageBreak/>
        <w:t>perjuicio de la observancia de los principios de la gestión administrativa y fiscal</w:t>
      </w:r>
      <w:r w:rsidR="005A13DE" w:rsidRPr="00545310">
        <w:rPr>
          <w:rFonts w:cs="Arial"/>
          <w:szCs w:val="24"/>
          <w:lang w:val="es-CO"/>
        </w:rPr>
        <w:t>, así como del sometimiento a las inhabilidades e incompatibilidades de la Ley 80 de 1993.</w:t>
      </w:r>
      <w:r w:rsidR="006F504A" w:rsidRPr="00545310">
        <w:rPr>
          <w:rFonts w:cs="Arial"/>
          <w:szCs w:val="24"/>
          <w:lang w:val="es-CO"/>
        </w:rPr>
        <w:t xml:space="preserve"> </w:t>
      </w:r>
    </w:p>
    <w:p w14:paraId="6F8BA79E" w14:textId="77777777" w:rsidR="006F504A" w:rsidRPr="00545310" w:rsidRDefault="006F504A" w:rsidP="00E27368">
      <w:pPr>
        <w:pStyle w:val="Textoindependiente"/>
        <w:autoSpaceDE/>
        <w:adjustRightInd/>
        <w:rPr>
          <w:rFonts w:cs="Arial"/>
          <w:szCs w:val="24"/>
          <w:lang w:val="es-CO"/>
        </w:rPr>
      </w:pPr>
    </w:p>
    <w:p w14:paraId="5BAA4CFC" w14:textId="77777777" w:rsidR="005B3A58" w:rsidRPr="00545310" w:rsidRDefault="006F504A" w:rsidP="00E27368">
      <w:pPr>
        <w:pStyle w:val="Textoindependiente"/>
        <w:autoSpaceDE/>
        <w:adjustRightInd/>
        <w:rPr>
          <w:rFonts w:cs="Arial"/>
          <w:szCs w:val="24"/>
          <w:lang w:val="es-CO"/>
        </w:rPr>
      </w:pPr>
      <w:r w:rsidRPr="00545310">
        <w:rPr>
          <w:rFonts w:cs="Arial"/>
          <w:szCs w:val="24"/>
          <w:lang w:val="es-CO"/>
        </w:rPr>
        <w:t xml:space="preserve">En </w:t>
      </w:r>
      <w:r w:rsidR="003A4853" w:rsidRPr="00545310">
        <w:rPr>
          <w:rFonts w:cs="Arial"/>
          <w:szCs w:val="24"/>
          <w:lang w:val="es-CO"/>
        </w:rPr>
        <w:t>relación con la jurisdicción competente</w:t>
      </w:r>
      <w:r w:rsidR="00455B6B" w:rsidRPr="00545310">
        <w:rPr>
          <w:rFonts w:cs="Arial"/>
          <w:szCs w:val="24"/>
          <w:lang w:val="es-CO"/>
        </w:rPr>
        <w:t xml:space="preserve"> para juzgar las controver</w:t>
      </w:r>
      <w:r w:rsidR="00056164" w:rsidRPr="00545310">
        <w:rPr>
          <w:rFonts w:cs="Arial"/>
          <w:szCs w:val="24"/>
          <w:lang w:val="es-CO"/>
        </w:rPr>
        <w:t>si</w:t>
      </w:r>
      <w:r w:rsidR="00455B6B" w:rsidRPr="00545310">
        <w:rPr>
          <w:rFonts w:cs="Arial"/>
          <w:szCs w:val="24"/>
          <w:lang w:val="es-CO"/>
        </w:rPr>
        <w:t>as contractuales</w:t>
      </w:r>
      <w:r w:rsidR="003A4853" w:rsidRPr="00545310">
        <w:rPr>
          <w:rFonts w:cs="Arial"/>
          <w:szCs w:val="24"/>
          <w:lang w:val="es-CO"/>
        </w:rPr>
        <w:t xml:space="preserve">, en </w:t>
      </w:r>
      <w:r w:rsidRPr="00545310">
        <w:rPr>
          <w:rFonts w:cs="Arial"/>
          <w:szCs w:val="24"/>
          <w:lang w:val="es-CO"/>
        </w:rPr>
        <w:t>el período en que aplicó la Ley 80 de 1993</w:t>
      </w:r>
      <w:r w:rsidR="00FA77BD" w:rsidRPr="00545310">
        <w:rPr>
          <w:rFonts w:cs="Arial"/>
          <w:szCs w:val="24"/>
          <w:lang w:val="es-CO"/>
        </w:rPr>
        <w:t xml:space="preserve"> a </w:t>
      </w:r>
      <w:r w:rsidR="005B3A58" w:rsidRPr="00545310">
        <w:rPr>
          <w:rFonts w:cs="Arial"/>
          <w:szCs w:val="24"/>
          <w:lang w:val="es-CO"/>
        </w:rPr>
        <w:t xml:space="preserve">la contratación de </w:t>
      </w:r>
      <w:r w:rsidR="00FA77BD" w:rsidRPr="00545310">
        <w:rPr>
          <w:rFonts w:cs="Arial"/>
          <w:szCs w:val="24"/>
          <w:lang w:val="es-CO"/>
        </w:rPr>
        <w:t xml:space="preserve">FONADE, cobró plena aplicación el artículo 75 de la </w:t>
      </w:r>
      <w:r w:rsidR="003A4853" w:rsidRPr="00545310">
        <w:rPr>
          <w:rFonts w:cs="Arial"/>
          <w:szCs w:val="24"/>
          <w:lang w:val="es-CO"/>
        </w:rPr>
        <w:t xml:space="preserve">citada </w:t>
      </w:r>
      <w:r w:rsidR="00FA77BD" w:rsidRPr="00545310">
        <w:rPr>
          <w:rFonts w:cs="Arial"/>
          <w:szCs w:val="24"/>
          <w:lang w:val="es-CO"/>
        </w:rPr>
        <w:t xml:space="preserve">Ley, </w:t>
      </w:r>
      <w:r w:rsidR="005B3A58" w:rsidRPr="00545310">
        <w:rPr>
          <w:rFonts w:cs="Arial"/>
          <w:szCs w:val="24"/>
          <w:lang w:val="es-CO"/>
        </w:rPr>
        <w:t xml:space="preserve">que disponía: </w:t>
      </w:r>
    </w:p>
    <w:p w14:paraId="2F5851AA" w14:textId="77777777" w:rsidR="005B3A58" w:rsidRPr="00545310" w:rsidRDefault="005B3A58" w:rsidP="00E27368">
      <w:pPr>
        <w:pStyle w:val="Textoindependiente"/>
        <w:autoSpaceDE/>
        <w:adjustRightInd/>
        <w:rPr>
          <w:rFonts w:cs="Arial"/>
          <w:szCs w:val="24"/>
          <w:lang w:val="es-CO"/>
        </w:rPr>
      </w:pPr>
    </w:p>
    <w:p w14:paraId="6A41B2BC" w14:textId="77777777" w:rsidR="005B3A58" w:rsidRPr="00545310" w:rsidRDefault="005B3A58" w:rsidP="005B3A58">
      <w:pPr>
        <w:pStyle w:val="Textoindependiente"/>
        <w:autoSpaceDE/>
        <w:adjustRightInd/>
        <w:spacing w:line="276" w:lineRule="auto"/>
        <w:ind w:left="567" w:right="567"/>
        <w:rPr>
          <w:rFonts w:cs="Arial"/>
          <w:szCs w:val="24"/>
          <w:lang w:val="es-CO"/>
        </w:rPr>
      </w:pPr>
      <w:r w:rsidRPr="00545310">
        <w:rPr>
          <w:rFonts w:cs="Arial"/>
          <w:bCs/>
          <w:color w:val="000000"/>
          <w:szCs w:val="24"/>
          <w:shd w:val="clear" w:color="auto" w:fill="FFFFFF"/>
        </w:rPr>
        <w:t>“Artículo 75º</w:t>
      </w:r>
      <w:r w:rsidRPr="00545310">
        <w:rPr>
          <w:rFonts w:cs="Arial"/>
          <w:b/>
          <w:bCs/>
          <w:color w:val="000000"/>
          <w:szCs w:val="24"/>
          <w:shd w:val="clear" w:color="auto" w:fill="FFFFFF"/>
        </w:rPr>
        <w:t>.- </w:t>
      </w:r>
      <w:r w:rsidRPr="00545310">
        <w:rPr>
          <w:rFonts w:cs="Arial"/>
          <w:i/>
          <w:iCs/>
          <w:color w:val="000000"/>
          <w:szCs w:val="24"/>
          <w:shd w:val="clear" w:color="auto" w:fill="FFFFFF"/>
        </w:rPr>
        <w:t>Del Juez Competente.</w:t>
      </w:r>
      <w:r w:rsidRPr="00545310">
        <w:rPr>
          <w:rFonts w:cs="Arial"/>
          <w:color w:val="000000"/>
          <w:szCs w:val="24"/>
          <w:shd w:val="clear" w:color="auto" w:fill="FFFFFF"/>
        </w:rPr>
        <w:t> Sin perjuicio de lo dispuesto en los artículos anteriores, el juez competente para conocer de las controversias derivadas de los contratos estatales y de los procesos de ejecución o cumplimiento será el de la jurisdicción contencioso administrativo”.</w:t>
      </w:r>
    </w:p>
    <w:p w14:paraId="7572B72D" w14:textId="77777777" w:rsidR="00925B3F" w:rsidRPr="00545310" w:rsidRDefault="00925B3F" w:rsidP="00E27368">
      <w:pPr>
        <w:pStyle w:val="Textoindependiente"/>
        <w:autoSpaceDE/>
        <w:adjustRightInd/>
        <w:rPr>
          <w:rFonts w:cs="Arial"/>
          <w:szCs w:val="24"/>
          <w:lang w:val="es-CO"/>
        </w:rPr>
      </w:pPr>
    </w:p>
    <w:p w14:paraId="4CEA343B" w14:textId="77777777" w:rsidR="002B5CF8" w:rsidRPr="00545310" w:rsidRDefault="005B3A58" w:rsidP="00E27368">
      <w:pPr>
        <w:pStyle w:val="Textoindependiente"/>
        <w:autoSpaceDE/>
        <w:adjustRightInd/>
        <w:rPr>
          <w:rFonts w:cs="Arial"/>
          <w:szCs w:val="24"/>
          <w:lang w:val="es-CO"/>
        </w:rPr>
      </w:pPr>
      <w:r w:rsidRPr="00545310">
        <w:rPr>
          <w:rFonts w:cs="Arial"/>
          <w:szCs w:val="24"/>
          <w:lang w:val="es-CO"/>
        </w:rPr>
        <w:t xml:space="preserve">Sin embargo, </w:t>
      </w:r>
      <w:r w:rsidR="003A4853" w:rsidRPr="00545310">
        <w:rPr>
          <w:rFonts w:cs="Arial"/>
          <w:szCs w:val="24"/>
          <w:lang w:val="es-CO"/>
        </w:rPr>
        <w:t xml:space="preserve">según se detallará en el acápite siguiente, </w:t>
      </w:r>
      <w:r w:rsidR="006F504A" w:rsidRPr="00545310">
        <w:rPr>
          <w:rFonts w:cs="Arial"/>
          <w:szCs w:val="24"/>
          <w:lang w:val="es-CO"/>
        </w:rPr>
        <w:t>con la expedición de la Ley 1437 de 2011</w:t>
      </w:r>
      <w:r w:rsidRPr="00545310">
        <w:rPr>
          <w:rFonts w:cs="Arial"/>
          <w:szCs w:val="24"/>
          <w:lang w:val="es-CO"/>
        </w:rPr>
        <w:t xml:space="preserve"> (C.P.A.C.A), sin distinción alguna entre ellas, todas las controversias </w:t>
      </w:r>
      <w:r w:rsidR="00EC72B4" w:rsidRPr="00545310">
        <w:rPr>
          <w:rFonts w:cs="Arial"/>
          <w:szCs w:val="24"/>
          <w:lang w:val="es-CO"/>
        </w:rPr>
        <w:t xml:space="preserve">surgidas en los </w:t>
      </w:r>
      <w:r w:rsidRPr="00545310">
        <w:rPr>
          <w:rFonts w:cs="Arial"/>
          <w:szCs w:val="24"/>
          <w:lang w:val="es-CO"/>
        </w:rPr>
        <w:t>contrat</w:t>
      </w:r>
      <w:r w:rsidR="00EC72B4" w:rsidRPr="00545310">
        <w:rPr>
          <w:rFonts w:cs="Arial"/>
          <w:szCs w:val="24"/>
          <w:lang w:val="es-CO"/>
        </w:rPr>
        <w:t xml:space="preserve">os </w:t>
      </w:r>
      <w:r w:rsidR="002B5CF8" w:rsidRPr="00545310">
        <w:rPr>
          <w:rFonts w:cs="Arial"/>
          <w:szCs w:val="24"/>
          <w:lang w:val="es-CO"/>
        </w:rPr>
        <w:t xml:space="preserve">que celebran las </w:t>
      </w:r>
      <w:r w:rsidRPr="00545310">
        <w:rPr>
          <w:rFonts w:cs="Arial"/>
          <w:szCs w:val="24"/>
          <w:lang w:val="es-CO"/>
        </w:rPr>
        <w:t>entidades financieras de carácter público</w:t>
      </w:r>
      <w:r w:rsidR="002B5CF8" w:rsidRPr="00545310">
        <w:rPr>
          <w:rFonts w:cs="Arial"/>
          <w:szCs w:val="24"/>
          <w:lang w:val="es-CO"/>
        </w:rPr>
        <w:t xml:space="preserve"> en desarrollo del giro ordinario de los negocios, </w:t>
      </w:r>
      <w:r w:rsidRPr="00545310">
        <w:rPr>
          <w:rFonts w:cs="Arial"/>
          <w:szCs w:val="24"/>
          <w:lang w:val="es-CO"/>
        </w:rPr>
        <w:t>fueron sometidas a la jurisdicción ordinaria, por vía de excepción</w:t>
      </w:r>
      <w:r w:rsidR="002B5CF8" w:rsidRPr="00545310">
        <w:rPr>
          <w:rFonts w:cs="Arial"/>
          <w:szCs w:val="24"/>
          <w:lang w:val="es-CO"/>
        </w:rPr>
        <w:t>, de acuerdo con lo dispuesto en el artículo 105 del CPACA</w:t>
      </w:r>
      <w:r w:rsidRPr="00545310">
        <w:rPr>
          <w:rFonts w:cs="Arial"/>
          <w:szCs w:val="24"/>
          <w:lang w:val="es-CO"/>
        </w:rPr>
        <w:t xml:space="preserve">. </w:t>
      </w:r>
    </w:p>
    <w:p w14:paraId="4FE29113" w14:textId="77777777" w:rsidR="002B5CF8" w:rsidRPr="00545310" w:rsidRDefault="002B5CF8" w:rsidP="00E27368">
      <w:pPr>
        <w:pStyle w:val="Textoindependiente"/>
        <w:autoSpaceDE/>
        <w:adjustRightInd/>
        <w:rPr>
          <w:rFonts w:cs="Arial"/>
          <w:szCs w:val="24"/>
          <w:lang w:val="es-CO"/>
        </w:rPr>
      </w:pPr>
    </w:p>
    <w:p w14:paraId="41E47758" w14:textId="77777777" w:rsidR="008E61C9" w:rsidRPr="00545310" w:rsidRDefault="005B3A58" w:rsidP="00E27368">
      <w:pPr>
        <w:pStyle w:val="Textoindependiente"/>
        <w:autoSpaceDE/>
        <w:adjustRightInd/>
        <w:rPr>
          <w:rFonts w:cs="Arial"/>
          <w:szCs w:val="24"/>
          <w:lang w:val="es-CO"/>
        </w:rPr>
      </w:pPr>
      <w:r w:rsidRPr="00545310">
        <w:rPr>
          <w:rFonts w:cs="Arial"/>
          <w:szCs w:val="24"/>
          <w:lang w:val="es-CO"/>
        </w:rPr>
        <w:t>En los antecedentes de</w:t>
      </w:r>
      <w:r w:rsidR="000C571B" w:rsidRPr="00545310">
        <w:rPr>
          <w:rFonts w:cs="Arial"/>
          <w:szCs w:val="24"/>
          <w:lang w:val="es-CO"/>
        </w:rPr>
        <w:t xml:space="preserve">l CPACA </w:t>
      </w:r>
      <w:r w:rsidR="00056164" w:rsidRPr="00545310">
        <w:rPr>
          <w:rFonts w:cs="Arial"/>
          <w:szCs w:val="24"/>
          <w:lang w:val="es-CO"/>
        </w:rPr>
        <w:t>se siguió un criterio orgánico</w:t>
      </w:r>
      <w:r w:rsidR="000C571B" w:rsidRPr="00545310">
        <w:rPr>
          <w:rFonts w:cs="Arial"/>
          <w:szCs w:val="24"/>
          <w:lang w:val="es-CO"/>
        </w:rPr>
        <w:t xml:space="preserve"> para determinar la jurisdicción competente, sin embargo, para el caso que ahora ocupa la atención de la Sala, </w:t>
      </w:r>
      <w:r w:rsidRPr="00545310">
        <w:rPr>
          <w:rFonts w:cs="Arial"/>
          <w:szCs w:val="24"/>
          <w:lang w:val="es-CO"/>
        </w:rPr>
        <w:t xml:space="preserve">no se encuentra una reflexión </w:t>
      </w:r>
      <w:r w:rsidR="00056164" w:rsidRPr="00545310">
        <w:rPr>
          <w:rFonts w:cs="Arial"/>
          <w:szCs w:val="24"/>
          <w:lang w:val="es-CO"/>
        </w:rPr>
        <w:t xml:space="preserve">especial </w:t>
      </w:r>
      <w:r w:rsidRPr="00545310">
        <w:rPr>
          <w:rFonts w:cs="Arial"/>
          <w:szCs w:val="24"/>
          <w:lang w:val="es-CO"/>
        </w:rPr>
        <w:t xml:space="preserve">sobre las distintas actividades que están comprendidas dentro del giro ordinario de las </w:t>
      </w:r>
      <w:r w:rsidR="00B66A9C" w:rsidRPr="00545310">
        <w:rPr>
          <w:rFonts w:cs="Arial"/>
          <w:szCs w:val="24"/>
          <w:lang w:val="es-CO"/>
        </w:rPr>
        <w:t xml:space="preserve">diversas </w:t>
      </w:r>
      <w:r w:rsidRPr="00545310">
        <w:rPr>
          <w:rFonts w:cs="Arial"/>
          <w:szCs w:val="24"/>
          <w:lang w:val="es-CO"/>
        </w:rPr>
        <w:t>entidades fin</w:t>
      </w:r>
      <w:r w:rsidR="00EC1C62" w:rsidRPr="00545310">
        <w:rPr>
          <w:rFonts w:cs="Arial"/>
          <w:szCs w:val="24"/>
          <w:lang w:val="es-CO"/>
        </w:rPr>
        <w:t>an</w:t>
      </w:r>
      <w:r w:rsidRPr="00545310">
        <w:rPr>
          <w:rFonts w:cs="Arial"/>
          <w:szCs w:val="24"/>
          <w:lang w:val="es-CO"/>
        </w:rPr>
        <w:t>cieras públicas</w:t>
      </w:r>
      <w:r w:rsidR="00EC72B4" w:rsidRPr="00545310">
        <w:rPr>
          <w:rFonts w:cs="Arial"/>
          <w:szCs w:val="24"/>
          <w:lang w:val="es-CO"/>
        </w:rPr>
        <w:t>. T</w:t>
      </w:r>
      <w:r w:rsidR="00EC1C62" w:rsidRPr="00545310">
        <w:rPr>
          <w:rFonts w:cs="Arial"/>
          <w:szCs w:val="24"/>
          <w:lang w:val="es-CO"/>
        </w:rPr>
        <w:t xml:space="preserve">ampoco se </w:t>
      </w:r>
      <w:r w:rsidR="00EC72B4" w:rsidRPr="00545310">
        <w:rPr>
          <w:rFonts w:cs="Arial"/>
          <w:szCs w:val="24"/>
          <w:lang w:val="es-CO"/>
        </w:rPr>
        <w:t xml:space="preserve">incorporó en el CPACA </w:t>
      </w:r>
      <w:r w:rsidR="0068369B" w:rsidRPr="00545310">
        <w:rPr>
          <w:rFonts w:cs="Arial"/>
          <w:szCs w:val="24"/>
          <w:lang w:val="es-CO"/>
        </w:rPr>
        <w:t xml:space="preserve">una diferencia en el tratamiento legislativo por razón de </w:t>
      </w:r>
      <w:r w:rsidR="00B66A9C" w:rsidRPr="00545310">
        <w:rPr>
          <w:rFonts w:cs="Arial"/>
          <w:szCs w:val="24"/>
          <w:lang w:val="es-CO"/>
        </w:rPr>
        <w:t xml:space="preserve">la </w:t>
      </w:r>
      <w:r w:rsidR="004B3743" w:rsidRPr="00545310">
        <w:rPr>
          <w:rFonts w:cs="Arial"/>
          <w:szCs w:val="24"/>
          <w:lang w:val="es-CO"/>
        </w:rPr>
        <w:t xml:space="preserve">naturaleza especial de la </w:t>
      </w:r>
      <w:r w:rsidR="00EC1C62" w:rsidRPr="00545310">
        <w:rPr>
          <w:rFonts w:cs="Arial"/>
          <w:szCs w:val="24"/>
          <w:lang w:val="es-CO"/>
        </w:rPr>
        <w:t xml:space="preserve">contratación que se canaliza a través de </w:t>
      </w:r>
      <w:r w:rsidR="002E2CA9" w:rsidRPr="00545310">
        <w:rPr>
          <w:rFonts w:cs="Arial"/>
          <w:szCs w:val="24"/>
          <w:lang w:val="es-CO"/>
        </w:rPr>
        <w:t>entidades como</w:t>
      </w:r>
      <w:r w:rsidR="00B93199" w:rsidRPr="00545310">
        <w:rPr>
          <w:rFonts w:cs="Arial"/>
          <w:szCs w:val="24"/>
          <w:lang w:val="es-CO"/>
        </w:rPr>
        <w:t xml:space="preserve">, por ejemplo, </w:t>
      </w:r>
      <w:r w:rsidR="00EC1C62" w:rsidRPr="00545310">
        <w:rPr>
          <w:rFonts w:cs="Arial"/>
          <w:szCs w:val="24"/>
          <w:lang w:val="es-CO"/>
        </w:rPr>
        <w:t>FONADE, BANCÓLDEX</w:t>
      </w:r>
      <w:r w:rsidR="00D673CE" w:rsidRPr="00545310">
        <w:rPr>
          <w:rFonts w:cs="Arial"/>
          <w:szCs w:val="24"/>
          <w:lang w:val="es-CO"/>
        </w:rPr>
        <w:t xml:space="preserve">, FINAGRO </w:t>
      </w:r>
      <w:r w:rsidR="00EC1C62" w:rsidRPr="00545310">
        <w:rPr>
          <w:rFonts w:cs="Arial"/>
          <w:szCs w:val="24"/>
          <w:lang w:val="es-CO"/>
        </w:rPr>
        <w:t>y las sociedades fi</w:t>
      </w:r>
      <w:r w:rsidR="00AE3C40" w:rsidRPr="00545310">
        <w:rPr>
          <w:rFonts w:cs="Arial"/>
          <w:szCs w:val="24"/>
          <w:lang w:val="es-CO"/>
        </w:rPr>
        <w:t xml:space="preserve">duciarias </w:t>
      </w:r>
      <w:r w:rsidR="00EC1C62" w:rsidRPr="00545310">
        <w:rPr>
          <w:rFonts w:cs="Arial"/>
          <w:szCs w:val="24"/>
          <w:lang w:val="es-CO"/>
        </w:rPr>
        <w:t>públicas</w:t>
      </w:r>
      <w:r w:rsidR="00B66A9C" w:rsidRPr="00545310">
        <w:rPr>
          <w:rFonts w:cs="Arial"/>
          <w:szCs w:val="24"/>
          <w:lang w:val="es-CO"/>
        </w:rPr>
        <w:t xml:space="preserve">. </w:t>
      </w:r>
    </w:p>
    <w:p w14:paraId="74C344F4" w14:textId="77777777" w:rsidR="008E61C9" w:rsidRPr="00545310" w:rsidRDefault="008E61C9" w:rsidP="00E27368">
      <w:pPr>
        <w:pStyle w:val="Textoindependiente"/>
        <w:autoSpaceDE/>
        <w:adjustRightInd/>
        <w:rPr>
          <w:rFonts w:cs="Arial"/>
          <w:szCs w:val="24"/>
          <w:lang w:val="es-CO"/>
        </w:rPr>
      </w:pPr>
    </w:p>
    <w:p w14:paraId="02394A9E" w14:textId="77777777" w:rsidR="00DB63D6" w:rsidRPr="00545310" w:rsidRDefault="00B66A9C" w:rsidP="00E27368">
      <w:pPr>
        <w:pStyle w:val="Textoindependiente"/>
        <w:autoSpaceDE/>
        <w:adjustRightInd/>
        <w:rPr>
          <w:rFonts w:cs="Arial"/>
          <w:szCs w:val="24"/>
          <w:lang w:val="es-CO"/>
        </w:rPr>
      </w:pPr>
      <w:r w:rsidRPr="00545310">
        <w:rPr>
          <w:rFonts w:cs="Arial"/>
          <w:szCs w:val="24"/>
          <w:lang w:val="es-CO"/>
        </w:rPr>
        <w:t xml:space="preserve">Tal vez, el artículo 105 del CPACA </w:t>
      </w:r>
      <w:r w:rsidR="001C7019" w:rsidRPr="00545310">
        <w:rPr>
          <w:rFonts w:cs="Arial"/>
          <w:szCs w:val="24"/>
          <w:lang w:val="es-CO"/>
        </w:rPr>
        <w:t xml:space="preserve">se </w:t>
      </w:r>
      <w:r w:rsidR="000C571B" w:rsidRPr="00545310">
        <w:rPr>
          <w:rFonts w:cs="Arial"/>
          <w:szCs w:val="24"/>
          <w:lang w:val="es-CO"/>
        </w:rPr>
        <w:t xml:space="preserve">puede entender </w:t>
      </w:r>
      <w:r w:rsidR="001C7019" w:rsidRPr="00545310">
        <w:rPr>
          <w:rFonts w:cs="Arial"/>
          <w:szCs w:val="24"/>
          <w:lang w:val="es-CO"/>
        </w:rPr>
        <w:t>orient</w:t>
      </w:r>
      <w:r w:rsidR="000C571B" w:rsidRPr="00545310">
        <w:rPr>
          <w:rFonts w:cs="Arial"/>
          <w:szCs w:val="24"/>
          <w:lang w:val="es-CO"/>
        </w:rPr>
        <w:t>ado</w:t>
      </w:r>
      <w:r w:rsidR="001C7019" w:rsidRPr="00545310">
        <w:rPr>
          <w:rFonts w:cs="Arial"/>
          <w:szCs w:val="24"/>
          <w:lang w:val="es-CO"/>
        </w:rPr>
        <w:t xml:space="preserve"> </w:t>
      </w:r>
      <w:r w:rsidRPr="00545310">
        <w:rPr>
          <w:rFonts w:cs="Arial"/>
          <w:szCs w:val="24"/>
          <w:lang w:val="es-CO"/>
        </w:rPr>
        <w:t xml:space="preserve">bajo la consideración de que </w:t>
      </w:r>
      <w:r w:rsidR="00AE3C40" w:rsidRPr="00545310">
        <w:rPr>
          <w:rFonts w:cs="Arial"/>
          <w:szCs w:val="24"/>
          <w:lang w:val="es-CO"/>
        </w:rPr>
        <w:t xml:space="preserve">el juez de la contratación </w:t>
      </w:r>
      <w:r w:rsidR="004F1304" w:rsidRPr="00545310">
        <w:rPr>
          <w:rFonts w:cs="Arial"/>
          <w:szCs w:val="24"/>
          <w:lang w:val="es-CO"/>
        </w:rPr>
        <w:t xml:space="preserve">estatal </w:t>
      </w:r>
      <w:r w:rsidR="00AE3C40" w:rsidRPr="00545310">
        <w:rPr>
          <w:rFonts w:cs="Arial"/>
          <w:szCs w:val="24"/>
          <w:lang w:val="es-CO"/>
        </w:rPr>
        <w:t>deb</w:t>
      </w:r>
      <w:r w:rsidR="0066278E" w:rsidRPr="00545310">
        <w:rPr>
          <w:rFonts w:cs="Arial"/>
          <w:szCs w:val="24"/>
          <w:lang w:val="es-CO"/>
        </w:rPr>
        <w:t>e</w:t>
      </w:r>
      <w:r w:rsidR="00AE3C40" w:rsidRPr="00545310">
        <w:rPr>
          <w:rFonts w:cs="Arial"/>
          <w:szCs w:val="24"/>
          <w:lang w:val="es-CO"/>
        </w:rPr>
        <w:t xml:space="preserve"> desprenderse tanto del juzgamiento de los </w:t>
      </w:r>
      <w:r w:rsidR="00FF3820" w:rsidRPr="00545310">
        <w:rPr>
          <w:rFonts w:cs="Arial"/>
          <w:szCs w:val="24"/>
          <w:lang w:val="es-CO"/>
        </w:rPr>
        <w:t xml:space="preserve">contratos </w:t>
      </w:r>
      <w:r w:rsidR="00AE3C40" w:rsidRPr="00545310">
        <w:rPr>
          <w:rFonts w:cs="Arial"/>
          <w:szCs w:val="24"/>
          <w:lang w:val="es-CO"/>
        </w:rPr>
        <w:t>típicamente bancarios y de inversión financiera, como de aquellos tradicionalmente regidos por la Ley 80 de 1993, en tanto</w:t>
      </w:r>
      <w:r w:rsidR="00DB63D6" w:rsidRPr="00545310">
        <w:rPr>
          <w:rFonts w:cs="Arial"/>
          <w:szCs w:val="24"/>
          <w:lang w:val="es-CO"/>
        </w:rPr>
        <w:t xml:space="preserve"> </w:t>
      </w:r>
      <w:r w:rsidR="0066278E" w:rsidRPr="00545310">
        <w:rPr>
          <w:rFonts w:cs="Arial"/>
          <w:szCs w:val="24"/>
          <w:lang w:val="es-CO"/>
        </w:rPr>
        <w:t>se encuentren dentro del giro ordinario de la entidad, toda vez que</w:t>
      </w:r>
      <w:r w:rsidR="00DB63D6" w:rsidRPr="00545310">
        <w:rPr>
          <w:rFonts w:cs="Arial"/>
          <w:szCs w:val="24"/>
          <w:lang w:val="es-CO"/>
        </w:rPr>
        <w:t xml:space="preserve">, al fin y al cabo, en ausencia de cláusulas exorbitantes, la función del servicio público </w:t>
      </w:r>
      <w:r w:rsidR="007E13D1" w:rsidRPr="00545310">
        <w:rPr>
          <w:rFonts w:cs="Arial"/>
          <w:szCs w:val="24"/>
          <w:lang w:val="es-CO"/>
        </w:rPr>
        <w:t xml:space="preserve">en sentido lato se impone en </w:t>
      </w:r>
      <w:r w:rsidR="00DB63D6" w:rsidRPr="00545310">
        <w:rPr>
          <w:rFonts w:cs="Arial"/>
          <w:szCs w:val="24"/>
          <w:lang w:val="es-CO"/>
        </w:rPr>
        <w:lastRenderedPageBreak/>
        <w:t>todas las actividades de las entidades financieras</w:t>
      </w:r>
      <w:r w:rsidR="007E13D1" w:rsidRPr="00545310">
        <w:rPr>
          <w:rStyle w:val="Refdenotaalpie"/>
          <w:rFonts w:cs="Arial"/>
          <w:szCs w:val="24"/>
          <w:lang w:val="es-CO"/>
        </w:rPr>
        <w:footnoteReference w:id="26"/>
      </w:r>
      <w:r w:rsidR="00DB63D6" w:rsidRPr="00545310">
        <w:rPr>
          <w:rFonts w:cs="Arial"/>
          <w:szCs w:val="24"/>
          <w:lang w:val="es-CO"/>
        </w:rPr>
        <w:t>, empero</w:t>
      </w:r>
      <w:r w:rsidRPr="00545310">
        <w:rPr>
          <w:rFonts w:cs="Arial"/>
          <w:szCs w:val="24"/>
          <w:lang w:val="es-CO"/>
        </w:rPr>
        <w:t>,</w:t>
      </w:r>
      <w:r w:rsidR="00DB63D6" w:rsidRPr="00545310">
        <w:rPr>
          <w:rFonts w:cs="Arial"/>
          <w:szCs w:val="24"/>
          <w:lang w:val="es-CO"/>
        </w:rPr>
        <w:t xml:space="preserve"> s</w:t>
      </w:r>
      <w:r w:rsidR="004B3743" w:rsidRPr="00545310">
        <w:rPr>
          <w:rFonts w:cs="Arial"/>
          <w:szCs w:val="24"/>
          <w:lang w:val="es-CO"/>
        </w:rPr>
        <w:t xml:space="preserve">u juzgamiento se </w:t>
      </w:r>
      <w:r w:rsidR="00DB63D6" w:rsidRPr="00545310">
        <w:rPr>
          <w:rFonts w:cs="Arial"/>
          <w:szCs w:val="24"/>
          <w:lang w:val="es-CO"/>
        </w:rPr>
        <w:t xml:space="preserve">rige por las instituciones </w:t>
      </w:r>
      <w:r w:rsidR="004B3743" w:rsidRPr="00545310">
        <w:rPr>
          <w:rFonts w:cs="Arial"/>
          <w:szCs w:val="24"/>
          <w:lang w:val="es-CO"/>
        </w:rPr>
        <w:t xml:space="preserve">jurídicas </w:t>
      </w:r>
      <w:r w:rsidR="00DB63D6" w:rsidRPr="00545310">
        <w:rPr>
          <w:rFonts w:cs="Arial"/>
          <w:szCs w:val="24"/>
          <w:lang w:val="es-CO"/>
        </w:rPr>
        <w:t>propias del derecho comercial</w:t>
      </w:r>
      <w:r w:rsidR="00D673CE" w:rsidRPr="00545310">
        <w:rPr>
          <w:rFonts w:cs="Arial"/>
          <w:szCs w:val="24"/>
          <w:lang w:val="es-CO"/>
        </w:rPr>
        <w:t>.</w:t>
      </w:r>
      <w:r w:rsidR="00DB63D6" w:rsidRPr="00545310">
        <w:rPr>
          <w:rFonts w:cs="Arial"/>
          <w:szCs w:val="24"/>
          <w:lang w:val="es-CO"/>
        </w:rPr>
        <w:t xml:space="preserve"> </w:t>
      </w:r>
    </w:p>
    <w:p w14:paraId="6AF03A2E" w14:textId="77777777" w:rsidR="00DB63D6" w:rsidRPr="00545310" w:rsidRDefault="00DB63D6" w:rsidP="00E27368">
      <w:pPr>
        <w:pStyle w:val="Textoindependiente"/>
        <w:autoSpaceDE/>
        <w:adjustRightInd/>
        <w:rPr>
          <w:rFonts w:cs="Arial"/>
          <w:szCs w:val="24"/>
          <w:lang w:val="es-CO"/>
        </w:rPr>
      </w:pPr>
    </w:p>
    <w:p w14:paraId="1CF4EC0E" w14:textId="77777777" w:rsidR="005349BD" w:rsidRPr="00545310" w:rsidRDefault="00B93199" w:rsidP="00E27368">
      <w:pPr>
        <w:pStyle w:val="Textoindependiente"/>
        <w:autoSpaceDE/>
        <w:adjustRightInd/>
        <w:rPr>
          <w:rFonts w:cs="Arial"/>
          <w:szCs w:val="24"/>
          <w:lang w:val="es-CO"/>
        </w:rPr>
      </w:pPr>
      <w:r w:rsidRPr="00545310">
        <w:rPr>
          <w:rFonts w:cs="Arial"/>
          <w:szCs w:val="24"/>
          <w:lang w:val="es-CO"/>
        </w:rPr>
        <w:t xml:space="preserve">También </w:t>
      </w:r>
      <w:r w:rsidR="0066278E" w:rsidRPr="00545310">
        <w:rPr>
          <w:rFonts w:cs="Arial"/>
          <w:szCs w:val="24"/>
          <w:lang w:val="es-CO"/>
        </w:rPr>
        <w:t xml:space="preserve">se puede </w:t>
      </w:r>
      <w:r w:rsidRPr="00545310">
        <w:rPr>
          <w:rFonts w:cs="Arial"/>
          <w:szCs w:val="24"/>
          <w:lang w:val="es-CO"/>
        </w:rPr>
        <w:t>en</w:t>
      </w:r>
      <w:r w:rsidR="0066278E" w:rsidRPr="00545310">
        <w:rPr>
          <w:rFonts w:cs="Arial"/>
          <w:szCs w:val="24"/>
          <w:lang w:val="es-CO"/>
        </w:rPr>
        <w:t xml:space="preserve">contrar en </w:t>
      </w:r>
      <w:r w:rsidRPr="00545310">
        <w:rPr>
          <w:rFonts w:cs="Arial"/>
          <w:szCs w:val="24"/>
          <w:lang w:val="es-CO"/>
        </w:rPr>
        <w:t xml:space="preserve">la base de esa decisión legislativa </w:t>
      </w:r>
      <w:r w:rsidR="005349BD" w:rsidRPr="00545310">
        <w:rPr>
          <w:rFonts w:cs="Arial"/>
          <w:szCs w:val="24"/>
          <w:lang w:val="es-CO"/>
        </w:rPr>
        <w:t xml:space="preserve">contenida en el CPACA, </w:t>
      </w:r>
      <w:r w:rsidRPr="00545310">
        <w:rPr>
          <w:rFonts w:cs="Arial"/>
          <w:szCs w:val="24"/>
          <w:lang w:val="es-CO"/>
        </w:rPr>
        <w:t xml:space="preserve">que el mayor número de los procesos de las entidades financieras públicas se refiere a las </w:t>
      </w:r>
      <w:r w:rsidR="00550992" w:rsidRPr="00545310">
        <w:rPr>
          <w:rFonts w:cs="Arial"/>
          <w:szCs w:val="24"/>
          <w:lang w:val="es-CO"/>
        </w:rPr>
        <w:t xml:space="preserve">contrataciones de </w:t>
      </w:r>
      <w:r w:rsidRPr="00545310">
        <w:rPr>
          <w:rFonts w:cs="Arial"/>
          <w:szCs w:val="24"/>
          <w:lang w:val="es-CO"/>
        </w:rPr>
        <w:t>crédito y a su cobranza</w:t>
      </w:r>
      <w:r w:rsidR="00550992" w:rsidRPr="00545310">
        <w:rPr>
          <w:rFonts w:cs="Arial"/>
          <w:szCs w:val="24"/>
          <w:lang w:val="es-CO"/>
        </w:rPr>
        <w:t xml:space="preserve">, a los </w:t>
      </w:r>
      <w:r w:rsidR="008E61C9" w:rsidRPr="00545310">
        <w:rPr>
          <w:rFonts w:cs="Arial"/>
          <w:szCs w:val="24"/>
          <w:lang w:val="es-CO"/>
        </w:rPr>
        <w:t xml:space="preserve">fondos </w:t>
      </w:r>
      <w:r w:rsidR="00550992" w:rsidRPr="00545310">
        <w:rPr>
          <w:rFonts w:cs="Arial"/>
          <w:szCs w:val="24"/>
          <w:lang w:val="es-CO"/>
        </w:rPr>
        <w:t>de inversión</w:t>
      </w:r>
      <w:r w:rsidR="005349BD" w:rsidRPr="00545310">
        <w:rPr>
          <w:rFonts w:cs="Arial"/>
          <w:szCs w:val="24"/>
          <w:lang w:val="es-CO"/>
        </w:rPr>
        <w:t xml:space="preserve"> y</w:t>
      </w:r>
      <w:r w:rsidR="00550992" w:rsidRPr="00545310">
        <w:rPr>
          <w:rFonts w:cs="Arial"/>
          <w:szCs w:val="24"/>
          <w:lang w:val="es-CO"/>
        </w:rPr>
        <w:t xml:space="preserve"> a las disputas comunes de los usuarios del sistema financiero</w:t>
      </w:r>
      <w:r w:rsidR="005349BD" w:rsidRPr="00545310">
        <w:rPr>
          <w:rFonts w:cs="Arial"/>
          <w:szCs w:val="24"/>
          <w:lang w:val="es-CO"/>
        </w:rPr>
        <w:t xml:space="preserve">, cuyo conocimiento por parte de la jurisdicción ordinaria es </w:t>
      </w:r>
      <w:r w:rsidR="00C0363D" w:rsidRPr="00545310">
        <w:rPr>
          <w:rFonts w:cs="Arial"/>
          <w:szCs w:val="24"/>
          <w:lang w:val="es-CO"/>
        </w:rPr>
        <w:t>pertinente</w:t>
      </w:r>
      <w:r w:rsidR="005349BD" w:rsidRPr="00545310">
        <w:rPr>
          <w:rFonts w:cs="Arial"/>
          <w:szCs w:val="24"/>
          <w:lang w:val="es-CO"/>
        </w:rPr>
        <w:t xml:space="preserve">, con independencia de que la entidad financiera haya sido creada con capital público o privado. </w:t>
      </w:r>
    </w:p>
    <w:p w14:paraId="7B108A82" w14:textId="77777777" w:rsidR="005349BD" w:rsidRPr="00545310" w:rsidRDefault="005349BD" w:rsidP="00E27368">
      <w:pPr>
        <w:pStyle w:val="Textoindependiente"/>
        <w:autoSpaceDE/>
        <w:adjustRightInd/>
        <w:rPr>
          <w:rFonts w:cs="Arial"/>
          <w:szCs w:val="24"/>
          <w:lang w:val="es-CO"/>
        </w:rPr>
      </w:pPr>
    </w:p>
    <w:p w14:paraId="449E8A9F" w14:textId="77777777" w:rsidR="00B93199" w:rsidRPr="00545310" w:rsidRDefault="00DB63D6" w:rsidP="00E27368">
      <w:pPr>
        <w:pStyle w:val="Textoindependiente"/>
        <w:autoSpaceDE/>
        <w:adjustRightInd/>
        <w:rPr>
          <w:rFonts w:cs="Arial"/>
          <w:szCs w:val="24"/>
          <w:lang w:val="es-CO"/>
        </w:rPr>
      </w:pPr>
      <w:r w:rsidRPr="00545310">
        <w:rPr>
          <w:rFonts w:cs="Arial"/>
          <w:szCs w:val="24"/>
          <w:lang w:val="es-CO"/>
        </w:rPr>
        <w:t>Sea c</w:t>
      </w:r>
      <w:r w:rsidR="00994EFB" w:rsidRPr="00545310">
        <w:rPr>
          <w:rFonts w:cs="Arial"/>
          <w:szCs w:val="24"/>
          <w:lang w:val="es-CO"/>
        </w:rPr>
        <w:t xml:space="preserve">ual </w:t>
      </w:r>
      <w:r w:rsidRPr="00545310">
        <w:rPr>
          <w:rFonts w:cs="Arial"/>
          <w:szCs w:val="24"/>
          <w:lang w:val="es-CO"/>
        </w:rPr>
        <w:t>fuere</w:t>
      </w:r>
      <w:r w:rsidR="00994EFB" w:rsidRPr="00545310">
        <w:rPr>
          <w:rFonts w:cs="Arial"/>
          <w:szCs w:val="24"/>
          <w:lang w:val="es-CO"/>
        </w:rPr>
        <w:t xml:space="preserve"> la razón impl</w:t>
      </w:r>
      <w:r w:rsidR="00B654C3" w:rsidRPr="00545310">
        <w:rPr>
          <w:rFonts w:cs="Arial"/>
          <w:szCs w:val="24"/>
          <w:lang w:val="es-CO"/>
        </w:rPr>
        <w:t>í</w:t>
      </w:r>
      <w:r w:rsidR="00994EFB" w:rsidRPr="00545310">
        <w:rPr>
          <w:rFonts w:cs="Arial"/>
          <w:szCs w:val="24"/>
          <w:lang w:val="es-CO"/>
        </w:rPr>
        <w:t xml:space="preserve">cita en </w:t>
      </w:r>
      <w:r w:rsidR="001C7019" w:rsidRPr="00545310">
        <w:rPr>
          <w:rFonts w:cs="Arial"/>
          <w:szCs w:val="24"/>
          <w:lang w:val="es-CO"/>
        </w:rPr>
        <w:t xml:space="preserve">la asignación de jurisdicción competente, </w:t>
      </w:r>
      <w:r w:rsidR="008B014B" w:rsidRPr="00545310">
        <w:rPr>
          <w:rFonts w:cs="Arial"/>
          <w:szCs w:val="24"/>
          <w:lang w:val="es-CO"/>
        </w:rPr>
        <w:t>para el caso concreto</w:t>
      </w:r>
      <w:r w:rsidR="001C7019" w:rsidRPr="00545310">
        <w:rPr>
          <w:rFonts w:cs="Arial"/>
          <w:szCs w:val="24"/>
          <w:lang w:val="es-CO"/>
        </w:rPr>
        <w:t xml:space="preserve"> </w:t>
      </w:r>
      <w:r w:rsidR="0066278E" w:rsidRPr="00545310">
        <w:rPr>
          <w:rFonts w:cs="Arial"/>
          <w:szCs w:val="24"/>
          <w:lang w:val="es-CO"/>
        </w:rPr>
        <w:t xml:space="preserve">de FONADE, </w:t>
      </w:r>
      <w:r w:rsidR="001C7019" w:rsidRPr="00545310">
        <w:rPr>
          <w:rFonts w:cs="Arial"/>
          <w:szCs w:val="24"/>
          <w:lang w:val="es-CO"/>
        </w:rPr>
        <w:t xml:space="preserve">se tiene que advertir que corresponde a esta jurisdicción </w:t>
      </w:r>
      <w:r w:rsidR="00FF3820" w:rsidRPr="00545310">
        <w:rPr>
          <w:rFonts w:cs="Arial"/>
          <w:szCs w:val="24"/>
          <w:lang w:val="es-CO"/>
        </w:rPr>
        <w:t xml:space="preserve">conocer de los contratos </w:t>
      </w:r>
      <w:r w:rsidR="00C163AD" w:rsidRPr="00545310">
        <w:rPr>
          <w:rFonts w:cs="Arial"/>
          <w:szCs w:val="24"/>
          <w:lang w:val="es-CO"/>
        </w:rPr>
        <w:t xml:space="preserve">que </w:t>
      </w:r>
      <w:r w:rsidR="0066278E" w:rsidRPr="00545310">
        <w:rPr>
          <w:rFonts w:cs="Arial"/>
          <w:szCs w:val="24"/>
          <w:lang w:val="es-CO"/>
        </w:rPr>
        <w:t xml:space="preserve">esa entidad financiera </w:t>
      </w:r>
      <w:r w:rsidR="008B014B" w:rsidRPr="00545310">
        <w:rPr>
          <w:rFonts w:cs="Arial"/>
          <w:szCs w:val="24"/>
          <w:lang w:val="es-CO"/>
        </w:rPr>
        <w:t xml:space="preserve">celebró </w:t>
      </w:r>
      <w:r w:rsidR="00C163AD" w:rsidRPr="00545310">
        <w:rPr>
          <w:rFonts w:cs="Arial"/>
          <w:szCs w:val="24"/>
          <w:lang w:val="es-CO"/>
        </w:rPr>
        <w:t xml:space="preserve">en vigencia del artículo 26 de la Ley </w:t>
      </w:r>
      <w:r w:rsidR="008B014B" w:rsidRPr="00545310">
        <w:rPr>
          <w:rFonts w:cs="Arial"/>
          <w:szCs w:val="24"/>
          <w:lang w:val="es-CO"/>
        </w:rPr>
        <w:t>1150 de</w:t>
      </w:r>
      <w:r w:rsidR="00C163AD" w:rsidRPr="00545310">
        <w:rPr>
          <w:rFonts w:cs="Arial"/>
          <w:szCs w:val="24"/>
          <w:lang w:val="es-CO"/>
        </w:rPr>
        <w:t xml:space="preserve"> </w:t>
      </w:r>
      <w:r w:rsidR="008B014B" w:rsidRPr="00545310">
        <w:rPr>
          <w:rFonts w:cs="Arial"/>
          <w:szCs w:val="24"/>
          <w:lang w:val="es-CO"/>
        </w:rPr>
        <w:t>2007</w:t>
      </w:r>
      <w:r w:rsidR="00C163AD" w:rsidRPr="00545310">
        <w:rPr>
          <w:rFonts w:cs="Arial"/>
          <w:szCs w:val="24"/>
          <w:lang w:val="es-CO"/>
        </w:rPr>
        <w:t xml:space="preserve">, en el ejercicio de </w:t>
      </w:r>
      <w:r w:rsidR="00994EFB" w:rsidRPr="00545310">
        <w:rPr>
          <w:rFonts w:cs="Arial"/>
          <w:szCs w:val="24"/>
          <w:lang w:val="es-CO"/>
        </w:rPr>
        <w:t xml:space="preserve">cláusulas exorbitantes, </w:t>
      </w:r>
      <w:r w:rsidR="00B93199" w:rsidRPr="00545310">
        <w:rPr>
          <w:rFonts w:cs="Arial"/>
          <w:szCs w:val="24"/>
          <w:lang w:val="es-CO"/>
        </w:rPr>
        <w:t>de acuerdo c</w:t>
      </w:r>
      <w:r w:rsidR="00C0363D" w:rsidRPr="00545310">
        <w:rPr>
          <w:rFonts w:cs="Arial"/>
          <w:szCs w:val="24"/>
          <w:lang w:val="es-CO"/>
        </w:rPr>
        <w:t>o</w:t>
      </w:r>
      <w:r w:rsidR="00B93199" w:rsidRPr="00545310">
        <w:rPr>
          <w:rFonts w:cs="Arial"/>
          <w:szCs w:val="24"/>
          <w:lang w:val="es-CO"/>
        </w:rPr>
        <w:t xml:space="preserve">n las consideraciones que se exponen a continuación. </w:t>
      </w:r>
    </w:p>
    <w:p w14:paraId="1138D719" w14:textId="77777777" w:rsidR="00BE6AC8" w:rsidRPr="00545310" w:rsidRDefault="00BE6AC8" w:rsidP="00E27368">
      <w:pPr>
        <w:pStyle w:val="Textoindependiente"/>
        <w:autoSpaceDE/>
        <w:adjustRightInd/>
        <w:rPr>
          <w:rFonts w:cs="Arial"/>
          <w:szCs w:val="24"/>
        </w:rPr>
      </w:pPr>
    </w:p>
    <w:p w14:paraId="4CA08BAF" w14:textId="77777777" w:rsidR="008A08AD" w:rsidRPr="00545310" w:rsidRDefault="008A08AD" w:rsidP="009A0D3C">
      <w:pPr>
        <w:pStyle w:val="Textoindependiente"/>
        <w:autoSpaceDE/>
        <w:adjustRightInd/>
        <w:spacing w:line="240" w:lineRule="auto"/>
        <w:rPr>
          <w:rFonts w:cs="Arial"/>
          <w:b/>
          <w:szCs w:val="24"/>
        </w:rPr>
      </w:pPr>
      <w:r w:rsidRPr="00545310">
        <w:rPr>
          <w:rFonts w:cs="Arial"/>
          <w:b/>
          <w:szCs w:val="24"/>
        </w:rPr>
        <w:t>1.1.2. Consideraciones acerca de la jurisdicción competente para juzgar los actos administrativos expedidos en ejercicio de potestades exorbitantes</w:t>
      </w:r>
    </w:p>
    <w:p w14:paraId="461B9BDB" w14:textId="77777777" w:rsidR="008A08AD" w:rsidRPr="00545310" w:rsidRDefault="008A08AD" w:rsidP="009A0D3C">
      <w:pPr>
        <w:pStyle w:val="Textoindependiente"/>
        <w:autoSpaceDE/>
        <w:adjustRightInd/>
        <w:spacing w:line="240" w:lineRule="auto"/>
        <w:rPr>
          <w:rFonts w:cs="Arial"/>
          <w:b/>
          <w:szCs w:val="24"/>
        </w:rPr>
      </w:pPr>
    </w:p>
    <w:p w14:paraId="2C36EDE3" w14:textId="77777777" w:rsidR="00124865" w:rsidRPr="00545310" w:rsidRDefault="00F67E03" w:rsidP="00B654C3">
      <w:pPr>
        <w:pStyle w:val="Textoindependiente"/>
        <w:autoSpaceDE/>
        <w:adjustRightInd/>
        <w:rPr>
          <w:rFonts w:cs="Arial"/>
          <w:color w:val="000000"/>
          <w:szCs w:val="24"/>
          <w:shd w:val="clear" w:color="auto" w:fill="FFFFFF"/>
        </w:rPr>
      </w:pPr>
      <w:r w:rsidRPr="00545310">
        <w:rPr>
          <w:rFonts w:cs="Arial"/>
          <w:szCs w:val="24"/>
        </w:rPr>
        <w:t>Las presencia de las potestades exorbitantes en la contratación pública</w:t>
      </w:r>
      <w:r w:rsidR="000C0623" w:rsidRPr="00545310">
        <w:rPr>
          <w:rFonts w:cs="Arial"/>
          <w:szCs w:val="24"/>
        </w:rPr>
        <w:t xml:space="preserve"> ha marcado uno de los </w:t>
      </w:r>
      <w:r w:rsidRPr="00545310">
        <w:rPr>
          <w:rFonts w:cs="Arial"/>
          <w:szCs w:val="24"/>
        </w:rPr>
        <w:t>criterio</w:t>
      </w:r>
      <w:r w:rsidR="000C0623" w:rsidRPr="00545310">
        <w:rPr>
          <w:rFonts w:cs="Arial"/>
          <w:szCs w:val="24"/>
        </w:rPr>
        <w:t>s</w:t>
      </w:r>
      <w:r w:rsidRPr="00545310">
        <w:rPr>
          <w:rFonts w:cs="Arial"/>
          <w:szCs w:val="24"/>
        </w:rPr>
        <w:t xml:space="preserve"> delimitador</w:t>
      </w:r>
      <w:r w:rsidR="000C0623" w:rsidRPr="00545310">
        <w:rPr>
          <w:rFonts w:cs="Arial"/>
          <w:szCs w:val="24"/>
        </w:rPr>
        <w:t>es</w:t>
      </w:r>
      <w:r w:rsidRPr="00545310">
        <w:rPr>
          <w:rFonts w:cs="Arial"/>
          <w:szCs w:val="24"/>
        </w:rPr>
        <w:t xml:space="preserve"> de</w:t>
      </w:r>
      <w:r w:rsidR="006146E9" w:rsidRPr="00545310">
        <w:rPr>
          <w:rFonts w:cs="Arial"/>
          <w:szCs w:val="24"/>
        </w:rPr>
        <w:t xml:space="preserve"> la </w:t>
      </w:r>
      <w:r w:rsidR="00306492" w:rsidRPr="00545310">
        <w:rPr>
          <w:rFonts w:cs="Arial"/>
          <w:szCs w:val="24"/>
        </w:rPr>
        <w:t xml:space="preserve">competencia de la </w:t>
      </w:r>
      <w:r w:rsidR="006146E9" w:rsidRPr="00545310">
        <w:rPr>
          <w:rFonts w:cs="Arial"/>
          <w:szCs w:val="24"/>
        </w:rPr>
        <w:t>jurisdicción de lo contencioso administrativo</w:t>
      </w:r>
      <w:r w:rsidR="00306492" w:rsidRPr="00545310">
        <w:rPr>
          <w:rFonts w:cs="Arial"/>
          <w:szCs w:val="24"/>
        </w:rPr>
        <w:t>, siguiendo los derroteros de la Corte Constitucional expresados</w:t>
      </w:r>
      <w:r w:rsidR="006146E9" w:rsidRPr="00545310">
        <w:rPr>
          <w:rFonts w:cs="Arial"/>
          <w:szCs w:val="24"/>
        </w:rPr>
        <w:t xml:space="preserve"> </w:t>
      </w:r>
      <w:r w:rsidR="00306492" w:rsidRPr="00545310">
        <w:rPr>
          <w:rFonts w:cs="Arial"/>
          <w:szCs w:val="24"/>
        </w:rPr>
        <w:t>en la sentencia C-1436 de 200</w:t>
      </w:r>
      <w:r w:rsidR="00B654C3" w:rsidRPr="00545310">
        <w:rPr>
          <w:rFonts w:cs="Arial"/>
          <w:szCs w:val="24"/>
        </w:rPr>
        <w:t xml:space="preserve">0, </w:t>
      </w:r>
      <w:r w:rsidR="00124865" w:rsidRPr="00545310">
        <w:rPr>
          <w:rFonts w:cs="Arial"/>
          <w:szCs w:val="24"/>
        </w:rPr>
        <w:t xml:space="preserve">en relación con la jurisdicción arbitral, toda vez que en </w:t>
      </w:r>
      <w:r w:rsidR="006A11F4" w:rsidRPr="00545310">
        <w:rPr>
          <w:rFonts w:cs="Arial"/>
          <w:szCs w:val="24"/>
        </w:rPr>
        <w:t>esa</w:t>
      </w:r>
      <w:r w:rsidR="00124865" w:rsidRPr="00545310">
        <w:rPr>
          <w:rFonts w:cs="Arial"/>
          <w:szCs w:val="24"/>
        </w:rPr>
        <w:t xml:space="preserve"> oportunidad la Corte Constitucional determinó la</w:t>
      </w:r>
      <w:r w:rsidR="00B654C3" w:rsidRPr="00545310">
        <w:rPr>
          <w:rFonts w:cs="Arial"/>
          <w:szCs w:val="24"/>
        </w:rPr>
        <w:t xml:space="preserve"> </w:t>
      </w:r>
      <w:proofErr w:type="spellStart"/>
      <w:r w:rsidR="00B654C3" w:rsidRPr="00545310">
        <w:rPr>
          <w:rFonts w:cs="Arial"/>
          <w:szCs w:val="24"/>
        </w:rPr>
        <w:t>exequibilidad</w:t>
      </w:r>
      <w:proofErr w:type="spellEnd"/>
      <w:r w:rsidR="00B654C3" w:rsidRPr="00545310">
        <w:rPr>
          <w:rFonts w:cs="Arial"/>
          <w:szCs w:val="24"/>
        </w:rPr>
        <w:t xml:space="preserve"> de </w:t>
      </w:r>
      <w:r w:rsidR="00B654C3" w:rsidRPr="00545310">
        <w:rPr>
          <w:rFonts w:cs="Arial"/>
          <w:color w:val="000000"/>
          <w:szCs w:val="24"/>
          <w:shd w:val="clear" w:color="auto" w:fill="FFFFFF"/>
        </w:rPr>
        <w:t xml:space="preserve">los artículos 70 y 71 de la ley 80 de 1993, bajo el entendido </w:t>
      </w:r>
      <w:r w:rsidR="003D2BD9" w:rsidRPr="00545310">
        <w:rPr>
          <w:rFonts w:cs="Arial"/>
          <w:color w:val="000000"/>
          <w:szCs w:val="24"/>
          <w:shd w:val="clear" w:color="auto" w:fill="FFFFFF"/>
        </w:rPr>
        <w:t xml:space="preserve">de </w:t>
      </w:r>
      <w:r w:rsidR="00B654C3" w:rsidRPr="00545310">
        <w:rPr>
          <w:rFonts w:cs="Arial"/>
          <w:color w:val="000000"/>
          <w:szCs w:val="24"/>
          <w:shd w:val="clear" w:color="auto" w:fill="FFFFFF"/>
        </w:rPr>
        <w:t xml:space="preserve">que los árbitros, </w:t>
      </w:r>
      <w:r w:rsidR="00124865" w:rsidRPr="00545310">
        <w:rPr>
          <w:rFonts w:cs="Arial"/>
          <w:color w:val="000000"/>
          <w:szCs w:val="24"/>
          <w:shd w:val="clear" w:color="auto" w:fill="FFFFFF"/>
        </w:rPr>
        <w:t>“</w:t>
      </w:r>
      <w:r w:rsidR="00B654C3" w:rsidRPr="00545310">
        <w:rPr>
          <w:rFonts w:cs="Arial"/>
          <w:i/>
          <w:color w:val="000000"/>
          <w:szCs w:val="24"/>
          <w:shd w:val="clear" w:color="auto" w:fill="FFFFFF"/>
        </w:rPr>
        <w:t>no tienen competencia para pronunciarse sobre los actos administrativos dictados por la administración en desarrollo de sus poderes excepcionales</w:t>
      </w:r>
      <w:r w:rsidR="00124865" w:rsidRPr="00545310">
        <w:rPr>
          <w:rFonts w:cs="Arial"/>
          <w:i/>
          <w:color w:val="000000"/>
          <w:szCs w:val="24"/>
          <w:shd w:val="clear" w:color="auto" w:fill="FFFFFF"/>
        </w:rPr>
        <w:t>”</w:t>
      </w:r>
      <w:r w:rsidR="00B654C3" w:rsidRPr="00545310">
        <w:rPr>
          <w:rFonts w:cs="Arial"/>
          <w:i/>
          <w:color w:val="000000"/>
          <w:szCs w:val="24"/>
          <w:shd w:val="clear" w:color="auto" w:fill="FFFFFF"/>
        </w:rPr>
        <w:t>.</w:t>
      </w:r>
    </w:p>
    <w:p w14:paraId="5250E253" w14:textId="77777777" w:rsidR="00124865" w:rsidRPr="00545310" w:rsidRDefault="00124865" w:rsidP="00B654C3">
      <w:pPr>
        <w:pStyle w:val="Textoindependiente"/>
        <w:autoSpaceDE/>
        <w:adjustRightInd/>
        <w:rPr>
          <w:rFonts w:cs="Arial"/>
          <w:color w:val="000000"/>
          <w:szCs w:val="24"/>
          <w:shd w:val="clear" w:color="auto" w:fill="FFFFFF"/>
        </w:rPr>
      </w:pPr>
    </w:p>
    <w:p w14:paraId="04076139" w14:textId="77777777" w:rsidR="00124865" w:rsidRPr="00545310" w:rsidRDefault="00124865" w:rsidP="00B654C3">
      <w:pPr>
        <w:pStyle w:val="Textoindependiente"/>
        <w:autoSpaceDE/>
        <w:adjustRightInd/>
        <w:rPr>
          <w:rFonts w:cs="Arial"/>
          <w:color w:val="000000"/>
          <w:szCs w:val="24"/>
          <w:shd w:val="clear" w:color="auto" w:fill="FFFFFF"/>
        </w:rPr>
      </w:pPr>
      <w:r w:rsidRPr="00545310">
        <w:rPr>
          <w:rFonts w:cs="Arial"/>
          <w:color w:val="000000"/>
          <w:szCs w:val="24"/>
          <w:shd w:val="clear" w:color="auto" w:fill="FFFFFF"/>
        </w:rPr>
        <w:t>El fundamento del condicionamiento constitucional se expresó así:</w:t>
      </w:r>
    </w:p>
    <w:p w14:paraId="2A297DBB" w14:textId="77777777" w:rsidR="00124865" w:rsidRPr="00545310" w:rsidRDefault="00124865" w:rsidP="006A11F4">
      <w:pPr>
        <w:spacing w:line="276" w:lineRule="auto"/>
        <w:ind w:left="567" w:right="567"/>
        <w:rPr>
          <w:rFonts w:cs="Arial"/>
          <w:color w:val="000000"/>
        </w:rPr>
      </w:pPr>
    </w:p>
    <w:p w14:paraId="14C9475A" w14:textId="77777777" w:rsidR="008A08AD" w:rsidRPr="00545310" w:rsidRDefault="00124865" w:rsidP="006A11F4">
      <w:pPr>
        <w:spacing w:line="276" w:lineRule="auto"/>
        <w:ind w:left="567" w:right="567"/>
        <w:rPr>
          <w:rFonts w:cs="Arial"/>
          <w:i/>
          <w:color w:val="000000"/>
        </w:rPr>
      </w:pPr>
      <w:r w:rsidRPr="00545310">
        <w:rPr>
          <w:rFonts w:cs="Arial"/>
          <w:i/>
          <w:color w:val="000000"/>
        </w:rPr>
        <w:t>“</w:t>
      </w:r>
      <w:r w:rsidR="008A08AD" w:rsidRPr="00545310">
        <w:rPr>
          <w:rFonts w:cs="Arial"/>
          <w:i/>
          <w:color w:val="000000"/>
        </w:rPr>
        <w:t>Al hablar de “disposiciones extrañas a la contratación particular</w:t>
      </w:r>
      <w:r w:rsidR="008A08AD" w:rsidRPr="00545310">
        <w:rPr>
          <w:rFonts w:cs="Arial"/>
          <w:i/>
          <w:iCs/>
          <w:color w:val="000000"/>
        </w:rPr>
        <w:t>”,</w:t>
      </w:r>
      <w:r w:rsidR="008A08AD" w:rsidRPr="00545310">
        <w:rPr>
          <w:rFonts w:cs="Arial"/>
          <w:i/>
          <w:color w:val="000000"/>
        </w:rPr>
        <w:t xml:space="preserve"> se hace referencia específicamente a las llamadas cláusulas exorbitantes o excepcionales al derecho común, a través de las cuales a  la entidad pública contratante se le reconoce una serie de prerrogativas que no ostentan los particulares,  y que tienen como fundamento la prevalencia </w:t>
      </w:r>
      <w:r w:rsidR="008A08AD" w:rsidRPr="00545310">
        <w:rPr>
          <w:rFonts w:cs="Arial"/>
          <w:i/>
          <w:color w:val="000000"/>
        </w:rPr>
        <w:lastRenderedPageBreak/>
        <w:t>no sólo del interés general sino de los fines estatales. Estos inter</w:t>
      </w:r>
      <w:r w:rsidR="00532CD3" w:rsidRPr="00545310">
        <w:rPr>
          <w:rFonts w:cs="Arial"/>
          <w:i/>
          <w:color w:val="000000"/>
        </w:rPr>
        <w:t>és</w:t>
      </w:r>
      <w:r w:rsidR="008A08AD" w:rsidRPr="00545310">
        <w:rPr>
          <w:rFonts w:cs="Arial"/>
          <w:i/>
          <w:color w:val="000000"/>
        </w:rPr>
        <w:t xml:space="preserve"> y fines permiten a la administración hacer uso de ciertos poderes de Estado que como lo expone el tratadista Garrido Falla, en su Tratado de Derecho Administrativo </w:t>
      </w:r>
      <w:r w:rsidR="00532CD3" w:rsidRPr="00545310">
        <w:rPr>
          <w:rFonts w:cs="Arial"/>
          <w:i/>
          <w:color w:val="000000"/>
        </w:rPr>
        <w:t>‘</w:t>
      </w:r>
      <w:r w:rsidR="008A08AD" w:rsidRPr="00545310">
        <w:rPr>
          <w:rFonts w:cs="Arial"/>
          <w:i/>
          <w:iCs/>
          <w:color w:val="000000"/>
        </w:rPr>
        <w:t>determina una posición también especial de las partes contratantes, así como una dinámica particular de la relación entre ellos, que viene a corregir típicamente la rigurosa inflexibilidad de los contratos civiles</w:t>
      </w:r>
      <w:r w:rsidR="00532CD3" w:rsidRPr="00545310">
        <w:rPr>
          <w:rFonts w:cs="Arial"/>
          <w:i/>
          <w:iCs/>
          <w:color w:val="000000"/>
        </w:rPr>
        <w:t>’</w:t>
      </w:r>
      <w:r w:rsidR="008A08AD" w:rsidRPr="00545310">
        <w:rPr>
          <w:rFonts w:cs="Arial"/>
          <w:i/>
          <w:color w:val="000000"/>
        </w:rPr>
        <w:t xml:space="preserve">. Poderes de carácter excepcional a los cuales recurre la administración en su calidad de tal, a efectos de declarar la caducidad del contrato; su terminación; su modificación e interpretación unilateral, como medidas extremas que debe adoptar  después de agotar  otros mecanismos para la debida ejecución del contrato, y cuya finalidad es la de evitar no sólo la paralización de éste,  sino para hacer viable la continua y adecuada prestación del servicio que estos pueden comportar, en atención al interés público implícito en ellos. Sobre el ejercicio de estos poderes ha dicho el H. Consejo de Estado:  </w:t>
      </w:r>
    </w:p>
    <w:p w14:paraId="08C30810" w14:textId="77777777" w:rsidR="008A08AD" w:rsidRPr="00545310" w:rsidRDefault="008A08AD" w:rsidP="006A11F4">
      <w:pPr>
        <w:spacing w:line="276" w:lineRule="auto"/>
        <w:ind w:left="567" w:right="567"/>
        <w:rPr>
          <w:rFonts w:cs="Arial"/>
          <w:b/>
          <w:bCs/>
          <w:color w:val="000000"/>
        </w:rPr>
      </w:pPr>
    </w:p>
    <w:p w14:paraId="3D19026A" w14:textId="77777777" w:rsidR="008A08AD" w:rsidRPr="00545310" w:rsidRDefault="008C7F63" w:rsidP="006A11F4">
      <w:pPr>
        <w:spacing w:line="276" w:lineRule="auto"/>
        <w:ind w:left="567" w:right="567"/>
        <w:rPr>
          <w:rFonts w:cs="Arial"/>
          <w:i/>
          <w:iCs/>
          <w:color w:val="000000"/>
        </w:rPr>
      </w:pPr>
      <w:r w:rsidRPr="00545310">
        <w:rPr>
          <w:rFonts w:cs="Arial"/>
          <w:i/>
          <w:iCs/>
          <w:color w:val="000000"/>
        </w:rPr>
        <w:t>‘</w:t>
      </w:r>
      <w:r w:rsidR="008A08AD" w:rsidRPr="00545310">
        <w:rPr>
          <w:rFonts w:cs="Arial"/>
          <w:i/>
          <w:iCs/>
          <w:color w:val="000000"/>
        </w:rPr>
        <w:t>Son actos unilaterales de indiscutible factura y sólo pueden ser dictados por la administración en ejercicio de poderes legales, denominados generalmente exorbitantes. El hecho que tales actos se dicten en desarrollo  de un contrato, no les da una fisonomía propia, porque el contrato no es la fuente que dimana el poder para expedirlos, sino ésta está únicamente en la ley. Esos poderes, así, no los otorga el contrato y su ejercicio no puede ser objeto de convenio.”(Consejo de Estado, Sala de lo Contencioso Administrativo, Sección Tercera, abril 13 de 1994)</w:t>
      </w:r>
      <w:r w:rsidRPr="00545310">
        <w:rPr>
          <w:rFonts w:cs="Arial"/>
          <w:i/>
          <w:iCs/>
          <w:color w:val="000000"/>
        </w:rPr>
        <w:t>’</w:t>
      </w:r>
      <w:r w:rsidR="008A08AD" w:rsidRPr="00545310">
        <w:rPr>
          <w:rFonts w:cs="Arial"/>
          <w:i/>
          <w:iCs/>
          <w:color w:val="000000"/>
        </w:rPr>
        <w:t xml:space="preserve">. </w:t>
      </w:r>
    </w:p>
    <w:p w14:paraId="037E639E" w14:textId="77777777" w:rsidR="008A08AD" w:rsidRPr="00545310" w:rsidRDefault="008A08AD" w:rsidP="006A11F4">
      <w:pPr>
        <w:spacing w:line="276" w:lineRule="auto"/>
        <w:ind w:left="567" w:right="567"/>
        <w:rPr>
          <w:rFonts w:cs="Arial"/>
          <w:b/>
          <w:bCs/>
          <w:color w:val="000000"/>
        </w:rPr>
      </w:pPr>
    </w:p>
    <w:p w14:paraId="22C06656" w14:textId="77777777" w:rsidR="005B56DD" w:rsidRPr="00545310" w:rsidRDefault="00532CD3" w:rsidP="00532CD3">
      <w:pPr>
        <w:spacing w:line="276" w:lineRule="auto"/>
        <w:ind w:left="567" w:right="567"/>
        <w:rPr>
          <w:rFonts w:cs="Arial"/>
          <w:i/>
          <w:color w:val="000000"/>
        </w:rPr>
      </w:pPr>
      <w:r w:rsidRPr="00545310">
        <w:rPr>
          <w:rFonts w:cs="Arial"/>
          <w:i/>
          <w:color w:val="000000"/>
        </w:rPr>
        <w:t>“</w:t>
      </w:r>
      <w:r w:rsidR="008A08AD" w:rsidRPr="00545310">
        <w:rPr>
          <w:rFonts w:cs="Arial"/>
          <w:i/>
          <w:color w:val="000000"/>
        </w:rPr>
        <w:t xml:space="preserve">En este orden de ideas, las cláusulas excepcionales a los contratos administrativos, como medidas que adopta la administración y manifestación de su poder, sólo pueden ser objeto de examen por parte de la jurisdicción contenciosa y no por particulares investidos temporalmente de la facultad de administrar justicia, </w:t>
      </w:r>
      <w:r w:rsidR="008C7F63" w:rsidRPr="00545310">
        <w:rPr>
          <w:rFonts w:cs="Arial"/>
          <w:i/>
          <w:color w:val="000000"/>
        </w:rPr>
        <w:t>(…)</w:t>
      </w:r>
      <w:r w:rsidR="008A08AD" w:rsidRPr="00545310">
        <w:rPr>
          <w:rFonts w:cs="Arial"/>
          <w:i/>
          <w:color w:val="000000"/>
        </w:rPr>
        <w:t>,  estas implicaciones son  consecuencia  del ejercicio por parte del Estado de sus atribuciones y, por consiguiente,  el análisis sobre éstas, sólo es procedente si se ha determinado la legalidad del acto correspondiente, asunto éste que es de competencia exclusiva  de los jueces e indelegable en los particulares,  dado que la determinación adoptada en esta clase de actos, es expresión directa de la  autoridad del Estado y como tal, únicamente  los jueces, en su condición de administradores permanentes de justicia, tienen la función de establecer si el acto correspondiente se ajusta a los parámetros legales, analizando, específicamente, si las motivaciones expuestas en él, tienen como sustento real,  la prevalencia del interés público y el cumplimiento de los fines estatales, aspectos estos que son el fundamento del ejercicio de las facultades excepcionales reconocidas al Estado-contratista</w:t>
      </w:r>
      <w:r w:rsidR="005B56DD" w:rsidRPr="00545310">
        <w:rPr>
          <w:rFonts w:cs="Arial"/>
          <w:i/>
          <w:color w:val="000000"/>
        </w:rPr>
        <w:t>”</w:t>
      </w:r>
      <w:r w:rsidR="008A08AD" w:rsidRPr="00545310">
        <w:rPr>
          <w:rFonts w:cs="Arial"/>
          <w:i/>
          <w:color w:val="000000"/>
        </w:rPr>
        <w:t xml:space="preserve">. </w:t>
      </w:r>
    </w:p>
    <w:p w14:paraId="4A22C516" w14:textId="77777777" w:rsidR="005B56DD" w:rsidRPr="00545310" w:rsidRDefault="005B56DD" w:rsidP="00532CD3">
      <w:pPr>
        <w:spacing w:line="276" w:lineRule="auto"/>
        <w:ind w:left="567" w:right="567"/>
        <w:rPr>
          <w:rFonts w:cs="Arial"/>
          <w:i/>
          <w:color w:val="000000"/>
        </w:rPr>
      </w:pPr>
    </w:p>
    <w:p w14:paraId="32EFC0A6" w14:textId="77777777" w:rsidR="0087637D" w:rsidRPr="00545310" w:rsidRDefault="0087637D" w:rsidP="00AA0B2A">
      <w:pPr>
        <w:rPr>
          <w:rFonts w:cs="Arial"/>
          <w:color w:val="000000"/>
        </w:rPr>
      </w:pPr>
      <w:r w:rsidRPr="00545310">
        <w:rPr>
          <w:rFonts w:cs="Arial"/>
          <w:color w:val="000000"/>
        </w:rPr>
        <w:t xml:space="preserve">Por otra parte, </w:t>
      </w:r>
      <w:r w:rsidR="00806B99" w:rsidRPr="00545310">
        <w:rPr>
          <w:rFonts w:cs="Arial"/>
          <w:color w:val="000000"/>
        </w:rPr>
        <w:t xml:space="preserve">puede hacerse notar que </w:t>
      </w:r>
      <w:r w:rsidR="005B56DD" w:rsidRPr="00545310">
        <w:rPr>
          <w:rFonts w:cs="Arial"/>
          <w:color w:val="000000"/>
        </w:rPr>
        <w:t>el criterio de la exorbitancia</w:t>
      </w:r>
      <w:r w:rsidR="00F7424B" w:rsidRPr="00545310">
        <w:rPr>
          <w:rFonts w:cs="Arial"/>
          <w:color w:val="000000"/>
        </w:rPr>
        <w:t>,</w:t>
      </w:r>
      <w:r w:rsidR="005B56DD" w:rsidRPr="00545310">
        <w:rPr>
          <w:rFonts w:cs="Arial"/>
          <w:color w:val="000000"/>
        </w:rPr>
        <w:t xml:space="preserve"> como </w:t>
      </w:r>
      <w:r w:rsidR="00F7424B" w:rsidRPr="00545310">
        <w:rPr>
          <w:rFonts w:cs="Arial"/>
          <w:color w:val="000000"/>
        </w:rPr>
        <w:t xml:space="preserve">poder </w:t>
      </w:r>
      <w:r w:rsidR="005B56DD" w:rsidRPr="00545310">
        <w:rPr>
          <w:rFonts w:cs="Arial"/>
          <w:color w:val="000000"/>
        </w:rPr>
        <w:t xml:space="preserve">característico y exclusivo del </w:t>
      </w:r>
      <w:r w:rsidR="000F26C8" w:rsidRPr="00545310">
        <w:rPr>
          <w:rFonts w:cs="Arial"/>
          <w:color w:val="000000"/>
        </w:rPr>
        <w:t>E</w:t>
      </w:r>
      <w:r w:rsidR="00F7424B" w:rsidRPr="00545310">
        <w:rPr>
          <w:rFonts w:cs="Arial"/>
          <w:color w:val="000000"/>
        </w:rPr>
        <w:t>stado contratante, se utilizó</w:t>
      </w:r>
      <w:r w:rsidR="000F26C8" w:rsidRPr="00545310">
        <w:rPr>
          <w:rFonts w:cs="Arial"/>
          <w:color w:val="000000"/>
        </w:rPr>
        <w:t xml:space="preserve">, como uno de los factores, </w:t>
      </w:r>
      <w:r w:rsidR="00F7424B" w:rsidRPr="00545310">
        <w:rPr>
          <w:rFonts w:cs="Arial"/>
          <w:color w:val="000000"/>
        </w:rPr>
        <w:t xml:space="preserve">para reservar la competencia </w:t>
      </w:r>
      <w:r w:rsidR="00A11055" w:rsidRPr="00545310">
        <w:rPr>
          <w:rFonts w:cs="Arial"/>
          <w:color w:val="000000"/>
        </w:rPr>
        <w:t>a</w:t>
      </w:r>
      <w:r w:rsidR="00F7424B" w:rsidRPr="00545310">
        <w:rPr>
          <w:rFonts w:cs="Arial"/>
          <w:color w:val="000000"/>
        </w:rPr>
        <w:t xml:space="preserve"> la jurisdicción de lo contencioso </w:t>
      </w:r>
      <w:r w:rsidR="000F26C8" w:rsidRPr="00545310">
        <w:rPr>
          <w:rFonts w:cs="Arial"/>
          <w:color w:val="000000"/>
        </w:rPr>
        <w:lastRenderedPageBreak/>
        <w:t xml:space="preserve">administrativo, </w:t>
      </w:r>
      <w:r w:rsidR="00F7424B" w:rsidRPr="00545310">
        <w:rPr>
          <w:rFonts w:cs="Arial"/>
          <w:color w:val="000000"/>
        </w:rPr>
        <w:t xml:space="preserve">en el </w:t>
      </w:r>
      <w:r w:rsidRPr="00545310">
        <w:rPr>
          <w:rFonts w:cs="Arial"/>
          <w:color w:val="000000"/>
        </w:rPr>
        <w:t xml:space="preserve">numeral 3 del artículo 104 del </w:t>
      </w:r>
      <w:r w:rsidR="00F7424B" w:rsidRPr="00545310">
        <w:rPr>
          <w:rFonts w:cs="Arial"/>
          <w:color w:val="000000"/>
        </w:rPr>
        <w:t xml:space="preserve">CPACA, </w:t>
      </w:r>
      <w:r w:rsidR="00806B99" w:rsidRPr="00545310">
        <w:rPr>
          <w:rFonts w:cs="Arial"/>
          <w:color w:val="000000"/>
        </w:rPr>
        <w:t xml:space="preserve">respecto de </w:t>
      </w:r>
      <w:r w:rsidRPr="00545310">
        <w:rPr>
          <w:rFonts w:cs="Arial"/>
          <w:color w:val="000000"/>
        </w:rPr>
        <w:t xml:space="preserve">los </w:t>
      </w:r>
      <w:r w:rsidR="00806B99" w:rsidRPr="00545310">
        <w:rPr>
          <w:rFonts w:cs="Arial"/>
          <w:color w:val="000000"/>
        </w:rPr>
        <w:t xml:space="preserve">contratos relativos a </w:t>
      </w:r>
      <w:r w:rsidRPr="00545310">
        <w:rPr>
          <w:rFonts w:cs="Arial"/>
          <w:color w:val="000000"/>
        </w:rPr>
        <w:t>servicios públicos domiciliarios</w:t>
      </w:r>
      <w:r w:rsidR="00A11055" w:rsidRPr="00545310">
        <w:rPr>
          <w:rFonts w:cs="Arial"/>
          <w:color w:val="000000"/>
        </w:rPr>
        <w:t>,</w:t>
      </w:r>
      <w:r w:rsidRPr="00545310">
        <w:rPr>
          <w:rFonts w:cs="Arial"/>
          <w:color w:val="000000"/>
        </w:rPr>
        <w:t xml:space="preserve"> así:</w:t>
      </w:r>
    </w:p>
    <w:p w14:paraId="32BE6A1C" w14:textId="77777777" w:rsidR="0087637D" w:rsidRPr="00545310" w:rsidRDefault="003F1B8E" w:rsidP="003F1B8E">
      <w:pPr>
        <w:spacing w:before="100" w:beforeAutospacing="1" w:after="100" w:afterAutospacing="1" w:line="276" w:lineRule="auto"/>
        <w:ind w:left="567" w:right="567"/>
        <w:rPr>
          <w:rFonts w:cs="Arial"/>
          <w:i/>
        </w:rPr>
      </w:pPr>
      <w:bookmarkStart w:id="0" w:name="104"/>
      <w:r w:rsidRPr="00545310">
        <w:rPr>
          <w:rFonts w:cs="Arial"/>
          <w:bCs/>
          <w:i/>
        </w:rPr>
        <w:t>“Artículo 104. De la Jurisdicción de lo Contencioso Administrativo.</w:t>
      </w:r>
      <w:bookmarkEnd w:id="0"/>
      <w:r w:rsidRPr="00545310">
        <w:rPr>
          <w:rFonts w:cs="Arial"/>
          <w:i/>
        </w:rPr>
        <w:t> </w:t>
      </w:r>
      <w:r w:rsidR="0087637D" w:rsidRPr="00545310">
        <w:rPr>
          <w:rFonts w:cs="Arial"/>
          <w:i/>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14:paraId="4DF98ACA" w14:textId="77777777" w:rsidR="0087637D" w:rsidRPr="00545310" w:rsidRDefault="00806B99" w:rsidP="003F1B8E">
      <w:pPr>
        <w:spacing w:before="100" w:beforeAutospacing="1" w:after="100" w:afterAutospacing="1" w:line="276" w:lineRule="auto"/>
        <w:ind w:left="567" w:right="567"/>
        <w:rPr>
          <w:rFonts w:cs="Arial"/>
          <w:i/>
        </w:rPr>
      </w:pPr>
      <w:r w:rsidRPr="00545310">
        <w:rPr>
          <w:rFonts w:cs="Arial"/>
          <w:i/>
        </w:rPr>
        <w:t>“</w:t>
      </w:r>
      <w:r w:rsidR="0087637D" w:rsidRPr="00545310">
        <w:rPr>
          <w:rFonts w:cs="Arial"/>
          <w:i/>
        </w:rPr>
        <w:t>Igualmente conocerá de los siguientes procesos:</w:t>
      </w:r>
    </w:p>
    <w:p w14:paraId="794E4052" w14:textId="77777777" w:rsidR="0087637D" w:rsidRPr="00545310" w:rsidRDefault="00806B99" w:rsidP="003F1B8E">
      <w:pPr>
        <w:spacing w:before="100" w:beforeAutospacing="1" w:after="100" w:afterAutospacing="1" w:line="276" w:lineRule="auto"/>
        <w:ind w:left="567" w:right="567"/>
        <w:rPr>
          <w:rFonts w:cs="Arial"/>
          <w:i/>
        </w:rPr>
      </w:pPr>
      <w:r w:rsidRPr="00545310">
        <w:rPr>
          <w:rFonts w:cs="Arial"/>
          <w:i/>
        </w:rPr>
        <w:t>“</w:t>
      </w:r>
      <w:r w:rsidR="0087637D" w:rsidRPr="00545310">
        <w:rPr>
          <w:rFonts w:cs="Arial"/>
          <w:i/>
        </w:rPr>
        <w:t>(…)</w:t>
      </w:r>
    </w:p>
    <w:p w14:paraId="4A067AEE" w14:textId="77777777" w:rsidR="00A11055" w:rsidRPr="00545310" w:rsidRDefault="00806B99" w:rsidP="003F1B8E">
      <w:pPr>
        <w:spacing w:line="276" w:lineRule="auto"/>
        <w:ind w:left="567" w:right="567"/>
        <w:rPr>
          <w:rFonts w:cs="Arial"/>
          <w:i/>
        </w:rPr>
      </w:pPr>
      <w:r w:rsidRPr="00545310">
        <w:rPr>
          <w:rFonts w:cs="Arial"/>
          <w:i/>
        </w:rPr>
        <w:t>“</w:t>
      </w:r>
      <w:r w:rsidR="0087637D" w:rsidRPr="00545310">
        <w:rPr>
          <w:rFonts w:cs="Arial"/>
          <w:i/>
        </w:rPr>
        <w:t>3. Los relativos a contratos celebrados por cualquier entidad prestadora de servicios públicos domiciliarios en los cuales se incluyan o hayan debido incluirse cláusulas exorbitantes”.</w:t>
      </w:r>
    </w:p>
    <w:p w14:paraId="75A6E116" w14:textId="77777777" w:rsidR="00A11055" w:rsidRPr="00545310" w:rsidRDefault="00A11055" w:rsidP="003F1B8E">
      <w:pPr>
        <w:pStyle w:val="Textoindependiente"/>
        <w:autoSpaceDE/>
        <w:adjustRightInd/>
        <w:spacing w:line="240" w:lineRule="auto"/>
        <w:rPr>
          <w:rFonts w:cs="Arial"/>
          <w:b/>
          <w:szCs w:val="24"/>
        </w:rPr>
      </w:pPr>
    </w:p>
    <w:p w14:paraId="1E160706" w14:textId="77777777" w:rsidR="00017F29" w:rsidRPr="00545310" w:rsidRDefault="00806B99" w:rsidP="00E27368">
      <w:pPr>
        <w:pStyle w:val="Textoindependiente"/>
        <w:autoSpaceDE/>
        <w:adjustRightInd/>
        <w:rPr>
          <w:rFonts w:cs="Arial"/>
          <w:color w:val="000000"/>
          <w:szCs w:val="24"/>
        </w:rPr>
      </w:pPr>
      <w:r w:rsidRPr="00545310">
        <w:rPr>
          <w:rFonts w:cs="Arial"/>
          <w:szCs w:val="24"/>
        </w:rPr>
        <w:t xml:space="preserve">Se puntualiza que </w:t>
      </w:r>
      <w:r w:rsidR="00017F29" w:rsidRPr="00545310">
        <w:rPr>
          <w:rFonts w:cs="Arial"/>
          <w:szCs w:val="24"/>
        </w:rPr>
        <w:t xml:space="preserve">la </w:t>
      </w:r>
      <w:r w:rsidR="00A11055" w:rsidRPr="00545310">
        <w:rPr>
          <w:rFonts w:cs="Arial"/>
          <w:szCs w:val="24"/>
        </w:rPr>
        <w:t xml:space="preserve">potestad </w:t>
      </w:r>
      <w:r w:rsidR="002F55B8" w:rsidRPr="00545310">
        <w:rPr>
          <w:rFonts w:cs="Arial"/>
          <w:szCs w:val="24"/>
        </w:rPr>
        <w:t xml:space="preserve">exorbitante </w:t>
      </w:r>
      <w:r w:rsidR="00A11055" w:rsidRPr="00545310">
        <w:rPr>
          <w:rFonts w:cs="Arial"/>
          <w:szCs w:val="24"/>
        </w:rPr>
        <w:t>de declarar la caducidad del contrato estatal</w:t>
      </w:r>
      <w:r w:rsidR="00796848" w:rsidRPr="00545310">
        <w:rPr>
          <w:rFonts w:cs="Arial"/>
          <w:szCs w:val="24"/>
        </w:rPr>
        <w:t xml:space="preserve"> </w:t>
      </w:r>
      <w:r w:rsidR="00491E97" w:rsidRPr="00545310">
        <w:rPr>
          <w:rFonts w:cs="Arial"/>
          <w:szCs w:val="24"/>
        </w:rPr>
        <w:t xml:space="preserve">se entiende </w:t>
      </w:r>
      <w:r w:rsidR="002F55B8" w:rsidRPr="00545310">
        <w:rPr>
          <w:rFonts w:cs="Arial"/>
          <w:szCs w:val="24"/>
        </w:rPr>
        <w:t>como una expresión de</w:t>
      </w:r>
      <w:r w:rsidR="00017F29" w:rsidRPr="00545310">
        <w:rPr>
          <w:rFonts w:cs="Arial"/>
          <w:szCs w:val="24"/>
        </w:rPr>
        <w:t>l derecho sancionador</w:t>
      </w:r>
      <w:r w:rsidRPr="00545310">
        <w:rPr>
          <w:rFonts w:cs="Arial"/>
          <w:szCs w:val="24"/>
        </w:rPr>
        <w:t xml:space="preserve"> dentro de </w:t>
      </w:r>
      <w:r w:rsidR="00017F29" w:rsidRPr="00545310">
        <w:rPr>
          <w:rFonts w:cs="Arial"/>
          <w:szCs w:val="24"/>
        </w:rPr>
        <w:t xml:space="preserve">las </w:t>
      </w:r>
      <w:r w:rsidR="00491E97" w:rsidRPr="00545310">
        <w:rPr>
          <w:rFonts w:cs="Arial"/>
          <w:color w:val="000000"/>
          <w:szCs w:val="24"/>
        </w:rPr>
        <w:t>funciones administrativas</w:t>
      </w:r>
      <w:r w:rsidR="0012710E" w:rsidRPr="00545310">
        <w:rPr>
          <w:rFonts w:cs="Arial"/>
          <w:color w:val="000000"/>
          <w:szCs w:val="24"/>
        </w:rPr>
        <w:t xml:space="preserve"> reservadas al Estado contratante para </w:t>
      </w:r>
      <w:r w:rsidR="00801738" w:rsidRPr="00545310">
        <w:rPr>
          <w:rFonts w:cs="Arial"/>
          <w:color w:val="000000"/>
          <w:szCs w:val="24"/>
        </w:rPr>
        <w:t xml:space="preserve">efectos de </w:t>
      </w:r>
      <w:r w:rsidR="0012710E" w:rsidRPr="00545310">
        <w:rPr>
          <w:rFonts w:cs="Arial"/>
          <w:color w:val="000000"/>
          <w:szCs w:val="24"/>
        </w:rPr>
        <w:t>proteger los cometidos estatales</w:t>
      </w:r>
      <w:r w:rsidR="009F560B" w:rsidRPr="00545310">
        <w:rPr>
          <w:rFonts w:cs="Arial"/>
          <w:color w:val="000000"/>
          <w:szCs w:val="24"/>
        </w:rPr>
        <w:t xml:space="preserve">. </w:t>
      </w:r>
    </w:p>
    <w:p w14:paraId="4E1838BC" w14:textId="77777777" w:rsidR="00017F29" w:rsidRPr="00545310" w:rsidRDefault="00017F29" w:rsidP="00E27368">
      <w:pPr>
        <w:pStyle w:val="Textoindependiente"/>
        <w:autoSpaceDE/>
        <w:adjustRightInd/>
        <w:rPr>
          <w:rFonts w:cs="Arial"/>
          <w:color w:val="000000"/>
          <w:szCs w:val="24"/>
        </w:rPr>
      </w:pPr>
    </w:p>
    <w:p w14:paraId="1245700C" w14:textId="77777777" w:rsidR="009F560B" w:rsidRPr="00545310" w:rsidRDefault="00017F29" w:rsidP="00E27368">
      <w:pPr>
        <w:pStyle w:val="Textoindependiente"/>
        <w:autoSpaceDE/>
        <w:adjustRightInd/>
        <w:rPr>
          <w:rFonts w:cs="Arial"/>
          <w:color w:val="000000"/>
          <w:szCs w:val="24"/>
        </w:rPr>
      </w:pPr>
      <w:r w:rsidRPr="00545310">
        <w:rPr>
          <w:rFonts w:cs="Arial"/>
          <w:color w:val="000000"/>
          <w:szCs w:val="24"/>
        </w:rPr>
        <w:t xml:space="preserve">También se </w:t>
      </w:r>
      <w:r w:rsidR="009F560B" w:rsidRPr="00545310">
        <w:rPr>
          <w:rFonts w:cs="Arial"/>
          <w:color w:val="000000"/>
          <w:szCs w:val="24"/>
        </w:rPr>
        <w:t xml:space="preserve">recuerda que </w:t>
      </w:r>
      <w:r w:rsidR="00382A05" w:rsidRPr="00545310">
        <w:rPr>
          <w:rFonts w:cs="Arial"/>
          <w:color w:val="000000"/>
          <w:szCs w:val="24"/>
        </w:rPr>
        <w:t xml:space="preserve">de </w:t>
      </w:r>
      <w:r w:rsidR="005731F1" w:rsidRPr="00545310">
        <w:rPr>
          <w:rFonts w:cs="Arial"/>
          <w:color w:val="000000"/>
          <w:szCs w:val="24"/>
        </w:rPr>
        <w:t xml:space="preserve">conformidad con </w:t>
      </w:r>
      <w:r w:rsidR="00382A05" w:rsidRPr="00545310">
        <w:rPr>
          <w:rFonts w:cs="Arial"/>
          <w:color w:val="000000"/>
          <w:szCs w:val="24"/>
        </w:rPr>
        <w:t xml:space="preserve">la Ley 80 de 1993, </w:t>
      </w:r>
      <w:r w:rsidR="009F560B" w:rsidRPr="00545310">
        <w:rPr>
          <w:rFonts w:cs="Arial"/>
          <w:color w:val="000000"/>
          <w:szCs w:val="24"/>
        </w:rPr>
        <w:t xml:space="preserve">los </w:t>
      </w:r>
      <w:r w:rsidR="0012710E" w:rsidRPr="00545310">
        <w:rPr>
          <w:rFonts w:cs="Arial"/>
          <w:color w:val="000000"/>
          <w:szCs w:val="24"/>
        </w:rPr>
        <w:t xml:space="preserve">actos administrativos </w:t>
      </w:r>
      <w:r w:rsidR="00382A05" w:rsidRPr="00545310">
        <w:rPr>
          <w:rFonts w:cs="Arial"/>
          <w:color w:val="000000"/>
          <w:szCs w:val="24"/>
        </w:rPr>
        <w:t xml:space="preserve">exorbitantes </w:t>
      </w:r>
      <w:r w:rsidR="005731F1" w:rsidRPr="00545310">
        <w:rPr>
          <w:rFonts w:cs="Arial"/>
          <w:color w:val="000000"/>
          <w:szCs w:val="24"/>
        </w:rPr>
        <w:t xml:space="preserve">en materia contractual </w:t>
      </w:r>
      <w:r w:rsidR="00382A05" w:rsidRPr="00545310">
        <w:rPr>
          <w:rFonts w:cs="Arial"/>
          <w:color w:val="000000"/>
          <w:szCs w:val="24"/>
        </w:rPr>
        <w:t xml:space="preserve">son los </w:t>
      </w:r>
      <w:r w:rsidR="00A26F02" w:rsidRPr="00545310">
        <w:rPr>
          <w:rFonts w:cs="Arial"/>
          <w:color w:val="000000"/>
          <w:szCs w:val="24"/>
        </w:rPr>
        <w:t xml:space="preserve">expedidos </w:t>
      </w:r>
      <w:r w:rsidRPr="00545310">
        <w:rPr>
          <w:rFonts w:cs="Arial"/>
          <w:color w:val="000000"/>
          <w:szCs w:val="24"/>
        </w:rPr>
        <w:t xml:space="preserve">en ejercicio de las potestades del artículo 14 de la Ley 80 de 1993, </w:t>
      </w:r>
      <w:r w:rsidR="00382A05" w:rsidRPr="00545310">
        <w:rPr>
          <w:rFonts w:cs="Arial"/>
          <w:color w:val="000000"/>
          <w:szCs w:val="24"/>
        </w:rPr>
        <w:t xml:space="preserve">los cuales </w:t>
      </w:r>
      <w:r w:rsidR="00801738" w:rsidRPr="00545310">
        <w:rPr>
          <w:rFonts w:cs="Arial"/>
          <w:color w:val="000000"/>
          <w:szCs w:val="24"/>
        </w:rPr>
        <w:t>constituyen decisiones excepcionales y de gran impacto</w:t>
      </w:r>
      <w:r w:rsidR="00C5558C" w:rsidRPr="00545310">
        <w:rPr>
          <w:rFonts w:cs="Arial"/>
          <w:color w:val="000000"/>
          <w:szCs w:val="24"/>
        </w:rPr>
        <w:t xml:space="preserve"> sobre el contrato y sobre el contratista</w:t>
      </w:r>
      <w:r w:rsidR="00801738" w:rsidRPr="00545310">
        <w:rPr>
          <w:rFonts w:cs="Arial"/>
          <w:color w:val="000000"/>
          <w:szCs w:val="24"/>
        </w:rPr>
        <w:t xml:space="preserve">, que </w:t>
      </w:r>
      <w:r w:rsidR="00A26F02" w:rsidRPr="00545310">
        <w:rPr>
          <w:rFonts w:cs="Arial"/>
          <w:color w:val="000000"/>
          <w:szCs w:val="24"/>
        </w:rPr>
        <w:t xml:space="preserve">se rigen por el principio de reserva de ley y que solo han sido consagradas </w:t>
      </w:r>
      <w:r w:rsidR="00D055F7" w:rsidRPr="00545310">
        <w:rPr>
          <w:rFonts w:cs="Arial"/>
          <w:color w:val="000000"/>
          <w:szCs w:val="24"/>
        </w:rPr>
        <w:t xml:space="preserve">por la ley </w:t>
      </w:r>
      <w:r w:rsidR="00A26F02" w:rsidRPr="00545310">
        <w:rPr>
          <w:rFonts w:cs="Arial"/>
          <w:color w:val="000000"/>
          <w:szCs w:val="24"/>
        </w:rPr>
        <w:t xml:space="preserve">para </w:t>
      </w:r>
      <w:r w:rsidR="00801738" w:rsidRPr="00545310">
        <w:rPr>
          <w:rFonts w:cs="Arial"/>
          <w:color w:val="000000"/>
          <w:szCs w:val="24"/>
        </w:rPr>
        <w:t xml:space="preserve">el Estado Contratante </w:t>
      </w:r>
      <w:r w:rsidR="00A26F02" w:rsidRPr="00545310">
        <w:rPr>
          <w:rFonts w:cs="Arial"/>
          <w:color w:val="000000"/>
          <w:szCs w:val="24"/>
        </w:rPr>
        <w:t>en determinados supuestos</w:t>
      </w:r>
      <w:r w:rsidR="00382A05" w:rsidRPr="00545310">
        <w:rPr>
          <w:rFonts w:cs="Arial"/>
          <w:color w:val="000000"/>
          <w:szCs w:val="24"/>
        </w:rPr>
        <w:t xml:space="preserve">, </w:t>
      </w:r>
      <w:r w:rsidR="00801738" w:rsidRPr="00545310">
        <w:rPr>
          <w:rFonts w:cs="Arial"/>
          <w:color w:val="000000"/>
          <w:szCs w:val="24"/>
        </w:rPr>
        <w:t>además</w:t>
      </w:r>
      <w:r w:rsidR="00382A05" w:rsidRPr="00545310">
        <w:rPr>
          <w:rFonts w:cs="Arial"/>
          <w:color w:val="000000"/>
          <w:szCs w:val="24"/>
        </w:rPr>
        <w:t xml:space="preserve"> de que gozan del </w:t>
      </w:r>
      <w:r w:rsidR="0012710E" w:rsidRPr="00545310">
        <w:rPr>
          <w:rFonts w:cs="Arial"/>
          <w:color w:val="000000"/>
          <w:szCs w:val="24"/>
        </w:rPr>
        <w:t xml:space="preserve">privilegio de lo previo, </w:t>
      </w:r>
      <w:r w:rsidR="00D055F7" w:rsidRPr="00545310">
        <w:rPr>
          <w:rFonts w:cs="Arial"/>
          <w:color w:val="000000"/>
          <w:szCs w:val="24"/>
        </w:rPr>
        <w:t xml:space="preserve">esto </w:t>
      </w:r>
      <w:r w:rsidR="009F560B" w:rsidRPr="00545310">
        <w:rPr>
          <w:rFonts w:cs="Arial"/>
          <w:color w:val="000000"/>
          <w:szCs w:val="24"/>
        </w:rPr>
        <w:t>es</w:t>
      </w:r>
      <w:r w:rsidR="0006662B" w:rsidRPr="00545310">
        <w:rPr>
          <w:rFonts w:cs="Arial"/>
          <w:color w:val="000000"/>
          <w:szCs w:val="24"/>
        </w:rPr>
        <w:t>,</w:t>
      </w:r>
      <w:r w:rsidR="009F560B" w:rsidRPr="00545310">
        <w:rPr>
          <w:rFonts w:cs="Arial"/>
          <w:color w:val="000000"/>
          <w:szCs w:val="24"/>
        </w:rPr>
        <w:t xml:space="preserve"> </w:t>
      </w:r>
      <w:r w:rsidR="0012710E" w:rsidRPr="00545310">
        <w:rPr>
          <w:rFonts w:cs="Arial"/>
          <w:color w:val="000000"/>
          <w:szCs w:val="24"/>
        </w:rPr>
        <w:t>que pueden expedirse bajo un debido proceso</w:t>
      </w:r>
      <w:r w:rsidR="009F560B" w:rsidRPr="00545310">
        <w:rPr>
          <w:rFonts w:cs="Arial"/>
          <w:color w:val="000000"/>
          <w:szCs w:val="24"/>
        </w:rPr>
        <w:t>,</w:t>
      </w:r>
      <w:r w:rsidR="0012710E" w:rsidRPr="00545310">
        <w:rPr>
          <w:rFonts w:cs="Arial"/>
          <w:color w:val="000000"/>
          <w:szCs w:val="24"/>
        </w:rPr>
        <w:t xml:space="preserve"> pero sin </w:t>
      </w:r>
      <w:r w:rsidR="00E57DEB" w:rsidRPr="00545310">
        <w:rPr>
          <w:rFonts w:cs="Arial"/>
          <w:color w:val="000000"/>
          <w:szCs w:val="24"/>
        </w:rPr>
        <w:t xml:space="preserve">el imperativo de </w:t>
      </w:r>
      <w:r w:rsidR="0012710E" w:rsidRPr="00545310">
        <w:rPr>
          <w:rFonts w:cs="Arial"/>
          <w:color w:val="000000"/>
          <w:szCs w:val="24"/>
        </w:rPr>
        <w:t xml:space="preserve">acudir </w:t>
      </w:r>
      <w:r w:rsidR="00E57DEB" w:rsidRPr="00545310">
        <w:rPr>
          <w:rFonts w:cs="Arial"/>
          <w:color w:val="000000"/>
          <w:szCs w:val="24"/>
        </w:rPr>
        <w:t xml:space="preserve">previamente </w:t>
      </w:r>
      <w:r w:rsidR="0012710E" w:rsidRPr="00545310">
        <w:rPr>
          <w:rFonts w:cs="Arial"/>
          <w:color w:val="000000"/>
          <w:szCs w:val="24"/>
        </w:rPr>
        <w:t>al Juez</w:t>
      </w:r>
      <w:r w:rsidR="00E57DEB" w:rsidRPr="00545310">
        <w:rPr>
          <w:rFonts w:cs="Arial"/>
          <w:color w:val="000000"/>
          <w:szCs w:val="24"/>
        </w:rPr>
        <w:t xml:space="preserve">. </w:t>
      </w:r>
    </w:p>
    <w:p w14:paraId="0CE8377B" w14:textId="77777777" w:rsidR="009F560B" w:rsidRPr="00545310" w:rsidRDefault="009F560B" w:rsidP="00E27368">
      <w:pPr>
        <w:pStyle w:val="Textoindependiente"/>
        <w:autoSpaceDE/>
        <w:adjustRightInd/>
        <w:rPr>
          <w:rFonts w:cs="Arial"/>
          <w:color w:val="000000"/>
          <w:szCs w:val="24"/>
        </w:rPr>
      </w:pPr>
    </w:p>
    <w:p w14:paraId="43A52939" w14:textId="77777777" w:rsidR="009F560B" w:rsidRPr="00545310" w:rsidRDefault="00E57DEB" w:rsidP="00E27368">
      <w:pPr>
        <w:pStyle w:val="Textoindependiente"/>
        <w:autoSpaceDE/>
        <w:adjustRightInd/>
        <w:rPr>
          <w:rFonts w:cs="Arial"/>
          <w:color w:val="000000"/>
          <w:szCs w:val="24"/>
        </w:rPr>
      </w:pPr>
      <w:r w:rsidRPr="00545310">
        <w:rPr>
          <w:rFonts w:cs="Arial"/>
          <w:color w:val="000000"/>
          <w:szCs w:val="24"/>
        </w:rPr>
        <w:t xml:space="preserve">De </w:t>
      </w:r>
      <w:r w:rsidR="00017F29" w:rsidRPr="00545310">
        <w:rPr>
          <w:rFonts w:cs="Arial"/>
          <w:color w:val="000000"/>
          <w:szCs w:val="24"/>
        </w:rPr>
        <w:t xml:space="preserve">todo lo anterior </w:t>
      </w:r>
      <w:r w:rsidRPr="00545310">
        <w:rPr>
          <w:rFonts w:cs="Arial"/>
          <w:color w:val="000000"/>
          <w:szCs w:val="24"/>
        </w:rPr>
        <w:t xml:space="preserve">se desprende que el artículo 105 del CPACA no puede interpretarse en el sentido de haber deferido a la jurisdicción ordinaria </w:t>
      </w:r>
      <w:r w:rsidR="00D055F7" w:rsidRPr="00545310">
        <w:rPr>
          <w:rFonts w:cs="Arial"/>
          <w:color w:val="000000"/>
          <w:szCs w:val="24"/>
        </w:rPr>
        <w:t xml:space="preserve">civil </w:t>
      </w:r>
      <w:r w:rsidRPr="00545310">
        <w:rPr>
          <w:rFonts w:cs="Arial"/>
          <w:color w:val="000000"/>
          <w:szCs w:val="24"/>
        </w:rPr>
        <w:t xml:space="preserve">el juzgamiento de los actos administrativos </w:t>
      </w:r>
      <w:r w:rsidR="009F560B" w:rsidRPr="00545310">
        <w:rPr>
          <w:rFonts w:cs="Arial"/>
          <w:color w:val="000000"/>
          <w:szCs w:val="24"/>
        </w:rPr>
        <w:t>expedidos en ejercicio de facultades exorbitantes.</w:t>
      </w:r>
    </w:p>
    <w:p w14:paraId="322B4ABF" w14:textId="77777777" w:rsidR="00A11055" w:rsidRPr="00545310" w:rsidRDefault="00A11055" w:rsidP="00E27368">
      <w:pPr>
        <w:pStyle w:val="Textoindependiente"/>
        <w:autoSpaceDE/>
        <w:adjustRightInd/>
        <w:rPr>
          <w:rFonts w:cs="Arial"/>
          <w:b/>
          <w:szCs w:val="24"/>
        </w:rPr>
      </w:pPr>
    </w:p>
    <w:p w14:paraId="41DF4F76" w14:textId="77777777" w:rsidR="002E2CA9" w:rsidRPr="00545310" w:rsidRDefault="002E2CA9" w:rsidP="00E27368">
      <w:pPr>
        <w:pStyle w:val="Textoindependiente"/>
        <w:autoSpaceDE/>
        <w:adjustRightInd/>
        <w:rPr>
          <w:rFonts w:cs="Arial"/>
          <w:b/>
          <w:szCs w:val="24"/>
        </w:rPr>
      </w:pPr>
      <w:r w:rsidRPr="00545310">
        <w:rPr>
          <w:rFonts w:cs="Arial"/>
          <w:b/>
          <w:szCs w:val="24"/>
        </w:rPr>
        <w:t>1.1.</w:t>
      </w:r>
      <w:r w:rsidR="00076569" w:rsidRPr="00545310">
        <w:rPr>
          <w:rFonts w:cs="Arial"/>
          <w:b/>
          <w:szCs w:val="24"/>
        </w:rPr>
        <w:t>3</w:t>
      </w:r>
      <w:r w:rsidRPr="00545310">
        <w:rPr>
          <w:rFonts w:cs="Arial"/>
          <w:b/>
          <w:szCs w:val="24"/>
        </w:rPr>
        <w:t xml:space="preserve">. Jurisdicción competente en el caso sub lite </w:t>
      </w:r>
    </w:p>
    <w:p w14:paraId="2EF8460C" w14:textId="77777777" w:rsidR="002E2CA9" w:rsidRPr="00545310" w:rsidRDefault="002E2CA9" w:rsidP="00E27368">
      <w:pPr>
        <w:pStyle w:val="Textoindependiente"/>
        <w:autoSpaceDE/>
        <w:adjustRightInd/>
        <w:rPr>
          <w:rFonts w:cs="Arial"/>
          <w:b/>
          <w:szCs w:val="24"/>
        </w:rPr>
      </w:pPr>
    </w:p>
    <w:p w14:paraId="05A40E95" w14:textId="77777777" w:rsidR="00932876" w:rsidRPr="00545310" w:rsidRDefault="00932876" w:rsidP="00E27368">
      <w:pPr>
        <w:pStyle w:val="Textoindependiente"/>
        <w:autoSpaceDE/>
        <w:adjustRightInd/>
        <w:rPr>
          <w:rFonts w:cs="Arial"/>
          <w:szCs w:val="24"/>
          <w:lang w:val="es-CO"/>
        </w:rPr>
      </w:pPr>
      <w:r w:rsidRPr="00545310">
        <w:rPr>
          <w:rFonts w:cs="Arial"/>
          <w:szCs w:val="24"/>
        </w:rPr>
        <w:lastRenderedPageBreak/>
        <w:t>Corresponde a la jurisdicción de lo contencioso administrativo conocer de la pretensión de nulidad del acto administrativo mediante el cual se declaró la caducidad del contrato y se hizo efectiva la garantía única de cumplimiento, toda vez que esa actuación no hace parte del giro ordinario de los negocios de FONADE y</w:t>
      </w:r>
      <w:r w:rsidR="00DA4F7E" w:rsidRPr="00545310">
        <w:rPr>
          <w:rFonts w:cs="Arial"/>
          <w:szCs w:val="24"/>
        </w:rPr>
        <w:t xml:space="preserve">, por ello, </w:t>
      </w:r>
      <w:r w:rsidRPr="00545310">
        <w:rPr>
          <w:rFonts w:cs="Arial"/>
          <w:szCs w:val="24"/>
        </w:rPr>
        <w:t>no se enmarca en la excepción del artículo 105 del CPACA</w:t>
      </w:r>
      <w:r w:rsidR="00DA4F7E" w:rsidRPr="00545310">
        <w:rPr>
          <w:rFonts w:cs="Arial"/>
          <w:szCs w:val="24"/>
        </w:rPr>
        <w:t>.</w:t>
      </w:r>
    </w:p>
    <w:p w14:paraId="01D023E7" w14:textId="77777777" w:rsidR="006C45FF" w:rsidRPr="00545310" w:rsidRDefault="006C45FF" w:rsidP="00205871">
      <w:pPr>
        <w:rPr>
          <w:rFonts w:cs="Arial"/>
        </w:rPr>
      </w:pPr>
    </w:p>
    <w:p w14:paraId="28FE0A1E" w14:textId="77777777" w:rsidR="00DA4F7E" w:rsidRPr="00545310" w:rsidRDefault="00DA4F7E" w:rsidP="00205871">
      <w:pPr>
        <w:rPr>
          <w:rFonts w:cs="Arial"/>
        </w:rPr>
      </w:pPr>
      <w:r w:rsidRPr="00545310">
        <w:rPr>
          <w:rFonts w:cs="Arial"/>
        </w:rPr>
        <w:t>La consideración anterior se funda en la</w:t>
      </w:r>
      <w:r w:rsidR="0070540B" w:rsidRPr="00545310">
        <w:rPr>
          <w:rFonts w:cs="Arial"/>
        </w:rPr>
        <w:t>s</w:t>
      </w:r>
      <w:r w:rsidRPr="00545310">
        <w:rPr>
          <w:rFonts w:cs="Arial"/>
        </w:rPr>
        <w:t xml:space="preserve"> reglas aplicables al presente litigio, por las siguientes razones: </w:t>
      </w:r>
    </w:p>
    <w:p w14:paraId="34D6F964" w14:textId="77777777" w:rsidR="00DA4F7E" w:rsidRPr="00545310" w:rsidRDefault="00DA4F7E" w:rsidP="00205871">
      <w:pPr>
        <w:rPr>
          <w:rFonts w:cs="Arial"/>
        </w:rPr>
      </w:pPr>
    </w:p>
    <w:p w14:paraId="362A4FAA" w14:textId="77777777" w:rsidR="00FC1C91" w:rsidRPr="00545310" w:rsidRDefault="00FD7C79" w:rsidP="00205871">
      <w:pPr>
        <w:rPr>
          <w:rFonts w:cs="Arial"/>
        </w:rPr>
      </w:pPr>
      <w:r w:rsidRPr="00545310">
        <w:rPr>
          <w:rFonts w:cs="Arial"/>
        </w:rPr>
        <w:t xml:space="preserve">Con </w:t>
      </w:r>
      <w:r w:rsidR="0081321A" w:rsidRPr="00545310">
        <w:rPr>
          <w:rFonts w:cs="Arial"/>
        </w:rPr>
        <w:t xml:space="preserve">fundamento en el </w:t>
      </w:r>
      <w:r w:rsidRPr="00545310">
        <w:rPr>
          <w:rFonts w:cs="Arial"/>
        </w:rPr>
        <w:t xml:space="preserve">criterio orgánico que </w:t>
      </w:r>
      <w:r w:rsidR="001F0064" w:rsidRPr="00545310">
        <w:rPr>
          <w:rFonts w:cs="Arial"/>
        </w:rPr>
        <w:t>se a</w:t>
      </w:r>
      <w:r w:rsidR="00FC1C91" w:rsidRPr="00545310">
        <w:rPr>
          <w:rFonts w:cs="Arial"/>
        </w:rPr>
        <w:t>doptó en la Ley 80 de 1993</w:t>
      </w:r>
      <w:r w:rsidR="00CF1943" w:rsidRPr="00545310">
        <w:rPr>
          <w:rStyle w:val="Refdenotaalpie"/>
          <w:rFonts w:cs="Arial"/>
        </w:rPr>
        <w:footnoteReference w:id="27"/>
      </w:r>
      <w:r w:rsidR="00CF1943" w:rsidRPr="00545310">
        <w:rPr>
          <w:rFonts w:cs="Arial"/>
        </w:rPr>
        <w:t xml:space="preserve">, en concordancia con el artículo </w:t>
      </w:r>
      <w:r w:rsidR="006F5D4C" w:rsidRPr="00545310">
        <w:rPr>
          <w:rFonts w:cs="Arial"/>
        </w:rPr>
        <w:t>10</w:t>
      </w:r>
      <w:r w:rsidR="00DB3C1C" w:rsidRPr="00545310">
        <w:rPr>
          <w:rFonts w:cs="Arial"/>
        </w:rPr>
        <w:t>4</w:t>
      </w:r>
      <w:r w:rsidR="00CF1943" w:rsidRPr="00545310">
        <w:rPr>
          <w:rFonts w:cs="Arial"/>
        </w:rPr>
        <w:t xml:space="preserve"> del C</w:t>
      </w:r>
      <w:r w:rsidR="006F5D4C" w:rsidRPr="00545310">
        <w:rPr>
          <w:rFonts w:cs="Arial"/>
        </w:rPr>
        <w:t>PACA</w:t>
      </w:r>
      <w:r w:rsidR="00C045C1" w:rsidRPr="00545310">
        <w:rPr>
          <w:rStyle w:val="Refdenotaalpie"/>
          <w:rFonts w:cs="Arial"/>
        </w:rPr>
        <w:footnoteReference w:id="28"/>
      </w:r>
      <w:r w:rsidR="00C045C1" w:rsidRPr="00545310">
        <w:rPr>
          <w:rFonts w:cs="Arial"/>
        </w:rPr>
        <w:t>,</w:t>
      </w:r>
      <w:r w:rsidR="001F0064" w:rsidRPr="00545310">
        <w:rPr>
          <w:rFonts w:cs="Arial"/>
        </w:rPr>
        <w:t xml:space="preserve"> </w:t>
      </w:r>
      <w:r w:rsidR="006C45FF" w:rsidRPr="00545310">
        <w:rPr>
          <w:rFonts w:cs="Arial"/>
        </w:rPr>
        <w:t xml:space="preserve">para definir la jurisdicción aplicable </w:t>
      </w:r>
      <w:r w:rsidR="0070540B" w:rsidRPr="00545310">
        <w:rPr>
          <w:rFonts w:cs="Arial"/>
        </w:rPr>
        <w:t xml:space="preserve">se debe tener en cuenta la condición de </w:t>
      </w:r>
      <w:r w:rsidR="002057B3" w:rsidRPr="00545310">
        <w:rPr>
          <w:rFonts w:cs="Arial"/>
        </w:rPr>
        <w:t>las partes en litigio</w:t>
      </w:r>
      <w:r w:rsidR="0070540B" w:rsidRPr="00545310">
        <w:rPr>
          <w:rFonts w:cs="Arial"/>
        </w:rPr>
        <w:t xml:space="preserve">, </w:t>
      </w:r>
      <w:r w:rsidR="005E51D7" w:rsidRPr="00545310">
        <w:rPr>
          <w:rFonts w:cs="Arial"/>
        </w:rPr>
        <w:t xml:space="preserve">lo cual se aplica en este caso, dado que </w:t>
      </w:r>
      <w:r w:rsidR="00DA4F7E" w:rsidRPr="00545310">
        <w:rPr>
          <w:rFonts w:cs="Arial"/>
        </w:rPr>
        <w:t xml:space="preserve">FONADE </w:t>
      </w:r>
      <w:r w:rsidR="00283D36" w:rsidRPr="00545310">
        <w:rPr>
          <w:rFonts w:cs="Arial"/>
        </w:rPr>
        <w:t xml:space="preserve">es </w:t>
      </w:r>
      <w:r w:rsidR="00DA4F7E" w:rsidRPr="00545310">
        <w:rPr>
          <w:rFonts w:cs="Arial"/>
        </w:rPr>
        <w:t xml:space="preserve">una entidad </w:t>
      </w:r>
      <w:r w:rsidR="00F923B7" w:rsidRPr="00545310">
        <w:rPr>
          <w:rFonts w:cs="Arial"/>
        </w:rPr>
        <w:t>estatal</w:t>
      </w:r>
      <w:r w:rsidR="00C43BE3" w:rsidRPr="00545310">
        <w:rPr>
          <w:rStyle w:val="Refdenotaalpie"/>
          <w:rFonts w:cs="Arial"/>
        </w:rPr>
        <w:footnoteReference w:id="29"/>
      </w:r>
      <w:r w:rsidR="0070540B" w:rsidRPr="00545310">
        <w:rPr>
          <w:rFonts w:cs="Arial"/>
        </w:rPr>
        <w:t xml:space="preserve">. A ello se agrega que </w:t>
      </w:r>
      <w:r w:rsidR="002057B3" w:rsidRPr="00545310">
        <w:rPr>
          <w:rFonts w:cs="Arial"/>
        </w:rPr>
        <w:t xml:space="preserve">los actos administrativos impugnados </w:t>
      </w:r>
      <w:r w:rsidR="00F923B7" w:rsidRPr="00545310">
        <w:rPr>
          <w:rFonts w:cs="Arial"/>
        </w:rPr>
        <w:t xml:space="preserve">no  </w:t>
      </w:r>
      <w:r w:rsidR="00AC3174" w:rsidRPr="00545310">
        <w:rPr>
          <w:rFonts w:cs="Arial"/>
        </w:rPr>
        <w:t>se encuentra</w:t>
      </w:r>
      <w:r w:rsidR="006001CE" w:rsidRPr="00545310">
        <w:rPr>
          <w:rFonts w:cs="Arial"/>
        </w:rPr>
        <w:t>n</w:t>
      </w:r>
      <w:r w:rsidR="00AC3174" w:rsidRPr="00545310">
        <w:rPr>
          <w:rFonts w:cs="Arial"/>
        </w:rPr>
        <w:t xml:space="preserve"> </w:t>
      </w:r>
      <w:r w:rsidR="00F923B7" w:rsidRPr="00545310">
        <w:rPr>
          <w:rFonts w:cs="Arial"/>
        </w:rPr>
        <w:t xml:space="preserve">dentro de </w:t>
      </w:r>
      <w:r w:rsidR="00AC3174" w:rsidRPr="00545310">
        <w:rPr>
          <w:rFonts w:cs="Arial"/>
        </w:rPr>
        <w:t xml:space="preserve">las operaciones del giro ordinario de la entidad demandada, </w:t>
      </w:r>
      <w:r w:rsidR="0070540B" w:rsidRPr="00545310">
        <w:rPr>
          <w:rFonts w:cs="Arial"/>
        </w:rPr>
        <w:t xml:space="preserve">razón por la cual </w:t>
      </w:r>
      <w:r w:rsidR="0081321A" w:rsidRPr="00545310">
        <w:rPr>
          <w:rFonts w:cs="Arial"/>
        </w:rPr>
        <w:t xml:space="preserve">se </w:t>
      </w:r>
      <w:r w:rsidR="005E51D7" w:rsidRPr="00545310">
        <w:rPr>
          <w:rFonts w:cs="Arial"/>
        </w:rPr>
        <w:t>reafirma</w:t>
      </w:r>
      <w:r w:rsidR="0081321A" w:rsidRPr="00545310">
        <w:rPr>
          <w:rFonts w:cs="Arial"/>
        </w:rPr>
        <w:t xml:space="preserve"> la competencia de la Jurisdicción de lo Contencioso Administrativo</w:t>
      </w:r>
      <w:r w:rsidR="00DB7537" w:rsidRPr="00545310">
        <w:rPr>
          <w:rFonts w:cs="Arial"/>
        </w:rPr>
        <w:t xml:space="preserve"> para conocer del asunto que se debate en este proceso</w:t>
      </w:r>
      <w:r w:rsidR="00FC1C91" w:rsidRPr="00545310">
        <w:rPr>
          <w:rFonts w:cs="Arial"/>
        </w:rPr>
        <w:t>.</w:t>
      </w:r>
    </w:p>
    <w:p w14:paraId="103EFA89" w14:textId="77777777" w:rsidR="003B6622" w:rsidRPr="00545310" w:rsidRDefault="003B6622" w:rsidP="00205871">
      <w:pPr>
        <w:rPr>
          <w:rFonts w:cs="Arial"/>
        </w:rPr>
      </w:pPr>
    </w:p>
    <w:p w14:paraId="5B1E2213" w14:textId="77777777" w:rsidR="00CD0823" w:rsidRPr="00545310" w:rsidRDefault="00CD0823" w:rsidP="006F5D4C">
      <w:pPr>
        <w:overflowPunct w:val="0"/>
        <w:autoSpaceDE w:val="0"/>
        <w:autoSpaceDN w:val="0"/>
        <w:adjustRightInd w:val="0"/>
        <w:textAlignment w:val="baseline"/>
        <w:rPr>
          <w:rFonts w:cs="Arial"/>
        </w:rPr>
      </w:pPr>
      <w:r w:rsidRPr="00545310">
        <w:rPr>
          <w:rFonts w:cs="Arial"/>
        </w:rPr>
        <w:lastRenderedPageBreak/>
        <w:t xml:space="preserve">Es importante observar que </w:t>
      </w:r>
      <w:r w:rsidR="006F5D4C" w:rsidRPr="00545310">
        <w:rPr>
          <w:rFonts w:cs="Arial"/>
        </w:rPr>
        <w:t>la sentencia SU-242 de 2015</w:t>
      </w:r>
      <w:r w:rsidR="006F5D4C" w:rsidRPr="00545310">
        <w:rPr>
          <w:rStyle w:val="Refdenotaalpie"/>
          <w:rFonts w:cs="Arial"/>
        </w:rPr>
        <w:footnoteReference w:id="30"/>
      </w:r>
      <w:r w:rsidR="006F5D4C" w:rsidRPr="00545310">
        <w:rPr>
          <w:rFonts w:cs="Arial"/>
        </w:rPr>
        <w:t xml:space="preserve"> y el artículo 104 CPACA</w:t>
      </w:r>
      <w:r w:rsidRPr="00545310">
        <w:rPr>
          <w:rFonts w:cs="Arial"/>
        </w:rPr>
        <w:t xml:space="preserve"> permiten establecer que, como regla general</w:t>
      </w:r>
      <w:r w:rsidR="006F5D4C" w:rsidRPr="00545310">
        <w:rPr>
          <w:rFonts w:cs="Arial"/>
        </w:rPr>
        <w:t xml:space="preserve">, el juez </w:t>
      </w:r>
      <w:r w:rsidR="00AC3174" w:rsidRPr="00545310">
        <w:rPr>
          <w:rFonts w:cs="Arial"/>
        </w:rPr>
        <w:t xml:space="preserve">de lo contencioso </w:t>
      </w:r>
      <w:r w:rsidR="006F5D4C" w:rsidRPr="00545310">
        <w:rPr>
          <w:rFonts w:cs="Arial"/>
        </w:rPr>
        <w:t>administrativo conoce de los procesos relativos a contratos, cualquiera que sea su régimen, en los que sea parte una entidad pública</w:t>
      </w:r>
      <w:r w:rsidR="003C70D9" w:rsidRPr="00545310">
        <w:rPr>
          <w:rFonts w:cs="Arial"/>
        </w:rPr>
        <w:t xml:space="preserve">. No </w:t>
      </w:r>
      <w:r w:rsidR="00AC3174" w:rsidRPr="00545310">
        <w:rPr>
          <w:rFonts w:cs="Arial"/>
        </w:rPr>
        <w:t xml:space="preserve">obstante, </w:t>
      </w:r>
      <w:r w:rsidR="00902C90" w:rsidRPr="00545310">
        <w:rPr>
          <w:rFonts w:cs="Arial"/>
        </w:rPr>
        <w:t xml:space="preserve">en relación con las entidades financieras de carácter público, esta jurisdicción tiene la competencia solamente </w:t>
      </w:r>
      <w:r w:rsidR="00750495" w:rsidRPr="00545310">
        <w:rPr>
          <w:rFonts w:cs="Arial"/>
        </w:rPr>
        <w:t xml:space="preserve">respecto de aquellos </w:t>
      </w:r>
      <w:r w:rsidR="003C70D9" w:rsidRPr="00545310">
        <w:rPr>
          <w:rFonts w:cs="Arial"/>
        </w:rPr>
        <w:t xml:space="preserve">litigios </w:t>
      </w:r>
      <w:r w:rsidR="00750495" w:rsidRPr="00545310">
        <w:rPr>
          <w:rFonts w:cs="Arial"/>
        </w:rPr>
        <w:t xml:space="preserve">en </w:t>
      </w:r>
      <w:r w:rsidR="00902C90" w:rsidRPr="00545310">
        <w:rPr>
          <w:rFonts w:cs="Arial"/>
        </w:rPr>
        <w:t xml:space="preserve">los que </w:t>
      </w:r>
      <w:r w:rsidR="009C5AD3" w:rsidRPr="00545310">
        <w:rPr>
          <w:rFonts w:cs="Arial"/>
        </w:rPr>
        <w:t>NO</w:t>
      </w:r>
      <w:r w:rsidR="00902C90" w:rsidRPr="00545310">
        <w:rPr>
          <w:rFonts w:cs="Arial"/>
        </w:rPr>
        <w:t xml:space="preserve"> se </w:t>
      </w:r>
      <w:r w:rsidR="00F93B6D" w:rsidRPr="00545310">
        <w:rPr>
          <w:rFonts w:cs="Arial"/>
        </w:rPr>
        <w:t xml:space="preserve">configure la excepción del </w:t>
      </w:r>
      <w:r w:rsidR="006F5D4C" w:rsidRPr="00545310">
        <w:rPr>
          <w:rFonts w:cs="Arial"/>
        </w:rPr>
        <w:t xml:space="preserve">artículo </w:t>
      </w:r>
      <w:r w:rsidR="006F5D4C" w:rsidRPr="00545310">
        <w:rPr>
          <w:rFonts w:cs="Arial"/>
          <w:i/>
        </w:rPr>
        <w:t xml:space="preserve">105 </w:t>
      </w:r>
      <w:proofErr w:type="spellStart"/>
      <w:r w:rsidR="006F5D4C" w:rsidRPr="00545310">
        <w:rPr>
          <w:rFonts w:cs="Arial"/>
          <w:i/>
        </w:rPr>
        <w:t>ibídem</w:t>
      </w:r>
      <w:proofErr w:type="spellEnd"/>
      <w:r w:rsidRPr="00545310">
        <w:rPr>
          <w:rFonts w:cs="Arial"/>
          <w:i/>
        </w:rPr>
        <w:t xml:space="preserve">, </w:t>
      </w:r>
      <w:r w:rsidRPr="00545310">
        <w:rPr>
          <w:rFonts w:cs="Arial"/>
        </w:rPr>
        <w:t>a cuyo tenor</w:t>
      </w:r>
      <w:r w:rsidR="005E51D7" w:rsidRPr="00545310">
        <w:rPr>
          <w:rFonts w:cs="Arial"/>
        </w:rPr>
        <w:t>:</w:t>
      </w:r>
      <w:r w:rsidR="006F5D4C" w:rsidRPr="00545310">
        <w:rPr>
          <w:rFonts w:cs="Arial"/>
        </w:rPr>
        <w:t xml:space="preserve"> </w:t>
      </w:r>
    </w:p>
    <w:p w14:paraId="2E0E179B" w14:textId="77777777" w:rsidR="00CD0823" w:rsidRPr="00545310" w:rsidRDefault="00750495" w:rsidP="00750495">
      <w:pPr>
        <w:shd w:val="clear" w:color="auto" w:fill="FFFFFF"/>
        <w:spacing w:before="100" w:beforeAutospacing="1" w:after="100" w:afterAutospacing="1" w:line="276" w:lineRule="auto"/>
        <w:ind w:left="567" w:right="567"/>
        <w:rPr>
          <w:rFonts w:cs="Arial"/>
          <w:i/>
        </w:rPr>
      </w:pPr>
      <w:r w:rsidRPr="00545310">
        <w:rPr>
          <w:rFonts w:cs="Arial"/>
          <w:bCs/>
        </w:rPr>
        <w:t>“</w:t>
      </w:r>
      <w:r w:rsidR="00CD0823" w:rsidRPr="00545310">
        <w:rPr>
          <w:rFonts w:cs="Arial"/>
          <w:bCs/>
          <w:i/>
        </w:rPr>
        <w:t>Artículo 105. </w:t>
      </w:r>
      <w:r w:rsidR="00CD0823" w:rsidRPr="00545310">
        <w:rPr>
          <w:rFonts w:cs="Arial"/>
          <w:bCs/>
          <w:i/>
          <w:iCs/>
        </w:rPr>
        <w:t>Excepciones</w:t>
      </w:r>
      <w:r w:rsidR="00CD0823" w:rsidRPr="00545310">
        <w:rPr>
          <w:rFonts w:cs="Arial"/>
          <w:bCs/>
          <w:i/>
        </w:rPr>
        <w:t>.</w:t>
      </w:r>
      <w:r w:rsidR="00CD0823" w:rsidRPr="00545310">
        <w:rPr>
          <w:rFonts w:cs="Arial"/>
          <w:i/>
        </w:rPr>
        <w:t> La Jurisdicción de lo Contencioso Administrativo no conocerá de los siguientes asuntos:</w:t>
      </w:r>
    </w:p>
    <w:p w14:paraId="6DAC73F1" w14:textId="77777777" w:rsidR="00CD0823" w:rsidRPr="00545310" w:rsidRDefault="00D51256" w:rsidP="00750495">
      <w:pPr>
        <w:shd w:val="clear" w:color="auto" w:fill="FFFFFF"/>
        <w:spacing w:before="100" w:beforeAutospacing="1" w:after="100" w:afterAutospacing="1" w:line="276" w:lineRule="auto"/>
        <w:ind w:left="567" w:right="567"/>
        <w:rPr>
          <w:rFonts w:cs="Arial"/>
        </w:rPr>
      </w:pPr>
      <w:r w:rsidRPr="00545310">
        <w:rPr>
          <w:rFonts w:cs="Arial"/>
          <w:i/>
        </w:rPr>
        <w:t>“</w:t>
      </w:r>
      <w:r w:rsidR="00CD0823" w:rsidRPr="00545310">
        <w:rPr>
          <w:rFonts w:cs="Arial"/>
          <w:i/>
        </w:rPr>
        <w:t xml:space="preserve">1. Las controversias relativas a la responsabilidad extracontractual </w:t>
      </w:r>
      <w:r w:rsidR="00CD0823" w:rsidRPr="00545310">
        <w:rPr>
          <w:rFonts w:cs="Arial"/>
          <w:b/>
          <w:i/>
        </w:rPr>
        <w:t>y a los contratos celebrados por entidades públicas que tengan el carácter de instituciones financieras,</w:t>
      </w:r>
      <w:r w:rsidR="00CD0823" w:rsidRPr="00545310">
        <w:rPr>
          <w:rFonts w:cs="Arial"/>
          <w:i/>
        </w:rPr>
        <w:t xml:space="preserve"> aseguradoras, intermediarios de seguros o intermediarios de valores vigilados por la Superintendencia Financiera, </w:t>
      </w:r>
      <w:r w:rsidR="00CD0823" w:rsidRPr="00545310">
        <w:rPr>
          <w:rFonts w:cs="Arial"/>
          <w:b/>
          <w:i/>
        </w:rPr>
        <w:t>cuando correspondan al giro ordinario de los negocios de dichas entidades,</w:t>
      </w:r>
      <w:r w:rsidR="00CD0823" w:rsidRPr="00545310">
        <w:rPr>
          <w:rFonts w:cs="Arial"/>
          <w:i/>
        </w:rPr>
        <w:t xml:space="preserve"> incluyendo los procesos ejecutivos</w:t>
      </w:r>
      <w:r w:rsidR="00AB7110" w:rsidRPr="00545310">
        <w:rPr>
          <w:rFonts w:cs="Arial"/>
          <w:i/>
        </w:rPr>
        <w:t>”</w:t>
      </w:r>
      <w:r w:rsidR="00BC629B" w:rsidRPr="00545310">
        <w:rPr>
          <w:rFonts w:cs="Arial"/>
          <w:i/>
        </w:rPr>
        <w:t xml:space="preserve"> </w:t>
      </w:r>
      <w:r w:rsidR="00BC629B" w:rsidRPr="00545310">
        <w:rPr>
          <w:rFonts w:cs="Arial"/>
        </w:rPr>
        <w:t>(la negrilla no es del texto)</w:t>
      </w:r>
      <w:r w:rsidR="00CD0823" w:rsidRPr="00545310">
        <w:rPr>
          <w:rFonts w:cs="Arial"/>
        </w:rPr>
        <w:t>.</w:t>
      </w:r>
    </w:p>
    <w:p w14:paraId="0BE8CE34" w14:textId="77777777" w:rsidR="006F5D4C" w:rsidRPr="00545310" w:rsidRDefault="006F5D4C" w:rsidP="006F5D4C">
      <w:pPr>
        <w:overflowPunct w:val="0"/>
        <w:autoSpaceDE w:val="0"/>
        <w:autoSpaceDN w:val="0"/>
        <w:adjustRightInd w:val="0"/>
        <w:textAlignment w:val="baseline"/>
        <w:rPr>
          <w:rFonts w:cs="Arial"/>
        </w:rPr>
      </w:pPr>
    </w:p>
    <w:p w14:paraId="7D3B58DC" w14:textId="77777777" w:rsidR="003C70D9" w:rsidRPr="00545310" w:rsidRDefault="003C70D9" w:rsidP="006F5D4C">
      <w:pPr>
        <w:overflowPunct w:val="0"/>
        <w:autoSpaceDE w:val="0"/>
        <w:autoSpaceDN w:val="0"/>
        <w:adjustRightInd w:val="0"/>
        <w:textAlignment w:val="baseline"/>
        <w:rPr>
          <w:rFonts w:cs="Arial"/>
        </w:rPr>
      </w:pPr>
      <w:r w:rsidRPr="00545310">
        <w:rPr>
          <w:rFonts w:cs="Arial"/>
        </w:rPr>
        <w:t>L</w:t>
      </w:r>
      <w:r w:rsidR="00CB67B4" w:rsidRPr="00545310">
        <w:rPr>
          <w:rFonts w:cs="Arial"/>
        </w:rPr>
        <w:t xml:space="preserve">a Sala </w:t>
      </w:r>
      <w:r w:rsidR="00F923B7" w:rsidRPr="00545310">
        <w:rPr>
          <w:rFonts w:cs="Arial"/>
        </w:rPr>
        <w:t xml:space="preserve">advierte que </w:t>
      </w:r>
      <w:r w:rsidR="005E51D7" w:rsidRPr="00545310">
        <w:rPr>
          <w:rFonts w:cs="Arial"/>
        </w:rPr>
        <w:t xml:space="preserve">la demanda versó sobre </w:t>
      </w:r>
      <w:r w:rsidR="006211F5" w:rsidRPr="00545310">
        <w:rPr>
          <w:rFonts w:cs="Arial"/>
        </w:rPr>
        <w:t xml:space="preserve">la nulidad de </w:t>
      </w:r>
      <w:r w:rsidR="00231724" w:rsidRPr="00545310">
        <w:rPr>
          <w:rFonts w:cs="Arial"/>
        </w:rPr>
        <w:t xml:space="preserve">los </w:t>
      </w:r>
      <w:r w:rsidR="00CB67B4" w:rsidRPr="00545310">
        <w:rPr>
          <w:rFonts w:cs="Arial"/>
        </w:rPr>
        <w:t>acto</w:t>
      </w:r>
      <w:r w:rsidR="00231724" w:rsidRPr="00545310">
        <w:rPr>
          <w:rFonts w:cs="Arial"/>
        </w:rPr>
        <w:t>s</w:t>
      </w:r>
      <w:r w:rsidR="00CB67B4" w:rsidRPr="00545310">
        <w:rPr>
          <w:rFonts w:cs="Arial"/>
        </w:rPr>
        <w:t xml:space="preserve"> administrativo</w:t>
      </w:r>
      <w:r w:rsidR="00F923B7" w:rsidRPr="00545310">
        <w:rPr>
          <w:rFonts w:cs="Arial"/>
        </w:rPr>
        <w:t>s</w:t>
      </w:r>
      <w:r w:rsidR="00CB67B4" w:rsidRPr="00545310">
        <w:rPr>
          <w:rFonts w:cs="Arial"/>
        </w:rPr>
        <w:t xml:space="preserve"> mediante </w:t>
      </w:r>
      <w:r w:rsidR="00231724" w:rsidRPr="00545310">
        <w:rPr>
          <w:rFonts w:cs="Arial"/>
        </w:rPr>
        <w:t xml:space="preserve">los cuales </w:t>
      </w:r>
      <w:r w:rsidR="003D0C85" w:rsidRPr="00545310">
        <w:rPr>
          <w:rFonts w:cs="Arial"/>
        </w:rPr>
        <w:t xml:space="preserve">se hizo efectiva la garantía de cumplimiento </w:t>
      </w:r>
      <w:r w:rsidR="00D42E25" w:rsidRPr="00545310">
        <w:rPr>
          <w:rFonts w:cs="Arial"/>
        </w:rPr>
        <w:t xml:space="preserve">para entidades estatales, </w:t>
      </w:r>
      <w:r w:rsidR="003D0C85" w:rsidRPr="00545310">
        <w:rPr>
          <w:rFonts w:cs="Arial"/>
        </w:rPr>
        <w:t>como consecuencia de la declara</w:t>
      </w:r>
      <w:r w:rsidR="00283D36" w:rsidRPr="00545310">
        <w:rPr>
          <w:rFonts w:cs="Arial"/>
        </w:rPr>
        <w:t>toria</w:t>
      </w:r>
      <w:r w:rsidR="003D0C85" w:rsidRPr="00545310">
        <w:rPr>
          <w:rFonts w:cs="Arial"/>
        </w:rPr>
        <w:t xml:space="preserve"> de caducidad de un contrato estatal</w:t>
      </w:r>
      <w:r w:rsidR="00283D36" w:rsidRPr="00545310">
        <w:rPr>
          <w:rFonts w:cs="Arial"/>
        </w:rPr>
        <w:t xml:space="preserve"> de obra</w:t>
      </w:r>
      <w:r w:rsidR="003D0C85" w:rsidRPr="00545310">
        <w:rPr>
          <w:rFonts w:cs="Arial"/>
        </w:rPr>
        <w:t xml:space="preserve">, </w:t>
      </w:r>
      <w:r w:rsidR="000F6E13" w:rsidRPr="00545310">
        <w:rPr>
          <w:rFonts w:cs="Arial"/>
        </w:rPr>
        <w:t>efectuada</w:t>
      </w:r>
      <w:r w:rsidR="00283D36" w:rsidRPr="00545310">
        <w:rPr>
          <w:rFonts w:cs="Arial"/>
        </w:rPr>
        <w:t xml:space="preserve"> </w:t>
      </w:r>
      <w:r w:rsidR="006211F5" w:rsidRPr="00545310">
        <w:rPr>
          <w:rFonts w:cs="Arial"/>
        </w:rPr>
        <w:t xml:space="preserve">en la época </w:t>
      </w:r>
      <w:r w:rsidR="00AF2C01" w:rsidRPr="00545310">
        <w:rPr>
          <w:rFonts w:cs="Arial"/>
        </w:rPr>
        <w:t>e</w:t>
      </w:r>
      <w:r w:rsidR="006211F5" w:rsidRPr="00545310">
        <w:rPr>
          <w:rFonts w:cs="Arial"/>
        </w:rPr>
        <w:t xml:space="preserve">n que </w:t>
      </w:r>
      <w:r w:rsidR="00D46EEB" w:rsidRPr="00545310">
        <w:rPr>
          <w:rFonts w:cs="Arial"/>
        </w:rPr>
        <w:t xml:space="preserve">el contrato </w:t>
      </w:r>
      <w:r w:rsidR="00D42E25" w:rsidRPr="00545310">
        <w:rPr>
          <w:rFonts w:cs="Arial"/>
        </w:rPr>
        <w:t xml:space="preserve">celebrado </w:t>
      </w:r>
      <w:r w:rsidR="003D0C85" w:rsidRPr="00545310">
        <w:rPr>
          <w:rFonts w:cs="Arial"/>
        </w:rPr>
        <w:t xml:space="preserve">se rigió por la </w:t>
      </w:r>
      <w:r w:rsidR="00D42E25" w:rsidRPr="00545310">
        <w:rPr>
          <w:rFonts w:cs="Arial"/>
        </w:rPr>
        <w:t>L</w:t>
      </w:r>
      <w:r w:rsidR="003D0C85" w:rsidRPr="00545310">
        <w:rPr>
          <w:rFonts w:cs="Arial"/>
        </w:rPr>
        <w:t xml:space="preserve">ey 80 de 1993 y la </w:t>
      </w:r>
      <w:r w:rsidR="00D42E25" w:rsidRPr="00545310">
        <w:rPr>
          <w:rFonts w:cs="Arial"/>
        </w:rPr>
        <w:t>L</w:t>
      </w:r>
      <w:r w:rsidR="003D0C85" w:rsidRPr="00545310">
        <w:rPr>
          <w:rFonts w:cs="Arial"/>
        </w:rPr>
        <w:t>ey 1150 de 2007</w:t>
      </w:r>
      <w:r w:rsidR="00D42E25" w:rsidRPr="00545310">
        <w:rPr>
          <w:rFonts w:cs="Arial"/>
        </w:rPr>
        <w:t>, al amparo del artículo 26 de esta última norma</w:t>
      </w:r>
      <w:r w:rsidR="00AF2C01" w:rsidRPr="00545310">
        <w:rPr>
          <w:rFonts w:cs="Arial"/>
        </w:rPr>
        <w:t>, expedido para el caso especial de FONADE</w:t>
      </w:r>
      <w:r w:rsidR="00911576" w:rsidRPr="00545310">
        <w:rPr>
          <w:rStyle w:val="Refdenotaalpie"/>
          <w:rFonts w:cs="Arial"/>
        </w:rPr>
        <w:footnoteReference w:id="31"/>
      </w:r>
      <w:r w:rsidRPr="00545310">
        <w:rPr>
          <w:rFonts w:cs="Arial"/>
        </w:rPr>
        <w:t>.</w:t>
      </w:r>
    </w:p>
    <w:p w14:paraId="68CCE40F" w14:textId="77777777" w:rsidR="003C70D9" w:rsidRPr="00545310" w:rsidRDefault="003C70D9" w:rsidP="006F5D4C">
      <w:pPr>
        <w:overflowPunct w:val="0"/>
        <w:autoSpaceDE w:val="0"/>
        <w:autoSpaceDN w:val="0"/>
        <w:adjustRightInd w:val="0"/>
        <w:textAlignment w:val="baseline"/>
        <w:rPr>
          <w:rFonts w:cs="Arial"/>
        </w:rPr>
      </w:pPr>
    </w:p>
    <w:p w14:paraId="17560245" w14:textId="77777777" w:rsidR="00C1195A" w:rsidRPr="00545310" w:rsidRDefault="003C70D9" w:rsidP="006F5D4C">
      <w:pPr>
        <w:overflowPunct w:val="0"/>
        <w:autoSpaceDE w:val="0"/>
        <w:autoSpaceDN w:val="0"/>
        <w:adjustRightInd w:val="0"/>
        <w:textAlignment w:val="baseline"/>
        <w:rPr>
          <w:rFonts w:cs="Arial"/>
        </w:rPr>
      </w:pPr>
      <w:r w:rsidRPr="00545310">
        <w:rPr>
          <w:rFonts w:cs="Arial"/>
        </w:rPr>
        <w:t xml:space="preserve">Además, aunque los actos administrativos acusados se </w:t>
      </w:r>
      <w:r w:rsidR="001563D4" w:rsidRPr="00545310">
        <w:rPr>
          <w:rFonts w:cs="Arial"/>
        </w:rPr>
        <w:t xml:space="preserve">profirieron </w:t>
      </w:r>
      <w:r w:rsidR="00E87025" w:rsidRPr="00545310">
        <w:rPr>
          <w:rFonts w:cs="Arial"/>
        </w:rPr>
        <w:t xml:space="preserve">en relación con </w:t>
      </w:r>
      <w:r w:rsidR="001563D4" w:rsidRPr="00545310">
        <w:rPr>
          <w:rFonts w:cs="Arial"/>
        </w:rPr>
        <w:t xml:space="preserve">un contrato </w:t>
      </w:r>
      <w:r w:rsidR="004973CF" w:rsidRPr="00545310">
        <w:rPr>
          <w:rFonts w:cs="Arial"/>
        </w:rPr>
        <w:t xml:space="preserve">que </w:t>
      </w:r>
      <w:r w:rsidR="007E3774" w:rsidRPr="00545310">
        <w:rPr>
          <w:rFonts w:cs="Arial"/>
        </w:rPr>
        <w:t xml:space="preserve">podría </w:t>
      </w:r>
      <w:r w:rsidR="001C174D" w:rsidRPr="00545310">
        <w:rPr>
          <w:rFonts w:cs="Arial"/>
        </w:rPr>
        <w:t xml:space="preserve">entenderse </w:t>
      </w:r>
      <w:r w:rsidR="001563D4" w:rsidRPr="00545310">
        <w:rPr>
          <w:rFonts w:cs="Arial"/>
        </w:rPr>
        <w:t>dentro de las actividades propias de FONADE como entidad financiera pública</w:t>
      </w:r>
      <w:r w:rsidR="00B675F2" w:rsidRPr="00545310">
        <w:rPr>
          <w:rStyle w:val="Refdenotaalpie"/>
          <w:rFonts w:cs="Arial"/>
        </w:rPr>
        <w:footnoteReference w:id="32"/>
      </w:r>
      <w:r w:rsidR="001563D4" w:rsidRPr="00545310">
        <w:rPr>
          <w:rFonts w:cs="Arial"/>
        </w:rPr>
        <w:t xml:space="preserve">, debe </w:t>
      </w:r>
      <w:r w:rsidR="00911576" w:rsidRPr="00545310">
        <w:rPr>
          <w:rFonts w:cs="Arial"/>
        </w:rPr>
        <w:t xml:space="preserve">observarse </w:t>
      </w:r>
      <w:r w:rsidR="001563D4" w:rsidRPr="00545310">
        <w:rPr>
          <w:rFonts w:cs="Arial"/>
        </w:rPr>
        <w:t xml:space="preserve">que la controversia </w:t>
      </w:r>
      <w:r w:rsidR="00E87025" w:rsidRPr="00545310">
        <w:rPr>
          <w:rFonts w:cs="Arial"/>
        </w:rPr>
        <w:t xml:space="preserve">que originó </w:t>
      </w:r>
      <w:r w:rsidR="00E87025" w:rsidRPr="00545310">
        <w:rPr>
          <w:rFonts w:cs="Arial"/>
        </w:rPr>
        <w:lastRenderedPageBreak/>
        <w:t xml:space="preserve">la demanda no se refiere a </w:t>
      </w:r>
      <w:r w:rsidR="001563D4" w:rsidRPr="00545310">
        <w:rPr>
          <w:rFonts w:cs="Arial"/>
        </w:rPr>
        <w:t xml:space="preserve">la ejecución del citado contrato, sino que se sitúa en el campo de la actuación dentro del </w:t>
      </w:r>
      <w:r w:rsidR="00FA4231" w:rsidRPr="00545310">
        <w:rPr>
          <w:rFonts w:cs="Arial"/>
        </w:rPr>
        <w:t>proce</w:t>
      </w:r>
      <w:r w:rsidR="001563D4" w:rsidRPr="00545310">
        <w:rPr>
          <w:rFonts w:cs="Arial"/>
        </w:rPr>
        <w:t>dim</w:t>
      </w:r>
      <w:r w:rsidR="00EE492D" w:rsidRPr="00545310">
        <w:rPr>
          <w:rFonts w:cs="Arial"/>
        </w:rPr>
        <w:t xml:space="preserve">iento administrativo sancionador, </w:t>
      </w:r>
      <w:r w:rsidR="00FA4231" w:rsidRPr="00545310">
        <w:rPr>
          <w:rFonts w:cs="Arial"/>
        </w:rPr>
        <w:t>p</w:t>
      </w:r>
      <w:r w:rsidR="00C1195A" w:rsidRPr="00545310">
        <w:rPr>
          <w:rFonts w:cs="Arial"/>
        </w:rPr>
        <w:t xml:space="preserve">or razón de la </w:t>
      </w:r>
      <w:r w:rsidR="00FA4231" w:rsidRPr="00545310">
        <w:rPr>
          <w:rFonts w:cs="Arial"/>
        </w:rPr>
        <w:t xml:space="preserve">declaratoria de caducidad </w:t>
      </w:r>
      <w:r w:rsidR="00C1195A" w:rsidRPr="00545310">
        <w:rPr>
          <w:rFonts w:cs="Arial"/>
        </w:rPr>
        <w:t xml:space="preserve">del contrato y la expedición del acto administrativo mediante el cual se impuso la efectividad de la póliza de seguro correspondiente. </w:t>
      </w:r>
    </w:p>
    <w:p w14:paraId="59A1DD58" w14:textId="77777777" w:rsidR="009C5AD3" w:rsidRPr="00545310" w:rsidRDefault="009C5AD3" w:rsidP="006F5D4C">
      <w:pPr>
        <w:overflowPunct w:val="0"/>
        <w:autoSpaceDE w:val="0"/>
        <w:autoSpaceDN w:val="0"/>
        <w:adjustRightInd w:val="0"/>
        <w:textAlignment w:val="baseline"/>
        <w:rPr>
          <w:rFonts w:cs="Arial"/>
        </w:rPr>
      </w:pPr>
    </w:p>
    <w:p w14:paraId="31B54F5D" w14:textId="77777777" w:rsidR="001611C4" w:rsidRPr="00545310" w:rsidRDefault="009C5AD3" w:rsidP="006F5D4C">
      <w:pPr>
        <w:overflowPunct w:val="0"/>
        <w:autoSpaceDE w:val="0"/>
        <w:autoSpaceDN w:val="0"/>
        <w:adjustRightInd w:val="0"/>
        <w:textAlignment w:val="baseline"/>
        <w:rPr>
          <w:rFonts w:cs="Arial"/>
        </w:rPr>
      </w:pPr>
      <w:r w:rsidRPr="00545310">
        <w:rPr>
          <w:rFonts w:cs="Arial"/>
        </w:rPr>
        <w:t>Por ello</w:t>
      </w:r>
      <w:r w:rsidR="001611C4" w:rsidRPr="00545310">
        <w:rPr>
          <w:rFonts w:cs="Arial"/>
        </w:rPr>
        <w:t>,</w:t>
      </w:r>
      <w:r w:rsidRPr="00545310">
        <w:rPr>
          <w:rFonts w:cs="Arial"/>
        </w:rPr>
        <w:t xml:space="preserve"> se </w:t>
      </w:r>
      <w:r w:rsidR="004973CF" w:rsidRPr="00545310">
        <w:rPr>
          <w:rFonts w:cs="Arial"/>
        </w:rPr>
        <w:t>advierte</w:t>
      </w:r>
      <w:r w:rsidR="005B2B36" w:rsidRPr="00545310">
        <w:rPr>
          <w:rFonts w:cs="Arial"/>
        </w:rPr>
        <w:t xml:space="preserve"> </w:t>
      </w:r>
      <w:r w:rsidR="00D42E25" w:rsidRPr="00545310">
        <w:rPr>
          <w:rFonts w:cs="Arial"/>
        </w:rPr>
        <w:t xml:space="preserve">que </w:t>
      </w:r>
      <w:r w:rsidRPr="00545310">
        <w:rPr>
          <w:rFonts w:cs="Arial"/>
        </w:rPr>
        <w:t xml:space="preserve">aunque el contrato de obra </w:t>
      </w:r>
      <w:r w:rsidR="001820E8" w:rsidRPr="00545310">
        <w:rPr>
          <w:rFonts w:cs="Arial"/>
        </w:rPr>
        <w:t xml:space="preserve">afianzado por la compañía aseguradora ahora demandante </w:t>
      </w:r>
      <w:r w:rsidRPr="00545310">
        <w:rPr>
          <w:rFonts w:cs="Arial"/>
        </w:rPr>
        <w:t xml:space="preserve">se </w:t>
      </w:r>
      <w:r w:rsidR="001611C4" w:rsidRPr="00545310">
        <w:rPr>
          <w:rFonts w:cs="Arial"/>
        </w:rPr>
        <w:t>puede ent</w:t>
      </w:r>
      <w:r w:rsidRPr="00545310">
        <w:rPr>
          <w:rFonts w:cs="Arial"/>
        </w:rPr>
        <w:t>en</w:t>
      </w:r>
      <w:r w:rsidR="001611C4" w:rsidRPr="00545310">
        <w:rPr>
          <w:rFonts w:cs="Arial"/>
        </w:rPr>
        <w:t xml:space="preserve">der </w:t>
      </w:r>
      <w:r w:rsidR="001C174D" w:rsidRPr="00545310">
        <w:rPr>
          <w:rFonts w:cs="Arial"/>
        </w:rPr>
        <w:t xml:space="preserve">incorporado </w:t>
      </w:r>
      <w:r w:rsidRPr="00545310">
        <w:rPr>
          <w:rFonts w:cs="Arial"/>
        </w:rPr>
        <w:t xml:space="preserve">dentro del </w:t>
      </w:r>
      <w:r w:rsidR="009C4F39" w:rsidRPr="00545310">
        <w:rPr>
          <w:rFonts w:cs="Arial"/>
        </w:rPr>
        <w:t xml:space="preserve">objeto </w:t>
      </w:r>
      <w:r w:rsidR="00D42E25" w:rsidRPr="00545310">
        <w:rPr>
          <w:rFonts w:cs="Arial"/>
        </w:rPr>
        <w:t>ordinario de</w:t>
      </w:r>
      <w:r w:rsidR="00853EF4" w:rsidRPr="00545310">
        <w:rPr>
          <w:rFonts w:cs="Arial"/>
        </w:rPr>
        <w:t xml:space="preserve"> FONADE, </w:t>
      </w:r>
      <w:r w:rsidR="00455F15" w:rsidRPr="00545310">
        <w:rPr>
          <w:rFonts w:cs="Arial"/>
        </w:rPr>
        <w:t xml:space="preserve">el </w:t>
      </w:r>
      <w:r w:rsidR="006F14B3" w:rsidRPr="00545310">
        <w:rPr>
          <w:rFonts w:cs="Arial"/>
        </w:rPr>
        <w:t xml:space="preserve">presente </w:t>
      </w:r>
      <w:r w:rsidR="009C4F39" w:rsidRPr="00545310">
        <w:rPr>
          <w:rFonts w:cs="Arial"/>
        </w:rPr>
        <w:t xml:space="preserve">proceso </w:t>
      </w:r>
      <w:r w:rsidR="009B2BEA" w:rsidRPr="00545310">
        <w:rPr>
          <w:rFonts w:cs="Arial"/>
        </w:rPr>
        <w:t>no debe ser remitido a la jurisdicción ordinaria</w:t>
      </w:r>
      <w:r w:rsidR="009C4F39" w:rsidRPr="00545310">
        <w:rPr>
          <w:rFonts w:cs="Arial"/>
        </w:rPr>
        <w:t xml:space="preserve"> civil</w:t>
      </w:r>
      <w:r w:rsidR="009B2BEA" w:rsidRPr="00545310">
        <w:rPr>
          <w:rFonts w:cs="Arial"/>
        </w:rPr>
        <w:t xml:space="preserve">, toda vez que lo </w:t>
      </w:r>
      <w:r w:rsidR="00455F15" w:rsidRPr="00545310">
        <w:rPr>
          <w:rFonts w:cs="Arial"/>
        </w:rPr>
        <w:t xml:space="preserve">que aquí se controvierte </w:t>
      </w:r>
      <w:r w:rsidR="005B2B36" w:rsidRPr="00545310">
        <w:rPr>
          <w:rFonts w:cs="Arial"/>
        </w:rPr>
        <w:t xml:space="preserve">no se encuentra dentro </w:t>
      </w:r>
      <w:r w:rsidR="001611C4" w:rsidRPr="00545310">
        <w:rPr>
          <w:rFonts w:cs="Arial"/>
        </w:rPr>
        <w:t xml:space="preserve">su </w:t>
      </w:r>
      <w:r w:rsidR="005B2B36" w:rsidRPr="00545310">
        <w:rPr>
          <w:rFonts w:cs="Arial"/>
        </w:rPr>
        <w:t>activ</w:t>
      </w:r>
      <w:r w:rsidR="00DA4400" w:rsidRPr="00545310">
        <w:rPr>
          <w:rFonts w:cs="Arial"/>
        </w:rPr>
        <w:t>i</w:t>
      </w:r>
      <w:r w:rsidR="005B2B36" w:rsidRPr="00545310">
        <w:rPr>
          <w:rFonts w:cs="Arial"/>
        </w:rPr>
        <w:t>da</w:t>
      </w:r>
      <w:r w:rsidR="00DA4400" w:rsidRPr="00545310">
        <w:rPr>
          <w:rFonts w:cs="Arial"/>
        </w:rPr>
        <w:t>d</w:t>
      </w:r>
      <w:r w:rsidR="005B2B36" w:rsidRPr="00545310">
        <w:rPr>
          <w:rFonts w:cs="Arial"/>
        </w:rPr>
        <w:t xml:space="preserve"> ordinaria </w:t>
      </w:r>
      <w:r w:rsidR="001611C4" w:rsidRPr="00545310">
        <w:rPr>
          <w:rFonts w:cs="Arial"/>
        </w:rPr>
        <w:t xml:space="preserve">como </w:t>
      </w:r>
      <w:r w:rsidR="005B2B36" w:rsidRPr="00545310">
        <w:rPr>
          <w:rFonts w:cs="Arial"/>
        </w:rPr>
        <w:t>entidad</w:t>
      </w:r>
      <w:r w:rsidR="00DA4400" w:rsidRPr="00545310">
        <w:rPr>
          <w:rFonts w:cs="Arial"/>
        </w:rPr>
        <w:t xml:space="preserve"> </w:t>
      </w:r>
      <w:r w:rsidR="009B2BEA" w:rsidRPr="00545310">
        <w:rPr>
          <w:rFonts w:cs="Arial"/>
        </w:rPr>
        <w:t>financiera</w:t>
      </w:r>
      <w:r w:rsidR="001611C4" w:rsidRPr="00545310">
        <w:rPr>
          <w:rFonts w:cs="Arial"/>
        </w:rPr>
        <w:t>.</w:t>
      </w:r>
    </w:p>
    <w:p w14:paraId="13B266D3" w14:textId="77777777" w:rsidR="00A64C8E" w:rsidRPr="00545310" w:rsidRDefault="001611C4" w:rsidP="006F5D4C">
      <w:pPr>
        <w:overflowPunct w:val="0"/>
        <w:autoSpaceDE w:val="0"/>
        <w:autoSpaceDN w:val="0"/>
        <w:adjustRightInd w:val="0"/>
        <w:textAlignment w:val="baseline"/>
        <w:rPr>
          <w:rFonts w:cs="Arial"/>
        </w:rPr>
      </w:pPr>
      <w:r w:rsidRPr="00545310">
        <w:rPr>
          <w:rFonts w:cs="Arial"/>
        </w:rPr>
        <w:t xml:space="preserve"> </w:t>
      </w:r>
    </w:p>
    <w:p w14:paraId="3E1F5D6E" w14:textId="77777777" w:rsidR="004D1303" w:rsidRPr="00545310" w:rsidRDefault="00A64C8E" w:rsidP="006F5D4C">
      <w:pPr>
        <w:overflowPunct w:val="0"/>
        <w:autoSpaceDE w:val="0"/>
        <w:autoSpaceDN w:val="0"/>
        <w:adjustRightInd w:val="0"/>
        <w:textAlignment w:val="baseline"/>
        <w:rPr>
          <w:rFonts w:cs="Arial"/>
        </w:rPr>
      </w:pPr>
      <w:r w:rsidRPr="00545310">
        <w:rPr>
          <w:rFonts w:cs="Arial"/>
        </w:rPr>
        <w:t>Se agrega</w:t>
      </w:r>
      <w:r w:rsidR="001611C4" w:rsidRPr="00545310">
        <w:rPr>
          <w:rFonts w:cs="Arial"/>
        </w:rPr>
        <w:t>,</w:t>
      </w:r>
      <w:r w:rsidRPr="00545310">
        <w:rPr>
          <w:rFonts w:cs="Arial"/>
        </w:rPr>
        <w:t xml:space="preserve"> que </w:t>
      </w:r>
      <w:r w:rsidR="00902B08" w:rsidRPr="00545310">
        <w:rPr>
          <w:rFonts w:cs="Arial"/>
        </w:rPr>
        <w:t xml:space="preserve">para </w:t>
      </w:r>
      <w:r w:rsidR="00671F3D" w:rsidRPr="00545310">
        <w:rPr>
          <w:rFonts w:cs="Arial"/>
        </w:rPr>
        <w:t xml:space="preserve">la </w:t>
      </w:r>
      <w:r w:rsidR="00902B08" w:rsidRPr="00545310">
        <w:rPr>
          <w:rFonts w:cs="Arial"/>
        </w:rPr>
        <w:t xml:space="preserve">época </w:t>
      </w:r>
      <w:r w:rsidR="00671F3D" w:rsidRPr="00545310">
        <w:rPr>
          <w:rFonts w:cs="Arial"/>
        </w:rPr>
        <w:t>en que se expidi</w:t>
      </w:r>
      <w:r w:rsidR="005C0358" w:rsidRPr="00545310">
        <w:rPr>
          <w:rFonts w:cs="Arial"/>
        </w:rPr>
        <w:t xml:space="preserve">ó la resolución </w:t>
      </w:r>
      <w:r w:rsidR="000E0524" w:rsidRPr="00545310">
        <w:rPr>
          <w:rFonts w:cs="Arial"/>
        </w:rPr>
        <w:t>mediante la cual se declaró la caducidad del contrato y la exigibilidad de la póliza</w:t>
      </w:r>
      <w:r w:rsidR="00DA4400" w:rsidRPr="00545310">
        <w:rPr>
          <w:rFonts w:cs="Arial"/>
        </w:rPr>
        <w:t xml:space="preserve"> de seguro, </w:t>
      </w:r>
      <w:r w:rsidR="00902B08" w:rsidRPr="00545310">
        <w:rPr>
          <w:rFonts w:cs="Arial"/>
        </w:rPr>
        <w:t>l</w:t>
      </w:r>
      <w:r w:rsidR="00DA4400" w:rsidRPr="00545310">
        <w:rPr>
          <w:rFonts w:cs="Arial"/>
        </w:rPr>
        <w:t>a</w:t>
      </w:r>
      <w:r w:rsidR="00902B08" w:rsidRPr="00545310">
        <w:rPr>
          <w:rFonts w:cs="Arial"/>
        </w:rPr>
        <w:t xml:space="preserve">s </w:t>
      </w:r>
      <w:r w:rsidR="000E0524" w:rsidRPr="00545310">
        <w:rPr>
          <w:rFonts w:cs="Arial"/>
        </w:rPr>
        <w:t xml:space="preserve">actuaciones de </w:t>
      </w:r>
      <w:r w:rsidR="00902B08" w:rsidRPr="00545310">
        <w:rPr>
          <w:rFonts w:cs="Arial"/>
        </w:rPr>
        <w:t>FONADE</w:t>
      </w:r>
      <w:r w:rsidR="00DA4400" w:rsidRPr="00545310">
        <w:rPr>
          <w:rFonts w:cs="Arial"/>
        </w:rPr>
        <w:t>,</w:t>
      </w:r>
      <w:r w:rsidRPr="00545310">
        <w:rPr>
          <w:rFonts w:cs="Arial"/>
        </w:rPr>
        <w:t xml:space="preserve"> que ahora son materia de juzgamiento</w:t>
      </w:r>
      <w:r w:rsidR="00902B08" w:rsidRPr="00545310">
        <w:rPr>
          <w:rFonts w:cs="Arial"/>
        </w:rPr>
        <w:t xml:space="preserve">, </w:t>
      </w:r>
      <w:r w:rsidR="00AF2C01" w:rsidRPr="00545310">
        <w:rPr>
          <w:rFonts w:cs="Arial"/>
        </w:rPr>
        <w:t xml:space="preserve">se encontraban </w:t>
      </w:r>
      <w:r w:rsidR="00455F15" w:rsidRPr="00545310">
        <w:rPr>
          <w:rFonts w:cs="Arial"/>
        </w:rPr>
        <w:t>bajo las reglas del estatuto de contratación estatal,</w:t>
      </w:r>
      <w:r w:rsidR="001820E8" w:rsidRPr="00545310">
        <w:rPr>
          <w:rFonts w:cs="Arial"/>
        </w:rPr>
        <w:t xml:space="preserve"> </w:t>
      </w:r>
      <w:r w:rsidR="00455F15" w:rsidRPr="00545310">
        <w:rPr>
          <w:rFonts w:cs="Arial"/>
        </w:rPr>
        <w:t>por virtud de la disposición especial del artículo 26 de la Ley 1150 de 2007</w:t>
      </w:r>
      <w:r w:rsidR="00A67F9A" w:rsidRPr="00545310">
        <w:rPr>
          <w:rStyle w:val="Refdenotaalpie"/>
          <w:rFonts w:cs="Arial"/>
        </w:rPr>
        <w:footnoteReference w:id="33"/>
      </w:r>
      <w:r w:rsidR="004D1303" w:rsidRPr="00545310">
        <w:rPr>
          <w:rFonts w:cs="Arial"/>
        </w:rPr>
        <w:t>.</w:t>
      </w:r>
      <w:r w:rsidR="00D46EEB" w:rsidRPr="00545310">
        <w:rPr>
          <w:rFonts w:cs="Arial"/>
        </w:rPr>
        <w:t xml:space="preserve"> </w:t>
      </w:r>
    </w:p>
    <w:p w14:paraId="54502851" w14:textId="77777777" w:rsidR="004D1303" w:rsidRPr="00545310" w:rsidRDefault="004D1303" w:rsidP="006F5D4C">
      <w:pPr>
        <w:overflowPunct w:val="0"/>
        <w:autoSpaceDE w:val="0"/>
        <w:autoSpaceDN w:val="0"/>
        <w:adjustRightInd w:val="0"/>
        <w:textAlignment w:val="baseline"/>
        <w:rPr>
          <w:rFonts w:cs="Arial"/>
        </w:rPr>
      </w:pPr>
    </w:p>
    <w:p w14:paraId="22277FB9" w14:textId="77777777" w:rsidR="008A1B2E" w:rsidRPr="00545310" w:rsidRDefault="00BA2792" w:rsidP="00E549E0">
      <w:pPr>
        <w:overflowPunct w:val="0"/>
        <w:autoSpaceDE w:val="0"/>
        <w:autoSpaceDN w:val="0"/>
        <w:adjustRightInd w:val="0"/>
        <w:textAlignment w:val="baseline"/>
        <w:rPr>
          <w:rFonts w:cs="Arial"/>
        </w:rPr>
      </w:pPr>
      <w:r w:rsidRPr="00545310">
        <w:rPr>
          <w:rFonts w:cs="Arial"/>
        </w:rPr>
        <w:t>Adicionalmente, en este caso, se cuestiona la legalidad de unos actos administrativos expedidos por una entidad estatal</w:t>
      </w:r>
      <w:r w:rsidR="007D53A9" w:rsidRPr="00545310">
        <w:rPr>
          <w:rFonts w:cs="Arial"/>
        </w:rPr>
        <w:t>;</w:t>
      </w:r>
      <w:r w:rsidR="003563EE" w:rsidRPr="00545310">
        <w:rPr>
          <w:rFonts w:cs="Arial"/>
        </w:rPr>
        <w:t xml:space="preserve"> e</w:t>
      </w:r>
      <w:r w:rsidRPr="00545310">
        <w:rPr>
          <w:rFonts w:cs="Arial"/>
        </w:rPr>
        <w:t xml:space="preserve">n vista de esta naturaleza </w:t>
      </w:r>
      <w:r w:rsidR="003563EE" w:rsidRPr="00545310">
        <w:rPr>
          <w:rFonts w:cs="Arial"/>
        </w:rPr>
        <w:t>de los actos</w:t>
      </w:r>
      <w:r w:rsidR="007D53A9" w:rsidRPr="00545310">
        <w:rPr>
          <w:rFonts w:cs="Arial"/>
        </w:rPr>
        <w:t xml:space="preserve"> acusados</w:t>
      </w:r>
      <w:r w:rsidR="00560914" w:rsidRPr="00545310">
        <w:rPr>
          <w:rFonts w:cs="Arial"/>
        </w:rPr>
        <w:t>,</w:t>
      </w:r>
      <w:r w:rsidR="003563EE" w:rsidRPr="00545310">
        <w:rPr>
          <w:rFonts w:cs="Arial"/>
        </w:rPr>
        <w:t xml:space="preserve"> </w:t>
      </w:r>
      <w:r w:rsidRPr="00545310">
        <w:rPr>
          <w:rFonts w:cs="Arial"/>
        </w:rPr>
        <w:t>así como del tipo de contrato</w:t>
      </w:r>
      <w:r w:rsidR="003563EE" w:rsidRPr="00545310">
        <w:rPr>
          <w:rFonts w:cs="Arial"/>
        </w:rPr>
        <w:t xml:space="preserve"> -</w:t>
      </w:r>
      <w:r w:rsidRPr="00545310">
        <w:rPr>
          <w:rFonts w:cs="Arial"/>
        </w:rPr>
        <w:t>obra</w:t>
      </w:r>
      <w:r w:rsidR="003563EE" w:rsidRPr="00545310">
        <w:rPr>
          <w:rFonts w:cs="Arial"/>
        </w:rPr>
        <w:t xml:space="preserve"> pública- se concluye que resultan ajenos al carácter de </w:t>
      </w:r>
      <w:r w:rsidR="008A1B2E" w:rsidRPr="00545310">
        <w:rPr>
          <w:rFonts w:cs="Arial"/>
        </w:rPr>
        <w:t xml:space="preserve">la </w:t>
      </w:r>
      <w:r w:rsidR="003563EE" w:rsidRPr="00545310">
        <w:rPr>
          <w:rFonts w:cs="Arial"/>
        </w:rPr>
        <w:t>entidad financiera</w:t>
      </w:r>
      <w:r w:rsidR="00C23A12" w:rsidRPr="00545310">
        <w:rPr>
          <w:rFonts w:cs="Arial"/>
        </w:rPr>
        <w:t xml:space="preserve"> demandada</w:t>
      </w:r>
      <w:r w:rsidR="008A1B2E" w:rsidRPr="00545310">
        <w:rPr>
          <w:rFonts w:cs="Arial"/>
        </w:rPr>
        <w:t>.</w:t>
      </w:r>
    </w:p>
    <w:p w14:paraId="605B9CF2" w14:textId="77777777" w:rsidR="008A1B2E" w:rsidRPr="00545310" w:rsidRDefault="008A1B2E" w:rsidP="00E549E0">
      <w:pPr>
        <w:overflowPunct w:val="0"/>
        <w:autoSpaceDE w:val="0"/>
        <w:autoSpaceDN w:val="0"/>
        <w:adjustRightInd w:val="0"/>
        <w:textAlignment w:val="baseline"/>
        <w:rPr>
          <w:rFonts w:cs="Arial"/>
        </w:rPr>
      </w:pPr>
    </w:p>
    <w:p w14:paraId="35A0C75B" w14:textId="77777777" w:rsidR="00E549E0" w:rsidRPr="00545310" w:rsidRDefault="00E549E0" w:rsidP="00E549E0">
      <w:pPr>
        <w:overflowPunct w:val="0"/>
        <w:autoSpaceDE w:val="0"/>
        <w:autoSpaceDN w:val="0"/>
        <w:adjustRightInd w:val="0"/>
        <w:textAlignment w:val="baseline"/>
        <w:rPr>
          <w:rFonts w:cs="Arial"/>
        </w:rPr>
      </w:pPr>
      <w:r w:rsidRPr="00545310">
        <w:rPr>
          <w:rFonts w:cs="Arial"/>
        </w:rPr>
        <w:t>Considera la Sala que</w:t>
      </w:r>
      <w:r w:rsidR="009B2BEA" w:rsidRPr="00545310">
        <w:rPr>
          <w:rFonts w:cs="Arial"/>
        </w:rPr>
        <w:t xml:space="preserve">, aunque en la mayoría de los litigios contractuales de FONADE la competencia corresponde a la jurisdicción ordinaria, </w:t>
      </w:r>
      <w:r w:rsidR="008A1B2E" w:rsidRPr="00545310">
        <w:rPr>
          <w:rFonts w:cs="Arial"/>
        </w:rPr>
        <w:t xml:space="preserve">sobre el supuesto de que los contratos se celebran dentro del objeto ordinario de la entidad, </w:t>
      </w:r>
      <w:r w:rsidRPr="00545310">
        <w:rPr>
          <w:rFonts w:cs="Arial"/>
        </w:rPr>
        <w:t xml:space="preserve">en este </w:t>
      </w:r>
      <w:r w:rsidRPr="00545310">
        <w:rPr>
          <w:rFonts w:cs="Arial"/>
        </w:rPr>
        <w:lastRenderedPageBreak/>
        <w:t xml:space="preserve">caso particular, </w:t>
      </w:r>
      <w:r w:rsidR="009B2BEA" w:rsidRPr="00545310">
        <w:rPr>
          <w:rFonts w:cs="Arial"/>
        </w:rPr>
        <w:t xml:space="preserve">se </w:t>
      </w:r>
      <w:r w:rsidRPr="00545310">
        <w:rPr>
          <w:rFonts w:cs="Arial"/>
        </w:rPr>
        <w:t xml:space="preserve">debe reafirmar la competencia </w:t>
      </w:r>
      <w:r w:rsidR="00C3705C" w:rsidRPr="00545310">
        <w:rPr>
          <w:rFonts w:cs="Arial"/>
        </w:rPr>
        <w:t xml:space="preserve">que asumió el Tribunal </w:t>
      </w:r>
      <w:r w:rsidR="00C3705C" w:rsidRPr="00545310">
        <w:rPr>
          <w:rFonts w:cs="Arial"/>
          <w:i/>
        </w:rPr>
        <w:t>a quo</w:t>
      </w:r>
      <w:r w:rsidR="00C3705C" w:rsidRPr="00545310">
        <w:rPr>
          <w:rFonts w:cs="Arial"/>
        </w:rPr>
        <w:t xml:space="preserve"> </w:t>
      </w:r>
      <w:r w:rsidR="00CA0956" w:rsidRPr="00545310">
        <w:rPr>
          <w:rFonts w:cs="Arial"/>
        </w:rPr>
        <w:t>en</w:t>
      </w:r>
      <w:r w:rsidRPr="00545310">
        <w:rPr>
          <w:rFonts w:cs="Arial"/>
        </w:rPr>
        <w:t xml:space="preserve"> la jurisdicción de lo contencioso administrativo</w:t>
      </w:r>
      <w:r w:rsidR="00D46EEB" w:rsidRPr="00545310">
        <w:rPr>
          <w:rFonts w:cs="Arial"/>
        </w:rPr>
        <w:t xml:space="preserve"> para conocer de la </w:t>
      </w:r>
      <w:r w:rsidR="00C3705C" w:rsidRPr="00545310">
        <w:rPr>
          <w:rFonts w:cs="Arial"/>
        </w:rPr>
        <w:t>pretendida nulidad de l</w:t>
      </w:r>
      <w:r w:rsidR="00D305DC" w:rsidRPr="00545310">
        <w:rPr>
          <w:rFonts w:cs="Arial"/>
        </w:rPr>
        <w:t xml:space="preserve">os actos administrativos </w:t>
      </w:r>
      <w:r w:rsidR="00CB4E07" w:rsidRPr="00545310">
        <w:rPr>
          <w:rFonts w:cs="Arial"/>
        </w:rPr>
        <w:t xml:space="preserve">acusados, </w:t>
      </w:r>
      <w:r w:rsidR="00EE492D" w:rsidRPr="00545310">
        <w:rPr>
          <w:rFonts w:cs="Arial"/>
        </w:rPr>
        <w:t xml:space="preserve">por cuanto tales actos no </w:t>
      </w:r>
      <w:r w:rsidR="00D305DC" w:rsidRPr="00545310">
        <w:rPr>
          <w:rFonts w:cs="Arial"/>
        </w:rPr>
        <w:t xml:space="preserve">se encontraban en </w:t>
      </w:r>
      <w:r w:rsidRPr="00545310">
        <w:rPr>
          <w:rFonts w:cs="Arial"/>
        </w:rPr>
        <w:t>la excepción del artículo 105 del CPACA</w:t>
      </w:r>
      <w:r w:rsidR="00C23A12" w:rsidRPr="00545310">
        <w:rPr>
          <w:rFonts w:cs="Arial"/>
        </w:rPr>
        <w:t>, según se explicó.</w:t>
      </w:r>
      <w:r w:rsidRPr="00545310">
        <w:rPr>
          <w:rFonts w:cs="Arial"/>
        </w:rPr>
        <w:t xml:space="preserve"> </w:t>
      </w:r>
    </w:p>
    <w:p w14:paraId="740CC6EC" w14:textId="77777777" w:rsidR="00D305DC" w:rsidRPr="00545310" w:rsidRDefault="00D305DC" w:rsidP="00E549E0">
      <w:pPr>
        <w:overflowPunct w:val="0"/>
        <w:autoSpaceDE w:val="0"/>
        <w:autoSpaceDN w:val="0"/>
        <w:adjustRightInd w:val="0"/>
        <w:textAlignment w:val="baseline"/>
        <w:rPr>
          <w:rFonts w:cs="Arial"/>
        </w:rPr>
      </w:pPr>
    </w:p>
    <w:p w14:paraId="293835E9" w14:textId="77777777" w:rsidR="008E6601" w:rsidRPr="00545310" w:rsidRDefault="00E549E0" w:rsidP="006F5D4C">
      <w:pPr>
        <w:overflowPunct w:val="0"/>
        <w:autoSpaceDE w:val="0"/>
        <w:autoSpaceDN w:val="0"/>
        <w:adjustRightInd w:val="0"/>
        <w:textAlignment w:val="baseline"/>
        <w:rPr>
          <w:rFonts w:cs="Arial"/>
        </w:rPr>
      </w:pPr>
      <w:r w:rsidRPr="00545310">
        <w:rPr>
          <w:rFonts w:cs="Arial"/>
        </w:rPr>
        <w:t xml:space="preserve">En </w:t>
      </w:r>
      <w:r w:rsidR="00CB4E07" w:rsidRPr="00545310">
        <w:rPr>
          <w:rFonts w:cs="Arial"/>
        </w:rPr>
        <w:t>resumen</w:t>
      </w:r>
      <w:r w:rsidR="00CB636E" w:rsidRPr="00545310">
        <w:rPr>
          <w:rFonts w:cs="Arial"/>
        </w:rPr>
        <w:t>:</w:t>
      </w:r>
      <w:r w:rsidRPr="00545310">
        <w:rPr>
          <w:rFonts w:cs="Arial"/>
        </w:rPr>
        <w:t xml:space="preserve"> </w:t>
      </w:r>
      <w:r w:rsidR="002D1481" w:rsidRPr="00545310">
        <w:rPr>
          <w:rFonts w:cs="Arial"/>
          <w:b/>
        </w:rPr>
        <w:t>i)</w:t>
      </w:r>
      <w:r w:rsidR="002D1481" w:rsidRPr="00545310">
        <w:rPr>
          <w:rFonts w:cs="Arial"/>
        </w:rPr>
        <w:t xml:space="preserve"> </w:t>
      </w:r>
      <w:r w:rsidR="00D305DC" w:rsidRPr="00545310">
        <w:rPr>
          <w:rFonts w:cs="Arial"/>
        </w:rPr>
        <w:t xml:space="preserve">en este proceso se controvierte la nulidad </w:t>
      </w:r>
      <w:r w:rsidR="00B0710D" w:rsidRPr="00545310">
        <w:rPr>
          <w:rFonts w:cs="Arial"/>
        </w:rPr>
        <w:t xml:space="preserve">parcial </w:t>
      </w:r>
      <w:r w:rsidR="00D305DC" w:rsidRPr="00545310">
        <w:rPr>
          <w:rFonts w:cs="Arial"/>
        </w:rPr>
        <w:t xml:space="preserve">de </w:t>
      </w:r>
      <w:r w:rsidR="002D1481" w:rsidRPr="00545310">
        <w:rPr>
          <w:rFonts w:cs="Arial"/>
        </w:rPr>
        <w:t xml:space="preserve">tres </w:t>
      </w:r>
      <w:r w:rsidR="00D305DC" w:rsidRPr="00545310">
        <w:rPr>
          <w:rFonts w:cs="Arial"/>
        </w:rPr>
        <w:t>acto</w:t>
      </w:r>
      <w:r w:rsidR="002D1481" w:rsidRPr="00545310">
        <w:rPr>
          <w:rFonts w:cs="Arial"/>
        </w:rPr>
        <w:t>s</w:t>
      </w:r>
      <w:r w:rsidR="00D305DC" w:rsidRPr="00545310">
        <w:rPr>
          <w:rFonts w:cs="Arial"/>
        </w:rPr>
        <w:t xml:space="preserve"> administrativo</w:t>
      </w:r>
      <w:r w:rsidR="002D1481" w:rsidRPr="00545310">
        <w:rPr>
          <w:rFonts w:cs="Arial"/>
        </w:rPr>
        <w:t>s</w:t>
      </w:r>
      <w:r w:rsidR="00D305DC" w:rsidRPr="00545310">
        <w:rPr>
          <w:rFonts w:cs="Arial"/>
        </w:rPr>
        <w:t xml:space="preserve"> </w:t>
      </w:r>
      <w:r w:rsidR="00CB636E" w:rsidRPr="00545310">
        <w:rPr>
          <w:rFonts w:cs="Arial"/>
        </w:rPr>
        <w:t xml:space="preserve">expedidos por FONADE; </w:t>
      </w:r>
      <w:proofErr w:type="spellStart"/>
      <w:r w:rsidR="002D1481" w:rsidRPr="00545310">
        <w:rPr>
          <w:rFonts w:cs="Arial"/>
          <w:b/>
        </w:rPr>
        <w:t>ii</w:t>
      </w:r>
      <w:proofErr w:type="spellEnd"/>
      <w:r w:rsidR="002D1481" w:rsidRPr="00545310">
        <w:rPr>
          <w:rFonts w:cs="Arial"/>
          <w:b/>
        </w:rPr>
        <w:t>)</w:t>
      </w:r>
      <w:r w:rsidR="002D1481" w:rsidRPr="00545310">
        <w:rPr>
          <w:rFonts w:cs="Arial"/>
        </w:rPr>
        <w:t xml:space="preserve"> </w:t>
      </w:r>
      <w:r w:rsidR="00D305DC" w:rsidRPr="00545310">
        <w:rPr>
          <w:rFonts w:cs="Arial"/>
        </w:rPr>
        <w:t xml:space="preserve">en la base de la controversia se encuentra la </w:t>
      </w:r>
      <w:r w:rsidR="00A67F9A" w:rsidRPr="00545310">
        <w:rPr>
          <w:rFonts w:cs="Arial"/>
        </w:rPr>
        <w:t xml:space="preserve">decisión de hacer </w:t>
      </w:r>
      <w:r w:rsidR="00D305DC" w:rsidRPr="00545310">
        <w:rPr>
          <w:rFonts w:cs="Arial"/>
        </w:rPr>
        <w:t xml:space="preserve">efectiva la garantía única de cumplimiento a favor de entidades estatales, </w:t>
      </w:r>
      <w:r w:rsidR="00B02DBF" w:rsidRPr="00545310">
        <w:rPr>
          <w:rFonts w:cs="Arial"/>
        </w:rPr>
        <w:t xml:space="preserve">mediante </w:t>
      </w:r>
      <w:r w:rsidR="002D1481" w:rsidRPr="00545310">
        <w:rPr>
          <w:rFonts w:cs="Arial"/>
        </w:rPr>
        <w:t xml:space="preserve">el </w:t>
      </w:r>
      <w:r w:rsidR="00B02DBF" w:rsidRPr="00545310">
        <w:rPr>
          <w:rFonts w:cs="Arial"/>
        </w:rPr>
        <w:t xml:space="preserve">acto administrativo que declaró la caducidad del contrato </w:t>
      </w:r>
      <w:r w:rsidR="000A6DBA" w:rsidRPr="00545310">
        <w:rPr>
          <w:rFonts w:cs="Arial"/>
        </w:rPr>
        <w:t xml:space="preserve">y la efectividad de </w:t>
      </w:r>
      <w:r w:rsidR="00B02DBF" w:rsidRPr="00545310">
        <w:rPr>
          <w:rFonts w:cs="Arial"/>
        </w:rPr>
        <w:t xml:space="preserve">la póliza </w:t>
      </w:r>
      <w:r w:rsidR="002D1481" w:rsidRPr="00545310">
        <w:rPr>
          <w:rFonts w:cs="Arial"/>
        </w:rPr>
        <w:t xml:space="preserve">de </w:t>
      </w:r>
      <w:r w:rsidR="00A64C8E" w:rsidRPr="00545310">
        <w:rPr>
          <w:rFonts w:cs="Arial"/>
        </w:rPr>
        <w:t xml:space="preserve">seguro, </w:t>
      </w:r>
      <w:r w:rsidR="00B02DBF" w:rsidRPr="00545310">
        <w:rPr>
          <w:rFonts w:cs="Arial"/>
        </w:rPr>
        <w:t xml:space="preserve">por el valor de los </w:t>
      </w:r>
      <w:r w:rsidR="00CD1A62" w:rsidRPr="00545310">
        <w:rPr>
          <w:rFonts w:cs="Arial"/>
        </w:rPr>
        <w:t xml:space="preserve">perjuicios </w:t>
      </w:r>
      <w:r w:rsidR="000A6DBA" w:rsidRPr="00545310">
        <w:rPr>
          <w:rFonts w:cs="Arial"/>
        </w:rPr>
        <w:t xml:space="preserve">cuantificados </w:t>
      </w:r>
      <w:r w:rsidR="00B02DBF" w:rsidRPr="00545310">
        <w:rPr>
          <w:rFonts w:cs="Arial"/>
        </w:rPr>
        <w:t>por la entidad estatal</w:t>
      </w:r>
      <w:r w:rsidR="00CB636E" w:rsidRPr="00545310">
        <w:rPr>
          <w:rFonts w:cs="Arial"/>
        </w:rPr>
        <w:t>;</w:t>
      </w:r>
      <w:r w:rsidR="002D1481" w:rsidRPr="00545310">
        <w:rPr>
          <w:rFonts w:cs="Arial"/>
        </w:rPr>
        <w:t xml:space="preserve"> </w:t>
      </w:r>
      <w:proofErr w:type="spellStart"/>
      <w:r w:rsidR="002D1481" w:rsidRPr="00545310">
        <w:rPr>
          <w:rFonts w:cs="Arial"/>
          <w:b/>
        </w:rPr>
        <w:t>iii</w:t>
      </w:r>
      <w:proofErr w:type="spellEnd"/>
      <w:r w:rsidR="002D1481" w:rsidRPr="00545310">
        <w:rPr>
          <w:rFonts w:cs="Arial"/>
          <w:b/>
        </w:rPr>
        <w:t>)</w:t>
      </w:r>
      <w:r w:rsidR="002D1481" w:rsidRPr="00545310">
        <w:rPr>
          <w:rFonts w:cs="Arial"/>
        </w:rPr>
        <w:t xml:space="preserve"> </w:t>
      </w:r>
      <w:r w:rsidR="00B0710D" w:rsidRPr="00545310">
        <w:rPr>
          <w:rFonts w:cs="Arial"/>
        </w:rPr>
        <w:t xml:space="preserve">los actos </w:t>
      </w:r>
      <w:r w:rsidR="000C0EF3" w:rsidRPr="00545310">
        <w:rPr>
          <w:rFonts w:cs="Arial"/>
        </w:rPr>
        <w:t xml:space="preserve">administrativos </w:t>
      </w:r>
      <w:r w:rsidR="00B0710D" w:rsidRPr="00545310">
        <w:rPr>
          <w:rFonts w:cs="Arial"/>
        </w:rPr>
        <w:t xml:space="preserve">demandados </w:t>
      </w:r>
      <w:r w:rsidR="00D01F56" w:rsidRPr="00545310">
        <w:rPr>
          <w:rFonts w:cs="Arial"/>
        </w:rPr>
        <w:t>no era</w:t>
      </w:r>
      <w:r w:rsidR="002D1481" w:rsidRPr="00545310">
        <w:rPr>
          <w:rFonts w:cs="Arial"/>
        </w:rPr>
        <w:t>n</w:t>
      </w:r>
      <w:r w:rsidR="00D01F56" w:rsidRPr="00545310">
        <w:rPr>
          <w:rFonts w:cs="Arial"/>
        </w:rPr>
        <w:t xml:space="preserve"> propi</w:t>
      </w:r>
      <w:r w:rsidR="002D1481" w:rsidRPr="00545310">
        <w:rPr>
          <w:rFonts w:cs="Arial"/>
        </w:rPr>
        <w:t>os</w:t>
      </w:r>
      <w:r w:rsidR="00D01F56" w:rsidRPr="00545310">
        <w:rPr>
          <w:rFonts w:cs="Arial"/>
        </w:rPr>
        <w:t xml:space="preserve"> del giro ordinario de la entidad financiera, s</w:t>
      </w:r>
      <w:r w:rsidR="002D1481" w:rsidRPr="00545310">
        <w:rPr>
          <w:rFonts w:cs="Arial"/>
        </w:rPr>
        <w:t xml:space="preserve">ino que se derivaban del sometimiento especial </w:t>
      </w:r>
      <w:r w:rsidR="00CB636E" w:rsidRPr="00545310">
        <w:rPr>
          <w:rFonts w:cs="Arial"/>
        </w:rPr>
        <w:t xml:space="preserve">del contrato garantizado </w:t>
      </w:r>
      <w:r w:rsidR="002D1481" w:rsidRPr="00545310">
        <w:rPr>
          <w:rFonts w:cs="Arial"/>
        </w:rPr>
        <w:t>a</w:t>
      </w:r>
      <w:r w:rsidR="00CB636E" w:rsidRPr="00545310">
        <w:rPr>
          <w:rFonts w:cs="Arial"/>
        </w:rPr>
        <w:t>l estatuto de contratación estatal</w:t>
      </w:r>
      <w:r w:rsidR="00560914" w:rsidRPr="00545310">
        <w:rPr>
          <w:rFonts w:cs="Arial"/>
        </w:rPr>
        <w:t>,</w:t>
      </w:r>
      <w:r w:rsidR="00CB636E" w:rsidRPr="00545310">
        <w:rPr>
          <w:rFonts w:cs="Arial"/>
        </w:rPr>
        <w:t xml:space="preserve"> </w:t>
      </w:r>
      <w:r w:rsidR="000A6DBA" w:rsidRPr="00545310">
        <w:rPr>
          <w:rFonts w:cs="Arial"/>
        </w:rPr>
        <w:t xml:space="preserve">de acuerdo con lo </w:t>
      </w:r>
      <w:r w:rsidR="00CB636E" w:rsidRPr="00545310">
        <w:rPr>
          <w:rFonts w:cs="Arial"/>
        </w:rPr>
        <w:t>previsto en la Ley 1150 de 200</w:t>
      </w:r>
      <w:r w:rsidR="008E6601" w:rsidRPr="00545310">
        <w:rPr>
          <w:rFonts w:cs="Arial"/>
        </w:rPr>
        <w:t>7.</w:t>
      </w:r>
    </w:p>
    <w:p w14:paraId="6C78EDF4" w14:textId="77777777" w:rsidR="00CB4E07" w:rsidRPr="00545310" w:rsidRDefault="00CB4E07" w:rsidP="006F5D4C">
      <w:pPr>
        <w:overflowPunct w:val="0"/>
        <w:autoSpaceDE w:val="0"/>
        <w:autoSpaceDN w:val="0"/>
        <w:adjustRightInd w:val="0"/>
        <w:textAlignment w:val="baseline"/>
        <w:rPr>
          <w:rFonts w:cs="Arial"/>
        </w:rPr>
      </w:pPr>
    </w:p>
    <w:p w14:paraId="764DA053" w14:textId="77777777" w:rsidR="00CB4E07" w:rsidRPr="00545310" w:rsidRDefault="008E6601" w:rsidP="006F5D4C">
      <w:pPr>
        <w:overflowPunct w:val="0"/>
        <w:autoSpaceDE w:val="0"/>
        <w:autoSpaceDN w:val="0"/>
        <w:adjustRightInd w:val="0"/>
        <w:textAlignment w:val="baseline"/>
        <w:rPr>
          <w:rFonts w:cs="Arial"/>
        </w:rPr>
      </w:pPr>
      <w:r w:rsidRPr="00545310">
        <w:rPr>
          <w:rFonts w:cs="Arial"/>
        </w:rPr>
        <w:t xml:space="preserve">Como conclusión, </w:t>
      </w:r>
      <w:r w:rsidR="00EA214D" w:rsidRPr="00545310">
        <w:rPr>
          <w:rFonts w:cs="Arial"/>
        </w:rPr>
        <w:t xml:space="preserve">se </w:t>
      </w:r>
      <w:r w:rsidR="00CB4E07" w:rsidRPr="00545310">
        <w:rPr>
          <w:rFonts w:cs="Arial"/>
        </w:rPr>
        <w:t xml:space="preserve">establece que </w:t>
      </w:r>
      <w:r w:rsidR="00D24A11" w:rsidRPr="00545310">
        <w:rPr>
          <w:rFonts w:cs="Arial"/>
        </w:rPr>
        <w:t xml:space="preserve">en este </w:t>
      </w:r>
      <w:r w:rsidR="00AF46A2" w:rsidRPr="00545310">
        <w:rPr>
          <w:rFonts w:cs="Arial"/>
        </w:rPr>
        <w:t xml:space="preserve">litigio </w:t>
      </w:r>
      <w:r w:rsidR="00D24A11" w:rsidRPr="00545310">
        <w:rPr>
          <w:rFonts w:cs="Arial"/>
        </w:rPr>
        <w:t xml:space="preserve">le </w:t>
      </w:r>
      <w:r w:rsidR="007420F9" w:rsidRPr="00545310">
        <w:rPr>
          <w:rFonts w:cs="Arial"/>
        </w:rPr>
        <w:t>corresponde a</w:t>
      </w:r>
      <w:r w:rsidR="00EA214D" w:rsidRPr="00545310">
        <w:rPr>
          <w:rFonts w:cs="Arial"/>
        </w:rPr>
        <w:t xml:space="preserve"> la Jurisdicción de lo Contencioso Administrativo</w:t>
      </w:r>
      <w:r w:rsidR="00C3705C" w:rsidRPr="00545310">
        <w:rPr>
          <w:rFonts w:cs="Arial"/>
        </w:rPr>
        <w:t xml:space="preserve"> </w:t>
      </w:r>
      <w:r w:rsidR="00EA214D" w:rsidRPr="00545310">
        <w:rPr>
          <w:rFonts w:cs="Arial"/>
        </w:rPr>
        <w:t xml:space="preserve">conocer de la </w:t>
      </w:r>
      <w:r w:rsidRPr="00545310">
        <w:rPr>
          <w:rFonts w:cs="Arial"/>
        </w:rPr>
        <w:t>nulidad de</w:t>
      </w:r>
      <w:r w:rsidR="009D139B" w:rsidRPr="00545310">
        <w:rPr>
          <w:rFonts w:cs="Arial"/>
        </w:rPr>
        <w:t xml:space="preserve"> los </w:t>
      </w:r>
      <w:r w:rsidRPr="00545310">
        <w:rPr>
          <w:rFonts w:cs="Arial"/>
        </w:rPr>
        <w:t>acto</w:t>
      </w:r>
      <w:r w:rsidR="009D139B" w:rsidRPr="00545310">
        <w:rPr>
          <w:rFonts w:cs="Arial"/>
        </w:rPr>
        <w:t>s</w:t>
      </w:r>
      <w:r w:rsidRPr="00545310">
        <w:rPr>
          <w:rFonts w:cs="Arial"/>
        </w:rPr>
        <w:t xml:space="preserve"> administrativo</w:t>
      </w:r>
      <w:r w:rsidR="009D139B" w:rsidRPr="00545310">
        <w:rPr>
          <w:rFonts w:cs="Arial"/>
        </w:rPr>
        <w:t>s</w:t>
      </w:r>
      <w:r w:rsidRPr="00545310">
        <w:rPr>
          <w:rFonts w:cs="Arial"/>
        </w:rPr>
        <w:t xml:space="preserve"> </w:t>
      </w:r>
      <w:r w:rsidR="00CB4E07" w:rsidRPr="00545310">
        <w:rPr>
          <w:rFonts w:cs="Arial"/>
        </w:rPr>
        <w:t xml:space="preserve">acusados. </w:t>
      </w:r>
    </w:p>
    <w:p w14:paraId="1B0C8591" w14:textId="77777777" w:rsidR="00456FD7" w:rsidRPr="00545310" w:rsidRDefault="00456FD7" w:rsidP="006F5D4C">
      <w:pPr>
        <w:overflowPunct w:val="0"/>
        <w:autoSpaceDE w:val="0"/>
        <w:autoSpaceDN w:val="0"/>
        <w:adjustRightInd w:val="0"/>
        <w:textAlignment w:val="baseline"/>
        <w:rPr>
          <w:rFonts w:cs="Arial"/>
        </w:rPr>
      </w:pPr>
    </w:p>
    <w:p w14:paraId="4A6CD76E" w14:textId="77777777" w:rsidR="00C874B4" w:rsidRPr="00545310" w:rsidRDefault="00483B19" w:rsidP="00483B19">
      <w:pPr>
        <w:rPr>
          <w:rFonts w:cs="Arial"/>
          <w:b/>
        </w:rPr>
      </w:pPr>
      <w:r w:rsidRPr="00545310">
        <w:rPr>
          <w:rFonts w:cs="Arial"/>
          <w:b/>
        </w:rPr>
        <w:t xml:space="preserve">2. </w:t>
      </w:r>
      <w:r w:rsidR="00327A99" w:rsidRPr="00545310">
        <w:rPr>
          <w:rFonts w:cs="Arial"/>
          <w:b/>
        </w:rPr>
        <w:t>Competencia por c</w:t>
      </w:r>
      <w:r w:rsidR="00C874B4" w:rsidRPr="00545310">
        <w:rPr>
          <w:rFonts w:cs="Arial"/>
          <w:b/>
        </w:rPr>
        <w:t>uantía</w:t>
      </w:r>
    </w:p>
    <w:p w14:paraId="4C9162F0" w14:textId="77777777" w:rsidR="006A6101" w:rsidRPr="00545310" w:rsidRDefault="006A6101" w:rsidP="00724307">
      <w:pPr>
        <w:rPr>
          <w:rFonts w:cs="Arial"/>
        </w:rPr>
      </w:pPr>
    </w:p>
    <w:p w14:paraId="008D7213" w14:textId="77777777" w:rsidR="00724307" w:rsidRPr="00545310" w:rsidRDefault="00724307" w:rsidP="00724307">
      <w:pPr>
        <w:rPr>
          <w:rFonts w:cs="Arial"/>
        </w:rPr>
      </w:pPr>
      <w:r w:rsidRPr="00545310">
        <w:rPr>
          <w:rFonts w:cs="Arial"/>
        </w:rPr>
        <w:t xml:space="preserve">Precisa la Sala que le asiste competencia para conocer del presente proceso en segunda instancia, toda vez que la </w:t>
      </w:r>
      <w:r w:rsidR="004B0557" w:rsidRPr="00545310">
        <w:rPr>
          <w:rFonts w:cs="Arial"/>
        </w:rPr>
        <w:t>pretensión mayor</w:t>
      </w:r>
      <w:r w:rsidR="004B0557" w:rsidRPr="00545310">
        <w:rPr>
          <w:rStyle w:val="Refdenotaalpie"/>
          <w:rFonts w:cs="Arial"/>
        </w:rPr>
        <w:footnoteReference w:id="34"/>
      </w:r>
      <w:r w:rsidR="004B0557" w:rsidRPr="00545310">
        <w:rPr>
          <w:rFonts w:cs="Arial"/>
        </w:rPr>
        <w:t xml:space="preserve"> </w:t>
      </w:r>
      <w:r w:rsidR="00DE108C" w:rsidRPr="00545310">
        <w:rPr>
          <w:rFonts w:cs="Arial"/>
        </w:rPr>
        <w:t>fue estimada en la demanda en la suma de $373’168.864</w:t>
      </w:r>
      <w:r w:rsidRPr="00545310">
        <w:rPr>
          <w:rFonts w:cs="Arial"/>
        </w:rPr>
        <w:t xml:space="preserve">, que </w:t>
      </w:r>
      <w:r w:rsidR="00FA0FF4" w:rsidRPr="00545310">
        <w:rPr>
          <w:rFonts w:cs="Arial"/>
          <w:shd w:val="clear" w:color="auto" w:fill="FFFFFF"/>
        </w:rPr>
        <w:t xml:space="preserve">excede </w:t>
      </w:r>
      <w:r w:rsidR="00D93179" w:rsidRPr="00545310">
        <w:rPr>
          <w:rFonts w:cs="Arial"/>
          <w:shd w:val="clear" w:color="auto" w:fill="FFFFFF"/>
        </w:rPr>
        <w:t xml:space="preserve">el monto </w:t>
      </w:r>
      <w:r w:rsidR="00FA0FF4" w:rsidRPr="00545310">
        <w:rPr>
          <w:rFonts w:cs="Arial"/>
          <w:shd w:val="clear" w:color="auto" w:fill="FFFFFF"/>
        </w:rPr>
        <w:t>de quinientos (500) salarios mínimos legales mensuales vigentes</w:t>
      </w:r>
      <w:r w:rsidR="00904AF7" w:rsidRPr="00545310">
        <w:rPr>
          <w:rStyle w:val="Refdenotaalpie"/>
          <w:rFonts w:cs="Arial"/>
          <w:shd w:val="clear" w:color="auto" w:fill="FFFFFF"/>
        </w:rPr>
        <w:footnoteReference w:id="35"/>
      </w:r>
      <w:r w:rsidR="00FA0FF4" w:rsidRPr="00545310">
        <w:rPr>
          <w:rFonts w:cs="Arial"/>
          <w:shd w:val="clear" w:color="auto" w:fill="FFFFFF"/>
        </w:rPr>
        <w:t xml:space="preserve">, </w:t>
      </w:r>
      <w:r w:rsidR="000C0EF3" w:rsidRPr="00545310">
        <w:rPr>
          <w:rFonts w:cs="Arial"/>
          <w:shd w:val="clear" w:color="auto" w:fill="FFFFFF"/>
        </w:rPr>
        <w:t xml:space="preserve">exigido </w:t>
      </w:r>
      <w:r w:rsidR="00FA0FF4" w:rsidRPr="00545310">
        <w:rPr>
          <w:rFonts w:cs="Arial"/>
          <w:shd w:val="clear" w:color="auto" w:fill="FFFFFF"/>
        </w:rPr>
        <w:t>de conformidad con el numeral 5 del artículo 152 del CPACA</w:t>
      </w:r>
      <w:r w:rsidR="00456FD7" w:rsidRPr="00545310">
        <w:rPr>
          <w:rFonts w:cs="Arial"/>
          <w:shd w:val="clear" w:color="auto" w:fill="FFFFFF"/>
        </w:rPr>
        <w:t>,</w:t>
      </w:r>
      <w:r w:rsidR="00FA0FF4" w:rsidRPr="00545310">
        <w:rPr>
          <w:rFonts w:cs="Arial"/>
          <w:shd w:val="clear" w:color="auto" w:fill="FFFFFF"/>
        </w:rPr>
        <w:t xml:space="preserve"> </w:t>
      </w:r>
      <w:r w:rsidR="00FD08C2" w:rsidRPr="00545310">
        <w:rPr>
          <w:rFonts w:cs="Arial"/>
        </w:rPr>
        <w:t xml:space="preserve">para que un proceso </w:t>
      </w:r>
      <w:r w:rsidR="00904AF7" w:rsidRPr="00545310">
        <w:rPr>
          <w:rFonts w:cs="Arial"/>
        </w:rPr>
        <w:t xml:space="preserve">contractual </w:t>
      </w:r>
      <w:r w:rsidR="00FD08C2" w:rsidRPr="00545310">
        <w:rPr>
          <w:rFonts w:cs="Arial"/>
        </w:rPr>
        <w:t>tenga vocación de doble instancia</w:t>
      </w:r>
      <w:r w:rsidR="00904AF7" w:rsidRPr="00545310">
        <w:rPr>
          <w:rFonts w:cs="Arial"/>
        </w:rPr>
        <w:t>.</w:t>
      </w:r>
      <w:r w:rsidRPr="00545310">
        <w:rPr>
          <w:rFonts w:cs="Arial"/>
        </w:rPr>
        <w:t xml:space="preserve"> </w:t>
      </w:r>
    </w:p>
    <w:p w14:paraId="4D5DF10F" w14:textId="77777777" w:rsidR="00724307" w:rsidRPr="00545310" w:rsidRDefault="00724307" w:rsidP="00205871">
      <w:pPr>
        <w:rPr>
          <w:rFonts w:cs="Arial"/>
        </w:rPr>
      </w:pPr>
    </w:p>
    <w:p w14:paraId="27F5A218" w14:textId="77777777" w:rsidR="00205871" w:rsidRPr="00545310" w:rsidRDefault="00327A99" w:rsidP="00483B19">
      <w:pPr>
        <w:spacing w:line="240" w:lineRule="auto"/>
        <w:rPr>
          <w:rFonts w:cs="Arial"/>
          <w:b/>
        </w:rPr>
      </w:pPr>
      <w:r w:rsidRPr="00545310">
        <w:rPr>
          <w:rFonts w:cs="Arial"/>
          <w:b/>
        </w:rPr>
        <w:t>3</w:t>
      </w:r>
      <w:r w:rsidR="00177B46" w:rsidRPr="00545310">
        <w:rPr>
          <w:rFonts w:cs="Arial"/>
          <w:b/>
        </w:rPr>
        <w:t xml:space="preserve">. </w:t>
      </w:r>
      <w:r w:rsidRPr="00545310">
        <w:rPr>
          <w:rFonts w:cs="Arial"/>
          <w:b/>
        </w:rPr>
        <w:t xml:space="preserve">Oportunidad en la presentación de la demanda </w:t>
      </w:r>
    </w:p>
    <w:p w14:paraId="15584944" w14:textId="77777777" w:rsidR="00086023" w:rsidRPr="00545310" w:rsidRDefault="00086023" w:rsidP="00205871">
      <w:pPr>
        <w:rPr>
          <w:rFonts w:cs="Arial"/>
          <w:b/>
        </w:rPr>
      </w:pPr>
    </w:p>
    <w:p w14:paraId="76FF614F" w14:textId="77777777" w:rsidR="007420F9" w:rsidRPr="00545310" w:rsidRDefault="0020140E" w:rsidP="00205871">
      <w:pPr>
        <w:rPr>
          <w:rFonts w:cs="Arial"/>
        </w:rPr>
      </w:pPr>
      <w:r w:rsidRPr="00545310">
        <w:rPr>
          <w:rFonts w:cs="Arial"/>
        </w:rPr>
        <w:lastRenderedPageBreak/>
        <w:t xml:space="preserve">La Sala advierte que </w:t>
      </w:r>
      <w:r w:rsidR="00866A5B" w:rsidRPr="00545310">
        <w:rPr>
          <w:rFonts w:cs="Arial"/>
        </w:rPr>
        <w:t xml:space="preserve">el medio de control impetrado por </w:t>
      </w:r>
      <w:r w:rsidR="00C30D25" w:rsidRPr="00545310">
        <w:rPr>
          <w:rFonts w:cs="Arial"/>
        </w:rPr>
        <w:t>la</w:t>
      </w:r>
      <w:r w:rsidR="00866A5B" w:rsidRPr="00545310">
        <w:rPr>
          <w:rFonts w:cs="Arial"/>
        </w:rPr>
        <w:t xml:space="preserve"> demandante </w:t>
      </w:r>
      <w:r w:rsidRPr="00545310">
        <w:rPr>
          <w:rFonts w:cs="Arial"/>
        </w:rPr>
        <w:t xml:space="preserve">– en forma correcta- fue </w:t>
      </w:r>
      <w:r w:rsidR="00866A5B" w:rsidRPr="00545310">
        <w:rPr>
          <w:rFonts w:cs="Arial"/>
        </w:rPr>
        <w:t xml:space="preserve">el de </w:t>
      </w:r>
      <w:r w:rsidRPr="00545310">
        <w:rPr>
          <w:rFonts w:cs="Arial"/>
        </w:rPr>
        <w:t>contr</w:t>
      </w:r>
      <w:r w:rsidR="00866A5B" w:rsidRPr="00545310">
        <w:rPr>
          <w:rFonts w:cs="Arial"/>
        </w:rPr>
        <w:t>oversias con</w:t>
      </w:r>
      <w:r w:rsidRPr="00545310">
        <w:rPr>
          <w:rFonts w:cs="Arial"/>
        </w:rPr>
        <w:t>t</w:t>
      </w:r>
      <w:r w:rsidR="00866A5B" w:rsidRPr="00545310">
        <w:rPr>
          <w:rFonts w:cs="Arial"/>
        </w:rPr>
        <w:t xml:space="preserve">ractuales, </w:t>
      </w:r>
      <w:r w:rsidRPr="00545310">
        <w:rPr>
          <w:rFonts w:cs="Arial"/>
        </w:rPr>
        <w:t>previst</w:t>
      </w:r>
      <w:r w:rsidR="00866A5B" w:rsidRPr="00545310">
        <w:rPr>
          <w:rFonts w:cs="Arial"/>
        </w:rPr>
        <w:t>o</w:t>
      </w:r>
      <w:r w:rsidRPr="00545310">
        <w:rPr>
          <w:rFonts w:cs="Arial"/>
        </w:rPr>
        <w:t xml:space="preserve"> en el artículo </w:t>
      </w:r>
      <w:r w:rsidR="00866A5B" w:rsidRPr="00545310">
        <w:rPr>
          <w:rFonts w:cs="Arial"/>
        </w:rPr>
        <w:t xml:space="preserve">141  </w:t>
      </w:r>
      <w:r w:rsidRPr="00545310">
        <w:rPr>
          <w:rFonts w:cs="Arial"/>
        </w:rPr>
        <w:t>del C</w:t>
      </w:r>
      <w:r w:rsidR="00866A5B" w:rsidRPr="00545310">
        <w:rPr>
          <w:rFonts w:cs="Arial"/>
        </w:rPr>
        <w:t xml:space="preserve">PACA, </w:t>
      </w:r>
      <w:r w:rsidR="00086023" w:rsidRPr="00545310">
        <w:rPr>
          <w:rFonts w:cs="Arial"/>
        </w:rPr>
        <w:t>toda vez que la</w:t>
      </w:r>
      <w:r w:rsidR="0049184C" w:rsidRPr="00545310">
        <w:rPr>
          <w:rFonts w:cs="Arial"/>
        </w:rPr>
        <w:t>s</w:t>
      </w:r>
      <w:r w:rsidR="00086023" w:rsidRPr="00545310">
        <w:rPr>
          <w:rFonts w:cs="Arial"/>
        </w:rPr>
        <w:t xml:space="preserve"> </w:t>
      </w:r>
      <w:r w:rsidR="00C30D25" w:rsidRPr="00545310">
        <w:rPr>
          <w:rFonts w:cs="Arial"/>
        </w:rPr>
        <w:t>pretensi</w:t>
      </w:r>
      <w:r w:rsidR="0049184C" w:rsidRPr="00545310">
        <w:rPr>
          <w:rFonts w:cs="Arial"/>
        </w:rPr>
        <w:t xml:space="preserve">ones </w:t>
      </w:r>
      <w:r w:rsidR="00C30D25" w:rsidRPr="00545310">
        <w:rPr>
          <w:rFonts w:cs="Arial"/>
        </w:rPr>
        <w:t>de la demanda se orienta</w:t>
      </w:r>
      <w:r w:rsidR="0049184C" w:rsidRPr="00545310">
        <w:rPr>
          <w:rFonts w:cs="Arial"/>
        </w:rPr>
        <w:t>n</w:t>
      </w:r>
      <w:r w:rsidR="00C30D25" w:rsidRPr="00545310">
        <w:rPr>
          <w:rFonts w:cs="Arial"/>
        </w:rPr>
        <w:t xml:space="preserve"> a obtener la </w:t>
      </w:r>
      <w:r w:rsidR="00515F6F" w:rsidRPr="00545310">
        <w:rPr>
          <w:rFonts w:cs="Arial"/>
        </w:rPr>
        <w:t xml:space="preserve">declaración de </w:t>
      </w:r>
      <w:r w:rsidR="00C30D25" w:rsidRPr="00545310">
        <w:rPr>
          <w:rFonts w:cs="Arial"/>
        </w:rPr>
        <w:t xml:space="preserve">nulidad parcial </w:t>
      </w:r>
      <w:r w:rsidR="00086023" w:rsidRPr="00545310">
        <w:rPr>
          <w:rFonts w:cs="Arial"/>
        </w:rPr>
        <w:t xml:space="preserve">de los actos </w:t>
      </w:r>
      <w:r w:rsidR="00C30D25" w:rsidRPr="00545310">
        <w:rPr>
          <w:rFonts w:cs="Arial"/>
        </w:rPr>
        <w:t xml:space="preserve">administrativos acusados, en </w:t>
      </w:r>
      <w:r w:rsidR="00C2385F" w:rsidRPr="00545310">
        <w:rPr>
          <w:rFonts w:cs="Arial"/>
        </w:rPr>
        <w:t xml:space="preserve">relación con los valores por los cuales </w:t>
      </w:r>
      <w:r w:rsidR="00791A94" w:rsidRPr="00545310">
        <w:rPr>
          <w:rFonts w:cs="Arial"/>
        </w:rPr>
        <w:t xml:space="preserve">se hizo </w:t>
      </w:r>
      <w:r w:rsidR="00086023" w:rsidRPr="00545310">
        <w:rPr>
          <w:rFonts w:cs="Arial"/>
        </w:rPr>
        <w:t>efectiv</w:t>
      </w:r>
      <w:r w:rsidR="00102B65" w:rsidRPr="00545310">
        <w:rPr>
          <w:rFonts w:cs="Arial"/>
        </w:rPr>
        <w:t xml:space="preserve">o </w:t>
      </w:r>
      <w:r w:rsidR="00C30D25" w:rsidRPr="00545310">
        <w:rPr>
          <w:rFonts w:cs="Arial"/>
        </w:rPr>
        <w:t xml:space="preserve">el </w:t>
      </w:r>
      <w:r w:rsidR="00102B65" w:rsidRPr="00545310">
        <w:rPr>
          <w:rFonts w:cs="Arial"/>
        </w:rPr>
        <w:t>amparo de cumplimi</w:t>
      </w:r>
      <w:r w:rsidR="00C905B9" w:rsidRPr="00545310">
        <w:rPr>
          <w:rFonts w:cs="Arial"/>
        </w:rPr>
        <w:t>e</w:t>
      </w:r>
      <w:r w:rsidR="00102B65" w:rsidRPr="00545310">
        <w:rPr>
          <w:rFonts w:cs="Arial"/>
        </w:rPr>
        <w:t xml:space="preserve">nto </w:t>
      </w:r>
      <w:r w:rsidR="00791A94" w:rsidRPr="00545310">
        <w:rPr>
          <w:rFonts w:cs="Arial"/>
        </w:rPr>
        <w:t>de</w:t>
      </w:r>
      <w:r w:rsidR="0049184C" w:rsidRPr="00545310">
        <w:rPr>
          <w:rFonts w:cs="Arial"/>
        </w:rPr>
        <w:t xml:space="preserve"> un</w:t>
      </w:r>
      <w:r w:rsidR="00791A94" w:rsidRPr="00545310">
        <w:rPr>
          <w:rFonts w:cs="Arial"/>
        </w:rPr>
        <w:t xml:space="preserve"> contrato estatal</w:t>
      </w:r>
      <w:r w:rsidR="00D93179" w:rsidRPr="00545310">
        <w:rPr>
          <w:rFonts w:cs="Arial"/>
        </w:rPr>
        <w:t xml:space="preserve">, además de que también se discute la cobertura del contrato de seguro, lo cual corrobora la </w:t>
      </w:r>
      <w:r w:rsidR="007420F9" w:rsidRPr="00545310">
        <w:rPr>
          <w:rFonts w:cs="Arial"/>
        </w:rPr>
        <w:t>pertinencia del medio de control contractual.</w:t>
      </w:r>
    </w:p>
    <w:p w14:paraId="3E4508F6" w14:textId="77777777" w:rsidR="00354676" w:rsidRPr="00545310" w:rsidRDefault="00354676" w:rsidP="00205871">
      <w:pPr>
        <w:rPr>
          <w:rFonts w:cs="Arial"/>
        </w:rPr>
      </w:pPr>
    </w:p>
    <w:p w14:paraId="7975A98B" w14:textId="77777777" w:rsidR="00F5782F" w:rsidRPr="00545310" w:rsidRDefault="005526D0" w:rsidP="00205871">
      <w:pPr>
        <w:rPr>
          <w:rFonts w:cs="Arial"/>
        </w:rPr>
      </w:pPr>
      <w:r w:rsidRPr="00545310">
        <w:rPr>
          <w:rFonts w:cs="Arial"/>
        </w:rPr>
        <w:t>En el presente caso</w:t>
      </w:r>
      <w:r w:rsidR="00D93179" w:rsidRPr="00545310">
        <w:rPr>
          <w:rFonts w:cs="Arial"/>
        </w:rPr>
        <w:t>,</w:t>
      </w:r>
      <w:r w:rsidRPr="00545310">
        <w:rPr>
          <w:rFonts w:cs="Arial"/>
        </w:rPr>
        <w:t xml:space="preserve"> </w:t>
      </w:r>
      <w:r w:rsidR="00D93179" w:rsidRPr="00545310">
        <w:rPr>
          <w:rFonts w:cs="Arial"/>
        </w:rPr>
        <w:t>de acuerdo con lo probado</w:t>
      </w:r>
      <w:r w:rsidR="00D24A11" w:rsidRPr="00545310">
        <w:rPr>
          <w:rFonts w:cs="Arial"/>
        </w:rPr>
        <w:t xml:space="preserve"> en el proceso</w:t>
      </w:r>
      <w:r w:rsidR="00D93179" w:rsidRPr="00545310">
        <w:rPr>
          <w:rFonts w:cs="Arial"/>
        </w:rPr>
        <w:t xml:space="preserve">, </w:t>
      </w:r>
      <w:r w:rsidR="00EE0C65" w:rsidRPr="00545310">
        <w:rPr>
          <w:rFonts w:cs="Arial"/>
        </w:rPr>
        <w:t xml:space="preserve">se establece que </w:t>
      </w:r>
      <w:r w:rsidR="00F24D02" w:rsidRPr="00545310">
        <w:rPr>
          <w:rFonts w:cs="Arial"/>
        </w:rPr>
        <w:t>la Resolución 1169 de 16 de noviembre de 2011, mediante la cual se modificó parcialmente la Resolución 1151 del 8 de septiembre de 2011</w:t>
      </w:r>
      <w:r w:rsidR="003C21FA" w:rsidRPr="00545310">
        <w:rPr>
          <w:rFonts w:cs="Arial"/>
        </w:rPr>
        <w:t xml:space="preserve">, fue </w:t>
      </w:r>
      <w:r w:rsidR="001E1A7D" w:rsidRPr="00545310">
        <w:rPr>
          <w:rFonts w:cs="Arial"/>
        </w:rPr>
        <w:t xml:space="preserve">notificada </w:t>
      </w:r>
      <w:r w:rsidR="00551832" w:rsidRPr="00545310">
        <w:rPr>
          <w:rFonts w:cs="Arial"/>
        </w:rPr>
        <w:t>por edicto fijado el 25 de noviembre de 2011</w:t>
      </w:r>
      <w:r w:rsidR="00C47D1B" w:rsidRPr="00545310">
        <w:rPr>
          <w:rFonts w:cs="Arial"/>
        </w:rPr>
        <w:t xml:space="preserve"> </w:t>
      </w:r>
      <w:r w:rsidR="00551832" w:rsidRPr="00545310">
        <w:rPr>
          <w:rFonts w:cs="Arial"/>
        </w:rPr>
        <w:t xml:space="preserve">y desfijado el 9 de </w:t>
      </w:r>
      <w:r w:rsidR="003C21FA" w:rsidRPr="00545310">
        <w:rPr>
          <w:rFonts w:cs="Arial"/>
        </w:rPr>
        <w:t xml:space="preserve">diciembre </w:t>
      </w:r>
      <w:r w:rsidR="00551832" w:rsidRPr="00545310">
        <w:rPr>
          <w:rFonts w:cs="Arial"/>
        </w:rPr>
        <w:t>de 2011</w:t>
      </w:r>
      <w:r w:rsidR="003C21FA" w:rsidRPr="00545310">
        <w:rPr>
          <w:rStyle w:val="Refdenotaalpie"/>
          <w:rFonts w:cs="Arial"/>
        </w:rPr>
        <w:footnoteReference w:id="36"/>
      </w:r>
      <w:r w:rsidR="00551832" w:rsidRPr="00545310">
        <w:rPr>
          <w:rFonts w:cs="Arial"/>
        </w:rPr>
        <w:t xml:space="preserve"> </w:t>
      </w:r>
      <w:r w:rsidR="00F5782F" w:rsidRPr="00545310">
        <w:rPr>
          <w:rFonts w:cs="Arial"/>
        </w:rPr>
        <w:t>.</w:t>
      </w:r>
    </w:p>
    <w:p w14:paraId="31F63414" w14:textId="77777777" w:rsidR="00F5782F" w:rsidRPr="00545310" w:rsidRDefault="00F5782F" w:rsidP="00205871">
      <w:pPr>
        <w:rPr>
          <w:rFonts w:cs="Arial"/>
        </w:rPr>
      </w:pPr>
    </w:p>
    <w:p w14:paraId="4D38C366" w14:textId="77777777" w:rsidR="00384E52" w:rsidRPr="00545310" w:rsidRDefault="00F5782F" w:rsidP="00205871">
      <w:pPr>
        <w:rPr>
          <w:rFonts w:cs="Arial"/>
        </w:rPr>
      </w:pPr>
      <w:r w:rsidRPr="00545310">
        <w:rPr>
          <w:rFonts w:cs="Arial"/>
        </w:rPr>
        <w:t xml:space="preserve">Por ello, teniendo en cuenta </w:t>
      </w:r>
      <w:r w:rsidR="00EE0C65" w:rsidRPr="00545310">
        <w:rPr>
          <w:rFonts w:cs="Arial"/>
        </w:rPr>
        <w:t xml:space="preserve">que </w:t>
      </w:r>
      <w:r w:rsidR="00270FDD" w:rsidRPr="00545310">
        <w:rPr>
          <w:rFonts w:cs="Arial"/>
        </w:rPr>
        <w:t xml:space="preserve">la oportunidad para presentar la demanda en el medio de controversias contractuales es </w:t>
      </w:r>
      <w:r w:rsidRPr="00545310">
        <w:rPr>
          <w:rFonts w:cs="Arial"/>
        </w:rPr>
        <w:t xml:space="preserve">de dos años </w:t>
      </w:r>
      <w:r w:rsidR="00270FDD" w:rsidRPr="00545310">
        <w:rPr>
          <w:rFonts w:cs="Arial"/>
        </w:rPr>
        <w:t>contado</w:t>
      </w:r>
      <w:r w:rsidR="00D37365" w:rsidRPr="00545310">
        <w:rPr>
          <w:rFonts w:cs="Arial"/>
        </w:rPr>
        <w:t>s</w:t>
      </w:r>
      <w:r w:rsidR="00270FDD" w:rsidRPr="00545310">
        <w:rPr>
          <w:rFonts w:cs="Arial"/>
        </w:rPr>
        <w:t xml:space="preserve"> a partir de “</w:t>
      </w:r>
      <w:r w:rsidR="00270FDD" w:rsidRPr="00545310">
        <w:rPr>
          <w:rFonts w:cs="Arial"/>
          <w:i/>
        </w:rPr>
        <w:t>la ocurrencia de los motivos de hechos o de derecho que le sirvan de fundamento</w:t>
      </w:r>
      <w:r w:rsidR="003B1386" w:rsidRPr="00545310">
        <w:rPr>
          <w:rFonts w:cs="Arial"/>
          <w:i/>
        </w:rPr>
        <w:t>”</w:t>
      </w:r>
      <w:r w:rsidR="00EE0C65" w:rsidRPr="00545310">
        <w:rPr>
          <w:rFonts w:cs="Arial"/>
          <w:i/>
        </w:rPr>
        <w:t>,</w:t>
      </w:r>
      <w:r w:rsidR="003B1386" w:rsidRPr="00545310">
        <w:rPr>
          <w:rFonts w:cs="Arial"/>
        </w:rPr>
        <w:t xml:space="preserve"> de acuerdo con el literal j) del numeral </w:t>
      </w:r>
      <w:r w:rsidR="00E0623F" w:rsidRPr="00545310">
        <w:rPr>
          <w:rFonts w:cs="Arial"/>
        </w:rPr>
        <w:t>2</w:t>
      </w:r>
      <w:r w:rsidR="003B1386" w:rsidRPr="00545310">
        <w:rPr>
          <w:rFonts w:cs="Arial"/>
        </w:rPr>
        <w:t xml:space="preserve"> del </w:t>
      </w:r>
      <w:r w:rsidRPr="00545310">
        <w:rPr>
          <w:rFonts w:cs="Arial"/>
        </w:rPr>
        <w:t>artículo 16</w:t>
      </w:r>
      <w:r w:rsidR="00270FDD" w:rsidRPr="00545310">
        <w:rPr>
          <w:rFonts w:cs="Arial"/>
        </w:rPr>
        <w:t>4</w:t>
      </w:r>
      <w:r w:rsidRPr="00545310">
        <w:rPr>
          <w:rFonts w:cs="Arial"/>
        </w:rPr>
        <w:t xml:space="preserve"> del CPACA, se </w:t>
      </w:r>
      <w:r w:rsidR="00D37365" w:rsidRPr="00545310">
        <w:rPr>
          <w:rFonts w:cs="Arial"/>
        </w:rPr>
        <w:t xml:space="preserve">establece -para este caso- </w:t>
      </w:r>
      <w:r w:rsidRPr="00545310">
        <w:rPr>
          <w:rFonts w:cs="Arial"/>
        </w:rPr>
        <w:t xml:space="preserve">que la demanda se presentó en forma oportuna, el </w:t>
      </w:r>
      <w:r w:rsidR="00384E52" w:rsidRPr="00545310">
        <w:rPr>
          <w:rFonts w:cs="Arial"/>
        </w:rPr>
        <w:t xml:space="preserve">10 de diciembre de 2012, dado </w:t>
      </w:r>
      <w:r w:rsidR="00456FD7" w:rsidRPr="00545310">
        <w:rPr>
          <w:rFonts w:cs="Arial"/>
        </w:rPr>
        <w:t xml:space="preserve">que </w:t>
      </w:r>
      <w:r w:rsidR="00D37365" w:rsidRPr="00545310">
        <w:rPr>
          <w:rFonts w:cs="Arial"/>
        </w:rPr>
        <w:t xml:space="preserve">el término de </w:t>
      </w:r>
      <w:r w:rsidR="00DB256A" w:rsidRPr="00545310">
        <w:rPr>
          <w:rFonts w:cs="Arial"/>
        </w:rPr>
        <w:t xml:space="preserve">caducidad </w:t>
      </w:r>
      <w:r w:rsidRPr="00545310">
        <w:rPr>
          <w:rFonts w:cs="Arial"/>
        </w:rPr>
        <w:t>corr</w:t>
      </w:r>
      <w:r w:rsidR="00384E52" w:rsidRPr="00545310">
        <w:rPr>
          <w:rFonts w:cs="Arial"/>
        </w:rPr>
        <w:t>ía</w:t>
      </w:r>
      <w:r w:rsidRPr="00545310">
        <w:rPr>
          <w:rFonts w:cs="Arial"/>
        </w:rPr>
        <w:t xml:space="preserve"> hasta el </w:t>
      </w:r>
      <w:r w:rsidR="008B0568" w:rsidRPr="00545310">
        <w:rPr>
          <w:rFonts w:cs="Arial"/>
        </w:rPr>
        <w:t>10</w:t>
      </w:r>
      <w:r w:rsidRPr="00545310">
        <w:rPr>
          <w:rFonts w:cs="Arial"/>
        </w:rPr>
        <w:t xml:space="preserve"> de diciembre de 2013. </w:t>
      </w:r>
    </w:p>
    <w:p w14:paraId="15ACFB9F" w14:textId="77777777" w:rsidR="00384E52" w:rsidRPr="00545310" w:rsidRDefault="00384E52" w:rsidP="00205871">
      <w:pPr>
        <w:rPr>
          <w:rFonts w:cs="Arial"/>
        </w:rPr>
      </w:pPr>
    </w:p>
    <w:p w14:paraId="283DB4E4" w14:textId="77777777" w:rsidR="001D5256" w:rsidRPr="00545310" w:rsidRDefault="00882343" w:rsidP="00205871">
      <w:pPr>
        <w:rPr>
          <w:rFonts w:cs="Arial"/>
        </w:rPr>
      </w:pPr>
      <w:r w:rsidRPr="00545310">
        <w:rPr>
          <w:rFonts w:cs="Arial"/>
        </w:rPr>
        <w:t>Si</w:t>
      </w:r>
      <w:r w:rsidR="00E0623F" w:rsidRPr="00545310">
        <w:rPr>
          <w:rFonts w:cs="Arial"/>
        </w:rPr>
        <w:t xml:space="preserve">, en gracia de discusión, </w:t>
      </w:r>
      <w:r w:rsidRPr="00545310">
        <w:rPr>
          <w:rFonts w:cs="Arial"/>
        </w:rPr>
        <w:t>se agrega al cómputo de</w:t>
      </w:r>
      <w:r w:rsidR="008B0568" w:rsidRPr="00545310">
        <w:rPr>
          <w:rFonts w:cs="Arial"/>
        </w:rPr>
        <w:t>l término de caducidad</w:t>
      </w:r>
      <w:r w:rsidRPr="00545310">
        <w:rPr>
          <w:rFonts w:cs="Arial"/>
        </w:rPr>
        <w:t xml:space="preserve">, el </w:t>
      </w:r>
      <w:r w:rsidR="008B0568" w:rsidRPr="00545310">
        <w:rPr>
          <w:rFonts w:cs="Arial"/>
        </w:rPr>
        <w:t xml:space="preserve">plazo </w:t>
      </w:r>
      <w:r w:rsidRPr="00545310">
        <w:rPr>
          <w:rFonts w:cs="Arial"/>
        </w:rPr>
        <w:t>para liquidar el contrato de obra</w:t>
      </w:r>
      <w:r w:rsidR="008B0568" w:rsidRPr="00545310">
        <w:rPr>
          <w:rFonts w:cs="Arial"/>
        </w:rPr>
        <w:t xml:space="preserve"> garantizado</w:t>
      </w:r>
      <w:r w:rsidR="00D24A11" w:rsidRPr="00545310">
        <w:rPr>
          <w:rFonts w:cs="Arial"/>
        </w:rPr>
        <w:t xml:space="preserve"> con la póliza de seguros</w:t>
      </w:r>
      <w:r w:rsidR="00F74696" w:rsidRPr="00545310">
        <w:rPr>
          <w:rFonts w:cs="Arial"/>
        </w:rPr>
        <w:t>,</w:t>
      </w:r>
      <w:r w:rsidR="00D24A11" w:rsidRPr="00545310">
        <w:rPr>
          <w:rFonts w:cs="Arial"/>
        </w:rPr>
        <w:t xml:space="preserve"> cuy</w:t>
      </w:r>
      <w:r w:rsidR="00F74696" w:rsidRPr="00545310">
        <w:rPr>
          <w:rFonts w:cs="Arial"/>
        </w:rPr>
        <w:t xml:space="preserve">o acto declarativo de su </w:t>
      </w:r>
      <w:r w:rsidR="00D24A11" w:rsidRPr="00545310">
        <w:rPr>
          <w:rFonts w:cs="Arial"/>
        </w:rPr>
        <w:t>efectividad se controvierte</w:t>
      </w:r>
      <w:r w:rsidRPr="00545310">
        <w:rPr>
          <w:rFonts w:cs="Arial"/>
        </w:rPr>
        <w:t xml:space="preserve">, </w:t>
      </w:r>
      <w:r w:rsidR="00D24A11" w:rsidRPr="00545310">
        <w:rPr>
          <w:rFonts w:cs="Arial"/>
        </w:rPr>
        <w:t xml:space="preserve">se </w:t>
      </w:r>
      <w:r w:rsidR="00BC4B6F" w:rsidRPr="00545310">
        <w:rPr>
          <w:rFonts w:cs="Arial"/>
        </w:rPr>
        <w:t>empezaría a contar el término desde la terminación del contrato, adicionando los plazos para la liquidación bilateral y unilateral del mismo</w:t>
      </w:r>
      <w:r w:rsidR="005E3C6F" w:rsidRPr="00545310">
        <w:rPr>
          <w:rFonts w:cs="Arial"/>
        </w:rPr>
        <w:t xml:space="preserve">, de </w:t>
      </w:r>
      <w:r w:rsidR="00BC4B6F" w:rsidRPr="00545310">
        <w:rPr>
          <w:rFonts w:cs="Arial"/>
        </w:rPr>
        <w:t xml:space="preserve">acuerdo con </w:t>
      </w:r>
      <w:r w:rsidR="00EE0C65" w:rsidRPr="00545310">
        <w:rPr>
          <w:rFonts w:cs="Arial"/>
        </w:rPr>
        <w:t xml:space="preserve">los </w:t>
      </w:r>
      <w:r w:rsidRPr="00545310">
        <w:rPr>
          <w:rFonts w:cs="Arial"/>
        </w:rPr>
        <w:t>artículo</w:t>
      </w:r>
      <w:r w:rsidR="008B0568" w:rsidRPr="00545310">
        <w:rPr>
          <w:rFonts w:cs="Arial"/>
        </w:rPr>
        <w:t>s</w:t>
      </w:r>
      <w:r w:rsidRPr="00545310">
        <w:rPr>
          <w:rFonts w:cs="Arial"/>
        </w:rPr>
        <w:t xml:space="preserve"> 60 de la Ley 80 de 1993</w:t>
      </w:r>
      <w:r w:rsidR="00281721" w:rsidRPr="00545310">
        <w:rPr>
          <w:rFonts w:cs="Arial"/>
        </w:rPr>
        <w:t xml:space="preserve"> y </w:t>
      </w:r>
      <w:r w:rsidR="008B0568" w:rsidRPr="00545310">
        <w:rPr>
          <w:rFonts w:cs="Arial"/>
        </w:rPr>
        <w:t xml:space="preserve">11 de la Ley 1150 de 2007, </w:t>
      </w:r>
      <w:r w:rsidR="00BC4B6F" w:rsidRPr="00545310">
        <w:rPr>
          <w:rFonts w:cs="Arial"/>
        </w:rPr>
        <w:t xml:space="preserve">caso en el cual </w:t>
      </w:r>
      <w:r w:rsidRPr="00545310">
        <w:rPr>
          <w:rFonts w:cs="Arial"/>
        </w:rPr>
        <w:t>se conclu</w:t>
      </w:r>
      <w:r w:rsidR="00DE7CFB" w:rsidRPr="00545310">
        <w:rPr>
          <w:rFonts w:cs="Arial"/>
        </w:rPr>
        <w:t>iría</w:t>
      </w:r>
      <w:r w:rsidR="00281721" w:rsidRPr="00545310">
        <w:rPr>
          <w:rFonts w:cs="Arial"/>
        </w:rPr>
        <w:t>,</w:t>
      </w:r>
      <w:r w:rsidRPr="00545310">
        <w:rPr>
          <w:rFonts w:cs="Arial"/>
        </w:rPr>
        <w:t xml:space="preserve"> </w:t>
      </w:r>
      <w:r w:rsidR="001D5256" w:rsidRPr="00545310">
        <w:rPr>
          <w:rFonts w:cs="Arial"/>
        </w:rPr>
        <w:t xml:space="preserve">con mayor razón, </w:t>
      </w:r>
      <w:r w:rsidR="00DE7CFB" w:rsidRPr="00545310">
        <w:rPr>
          <w:rFonts w:cs="Arial"/>
        </w:rPr>
        <w:t xml:space="preserve">que </w:t>
      </w:r>
      <w:r w:rsidR="003B1386" w:rsidRPr="00545310">
        <w:rPr>
          <w:rFonts w:cs="Arial"/>
        </w:rPr>
        <w:t>la demanda se present</w:t>
      </w:r>
      <w:r w:rsidR="00281721" w:rsidRPr="00545310">
        <w:rPr>
          <w:rFonts w:cs="Arial"/>
        </w:rPr>
        <w:t>ó</w:t>
      </w:r>
      <w:r w:rsidR="003B1386" w:rsidRPr="00545310">
        <w:rPr>
          <w:rFonts w:cs="Arial"/>
        </w:rPr>
        <w:t xml:space="preserve"> </w:t>
      </w:r>
      <w:r w:rsidR="00DE7CFB" w:rsidRPr="00545310">
        <w:rPr>
          <w:rFonts w:cs="Arial"/>
        </w:rPr>
        <w:t xml:space="preserve">en tiempo, </w:t>
      </w:r>
      <w:r w:rsidR="003B1386" w:rsidRPr="00545310">
        <w:rPr>
          <w:rFonts w:cs="Arial"/>
        </w:rPr>
        <w:t>dentro del término</w:t>
      </w:r>
      <w:r w:rsidR="00281721" w:rsidRPr="00545310">
        <w:rPr>
          <w:rFonts w:cs="Arial"/>
        </w:rPr>
        <w:t xml:space="preserve"> previsto para los contratos sujetos a liquidación, de </w:t>
      </w:r>
      <w:r w:rsidR="00EE0C65" w:rsidRPr="00545310">
        <w:rPr>
          <w:rFonts w:cs="Arial"/>
        </w:rPr>
        <w:t xml:space="preserve">conformidad </w:t>
      </w:r>
      <w:r w:rsidR="00281721" w:rsidRPr="00545310">
        <w:rPr>
          <w:rFonts w:cs="Arial"/>
        </w:rPr>
        <w:t xml:space="preserve">con </w:t>
      </w:r>
      <w:r w:rsidR="001B5ABD" w:rsidRPr="00545310">
        <w:rPr>
          <w:rFonts w:cs="Arial"/>
        </w:rPr>
        <w:t>el punto v) del literal j) del artículo 164 del CPACA</w:t>
      </w:r>
      <w:r w:rsidR="00E833BB" w:rsidRPr="00545310">
        <w:rPr>
          <w:rStyle w:val="Refdenotaalpie"/>
          <w:rFonts w:cs="Arial"/>
        </w:rPr>
        <w:footnoteReference w:id="37"/>
      </w:r>
      <w:r w:rsidR="001B5ABD" w:rsidRPr="00545310">
        <w:rPr>
          <w:rFonts w:cs="Arial"/>
        </w:rPr>
        <w:t>.</w:t>
      </w:r>
      <w:r w:rsidR="003B1386" w:rsidRPr="00545310">
        <w:rPr>
          <w:rFonts w:cs="Arial"/>
        </w:rPr>
        <w:t xml:space="preserve"> </w:t>
      </w:r>
    </w:p>
    <w:p w14:paraId="62515628" w14:textId="77777777" w:rsidR="002D3F32" w:rsidRPr="00545310" w:rsidRDefault="002D3F32" w:rsidP="00B932D4">
      <w:pPr>
        <w:pStyle w:val="Sangradetextonormal"/>
        <w:spacing w:after="0" w:line="240" w:lineRule="auto"/>
        <w:ind w:left="0"/>
        <w:rPr>
          <w:rFonts w:ascii="Arial" w:hAnsi="Arial" w:cs="Arial"/>
          <w:b/>
          <w:szCs w:val="24"/>
          <w:lang w:val="es-CO" w:eastAsia="ar-SA"/>
        </w:rPr>
      </w:pPr>
    </w:p>
    <w:p w14:paraId="656339BC" w14:textId="77777777" w:rsidR="001D5256" w:rsidRPr="00545310" w:rsidRDefault="00876291" w:rsidP="00B932D4">
      <w:pPr>
        <w:pStyle w:val="Sangradetextonormal"/>
        <w:spacing w:after="0" w:line="240" w:lineRule="auto"/>
        <w:ind w:left="0"/>
        <w:rPr>
          <w:rFonts w:ascii="Arial" w:hAnsi="Arial" w:cs="Arial"/>
          <w:b/>
          <w:bCs/>
          <w:szCs w:val="24"/>
        </w:rPr>
      </w:pPr>
      <w:r w:rsidRPr="00545310">
        <w:rPr>
          <w:rFonts w:ascii="Arial" w:hAnsi="Arial" w:cs="Arial"/>
          <w:b/>
          <w:szCs w:val="24"/>
          <w:lang w:val="es-CO" w:eastAsia="ar-SA"/>
        </w:rPr>
        <w:t>4. R</w:t>
      </w:r>
      <w:proofErr w:type="spellStart"/>
      <w:r w:rsidRPr="00545310">
        <w:rPr>
          <w:rFonts w:ascii="Arial" w:hAnsi="Arial" w:cs="Arial"/>
          <w:b/>
          <w:bCs/>
          <w:szCs w:val="24"/>
        </w:rPr>
        <w:t>égimen</w:t>
      </w:r>
      <w:proofErr w:type="spellEnd"/>
      <w:r w:rsidRPr="00545310">
        <w:rPr>
          <w:rFonts w:ascii="Arial" w:hAnsi="Arial" w:cs="Arial"/>
          <w:b/>
          <w:bCs/>
          <w:szCs w:val="24"/>
        </w:rPr>
        <w:t xml:space="preserve"> jurídico de</w:t>
      </w:r>
      <w:r w:rsidR="001D5256" w:rsidRPr="00545310">
        <w:rPr>
          <w:rFonts w:ascii="Arial" w:hAnsi="Arial" w:cs="Arial"/>
          <w:b/>
          <w:bCs/>
          <w:szCs w:val="24"/>
        </w:rPr>
        <w:t xml:space="preserve"> los contratos celebrados por FONADE, </w:t>
      </w:r>
      <w:r w:rsidR="000C1D84" w:rsidRPr="00545310">
        <w:rPr>
          <w:rFonts w:ascii="Arial" w:hAnsi="Arial" w:cs="Arial"/>
          <w:b/>
          <w:bCs/>
          <w:szCs w:val="24"/>
        </w:rPr>
        <w:t xml:space="preserve">en vigencia de la disposición contenida en el artículo 26 de </w:t>
      </w:r>
      <w:r w:rsidR="001D5256" w:rsidRPr="00545310">
        <w:rPr>
          <w:rFonts w:ascii="Arial" w:hAnsi="Arial" w:cs="Arial"/>
          <w:b/>
          <w:bCs/>
          <w:szCs w:val="24"/>
        </w:rPr>
        <w:t xml:space="preserve">la Ley 1150 de 2007 </w:t>
      </w:r>
    </w:p>
    <w:p w14:paraId="2AAACF25" w14:textId="77777777" w:rsidR="00D34C61" w:rsidRPr="00545310" w:rsidRDefault="00D34C61" w:rsidP="00423EC8">
      <w:pPr>
        <w:pStyle w:val="Sangradetextonormal"/>
        <w:spacing w:after="0"/>
        <w:ind w:left="0"/>
        <w:rPr>
          <w:rFonts w:ascii="Arial" w:hAnsi="Arial" w:cs="Arial"/>
          <w:szCs w:val="24"/>
          <w:lang w:val="es-CO" w:eastAsia="ar-SA"/>
        </w:rPr>
      </w:pPr>
    </w:p>
    <w:p w14:paraId="75D97CDB" w14:textId="77777777" w:rsidR="00F1350D" w:rsidRPr="00545310" w:rsidRDefault="00DE76BE" w:rsidP="00423EC8">
      <w:pPr>
        <w:pStyle w:val="Sangradetextonormal"/>
        <w:spacing w:after="0"/>
        <w:ind w:left="0"/>
        <w:rPr>
          <w:rFonts w:ascii="Arial" w:hAnsi="Arial" w:cs="Arial"/>
          <w:szCs w:val="24"/>
          <w:shd w:val="clear" w:color="auto" w:fill="FFFFFF"/>
        </w:rPr>
      </w:pPr>
      <w:r w:rsidRPr="00545310">
        <w:rPr>
          <w:rFonts w:ascii="Arial" w:hAnsi="Arial" w:cs="Arial"/>
          <w:szCs w:val="24"/>
          <w:lang w:val="es-CO" w:eastAsia="ar-SA"/>
        </w:rPr>
        <w:t xml:space="preserve">De conformidad con lo dispuesto </w:t>
      </w:r>
      <w:r w:rsidR="00F1350D" w:rsidRPr="00545310">
        <w:rPr>
          <w:rFonts w:ascii="Arial" w:hAnsi="Arial" w:cs="Arial"/>
          <w:szCs w:val="24"/>
          <w:lang w:val="es-CO" w:eastAsia="ar-SA"/>
        </w:rPr>
        <w:t xml:space="preserve">en el artículo 26 de </w:t>
      </w:r>
      <w:r w:rsidRPr="00545310">
        <w:rPr>
          <w:rFonts w:ascii="Arial" w:hAnsi="Arial" w:cs="Arial"/>
          <w:szCs w:val="24"/>
          <w:lang w:val="es-CO" w:eastAsia="ar-SA"/>
        </w:rPr>
        <w:t>la Ley 1150 de 2007, vigente para la fecha en que se celebró el</w:t>
      </w:r>
      <w:r w:rsidR="00F40DEA" w:rsidRPr="00545310">
        <w:rPr>
          <w:rFonts w:ascii="Arial" w:hAnsi="Arial" w:cs="Arial"/>
          <w:szCs w:val="24"/>
          <w:lang w:val="es-CO" w:eastAsia="ar-SA"/>
        </w:rPr>
        <w:t xml:space="preserve"> </w:t>
      </w:r>
      <w:r w:rsidRPr="00545310">
        <w:rPr>
          <w:rFonts w:ascii="Arial" w:hAnsi="Arial" w:cs="Arial"/>
          <w:szCs w:val="24"/>
          <w:lang w:val="es-CO" w:eastAsia="ar-SA"/>
        </w:rPr>
        <w:t xml:space="preserve">contrato </w:t>
      </w:r>
      <w:r w:rsidR="00F40DEA" w:rsidRPr="00545310">
        <w:rPr>
          <w:rFonts w:ascii="Arial" w:hAnsi="Arial" w:cs="Arial"/>
          <w:szCs w:val="24"/>
          <w:lang w:val="es-CO" w:eastAsia="ar-SA"/>
        </w:rPr>
        <w:t>2091</w:t>
      </w:r>
      <w:r w:rsidR="00547B14" w:rsidRPr="00545310">
        <w:rPr>
          <w:rFonts w:ascii="Arial" w:hAnsi="Arial" w:cs="Arial"/>
          <w:szCs w:val="24"/>
          <w:lang w:val="es-CO" w:eastAsia="ar-SA"/>
        </w:rPr>
        <w:t>4</w:t>
      </w:r>
      <w:r w:rsidR="00F40DEA" w:rsidRPr="00545310">
        <w:rPr>
          <w:rFonts w:ascii="Arial" w:hAnsi="Arial" w:cs="Arial"/>
          <w:szCs w:val="24"/>
          <w:lang w:val="es-CO" w:eastAsia="ar-SA"/>
        </w:rPr>
        <w:t xml:space="preserve">77 de 22 de mayo de 2009, </w:t>
      </w:r>
      <w:r w:rsidR="005E3C6F" w:rsidRPr="00545310">
        <w:rPr>
          <w:rFonts w:ascii="Arial" w:hAnsi="Arial" w:cs="Arial"/>
          <w:szCs w:val="24"/>
          <w:lang w:val="es-CO" w:eastAsia="ar-SA"/>
        </w:rPr>
        <w:t xml:space="preserve">se </w:t>
      </w:r>
      <w:r w:rsidR="005E3C6F" w:rsidRPr="00545310">
        <w:rPr>
          <w:rFonts w:ascii="Arial" w:hAnsi="Arial" w:cs="Arial"/>
          <w:szCs w:val="24"/>
          <w:lang w:val="es-CO" w:eastAsia="ar-SA"/>
        </w:rPr>
        <w:lastRenderedPageBreak/>
        <w:t xml:space="preserve">advierte </w:t>
      </w:r>
      <w:r w:rsidR="00F74696" w:rsidRPr="00545310">
        <w:rPr>
          <w:rFonts w:ascii="Arial" w:hAnsi="Arial" w:cs="Arial"/>
          <w:szCs w:val="24"/>
          <w:lang w:val="es-CO" w:eastAsia="ar-SA"/>
        </w:rPr>
        <w:t xml:space="preserve">que </w:t>
      </w:r>
      <w:r w:rsidR="00F83956" w:rsidRPr="00545310">
        <w:rPr>
          <w:rFonts w:ascii="Arial" w:hAnsi="Arial" w:cs="Arial"/>
          <w:szCs w:val="24"/>
          <w:lang w:val="es-CO" w:eastAsia="ar-SA"/>
        </w:rPr>
        <w:t xml:space="preserve">la actuación contractual de FONADE </w:t>
      </w:r>
      <w:r w:rsidR="000C1D84" w:rsidRPr="00545310">
        <w:rPr>
          <w:rFonts w:ascii="Arial" w:hAnsi="Arial" w:cs="Arial"/>
          <w:szCs w:val="24"/>
          <w:lang w:val="es-CO" w:eastAsia="ar-SA"/>
        </w:rPr>
        <w:t>y</w:t>
      </w:r>
      <w:r w:rsidR="00F83956" w:rsidRPr="00545310">
        <w:rPr>
          <w:rFonts w:ascii="Arial" w:hAnsi="Arial" w:cs="Arial"/>
          <w:szCs w:val="24"/>
          <w:lang w:val="es-CO" w:eastAsia="ar-SA"/>
        </w:rPr>
        <w:t xml:space="preserve">, dentro de ésta, </w:t>
      </w:r>
      <w:r w:rsidR="000C1D84" w:rsidRPr="00545310">
        <w:rPr>
          <w:rFonts w:ascii="Arial" w:hAnsi="Arial" w:cs="Arial"/>
          <w:szCs w:val="24"/>
          <w:lang w:val="es-CO" w:eastAsia="ar-SA"/>
        </w:rPr>
        <w:t>la</w:t>
      </w:r>
      <w:r w:rsidR="00F83956" w:rsidRPr="00545310">
        <w:rPr>
          <w:rFonts w:ascii="Arial" w:hAnsi="Arial" w:cs="Arial"/>
          <w:szCs w:val="24"/>
          <w:lang w:val="es-CO" w:eastAsia="ar-SA"/>
        </w:rPr>
        <w:t xml:space="preserve"> exigibilidad de la</w:t>
      </w:r>
      <w:r w:rsidR="000C1D84" w:rsidRPr="00545310">
        <w:rPr>
          <w:rFonts w:ascii="Arial" w:hAnsi="Arial" w:cs="Arial"/>
          <w:szCs w:val="24"/>
          <w:lang w:val="es-CO" w:eastAsia="ar-SA"/>
        </w:rPr>
        <w:t xml:space="preserve">s garantías otorgadas para </w:t>
      </w:r>
      <w:r w:rsidR="00F83956" w:rsidRPr="00545310">
        <w:rPr>
          <w:rFonts w:ascii="Arial" w:hAnsi="Arial" w:cs="Arial"/>
          <w:szCs w:val="24"/>
          <w:lang w:val="es-CO" w:eastAsia="ar-SA"/>
        </w:rPr>
        <w:t xml:space="preserve">amparar el </w:t>
      </w:r>
      <w:r w:rsidR="000C1D84" w:rsidRPr="00545310">
        <w:rPr>
          <w:rFonts w:ascii="Arial" w:hAnsi="Arial" w:cs="Arial"/>
          <w:szCs w:val="24"/>
          <w:lang w:val="es-CO" w:eastAsia="ar-SA"/>
        </w:rPr>
        <w:t xml:space="preserve">cumplimiento </w:t>
      </w:r>
      <w:r w:rsidR="00F83956" w:rsidRPr="00545310">
        <w:rPr>
          <w:rFonts w:ascii="Arial" w:hAnsi="Arial" w:cs="Arial"/>
          <w:szCs w:val="24"/>
          <w:lang w:val="es-CO" w:eastAsia="ar-SA"/>
        </w:rPr>
        <w:t>de</w:t>
      </w:r>
      <w:r w:rsidR="001B14A6" w:rsidRPr="00545310">
        <w:rPr>
          <w:rFonts w:ascii="Arial" w:hAnsi="Arial" w:cs="Arial"/>
          <w:szCs w:val="24"/>
          <w:lang w:val="es-CO" w:eastAsia="ar-SA"/>
        </w:rPr>
        <w:t xml:space="preserve">l referido contrato, </w:t>
      </w:r>
      <w:r w:rsidR="00F1350D" w:rsidRPr="00545310">
        <w:rPr>
          <w:rFonts w:ascii="Arial" w:hAnsi="Arial" w:cs="Arial"/>
          <w:szCs w:val="24"/>
          <w:lang w:val="es-CO" w:eastAsia="ar-SA"/>
        </w:rPr>
        <w:t>se rigi</w:t>
      </w:r>
      <w:r w:rsidR="000C1D84" w:rsidRPr="00545310">
        <w:rPr>
          <w:rFonts w:ascii="Arial" w:hAnsi="Arial" w:cs="Arial"/>
          <w:szCs w:val="24"/>
          <w:lang w:val="es-CO" w:eastAsia="ar-SA"/>
        </w:rPr>
        <w:t xml:space="preserve">eron </w:t>
      </w:r>
      <w:r w:rsidR="00F1350D" w:rsidRPr="00545310">
        <w:rPr>
          <w:rFonts w:ascii="Arial" w:hAnsi="Arial" w:cs="Arial"/>
          <w:szCs w:val="24"/>
          <w:lang w:val="es-CO" w:eastAsia="ar-SA"/>
        </w:rPr>
        <w:t xml:space="preserve">por el </w:t>
      </w:r>
      <w:r w:rsidR="00F1350D" w:rsidRPr="00545310">
        <w:rPr>
          <w:rFonts w:ascii="Arial" w:hAnsi="Arial" w:cs="Arial"/>
          <w:szCs w:val="24"/>
          <w:shd w:val="clear" w:color="auto" w:fill="FFFFFF"/>
        </w:rPr>
        <w:t xml:space="preserve">Estatuto General de Contratación de la Administración Pública, según se lee </w:t>
      </w:r>
      <w:r w:rsidR="00D862A2" w:rsidRPr="00545310">
        <w:rPr>
          <w:rFonts w:ascii="Arial" w:hAnsi="Arial" w:cs="Arial"/>
          <w:szCs w:val="24"/>
          <w:shd w:val="clear" w:color="auto" w:fill="FFFFFF"/>
        </w:rPr>
        <w:t>en la norma citada, así</w:t>
      </w:r>
      <w:r w:rsidR="00F1350D" w:rsidRPr="00545310">
        <w:rPr>
          <w:rFonts w:ascii="Arial" w:hAnsi="Arial" w:cs="Arial"/>
          <w:szCs w:val="24"/>
          <w:shd w:val="clear" w:color="auto" w:fill="FFFFFF"/>
        </w:rPr>
        <w:t>:</w:t>
      </w:r>
    </w:p>
    <w:p w14:paraId="3397C32A" w14:textId="77777777" w:rsidR="00456FD7" w:rsidRPr="00545310" w:rsidRDefault="00456FD7" w:rsidP="00D862A2">
      <w:pPr>
        <w:pStyle w:val="Sangradetextonormal"/>
        <w:spacing w:after="0" w:line="276" w:lineRule="auto"/>
        <w:ind w:left="567" w:right="567"/>
        <w:rPr>
          <w:rFonts w:ascii="Arial" w:hAnsi="Arial" w:cs="Arial"/>
          <w:bCs/>
          <w:i/>
          <w:szCs w:val="24"/>
          <w:shd w:val="clear" w:color="auto" w:fill="FFFFFF"/>
        </w:rPr>
      </w:pPr>
    </w:p>
    <w:p w14:paraId="6026E16C" w14:textId="77777777" w:rsidR="00DE76BE" w:rsidRPr="00545310" w:rsidRDefault="00F1350D" w:rsidP="00D862A2">
      <w:pPr>
        <w:pStyle w:val="Sangradetextonormal"/>
        <w:spacing w:after="0" w:line="276" w:lineRule="auto"/>
        <w:ind w:left="567" w:right="567"/>
        <w:rPr>
          <w:rFonts w:ascii="Arial" w:hAnsi="Arial" w:cs="Arial"/>
          <w:i/>
          <w:szCs w:val="24"/>
          <w:lang w:val="es-CO" w:eastAsia="ar-SA"/>
        </w:rPr>
      </w:pPr>
      <w:r w:rsidRPr="00545310">
        <w:rPr>
          <w:rFonts w:ascii="Arial" w:hAnsi="Arial" w:cs="Arial"/>
          <w:bCs/>
          <w:i/>
          <w:szCs w:val="24"/>
          <w:shd w:val="clear" w:color="auto" w:fill="FFFFFF"/>
        </w:rPr>
        <w:t>“</w:t>
      </w:r>
      <w:r w:rsidR="00DE76BE" w:rsidRPr="00545310">
        <w:rPr>
          <w:rFonts w:ascii="Arial" w:hAnsi="Arial" w:cs="Arial"/>
          <w:bCs/>
          <w:i/>
          <w:szCs w:val="24"/>
          <w:shd w:val="clear" w:color="auto" w:fill="FFFFFF"/>
        </w:rPr>
        <w:t>Artículo 26</w:t>
      </w:r>
      <w:r w:rsidRPr="00545310">
        <w:rPr>
          <w:rStyle w:val="Refdenotaalpie"/>
          <w:rFonts w:ascii="Arial" w:hAnsi="Arial" w:cs="Arial"/>
          <w:bCs/>
          <w:i/>
          <w:szCs w:val="24"/>
          <w:shd w:val="clear" w:color="auto" w:fill="FFFFFF"/>
        </w:rPr>
        <w:footnoteReference w:id="38"/>
      </w:r>
      <w:r w:rsidR="00DE76BE" w:rsidRPr="00545310">
        <w:rPr>
          <w:rFonts w:ascii="Arial" w:hAnsi="Arial" w:cs="Arial"/>
          <w:bCs/>
          <w:i/>
          <w:szCs w:val="24"/>
          <w:shd w:val="clear" w:color="auto" w:fill="FFFFFF"/>
        </w:rPr>
        <w:t>.</w:t>
      </w:r>
      <w:r w:rsidR="00DE76BE" w:rsidRPr="00545310">
        <w:rPr>
          <w:rFonts w:ascii="Arial" w:hAnsi="Arial" w:cs="Arial"/>
          <w:b/>
          <w:bCs/>
          <w:i/>
          <w:szCs w:val="24"/>
          <w:shd w:val="clear" w:color="auto" w:fill="FFFFFF"/>
        </w:rPr>
        <w:t> </w:t>
      </w:r>
      <w:r w:rsidR="00DE76BE" w:rsidRPr="00545310">
        <w:rPr>
          <w:rFonts w:ascii="Arial" w:hAnsi="Arial" w:cs="Arial"/>
          <w:i/>
          <w:szCs w:val="24"/>
          <w:shd w:val="clear" w:color="auto" w:fill="FFFFFF"/>
        </w:rPr>
        <w:t xml:space="preserve"> Del Fondo Financiero de Proyectos de Desarrollo. El Fondo Financiero de Proyectos de Desarrollo, </w:t>
      </w:r>
      <w:proofErr w:type="spellStart"/>
      <w:r w:rsidR="00DE76BE" w:rsidRPr="00545310">
        <w:rPr>
          <w:rFonts w:ascii="Arial" w:hAnsi="Arial" w:cs="Arial"/>
          <w:i/>
          <w:szCs w:val="24"/>
          <w:shd w:val="clear" w:color="auto" w:fill="FFFFFF"/>
        </w:rPr>
        <w:t>Fonade</w:t>
      </w:r>
      <w:proofErr w:type="spellEnd"/>
      <w:r w:rsidR="00DE76BE" w:rsidRPr="00545310">
        <w:rPr>
          <w:rFonts w:ascii="Arial" w:hAnsi="Arial" w:cs="Arial"/>
          <w:i/>
          <w:szCs w:val="24"/>
          <w:shd w:val="clear" w:color="auto" w:fill="FFFFFF"/>
        </w:rPr>
        <w:t xml:space="preserve"> se regirá por las normas del Estatuto General de Contratación de la Administración Pública contenido en la Ley 80 de 1993 y en las demás normas que lo modifiquen, deroguen o adicionen</w:t>
      </w:r>
      <w:r w:rsidR="00D862A2" w:rsidRPr="00545310">
        <w:rPr>
          <w:rFonts w:ascii="Arial" w:hAnsi="Arial" w:cs="Arial"/>
          <w:i/>
          <w:szCs w:val="24"/>
          <w:shd w:val="clear" w:color="auto" w:fill="FFFFFF"/>
        </w:rPr>
        <w:t>”</w:t>
      </w:r>
      <w:r w:rsidR="00DE76BE" w:rsidRPr="00545310">
        <w:rPr>
          <w:rFonts w:ascii="Arial" w:hAnsi="Arial" w:cs="Arial"/>
          <w:i/>
          <w:szCs w:val="24"/>
          <w:shd w:val="clear" w:color="auto" w:fill="FFFFFF"/>
        </w:rPr>
        <w:t>.</w:t>
      </w:r>
    </w:p>
    <w:p w14:paraId="4EA2CACB" w14:textId="77777777" w:rsidR="00D862A2" w:rsidRPr="00545310" w:rsidRDefault="00D862A2" w:rsidP="00423EC8">
      <w:pPr>
        <w:pStyle w:val="Sangradetextonormal"/>
        <w:spacing w:after="0"/>
        <w:ind w:left="0"/>
        <w:rPr>
          <w:rFonts w:ascii="Arial" w:hAnsi="Arial" w:cs="Arial"/>
          <w:szCs w:val="24"/>
          <w:lang w:val="es-CO" w:eastAsia="ar-SA"/>
        </w:rPr>
      </w:pPr>
    </w:p>
    <w:p w14:paraId="564AB06D" w14:textId="77777777" w:rsidR="009C10ED" w:rsidRPr="00545310" w:rsidRDefault="00EB7034" w:rsidP="00A222B2">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Como consecuencia, se establece que el régimen contractual aplicable </w:t>
      </w:r>
      <w:r w:rsidR="003F7E2F" w:rsidRPr="00545310">
        <w:rPr>
          <w:rFonts w:ascii="Arial" w:hAnsi="Arial" w:cs="Arial"/>
          <w:szCs w:val="24"/>
          <w:lang w:val="es-CO" w:eastAsia="ar-SA"/>
        </w:rPr>
        <w:t xml:space="preserve">para </w:t>
      </w:r>
      <w:r w:rsidR="00370CE3" w:rsidRPr="00545310">
        <w:rPr>
          <w:rFonts w:ascii="Arial" w:hAnsi="Arial" w:cs="Arial"/>
          <w:szCs w:val="24"/>
          <w:lang w:val="es-CO" w:eastAsia="ar-SA"/>
        </w:rPr>
        <w:t xml:space="preserve">el </w:t>
      </w:r>
      <w:r w:rsidR="00787E16" w:rsidRPr="00545310">
        <w:rPr>
          <w:rFonts w:ascii="Arial" w:hAnsi="Arial" w:cs="Arial"/>
          <w:szCs w:val="24"/>
          <w:lang w:val="es-CO" w:eastAsia="ar-SA"/>
        </w:rPr>
        <w:t>c</w:t>
      </w:r>
      <w:r w:rsidR="00370CE3" w:rsidRPr="00545310">
        <w:rPr>
          <w:rFonts w:ascii="Arial" w:hAnsi="Arial" w:cs="Arial"/>
          <w:szCs w:val="24"/>
          <w:lang w:val="es-CO" w:eastAsia="ar-SA"/>
        </w:rPr>
        <w:t>on</w:t>
      </w:r>
      <w:r w:rsidR="007B144A" w:rsidRPr="00545310">
        <w:rPr>
          <w:rFonts w:ascii="Arial" w:hAnsi="Arial" w:cs="Arial"/>
          <w:szCs w:val="24"/>
          <w:lang w:val="es-CO" w:eastAsia="ar-SA"/>
        </w:rPr>
        <w:t xml:space="preserve">trato </w:t>
      </w:r>
      <w:r w:rsidR="00F74696" w:rsidRPr="00545310">
        <w:rPr>
          <w:rFonts w:ascii="Arial" w:hAnsi="Arial" w:cs="Arial"/>
          <w:szCs w:val="24"/>
          <w:lang w:val="es-CO" w:eastAsia="ar-SA"/>
        </w:rPr>
        <w:t>y para la garantía de cumplimiento</w:t>
      </w:r>
      <w:r w:rsidR="00370CE3" w:rsidRPr="00545310">
        <w:rPr>
          <w:rFonts w:ascii="Arial" w:hAnsi="Arial" w:cs="Arial"/>
          <w:szCs w:val="24"/>
          <w:lang w:val="es-CO" w:eastAsia="ar-SA"/>
        </w:rPr>
        <w:t xml:space="preserve"> </w:t>
      </w:r>
      <w:r w:rsidR="00F74696" w:rsidRPr="00545310">
        <w:rPr>
          <w:rFonts w:ascii="Arial" w:hAnsi="Arial" w:cs="Arial"/>
          <w:szCs w:val="24"/>
          <w:lang w:val="es-CO" w:eastAsia="ar-SA"/>
        </w:rPr>
        <w:t xml:space="preserve">fue el </w:t>
      </w:r>
      <w:r w:rsidR="009818EB" w:rsidRPr="00545310">
        <w:rPr>
          <w:rFonts w:ascii="Arial" w:hAnsi="Arial" w:cs="Arial"/>
          <w:szCs w:val="24"/>
          <w:lang w:val="es-CO" w:eastAsia="ar-SA"/>
        </w:rPr>
        <w:t xml:space="preserve">contenido en </w:t>
      </w:r>
      <w:r w:rsidR="007B144A" w:rsidRPr="00545310">
        <w:rPr>
          <w:rFonts w:ascii="Arial" w:hAnsi="Arial" w:cs="Arial"/>
          <w:szCs w:val="24"/>
          <w:lang w:val="es-CO" w:eastAsia="ar-SA"/>
        </w:rPr>
        <w:t xml:space="preserve">la Ley 80 de 1993 y la Ley 1150 de 2007. </w:t>
      </w:r>
      <w:r w:rsidR="009818EB" w:rsidRPr="00545310">
        <w:rPr>
          <w:rFonts w:ascii="Arial" w:hAnsi="Arial" w:cs="Arial"/>
          <w:szCs w:val="24"/>
          <w:lang w:val="es-CO" w:eastAsia="ar-SA"/>
        </w:rPr>
        <w:t xml:space="preserve"> </w:t>
      </w:r>
      <w:r w:rsidR="004D6695" w:rsidRPr="00545310">
        <w:rPr>
          <w:rFonts w:ascii="Arial" w:hAnsi="Arial" w:cs="Arial"/>
          <w:szCs w:val="24"/>
          <w:lang w:val="es-CO" w:eastAsia="ar-SA"/>
        </w:rPr>
        <w:t xml:space="preserve">Se hace notar que </w:t>
      </w:r>
      <w:r w:rsidR="00B0710D" w:rsidRPr="00545310">
        <w:rPr>
          <w:rFonts w:ascii="Arial" w:hAnsi="Arial" w:cs="Arial"/>
          <w:szCs w:val="24"/>
          <w:lang w:val="es-CO" w:eastAsia="ar-SA"/>
        </w:rPr>
        <w:t xml:space="preserve">el referido </w:t>
      </w:r>
      <w:r w:rsidR="000B36E3" w:rsidRPr="00545310">
        <w:rPr>
          <w:rFonts w:ascii="Arial" w:hAnsi="Arial" w:cs="Arial"/>
          <w:szCs w:val="24"/>
          <w:lang w:val="es-CO" w:eastAsia="ar-SA"/>
        </w:rPr>
        <w:t xml:space="preserve">régimen legal aplicable </w:t>
      </w:r>
      <w:r w:rsidR="004D6695" w:rsidRPr="00545310">
        <w:rPr>
          <w:rFonts w:ascii="Arial" w:hAnsi="Arial" w:cs="Arial"/>
          <w:szCs w:val="24"/>
          <w:lang w:val="es-CO" w:eastAsia="ar-SA"/>
        </w:rPr>
        <w:t>aparec</w:t>
      </w:r>
      <w:r w:rsidR="00394673" w:rsidRPr="00545310">
        <w:rPr>
          <w:rFonts w:ascii="Arial" w:hAnsi="Arial" w:cs="Arial"/>
          <w:szCs w:val="24"/>
          <w:lang w:val="es-CO" w:eastAsia="ar-SA"/>
        </w:rPr>
        <w:t>ió</w:t>
      </w:r>
      <w:r w:rsidR="004D6695" w:rsidRPr="00545310">
        <w:rPr>
          <w:rFonts w:ascii="Arial" w:hAnsi="Arial" w:cs="Arial"/>
          <w:szCs w:val="24"/>
          <w:lang w:val="es-CO" w:eastAsia="ar-SA"/>
        </w:rPr>
        <w:t xml:space="preserve"> </w:t>
      </w:r>
      <w:r w:rsidR="009818EB" w:rsidRPr="00545310">
        <w:rPr>
          <w:rFonts w:ascii="Arial" w:hAnsi="Arial" w:cs="Arial"/>
          <w:szCs w:val="24"/>
          <w:lang w:val="es-CO" w:eastAsia="ar-SA"/>
        </w:rPr>
        <w:t xml:space="preserve">correctamente </w:t>
      </w:r>
      <w:r w:rsidR="007B144A" w:rsidRPr="00545310">
        <w:rPr>
          <w:rFonts w:ascii="Arial" w:hAnsi="Arial" w:cs="Arial"/>
          <w:szCs w:val="24"/>
          <w:lang w:val="es-CO" w:eastAsia="ar-SA"/>
        </w:rPr>
        <w:t>invocad</w:t>
      </w:r>
      <w:r w:rsidR="00C21A79" w:rsidRPr="00545310">
        <w:rPr>
          <w:rFonts w:ascii="Arial" w:hAnsi="Arial" w:cs="Arial"/>
          <w:szCs w:val="24"/>
          <w:lang w:val="es-CO" w:eastAsia="ar-SA"/>
        </w:rPr>
        <w:t>o</w:t>
      </w:r>
      <w:r w:rsidR="007B144A" w:rsidRPr="00545310">
        <w:rPr>
          <w:rFonts w:ascii="Arial" w:hAnsi="Arial" w:cs="Arial"/>
          <w:szCs w:val="24"/>
          <w:lang w:val="es-CO" w:eastAsia="ar-SA"/>
        </w:rPr>
        <w:t xml:space="preserve"> en los considerandos del Contrato 2091477</w:t>
      </w:r>
      <w:r w:rsidR="009C10ED" w:rsidRPr="00545310">
        <w:rPr>
          <w:rFonts w:ascii="Arial" w:hAnsi="Arial" w:cs="Arial"/>
          <w:szCs w:val="24"/>
          <w:lang w:val="es-CO" w:eastAsia="ar-SA"/>
        </w:rPr>
        <w:t>.</w:t>
      </w:r>
    </w:p>
    <w:p w14:paraId="0A5F27E8" w14:textId="77777777" w:rsidR="009C10ED" w:rsidRPr="00545310" w:rsidRDefault="009C10ED" w:rsidP="00A222B2">
      <w:pPr>
        <w:pStyle w:val="Sangradetextonormal"/>
        <w:spacing w:after="0"/>
        <w:ind w:left="0"/>
        <w:rPr>
          <w:rFonts w:ascii="Arial" w:hAnsi="Arial" w:cs="Arial"/>
          <w:szCs w:val="24"/>
          <w:lang w:val="es-CO" w:eastAsia="ar-SA"/>
        </w:rPr>
      </w:pPr>
    </w:p>
    <w:p w14:paraId="7F8AAEBE" w14:textId="77777777" w:rsidR="00173DB2" w:rsidRPr="00545310" w:rsidRDefault="000C1D84" w:rsidP="00A222B2">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Igualmente</w:t>
      </w:r>
      <w:r w:rsidR="00456FD7" w:rsidRPr="00545310">
        <w:rPr>
          <w:rFonts w:ascii="Arial" w:hAnsi="Arial" w:cs="Arial"/>
          <w:szCs w:val="24"/>
          <w:lang w:val="es-CO" w:eastAsia="ar-SA"/>
        </w:rPr>
        <w:t>,</w:t>
      </w:r>
      <w:r w:rsidRPr="00545310">
        <w:rPr>
          <w:rFonts w:ascii="Arial" w:hAnsi="Arial" w:cs="Arial"/>
          <w:szCs w:val="24"/>
          <w:lang w:val="es-CO" w:eastAsia="ar-SA"/>
        </w:rPr>
        <w:t xml:space="preserve"> </w:t>
      </w:r>
      <w:r w:rsidR="00A06B4F" w:rsidRPr="00545310">
        <w:rPr>
          <w:rFonts w:ascii="Arial" w:hAnsi="Arial" w:cs="Arial"/>
          <w:szCs w:val="24"/>
          <w:lang w:val="es-CO" w:eastAsia="ar-SA"/>
        </w:rPr>
        <w:t>se advierte que la potestad para declarar la caducidad del contrato se encontró amparada en el artículo 18 de la Ley 80 de 1993</w:t>
      </w:r>
      <w:r w:rsidR="00173DB2" w:rsidRPr="00545310">
        <w:rPr>
          <w:rFonts w:ascii="Arial" w:hAnsi="Arial" w:cs="Arial"/>
          <w:szCs w:val="24"/>
          <w:lang w:val="es-CO" w:eastAsia="ar-SA"/>
        </w:rPr>
        <w:t>, el cual dispuso que el acto administrativo constituye en sí mismo el siniestro</w:t>
      </w:r>
      <w:r w:rsidR="00F03528" w:rsidRPr="00545310">
        <w:rPr>
          <w:rStyle w:val="Refdenotaalpie"/>
          <w:rFonts w:ascii="Arial" w:hAnsi="Arial" w:cs="Arial"/>
          <w:szCs w:val="24"/>
          <w:lang w:val="es-CO" w:eastAsia="ar-SA"/>
        </w:rPr>
        <w:footnoteReference w:id="39"/>
      </w:r>
      <w:r w:rsidR="00173DB2" w:rsidRPr="00545310">
        <w:rPr>
          <w:rFonts w:ascii="Arial" w:hAnsi="Arial" w:cs="Arial"/>
          <w:szCs w:val="24"/>
          <w:lang w:val="es-CO" w:eastAsia="ar-SA"/>
        </w:rPr>
        <w:t xml:space="preserve">, amén de que </w:t>
      </w:r>
      <w:r w:rsidR="004C6D21" w:rsidRPr="00545310">
        <w:rPr>
          <w:rFonts w:ascii="Arial" w:hAnsi="Arial" w:cs="Arial"/>
          <w:szCs w:val="24"/>
          <w:lang w:val="es-CO" w:eastAsia="ar-SA"/>
        </w:rPr>
        <w:t xml:space="preserve">dicha </w:t>
      </w:r>
      <w:r w:rsidR="00173DB2" w:rsidRPr="00545310">
        <w:rPr>
          <w:rFonts w:ascii="Arial" w:hAnsi="Arial" w:cs="Arial"/>
          <w:szCs w:val="24"/>
          <w:lang w:val="es-CO" w:eastAsia="ar-SA"/>
        </w:rPr>
        <w:t>potestad exorbitante se estipuló de manera obligatoria en los contratos de obra, en los términos del artículo 14 de la Ley 80 de 1993</w:t>
      </w:r>
      <w:r w:rsidR="003A4FFE" w:rsidRPr="00545310">
        <w:rPr>
          <w:rStyle w:val="Refdenotaalpie"/>
          <w:rFonts w:ascii="Arial" w:hAnsi="Arial" w:cs="Arial"/>
          <w:szCs w:val="24"/>
          <w:lang w:val="es-CO" w:eastAsia="ar-SA"/>
        </w:rPr>
        <w:footnoteReference w:id="40"/>
      </w:r>
      <w:r w:rsidR="00173DB2" w:rsidRPr="00545310">
        <w:rPr>
          <w:rFonts w:ascii="Arial" w:hAnsi="Arial" w:cs="Arial"/>
          <w:szCs w:val="24"/>
          <w:lang w:val="es-CO" w:eastAsia="ar-SA"/>
        </w:rPr>
        <w:t xml:space="preserve">. </w:t>
      </w:r>
    </w:p>
    <w:p w14:paraId="065EA976" w14:textId="77777777" w:rsidR="00173DB2" w:rsidRPr="00545310" w:rsidRDefault="00173DB2" w:rsidP="00A222B2">
      <w:pPr>
        <w:pStyle w:val="Sangradetextonormal"/>
        <w:spacing w:after="0"/>
        <w:ind w:left="0"/>
        <w:rPr>
          <w:rFonts w:ascii="Arial" w:hAnsi="Arial" w:cs="Arial"/>
          <w:szCs w:val="24"/>
          <w:lang w:val="es-CO" w:eastAsia="ar-SA"/>
        </w:rPr>
      </w:pPr>
    </w:p>
    <w:p w14:paraId="7897BFD9" w14:textId="77777777" w:rsidR="00CB42A2" w:rsidRPr="00545310" w:rsidRDefault="00DE7CFB" w:rsidP="00A222B2">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Por otra parte, se </w:t>
      </w:r>
      <w:r w:rsidR="004C6D21" w:rsidRPr="00545310">
        <w:rPr>
          <w:rFonts w:ascii="Arial" w:hAnsi="Arial" w:cs="Arial"/>
          <w:szCs w:val="24"/>
          <w:lang w:val="es-CO" w:eastAsia="ar-SA"/>
        </w:rPr>
        <w:t xml:space="preserve">identifica </w:t>
      </w:r>
      <w:r w:rsidRPr="00545310">
        <w:rPr>
          <w:rFonts w:ascii="Arial" w:hAnsi="Arial" w:cs="Arial"/>
          <w:szCs w:val="24"/>
          <w:lang w:val="es-CO" w:eastAsia="ar-SA"/>
        </w:rPr>
        <w:t xml:space="preserve">que </w:t>
      </w:r>
      <w:r w:rsidR="009C10ED" w:rsidRPr="00545310">
        <w:rPr>
          <w:rFonts w:ascii="Arial" w:hAnsi="Arial" w:cs="Arial"/>
          <w:szCs w:val="24"/>
          <w:lang w:val="es-CO" w:eastAsia="ar-SA"/>
        </w:rPr>
        <w:t xml:space="preserve">la </w:t>
      </w:r>
      <w:r w:rsidR="00CF2298" w:rsidRPr="00545310">
        <w:rPr>
          <w:rFonts w:ascii="Arial" w:hAnsi="Arial" w:cs="Arial"/>
          <w:szCs w:val="24"/>
          <w:lang w:val="es-CO" w:eastAsia="ar-SA"/>
        </w:rPr>
        <w:t xml:space="preserve">facultad </w:t>
      </w:r>
      <w:r w:rsidR="00793BB5" w:rsidRPr="00545310">
        <w:rPr>
          <w:rFonts w:ascii="Arial" w:hAnsi="Arial" w:cs="Arial"/>
          <w:szCs w:val="24"/>
          <w:lang w:val="es-CO" w:eastAsia="ar-SA"/>
        </w:rPr>
        <w:t>para declarar el siniestro</w:t>
      </w:r>
      <w:r w:rsidR="00DB0D45" w:rsidRPr="00545310">
        <w:rPr>
          <w:rFonts w:ascii="Arial" w:hAnsi="Arial" w:cs="Arial"/>
          <w:szCs w:val="24"/>
          <w:lang w:val="es-CO" w:eastAsia="ar-SA"/>
        </w:rPr>
        <w:t xml:space="preserve"> del contrato estatal</w:t>
      </w:r>
      <w:r w:rsidR="009C10ED" w:rsidRPr="00545310">
        <w:rPr>
          <w:rFonts w:ascii="Arial" w:hAnsi="Arial" w:cs="Arial"/>
          <w:szCs w:val="24"/>
          <w:lang w:val="es-CO" w:eastAsia="ar-SA"/>
        </w:rPr>
        <w:t xml:space="preserve"> se encontró regulada por los artículos 7 y 17 de la </w:t>
      </w:r>
      <w:r w:rsidR="00456FD7" w:rsidRPr="00545310">
        <w:rPr>
          <w:rFonts w:ascii="Arial" w:hAnsi="Arial" w:cs="Arial"/>
          <w:szCs w:val="24"/>
          <w:lang w:val="es-CO" w:eastAsia="ar-SA"/>
        </w:rPr>
        <w:t>L</w:t>
      </w:r>
      <w:r w:rsidR="009C10ED" w:rsidRPr="00545310">
        <w:rPr>
          <w:rFonts w:ascii="Arial" w:hAnsi="Arial" w:cs="Arial"/>
          <w:szCs w:val="24"/>
          <w:lang w:val="es-CO" w:eastAsia="ar-SA"/>
        </w:rPr>
        <w:t>ey 1150 de 2007</w:t>
      </w:r>
      <w:r w:rsidR="00CB42A2" w:rsidRPr="00545310">
        <w:rPr>
          <w:rFonts w:ascii="Arial" w:hAnsi="Arial" w:cs="Arial"/>
          <w:szCs w:val="24"/>
          <w:lang w:val="es-CO" w:eastAsia="ar-SA"/>
        </w:rPr>
        <w:t>, los cuales</w:t>
      </w:r>
      <w:r w:rsidR="00DB0D45" w:rsidRPr="00545310">
        <w:rPr>
          <w:rFonts w:ascii="Arial" w:hAnsi="Arial" w:cs="Arial"/>
          <w:szCs w:val="24"/>
          <w:lang w:val="es-CO" w:eastAsia="ar-SA"/>
        </w:rPr>
        <w:t>,</w:t>
      </w:r>
      <w:r w:rsidR="00CB42A2" w:rsidRPr="00545310">
        <w:rPr>
          <w:rFonts w:ascii="Arial" w:hAnsi="Arial" w:cs="Arial"/>
          <w:szCs w:val="24"/>
          <w:lang w:val="es-CO" w:eastAsia="ar-SA"/>
        </w:rPr>
        <w:t xml:space="preserve"> </w:t>
      </w:r>
      <w:r w:rsidR="00364930" w:rsidRPr="00545310">
        <w:rPr>
          <w:rFonts w:ascii="Arial" w:hAnsi="Arial" w:cs="Arial"/>
          <w:szCs w:val="24"/>
          <w:lang w:val="es-CO" w:eastAsia="ar-SA"/>
        </w:rPr>
        <w:t xml:space="preserve">para la época en que se celebró el contrato </w:t>
      </w:r>
      <w:r w:rsidR="00DB0D45" w:rsidRPr="00545310">
        <w:rPr>
          <w:rFonts w:ascii="Arial" w:hAnsi="Arial" w:cs="Arial"/>
          <w:szCs w:val="24"/>
          <w:lang w:val="es-CO" w:eastAsia="ar-SA"/>
        </w:rPr>
        <w:t>de obra</w:t>
      </w:r>
      <w:r w:rsidR="004C6D21" w:rsidRPr="00545310">
        <w:rPr>
          <w:rFonts w:ascii="Arial" w:hAnsi="Arial" w:cs="Arial"/>
          <w:szCs w:val="24"/>
          <w:lang w:val="es-CO" w:eastAsia="ar-SA"/>
        </w:rPr>
        <w:t xml:space="preserve"> y se otorgó la póliza de seguro </w:t>
      </w:r>
      <w:r w:rsidR="00F03528" w:rsidRPr="00545310">
        <w:rPr>
          <w:rFonts w:ascii="Arial" w:hAnsi="Arial" w:cs="Arial"/>
          <w:szCs w:val="24"/>
          <w:lang w:val="es-CO" w:eastAsia="ar-SA"/>
        </w:rPr>
        <w:t>referid</w:t>
      </w:r>
      <w:r w:rsidR="004C6D21" w:rsidRPr="00545310">
        <w:rPr>
          <w:rFonts w:ascii="Arial" w:hAnsi="Arial" w:cs="Arial"/>
          <w:szCs w:val="24"/>
          <w:lang w:val="es-CO" w:eastAsia="ar-SA"/>
        </w:rPr>
        <w:t>a</w:t>
      </w:r>
      <w:r w:rsidR="00F03528" w:rsidRPr="00545310">
        <w:rPr>
          <w:rFonts w:ascii="Arial" w:hAnsi="Arial" w:cs="Arial"/>
          <w:szCs w:val="24"/>
          <w:lang w:val="es-CO" w:eastAsia="ar-SA"/>
        </w:rPr>
        <w:t xml:space="preserve"> en la controversia sub júdice</w:t>
      </w:r>
      <w:r w:rsidR="004C6D21" w:rsidRPr="00545310">
        <w:rPr>
          <w:rFonts w:ascii="Arial" w:hAnsi="Arial" w:cs="Arial"/>
          <w:szCs w:val="24"/>
          <w:lang w:val="es-CO" w:eastAsia="ar-SA"/>
        </w:rPr>
        <w:t xml:space="preserve">, </w:t>
      </w:r>
      <w:r w:rsidR="009818EB" w:rsidRPr="00545310">
        <w:rPr>
          <w:rFonts w:ascii="Arial" w:hAnsi="Arial" w:cs="Arial"/>
          <w:szCs w:val="24"/>
          <w:lang w:val="es-CO" w:eastAsia="ar-SA"/>
        </w:rPr>
        <w:t xml:space="preserve">soportaban el presupuesto de la </w:t>
      </w:r>
      <w:r w:rsidR="00DB0D45" w:rsidRPr="00545310">
        <w:rPr>
          <w:rFonts w:ascii="Arial" w:hAnsi="Arial" w:cs="Arial"/>
          <w:szCs w:val="24"/>
          <w:lang w:val="es-CO" w:eastAsia="ar-SA"/>
        </w:rPr>
        <w:t xml:space="preserve">competencia </w:t>
      </w:r>
      <w:r w:rsidR="009818EB" w:rsidRPr="00545310">
        <w:rPr>
          <w:rFonts w:ascii="Arial" w:hAnsi="Arial" w:cs="Arial"/>
          <w:szCs w:val="24"/>
          <w:lang w:val="es-CO" w:eastAsia="ar-SA"/>
        </w:rPr>
        <w:t xml:space="preserve">de la entidad contratante </w:t>
      </w:r>
      <w:r w:rsidR="00F03528" w:rsidRPr="00545310">
        <w:rPr>
          <w:rFonts w:ascii="Arial" w:hAnsi="Arial" w:cs="Arial"/>
          <w:szCs w:val="24"/>
          <w:lang w:val="es-CO" w:eastAsia="ar-SA"/>
        </w:rPr>
        <w:t xml:space="preserve">para expedir </w:t>
      </w:r>
      <w:r w:rsidR="002A006D" w:rsidRPr="00545310">
        <w:rPr>
          <w:rFonts w:ascii="Arial" w:hAnsi="Arial" w:cs="Arial"/>
          <w:szCs w:val="24"/>
          <w:lang w:val="es-CO" w:eastAsia="ar-SA"/>
        </w:rPr>
        <w:t xml:space="preserve">el acto administrativo </w:t>
      </w:r>
      <w:r w:rsidR="001B14A6" w:rsidRPr="00545310">
        <w:rPr>
          <w:rFonts w:ascii="Arial" w:hAnsi="Arial" w:cs="Arial"/>
          <w:szCs w:val="24"/>
          <w:lang w:val="es-CO" w:eastAsia="ar-SA"/>
        </w:rPr>
        <w:t xml:space="preserve">que declarara la obligación </w:t>
      </w:r>
      <w:r w:rsidR="00DB0D45" w:rsidRPr="00545310">
        <w:rPr>
          <w:rFonts w:ascii="Arial" w:hAnsi="Arial" w:cs="Arial"/>
          <w:szCs w:val="24"/>
          <w:lang w:val="es-CO" w:eastAsia="ar-SA"/>
        </w:rPr>
        <w:t xml:space="preserve">y </w:t>
      </w:r>
      <w:r w:rsidR="003E47D6" w:rsidRPr="00545310">
        <w:rPr>
          <w:rFonts w:ascii="Arial" w:hAnsi="Arial" w:cs="Arial"/>
          <w:szCs w:val="24"/>
          <w:lang w:val="es-CO" w:eastAsia="ar-SA"/>
        </w:rPr>
        <w:t xml:space="preserve">referían un </w:t>
      </w:r>
      <w:r w:rsidR="00DB0D45" w:rsidRPr="00545310">
        <w:rPr>
          <w:rFonts w:ascii="Arial" w:hAnsi="Arial" w:cs="Arial"/>
          <w:szCs w:val="24"/>
          <w:lang w:val="es-CO" w:eastAsia="ar-SA"/>
        </w:rPr>
        <w:t>proce</w:t>
      </w:r>
      <w:r w:rsidR="003E47D6" w:rsidRPr="00545310">
        <w:rPr>
          <w:rFonts w:ascii="Arial" w:hAnsi="Arial" w:cs="Arial"/>
          <w:szCs w:val="24"/>
          <w:lang w:val="es-CO" w:eastAsia="ar-SA"/>
        </w:rPr>
        <w:t xml:space="preserve">dimiento especial para la actuación orientada a </w:t>
      </w:r>
      <w:r w:rsidR="002A006D" w:rsidRPr="00545310">
        <w:rPr>
          <w:rFonts w:ascii="Arial" w:hAnsi="Arial" w:cs="Arial"/>
          <w:szCs w:val="24"/>
          <w:lang w:val="es-CO" w:eastAsia="ar-SA"/>
        </w:rPr>
        <w:t xml:space="preserve">declarar </w:t>
      </w:r>
      <w:r w:rsidR="00DB0D45" w:rsidRPr="00545310">
        <w:rPr>
          <w:rFonts w:ascii="Arial" w:hAnsi="Arial" w:cs="Arial"/>
          <w:szCs w:val="24"/>
          <w:lang w:val="es-CO" w:eastAsia="ar-SA"/>
        </w:rPr>
        <w:t xml:space="preserve">la </w:t>
      </w:r>
      <w:r w:rsidR="002A006D" w:rsidRPr="00545310">
        <w:rPr>
          <w:rFonts w:ascii="Arial" w:hAnsi="Arial" w:cs="Arial"/>
          <w:szCs w:val="24"/>
          <w:lang w:val="es-CO" w:eastAsia="ar-SA"/>
        </w:rPr>
        <w:t xml:space="preserve">caducidad constitutiva </w:t>
      </w:r>
      <w:r w:rsidR="00DB0D45" w:rsidRPr="00545310">
        <w:rPr>
          <w:rFonts w:ascii="Arial" w:hAnsi="Arial" w:cs="Arial"/>
          <w:szCs w:val="24"/>
          <w:lang w:val="es-CO" w:eastAsia="ar-SA"/>
        </w:rPr>
        <w:t>del siniestro</w:t>
      </w:r>
      <w:r w:rsidR="00440B47" w:rsidRPr="00545310">
        <w:rPr>
          <w:rFonts w:ascii="Arial" w:hAnsi="Arial" w:cs="Arial"/>
          <w:szCs w:val="24"/>
          <w:lang w:val="es-CO" w:eastAsia="ar-SA"/>
        </w:rPr>
        <w:t xml:space="preserve">, </w:t>
      </w:r>
      <w:r w:rsidR="00DB0D45" w:rsidRPr="00545310">
        <w:rPr>
          <w:rFonts w:ascii="Arial" w:hAnsi="Arial" w:cs="Arial"/>
          <w:szCs w:val="24"/>
          <w:lang w:val="es-CO" w:eastAsia="ar-SA"/>
        </w:rPr>
        <w:t>mediante acto administrativo</w:t>
      </w:r>
      <w:r w:rsidR="003A4FFE" w:rsidRPr="00545310">
        <w:rPr>
          <w:rFonts w:ascii="Arial" w:hAnsi="Arial" w:cs="Arial"/>
          <w:szCs w:val="24"/>
          <w:lang w:val="es-CO" w:eastAsia="ar-SA"/>
        </w:rPr>
        <w:t xml:space="preserve">, </w:t>
      </w:r>
      <w:r w:rsidR="00A06B4F" w:rsidRPr="00545310">
        <w:rPr>
          <w:rFonts w:ascii="Arial" w:hAnsi="Arial" w:cs="Arial"/>
          <w:szCs w:val="24"/>
          <w:lang w:val="es-CO" w:eastAsia="ar-SA"/>
        </w:rPr>
        <w:t>así:</w:t>
      </w:r>
      <w:r w:rsidR="00CB42A2" w:rsidRPr="00545310">
        <w:rPr>
          <w:rFonts w:ascii="Arial" w:hAnsi="Arial" w:cs="Arial"/>
          <w:szCs w:val="24"/>
          <w:lang w:val="es-CO" w:eastAsia="ar-SA"/>
        </w:rPr>
        <w:t xml:space="preserve"> </w:t>
      </w:r>
    </w:p>
    <w:p w14:paraId="70A7D992" w14:textId="77777777" w:rsidR="00CB42A2" w:rsidRPr="00545310" w:rsidRDefault="00CB42A2" w:rsidP="00A222B2">
      <w:pPr>
        <w:pStyle w:val="Sangradetextonormal"/>
        <w:spacing w:after="0"/>
        <w:ind w:left="0"/>
        <w:rPr>
          <w:rFonts w:ascii="Arial" w:hAnsi="Arial" w:cs="Arial"/>
          <w:szCs w:val="24"/>
          <w:lang w:val="es-CO" w:eastAsia="ar-SA"/>
        </w:rPr>
      </w:pPr>
    </w:p>
    <w:p w14:paraId="7252AC0C" w14:textId="77777777" w:rsidR="00CB42A2" w:rsidRPr="00545310" w:rsidRDefault="00DE7CFB" w:rsidP="009A7BE1">
      <w:pPr>
        <w:pStyle w:val="NormalWeb"/>
        <w:shd w:val="clear" w:color="auto" w:fill="FFFFFF"/>
        <w:spacing w:line="276" w:lineRule="auto"/>
        <w:ind w:left="567" w:right="567"/>
        <w:rPr>
          <w:rFonts w:cs="Arial"/>
          <w:i/>
        </w:rPr>
      </w:pPr>
      <w:r w:rsidRPr="00545310">
        <w:rPr>
          <w:rFonts w:cs="Arial"/>
          <w:bCs/>
          <w:i/>
        </w:rPr>
        <w:lastRenderedPageBreak/>
        <w:t>“</w:t>
      </w:r>
      <w:r w:rsidR="00CB42A2" w:rsidRPr="00545310">
        <w:rPr>
          <w:rFonts w:cs="Arial"/>
          <w:bCs/>
          <w:i/>
        </w:rPr>
        <w:t>Artículo 7°.</w:t>
      </w:r>
      <w:r w:rsidR="00CB42A2" w:rsidRPr="00545310">
        <w:rPr>
          <w:rStyle w:val="apple-converted-space"/>
          <w:rFonts w:cs="Arial"/>
          <w:b/>
          <w:bCs/>
          <w:i/>
        </w:rPr>
        <w:t> </w:t>
      </w:r>
      <w:r w:rsidR="00CB42A2" w:rsidRPr="00545310">
        <w:rPr>
          <w:rFonts w:cs="Arial"/>
          <w:i/>
          <w:iCs/>
        </w:rPr>
        <w:t>De las garantías en la contratación</w:t>
      </w:r>
      <w:r w:rsidR="00CB42A2" w:rsidRPr="00545310">
        <w:rPr>
          <w:rFonts w:cs="Arial"/>
          <w:i/>
        </w:rPr>
        <w:t xml:space="preserve">.  Los contratistas prestarán garantía única para el cumplimiento de las obligaciones surgidas del contrato. </w:t>
      </w:r>
      <w:r w:rsidR="009A7BE1" w:rsidRPr="00545310">
        <w:rPr>
          <w:rFonts w:cs="Arial"/>
          <w:i/>
        </w:rPr>
        <w:t>(…).</w:t>
      </w:r>
    </w:p>
    <w:p w14:paraId="689F4BDB" w14:textId="77777777" w:rsidR="009A7BE1" w:rsidRPr="00545310" w:rsidRDefault="00DE7CFB" w:rsidP="009A7BE1">
      <w:pPr>
        <w:pStyle w:val="NormalWeb"/>
        <w:shd w:val="clear" w:color="auto" w:fill="FFFFFF"/>
        <w:spacing w:line="276" w:lineRule="auto"/>
        <w:ind w:left="567" w:right="567"/>
        <w:rPr>
          <w:rFonts w:cs="Arial"/>
          <w:i/>
        </w:rPr>
      </w:pPr>
      <w:r w:rsidRPr="00545310">
        <w:rPr>
          <w:rFonts w:cs="Arial"/>
          <w:i/>
        </w:rPr>
        <w:t>“</w:t>
      </w:r>
      <w:r w:rsidR="00CB42A2" w:rsidRPr="00545310">
        <w:rPr>
          <w:rFonts w:cs="Arial"/>
          <w:i/>
        </w:rPr>
        <w:t xml:space="preserve">Las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w:t>
      </w:r>
    </w:p>
    <w:p w14:paraId="422E085E" w14:textId="77777777" w:rsidR="00CB42A2" w:rsidRPr="00545310" w:rsidRDefault="00DE7CFB" w:rsidP="009A7BE1">
      <w:pPr>
        <w:pStyle w:val="NormalWeb"/>
        <w:shd w:val="clear" w:color="auto" w:fill="FFFFFF"/>
        <w:spacing w:line="276" w:lineRule="auto"/>
        <w:ind w:left="567" w:right="567"/>
        <w:rPr>
          <w:rFonts w:cs="Arial"/>
          <w:i/>
        </w:rPr>
      </w:pPr>
      <w:r w:rsidRPr="00545310">
        <w:rPr>
          <w:rFonts w:cs="Arial"/>
          <w:i/>
        </w:rPr>
        <w:t>“</w:t>
      </w:r>
      <w:r w:rsidR="009A7BE1" w:rsidRPr="00545310">
        <w:rPr>
          <w:rFonts w:cs="Arial"/>
          <w:i/>
        </w:rPr>
        <w:t>(…)</w:t>
      </w:r>
      <w:r w:rsidR="00547B14" w:rsidRPr="00545310">
        <w:rPr>
          <w:rFonts w:cs="Arial"/>
          <w:i/>
        </w:rPr>
        <w:t>.</w:t>
      </w:r>
      <w:r w:rsidR="009A7BE1" w:rsidRPr="00545310">
        <w:rPr>
          <w:rFonts w:cs="Arial"/>
          <w:i/>
        </w:rPr>
        <w:t xml:space="preserve"> </w:t>
      </w:r>
    </w:p>
    <w:p w14:paraId="7B03E8FE" w14:textId="77777777" w:rsidR="00CB42A2" w:rsidRDefault="00547B14" w:rsidP="009A7BE1">
      <w:pPr>
        <w:pStyle w:val="NormalWeb"/>
        <w:shd w:val="clear" w:color="auto" w:fill="FFFFFF"/>
        <w:spacing w:line="276" w:lineRule="auto"/>
        <w:ind w:left="567" w:right="567"/>
        <w:rPr>
          <w:rFonts w:cs="Arial"/>
          <w:i/>
        </w:rPr>
      </w:pPr>
      <w:r w:rsidRPr="00545310">
        <w:rPr>
          <w:rFonts w:cs="Arial"/>
          <w:i/>
        </w:rPr>
        <w:t>“</w:t>
      </w:r>
      <w:r w:rsidR="00CB42A2" w:rsidRPr="00545310">
        <w:rPr>
          <w:rFonts w:cs="Arial"/>
          <w:i/>
        </w:rPr>
        <w:t xml:space="preserve">El acaecimiento del siniestro que amparan las garantías será comunicado por la entidad pública al respectivo asegurador </w:t>
      </w:r>
      <w:r w:rsidR="00CB42A2" w:rsidRPr="00545310">
        <w:rPr>
          <w:rFonts w:cs="Arial"/>
          <w:b/>
          <w:i/>
        </w:rPr>
        <w:t>mediante la notificación del acto administrativo que así lo declare</w:t>
      </w:r>
      <w:r w:rsidR="009A7BE1" w:rsidRPr="00545310">
        <w:rPr>
          <w:rFonts w:cs="Arial"/>
          <w:i/>
        </w:rPr>
        <w:t>”</w:t>
      </w:r>
      <w:r w:rsidR="00CB42A2" w:rsidRPr="00545310">
        <w:rPr>
          <w:rFonts w:cs="Arial"/>
          <w:i/>
        </w:rPr>
        <w:t>.</w:t>
      </w:r>
    </w:p>
    <w:p w14:paraId="600E5939" w14:textId="77777777" w:rsidR="00C4526D" w:rsidRPr="00545310" w:rsidRDefault="00C4526D" w:rsidP="009A7BE1">
      <w:pPr>
        <w:pStyle w:val="NormalWeb"/>
        <w:shd w:val="clear" w:color="auto" w:fill="FFFFFF"/>
        <w:spacing w:line="276" w:lineRule="auto"/>
        <w:ind w:left="567" w:right="567"/>
        <w:rPr>
          <w:rFonts w:cs="Arial"/>
          <w:i/>
        </w:rPr>
      </w:pPr>
    </w:p>
    <w:p w14:paraId="2181D0C7" w14:textId="77777777" w:rsidR="00F6253D" w:rsidRPr="00545310" w:rsidRDefault="00F6253D" w:rsidP="00A222B2">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La facultad para </w:t>
      </w:r>
      <w:r w:rsidR="002A006D" w:rsidRPr="00545310">
        <w:rPr>
          <w:rFonts w:ascii="Arial" w:hAnsi="Arial" w:cs="Arial"/>
          <w:szCs w:val="24"/>
          <w:lang w:val="es-CO" w:eastAsia="ar-SA"/>
        </w:rPr>
        <w:t xml:space="preserve">declarar el incumplimiento, </w:t>
      </w:r>
      <w:r w:rsidRPr="00545310">
        <w:rPr>
          <w:rFonts w:ascii="Arial" w:hAnsi="Arial" w:cs="Arial"/>
          <w:szCs w:val="24"/>
          <w:lang w:val="es-CO" w:eastAsia="ar-SA"/>
        </w:rPr>
        <w:t>hacer efectiva la cláusula penal</w:t>
      </w:r>
      <w:r w:rsidR="00115D55" w:rsidRPr="00545310">
        <w:rPr>
          <w:rFonts w:ascii="Arial" w:hAnsi="Arial" w:cs="Arial"/>
          <w:szCs w:val="24"/>
          <w:lang w:val="es-CO" w:eastAsia="ar-SA"/>
        </w:rPr>
        <w:t xml:space="preserve"> y el cobro de la garantía</w:t>
      </w:r>
      <w:r w:rsidR="002A006D" w:rsidRPr="00545310">
        <w:rPr>
          <w:rFonts w:ascii="Arial" w:hAnsi="Arial" w:cs="Arial"/>
          <w:szCs w:val="24"/>
          <w:lang w:val="es-CO" w:eastAsia="ar-SA"/>
        </w:rPr>
        <w:t>,</w:t>
      </w:r>
      <w:r w:rsidRPr="00545310">
        <w:rPr>
          <w:rFonts w:ascii="Arial" w:hAnsi="Arial" w:cs="Arial"/>
          <w:szCs w:val="24"/>
          <w:lang w:val="es-CO" w:eastAsia="ar-SA"/>
        </w:rPr>
        <w:t xml:space="preserve"> se encontró igualmente</w:t>
      </w:r>
      <w:r w:rsidR="00CD47EA" w:rsidRPr="00545310">
        <w:rPr>
          <w:rFonts w:ascii="Arial" w:hAnsi="Arial" w:cs="Arial"/>
          <w:szCs w:val="24"/>
          <w:lang w:val="es-CO" w:eastAsia="ar-SA"/>
        </w:rPr>
        <w:t xml:space="preserve"> sometida a</w:t>
      </w:r>
      <w:r w:rsidR="003E47D6" w:rsidRPr="00545310">
        <w:rPr>
          <w:rFonts w:ascii="Arial" w:hAnsi="Arial" w:cs="Arial"/>
          <w:szCs w:val="24"/>
          <w:lang w:val="es-CO" w:eastAsia="ar-SA"/>
        </w:rPr>
        <w:t xml:space="preserve"> las reglas del </w:t>
      </w:r>
      <w:r w:rsidR="00A05E61" w:rsidRPr="00545310">
        <w:rPr>
          <w:rFonts w:ascii="Arial" w:hAnsi="Arial" w:cs="Arial"/>
          <w:szCs w:val="24"/>
          <w:lang w:val="es-CO" w:eastAsia="ar-SA"/>
        </w:rPr>
        <w:t xml:space="preserve">proceso sancionatorio previsto en el artículo 17 de </w:t>
      </w:r>
      <w:r w:rsidRPr="00545310">
        <w:rPr>
          <w:rFonts w:ascii="Arial" w:hAnsi="Arial" w:cs="Arial"/>
          <w:szCs w:val="24"/>
          <w:lang w:val="es-CO" w:eastAsia="ar-SA"/>
        </w:rPr>
        <w:t>la Ley 1150 de 2007, así:</w:t>
      </w:r>
    </w:p>
    <w:p w14:paraId="0C331972" w14:textId="77777777" w:rsidR="00F6253D" w:rsidRPr="00545310" w:rsidRDefault="00A05E61" w:rsidP="003774E2">
      <w:pPr>
        <w:shd w:val="clear" w:color="auto" w:fill="FFFFFF"/>
        <w:spacing w:before="100" w:beforeAutospacing="1" w:after="100" w:afterAutospacing="1" w:line="276" w:lineRule="auto"/>
        <w:ind w:left="567" w:right="567"/>
        <w:rPr>
          <w:rFonts w:cs="Arial"/>
          <w:i/>
        </w:rPr>
      </w:pPr>
      <w:r w:rsidRPr="00545310">
        <w:rPr>
          <w:rFonts w:cs="Arial"/>
          <w:bCs/>
          <w:i/>
        </w:rPr>
        <w:t>“</w:t>
      </w:r>
      <w:r w:rsidR="00F6253D" w:rsidRPr="00545310">
        <w:rPr>
          <w:rFonts w:cs="Arial"/>
          <w:bCs/>
          <w:i/>
        </w:rPr>
        <w:t>Artículo 17.</w:t>
      </w:r>
      <w:r w:rsidR="00F6253D" w:rsidRPr="00545310">
        <w:rPr>
          <w:rFonts w:cs="Arial"/>
          <w:b/>
          <w:bCs/>
          <w:i/>
        </w:rPr>
        <w:t> </w:t>
      </w:r>
      <w:r w:rsidR="00F6253D" w:rsidRPr="00545310">
        <w:rPr>
          <w:rFonts w:cs="Arial"/>
          <w:i/>
          <w:iCs/>
        </w:rPr>
        <w:t>Del derecho al debido proceso. </w:t>
      </w:r>
      <w:r w:rsidR="00F6253D" w:rsidRPr="00545310">
        <w:rPr>
          <w:rFonts w:cs="Arial"/>
          <w:i/>
        </w:rPr>
        <w:t>El debido proceso será un principio rector en materia sancionatoria de las actuaciones contractuales.</w:t>
      </w:r>
    </w:p>
    <w:p w14:paraId="1F63D1E7" w14:textId="77777777" w:rsidR="00F6253D" w:rsidRPr="00545310" w:rsidRDefault="00440B47" w:rsidP="003774E2">
      <w:pPr>
        <w:shd w:val="clear" w:color="auto" w:fill="FFFFFF"/>
        <w:spacing w:before="100" w:beforeAutospacing="1" w:after="100" w:afterAutospacing="1" w:line="276" w:lineRule="auto"/>
        <w:ind w:left="567" w:right="567"/>
        <w:rPr>
          <w:rFonts w:cs="Arial"/>
          <w:b/>
          <w:i/>
        </w:rPr>
      </w:pPr>
      <w:r w:rsidRPr="00545310">
        <w:rPr>
          <w:rFonts w:cs="Arial"/>
          <w:i/>
        </w:rPr>
        <w:t>“</w:t>
      </w:r>
      <w:r w:rsidR="00F6253D" w:rsidRPr="00545310">
        <w:rPr>
          <w:rFonts w:cs="Arial"/>
          <w:i/>
        </w:rPr>
        <w:t xml:space="preserve">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w:t>
      </w:r>
      <w:r w:rsidR="00F6253D" w:rsidRPr="00545310">
        <w:rPr>
          <w:rFonts w:cs="Arial"/>
          <w:b/>
          <w:i/>
        </w:rPr>
        <w:t>Así mismo podrán declarar el incumplimiento con el propósito de hacer efectiva la cláusula penal pecuniaria incluida en el contrato.</w:t>
      </w:r>
    </w:p>
    <w:p w14:paraId="53785A31" w14:textId="77777777" w:rsidR="00F6253D" w:rsidRPr="00545310" w:rsidRDefault="00793BB5" w:rsidP="003774E2">
      <w:pPr>
        <w:shd w:val="clear" w:color="auto" w:fill="FFFFFF"/>
        <w:spacing w:before="100" w:beforeAutospacing="1" w:after="100" w:afterAutospacing="1" w:line="276" w:lineRule="auto"/>
        <w:ind w:left="567" w:right="567"/>
        <w:rPr>
          <w:rFonts w:cs="Arial"/>
        </w:rPr>
      </w:pPr>
      <w:r w:rsidRPr="00545310">
        <w:rPr>
          <w:rFonts w:cs="Arial"/>
          <w:bCs/>
          <w:i/>
        </w:rPr>
        <w:t>“</w:t>
      </w:r>
      <w:r w:rsidR="00F6253D" w:rsidRPr="00545310">
        <w:rPr>
          <w:rFonts w:cs="Arial"/>
          <w:bCs/>
          <w:i/>
        </w:rPr>
        <w:t>Parágrafo.</w:t>
      </w:r>
      <w:r w:rsidR="00F6253D" w:rsidRPr="00545310">
        <w:rPr>
          <w:rFonts w:cs="Arial"/>
          <w:b/>
          <w:bCs/>
          <w:i/>
        </w:rPr>
        <w:t> </w:t>
      </w:r>
      <w:r w:rsidR="00F6253D" w:rsidRPr="00545310">
        <w:rPr>
          <w:rFonts w:cs="Arial"/>
          <w:i/>
        </w:rPr>
        <w:t>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r w:rsidR="003774E2" w:rsidRPr="00545310">
        <w:rPr>
          <w:rFonts w:cs="Arial"/>
          <w:i/>
        </w:rPr>
        <w:t>”</w:t>
      </w:r>
      <w:r w:rsidR="00547B14" w:rsidRPr="00545310">
        <w:rPr>
          <w:rFonts w:cs="Arial"/>
          <w:i/>
        </w:rPr>
        <w:t xml:space="preserve"> </w:t>
      </w:r>
      <w:r w:rsidR="00547B14" w:rsidRPr="00545310">
        <w:rPr>
          <w:rFonts w:cs="Arial"/>
        </w:rPr>
        <w:t>(la negrilla no es del texto).</w:t>
      </w:r>
    </w:p>
    <w:p w14:paraId="4B28EA62" w14:textId="77777777" w:rsidR="00C4526D" w:rsidRDefault="00C4526D" w:rsidP="00115D55">
      <w:pPr>
        <w:pStyle w:val="Sangradetextonormal"/>
        <w:spacing w:after="0"/>
        <w:ind w:left="0"/>
        <w:rPr>
          <w:rFonts w:ascii="Arial" w:hAnsi="Arial" w:cs="Arial"/>
          <w:szCs w:val="24"/>
          <w:lang w:val="es-CO" w:eastAsia="ar-SA"/>
        </w:rPr>
      </w:pPr>
    </w:p>
    <w:p w14:paraId="7BB4909B" w14:textId="77777777" w:rsidR="00115D55" w:rsidRPr="00545310" w:rsidRDefault="00115D55" w:rsidP="00115D55">
      <w:pPr>
        <w:pStyle w:val="Sangradetextonormal"/>
        <w:spacing w:after="0"/>
        <w:ind w:left="0"/>
        <w:rPr>
          <w:rFonts w:ascii="Arial" w:hAnsi="Arial" w:cs="Arial"/>
          <w:szCs w:val="24"/>
          <w:lang w:val="es-CO" w:eastAsia="ar-SA"/>
        </w:rPr>
      </w:pPr>
      <w:r w:rsidRPr="00545310">
        <w:rPr>
          <w:rFonts w:ascii="Arial" w:hAnsi="Arial" w:cs="Arial"/>
          <w:szCs w:val="24"/>
          <w:lang w:val="es-CO" w:eastAsia="ar-SA"/>
        </w:rPr>
        <w:lastRenderedPageBreak/>
        <w:t>De acuerdo con las normas antes transcritas, e</w:t>
      </w:r>
      <w:r w:rsidR="003774E2" w:rsidRPr="00545310">
        <w:rPr>
          <w:rFonts w:ascii="Arial" w:hAnsi="Arial" w:cs="Arial"/>
          <w:szCs w:val="24"/>
          <w:lang w:val="es-CO" w:eastAsia="ar-SA"/>
        </w:rPr>
        <w:t>s evidente que</w:t>
      </w:r>
      <w:r w:rsidR="00825BE2" w:rsidRPr="00545310">
        <w:rPr>
          <w:rFonts w:ascii="Arial" w:hAnsi="Arial" w:cs="Arial"/>
          <w:szCs w:val="24"/>
          <w:lang w:val="es-CO" w:eastAsia="ar-SA"/>
        </w:rPr>
        <w:t>,</w:t>
      </w:r>
      <w:r w:rsidR="003774E2" w:rsidRPr="00545310">
        <w:rPr>
          <w:rFonts w:ascii="Arial" w:hAnsi="Arial" w:cs="Arial"/>
          <w:szCs w:val="24"/>
          <w:lang w:val="es-CO" w:eastAsia="ar-SA"/>
        </w:rPr>
        <w:t xml:space="preserve"> en vigencia de la Ley 1150 de 2007, FONADE </w:t>
      </w:r>
      <w:r w:rsidR="003E47D6" w:rsidRPr="00545310">
        <w:rPr>
          <w:rFonts w:ascii="Arial" w:hAnsi="Arial" w:cs="Arial"/>
          <w:szCs w:val="24"/>
          <w:lang w:val="es-CO" w:eastAsia="ar-SA"/>
        </w:rPr>
        <w:t xml:space="preserve">estaba </w:t>
      </w:r>
      <w:r w:rsidR="00357363" w:rsidRPr="00545310">
        <w:rPr>
          <w:rFonts w:ascii="Arial" w:hAnsi="Arial" w:cs="Arial"/>
          <w:szCs w:val="24"/>
          <w:lang w:val="es-CO" w:eastAsia="ar-SA"/>
        </w:rPr>
        <w:t xml:space="preserve">facultada </w:t>
      </w:r>
      <w:r w:rsidR="00985D9E" w:rsidRPr="00545310">
        <w:rPr>
          <w:rFonts w:ascii="Arial" w:hAnsi="Arial" w:cs="Arial"/>
          <w:szCs w:val="24"/>
          <w:lang w:val="es-CO" w:eastAsia="ar-SA"/>
        </w:rPr>
        <w:t xml:space="preserve">legalmente </w:t>
      </w:r>
      <w:r w:rsidR="00357363" w:rsidRPr="00545310">
        <w:rPr>
          <w:rFonts w:ascii="Arial" w:hAnsi="Arial" w:cs="Arial"/>
          <w:szCs w:val="24"/>
          <w:lang w:val="es-CO" w:eastAsia="ar-SA"/>
        </w:rPr>
        <w:t xml:space="preserve">para expedir el acto administrativo </w:t>
      </w:r>
      <w:r w:rsidR="00C21A79" w:rsidRPr="00545310">
        <w:rPr>
          <w:rFonts w:ascii="Arial" w:hAnsi="Arial" w:cs="Arial"/>
          <w:szCs w:val="24"/>
          <w:lang w:val="es-CO" w:eastAsia="ar-SA"/>
        </w:rPr>
        <w:t xml:space="preserve">mediante el cual se </w:t>
      </w:r>
      <w:r w:rsidR="00357363" w:rsidRPr="00545310">
        <w:rPr>
          <w:rFonts w:ascii="Arial" w:hAnsi="Arial" w:cs="Arial"/>
          <w:szCs w:val="24"/>
          <w:lang w:val="es-CO" w:eastAsia="ar-SA"/>
        </w:rPr>
        <w:t>declar</w:t>
      </w:r>
      <w:r w:rsidR="00C21A79" w:rsidRPr="00545310">
        <w:rPr>
          <w:rFonts w:ascii="Arial" w:hAnsi="Arial" w:cs="Arial"/>
          <w:szCs w:val="24"/>
          <w:lang w:val="es-CO" w:eastAsia="ar-SA"/>
        </w:rPr>
        <w:t>ó</w:t>
      </w:r>
      <w:r w:rsidR="00357363" w:rsidRPr="00545310">
        <w:rPr>
          <w:rFonts w:ascii="Arial" w:hAnsi="Arial" w:cs="Arial"/>
          <w:szCs w:val="24"/>
          <w:lang w:val="es-CO" w:eastAsia="ar-SA"/>
        </w:rPr>
        <w:t xml:space="preserve"> </w:t>
      </w:r>
      <w:r w:rsidRPr="00545310">
        <w:rPr>
          <w:rFonts w:ascii="Arial" w:hAnsi="Arial" w:cs="Arial"/>
          <w:szCs w:val="24"/>
          <w:lang w:val="es-CO" w:eastAsia="ar-SA"/>
        </w:rPr>
        <w:t>la caducidad del contrato y la efectividad de la garantía de cumplimiento</w:t>
      </w:r>
      <w:r w:rsidR="00440B47" w:rsidRPr="00545310">
        <w:rPr>
          <w:rFonts w:ascii="Arial" w:hAnsi="Arial" w:cs="Arial"/>
          <w:szCs w:val="24"/>
          <w:lang w:val="es-CO" w:eastAsia="ar-SA"/>
        </w:rPr>
        <w:t xml:space="preserve"> correspondiente</w:t>
      </w:r>
      <w:r w:rsidRPr="00545310">
        <w:rPr>
          <w:rFonts w:ascii="Arial" w:hAnsi="Arial" w:cs="Arial"/>
          <w:szCs w:val="24"/>
          <w:lang w:val="es-CO" w:eastAsia="ar-SA"/>
        </w:rPr>
        <w:t xml:space="preserve">. </w:t>
      </w:r>
    </w:p>
    <w:p w14:paraId="591C96CC" w14:textId="77777777" w:rsidR="00A222B2" w:rsidRPr="00545310" w:rsidRDefault="00A222B2" w:rsidP="00115D55">
      <w:pPr>
        <w:pStyle w:val="Sangradetextonormal"/>
        <w:spacing w:after="0"/>
        <w:ind w:left="0"/>
        <w:rPr>
          <w:rFonts w:ascii="Arial" w:hAnsi="Arial" w:cs="Arial"/>
          <w:b/>
          <w:szCs w:val="24"/>
          <w:lang w:val="es-CO" w:eastAsia="ar-SA"/>
        </w:rPr>
      </w:pPr>
    </w:p>
    <w:p w14:paraId="38D20021" w14:textId="77777777" w:rsidR="00115D55" w:rsidRPr="00545310" w:rsidRDefault="00115D55" w:rsidP="00115D55">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Habiendo verificado las normas en que se fundó la competencia para expedir los actos administrativos acusados, bajo ese contexto legal, la Sala pasará a estudiar los argumentos de la apelación.</w:t>
      </w:r>
    </w:p>
    <w:p w14:paraId="6B5BBAAB" w14:textId="77777777" w:rsidR="00115D55" w:rsidRPr="00545310" w:rsidRDefault="00115D55" w:rsidP="00AD0323">
      <w:pPr>
        <w:pStyle w:val="Sangradetextonormal"/>
        <w:spacing w:after="0" w:line="240" w:lineRule="auto"/>
        <w:ind w:left="0"/>
        <w:rPr>
          <w:rFonts w:ascii="Arial" w:hAnsi="Arial" w:cs="Arial"/>
          <w:b/>
          <w:szCs w:val="24"/>
          <w:lang w:val="es-CO" w:eastAsia="ar-SA"/>
        </w:rPr>
      </w:pPr>
    </w:p>
    <w:p w14:paraId="3915134E" w14:textId="77777777" w:rsidR="00C5558C" w:rsidRPr="00545310" w:rsidRDefault="00C5558C" w:rsidP="00AD0323">
      <w:pPr>
        <w:pStyle w:val="Sangradetextonormal"/>
        <w:spacing w:after="0" w:line="240" w:lineRule="auto"/>
        <w:ind w:left="0"/>
        <w:rPr>
          <w:rFonts w:ascii="Arial" w:hAnsi="Arial" w:cs="Arial"/>
          <w:b/>
          <w:szCs w:val="24"/>
          <w:lang w:val="es-CO" w:eastAsia="ar-SA"/>
        </w:rPr>
      </w:pPr>
    </w:p>
    <w:p w14:paraId="78926170" w14:textId="77777777" w:rsidR="00791B62" w:rsidRPr="00545310" w:rsidRDefault="00D05434" w:rsidP="00AD0323">
      <w:pPr>
        <w:pStyle w:val="Sangradetextonormal"/>
        <w:spacing w:after="0" w:line="240" w:lineRule="auto"/>
        <w:ind w:left="0"/>
        <w:rPr>
          <w:rFonts w:ascii="Arial" w:hAnsi="Arial" w:cs="Arial"/>
          <w:b/>
          <w:szCs w:val="24"/>
          <w:lang w:val="es-CO" w:eastAsia="ar-SA"/>
        </w:rPr>
      </w:pPr>
      <w:r w:rsidRPr="00545310">
        <w:rPr>
          <w:rFonts w:ascii="Arial" w:hAnsi="Arial" w:cs="Arial"/>
          <w:b/>
          <w:szCs w:val="24"/>
          <w:lang w:val="es-CO" w:eastAsia="ar-SA"/>
        </w:rPr>
        <w:t>5</w:t>
      </w:r>
      <w:r w:rsidR="00E76146" w:rsidRPr="00545310">
        <w:rPr>
          <w:rFonts w:ascii="Arial" w:hAnsi="Arial" w:cs="Arial"/>
          <w:b/>
          <w:szCs w:val="24"/>
          <w:lang w:val="es-CO" w:eastAsia="ar-SA"/>
        </w:rPr>
        <w:t>. Co</w:t>
      </w:r>
      <w:r w:rsidR="00791B62" w:rsidRPr="00545310">
        <w:rPr>
          <w:rFonts w:ascii="Arial" w:hAnsi="Arial" w:cs="Arial"/>
          <w:b/>
          <w:szCs w:val="24"/>
          <w:lang w:val="es-CO" w:eastAsia="ar-SA"/>
        </w:rPr>
        <w:t xml:space="preserve">bertura </w:t>
      </w:r>
      <w:r w:rsidR="00E76146" w:rsidRPr="00545310">
        <w:rPr>
          <w:rFonts w:ascii="Arial" w:hAnsi="Arial" w:cs="Arial"/>
          <w:b/>
          <w:szCs w:val="24"/>
          <w:lang w:val="es-CO" w:eastAsia="ar-SA"/>
        </w:rPr>
        <w:t>de l</w:t>
      </w:r>
      <w:r w:rsidR="00791B62" w:rsidRPr="00545310">
        <w:rPr>
          <w:rFonts w:ascii="Arial" w:hAnsi="Arial" w:cs="Arial"/>
          <w:b/>
          <w:szCs w:val="24"/>
          <w:lang w:val="es-CO" w:eastAsia="ar-SA"/>
        </w:rPr>
        <w:t>a garantía única de cumplimi</w:t>
      </w:r>
      <w:r w:rsidR="003A29DC" w:rsidRPr="00545310">
        <w:rPr>
          <w:rFonts w:ascii="Arial" w:hAnsi="Arial" w:cs="Arial"/>
          <w:b/>
          <w:szCs w:val="24"/>
          <w:lang w:val="es-CO" w:eastAsia="ar-SA"/>
        </w:rPr>
        <w:t>e</w:t>
      </w:r>
      <w:r w:rsidR="00791B62" w:rsidRPr="00545310">
        <w:rPr>
          <w:rFonts w:ascii="Arial" w:hAnsi="Arial" w:cs="Arial"/>
          <w:b/>
          <w:szCs w:val="24"/>
          <w:lang w:val="es-CO" w:eastAsia="ar-SA"/>
        </w:rPr>
        <w:t>nto</w:t>
      </w:r>
    </w:p>
    <w:p w14:paraId="22B0F82E" w14:textId="77777777" w:rsidR="00440B47" w:rsidRPr="00545310" w:rsidRDefault="00440B47" w:rsidP="00AD0323">
      <w:pPr>
        <w:pStyle w:val="Sangradetextonormal"/>
        <w:spacing w:after="0" w:line="240" w:lineRule="auto"/>
        <w:ind w:left="0"/>
        <w:rPr>
          <w:rFonts w:ascii="Arial" w:hAnsi="Arial" w:cs="Arial"/>
          <w:b/>
          <w:szCs w:val="24"/>
          <w:lang w:val="es-CO" w:eastAsia="ar-SA"/>
        </w:rPr>
      </w:pPr>
    </w:p>
    <w:p w14:paraId="7A2DC52A" w14:textId="77777777" w:rsidR="00791B62" w:rsidRPr="00545310" w:rsidRDefault="00810766" w:rsidP="00AD0323">
      <w:pPr>
        <w:pStyle w:val="Sangradetextonormal"/>
        <w:spacing w:after="0" w:line="240" w:lineRule="auto"/>
        <w:ind w:left="0"/>
        <w:rPr>
          <w:rFonts w:ascii="Arial" w:hAnsi="Arial" w:cs="Arial"/>
          <w:b/>
          <w:szCs w:val="24"/>
          <w:lang w:val="es-CO" w:eastAsia="ar-SA"/>
        </w:rPr>
      </w:pPr>
      <w:r w:rsidRPr="00545310">
        <w:rPr>
          <w:rFonts w:ascii="Arial" w:hAnsi="Arial" w:cs="Arial"/>
          <w:b/>
          <w:szCs w:val="24"/>
          <w:lang w:val="es-CO" w:eastAsia="ar-SA"/>
        </w:rPr>
        <w:t xml:space="preserve">5.1. Concepto del perjuicio directo derivado del incumplimiento del contrato </w:t>
      </w:r>
    </w:p>
    <w:p w14:paraId="48F1CEE6" w14:textId="77777777" w:rsidR="00810766" w:rsidRPr="00545310" w:rsidRDefault="00810766" w:rsidP="00AD0323">
      <w:pPr>
        <w:pStyle w:val="Sangradetextonormal"/>
        <w:spacing w:after="0" w:line="240" w:lineRule="auto"/>
        <w:ind w:left="0"/>
        <w:rPr>
          <w:rFonts w:ascii="Arial" w:hAnsi="Arial" w:cs="Arial"/>
          <w:b/>
          <w:szCs w:val="24"/>
          <w:lang w:val="es-CO" w:eastAsia="ar-SA"/>
        </w:rPr>
      </w:pPr>
    </w:p>
    <w:p w14:paraId="7F9B2418" w14:textId="77777777" w:rsidR="00811531" w:rsidRPr="00545310" w:rsidRDefault="00AB538C" w:rsidP="000A2E77">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La norma reglamentaria vigente para la época en que se </w:t>
      </w:r>
      <w:r w:rsidR="007263D9" w:rsidRPr="00545310">
        <w:rPr>
          <w:rFonts w:ascii="Arial" w:hAnsi="Arial" w:cs="Arial"/>
          <w:szCs w:val="24"/>
          <w:lang w:val="es-CO" w:eastAsia="ar-SA"/>
        </w:rPr>
        <w:t xml:space="preserve">otorgó </w:t>
      </w:r>
      <w:r w:rsidRPr="00545310">
        <w:rPr>
          <w:rFonts w:ascii="Arial" w:hAnsi="Arial" w:cs="Arial"/>
          <w:szCs w:val="24"/>
          <w:lang w:val="es-CO" w:eastAsia="ar-SA"/>
        </w:rPr>
        <w:t xml:space="preserve">la garantía única de cumplimiento </w:t>
      </w:r>
      <w:r w:rsidR="00886D8A" w:rsidRPr="00545310">
        <w:rPr>
          <w:rFonts w:ascii="Arial" w:hAnsi="Arial" w:cs="Arial"/>
          <w:szCs w:val="24"/>
          <w:lang w:val="es-CO" w:eastAsia="ar-SA"/>
        </w:rPr>
        <w:t>en el cas</w:t>
      </w:r>
      <w:r w:rsidR="007263D9" w:rsidRPr="00545310">
        <w:rPr>
          <w:rFonts w:ascii="Arial" w:hAnsi="Arial" w:cs="Arial"/>
          <w:szCs w:val="24"/>
          <w:lang w:val="es-CO" w:eastAsia="ar-SA"/>
        </w:rPr>
        <w:t>o</w:t>
      </w:r>
      <w:r w:rsidR="00886D8A" w:rsidRPr="00545310">
        <w:rPr>
          <w:rFonts w:ascii="Arial" w:hAnsi="Arial" w:cs="Arial"/>
          <w:szCs w:val="24"/>
          <w:lang w:val="es-CO" w:eastAsia="ar-SA"/>
        </w:rPr>
        <w:t xml:space="preserve"> sub j</w:t>
      </w:r>
      <w:r w:rsidR="00985D9E" w:rsidRPr="00545310">
        <w:rPr>
          <w:rFonts w:ascii="Arial" w:hAnsi="Arial" w:cs="Arial"/>
          <w:szCs w:val="24"/>
          <w:lang w:val="es-CO" w:eastAsia="ar-SA"/>
        </w:rPr>
        <w:t>ú</w:t>
      </w:r>
      <w:r w:rsidR="00886D8A" w:rsidRPr="00545310">
        <w:rPr>
          <w:rFonts w:ascii="Arial" w:hAnsi="Arial" w:cs="Arial"/>
          <w:szCs w:val="24"/>
          <w:lang w:val="es-CO" w:eastAsia="ar-SA"/>
        </w:rPr>
        <w:t xml:space="preserve">dice, </w:t>
      </w:r>
      <w:r w:rsidRPr="00545310">
        <w:rPr>
          <w:rFonts w:ascii="Arial" w:hAnsi="Arial" w:cs="Arial"/>
          <w:szCs w:val="24"/>
          <w:lang w:val="es-CO" w:eastAsia="ar-SA"/>
        </w:rPr>
        <w:t xml:space="preserve">era el </w:t>
      </w:r>
      <w:r w:rsidR="00886D8A" w:rsidRPr="00545310">
        <w:rPr>
          <w:rFonts w:ascii="Arial" w:hAnsi="Arial" w:cs="Arial"/>
          <w:szCs w:val="24"/>
          <w:lang w:val="es-CO" w:eastAsia="ar-SA"/>
        </w:rPr>
        <w:t>D</w:t>
      </w:r>
      <w:r w:rsidRPr="00545310">
        <w:rPr>
          <w:rFonts w:ascii="Arial" w:hAnsi="Arial" w:cs="Arial"/>
          <w:szCs w:val="24"/>
          <w:lang w:val="es-CO" w:eastAsia="ar-SA"/>
        </w:rPr>
        <w:t xml:space="preserve">ecreto 4848 de 2008, mediante el cual se </w:t>
      </w:r>
      <w:r w:rsidR="00CF2C7D" w:rsidRPr="00545310">
        <w:rPr>
          <w:rFonts w:ascii="Arial" w:hAnsi="Arial" w:cs="Arial"/>
          <w:szCs w:val="24"/>
          <w:lang w:val="es-CO" w:eastAsia="ar-SA"/>
        </w:rPr>
        <w:t>expidió el régimen de garantías en la contratación de la Administración Pública</w:t>
      </w:r>
      <w:r w:rsidR="00DA2471" w:rsidRPr="00545310">
        <w:rPr>
          <w:rFonts w:ascii="Arial" w:hAnsi="Arial" w:cs="Arial"/>
          <w:szCs w:val="24"/>
          <w:lang w:val="es-CO" w:eastAsia="ar-SA"/>
        </w:rPr>
        <w:t>, en desarrollo de</w:t>
      </w:r>
      <w:r w:rsidR="006900F5" w:rsidRPr="00545310">
        <w:rPr>
          <w:rFonts w:ascii="Arial" w:hAnsi="Arial" w:cs="Arial"/>
          <w:szCs w:val="24"/>
          <w:lang w:val="es-CO" w:eastAsia="ar-SA"/>
        </w:rPr>
        <w:t>l artículo 7 de</w:t>
      </w:r>
      <w:r w:rsidR="00DA2471" w:rsidRPr="00545310">
        <w:rPr>
          <w:rFonts w:ascii="Arial" w:hAnsi="Arial" w:cs="Arial"/>
          <w:szCs w:val="24"/>
          <w:lang w:val="es-CO" w:eastAsia="ar-SA"/>
        </w:rPr>
        <w:t xml:space="preserve"> la Ley 1150 de 2007</w:t>
      </w:r>
      <w:r w:rsidR="00CF2C7D" w:rsidRPr="00545310">
        <w:rPr>
          <w:rFonts w:ascii="Arial" w:hAnsi="Arial" w:cs="Arial"/>
          <w:szCs w:val="24"/>
          <w:lang w:val="es-CO" w:eastAsia="ar-SA"/>
        </w:rPr>
        <w:t xml:space="preserve">. </w:t>
      </w:r>
    </w:p>
    <w:p w14:paraId="7DC4A50D" w14:textId="77777777" w:rsidR="00811531" w:rsidRPr="00545310" w:rsidRDefault="00811531" w:rsidP="000A2E77">
      <w:pPr>
        <w:pStyle w:val="Sangradetextonormal"/>
        <w:spacing w:after="0"/>
        <w:ind w:left="0"/>
        <w:rPr>
          <w:rFonts w:ascii="Arial" w:hAnsi="Arial" w:cs="Arial"/>
          <w:szCs w:val="24"/>
          <w:lang w:val="es-CO" w:eastAsia="ar-SA"/>
        </w:rPr>
      </w:pPr>
    </w:p>
    <w:p w14:paraId="7BFCD922" w14:textId="77777777" w:rsidR="00AB538C" w:rsidRPr="00545310" w:rsidRDefault="00CF2C7D" w:rsidP="000A2E77">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El artículo 4</w:t>
      </w:r>
      <w:r w:rsidR="006900F5" w:rsidRPr="00545310">
        <w:rPr>
          <w:rFonts w:ascii="Arial" w:hAnsi="Arial" w:cs="Arial"/>
          <w:szCs w:val="24"/>
          <w:lang w:val="es-CO" w:eastAsia="ar-SA"/>
        </w:rPr>
        <w:t xml:space="preserve"> del referido decreto</w:t>
      </w:r>
      <w:r w:rsidRPr="00545310">
        <w:rPr>
          <w:rFonts w:ascii="Arial" w:hAnsi="Arial" w:cs="Arial"/>
          <w:szCs w:val="24"/>
          <w:lang w:val="es-CO" w:eastAsia="ar-SA"/>
        </w:rPr>
        <w:t>, de manera enunciativa</w:t>
      </w:r>
      <w:r w:rsidR="006900F5" w:rsidRPr="00545310">
        <w:rPr>
          <w:rFonts w:ascii="Arial" w:hAnsi="Arial" w:cs="Arial"/>
          <w:szCs w:val="24"/>
          <w:lang w:val="es-CO" w:eastAsia="ar-SA"/>
        </w:rPr>
        <w:t>,</w:t>
      </w:r>
      <w:r w:rsidRPr="00545310">
        <w:rPr>
          <w:rFonts w:ascii="Arial" w:hAnsi="Arial" w:cs="Arial"/>
          <w:szCs w:val="24"/>
          <w:lang w:val="es-CO" w:eastAsia="ar-SA"/>
        </w:rPr>
        <w:t xml:space="preserve"> señaló</w:t>
      </w:r>
      <w:r w:rsidR="00886D8A" w:rsidRPr="00545310">
        <w:rPr>
          <w:rFonts w:ascii="Arial" w:hAnsi="Arial" w:cs="Arial"/>
          <w:szCs w:val="24"/>
          <w:lang w:val="es-CO" w:eastAsia="ar-SA"/>
        </w:rPr>
        <w:t xml:space="preserve"> l</w:t>
      </w:r>
      <w:r w:rsidR="00A6594A" w:rsidRPr="00545310">
        <w:rPr>
          <w:rFonts w:ascii="Arial" w:hAnsi="Arial" w:cs="Arial"/>
          <w:szCs w:val="24"/>
          <w:lang w:val="es-CO" w:eastAsia="ar-SA"/>
        </w:rPr>
        <w:t xml:space="preserve">a cobertura de los riesgos y, dentro de ellos, introdujo el concepto de </w:t>
      </w:r>
      <w:r w:rsidR="00886D8A" w:rsidRPr="00545310">
        <w:rPr>
          <w:rFonts w:ascii="Arial" w:hAnsi="Arial" w:cs="Arial"/>
          <w:szCs w:val="24"/>
          <w:lang w:val="es-CO" w:eastAsia="ar-SA"/>
        </w:rPr>
        <w:t xml:space="preserve">los </w:t>
      </w:r>
      <w:r w:rsidR="00A6594A" w:rsidRPr="00545310">
        <w:rPr>
          <w:rFonts w:ascii="Arial" w:hAnsi="Arial" w:cs="Arial"/>
          <w:i/>
          <w:szCs w:val="24"/>
          <w:lang w:val="es-CO" w:eastAsia="ar-SA"/>
        </w:rPr>
        <w:t>“</w:t>
      </w:r>
      <w:r w:rsidR="00886D8A" w:rsidRPr="00545310">
        <w:rPr>
          <w:rFonts w:ascii="Arial" w:hAnsi="Arial" w:cs="Arial"/>
          <w:i/>
          <w:szCs w:val="24"/>
          <w:lang w:val="es-CO" w:eastAsia="ar-SA"/>
        </w:rPr>
        <w:t>perjuicios directos</w:t>
      </w:r>
      <w:r w:rsidR="00A6594A" w:rsidRPr="00545310">
        <w:rPr>
          <w:rFonts w:ascii="Arial" w:hAnsi="Arial" w:cs="Arial"/>
          <w:i/>
          <w:szCs w:val="24"/>
          <w:lang w:val="es-CO" w:eastAsia="ar-SA"/>
        </w:rPr>
        <w:t xml:space="preserve"> derivados del incumplimie</w:t>
      </w:r>
      <w:r w:rsidR="00E300AD" w:rsidRPr="00545310">
        <w:rPr>
          <w:rFonts w:ascii="Arial" w:hAnsi="Arial" w:cs="Arial"/>
          <w:i/>
          <w:szCs w:val="24"/>
          <w:lang w:val="es-CO" w:eastAsia="ar-SA"/>
        </w:rPr>
        <w:t>n</w:t>
      </w:r>
      <w:r w:rsidR="00A6594A" w:rsidRPr="00545310">
        <w:rPr>
          <w:rFonts w:ascii="Arial" w:hAnsi="Arial" w:cs="Arial"/>
          <w:i/>
          <w:szCs w:val="24"/>
          <w:lang w:val="es-CO" w:eastAsia="ar-SA"/>
        </w:rPr>
        <w:t>to”</w:t>
      </w:r>
      <w:r w:rsidR="0004587C" w:rsidRPr="00545310">
        <w:rPr>
          <w:rStyle w:val="Refdenotaalpie"/>
          <w:rFonts w:ascii="Arial" w:hAnsi="Arial" w:cs="Arial"/>
          <w:i/>
          <w:szCs w:val="24"/>
          <w:lang w:val="es-CO" w:eastAsia="ar-SA"/>
        </w:rPr>
        <w:footnoteReference w:id="41"/>
      </w:r>
      <w:r w:rsidR="006900F5" w:rsidRPr="00545310">
        <w:rPr>
          <w:rFonts w:ascii="Arial" w:hAnsi="Arial" w:cs="Arial"/>
          <w:i/>
          <w:szCs w:val="24"/>
          <w:lang w:val="es-CO" w:eastAsia="ar-SA"/>
        </w:rPr>
        <w:t>,</w:t>
      </w:r>
      <w:r w:rsidR="00886D8A" w:rsidRPr="00545310">
        <w:rPr>
          <w:rFonts w:ascii="Arial" w:hAnsi="Arial" w:cs="Arial"/>
          <w:szCs w:val="24"/>
          <w:lang w:val="es-CO" w:eastAsia="ar-SA"/>
        </w:rPr>
        <w:t xml:space="preserve"> imputables al c</w:t>
      </w:r>
      <w:r w:rsidR="00A6594A" w:rsidRPr="00545310">
        <w:rPr>
          <w:rFonts w:ascii="Arial" w:hAnsi="Arial" w:cs="Arial"/>
          <w:szCs w:val="24"/>
          <w:lang w:val="es-CO" w:eastAsia="ar-SA"/>
        </w:rPr>
        <w:t>o</w:t>
      </w:r>
      <w:r w:rsidR="00886D8A" w:rsidRPr="00545310">
        <w:rPr>
          <w:rFonts w:ascii="Arial" w:hAnsi="Arial" w:cs="Arial"/>
          <w:szCs w:val="24"/>
          <w:lang w:val="es-CO" w:eastAsia="ar-SA"/>
        </w:rPr>
        <w:t>ntratista</w:t>
      </w:r>
      <w:r w:rsidR="00811531" w:rsidRPr="00545310">
        <w:rPr>
          <w:rFonts w:ascii="Arial" w:hAnsi="Arial" w:cs="Arial"/>
          <w:szCs w:val="24"/>
          <w:lang w:val="es-CO" w:eastAsia="ar-SA"/>
        </w:rPr>
        <w:t xml:space="preserve">, en la siguiente </w:t>
      </w:r>
      <w:r w:rsidR="003C3839" w:rsidRPr="00545310">
        <w:rPr>
          <w:rFonts w:ascii="Arial" w:hAnsi="Arial" w:cs="Arial"/>
          <w:szCs w:val="24"/>
          <w:lang w:val="es-CO" w:eastAsia="ar-SA"/>
        </w:rPr>
        <w:t>forma</w:t>
      </w:r>
      <w:r w:rsidRPr="00545310">
        <w:rPr>
          <w:rFonts w:ascii="Arial" w:hAnsi="Arial" w:cs="Arial"/>
          <w:szCs w:val="24"/>
          <w:lang w:val="es-CO" w:eastAsia="ar-SA"/>
        </w:rPr>
        <w:t xml:space="preserve">: </w:t>
      </w:r>
    </w:p>
    <w:p w14:paraId="2E22DF78" w14:textId="77777777" w:rsidR="00AB538C" w:rsidRPr="00545310" w:rsidRDefault="00886D8A" w:rsidP="00886D8A">
      <w:pPr>
        <w:shd w:val="clear" w:color="auto" w:fill="FFFFFF"/>
        <w:spacing w:before="100" w:beforeAutospacing="1" w:after="100" w:afterAutospacing="1" w:line="276" w:lineRule="auto"/>
        <w:ind w:left="567" w:right="567"/>
        <w:rPr>
          <w:rFonts w:cs="Arial"/>
          <w:i/>
        </w:rPr>
      </w:pPr>
      <w:r w:rsidRPr="00545310">
        <w:rPr>
          <w:rFonts w:cs="Arial"/>
        </w:rPr>
        <w:t>“</w:t>
      </w:r>
      <w:r w:rsidR="00AB538C" w:rsidRPr="00545310">
        <w:rPr>
          <w:rFonts w:cs="Arial"/>
          <w:i/>
        </w:rPr>
        <w:t>4.2 </w:t>
      </w:r>
      <w:r w:rsidR="00AB538C" w:rsidRPr="00545310">
        <w:rPr>
          <w:rFonts w:cs="Arial"/>
          <w:bCs/>
          <w:i/>
        </w:rPr>
        <w:t>Riesgos derivados del incumplimiento de las obligaciones contractuales:</w:t>
      </w:r>
    </w:p>
    <w:p w14:paraId="0AE3CAA6" w14:textId="77777777" w:rsidR="00AB538C" w:rsidRPr="00545310" w:rsidRDefault="00985D9E" w:rsidP="00886D8A">
      <w:pPr>
        <w:shd w:val="clear" w:color="auto" w:fill="FFFFFF"/>
        <w:spacing w:before="100" w:beforeAutospacing="1" w:after="100" w:afterAutospacing="1" w:line="276" w:lineRule="auto"/>
        <w:ind w:left="567" w:right="567"/>
        <w:rPr>
          <w:rFonts w:cs="Arial"/>
          <w:i/>
        </w:rPr>
      </w:pPr>
      <w:r w:rsidRPr="00545310">
        <w:rPr>
          <w:rFonts w:cs="Arial"/>
          <w:i/>
        </w:rPr>
        <w:t>“</w:t>
      </w:r>
      <w:r w:rsidR="00AB538C" w:rsidRPr="00545310">
        <w:rPr>
          <w:rFonts w:cs="Arial"/>
          <w:i/>
        </w:rPr>
        <w:t xml:space="preserve">La garantía de cumplimiento de las obligaciones cubrirá los perjuicios </w:t>
      </w:r>
      <w:r w:rsidR="00AB538C" w:rsidRPr="00545310">
        <w:rPr>
          <w:rFonts w:cs="Arial"/>
          <w:b/>
          <w:i/>
        </w:rPr>
        <w:t>derivados del incumplimiento de las obligaciones legales o contractuales del contratista</w:t>
      </w:r>
      <w:r w:rsidR="00AB538C" w:rsidRPr="00545310">
        <w:rPr>
          <w:rFonts w:cs="Arial"/>
          <w:i/>
        </w:rPr>
        <w:t>, así:</w:t>
      </w:r>
    </w:p>
    <w:p w14:paraId="5FE203CA" w14:textId="77777777" w:rsidR="00AB538C" w:rsidRPr="00545310" w:rsidRDefault="00985D9E" w:rsidP="00886D8A">
      <w:pPr>
        <w:shd w:val="clear" w:color="auto" w:fill="FFFFFF"/>
        <w:spacing w:before="100" w:beforeAutospacing="1" w:after="100" w:afterAutospacing="1" w:line="276" w:lineRule="auto"/>
        <w:ind w:left="567" w:right="567"/>
        <w:rPr>
          <w:rFonts w:cs="Arial"/>
          <w:i/>
        </w:rPr>
      </w:pPr>
      <w:r w:rsidRPr="00545310">
        <w:rPr>
          <w:rFonts w:cs="Arial"/>
          <w:i/>
        </w:rPr>
        <w:t>“</w:t>
      </w:r>
      <w:r w:rsidR="00AB538C" w:rsidRPr="00545310">
        <w:rPr>
          <w:rFonts w:cs="Arial"/>
          <w:i/>
        </w:rPr>
        <w:t>(…)</w:t>
      </w:r>
      <w:r w:rsidR="00FF7208" w:rsidRPr="00545310">
        <w:rPr>
          <w:rFonts w:cs="Arial"/>
          <w:i/>
        </w:rPr>
        <w:t>.</w:t>
      </w:r>
    </w:p>
    <w:p w14:paraId="7CB85324" w14:textId="77777777" w:rsidR="00AB538C" w:rsidRPr="00545310" w:rsidRDefault="00985D9E" w:rsidP="00886D8A">
      <w:pPr>
        <w:shd w:val="clear" w:color="auto" w:fill="FFFFFF"/>
        <w:spacing w:before="100" w:beforeAutospacing="1" w:after="100" w:afterAutospacing="1" w:line="276" w:lineRule="auto"/>
        <w:ind w:left="567" w:right="567"/>
        <w:rPr>
          <w:rFonts w:cs="Arial"/>
          <w:i/>
        </w:rPr>
      </w:pPr>
      <w:r w:rsidRPr="00545310">
        <w:rPr>
          <w:rFonts w:cs="Arial"/>
          <w:i/>
        </w:rPr>
        <w:t>“</w:t>
      </w:r>
      <w:r w:rsidR="00AB538C" w:rsidRPr="00545310">
        <w:rPr>
          <w:rFonts w:cs="Arial"/>
          <w:i/>
        </w:rPr>
        <w:t xml:space="preserve">4.2.3 Cumplimiento de las obligaciones surgidas del contrato estatal incluyendo en ellas el pago de multas y cláusula penal pecuniaria, cuando se hayan pactado en el contrato. El amparo de cumplimiento del contrato cubrirá a la entidad estatal contratante de los </w:t>
      </w:r>
      <w:r w:rsidR="00AB538C" w:rsidRPr="00545310">
        <w:rPr>
          <w:rFonts w:cs="Arial"/>
          <w:b/>
          <w:i/>
        </w:rPr>
        <w:t xml:space="preserve">perjuicios directos </w:t>
      </w:r>
      <w:r w:rsidR="00AB538C" w:rsidRPr="00545310">
        <w:rPr>
          <w:rFonts w:cs="Arial"/>
          <w:b/>
          <w:i/>
        </w:rPr>
        <w:lastRenderedPageBreak/>
        <w:t>derivados del incumplimiento</w:t>
      </w:r>
      <w:r w:rsidR="00AB538C" w:rsidRPr="00545310">
        <w:rPr>
          <w:rFonts w:cs="Arial"/>
          <w:i/>
        </w:rPr>
        <w:t xml:space="preserve"> total o parcial de las obligaciones nacidas del contrato, así como de su cumplimiento tardío o de su cumplimiento defectuoso, cuando ellos son imputables al contratista garantizado. Además de esos riesgos, este amparo comprenderá siempre el pago del valor de las multas y de la cláusula penal pecuniaria que se hayan pactado en el contrato garantizado</w:t>
      </w:r>
      <w:r w:rsidR="00CF2C7D" w:rsidRPr="00545310">
        <w:rPr>
          <w:rFonts w:cs="Arial"/>
          <w:i/>
        </w:rPr>
        <w:t>”</w:t>
      </w:r>
      <w:r w:rsidR="00AB538C" w:rsidRPr="00545310">
        <w:rPr>
          <w:rFonts w:cs="Arial"/>
          <w:i/>
        </w:rPr>
        <w:t>.</w:t>
      </w:r>
    </w:p>
    <w:p w14:paraId="465A8876" w14:textId="77777777" w:rsidR="00C4526D" w:rsidRDefault="00C4526D" w:rsidP="00EA33F5">
      <w:pPr>
        <w:pStyle w:val="Sangradetextonormal"/>
        <w:spacing w:after="0"/>
        <w:ind w:left="0"/>
        <w:rPr>
          <w:rFonts w:ascii="Arial" w:hAnsi="Arial" w:cs="Arial"/>
          <w:szCs w:val="24"/>
          <w:lang w:val="es-CO" w:eastAsia="ar-SA"/>
        </w:rPr>
      </w:pPr>
    </w:p>
    <w:p w14:paraId="1A31DE6D" w14:textId="77777777" w:rsidR="00EA33F5" w:rsidRPr="00545310" w:rsidRDefault="00EA33F5" w:rsidP="00EA33F5">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Ahora bien, en el clausulado de la póliza de seguros GU 069732 se describió la cobertura del amparo de cumplimiento, acudiendo, de la misma forma que el Decreto Reglamentario 4848 de 2008, a la expresión </w:t>
      </w:r>
      <w:r w:rsidRPr="00545310">
        <w:rPr>
          <w:rFonts w:ascii="Arial" w:hAnsi="Arial" w:cs="Arial"/>
          <w:i/>
          <w:szCs w:val="24"/>
          <w:lang w:val="es-CO" w:eastAsia="ar-SA"/>
        </w:rPr>
        <w:t>“perjuicios directos”</w:t>
      </w:r>
      <w:r w:rsidRPr="00545310">
        <w:rPr>
          <w:rFonts w:ascii="Arial" w:hAnsi="Arial" w:cs="Arial"/>
          <w:szCs w:val="24"/>
          <w:lang w:val="es-CO" w:eastAsia="ar-SA"/>
        </w:rPr>
        <w:t xml:space="preserve"> en la siguiente disposición que hizo parte del contrato de seguro</w:t>
      </w:r>
      <w:r w:rsidR="00E4796E" w:rsidRPr="00545310">
        <w:rPr>
          <w:rFonts w:ascii="Arial" w:hAnsi="Arial" w:cs="Arial"/>
          <w:szCs w:val="24"/>
          <w:lang w:val="es-CO" w:eastAsia="ar-SA"/>
        </w:rPr>
        <w:t xml:space="preserve"> (se transcribe literal incluso con posibles errores)</w:t>
      </w:r>
      <w:r w:rsidRPr="00545310">
        <w:rPr>
          <w:rFonts w:ascii="Arial" w:hAnsi="Arial" w:cs="Arial"/>
          <w:szCs w:val="24"/>
          <w:lang w:val="es-CO" w:eastAsia="ar-SA"/>
        </w:rPr>
        <w:t xml:space="preserve">: </w:t>
      </w:r>
    </w:p>
    <w:p w14:paraId="062EC0FC" w14:textId="77777777" w:rsidR="00EA33F5" w:rsidRPr="00545310" w:rsidRDefault="00EA33F5" w:rsidP="00EA33F5">
      <w:pPr>
        <w:pStyle w:val="Sangradetextonormal"/>
        <w:spacing w:after="0"/>
        <w:ind w:left="0"/>
        <w:rPr>
          <w:rFonts w:ascii="Arial" w:hAnsi="Arial" w:cs="Arial"/>
          <w:szCs w:val="24"/>
          <w:lang w:val="es-CO" w:eastAsia="ar-SA"/>
        </w:rPr>
      </w:pPr>
    </w:p>
    <w:p w14:paraId="4AAE3EAA" w14:textId="77777777" w:rsidR="00EA33F5" w:rsidRPr="00545310" w:rsidRDefault="00EA33F5" w:rsidP="00EA33F5">
      <w:pPr>
        <w:pStyle w:val="Sangradetextonormal"/>
        <w:spacing w:after="0" w:line="276" w:lineRule="auto"/>
        <w:ind w:left="567" w:right="567"/>
        <w:rPr>
          <w:rFonts w:ascii="Arial" w:hAnsi="Arial" w:cs="Arial"/>
          <w:i/>
          <w:szCs w:val="24"/>
          <w:lang w:val="es-CO" w:eastAsia="ar-SA"/>
        </w:rPr>
      </w:pPr>
      <w:r w:rsidRPr="00545310">
        <w:rPr>
          <w:rFonts w:ascii="Arial" w:hAnsi="Arial" w:cs="Arial"/>
          <w:i/>
          <w:szCs w:val="24"/>
          <w:lang w:val="es-CO" w:eastAsia="ar-SA"/>
        </w:rPr>
        <w:t>“</w:t>
      </w:r>
      <w:r w:rsidRPr="00545310">
        <w:rPr>
          <w:rFonts w:ascii="Arial" w:hAnsi="Arial" w:cs="Arial"/>
          <w:b/>
          <w:i/>
          <w:szCs w:val="24"/>
          <w:lang w:val="es-CO" w:eastAsia="ar-SA"/>
        </w:rPr>
        <w:t>1.4.</w:t>
      </w:r>
      <w:r w:rsidRPr="00545310">
        <w:rPr>
          <w:rFonts w:ascii="Arial" w:hAnsi="Arial" w:cs="Arial"/>
          <w:i/>
          <w:szCs w:val="24"/>
          <w:lang w:val="es-CO" w:eastAsia="ar-SA"/>
        </w:rPr>
        <w:t xml:space="preserve"> </w:t>
      </w:r>
      <w:r w:rsidRPr="00545310">
        <w:rPr>
          <w:rFonts w:ascii="Arial" w:hAnsi="Arial" w:cs="Arial"/>
          <w:b/>
          <w:i/>
          <w:szCs w:val="24"/>
          <w:lang w:val="es-CO" w:eastAsia="ar-SA"/>
        </w:rPr>
        <w:t>AMPARO DE CUMPLIMIENTO DEL CONTRATO.</w:t>
      </w:r>
    </w:p>
    <w:p w14:paraId="19A6E5AA" w14:textId="77777777" w:rsidR="00EA33F5" w:rsidRPr="00545310" w:rsidRDefault="00EA33F5" w:rsidP="00EA33F5">
      <w:pPr>
        <w:pStyle w:val="Sangradetextonormal"/>
        <w:spacing w:after="0" w:line="276" w:lineRule="auto"/>
        <w:ind w:left="567" w:right="567"/>
        <w:rPr>
          <w:rFonts w:ascii="Arial" w:hAnsi="Arial" w:cs="Arial"/>
          <w:i/>
          <w:szCs w:val="24"/>
          <w:lang w:val="es-CO" w:eastAsia="ar-SA"/>
        </w:rPr>
      </w:pPr>
    </w:p>
    <w:p w14:paraId="32C55F6F" w14:textId="77777777" w:rsidR="00EA33F5" w:rsidRPr="00545310" w:rsidRDefault="00EA33F5" w:rsidP="00EA33F5">
      <w:pPr>
        <w:pStyle w:val="Sangradetextonormal"/>
        <w:spacing w:after="0" w:line="276" w:lineRule="auto"/>
        <w:ind w:left="567" w:right="567"/>
        <w:rPr>
          <w:rFonts w:ascii="Arial" w:hAnsi="Arial" w:cs="Arial"/>
          <w:szCs w:val="24"/>
          <w:lang w:val="es-CO" w:eastAsia="ar-SA"/>
        </w:rPr>
      </w:pPr>
      <w:r w:rsidRPr="00545310">
        <w:rPr>
          <w:rFonts w:ascii="Arial" w:hAnsi="Arial" w:cs="Arial"/>
          <w:i/>
          <w:szCs w:val="24"/>
          <w:lang w:val="es-CO" w:eastAsia="ar-SA"/>
        </w:rPr>
        <w:t xml:space="preserve">“El amparo de cumplimiento cubre a la entidad estatal contratante asegurada </w:t>
      </w:r>
      <w:r w:rsidRPr="00545310">
        <w:rPr>
          <w:rFonts w:ascii="Arial" w:hAnsi="Arial" w:cs="Arial"/>
          <w:b/>
          <w:i/>
          <w:szCs w:val="24"/>
          <w:lang w:val="es-CO" w:eastAsia="ar-SA"/>
        </w:rPr>
        <w:t xml:space="preserve">con ocasión de los perjuicios directos derivados del incumplimiento </w:t>
      </w:r>
      <w:r w:rsidRPr="00545310">
        <w:rPr>
          <w:rFonts w:ascii="Arial" w:hAnsi="Arial" w:cs="Arial"/>
          <w:i/>
          <w:szCs w:val="24"/>
          <w:lang w:val="es-CO" w:eastAsia="ar-SA"/>
        </w:rPr>
        <w:t>total o parcial de las obligaciones nacidas del contrato, así como de su cumplimiento tardío o de su cumplimiento defectuoso, cuando estos son imputables al contratista garantizado. Este amparo comprende el pago del valor de las multas y de la cláusula penal pecuniaria, que se hayan pactado en el contrato garantizado”</w:t>
      </w:r>
      <w:r w:rsidRPr="00545310">
        <w:rPr>
          <w:rStyle w:val="Refdenotaalpie"/>
          <w:rFonts w:ascii="Arial" w:hAnsi="Arial" w:cs="Arial"/>
          <w:i/>
          <w:szCs w:val="24"/>
          <w:lang w:val="es-CO" w:eastAsia="ar-SA"/>
        </w:rPr>
        <w:footnoteReference w:id="42"/>
      </w:r>
      <w:r w:rsidRPr="00545310">
        <w:rPr>
          <w:rFonts w:ascii="Arial" w:hAnsi="Arial" w:cs="Arial"/>
          <w:i/>
          <w:szCs w:val="24"/>
          <w:lang w:val="es-CO" w:eastAsia="ar-SA"/>
        </w:rPr>
        <w:t xml:space="preserve"> </w:t>
      </w:r>
      <w:r w:rsidRPr="00545310">
        <w:rPr>
          <w:rFonts w:ascii="Arial" w:hAnsi="Arial" w:cs="Arial"/>
          <w:szCs w:val="24"/>
          <w:lang w:val="es-CO" w:eastAsia="ar-SA"/>
        </w:rPr>
        <w:t>(la negrilla no es del texto).</w:t>
      </w:r>
    </w:p>
    <w:p w14:paraId="58EAF366" w14:textId="77777777" w:rsidR="00EA33F5" w:rsidRPr="00545310" w:rsidRDefault="00EA33F5" w:rsidP="000A2E77">
      <w:pPr>
        <w:pStyle w:val="Sangradetextonormal"/>
        <w:spacing w:after="0"/>
        <w:ind w:left="0"/>
        <w:rPr>
          <w:rFonts w:ascii="Arial" w:hAnsi="Arial" w:cs="Arial"/>
          <w:szCs w:val="24"/>
          <w:lang w:val="es-CO" w:eastAsia="ar-SA"/>
        </w:rPr>
      </w:pPr>
    </w:p>
    <w:p w14:paraId="4888743C" w14:textId="77777777" w:rsidR="00F311BF" w:rsidRPr="00545310" w:rsidRDefault="005C55A0" w:rsidP="000A2E77">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El concepto del perjuicio </w:t>
      </w:r>
      <w:r w:rsidRPr="00545310">
        <w:rPr>
          <w:rFonts w:ascii="Arial" w:hAnsi="Arial" w:cs="Arial"/>
          <w:i/>
          <w:szCs w:val="24"/>
          <w:lang w:val="es-CO" w:eastAsia="ar-SA"/>
        </w:rPr>
        <w:t>directo</w:t>
      </w:r>
      <w:r w:rsidRPr="00545310">
        <w:rPr>
          <w:rFonts w:ascii="Arial" w:hAnsi="Arial" w:cs="Arial"/>
          <w:szCs w:val="24"/>
          <w:lang w:val="es-CO" w:eastAsia="ar-SA"/>
        </w:rPr>
        <w:t>, se debe entender</w:t>
      </w:r>
      <w:r w:rsidR="00985D9E" w:rsidRPr="00545310">
        <w:rPr>
          <w:rFonts w:ascii="Arial" w:hAnsi="Arial" w:cs="Arial"/>
          <w:szCs w:val="24"/>
          <w:lang w:val="es-CO" w:eastAsia="ar-SA"/>
        </w:rPr>
        <w:t>,</w:t>
      </w:r>
      <w:r w:rsidRPr="00545310">
        <w:rPr>
          <w:rFonts w:ascii="Arial" w:hAnsi="Arial" w:cs="Arial"/>
          <w:szCs w:val="24"/>
          <w:lang w:val="es-CO" w:eastAsia="ar-SA"/>
        </w:rPr>
        <w:t xml:space="preserve"> en e</w:t>
      </w:r>
      <w:r w:rsidR="00985D9E" w:rsidRPr="00545310">
        <w:rPr>
          <w:rFonts w:ascii="Arial" w:hAnsi="Arial" w:cs="Arial"/>
          <w:szCs w:val="24"/>
          <w:lang w:val="es-CO" w:eastAsia="ar-SA"/>
        </w:rPr>
        <w:t>l</w:t>
      </w:r>
      <w:r w:rsidRPr="00545310">
        <w:rPr>
          <w:rFonts w:ascii="Arial" w:hAnsi="Arial" w:cs="Arial"/>
          <w:szCs w:val="24"/>
          <w:lang w:val="es-CO" w:eastAsia="ar-SA"/>
        </w:rPr>
        <w:t xml:space="preserve"> contexto legal </w:t>
      </w:r>
      <w:r w:rsidR="00985D9E" w:rsidRPr="00545310">
        <w:rPr>
          <w:rFonts w:ascii="Arial" w:hAnsi="Arial" w:cs="Arial"/>
          <w:szCs w:val="24"/>
          <w:lang w:val="es-CO" w:eastAsia="ar-SA"/>
        </w:rPr>
        <w:t>de las garantías</w:t>
      </w:r>
      <w:r w:rsidR="00421ABF" w:rsidRPr="00545310">
        <w:rPr>
          <w:rFonts w:ascii="Arial" w:hAnsi="Arial" w:cs="Arial"/>
          <w:szCs w:val="24"/>
          <w:lang w:val="es-CO" w:eastAsia="ar-SA"/>
        </w:rPr>
        <w:t xml:space="preserve"> contractuales</w:t>
      </w:r>
      <w:r w:rsidR="00985D9E" w:rsidRPr="00545310">
        <w:rPr>
          <w:rFonts w:ascii="Arial" w:hAnsi="Arial" w:cs="Arial"/>
          <w:szCs w:val="24"/>
          <w:lang w:val="es-CO" w:eastAsia="ar-SA"/>
        </w:rPr>
        <w:t xml:space="preserve">, </w:t>
      </w:r>
      <w:r w:rsidRPr="00545310">
        <w:rPr>
          <w:rFonts w:ascii="Arial" w:hAnsi="Arial" w:cs="Arial"/>
          <w:szCs w:val="24"/>
          <w:lang w:val="es-CO" w:eastAsia="ar-SA"/>
        </w:rPr>
        <w:t>como el der</w:t>
      </w:r>
      <w:r w:rsidR="00D11A2C" w:rsidRPr="00545310">
        <w:rPr>
          <w:rFonts w:ascii="Arial" w:hAnsi="Arial" w:cs="Arial"/>
          <w:szCs w:val="24"/>
          <w:lang w:val="es-CO" w:eastAsia="ar-SA"/>
        </w:rPr>
        <w:t>i</w:t>
      </w:r>
      <w:r w:rsidRPr="00545310">
        <w:rPr>
          <w:rFonts w:ascii="Arial" w:hAnsi="Arial" w:cs="Arial"/>
          <w:szCs w:val="24"/>
          <w:lang w:val="es-CO" w:eastAsia="ar-SA"/>
        </w:rPr>
        <w:t>v</w:t>
      </w:r>
      <w:r w:rsidR="00D11A2C" w:rsidRPr="00545310">
        <w:rPr>
          <w:rFonts w:ascii="Arial" w:hAnsi="Arial" w:cs="Arial"/>
          <w:szCs w:val="24"/>
          <w:lang w:val="es-CO" w:eastAsia="ar-SA"/>
        </w:rPr>
        <w:t xml:space="preserve">ado del </w:t>
      </w:r>
      <w:r w:rsidRPr="00545310">
        <w:rPr>
          <w:rFonts w:ascii="Arial" w:hAnsi="Arial" w:cs="Arial"/>
          <w:szCs w:val="24"/>
          <w:lang w:val="es-CO" w:eastAsia="ar-SA"/>
        </w:rPr>
        <w:t>i</w:t>
      </w:r>
      <w:r w:rsidR="00D11A2C" w:rsidRPr="00545310">
        <w:rPr>
          <w:rFonts w:ascii="Arial" w:hAnsi="Arial" w:cs="Arial"/>
          <w:szCs w:val="24"/>
          <w:lang w:val="es-CO" w:eastAsia="ar-SA"/>
        </w:rPr>
        <w:t>ncumplimiento, esto es</w:t>
      </w:r>
      <w:r w:rsidR="007C7148" w:rsidRPr="00545310">
        <w:rPr>
          <w:rFonts w:ascii="Arial" w:hAnsi="Arial" w:cs="Arial"/>
          <w:szCs w:val="24"/>
          <w:lang w:val="es-CO" w:eastAsia="ar-SA"/>
        </w:rPr>
        <w:t>,</w:t>
      </w:r>
      <w:r w:rsidR="00D11A2C" w:rsidRPr="00545310">
        <w:rPr>
          <w:rFonts w:ascii="Arial" w:hAnsi="Arial" w:cs="Arial"/>
          <w:szCs w:val="24"/>
          <w:lang w:val="es-CO" w:eastAsia="ar-SA"/>
        </w:rPr>
        <w:t xml:space="preserve"> el causado por la </w:t>
      </w:r>
      <w:r w:rsidR="006433C7" w:rsidRPr="00545310">
        <w:rPr>
          <w:rFonts w:ascii="Arial" w:hAnsi="Arial" w:cs="Arial"/>
          <w:szCs w:val="24"/>
          <w:lang w:val="es-CO" w:eastAsia="ar-SA"/>
        </w:rPr>
        <w:t xml:space="preserve">realización </w:t>
      </w:r>
      <w:r w:rsidR="00D11A2C" w:rsidRPr="00545310">
        <w:rPr>
          <w:rFonts w:ascii="Arial" w:hAnsi="Arial" w:cs="Arial"/>
          <w:szCs w:val="24"/>
          <w:lang w:val="es-CO" w:eastAsia="ar-SA"/>
        </w:rPr>
        <w:t>del riesgo amparado</w:t>
      </w:r>
      <w:r w:rsidR="00825BE2" w:rsidRPr="00545310">
        <w:rPr>
          <w:rFonts w:ascii="Arial" w:hAnsi="Arial" w:cs="Arial"/>
          <w:szCs w:val="24"/>
          <w:lang w:val="es-CO" w:eastAsia="ar-SA"/>
        </w:rPr>
        <w:t xml:space="preserve">, </w:t>
      </w:r>
      <w:r w:rsidR="0020649B" w:rsidRPr="00545310">
        <w:rPr>
          <w:rFonts w:ascii="Arial" w:hAnsi="Arial" w:cs="Arial"/>
          <w:szCs w:val="24"/>
          <w:lang w:val="es-CO" w:eastAsia="ar-SA"/>
        </w:rPr>
        <w:t xml:space="preserve">cuya </w:t>
      </w:r>
      <w:r w:rsidR="006433C7" w:rsidRPr="00545310">
        <w:rPr>
          <w:rFonts w:ascii="Arial" w:hAnsi="Arial" w:cs="Arial"/>
          <w:szCs w:val="24"/>
          <w:lang w:val="es-CO" w:eastAsia="ar-SA"/>
        </w:rPr>
        <w:t xml:space="preserve">ocurrencia </w:t>
      </w:r>
      <w:r w:rsidR="0020649B" w:rsidRPr="00545310">
        <w:rPr>
          <w:rFonts w:ascii="Arial" w:hAnsi="Arial" w:cs="Arial"/>
          <w:szCs w:val="24"/>
          <w:lang w:val="es-CO" w:eastAsia="ar-SA"/>
        </w:rPr>
        <w:t xml:space="preserve">se </w:t>
      </w:r>
      <w:r w:rsidR="006433C7" w:rsidRPr="00545310">
        <w:rPr>
          <w:rFonts w:ascii="Arial" w:hAnsi="Arial" w:cs="Arial"/>
          <w:szCs w:val="24"/>
          <w:lang w:val="es-CO" w:eastAsia="ar-SA"/>
        </w:rPr>
        <w:t xml:space="preserve">origina en </w:t>
      </w:r>
      <w:r w:rsidR="00F311BF" w:rsidRPr="00545310">
        <w:rPr>
          <w:rFonts w:ascii="Arial" w:hAnsi="Arial" w:cs="Arial"/>
          <w:szCs w:val="24"/>
          <w:lang w:val="es-CO" w:eastAsia="ar-SA"/>
        </w:rPr>
        <w:t xml:space="preserve">la conducta </w:t>
      </w:r>
      <w:r w:rsidR="0020649B" w:rsidRPr="00545310">
        <w:rPr>
          <w:rFonts w:ascii="Arial" w:hAnsi="Arial" w:cs="Arial"/>
          <w:szCs w:val="24"/>
          <w:lang w:val="es-CO" w:eastAsia="ar-SA"/>
        </w:rPr>
        <w:t>in</w:t>
      </w:r>
      <w:r w:rsidR="00F311BF" w:rsidRPr="00545310">
        <w:rPr>
          <w:rFonts w:ascii="Arial" w:hAnsi="Arial" w:cs="Arial"/>
          <w:szCs w:val="24"/>
          <w:lang w:val="es-CO" w:eastAsia="ar-SA"/>
        </w:rPr>
        <w:t>cumplida del contratista</w:t>
      </w:r>
      <w:r w:rsidR="00421ABF" w:rsidRPr="00545310">
        <w:rPr>
          <w:rFonts w:ascii="Arial" w:hAnsi="Arial" w:cs="Arial"/>
          <w:szCs w:val="24"/>
          <w:lang w:val="es-CO" w:eastAsia="ar-SA"/>
        </w:rPr>
        <w:t xml:space="preserve">. </w:t>
      </w:r>
    </w:p>
    <w:p w14:paraId="35DFF604" w14:textId="77777777" w:rsidR="00F311BF" w:rsidRPr="00545310" w:rsidRDefault="00F311BF" w:rsidP="000A2E77">
      <w:pPr>
        <w:pStyle w:val="Sangradetextonormal"/>
        <w:spacing w:after="0"/>
        <w:ind w:left="0"/>
        <w:rPr>
          <w:rFonts w:ascii="Arial" w:hAnsi="Arial" w:cs="Arial"/>
          <w:szCs w:val="24"/>
          <w:lang w:val="es-CO" w:eastAsia="ar-SA"/>
        </w:rPr>
      </w:pPr>
    </w:p>
    <w:p w14:paraId="6BEDD795" w14:textId="77777777" w:rsidR="00377BC6" w:rsidRPr="00545310" w:rsidRDefault="00421ABF" w:rsidP="000A2E77">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Esa precisión se elabora</w:t>
      </w:r>
      <w:r w:rsidR="00D11A2C" w:rsidRPr="00545310">
        <w:rPr>
          <w:rFonts w:ascii="Arial" w:hAnsi="Arial" w:cs="Arial"/>
          <w:szCs w:val="24"/>
          <w:lang w:val="es-CO" w:eastAsia="ar-SA"/>
        </w:rPr>
        <w:t xml:space="preserve"> en contraposición al </w:t>
      </w:r>
      <w:r w:rsidR="00F311BF" w:rsidRPr="00545310">
        <w:rPr>
          <w:rFonts w:ascii="Arial" w:hAnsi="Arial" w:cs="Arial"/>
          <w:szCs w:val="24"/>
          <w:lang w:val="es-CO" w:eastAsia="ar-SA"/>
        </w:rPr>
        <w:t xml:space="preserve">concepto del </w:t>
      </w:r>
      <w:r w:rsidR="00D11A2C" w:rsidRPr="00545310">
        <w:rPr>
          <w:rFonts w:ascii="Arial" w:hAnsi="Arial" w:cs="Arial"/>
          <w:szCs w:val="24"/>
          <w:lang w:val="es-CO" w:eastAsia="ar-SA"/>
        </w:rPr>
        <w:t xml:space="preserve">que se denominaría </w:t>
      </w:r>
      <w:r w:rsidR="00D11A2C" w:rsidRPr="00545310">
        <w:rPr>
          <w:rFonts w:ascii="Arial" w:hAnsi="Arial" w:cs="Arial"/>
          <w:i/>
          <w:szCs w:val="24"/>
          <w:lang w:val="es-CO" w:eastAsia="ar-SA"/>
        </w:rPr>
        <w:t>perjuicio indirecto</w:t>
      </w:r>
      <w:r w:rsidR="00D11A2C" w:rsidRPr="00545310">
        <w:rPr>
          <w:rFonts w:ascii="Arial" w:hAnsi="Arial" w:cs="Arial"/>
          <w:szCs w:val="24"/>
          <w:lang w:val="es-CO" w:eastAsia="ar-SA"/>
        </w:rPr>
        <w:t xml:space="preserve">, </w:t>
      </w:r>
      <w:r w:rsidR="0098478A" w:rsidRPr="00545310">
        <w:rPr>
          <w:rFonts w:ascii="Arial" w:hAnsi="Arial" w:cs="Arial"/>
          <w:szCs w:val="24"/>
          <w:lang w:val="es-CO" w:eastAsia="ar-SA"/>
        </w:rPr>
        <w:t>consecutivo o consecuencial</w:t>
      </w:r>
      <w:r w:rsidR="00590D53" w:rsidRPr="00545310">
        <w:rPr>
          <w:rFonts w:ascii="Arial" w:hAnsi="Arial" w:cs="Arial"/>
          <w:szCs w:val="24"/>
          <w:lang w:val="es-CO" w:eastAsia="ar-SA"/>
        </w:rPr>
        <w:t>, el cual,</w:t>
      </w:r>
      <w:r w:rsidRPr="00545310">
        <w:rPr>
          <w:rFonts w:ascii="Arial" w:hAnsi="Arial" w:cs="Arial"/>
          <w:szCs w:val="24"/>
          <w:lang w:val="es-CO" w:eastAsia="ar-SA"/>
        </w:rPr>
        <w:t xml:space="preserve"> entonces,</w:t>
      </w:r>
      <w:r w:rsidR="0098478A" w:rsidRPr="00545310">
        <w:rPr>
          <w:rFonts w:ascii="Arial" w:hAnsi="Arial" w:cs="Arial"/>
          <w:szCs w:val="24"/>
          <w:lang w:val="es-CO" w:eastAsia="ar-SA"/>
        </w:rPr>
        <w:t xml:space="preserve"> no se </w:t>
      </w:r>
      <w:r w:rsidR="00C86AFA" w:rsidRPr="00545310">
        <w:rPr>
          <w:rFonts w:ascii="Arial" w:hAnsi="Arial" w:cs="Arial"/>
          <w:szCs w:val="24"/>
          <w:lang w:val="es-CO" w:eastAsia="ar-SA"/>
        </w:rPr>
        <w:t xml:space="preserve">produce </w:t>
      </w:r>
      <w:r w:rsidRPr="00545310">
        <w:rPr>
          <w:rFonts w:ascii="Arial" w:hAnsi="Arial" w:cs="Arial"/>
          <w:szCs w:val="24"/>
          <w:lang w:val="es-CO" w:eastAsia="ar-SA"/>
        </w:rPr>
        <w:t xml:space="preserve">en forma inmediata </w:t>
      </w:r>
      <w:r w:rsidR="00C86AFA" w:rsidRPr="00545310">
        <w:rPr>
          <w:rFonts w:ascii="Arial" w:hAnsi="Arial" w:cs="Arial"/>
          <w:szCs w:val="24"/>
          <w:lang w:val="es-CO" w:eastAsia="ar-SA"/>
        </w:rPr>
        <w:t xml:space="preserve">por </w:t>
      </w:r>
      <w:r w:rsidRPr="00545310">
        <w:rPr>
          <w:rFonts w:ascii="Arial" w:hAnsi="Arial" w:cs="Arial"/>
          <w:szCs w:val="24"/>
          <w:lang w:val="es-CO" w:eastAsia="ar-SA"/>
        </w:rPr>
        <w:t xml:space="preserve">el </w:t>
      </w:r>
      <w:r w:rsidR="00D11A2C" w:rsidRPr="00545310">
        <w:rPr>
          <w:rFonts w:ascii="Arial" w:hAnsi="Arial" w:cs="Arial"/>
          <w:szCs w:val="24"/>
          <w:lang w:val="es-CO" w:eastAsia="ar-SA"/>
        </w:rPr>
        <w:t xml:space="preserve">incumplimiento, sino </w:t>
      </w:r>
      <w:r w:rsidRPr="00545310">
        <w:rPr>
          <w:rFonts w:ascii="Arial" w:hAnsi="Arial" w:cs="Arial"/>
          <w:szCs w:val="24"/>
          <w:lang w:val="es-CO" w:eastAsia="ar-SA"/>
        </w:rPr>
        <w:t xml:space="preserve">que </w:t>
      </w:r>
      <w:r w:rsidR="00F311BF" w:rsidRPr="00545310">
        <w:rPr>
          <w:rFonts w:ascii="Arial" w:hAnsi="Arial" w:cs="Arial"/>
          <w:szCs w:val="24"/>
          <w:lang w:val="es-CO" w:eastAsia="ar-SA"/>
        </w:rPr>
        <w:t xml:space="preserve">para su causación </w:t>
      </w:r>
      <w:r w:rsidRPr="00545310">
        <w:rPr>
          <w:rFonts w:ascii="Arial" w:hAnsi="Arial" w:cs="Arial"/>
          <w:szCs w:val="24"/>
          <w:lang w:val="es-CO" w:eastAsia="ar-SA"/>
        </w:rPr>
        <w:t>concurre</w:t>
      </w:r>
      <w:r w:rsidR="00C86AFA" w:rsidRPr="00545310">
        <w:rPr>
          <w:rFonts w:ascii="Arial" w:hAnsi="Arial" w:cs="Arial"/>
          <w:szCs w:val="24"/>
          <w:lang w:val="es-CO" w:eastAsia="ar-SA"/>
        </w:rPr>
        <w:t>n</w:t>
      </w:r>
      <w:r w:rsidRPr="00545310">
        <w:rPr>
          <w:rFonts w:ascii="Arial" w:hAnsi="Arial" w:cs="Arial"/>
          <w:szCs w:val="24"/>
          <w:lang w:val="es-CO" w:eastAsia="ar-SA"/>
        </w:rPr>
        <w:t xml:space="preserve"> </w:t>
      </w:r>
      <w:r w:rsidR="00EA33F5" w:rsidRPr="00545310">
        <w:rPr>
          <w:rFonts w:ascii="Arial" w:hAnsi="Arial" w:cs="Arial"/>
          <w:szCs w:val="24"/>
          <w:lang w:val="es-CO" w:eastAsia="ar-SA"/>
        </w:rPr>
        <w:t>otra</w:t>
      </w:r>
      <w:r w:rsidR="00C86AFA" w:rsidRPr="00545310">
        <w:rPr>
          <w:rFonts w:ascii="Arial" w:hAnsi="Arial" w:cs="Arial"/>
          <w:szCs w:val="24"/>
          <w:lang w:val="es-CO" w:eastAsia="ar-SA"/>
        </w:rPr>
        <w:t>s</w:t>
      </w:r>
      <w:r w:rsidR="00EA33F5" w:rsidRPr="00545310">
        <w:rPr>
          <w:rFonts w:ascii="Arial" w:hAnsi="Arial" w:cs="Arial"/>
          <w:szCs w:val="24"/>
          <w:lang w:val="es-CO" w:eastAsia="ar-SA"/>
        </w:rPr>
        <w:t xml:space="preserve"> fuente</w:t>
      </w:r>
      <w:r w:rsidR="00C86AFA" w:rsidRPr="00545310">
        <w:rPr>
          <w:rFonts w:ascii="Arial" w:hAnsi="Arial" w:cs="Arial"/>
          <w:szCs w:val="24"/>
          <w:lang w:val="es-CO" w:eastAsia="ar-SA"/>
        </w:rPr>
        <w:t>s,</w:t>
      </w:r>
      <w:r w:rsidR="00F33A70" w:rsidRPr="00545310">
        <w:rPr>
          <w:rFonts w:ascii="Arial" w:hAnsi="Arial" w:cs="Arial"/>
          <w:szCs w:val="24"/>
          <w:lang w:val="es-CO" w:eastAsia="ar-SA"/>
        </w:rPr>
        <w:t xml:space="preserve"> </w:t>
      </w:r>
      <w:r w:rsidR="0098478A" w:rsidRPr="00545310">
        <w:rPr>
          <w:rFonts w:ascii="Arial" w:hAnsi="Arial" w:cs="Arial"/>
          <w:szCs w:val="24"/>
          <w:lang w:val="es-CO" w:eastAsia="ar-SA"/>
        </w:rPr>
        <w:t>consecutiva</w:t>
      </w:r>
      <w:r w:rsidR="00C86AFA" w:rsidRPr="00545310">
        <w:rPr>
          <w:rFonts w:ascii="Arial" w:hAnsi="Arial" w:cs="Arial"/>
          <w:szCs w:val="24"/>
          <w:lang w:val="es-CO" w:eastAsia="ar-SA"/>
        </w:rPr>
        <w:t>s</w:t>
      </w:r>
      <w:r w:rsidR="0098478A" w:rsidRPr="00545310">
        <w:rPr>
          <w:rFonts w:ascii="Arial" w:hAnsi="Arial" w:cs="Arial"/>
          <w:szCs w:val="24"/>
          <w:lang w:val="es-CO" w:eastAsia="ar-SA"/>
        </w:rPr>
        <w:t xml:space="preserve"> o consecuencial</w:t>
      </w:r>
      <w:r w:rsidR="00C86AFA" w:rsidRPr="00545310">
        <w:rPr>
          <w:rFonts w:ascii="Arial" w:hAnsi="Arial" w:cs="Arial"/>
          <w:szCs w:val="24"/>
          <w:lang w:val="es-CO" w:eastAsia="ar-SA"/>
        </w:rPr>
        <w:t>es,</w:t>
      </w:r>
      <w:r w:rsidRPr="00545310">
        <w:rPr>
          <w:rFonts w:ascii="Arial" w:hAnsi="Arial" w:cs="Arial"/>
          <w:szCs w:val="24"/>
          <w:lang w:val="es-CO" w:eastAsia="ar-SA"/>
        </w:rPr>
        <w:t xml:space="preserve"> </w:t>
      </w:r>
      <w:r w:rsidR="00590D53" w:rsidRPr="00545310">
        <w:rPr>
          <w:rFonts w:ascii="Arial" w:hAnsi="Arial" w:cs="Arial"/>
          <w:szCs w:val="24"/>
          <w:lang w:val="es-CO" w:eastAsia="ar-SA"/>
        </w:rPr>
        <w:t xml:space="preserve">que inciden de manera mediata, </w:t>
      </w:r>
      <w:r w:rsidR="006D38DA" w:rsidRPr="00545310">
        <w:rPr>
          <w:rFonts w:ascii="Arial" w:hAnsi="Arial" w:cs="Arial"/>
          <w:szCs w:val="24"/>
          <w:lang w:val="es-CO" w:eastAsia="ar-SA"/>
        </w:rPr>
        <w:t xml:space="preserve">para </w:t>
      </w:r>
      <w:r w:rsidR="00590D53" w:rsidRPr="00545310">
        <w:rPr>
          <w:rFonts w:ascii="Arial" w:hAnsi="Arial" w:cs="Arial"/>
          <w:szCs w:val="24"/>
          <w:lang w:val="es-CO" w:eastAsia="ar-SA"/>
        </w:rPr>
        <w:t xml:space="preserve">ocasionar </w:t>
      </w:r>
      <w:r w:rsidRPr="00545310">
        <w:rPr>
          <w:rFonts w:ascii="Arial" w:hAnsi="Arial" w:cs="Arial"/>
          <w:szCs w:val="24"/>
          <w:lang w:val="es-CO" w:eastAsia="ar-SA"/>
        </w:rPr>
        <w:t>el perjuicio</w:t>
      </w:r>
      <w:r w:rsidR="008D7E14" w:rsidRPr="00545310">
        <w:rPr>
          <w:rStyle w:val="Refdenotaalpie"/>
          <w:rFonts w:ascii="Arial" w:hAnsi="Arial" w:cs="Arial"/>
          <w:szCs w:val="24"/>
          <w:lang w:val="es-CO" w:eastAsia="ar-SA"/>
        </w:rPr>
        <w:footnoteReference w:id="43"/>
      </w:r>
      <w:r w:rsidR="00F33A70" w:rsidRPr="00545310">
        <w:rPr>
          <w:rFonts w:ascii="Arial" w:hAnsi="Arial" w:cs="Arial"/>
          <w:szCs w:val="24"/>
          <w:lang w:val="es-CO" w:eastAsia="ar-SA"/>
        </w:rPr>
        <w:t>.</w:t>
      </w:r>
    </w:p>
    <w:p w14:paraId="1E74710F" w14:textId="77777777" w:rsidR="00377BC6" w:rsidRPr="00545310" w:rsidRDefault="00377BC6" w:rsidP="000A2E77">
      <w:pPr>
        <w:pStyle w:val="Sangradetextonormal"/>
        <w:spacing w:after="0"/>
        <w:ind w:left="0"/>
        <w:rPr>
          <w:rFonts w:ascii="Arial" w:hAnsi="Arial" w:cs="Arial"/>
          <w:szCs w:val="24"/>
          <w:lang w:val="es-CO" w:eastAsia="ar-SA"/>
        </w:rPr>
      </w:pPr>
    </w:p>
    <w:p w14:paraId="7421FEB9" w14:textId="77777777" w:rsidR="00940D56" w:rsidRPr="00545310" w:rsidRDefault="00B43D5F" w:rsidP="000A2E77">
      <w:pPr>
        <w:pStyle w:val="Sangradetextonormal"/>
        <w:spacing w:after="0"/>
        <w:ind w:left="0"/>
        <w:rPr>
          <w:rFonts w:ascii="Arial" w:hAnsi="Arial" w:cs="Arial"/>
          <w:szCs w:val="24"/>
          <w:lang w:val="es-CO" w:eastAsia="ar-SA"/>
        </w:rPr>
      </w:pPr>
      <w:r w:rsidRPr="00545310">
        <w:rPr>
          <w:rFonts w:ascii="Arial" w:hAnsi="Arial" w:cs="Arial"/>
          <w:szCs w:val="24"/>
          <w:lang w:val="es-CO" w:eastAsia="ar-SA"/>
        </w:rPr>
        <w:lastRenderedPageBreak/>
        <w:t xml:space="preserve">Con el propósito de identificar un </w:t>
      </w:r>
      <w:r w:rsidR="00377BC6" w:rsidRPr="00545310">
        <w:rPr>
          <w:rFonts w:ascii="Arial" w:hAnsi="Arial" w:cs="Arial"/>
          <w:szCs w:val="24"/>
          <w:lang w:val="es-CO" w:eastAsia="ar-SA"/>
        </w:rPr>
        <w:t xml:space="preserve">ejemplo teórico </w:t>
      </w:r>
      <w:r w:rsidRPr="00545310">
        <w:rPr>
          <w:rFonts w:ascii="Arial" w:hAnsi="Arial" w:cs="Arial"/>
          <w:szCs w:val="24"/>
          <w:lang w:val="es-CO" w:eastAsia="ar-SA"/>
        </w:rPr>
        <w:t xml:space="preserve">aplicable al </w:t>
      </w:r>
      <w:r w:rsidR="00377BC6" w:rsidRPr="00545310">
        <w:rPr>
          <w:rFonts w:ascii="Arial" w:hAnsi="Arial" w:cs="Arial"/>
          <w:szCs w:val="24"/>
          <w:lang w:val="es-CO" w:eastAsia="ar-SA"/>
        </w:rPr>
        <w:t>caso en concreto</w:t>
      </w:r>
      <w:r w:rsidR="00D77337" w:rsidRPr="00545310">
        <w:rPr>
          <w:rFonts w:ascii="Arial" w:hAnsi="Arial" w:cs="Arial"/>
          <w:szCs w:val="24"/>
          <w:lang w:val="es-CO" w:eastAsia="ar-SA"/>
        </w:rPr>
        <w:t>,</w:t>
      </w:r>
      <w:r w:rsidR="00883FEF" w:rsidRPr="00545310">
        <w:rPr>
          <w:rFonts w:ascii="Arial" w:hAnsi="Arial" w:cs="Arial"/>
          <w:szCs w:val="24"/>
          <w:lang w:val="es-CO" w:eastAsia="ar-SA"/>
        </w:rPr>
        <w:t xml:space="preserve"> </w:t>
      </w:r>
      <w:r w:rsidR="00BF20AA" w:rsidRPr="00545310">
        <w:rPr>
          <w:rFonts w:ascii="Arial" w:hAnsi="Arial" w:cs="Arial"/>
          <w:szCs w:val="24"/>
          <w:lang w:val="es-CO" w:eastAsia="ar-SA"/>
        </w:rPr>
        <w:t xml:space="preserve">se considera que </w:t>
      </w:r>
      <w:r w:rsidR="00883FEF" w:rsidRPr="00545310">
        <w:rPr>
          <w:rFonts w:ascii="Arial" w:hAnsi="Arial" w:cs="Arial"/>
          <w:szCs w:val="24"/>
          <w:lang w:val="es-CO" w:eastAsia="ar-SA"/>
        </w:rPr>
        <w:t xml:space="preserve">un perjuicio indirecto </w:t>
      </w:r>
      <w:r w:rsidR="00F33A70" w:rsidRPr="00545310">
        <w:rPr>
          <w:rFonts w:ascii="Arial" w:hAnsi="Arial" w:cs="Arial"/>
          <w:szCs w:val="24"/>
          <w:lang w:val="es-CO" w:eastAsia="ar-SA"/>
        </w:rPr>
        <w:t xml:space="preserve">del incumplimiento </w:t>
      </w:r>
      <w:r w:rsidR="00D77337" w:rsidRPr="00545310">
        <w:rPr>
          <w:rFonts w:ascii="Arial" w:hAnsi="Arial" w:cs="Arial"/>
          <w:szCs w:val="24"/>
          <w:lang w:val="es-CO" w:eastAsia="ar-SA"/>
        </w:rPr>
        <w:t xml:space="preserve">del contratista, podría ser, para FONADE, </w:t>
      </w:r>
      <w:r w:rsidR="00883FEF" w:rsidRPr="00545310">
        <w:rPr>
          <w:rFonts w:ascii="Arial" w:hAnsi="Arial" w:cs="Arial"/>
          <w:szCs w:val="24"/>
          <w:lang w:val="es-CO" w:eastAsia="ar-SA"/>
        </w:rPr>
        <w:t xml:space="preserve">la imposibilidad de </w:t>
      </w:r>
      <w:r w:rsidR="00F33A70" w:rsidRPr="00545310">
        <w:rPr>
          <w:rFonts w:ascii="Arial" w:hAnsi="Arial" w:cs="Arial"/>
          <w:szCs w:val="24"/>
          <w:lang w:val="es-CO" w:eastAsia="ar-SA"/>
        </w:rPr>
        <w:t xml:space="preserve">ejecutar </w:t>
      </w:r>
      <w:r w:rsidR="00883FEF" w:rsidRPr="00545310">
        <w:rPr>
          <w:rFonts w:ascii="Arial" w:hAnsi="Arial" w:cs="Arial"/>
          <w:szCs w:val="24"/>
          <w:lang w:val="es-CO" w:eastAsia="ar-SA"/>
        </w:rPr>
        <w:t xml:space="preserve">nuevos proyectos con ocasión de tener que </w:t>
      </w:r>
      <w:r w:rsidR="00951D7D" w:rsidRPr="00545310">
        <w:rPr>
          <w:rFonts w:ascii="Arial" w:hAnsi="Arial" w:cs="Arial"/>
          <w:szCs w:val="24"/>
          <w:lang w:val="es-CO" w:eastAsia="ar-SA"/>
        </w:rPr>
        <w:t xml:space="preserve">dedicar sus recursos </w:t>
      </w:r>
      <w:r w:rsidR="00F33A70" w:rsidRPr="00545310">
        <w:rPr>
          <w:rFonts w:ascii="Arial" w:hAnsi="Arial" w:cs="Arial"/>
          <w:szCs w:val="24"/>
          <w:lang w:val="es-CO" w:eastAsia="ar-SA"/>
        </w:rPr>
        <w:t xml:space="preserve">técnicos y humanos </w:t>
      </w:r>
      <w:r w:rsidR="00951D7D" w:rsidRPr="00545310">
        <w:rPr>
          <w:rFonts w:ascii="Arial" w:hAnsi="Arial" w:cs="Arial"/>
          <w:szCs w:val="24"/>
          <w:lang w:val="es-CO" w:eastAsia="ar-SA"/>
        </w:rPr>
        <w:t xml:space="preserve">a </w:t>
      </w:r>
      <w:r w:rsidR="006D38DA" w:rsidRPr="00545310">
        <w:rPr>
          <w:rFonts w:ascii="Arial" w:hAnsi="Arial" w:cs="Arial"/>
          <w:szCs w:val="24"/>
          <w:lang w:val="es-CO" w:eastAsia="ar-SA"/>
        </w:rPr>
        <w:t>terminar el que fue frustrado por el contratista incumplido.</w:t>
      </w:r>
      <w:r w:rsidR="00951D7D" w:rsidRPr="00545310">
        <w:rPr>
          <w:rFonts w:ascii="Arial" w:hAnsi="Arial" w:cs="Arial"/>
          <w:szCs w:val="24"/>
          <w:lang w:val="es-CO" w:eastAsia="ar-SA"/>
        </w:rPr>
        <w:t xml:space="preserve"> </w:t>
      </w:r>
      <w:r w:rsidR="00ED465D" w:rsidRPr="00545310">
        <w:rPr>
          <w:rFonts w:ascii="Arial" w:hAnsi="Arial" w:cs="Arial"/>
          <w:szCs w:val="24"/>
          <w:lang w:val="es-CO" w:eastAsia="ar-SA"/>
        </w:rPr>
        <w:t xml:space="preserve">Otro </w:t>
      </w:r>
      <w:r w:rsidR="00F33A70" w:rsidRPr="00545310">
        <w:rPr>
          <w:rFonts w:ascii="Arial" w:hAnsi="Arial" w:cs="Arial"/>
          <w:szCs w:val="24"/>
          <w:lang w:val="es-CO" w:eastAsia="ar-SA"/>
        </w:rPr>
        <w:t xml:space="preserve">ejemplo de </w:t>
      </w:r>
      <w:r w:rsidR="00ED465D" w:rsidRPr="00545310">
        <w:rPr>
          <w:rFonts w:ascii="Arial" w:hAnsi="Arial" w:cs="Arial"/>
          <w:szCs w:val="24"/>
          <w:lang w:val="es-CO" w:eastAsia="ar-SA"/>
        </w:rPr>
        <w:t>perjuicio indirecto</w:t>
      </w:r>
      <w:r w:rsidR="00FE36E6" w:rsidRPr="00545310">
        <w:rPr>
          <w:rFonts w:ascii="Arial" w:hAnsi="Arial" w:cs="Arial"/>
          <w:szCs w:val="24"/>
          <w:lang w:val="es-CO" w:eastAsia="ar-SA"/>
        </w:rPr>
        <w:t xml:space="preserve">, en el proyecto que desarrollaba FONADE, </w:t>
      </w:r>
      <w:r w:rsidR="00527C28" w:rsidRPr="00545310">
        <w:rPr>
          <w:rFonts w:ascii="Arial" w:hAnsi="Arial" w:cs="Arial"/>
          <w:szCs w:val="24"/>
          <w:lang w:val="es-CO" w:eastAsia="ar-SA"/>
        </w:rPr>
        <w:t xml:space="preserve">correspondería al derivado de </w:t>
      </w:r>
      <w:r w:rsidR="00ED465D" w:rsidRPr="00545310">
        <w:rPr>
          <w:rFonts w:ascii="Arial" w:hAnsi="Arial" w:cs="Arial"/>
          <w:szCs w:val="24"/>
          <w:lang w:val="es-CO" w:eastAsia="ar-SA"/>
        </w:rPr>
        <w:t xml:space="preserve">la imposibilidad de poner en funcionamiento la </w:t>
      </w:r>
      <w:r w:rsidR="00940D56" w:rsidRPr="00545310">
        <w:rPr>
          <w:rFonts w:ascii="Arial" w:hAnsi="Arial" w:cs="Arial"/>
          <w:szCs w:val="24"/>
          <w:lang w:val="es-CO" w:eastAsia="ar-SA"/>
        </w:rPr>
        <w:t>concesión del centro educativo</w:t>
      </w:r>
      <w:r w:rsidR="006D38DA" w:rsidRPr="00545310">
        <w:rPr>
          <w:rFonts w:ascii="Arial" w:hAnsi="Arial" w:cs="Arial"/>
          <w:szCs w:val="24"/>
          <w:lang w:val="es-CO" w:eastAsia="ar-SA"/>
        </w:rPr>
        <w:t xml:space="preserve"> que se había comprometido a </w:t>
      </w:r>
      <w:r w:rsidR="00FE36E6" w:rsidRPr="00545310">
        <w:rPr>
          <w:rFonts w:ascii="Arial" w:hAnsi="Arial" w:cs="Arial"/>
          <w:szCs w:val="24"/>
          <w:lang w:val="es-CO" w:eastAsia="ar-SA"/>
        </w:rPr>
        <w:t xml:space="preserve">construir </w:t>
      </w:r>
      <w:r w:rsidR="006D38DA" w:rsidRPr="00545310">
        <w:rPr>
          <w:rFonts w:ascii="Arial" w:hAnsi="Arial" w:cs="Arial"/>
          <w:szCs w:val="24"/>
          <w:lang w:val="es-CO" w:eastAsia="ar-SA"/>
        </w:rPr>
        <w:t xml:space="preserve">el contratista, </w:t>
      </w:r>
      <w:r w:rsidR="00FE36E6" w:rsidRPr="00545310">
        <w:rPr>
          <w:rFonts w:ascii="Arial" w:hAnsi="Arial" w:cs="Arial"/>
          <w:szCs w:val="24"/>
          <w:lang w:val="es-CO" w:eastAsia="ar-SA"/>
        </w:rPr>
        <w:t>el</w:t>
      </w:r>
      <w:r w:rsidR="0020649B" w:rsidRPr="00545310">
        <w:rPr>
          <w:rFonts w:ascii="Arial" w:hAnsi="Arial" w:cs="Arial"/>
          <w:szCs w:val="24"/>
          <w:lang w:val="es-CO" w:eastAsia="ar-SA"/>
        </w:rPr>
        <w:t xml:space="preserve"> que</w:t>
      </w:r>
      <w:r w:rsidR="007A1E52" w:rsidRPr="00545310">
        <w:rPr>
          <w:rFonts w:ascii="Arial" w:hAnsi="Arial" w:cs="Arial"/>
          <w:szCs w:val="24"/>
          <w:lang w:val="es-CO" w:eastAsia="ar-SA"/>
        </w:rPr>
        <w:t xml:space="preserve">, a su vez </w:t>
      </w:r>
      <w:r w:rsidR="00940D56" w:rsidRPr="00545310">
        <w:rPr>
          <w:rFonts w:ascii="Arial" w:hAnsi="Arial" w:cs="Arial"/>
          <w:szCs w:val="24"/>
          <w:lang w:val="es-CO" w:eastAsia="ar-SA"/>
        </w:rPr>
        <w:t>habría de generar unos recursos para el concedente.</w:t>
      </w:r>
      <w:r w:rsidR="007A1E52" w:rsidRPr="00545310">
        <w:rPr>
          <w:rFonts w:ascii="Arial" w:hAnsi="Arial" w:cs="Arial"/>
          <w:szCs w:val="24"/>
          <w:lang w:val="es-CO" w:eastAsia="ar-SA"/>
        </w:rPr>
        <w:t xml:space="preserve"> </w:t>
      </w:r>
      <w:r w:rsidR="00940D56" w:rsidRPr="00545310">
        <w:rPr>
          <w:rFonts w:ascii="Arial" w:hAnsi="Arial" w:cs="Arial"/>
          <w:szCs w:val="24"/>
          <w:lang w:val="es-CO" w:eastAsia="ar-SA"/>
        </w:rPr>
        <w:t xml:space="preserve"> </w:t>
      </w:r>
    </w:p>
    <w:p w14:paraId="5735FAD6" w14:textId="77777777" w:rsidR="00940D56" w:rsidRPr="00545310" w:rsidRDefault="00940D56" w:rsidP="000A2E77">
      <w:pPr>
        <w:pStyle w:val="Sangradetextonormal"/>
        <w:spacing w:after="0"/>
        <w:ind w:left="0"/>
        <w:rPr>
          <w:rFonts w:ascii="Arial" w:hAnsi="Arial" w:cs="Arial"/>
          <w:szCs w:val="24"/>
          <w:lang w:val="es-CO" w:eastAsia="ar-SA"/>
        </w:rPr>
      </w:pPr>
    </w:p>
    <w:p w14:paraId="4CE4D8DB" w14:textId="77777777" w:rsidR="002208D4" w:rsidRPr="00545310" w:rsidRDefault="002208D4" w:rsidP="000A2E77">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Desde esa perspectiva, s</w:t>
      </w:r>
      <w:r w:rsidR="00BF20AA" w:rsidRPr="00545310">
        <w:rPr>
          <w:rFonts w:ascii="Arial" w:hAnsi="Arial" w:cs="Arial"/>
          <w:szCs w:val="24"/>
          <w:lang w:val="es-CO" w:eastAsia="ar-SA"/>
        </w:rPr>
        <w:t xml:space="preserve">e interpreta que </w:t>
      </w:r>
      <w:r w:rsidRPr="00545310">
        <w:rPr>
          <w:rFonts w:ascii="Arial" w:hAnsi="Arial" w:cs="Arial"/>
          <w:szCs w:val="24"/>
          <w:lang w:val="es-CO" w:eastAsia="ar-SA"/>
        </w:rPr>
        <w:t xml:space="preserve">en </w:t>
      </w:r>
      <w:r w:rsidR="00940D56" w:rsidRPr="00545310">
        <w:rPr>
          <w:rFonts w:ascii="Arial" w:hAnsi="Arial" w:cs="Arial"/>
          <w:szCs w:val="24"/>
          <w:lang w:val="es-CO" w:eastAsia="ar-SA"/>
        </w:rPr>
        <w:t xml:space="preserve">el concepto de </w:t>
      </w:r>
      <w:r w:rsidR="006710B1" w:rsidRPr="00545310">
        <w:rPr>
          <w:rFonts w:ascii="Arial" w:hAnsi="Arial" w:cs="Arial"/>
          <w:szCs w:val="24"/>
          <w:lang w:val="es-CO" w:eastAsia="ar-SA"/>
        </w:rPr>
        <w:t xml:space="preserve">la cobertura </w:t>
      </w:r>
      <w:r w:rsidR="00062ECE" w:rsidRPr="00545310">
        <w:rPr>
          <w:rFonts w:ascii="Arial" w:hAnsi="Arial" w:cs="Arial"/>
          <w:szCs w:val="24"/>
          <w:lang w:val="es-CO" w:eastAsia="ar-SA"/>
        </w:rPr>
        <w:t xml:space="preserve">sobre el </w:t>
      </w:r>
      <w:r w:rsidR="00940D56" w:rsidRPr="00545310">
        <w:rPr>
          <w:rFonts w:ascii="Arial" w:hAnsi="Arial" w:cs="Arial"/>
          <w:szCs w:val="24"/>
          <w:lang w:val="es-CO" w:eastAsia="ar-SA"/>
        </w:rPr>
        <w:t xml:space="preserve">perjuicio </w:t>
      </w:r>
      <w:r w:rsidR="00062ECE" w:rsidRPr="00545310">
        <w:rPr>
          <w:rFonts w:ascii="Arial" w:hAnsi="Arial" w:cs="Arial"/>
          <w:szCs w:val="24"/>
          <w:lang w:val="es-CO" w:eastAsia="ar-SA"/>
        </w:rPr>
        <w:t>“</w:t>
      </w:r>
      <w:r w:rsidR="00940D56" w:rsidRPr="00545310">
        <w:rPr>
          <w:rFonts w:ascii="Arial" w:hAnsi="Arial" w:cs="Arial"/>
          <w:i/>
          <w:szCs w:val="24"/>
          <w:lang w:val="es-CO" w:eastAsia="ar-SA"/>
        </w:rPr>
        <w:t>directo</w:t>
      </w:r>
      <w:r w:rsidR="00062ECE" w:rsidRPr="00545310">
        <w:rPr>
          <w:rFonts w:ascii="Arial" w:hAnsi="Arial" w:cs="Arial"/>
          <w:i/>
          <w:szCs w:val="24"/>
          <w:lang w:val="es-CO" w:eastAsia="ar-SA"/>
        </w:rPr>
        <w:t>”</w:t>
      </w:r>
      <w:r w:rsidR="00940D56" w:rsidRPr="00545310">
        <w:rPr>
          <w:rFonts w:ascii="Arial" w:hAnsi="Arial" w:cs="Arial"/>
          <w:szCs w:val="24"/>
          <w:lang w:val="es-CO" w:eastAsia="ar-SA"/>
        </w:rPr>
        <w:t>, la reg</w:t>
      </w:r>
      <w:r w:rsidR="00062ECE" w:rsidRPr="00545310">
        <w:rPr>
          <w:rFonts w:ascii="Arial" w:hAnsi="Arial" w:cs="Arial"/>
          <w:szCs w:val="24"/>
          <w:lang w:val="es-CO" w:eastAsia="ar-SA"/>
        </w:rPr>
        <w:t xml:space="preserve">lamentación </w:t>
      </w:r>
      <w:r w:rsidR="00527C28" w:rsidRPr="00545310">
        <w:rPr>
          <w:rFonts w:ascii="Arial" w:hAnsi="Arial" w:cs="Arial"/>
          <w:szCs w:val="24"/>
          <w:lang w:val="es-CO" w:eastAsia="ar-SA"/>
        </w:rPr>
        <w:t xml:space="preserve">de la garantía única de cumplimiento contenida en el </w:t>
      </w:r>
      <w:r w:rsidR="00BF20AA" w:rsidRPr="00545310">
        <w:rPr>
          <w:rFonts w:ascii="Arial" w:hAnsi="Arial" w:cs="Arial"/>
          <w:szCs w:val="24"/>
          <w:lang w:val="es-CO" w:eastAsia="ar-SA"/>
        </w:rPr>
        <w:t>D</w:t>
      </w:r>
      <w:r w:rsidR="00527C28" w:rsidRPr="00545310">
        <w:rPr>
          <w:rFonts w:ascii="Arial" w:hAnsi="Arial" w:cs="Arial"/>
          <w:szCs w:val="24"/>
          <w:lang w:val="es-CO" w:eastAsia="ar-SA"/>
        </w:rPr>
        <w:t xml:space="preserve">ecreto </w:t>
      </w:r>
      <w:r w:rsidR="00C552DF" w:rsidRPr="00545310">
        <w:rPr>
          <w:rFonts w:ascii="Arial" w:hAnsi="Arial" w:cs="Arial"/>
          <w:szCs w:val="24"/>
          <w:lang w:val="es-CO" w:eastAsia="ar-SA"/>
        </w:rPr>
        <w:t>4848 de 2008</w:t>
      </w:r>
      <w:r w:rsidR="00527C28" w:rsidRPr="00545310">
        <w:rPr>
          <w:rFonts w:ascii="Arial" w:hAnsi="Arial" w:cs="Arial"/>
          <w:szCs w:val="24"/>
          <w:lang w:val="es-CO" w:eastAsia="ar-SA"/>
        </w:rPr>
        <w:t xml:space="preserve"> </w:t>
      </w:r>
      <w:r w:rsidR="00940D56" w:rsidRPr="00545310">
        <w:rPr>
          <w:rFonts w:ascii="Arial" w:hAnsi="Arial" w:cs="Arial"/>
          <w:szCs w:val="24"/>
          <w:lang w:val="es-CO" w:eastAsia="ar-SA"/>
        </w:rPr>
        <w:t>trat</w:t>
      </w:r>
      <w:r w:rsidR="00BF20AA" w:rsidRPr="00545310">
        <w:rPr>
          <w:rFonts w:ascii="Arial" w:hAnsi="Arial" w:cs="Arial"/>
          <w:szCs w:val="24"/>
          <w:lang w:val="es-CO" w:eastAsia="ar-SA"/>
        </w:rPr>
        <w:t xml:space="preserve">ó de limitar </w:t>
      </w:r>
      <w:r w:rsidR="00940D56" w:rsidRPr="00545310">
        <w:rPr>
          <w:rFonts w:ascii="Arial" w:hAnsi="Arial" w:cs="Arial"/>
          <w:szCs w:val="24"/>
          <w:lang w:val="es-CO" w:eastAsia="ar-SA"/>
        </w:rPr>
        <w:t xml:space="preserve">la </w:t>
      </w:r>
      <w:r w:rsidR="00F033E5" w:rsidRPr="00545310">
        <w:rPr>
          <w:rFonts w:ascii="Arial" w:hAnsi="Arial" w:cs="Arial"/>
          <w:szCs w:val="24"/>
          <w:lang w:val="es-CO" w:eastAsia="ar-SA"/>
        </w:rPr>
        <w:t>exig</w:t>
      </w:r>
      <w:r w:rsidRPr="00545310">
        <w:rPr>
          <w:rFonts w:ascii="Arial" w:hAnsi="Arial" w:cs="Arial"/>
          <w:szCs w:val="24"/>
          <w:lang w:val="es-CO" w:eastAsia="ar-SA"/>
        </w:rPr>
        <w:t xml:space="preserve">ibilidad de </w:t>
      </w:r>
      <w:r w:rsidR="00C552DF" w:rsidRPr="00545310">
        <w:rPr>
          <w:rFonts w:ascii="Arial" w:hAnsi="Arial" w:cs="Arial"/>
          <w:szCs w:val="24"/>
          <w:lang w:val="es-CO" w:eastAsia="ar-SA"/>
        </w:rPr>
        <w:t xml:space="preserve">la </w:t>
      </w:r>
      <w:r w:rsidR="00062ECE" w:rsidRPr="00545310">
        <w:rPr>
          <w:rFonts w:ascii="Arial" w:hAnsi="Arial" w:cs="Arial"/>
          <w:szCs w:val="24"/>
          <w:lang w:val="es-CO" w:eastAsia="ar-SA"/>
        </w:rPr>
        <w:t xml:space="preserve">garantía </w:t>
      </w:r>
      <w:r w:rsidRPr="00545310">
        <w:rPr>
          <w:rFonts w:ascii="Arial" w:hAnsi="Arial" w:cs="Arial"/>
          <w:szCs w:val="24"/>
          <w:lang w:val="es-CO" w:eastAsia="ar-SA"/>
        </w:rPr>
        <w:t xml:space="preserve">a </w:t>
      </w:r>
      <w:r w:rsidR="007A1E52" w:rsidRPr="00545310">
        <w:rPr>
          <w:rFonts w:ascii="Arial" w:hAnsi="Arial" w:cs="Arial"/>
          <w:szCs w:val="24"/>
          <w:lang w:val="es-CO" w:eastAsia="ar-SA"/>
        </w:rPr>
        <w:t xml:space="preserve">los </w:t>
      </w:r>
      <w:r w:rsidR="00C03211" w:rsidRPr="00545310">
        <w:rPr>
          <w:rFonts w:ascii="Arial" w:hAnsi="Arial" w:cs="Arial"/>
          <w:szCs w:val="24"/>
          <w:lang w:val="es-CO" w:eastAsia="ar-SA"/>
        </w:rPr>
        <w:t xml:space="preserve">perjuicios </w:t>
      </w:r>
      <w:r w:rsidR="007A1E52" w:rsidRPr="00545310">
        <w:rPr>
          <w:rFonts w:ascii="Arial" w:hAnsi="Arial" w:cs="Arial"/>
          <w:szCs w:val="24"/>
          <w:lang w:val="es-CO" w:eastAsia="ar-SA"/>
        </w:rPr>
        <w:t>de</w:t>
      </w:r>
      <w:r w:rsidR="00442B7A" w:rsidRPr="00545310">
        <w:rPr>
          <w:rFonts w:ascii="Arial" w:hAnsi="Arial" w:cs="Arial"/>
          <w:szCs w:val="24"/>
          <w:lang w:val="es-CO" w:eastAsia="ar-SA"/>
        </w:rPr>
        <w:t>rivados del</w:t>
      </w:r>
      <w:r w:rsidR="007A1E52" w:rsidRPr="00545310">
        <w:rPr>
          <w:rFonts w:ascii="Arial" w:hAnsi="Arial" w:cs="Arial"/>
          <w:szCs w:val="24"/>
          <w:lang w:val="es-CO" w:eastAsia="ar-SA"/>
        </w:rPr>
        <w:t xml:space="preserve"> </w:t>
      </w:r>
      <w:r w:rsidRPr="00545310">
        <w:rPr>
          <w:rFonts w:ascii="Arial" w:hAnsi="Arial" w:cs="Arial"/>
          <w:szCs w:val="24"/>
          <w:lang w:val="es-CO" w:eastAsia="ar-SA"/>
        </w:rPr>
        <w:t xml:space="preserve">incumplimiento </w:t>
      </w:r>
      <w:r w:rsidR="007A1E52" w:rsidRPr="00545310">
        <w:rPr>
          <w:rFonts w:ascii="Arial" w:hAnsi="Arial" w:cs="Arial"/>
          <w:szCs w:val="24"/>
          <w:lang w:val="es-CO" w:eastAsia="ar-SA"/>
        </w:rPr>
        <w:t>del objeto contractual, e</w:t>
      </w:r>
      <w:r w:rsidR="00FE36E6" w:rsidRPr="00545310">
        <w:rPr>
          <w:rFonts w:ascii="Arial" w:hAnsi="Arial" w:cs="Arial"/>
          <w:szCs w:val="24"/>
          <w:lang w:val="es-CO" w:eastAsia="ar-SA"/>
        </w:rPr>
        <w:t>s decir, e</w:t>
      </w:r>
      <w:r w:rsidR="007A1E52" w:rsidRPr="00545310">
        <w:rPr>
          <w:rFonts w:ascii="Arial" w:hAnsi="Arial" w:cs="Arial"/>
          <w:szCs w:val="24"/>
          <w:lang w:val="es-CO" w:eastAsia="ar-SA"/>
        </w:rPr>
        <w:t xml:space="preserve">n el caso del contrato de obra, </w:t>
      </w:r>
      <w:r w:rsidRPr="00545310">
        <w:rPr>
          <w:rFonts w:ascii="Arial" w:hAnsi="Arial" w:cs="Arial"/>
          <w:szCs w:val="24"/>
          <w:lang w:val="es-CO" w:eastAsia="ar-SA"/>
        </w:rPr>
        <w:t xml:space="preserve">a los perjuicios originados por el solo hecho de </w:t>
      </w:r>
      <w:r w:rsidR="007A1E52" w:rsidRPr="00545310">
        <w:rPr>
          <w:rFonts w:ascii="Arial" w:hAnsi="Arial" w:cs="Arial"/>
          <w:szCs w:val="24"/>
          <w:lang w:val="es-CO" w:eastAsia="ar-SA"/>
        </w:rPr>
        <w:t>la no entrega de la misma</w:t>
      </w:r>
      <w:r w:rsidRPr="00545310">
        <w:rPr>
          <w:rFonts w:ascii="Arial" w:hAnsi="Arial" w:cs="Arial"/>
          <w:szCs w:val="24"/>
          <w:lang w:val="es-CO" w:eastAsia="ar-SA"/>
        </w:rPr>
        <w:t xml:space="preserve"> en la forma y términos convenidos en el contrato</w:t>
      </w:r>
      <w:r w:rsidR="00400FE9" w:rsidRPr="00545310">
        <w:rPr>
          <w:rFonts w:ascii="Arial" w:hAnsi="Arial" w:cs="Arial"/>
          <w:szCs w:val="24"/>
          <w:lang w:val="es-CO" w:eastAsia="ar-SA"/>
        </w:rPr>
        <w:t xml:space="preserve">. </w:t>
      </w:r>
    </w:p>
    <w:p w14:paraId="02601FBB" w14:textId="77777777" w:rsidR="002208D4" w:rsidRPr="00545310" w:rsidRDefault="002208D4" w:rsidP="000A2E77">
      <w:pPr>
        <w:pStyle w:val="Sangradetextonormal"/>
        <w:spacing w:after="0"/>
        <w:ind w:left="0"/>
        <w:rPr>
          <w:rFonts w:ascii="Arial" w:hAnsi="Arial" w:cs="Arial"/>
          <w:szCs w:val="24"/>
          <w:lang w:val="es-CO" w:eastAsia="ar-SA"/>
        </w:rPr>
      </w:pPr>
    </w:p>
    <w:p w14:paraId="3CADF810" w14:textId="77777777" w:rsidR="00F159F2" w:rsidRPr="00545310" w:rsidRDefault="00400FE9" w:rsidP="000A2E77">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Ese entendimiento se corresponde con el objetivo de la garantía del contrato estatal, que es el de indemnizar o resarcir al Estado por </w:t>
      </w:r>
      <w:r w:rsidR="002208D4" w:rsidRPr="00545310">
        <w:rPr>
          <w:rFonts w:ascii="Arial" w:hAnsi="Arial" w:cs="Arial"/>
          <w:szCs w:val="24"/>
          <w:lang w:val="es-CO" w:eastAsia="ar-SA"/>
        </w:rPr>
        <w:t xml:space="preserve">el </w:t>
      </w:r>
      <w:r w:rsidRPr="00545310">
        <w:rPr>
          <w:rFonts w:ascii="Arial" w:hAnsi="Arial" w:cs="Arial"/>
          <w:szCs w:val="24"/>
          <w:lang w:val="es-CO" w:eastAsia="ar-SA"/>
        </w:rPr>
        <w:t>incumpli</w:t>
      </w:r>
      <w:r w:rsidR="002208D4" w:rsidRPr="00545310">
        <w:rPr>
          <w:rFonts w:ascii="Arial" w:hAnsi="Arial" w:cs="Arial"/>
          <w:szCs w:val="24"/>
          <w:lang w:val="es-CO" w:eastAsia="ar-SA"/>
        </w:rPr>
        <w:t>miento</w:t>
      </w:r>
      <w:r w:rsidR="00443C29" w:rsidRPr="00545310">
        <w:rPr>
          <w:rFonts w:ascii="Arial" w:hAnsi="Arial" w:cs="Arial"/>
          <w:szCs w:val="24"/>
          <w:lang w:val="es-CO" w:eastAsia="ar-SA"/>
        </w:rPr>
        <w:t xml:space="preserve">, </w:t>
      </w:r>
      <w:r w:rsidR="00C1488C" w:rsidRPr="00545310">
        <w:rPr>
          <w:rFonts w:ascii="Arial" w:hAnsi="Arial" w:cs="Arial"/>
          <w:szCs w:val="24"/>
          <w:lang w:val="es-CO" w:eastAsia="ar-SA"/>
        </w:rPr>
        <w:t xml:space="preserve">cuyo valor </w:t>
      </w:r>
      <w:r w:rsidR="00E25C54" w:rsidRPr="00545310">
        <w:rPr>
          <w:rFonts w:ascii="Arial" w:hAnsi="Arial" w:cs="Arial"/>
          <w:szCs w:val="24"/>
          <w:lang w:val="es-CO" w:eastAsia="ar-SA"/>
        </w:rPr>
        <w:t xml:space="preserve">se puede cuantificar, entonces, por el monto de los </w:t>
      </w:r>
      <w:r w:rsidR="00417BEB" w:rsidRPr="00545310">
        <w:rPr>
          <w:rFonts w:ascii="Arial" w:hAnsi="Arial" w:cs="Arial"/>
          <w:szCs w:val="24"/>
          <w:lang w:val="es-CO" w:eastAsia="ar-SA"/>
        </w:rPr>
        <w:t xml:space="preserve">mayores </w:t>
      </w:r>
      <w:r w:rsidR="00E25C54" w:rsidRPr="00545310">
        <w:rPr>
          <w:rFonts w:ascii="Arial" w:hAnsi="Arial" w:cs="Arial"/>
          <w:szCs w:val="24"/>
          <w:lang w:val="es-CO" w:eastAsia="ar-SA"/>
        </w:rPr>
        <w:t xml:space="preserve">recursos requeridos para completar la obra. </w:t>
      </w:r>
    </w:p>
    <w:p w14:paraId="79126151" w14:textId="77777777" w:rsidR="00F159F2" w:rsidRPr="00545310" w:rsidRDefault="00F159F2" w:rsidP="000A2E77">
      <w:pPr>
        <w:pStyle w:val="Sangradetextonormal"/>
        <w:spacing w:after="0"/>
        <w:ind w:left="0"/>
        <w:rPr>
          <w:rFonts w:ascii="Arial" w:hAnsi="Arial" w:cs="Arial"/>
          <w:szCs w:val="24"/>
          <w:lang w:val="es-CO" w:eastAsia="ar-SA"/>
        </w:rPr>
      </w:pPr>
    </w:p>
    <w:p w14:paraId="512C59A9" w14:textId="77777777" w:rsidR="00062ECE" w:rsidRPr="00545310" w:rsidRDefault="00C552DF" w:rsidP="000A2E77">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En </w:t>
      </w:r>
      <w:r w:rsidR="00C03211" w:rsidRPr="00545310">
        <w:rPr>
          <w:rFonts w:ascii="Arial" w:hAnsi="Arial" w:cs="Arial"/>
          <w:szCs w:val="24"/>
          <w:lang w:val="es-CO" w:eastAsia="ar-SA"/>
        </w:rPr>
        <w:t>este orden de ideas</w:t>
      </w:r>
      <w:r w:rsidRPr="00545310">
        <w:rPr>
          <w:rFonts w:ascii="Arial" w:hAnsi="Arial" w:cs="Arial"/>
          <w:szCs w:val="24"/>
          <w:lang w:val="es-CO" w:eastAsia="ar-SA"/>
        </w:rPr>
        <w:t xml:space="preserve">, </w:t>
      </w:r>
      <w:r w:rsidR="00F033E5" w:rsidRPr="00545310">
        <w:rPr>
          <w:rFonts w:ascii="Arial" w:hAnsi="Arial" w:cs="Arial"/>
          <w:szCs w:val="24"/>
          <w:lang w:val="es-CO" w:eastAsia="ar-SA"/>
        </w:rPr>
        <w:t>salvo pacto expreso</w:t>
      </w:r>
      <w:r w:rsidR="00AB3C46" w:rsidRPr="00545310">
        <w:rPr>
          <w:rFonts w:ascii="Arial" w:hAnsi="Arial" w:cs="Arial"/>
          <w:szCs w:val="24"/>
          <w:lang w:val="es-CO" w:eastAsia="ar-SA"/>
        </w:rPr>
        <w:t>,</w:t>
      </w:r>
      <w:r w:rsidR="00062ECE" w:rsidRPr="00545310">
        <w:rPr>
          <w:rFonts w:ascii="Arial" w:hAnsi="Arial" w:cs="Arial"/>
          <w:szCs w:val="24"/>
          <w:lang w:val="es-CO" w:eastAsia="ar-SA"/>
        </w:rPr>
        <w:t xml:space="preserve"> en el contrato de seguro</w:t>
      </w:r>
      <w:r w:rsidR="004030FC" w:rsidRPr="00545310">
        <w:rPr>
          <w:rFonts w:ascii="Arial" w:hAnsi="Arial" w:cs="Arial"/>
          <w:szCs w:val="24"/>
          <w:lang w:val="es-CO" w:eastAsia="ar-SA"/>
        </w:rPr>
        <w:t xml:space="preserve"> de cumplimiento</w:t>
      </w:r>
      <w:r w:rsidR="0020649B" w:rsidRPr="00545310">
        <w:rPr>
          <w:rFonts w:ascii="Arial" w:hAnsi="Arial" w:cs="Arial"/>
          <w:szCs w:val="24"/>
          <w:lang w:val="es-CO" w:eastAsia="ar-SA"/>
        </w:rPr>
        <w:t>,</w:t>
      </w:r>
      <w:r w:rsidR="00DA0293" w:rsidRPr="00545310">
        <w:rPr>
          <w:rFonts w:ascii="Arial" w:hAnsi="Arial" w:cs="Arial"/>
          <w:szCs w:val="24"/>
          <w:lang w:val="es-CO" w:eastAsia="ar-SA"/>
        </w:rPr>
        <w:t xml:space="preserve"> para el caso sub júdice, </w:t>
      </w:r>
      <w:r w:rsidR="00062ECE" w:rsidRPr="00545310">
        <w:rPr>
          <w:rFonts w:ascii="Arial" w:hAnsi="Arial" w:cs="Arial"/>
          <w:szCs w:val="24"/>
          <w:lang w:val="es-CO" w:eastAsia="ar-SA"/>
        </w:rPr>
        <w:t>n</w:t>
      </w:r>
      <w:r w:rsidR="00F033E5" w:rsidRPr="00545310">
        <w:rPr>
          <w:rFonts w:ascii="Arial" w:hAnsi="Arial" w:cs="Arial"/>
          <w:szCs w:val="24"/>
          <w:lang w:val="es-CO" w:eastAsia="ar-SA"/>
        </w:rPr>
        <w:t>o quedaban ampara</w:t>
      </w:r>
      <w:r w:rsidR="00450145" w:rsidRPr="00545310">
        <w:rPr>
          <w:rFonts w:ascii="Arial" w:hAnsi="Arial" w:cs="Arial"/>
          <w:szCs w:val="24"/>
          <w:lang w:val="es-CO" w:eastAsia="ar-SA"/>
        </w:rPr>
        <w:t>d</w:t>
      </w:r>
      <w:r w:rsidR="003934D8" w:rsidRPr="00545310">
        <w:rPr>
          <w:rFonts w:ascii="Arial" w:hAnsi="Arial" w:cs="Arial"/>
          <w:szCs w:val="24"/>
          <w:lang w:val="es-CO" w:eastAsia="ar-SA"/>
        </w:rPr>
        <w:t xml:space="preserve">os </w:t>
      </w:r>
      <w:r w:rsidRPr="00545310">
        <w:rPr>
          <w:rFonts w:ascii="Arial" w:hAnsi="Arial" w:cs="Arial"/>
          <w:szCs w:val="24"/>
          <w:lang w:val="es-CO" w:eastAsia="ar-SA"/>
        </w:rPr>
        <w:t xml:space="preserve">los </w:t>
      </w:r>
      <w:r w:rsidR="005238BB" w:rsidRPr="00545310">
        <w:rPr>
          <w:rFonts w:ascii="Arial" w:hAnsi="Arial" w:cs="Arial"/>
          <w:szCs w:val="24"/>
          <w:lang w:val="es-CO" w:eastAsia="ar-SA"/>
        </w:rPr>
        <w:t xml:space="preserve">perjuicios indirectos entre otros, los que se </w:t>
      </w:r>
      <w:r w:rsidR="00417BEB" w:rsidRPr="00545310">
        <w:rPr>
          <w:rFonts w:ascii="Arial" w:hAnsi="Arial" w:cs="Arial"/>
          <w:szCs w:val="24"/>
          <w:lang w:val="es-CO" w:eastAsia="ar-SA"/>
        </w:rPr>
        <w:t xml:space="preserve">originaban en una </w:t>
      </w:r>
      <w:r w:rsidR="00BA2CF4" w:rsidRPr="00545310">
        <w:rPr>
          <w:rFonts w:ascii="Arial" w:hAnsi="Arial" w:cs="Arial"/>
          <w:szCs w:val="24"/>
          <w:lang w:val="es-CO" w:eastAsia="ar-SA"/>
        </w:rPr>
        <w:t xml:space="preserve">causa adicional, concurrente o subsecuente con el incumplimiento. </w:t>
      </w:r>
    </w:p>
    <w:p w14:paraId="2D787E57" w14:textId="77777777" w:rsidR="00BA2CF4" w:rsidRPr="00545310" w:rsidRDefault="00BA2CF4" w:rsidP="000A2E77">
      <w:pPr>
        <w:pStyle w:val="Sangradetextonormal"/>
        <w:spacing w:after="0"/>
        <w:ind w:left="0"/>
        <w:rPr>
          <w:rFonts w:ascii="Arial" w:hAnsi="Arial" w:cs="Arial"/>
          <w:szCs w:val="24"/>
          <w:lang w:val="es-CO" w:eastAsia="ar-SA"/>
        </w:rPr>
      </w:pPr>
    </w:p>
    <w:p w14:paraId="02939033" w14:textId="77777777" w:rsidR="001A58A6" w:rsidRPr="00545310" w:rsidRDefault="00F033E5" w:rsidP="000A2E77">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Guardadas </w:t>
      </w:r>
      <w:r w:rsidR="00BA2CF4" w:rsidRPr="00545310">
        <w:rPr>
          <w:rFonts w:ascii="Arial" w:hAnsi="Arial" w:cs="Arial"/>
          <w:szCs w:val="24"/>
          <w:lang w:val="es-CO" w:eastAsia="ar-SA"/>
        </w:rPr>
        <w:t xml:space="preserve">las diferencias, </w:t>
      </w:r>
      <w:r w:rsidRPr="00545310">
        <w:rPr>
          <w:rFonts w:ascii="Arial" w:hAnsi="Arial" w:cs="Arial"/>
          <w:szCs w:val="24"/>
          <w:lang w:val="es-CO" w:eastAsia="ar-SA"/>
        </w:rPr>
        <w:t>la regla del perjuicio directo</w:t>
      </w:r>
      <w:r w:rsidR="00C552DF" w:rsidRPr="00545310">
        <w:rPr>
          <w:rFonts w:ascii="Arial" w:hAnsi="Arial" w:cs="Arial"/>
          <w:szCs w:val="24"/>
          <w:lang w:val="es-CO" w:eastAsia="ar-SA"/>
        </w:rPr>
        <w:t xml:space="preserve"> que se podía extraer del Decreto 4848</w:t>
      </w:r>
      <w:r w:rsidR="004030FC" w:rsidRPr="00545310">
        <w:rPr>
          <w:rFonts w:ascii="Arial" w:hAnsi="Arial" w:cs="Arial"/>
          <w:szCs w:val="24"/>
          <w:lang w:val="es-CO" w:eastAsia="ar-SA"/>
        </w:rPr>
        <w:t xml:space="preserve"> de 2008</w:t>
      </w:r>
      <w:r w:rsidRPr="00545310">
        <w:rPr>
          <w:rFonts w:ascii="Arial" w:hAnsi="Arial" w:cs="Arial"/>
          <w:szCs w:val="24"/>
          <w:lang w:val="es-CO" w:eastAsia="ar-SA"/>
        </w:rPr>
        <w:t xml:space="preserve"> se puede interpretar en el mismo sentido que lo establece el artículo 1088 del Código de Comercio para el concepto </w:t>
      </w:r>
      <w:r w:rsidR="00092596" w:rsidRPr="00545310">
        <w:rPr>
          <w:rFonts w:ascii="Arial" w:hAnsi="Arial" w:cs="Arial"/>
          <w:szCs w:val="24"/>
          <w:lang w:val="es-CO" w:eastAsia="ar-SA"/>
        </w:rPr>
        <w:t xml:space="preserve">de la indemnización </w:t>
      </w:r>
      <w:r w:rsidR="004030FC" w:rsidRPr="00545310">
        <w:rPr>
          <w:rFonts w:ascii="Arial" w:hAnsi="Arial" w:cs="Arial"/>
          <w:szCs w:val="24"/>
          <w:lang w:val="es-CO" w:eastAsia="ar-SA"/>
        </w:rPr>
        <w:t xml:space="preserve">en </w:t>
      </w:r>
      <w:r w:rsidR="00092596" w:rsidRPr="00545310">
        <w:rPr>
          <w:rFonts w:ascii="Arial" w:hAnsi="Arial" w:cs="Arial"/>
          <w:szCs w:val="24"/>
          <w:lang w:val="es-CO" w:eastAsia="ar-SA"/>
        </w:rPr>
        <w:t>el seguro de daños</w:t>
      </w:r>
      <w:r w:rsidR="00092596" w:rsidRPr="00545310">
        <w:rPr>
          <w:rStyle w:val="Refdenotaalpie"/>
          <w:rFonts w:ascii="Arial" w:hAnsi="Arial" w:cs="Arial"/>
          <w:szCs w:val="24"/>
          <w:lang w:val="es-CO" w:eastAsia="ar-SA"/>
        </w:rPr>
        <w:footnoteReference w:id="44"/>
      </w:r>
      <w:r w:rsidR="00F460BC" w:rsidRPr="00545310">
        <w:rPr>
          <w:rFonts w:ascii="Arial" w:hAnsi="Arial" w:cs="Arial"/>
          <w:szCs w:val="24"/>
          <w:lang w:val="es-CO" w:eastAsia="ar-SA"/>
        </w:rPr>
        <w:t xml:space="preserve">, </w:t>
      </w:r>
      <w:r w:rsidR="00357138" w:rsidRPr="00545310">
        <w:rPr>
          <w:rFonts w:ascii="Arial" w:hAnsi="Arial" w:cs="Arial"/>
          <w:szCs w:val="24"/>
          <w:lang w:val="es-CO" w:eastAsia="ar-SA"/>
        </w:rPr>
        <w:t>e</w:t>
      </w:r>
      <w:r w:rsidR="004030FC" w:rsidRPr="00545310">
        <w:rPr>
          <w:rFonts w:ascii="Arial" w:hAnsi="Arial" w:cs="Arial"/>
          <w:szCs w:val="24"/>
          <w:lang w:val="es-CO" w:eastAsia="ar-SA"/>
        </w:rPr>
        <w:t xml:space="preserve">l cual se entiende </w:t>
      </w:r>
      <w:r w:rsidR="00F460BC" w:rsidRPr="00545310">
        <w:rPr>
          <w:rFonts w:ascii="Arial" w:hAnsi="Arial" w:cs="Arial"/>
          <w:szCs w:val="24"/>
          <w:lang w:val="es-CO" w:eastAsia="ar-SA"/>
        </w:rPr>
        <w:t>referid</w:t>
      </w:r>
      <w:r w:rsidR="001A58A6" w:rsidRPr="00545310">
        <w:rPr>
          <w:rFonts w:ascii="Arial" w:hAnsi="Arial" w:cs="Arial"/>
          <w:szCs w:val="24"/>
          <w:lang w:val="es-CO" w:eastAsia="ar-SA"/>
        </w:rPr>
        <w:t>o</w:t>
      </w:r>
      <w:r w:rsidR="00F460BC" w:rsidRPr="00545310">
        <w:rPr>
          <w:rFonts w:ascii="Arial" w:hAnsi="Arial" w:cs="Arial"/>
          <w:szCs w:val="24"/>
          <w:lang w:val="es-CO" w:eastAsia="ar-SA"/>
        </w:rPr>
        <w:t xml:space="preserve"> al resarcimiento del daño emergente </w:t>
      </w:r>
      <w:r w:rsidR="00F460BC" w:rsidRPr="00545310">
        <w:rPr>
          <w:rFonts w:ascii="Arial" w:hAnsi="Arial" w:cs="Arial"/>
          <w:szCs w:val="24"/>
          <w:lang w:val="es-CO" w:eastAsia="ar-SA"/>
        </w:rPr>
        <w:lastRenderedPageBreak/>
        <w:t xml:space="preserve">causado por la </w:t>
      </w:r>
      <w:r w:rsidR="00E2364F" w:rsidRPr="00545310">
        <w:rPr>
          <w:rFonts w:ascii="Arial" w:hAnsi="Arial" w:cs="Arial"/>
          <w:szCs w:val="24"/>
          <w:lang w:val="es-CO" w:eastAsia="ar-SA"/>
        </w:rPr>
        <w:t xml:space="preserve">ocurrencia </w:t>
      </w:r>
      <w:r w:rsidR="00F460BC" w:rsidRPr="00545310">
        <w:rPr>
          <w:rFonts w:ascii="Arial" w:hAnsi="Arial" w:cs="Arial"/>
          <w:szCs w:val="24"/>
          <w:lang w:val="es-CO" w:eastAsia="ar-SA"/>
        </w:rPr>
        <w:t xml:space="preserve">del </w:t>
      </w:r>
      <w:r w:rsidR="00357138" w:rsidRPr="00545310">
        <w:rPr>
          <w:rFonts w:ascii="Arial" w:hAnsi="Arial" w:cs="Arial"/>
          <w:szCs w:val="24"/>
          <w:lang w:val="es-CO" w:eastAsia="ar-SA"/>
        </w:rPr>
        <w:t xml:space="preserve">riesgo </w:t>
      </w:r>
      <w:r w:rsidR="00F460BC" w:rsidRPr="00545310">
        <w:rPr>
          <w:rFonts w:ascii="Arial" w:hAnsi="Arial" w:cs="Arial"/>
          <w:szCs w:val="24"/>
          <w:lang w:val="es-CO" w:eastAsia="ar-SA"/>
        </w:rPr>
        <w:t>asegurado</w:t>
      </w:r>
      <w:r w:rsidR="001A58A6" w:rsidRPr="00545310">
        <w:rPr>
          <w:rFonts w:ascii="Arial" w:hAnsi="Arial" w:cs="Arial"/>
          <w:szCs w:val="24"/>
          <w:lang w:val="es-CO" w:eastAsia="ar-SA"/>
        </w:rPr>
        <w:t xml:space="preserve"> y solo se puede extender al concepto de lucro cesante mediante pacto expreso</w:t>
      </w:r>
      <w:r w:rsidR="00765739" w:rsidRPr="00545310">
        <w:rPr>
          <w:rStyle w:val="Refdenotaalpie"/>
          <w:rFonts w:ascii="Arial" w:hAnsi="Arial" w:cs="Arial"/>
          <w:szCs w:val="24"/>
          <w:lang w:val="es-CO" w:eastAsia="ar-SA"/>
        </w:rPr>
        <w:footnoteReference w:id="45"/>
      </w:r>
      <w:r w:rsidR="001A58A6" w:rsidRPr="00545310">
        <w:rPr>
          <w:rFonts w:ascii="Arial" w:hAnsi="Arial" w:cs="Arial"/>
          <w:szCs w:val="24"/>
          <w:lang w:val="es-CO" w:eastAsia="ar-SA"/>
        </w:rPr>
        <w:t>.</w:t>
      </w:r>
    </w:p>
    <w:p w14:paraId="720F97AA" w14:textId="77777777" w:rsidR="004030FC" w:rsidRPr="00545310" w:rsidRDefault="004030FC" w:rsidP="000A2E77">
      <w:pPr>
        <w:pStyle w:val="Sangradetextonormal"/>
        <w:spacing w:after="0"/>
        <w:ind w:left="0"/>
        <w:rPr>
          <w:rFonts w:ascii="Arial" w:hAnsi="Arial" w:cs="Arial"/>
          <w:szCs w:val="24"/>
          <w:lang w:val="es-CO" w:eastAsia="ar-SA"/>
        </w:rPr>
      </w:pPr>
    </w:p>
    <w:p w14:paraId="5B3A5C3B" w14:textId="77777777" w:rsidR="00F370F0" w:rsidRPr="00545310" w:rsidRDefault="00F460BC" w:rsidP="000A2E77">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Se advierte que la reglamentación </w:t>
      </w:r>
      <w:r w:rsidR="00357138" w:rsidRPr="00545310">
        <w:rPr>
          <w:rFonts w:ascii="Arial" w:hAnsi="Arial" w:cs="Arial"/>
          <w:szCs w:val="24"/>
          <w:lang w:val="es-CO" w:eastAsia="ar-SA"/>
        </w:rPr>
        <w:t>de la garantía</w:t>
      </w:r>
      <w:r w:rsidR="00FA2497" w:rsidRPr="00545310">
        <w:rPr>
          <w:rFonts w:ascii="Arial" w:hAnsi="Arial" w:cs="Arial"/>
          <w:szCs w:val="24"/>
          <w:lang w:val="es-CO" w:eastAsia="ar-SA"/>
        </w:rPr>
        <w:t xml:space="preserve"> única de cumplimiento</w:t>
      </w:r>
      <w:r w:rsidR="00357138" w:rsidRPr="00545310">
        <w:rPr>
          <w:rFonts w:ascii="Arial" w:hAnsi="Arial" w:cs="Arial"/>
          <w:szCs w:val="24"/>
          <w:lang w:val="es-CO" w:eastAsia="ar-SA"/>
        </w:rPr>
        <w:t xml:space="preserve"> </w:t>
      </w:r>
      <w:r w:rsidRPr="00545310">
        <w:rPr>
          <w:rFonts w:ascii="Arial" w:hAnsi="Arial" w:cs="Arial"/>
          <w:szCs w:val="24"/>
          <w:lang w:val="es-CO" w:eastAsia="ar-SA"/>
        </w:rPr>
        <w:t>fij</w:t>
      </w:r>
      <w:r w:rsidR="00357138" w:rsidRPr="00545310">
        <w:rPr>
          <w:rFonts w:ascii="Arial" w:hAnsi="Arial" w:cs="Arial"/>
          <w:szCs w:val="24"/>
          <w:lang w:val="es-CO" w:eastAsia="ar-SA"/>
        </w:rPr>
        <w:t>aba</w:t>
      </w:r>
      <w:r w:rsidRPr="00545310">
        <w:rPr>
          <w:rFonts w:ascii="Arial" w:hAnsi="Arial" w:cs="Arial"/>
          <w:szCs w:val="24"/>
          <w:lang w:val="es-CO" w:eastAsia="ar-SA"/>
        </w:rPr>
        <w:t xml:space="preserve"> los mínimos exigidos, sin perjuicio de las coberturas adicionales que </w:t>
      </w:r>
      <w:r w:rsidR="00B43D5F" w:rsidRPr="00545310">
        <w:rPr>
          <w:rFonts w:ascii="Arial" w:hAnsi="Arial" w:cs="Arial"/>
          <w:szCs w:val="24"/>
          <w:lang w:val="es-CO" w:eastAsia="ar-SA"/>
        </w:rPr>
        <w:t xml:space="preserve">se podían pactar con el contratista y </w:t>
      </w:r>
      <w:r w:rsidR="00877A88" w:rsidRPr="00545310">
        <w:rPr>
          <w:rFonts w:ascii="Arial" w:hAnsi="Arial" w:cs="Arial"/>
          <w:szCs w:val="24"/>
          <w:lang w:val="es-CO" w:eastAsia="ar-SA"/>
        </w:rPr>
        <w:t xml:space="preserve">con </w:t>
      </w:r>
      <w:r w:rsidR="00B43D5F" w:rsidRPr="00545310">
        <w:rPr>
          <w:rFonts w:ascii="Arial" w:hAnsi="Arial" w:cs="Arial"/>
          <w:szCs w:val="24"/>
          <w:lang w:val="es-CO" w:eastAsia="ar-SA"/>
        </w:rPr>
        <w:t>la compañía de seguros o la entidad garante</w:t>
      </w:r>
      <w:r w:rsidR="00877A88" w:rsidRPr="00545310">
        <w:rPr>
          <w:rFonts w:ascii="Arial" w:hAnsi="Arial" w:cs="Arial"/>
          <w:szCs w:val="24"/>
          <w:lang w:val="es-CO" w:eastAsia="ar-SA"/>
        </w:rPr>
        <w:t>, de acuerdo con la naturaleza de los riesgos en el contrato.</w:t>
      </w:r>
      <w:r w:rsidR="00F370F0" w:rsidRPr="00545310">
        <w:rPr>
          <w:rFonts w:ascii="Arial" w:hAnsi="Arial" w:cs="Arial"/>
          <w:szCs w:val="24"/>
          <w:lang w:val="es-CO" w:eastAsia="ar-SA"/>
        </w:rPr>
        <w:t xml:space="preserve"> </w:t>
      </w:r>
    </w:p>
    <w:p w14:paraId="68F11D92" w14:textId="77777777" w:rsidR="00F370F0" w:rsidRPr="00545310" w:rsidRDefault="00F370F0" w:rsidP="000A2E77">
      <w:pPr>
        <w:pStyle w:val="Sangradetextonormal"/>
        <w:spacing w:after="0"/>
        <w:ind w:left="0"/>
        <w:rPr>
          <w:rFonts w:ascii="Arial" w:hAnsi="Arial" w:cs="Arial"/>
          <w:szCs w:val="24"/>
          <w:lang w:val="es-CO" w:eastAsia="ar-SA"/>
        </w:rPr>
      </w:pPr>
    </w:p>
    <w:p w14:paraId="05085797" w14:textId="77777777" w:rsidR="0020213C" w:rsidRPr="00545310" w:rsidRDefault="00F370F0" w:rsidP="000A2E77">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También se </w:t>
      </w:r>
      <w:r w:rsidR="00D923D1" w:rsidRPr="00545310">
        <w:rPr>
          <w:rFonts w:ascii="Arial" w:hAnsi="Arial" w:cs="Arial"/>
          <w:szCs w:val="24"/>
          <w:lang w:val="es-CO" w:eastAsia="ar-SA"/>
        </w:rPr>
        <w:t xml:space="preserve">precisa que en </w:t>
      </w:r>
      <w:r w:rsidRPr="00545310">
        <w:rPr>
          <w:rFonts w:ascii="Arial" w:hAnsi="Arial" w:cs="Arial"/>
          <w:szCs w:val="24"/>
          <w:lang w:val="es-CO" w:eastAsia="ar-SA"/>
        </w:rPr>
        <w:t xml:space="preserve">la </w:t>
      </w:r>
      <w:r w:rsidR="00D923D1" w:rsidRPr="00545310">
        <w:rPr>
          <w:rFonts w:ascii="Arial" w:hAnsi="Arial" w:cs="Arial"/>
          <w:szCs w:val="24"/>
          <w:lang w:val="es-CO" w:eastAsia="ar-SA"/>
        </w:rPr>
        <w:t xml:space="preserve">reglamentación </w:t>
      </w:r>
      <w:r w:rsidRPr="00545310">
        <w:rPr>
          <w:rFonts w:ascii="Arial" w:hAnsi="Arial" w:cs="Arial"/>
          <w:szCs w:val="24"/>
          <w:lang w:val="es-CO" w:eastAsia="ar-SA"/>
        </w:rPr>
        <w:t xml:space="preserve">actual no </w:t>
      </w:r>
      <w:r w:rsidR="00D923D1" w:rsidRPr="00545310">
        <w:rPr>
          <w:rFonts w:ascii="Arial" w:hAnsi="Arial" w:cs="Arial"/>
          <w:szCs w:val="24"/>
          <w:lang w:val="es-CO" w:eastAsia="ar-SA"/>
        </w:rPr>
        <w:t xml:space="preserve">se </w:t>
      </w:r>
      <w:r w:rsidR="00357138" w:rsidRPr="00545310">
        <w:rPr>
          <w:rFonts w:ascii="Arial" w:hAnsi="Arial" w:cs="Arial"/>
          <w:szCs w:val="24"/>
          <w:lang w:val="es-CO" w:eastAsia="ar-SA"/>
        </w:rPr>
        <w:t>utiliza la expresión “directo”</w:t>
      </w:r>
      <w:r w:rsidR="00726EDA" w:rsidRPr="00545310">
        <w:rPr>
          <w:rFonts w:ascii="Arial" w:hAnsi="Arial" w:cs="Arial"/>
          <w:szCs w:val="24"/>
          <w:lang w:val="es-CO" w:eastAsia="ar-SA"/>
        </w:rPr>
        <w:t>, la cual</w:t>
      </w:r>
      <w:r w:rsidR="00E2364F" w:rsidRPr="00545310">
        <w:rPr>
          <w:rFonts w:ascii="Arial" w:hAnsi="Arial" w:cs="Arial"/>
          <w:szCs w:val="24"/>
          <w:lang w:val="es-CO" w:eastAsia="ar-SA"/>
        </w:rPr>
        <w:t>,</w:t>
      </w:r>
      <w:r w:rsidR="00726EDA" w:rsidRPr="00545310">
        <w:rPr>
          <w:rFonts w:ascii="Arial" w:hAnsi="Arial" w:cs="Arial"/>
          <w:szCs w:val="24"/>
          <w:lang w:val="es-CO" w:eastAsia="ar-SA"/>
        </w:rPr>
        <w:t xml:space="preserve"> según se ha explicado</w:t>
      </w:r>
      <w:r w:rsidR="00E2364F" w:rsidRPr="00545310">
        <w:rPr>
          <w:rFonts w:ascii="Arial" w:hAnsi="Arial" w:cs="Arial"/>
          <w:szCs w:val="24"/>
          <w:lang w:val="es-CO" w:eastAsia="ar-SA"/>
        </w:rPr>
        <w:t>,</w:t>
      </w:r>
      <w:r w:rsidR="00726EDA" w:rsidRPr="00545310">
        <w:rPr>
          <w:rFonts w:ascii="Arial" w:hAnsi="Arial" w:cs="Arial"/>
          <w:szCs w:val="24"/>
          <w:lang w:val="es-CO" w:eastAsia="ar-SA"/>
        </w:rPr>
        <w:t xml:space="preserve"> se</w:t>
      </w:r>
      <w:r w:rsidR="00DA0293" w:rsidRPr="00545310">
        <w:rPr>
          <w:rFonts w:ascii="Arial" w:hAnsi="Arial" w:cs="Arial"/>
          <w:szCs w:val="24"/>
          <w:lang w:val="es-CO" w:eastAsia="ar-SA"/>
        </w:rPr>
        <w:t xml:space="preserve"> entend</w:t>
      </w:r>
      <w:r w:rsidR="00726EDA" w:rsidRPr="00545310">
        <w:rPr>
          <w:rFonts w:ascii="Arial" w:hAnsi="Arial" w:cs="Arial"/>
          <w:szCs w:val="24"/>
          <w:lang w:val="es-CO" w:eastAsia="ar-SA"/>
        </w:rPr>
        <w:t xml:space="preserve">ió </w:t>
      </w:r>
      <w:r w:rsidR="00DA0293" w:rsidRPr="00545310">
        <w:rPr>
          <w:rFonts w:ascii="Arial" w:hAnsi="Arial" w:cs="Arial"/>
          <w:szCs w:val="24"/>
          <w:lang w:val="es-CO" w:eastAsia="ar-SA"/>
        </w:rPr>
        <w:t>como</w:t>
      </w:r>
      <w:r w:rsidR="00357138" w:rsidRPr="00545310">
        <w:rPr>
          <w:rFonts w:ascii="Arial" w:hAnsi="Arial" w:cs="Arial"/>
          <w:szCs w:val="24"/>
          <w:lang w:val="es-CO" w:eastAsia="ar-SA"/>
        </w:rPr>
        <w:t xml:space="preserve"> un califi</w:t>
      </w:r>
      <w:r w:rsidR="00FA2497" w:rsidRPr="00545310">
        <w:rPr>
          <w:rFonts w:ascii="Arial" w:hAnsi="Arial" w:cs="Arial"/>
          <w:szCs w:val="24"/>
          <w:lang w:val="es-CO" w:eastAsia="ar-SA"/>
        </w:rPr>
        <w:t xml:space="preserve">cativo acerca de </w:t>
      </w:r>
      <w:r w:rsidR="00E2364F" w:rsidRPr="00545310">
        <w:rPr>
          <w:rFonts w:ascii="Arial" w:hAnsi="Arial" w:cs="Arial"/>
          <w:szCs w:val="24"/>
          <w:lang w:val="es-CO" w:eastAsia="ar-SA"/>
        </w:rPr>
        <w:t xml:space="preserve">la </w:t>
      </w:r>
      <w:r w:rsidR="00FA2497" w:rsidRPr="00545310">
        <w:rPr>
          <w:rFonts w:ascii="Arial" w:hAnsi="Arial" w:cs="Arial"/>
          <w:szCs w:val="24"/>
          <w:lang w:val="es-CO" w:eastAsia="ar-SA"/>
        </w:rPr>
        <w:t xml:space="preserve">inmediatez del perjuicio, </w:t>
      </w:r>
      <w:r w:rsidR="00D923D1" w:rsidRPr="00545310">
        <w:rPr>
          <w:rFonts w:ascii="Arial" w:hAnsi="Arial" w:cs="Arial"/>
          <w:szCs w:val="24"/>
          <w:lang w:val="es-CO" w:eastAsia="ar-SA"/>
        </w:rPr>
        <w:t xml:space="preserve">amén de que la ley de contratación estatal </w:t>
      </w:r>
      <w:r w:rsidR="00726EDA" w:rsidRPr="00545310">
        <w:rPr>
          <w:rFonts w:ascii="Arial" w:hAnsi="Arial" w:cs="Arial"/>
          <w:szCs w:val="24"/>
          <w:lang w:val="es-CO" w:eastAsia="ar-SA"/>
        </w:rPr>
        <w:t xml:space="preserve">vigente </w:t>
      </w:r>
      <w:r w:rsidR="00D923D1" w:rsidRPr="00545310">
        <w:rPr>
          <w:rFonts w:ascii="Arial" w:hAnsi="Arial" w:cs="Arial"/>
          <w:szCs w:val="24"/>
          <w:lang w:val="es-CO" w:eastAsia="ar-SA"/>
        </w:rPr>
        <w:t>no introduce ninguna distinción</w:t>
      </w:r>
      <w:r w:rsidR="00FE05A7" w:rsidRPr="00545310">
        <w:rPr>
          <w:rFonts w:ascii="Arial" w:hAnsi="Arial" w:cs="Arial"/>
          <w:szCs w:val="24"/>
          <w:lang w:val="es-CO" w:eastAsia="ar-SA"/>
        </w:rPr>
        <w:t xml:space="preserve"> o restricción sobre los perjuicios</w:t>
      </w:r>
      <w:r w:rsidR="00FA2497" w:rsidRPr="00545310">
        <w:rPr>
          <w:rFonts w:ascii="Arial" w:hAnsi="Arial" w:cs="Arial"/>
          <w:szCs w:val="24"/>
          <w:lang w:val="es-CO" w:eastAsia="ar-SA"/>
        </w:rPr>
        <w:t xml:space="preserve"> indemnizables, por lo cual solo se </w:t>
      </w:r>
      <w:r w:rsidR="003521B4" w:rsidRPr="00545310">
        <w:rPr>
          <w:rFonts w:ascii="Arial" w:hAnsi="Arial" w:cs="Arial"/>
          <w:szCs w:val="24"/>
          <w:lang w:val="es-CO" w:eastAsia="ar-SA"/>
        </w:rPr>
        <w:t xml:space="preserve">exige </w:t>
      </w:r>
      <w:r w:rsidR="0020213C" w:rsidRPr="00545310">
        <w:rPr>
          <w:rFonts w:ascii="Arial" w:hAnsi="Arial" w:cs="Arial"/>
          <w:szCs w:val="24"/>
          <w:lang w:val="es-CO" w:eastAsia="ar-SA"/>
        </w:rPr>
        <w:t xml:space="preserve">que </w:t>
      </w:r>
      <w:r w:rsidR="003521B4" w:rsidRPr="00545310">
        <w:rPr>
          <w:rFonts w:ascii="Arial" w:hAnsi="Arial" w:cs="Arial"/>
          <w:szCs w:val="24"/>
          <w:lang w:val="es-CO" w:eastAsia="ar-SA"/>
        </w:rPr>
        <w:t xml:space="preserve">los perjuicios </w:t>
      </w:r>
      <w:r w:rsidR="00FA2497" w:rsidRPr="00545310">
        <w:rPr>
          <w:rFonts w:ascii="Arial" w:hAnsi="Arial" w:cs="Arial"/>
          <w:szCs w:val="24"/>
          <w:lang w:val="es-CO" w:eastAsia="ar-SA"/>
        </w:rPr>
        <w:t xml:space="preserve">sean </w:t>
      </w:r>
      <w:r w:rsidR="00FE05A7" w:rsidRPr="00545310">
        <w:rPr>
          <w:rFonts w:ascii="Arial" w:hAnsi="Arial" w:cs="Arial"/>
          <w:szCs w:val="24"/>
          <w:lang w:val="es-CO" w:eastAsia="ar-SA"/>
        </w:rPr>
        <w:t>derivados del incumplimiento imputable al deudor</w:t>
      </w:r>
      <w:r w:rsidR="00A86702" w:rsidRPr="00545310">
        <w:rPr>
          <w:rFonts w:ascii="Arial" w:hAnsi="Arial" w:cs="Arial"/>
          <w:szCs w:val="24"/>
          <w:lang w:val="es-CO" w:eastAsia="ar-SA"/>
        </w:rPr>
        <w:t xml:space="preserve">. </w:t>
      </w:r>
    </w:p>
    <w:p w14:paraId="2C14DE66" w14:textId="77777777" w:rsidR="0020213C" w:rsidRPr="00545310" w:rsidRDefault="0020213C" w:rsidP="000A2E77">
      <w:pPr>
        <w:pStyle w:val="Sangradetextonormal"/>
        <w:spacing w:after="0"/>
        <w:ind w:left="0"/>
        <w:rPr>
          <w:rFonts w:ascii="Arial" w:hAnsi="Arial" w:cs="Arial"/>
          <w:szCs w:val="24"/>
          <w:lang w:val="es-CO" w:eastAsia="ar-SA"/>
        </w:rPr>
      </w:pPr>
    </w:p>
    <w:p w14:paraId="37A4BEC7" w14:textId="77777777" w:rsidR="00A86702" w:rsidRPr="00545310" w:rsidRDefault="00A86702" w:rsidP="000A2E77">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Por ello</w:t>
      </w:r>
      <w:r w:rsidR="003521B4" w:rsidRPr="00545310">
        <w:rPr>
          <w:rFonts w:ascii="Arial" w:hAnsi="Arial" w:cs="Arial"/>
          <w:szCs w:val="24"/>
          <w:lang w:val="es-CO" w:eastAsia="ar-SA"/>
        </w:rPr>
        <w:t xml:space="preserve">, </w:t>
      </w:r>
      <w:r w:rsidR="00E2364F" w:rsidRPr="00545310">
        <w:rPr>
          <w:rFonts w:ascii="Arial" w:hAnsi="Arial" w:cs="Arial"/>
          <w:szCs w:val="24"/>
          <w:lang w:val="es-CO" w:eastAsia="ar-SA"/>
        </w:rPr>
        <w:t>resulta</w:t>
      </w:r>
      <w:r w:rsidRPr="00545310">
        <w:rPr>
          <w:rFonts w:ascii="Arial" w:hAnsi="Arial" w:cs="Arial"/>
          <w:szCs w:val="24"/>
          <w:lang w:val="es-CO" w:eastAsia="ar-SA"/>
        </w:rPr>
        <w:t xml:space="preserve"> claro que en la</w:t>
      </w:r>
      <w:r w:rsidR="00E2364F" w:rsidRPr="00545310">
        <w:rPr>
          <w:rFonts w:ascii="Arial" w:hAnsi="Arial" w:cs="Arial"/>
          <w:szCs w:val="24"/>
          <w:lang w:val="es-CO" w:eastAsia="ar-SA"/>
        </w:rPr>
        <w:t>s</w:t>
      </w:r>
      <w:r w:rsidRPr="00545310">
        <w:rPr>
          <w:rFonts w:ascii="Arial" w:hAnsi="Arial" w:cs="Arial"/>
          <w:szCs w:val="24"/>
          <w:lang w:val="es-CO" w:eastAsia="ar-SA"/>
        </w:rPr>
        <w:t xml:space="preserve"> garantía</w:t>
      </w:r>
      <w:r w:rsidR="00E2364F" w:rsidRPr="00545310">
        <w:rPr>
          <w:rFonts w:ascii="Arial" w:hAnsi="Arial" w:cs="Arial"/>
          <w:szCs w:val="24"/>
          <w:lang w:val="es-CO" w:eastAsia="ar-SA"/>
        </w:rPr>
        <w:t>s</w:t>
      </w:r>
      <w:r w:rsidRPr="00545310">
        <w:rPr>
          <w:rFonts w:ascii="Arial" w:hAnsi="Arial" w:cs="Arial"/>
          <w:szCs w:val="24"/>
          <w:lang w:val="es-CO" w:eastAsia="ar-SA"/>
        </w:rPr>
        <w:t xml:space="preserve"> </w:t>
      </w:r>
      <w:r w:rsidR="0020213C" w:rsidRPr="00545310">
        <w:rPr>
          <w:rFonts w:ascii="Arial" w:hAnsi="Arial" w:cs="Arial"/>
          <w:szCs w:val="24"/>
          <w:lang w:val="es-CO" w:eastAsia="ar-SA"/>
        </w:rPr>
        <w:t xml:space="preserve">del contrato estatal </w:t>
      </w:r>
      <w:r w:rsidRPr="00545310">
        <w:rPr>
          <w:rFonts w:ascii="Arial" w:hAnsi="Arial" w:cs="Arial"/>
          <w:szCs w:val="24"/>
          <w:lang w:val="es-CO" w:eastAsia="ar-SA"/>
        </w:rPr>
        <w:t xml:space="preserve">no se pueden </w:t>
      </w:r>
      <w:r w:rsidR="003521B4" w:rsidRPr="00545310">
        <w:rPr>
          <w:rFonts w:ascii="Arial" w:hAnsi="Arial" w:cs="Arial"/>
          <w:szCs w:val="24"/>
          <w:lang w:val="es-CO" w:eastAsia="ar-SA"/>
        </w:rPr>
        <w:t>introducir limitaci</w:t>
      </w:r>
      <w:r w:rsidRPr="00545310">
        <w:rPr>
          <w:rFonts w:ascii="Arial" w:hAnsi="Arial" w:cs="Arial"/>
          <w:szCs w:val="24"/>
          <w:lang w:val="es-CO" w:eastAsia="ar-SA"/>
        </w:rPr>
        <w:t>o</w:t>
      </w:r>
      <w:r w:rsidR="003521B4" w:rsidRPr="00545310">
        <w:rPr>
          <w:rFonts w:ascii="Arial" w:hAnsi="Arial" w:cs="Arial"/>
          <w:szCs w:val="24"/>
          <w:lang w:val="es-CO" w:eastAsia="ar-SA"/>
        </w:rPr>
        <w:t>n</w:t>
      </w:r>
      <w:r w:rsidRPr="00545310">
        <w:rPr>
          <w:rFonts w:ascii="Arial" w:hAnsi="Arial" w:cs="Arial"/>
          <w:szCs w:val="24"/>
          <w:lang w:val="es-CO" w:eastAsia="ar-SA"/>
        </w:rPr>
        <w:t>es</w:t>
      </w:r>
      <w:r w:rsidR="003521B4" w:rsidRPr="00545310">
        <w:rPr>
          <w:rFonts w:ascii="Arial" w:hAnsi="Arial" w:cs="Arial"/>
          <w:szCs w:val="24"/>
          <w:lang w:val="es-CO" w:eastAsia="ar-SA"/>
        </w:rPr>
        <w:t xml:space="preserve"> </w:t>
      </w:r>
      <w:r w:rsidR="005D57EF" w:rsidRPr="00545310">
        <w:rPr>
          <w:rFonts w:ascii="Arial" w:hAnsi="Arial" w:cs="Arial"/>
          <w:szCs w:val="24"/>
          <w:lang w:val="es-CO" w:eastAsia="ar-SA"/>
        </w:rPr>
        <w:t>o exclusi</w:t>
      </w:r>
      <w:r w:rsidRPr="00545310">
        <w:rPr>
          <w:rFonts w:ascii="Arial" w:hAnsi="Arial" w:cs="Arial"/>
          <w:szCs w:val="24"/>
          <w:lang w:val="es-CO" w:eastAsia="ar-SA"/>
        </w:rPr>
        <w:t>o</w:t>
      </w:r>
      <w:r w:rsidR="005D57EF" w:rsidRPr="00545310">
        <w:rPr>
          <w:rFonts w:ascii="Arial" w:hAnsi="Arial" w:cs="Arial"/>
          <w:szCs w:val="24"/>
          <w:lang w:val="es-CO" w:eastAsia="ar-SA"/>
        </w:rPr>
        <w:t>n</w:t>
      </w:r>
      <w:r w:rsidRPr="00545310">
        <w:rPr>
          <w:rFonts w:ascii="Arial" w:hAnsi="Arial" w:cs="Arial"/>
          <w:szCs w:val="24"/>
          <w:lang w:val="es-CO" w:eastAsia="ar-SA"/>
        </w:rPr>
        <w:t>es</w:t>
      </w:r>
      <w:r w:rsidR="005D57EF" w:rsidRPr="00545310">
        <w:rPr>
          <w:rFonts w:ascii="Arial" w:hAnsi="Arial" w:cs="Arial"/>
          <w:szCs w:val="24"/>
          <w:lang w:val="es-CO" w:eastAsia="ar-SA"/>
        </w:rPr>
        <w:t xml:space="preserve"> </w:t>
      </w:r>
      <w:r w:rsidR="00726EDA" w:rsidRPr="00545310">
        <w:rPr>
          <w:rFonts w:ascii="Arial" w:hAnsi="Arial" w:cs="Arial"/>
          <w:szCs w:val="24"/>
          <w:lang w:val="es-CO" w:eastAsia="ar-SA"/>
        </w:rPr>
        <w:t xml:space="preserve">distintas de las </w:t>
      </w:r>
      <w:r w:rsidR="00E2364F" w:rsidRPr="00545310">
        <w:rPr>
          <w:rFonts w:ascii="Arial" w:hAnsi="Arial" w:cs="Arial"/>
          <w:szCs w:val="24"/>
          <w:lang w:val="es-CO" w:eastAsia="ar-SA"/>
        </w:rPr>
        <w:t>previstas en</w:t>
      </w:r>
      <w:r w:rsidR="00726EDA" w:rsidRPr="00545310">
        <w:rPr>
          <w:rFonts w:ascii="Arial" w:hAnsi="Arial" w:cs="Arial"/>
          <w:szCs w:val="24"/>
          <w:lang w:val="es-CO" w:eastAsia="ar-SA"/>
        </w:rPr>
        <w:t xml:space="preserve"> la ley, </w:t>
      </w:r>
      <w:r w:rsidR="005D57EF" w:rsidRPr="00545310">
        <w:rPr>
          <w:rFonts w:ascii="Arial" w:hAnsi="Arial" w:cs="Arial"/>
          <w:szCs w:val="24"/>
          <w:lang w:val="es-CO" w:eastAsia="ar-SA"/>
        </w:rPr>
        <w:t xml:space="preserve">para desconocer la </w:t>
      </w:r>
      <w:r w:rsidR="00726EDA" w:rsidRPr="00545310">
        <w:rPr>
          <w:rFonts w:ascii="Arial" w:hAnsi="Arial" w:cs="Arial"/>
          <w:szCs w:val="24"/>
          <w:lang w:val="es-CO" w:eastAsia="ar-SA"/>
        </w:rPr>
        <w:t xml:space="preserve">cobertura </w:t>
      </w:r>
      <w:r w:rsidR="005D57EF" w:rsidRPr="00545310">
        <w:rPr>
          <w:rFonts w:ascii="Arial" w:hAnsi="Arial" w:cs="Arial"/>
          <w:szCs w:val="24"/>
          <w:lang w:val="es-CO" w:eastAsia="ar-SA"/>
        </w:rPr>
        <w:t xml:space="preserve">respecto de aquellos perjuicios que se causen por el incumplimiento </w:t>
      </w:r>
      <w:r w:rsidR="00726EDA" w:rsidRPr="00545310">
        <w:rPr>
          <w:rFonts w:ascii="Arial" w:hAnsi="Arial" w:cs="Arial"/>
          <w:szCs w:val="24"/>
          <w:lang w:val="es-CO" w:eastAsia="ar-SA"/>
        </w:rPr>
        <w:t>contractual</w:t>
      </w:r>
      <w:r w:rsidR="00BB1E77" w:rsidRPr="00545310">
        <w:rPr>
          <w:rFonts w:ascii="Arial" w:hAnsi="Arial" w:cs="Arial"/>
          <w:szCs w:val="24"/>
          <w:lang w:val="es-CO" w:eastAsia="ar-SA"/>
        </w:rPr>
        <w:t>,</w:t>
      </w:r>
      <w:r w:rsidR="00726EDA" w:rsidRPr="00545310">
        <w:rPr>
          <w:rFonts w:ascii="Arial" w:hAnsi="Arial" w:cs="Arial"/>
          <w:szCs w:val="24"/>
          <w:lang w:val="es-CO" w:eastAsia="ar-SA"/>
        </w:rPr>
        <w:t xml:space="preserve"> </w:t>
      </w:r>
      <w:r w:rsidR="005D57EF" w:rsidRPr="00545310">
        <w:rPr>
          <w:rFonts w:ascii="Arial" w:hAnsi="Arial" w:cs="Arial"/>
          <w:szCs w:val="24"/>
          <w:lang w:val="es-CO" w:eastAsia="ar-SA"/>
        </w:rPr>
        <w:t xml:space="preserve">aunado a otras causas o mediante </w:t>
      </w:r>
      <w:r w:rsidRPr="00545310">
        <w:rPr>
          <w:rFonts w:ascii="Arial" w:hAnsi="Arial" w:cs="Arial"/>
          <w:szCs w:val="24"/>
          <w:lang w:val="es-CO" w:eastAsia="ar-SA"/>
        </w:rPr>
        <w:t xml:space="preserve">la concurrencia de otras circunstancias que sobrevienen precisamente por el </w:t>
      </w:r>
      <w:r w:rsidR="00726EDA" w:rsidRPr="00545310">
        <w:rPr>
          <w:rFonts w:ascii="Arial" w:hAnsi="Arial" w:cs="Arial"/>
          <w:szCs w:val="24"/>
          <w:lang w:val="es-CO" w:eastAsia="ar-SA"/>
        </w:rPr>
        <w:t xml:space="preserve">referido </w:t>
      </w:r>
      <w:r w:rsidRPr="00545310">
        <w:rPr>
          <w:rFonts w:ascii="Arial" w:hAnsi="Arial" w:cs="Arial"/>
          <w:szCs w:val="24"/>
          <w:lang w:val="es-CO" w:eastAsia="ar-SA"/>
        </w:rPr>
        <w:t xml:space="preserve">incumplimiento. </w:t>
      </w:r>
    </w:p>
    <w:p w14:paraId="4637BC52" w14:textId="77777777" w:rsidR="00FE05A7" w:rsidRPr="00545310" w:rsidRDefault="00FE05A7" w:rsidP="000A2E77">
      <w:pPr>
        <w:pStyle w:val="Sangradetextonormal"/>
        <w:spacing w:after="0"/>
        <w:ind w:left="0"/>
        <w:rPr>
          <w:rFonts w:ascii="Arial" w:hAnsi="Arial" w:cs="Arial"/>
          <w:szCs w:val="24"/>
          <w:lang w:val="es-CO" w:eastAsia="ar-SA"/>
        </w:rPr>
      </w:pPr>
    </w:p>
    <w:p w14:paraId="6340826F" w14:textId="77777777" w:rsidR="00062ECE" w:rsidRPr="00545310" w:rsidRDefault="00810766" w:rsidP="00C157A3">
      <w:pPr>
        <w:pStyle w:val="Sangradetextonormal"/>
        <w:spacing w:after="0" w:line="240" w:lineRule="auto"/>
        <w:ind w:left="0"/>
        <w:rPr>
          <w:rFonts w:ascii="Arial" w:hAnsi="Arial" w:cs="Arial"/>
          <w:b/>
          <w:szCs w:val="24"/>
          <w:lang w:val="es-CO" w:eastAsia="ar-SA"/>
        </w:rPr>
      </w:pPr>
      <w:r w:rsidRPr="00545310">
        <w:rPr>
          <w:rFonts w:ascii="Arial" w:hAnsi="Arial" w:cs="Arial"/>
          <w:b/>
          <w:szCs w:val="24"/>
          <w:lang w:val="es-CO" w:eastAsia="ar-SA"/>
        </w:rPr>
        <w:t xml:space="preserve">5.2. </w:t>
      </w:r>
      <w:r w:rsidR="00062ECE" w:rsidRPr="00545310">
        <w:rPr>
          <w:rFonts w:ascii="Arial" w:hAnsi="Arial" w:cs="Arial"/>
          <w:b/>
          <w:szCs w:val="24"/>
          <w:lang w:val="es-CO" w:eastAsia="ar-SA"/>
        </w:rPr>
        <w:t xml:space="preserve">Viabilidad de hacer efectiva la póliza de seguros por encima del monto de la cláusula penal </w:t>
      </w:r>
    </w:p>
    <w:p w14:paraId="3CD8C4B3" w14:textId="77777777" w:rsidR="00062ECE" w:rsidRPr="00545310" w:rsidRDefault="00062ECE" w:rsidP="000A2E77">
      <w:pPr>
        <w:pStyle w:val="Sangradetextonormal"/>
        <w:spacing w:after="0"/>
        <w:ind w:left="0"/>
        <w:rPr>
          <w:rFonts w:ascii="Arial" w:hAnsi="Arial" w:cs="Arial"/>
          <w:szCs w:val="24"/>
          <w:lang w:val="es-CO" w:eastAsia="ar-SA"/>
        </w:rPr>
      </w:pPr>
    </w:p>
    <w:p w14:paraId="62FEE1D7" w14:textId="77777777" w:rsidR="001C5C51" w:rsidRPr="00545310" w:rsidRDefault="00CF2C7D" w:rsidP="000A2E77">
      <w:pPr>
        <w:pStyle w:val="Sangradetextonormal"/>
        <w:spacing w:after="0"/>
        <w:ind w:left="0"/>
        <w:rPr>
          <w:rFonts w:ascii="Arial" w:hAnsi="Arial" w:cs="Arial"/>
          <w:i/>
          <w:szCs w:val="24"/>
          <w:lang w:val="es-CO" w:eastAsia="ar-SA"/>
        </w:rPr>
      </w:pPr>
      <w:r w:rsidRPr="00545310">
        <w:rPr>
          <w:rFonts w:ascii="Arial" w:hAnsi="Arial" w:cs="Arial"/>
          <w:szCs w:val="24"/>
          <w:lang w:val="es-CO" w:eastAsia="ar-SA"/>
        </w:rPr>
        <w:t xml:space="preserve">En el caso sub júdice, de </w:t>
      </w:r>
      <w:r w:rsidR="00791B62" w:rsidRPr="00545310">
        <w:rPr>
          <w:rFonts w:ascii="Arial" w:hAnsi="Arial" w:cs="Arial"/>
          <w:szCs w:val="24"/>
          <w:lang w:val="es-CO" w:eastAsia="ar-SA"/>
        </w:rPr>
        <w:t>conformidad con la cláusula quinta del Contrato 2091477</w:t>
      </w:r>
      <w:r w:rsidR="000A2E77" w:rsidRPr="00545310">
        <w:rPr>
          <w:rFonts w:ascii="Arial" w:hAnsi="Arial" w:cs="Arial"/>
          <w:szCs w:val="24"/>
          <w:lang w:val="es-CO" w:eastAsia="ar-SA"/>
        </w:rPr>
        <w:t>,</w:t>
      </w:r>
      <w:r w:rsidR="00791B62" w:rsidRPr="00545310">
        <w:rPr>
          <w:rFonts w:ascii="Arial" w:hAnsi="Arial" w:cs="Arial"/>
          <w:szCs w:val="24"/>
          <w:lang w:val="es-CO" w:eastAsia="ar-SA"/>
        </w:rPr>
        <w:t xml:space="preserve"> la sociedad contratista se obligó a constituir una </w:t>
      </w:r>
      <w:r w:rsidR="0027617C" w:rsidRPr="00545310">
        <w:rPr>
          <w:rFonts w:ascii="Arial" w:hAnsi="Arial" w:cs="Arial"/>
          <w:szCs w:val="24"/>
          <w:lang w:val="es-CO" w:eastAsia="ar-SA"/>
        </w:rPr>
        <w:t xml:space="preserve">garantía única </w:t>
      </w:r>
      <w:r w:rsidR="000A2E77" w:rsidRPr="00545310">
        <w:rPr>
          <w:rFonts w:ascii="Arial" w:hAnsi="Arial" w:cs="Arial"/>
          <w:szCs w:val="24"/>
          <w:lang w:val="es-CO" w:eastAsia="ar-SA"/>
        </w:rPr>
        <w:t xml:space="preserve">de cumplimiento, </w:t>
      </w:r>
      <w:r w:rsidR="003C3839" w:rsidRPr="00545310">
        <w:rPr>
          <w:rFonts w:ascii="Arial" w:hAnsi="Arial" w:cs="Arial"/>
          <w:szCs w:val="24"/>
          <w:lang w:val="es-CO" w:eastAsia="ar-SA"/>
        </w:rPr>
        <w:t>con la siguiente cobertura:</w:t>
      </w:r>
      <w:r w:rsidR="0027617C" w:rsidRPr="00545310">
        <w:rPr>
          <w:rFonts w:ascii="Arial" w:hAnsi="Arial" w:cs="Arial"/>
          <w:szCs w:val="24"/>
          <w:lang w:val="es-CO" w:eastAsia="ar-SA"/>
        </w:rPr>
        <w:t xml:space="preserve"> </w:t>
      </w:r>
      <w:r w:rsidR="000A2E77" w:rsidRPr="00545310">
        <w:rPr>
          <w:rFonts w:ascii="Arial" w:hAnsi="Arial" w:cs="Arial"/>
          <w:i/>
          <w:szCs w:val="24"/>
          <w:lang w:val="es-CO" w:eastAsia="ar-SA"/>
        </w:rPr>
        <w:t>“</w:t>
      </w:r>
      <w:r w:rsidR="0027617C" w:rsidRPr="00545310">
        <w:rPr>
          <w:rFonts w:ascii="Arial" w:hAnsi="Arial" w:cs="Arial"/>
          <w:i/>
          <w:szCs w:val="24"/>
          <w:lang w:val="es-CO" w:eastAsia="ar-SA"/>
        </w:rPr>
        <w:t>(…)</w:t>
      </w:r>
      <w:r w:rsidR="000A2E77" w:rsidRPr="00545310">
        <w:rPr>
          <w:rFonts w:ascii="Arial" w:hAnsi="Arial" w:cs="Arial"/>
          <w:i/>
          <w:szCs w:val="24"/>
          <w:lang w:val="es-CO" w:eastAsia="ar-SA"/>
        </w:rPr>
        <w:t>.</w:t>
      </w:r>
      <w:r w:rsidR="0027617C" w:rsidRPr="00545310">
        <w:rPr>
          <w:rFonts w:ascii="Arial" w:hAnsi="Arial" w:cs="Arial"/>
          <w:i/>
          <w:szCs w:val="24"/>
          <w:lang w:val="es-CO" w:eastAsia="ar-SA"/>
        </w:rPr>
        <w:t xml:space="preserve"> </w:t>
      </w:r>
      <w:r w:rsidR="0027617C" w:rsidRPr="00545310">
        <w:rPr>
          <w:rFonts w:ascii="Arial" w:hAnsi="Arial" w:cs="Arial"/>
          <w:b/>
          <w:i/>
          <w:szCs w:val="24"/>
          <w:lang w:val="es-CO" w:eastAsia="ar-SA"/>
        </w:rPr>
        <w:t>b) cumplimiento</w:t>
      </w:r>
      <w:r w:rsidR="0027617C" w:rsidRPr="00545310">
        <w:rPr>
          <w:rFonts w:ascii="Arial" w:hAnsi="Arial" w:cs="Arial"/>
          <w:i/>
          <w:szCs w:val="24"/>
          <w:lang w:val="es-CO" w:eastAsia="ar-SA"/>
        </w:rPr>
        <w:t>,</w:t>
      </w:r>
      <w:r w:rsidR="000A2E77" w:rsidRPr="00545310">
        <w:rPr>
          <w:rFonts w:ascii="Arial" w:hAnsi="Arial" w:cs="Arial"/>
          <w:i/>
          <w:szCs w:val="24"/>
          <w:lang w:val="es-CO" w:eastAsia="ar-SA"/>
        </w:rPr>
        <w:t xml:space="preserve"> </w:t>
      </w:r>
      <w:r w:rsidR="0027617C" w:rsidRPr="00545310">
        <w:rPr>
          <w:rFonts w:ascii="Arial" w:hAnsi="Arial" w:cs="Arial"/>
          <w:i/>
          <w:szCs w:val="24"/>
          <w:lang w:val="es-CO" w:eastAsia="ar-SA"/>
        </w:rPr>
        <w:t xml:space="preserve">por un monto equivalente al 30% del </w:t>
      </w:r>
      <w:r w:rsidR="001C5C51" w:rsidRPr="00545310">
        <w:rPr>
          <w:rFonts w:ascii="Arial" w:hAnsi="Arial" w:cs="Arial"/>
          <w:i/>
          <w:szCs w:val="24"/>
          <w:lang w:val="es-CO" w:eastAsia="ar-SA"/>
        </w:rPr>
        <w:t>valor del contrato, por el término del contrato y seis (6) meses m</w:t>
      </w:r>
      <w:r w:rsidR="000A2E77" w:rsidRPr="00545310">
        <w:rPr>
          <w:rFonts w:ascii="Arial" w:hAnsi="Arial" w:cs="Arial"/>
          <w:i/>
          <w:szCs w:val="24"/>
          <w:lang w:val="es-CO" w:eastAsia="ar-SA"/>
        </w:rPr>
        <w:t>á</w:t>
      </w:r>
      <w:r w:rsidR="001C5C51" w:rsidRPr="00545310">
        <w:rPr>
          <w:rFonts w:ascii="Arial" w:hAnsi="Arial" w:cs="Arial"/>
          <w:i/>
          <w:szCs w:val="24"/>
          <w:lang w:val="es-CO" w:eastAsia="ar-SA"/>
        </w:rPr>
        <w:t>s. Esta cobertura también debe i</w:t>
      </w:r>
      <w:r w:rsidR="000A2E77" w:rsidRPr="00545310">
        <w:rPr>
          <w:rFonts w:ascii="Arial" w:hAnsi="Arial" w:cs="Arial"/>
          <w:i/>
          <w:szCs w:val="24"/>
          <w:lang w:val="es-CO" w:eastAsia="ar-SA"/>
        </w:rPr>
        <w:t xml:space="preserve">ncluir </w:t>
      </w:r>
      <w:r w:rsidR="001C5C51" w:rsidRPr="00545310">
        <w:rPr>
          <w:rFonts w:ascii="Arial" w:hAnsi="Arial" w:cs="Arial"/>
          <w:i/>
          <w:szCs w:val="24"/>
          <w:lang w:val="es-CO" w:eastAsia="ar-SA"/>
        </w:rPr>
        <w:t xml:space="preserve">el cumplimiento del pago por el asegurador de la </w:t>
      </w:r>
      <w:r w:rsidR="001C5C51" w:rsidRPr="00545310">
        <w:rPr>
          <w:rFonts w:ascii="Arial" w:hAnsi="Arial" w:cs="Arial"/>
          <w:i/>
          <w:szCs w:val="24"/>
          <w:lang w:val="es-CO" w:eastAsia="ar-SA"/>
        </w:rPr>
        <w:lastRenderedPageBreak/>
        <w:t>cláusula penal pecuniaria y de multas, en los porcentajes establecidos en el c</w:t>
      </w:r>
      <w:r w:rsidR="000A2E77" w:rsidRPr="00545310">
        <w:rPr>
          <w:rFonts w:ascii="Arial" w:hAnsi="Arial" w:cs="Arial"/>
          <w:i/>
          <w:szCs w:val="24"/>
          <w:lang w:val="es-CO" w:eastAsia="ar-SA"/>
        </w:rPr>
        <w:t>o</w:t>
      </w:r>
      <w:r w:rsidR="001C5C51" w:rsidRPr="00545310">
        <w:rPr>
          <w:rFonts w:ascii="Arial" w:hAnsi="Arial" w:cs="Arial"/>
          <w:i/>
          <w:szCs w:val="24"/>
          <w:lang w:val="es-CO" w:eastAsia="ar-SA"/>
        </w:rPr>
        <w:t>ntrato”</w:t>
      </w:r>
      <w:r w:rsidR="001C5C51" w:rsidRPr="00545310">
        <w:rPr>
          <w:rStyle w:val="Refdenotaalpie"/>
          <w:rFonts w:ascii="Arial" w:hAnsi="Arial" w:cs="Arial"/>
          <w:i/>
          <w:szCs w:val="24"/>
          <w:lang w:val="es-CO" w:eastAsia="ar-SA"/>
        </w:rPr>
        <w:footnoteReference w:id="46"/>
      </w:r>
      <w:r w:rsidR="00BB1E77" w:rsidRPr="00545310">
        <w:rPr>
          <w:rFonts w:ascii="Arial" w:hAnsi="Arial" w:cs="Arial"/>
          <w:i/>
          <w:szCs w:val="24"/>
          <w:lang w:val="es-CO" w:eastAsia="ar-SA"/>
        </w:rPr>
        <w:t>.</w:t>
      </w:r>
    </w:p>
    <w:p w14:paraId="672AD4A3" w14:textId="77777777" w:rsidR="00E76146" w:rsidRPr="00545310" w:rsidRDefault="00E76146" w:rsidP="000A2E77">
      <w:pPr>
        <w:pStyle w:val="Sangradetextonormal"/>
        <w:spacing w:after="0"/>
        <w:ind w:left="0"/>
        <w:rPr>
          <w:rFonts w:ascii="Arial" w:hAnsi="Arial" w:cs="Arial"/>
          <w:b/>
          <w:szCs w:val="24"/>
          <w:lang w:val="es-CO" w:eastAsia="ar-SA"/>
        </w:rPr>
      </w:pPr>
    </w:p>
    <w:p w14:paraId="712C61C1" w14:textId="77777777" w:rsidR="00076F35" w:rsidRPr="00545310" w:rsidRDefault="003A29DC" w:rsidP="00867A16">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En el </w:t>
      </w:r>
      <w:r w:rsidR="00E6792A" w:rsidRPr="00545310">
        <w:rPr>
          <w:rFonts w:ascii="Arial" w:hAnsi="Arial" w:cs="Arial"/>
          <w:szCs w:val="24"/>
          <w:lang w:val="es-CO" w:eastAsia="ar-SA"/>
        </w:rPr>
        <w:t>C</w:t>
      </w:r>
      <w:r w:rsidRPr="00545310">
        <w:rPr>
          <w:rFonts w:ascii="Arial" w:hAnsi="Arial" w:cs="Arial"/>
          <w:szCs w:val="24"/>
          <w:lang w:val="es-CO" w:eastAsia="ar-SA"/>
        </w:rPr>
        <w:t xml:space="preserve">ontrato </w:t>
      </w:r>
      <w:r w:rsidR="00E6792A" w:rsidRPr="00545310">
        <w:rPr>
          <w:rFonts w:ascii="Arial" w:hAnsi="Arial" w:cs="Arial"/>
          <w:szCs w:val="24"/>
          <w:lang w:val="es-CO" w:eastAsia="ar-SA"/>
        </w:rPr>
        <w:t xml:space="preserve">2091477 </w:t>
      </w:r>
      <w:r w:rsidRPr="00545310">
        <w:rPr>
          <w:rFonts w:ascii="Arial" w:hAnsi="Arial" w:cs="Arial"/>
          <w:szCs w:val="24"/>
          <w:lang w:val="es-CO" w:eastAsia="ar-SA"/>
        </w:rPr>
        <w:t xml:space="preserve">no se </w:t>
      </w:r>
      <w:r w:rsidR="00BB1E77" w:rsidRPr="00545310">
        <w:rPr>
          <w:rFonts w:ascii="Arial" w:hAnsi="Arial" w:cs="Arial"/>
          <w:szCs w:val="24"/>
          <w:lang w:val="es-CO" w:eastAsia="ar-SA"/>
        </w:rPr>
        <w:t>pactó</w:t>
      </w:r>
      <w:r w:rsidRPr="00545310">
        <w:rPr>
          <w:rFonts w:ascii="Arial" w:hAnsi="Arial" w:cs="Arial"/>
          <w:szCs w:val="24"/>
          <w:lang w:val="es-CO" w:eastAsia="ar-SA"/>
        </w:rPr>
        <w:t xml:space="preserve"> la cláusula penal pecuniaria, no obstante, mediante la Resolución 962 de mayo de 2011, </w:t>
      </w:r>
      <w:r w:rsidR="00BB1E77" w:rsidRPr="00545310">
        <w:rPr>
          <w:rFonts w:ascii="Arial" w:hAnsi="Arial" w:cs="Arial"/>
          <w:szCs w:val="24"/>
          <w:lang w:val="es-CO" w:eastAsia="ar-SA"/>
        </w:rPr>
        <w:t xml:space="preserve">a través de </w:t>
      </w:r>
      <w:r w:rsidRPr="00545310">
        <w:rPr>
          <w:rFonts w:ascii="Arial" w:hAnsi="Arial" w:cs="Arial"/>
          <w:szCs w:val="24"/>
          <w:lang w:val="es-CO" w:eastAsia="ar-SA"/>
        </w:rPr>
        <w:t>la cual se declaró la caducidad del contrato, FONADE invocó la aplicación del numeral 4.9 del pliego de condiciones, de acuerdo con el cual</w:t>
      </w:r>
      <w:r w:rsidR="00BB1E77" w:rsidRPr="00545310">
        <w:rPr>
          <w:rFonts w:ascii="Arial" w:hAnsi="Arial" w:cs="Arial"/>
          <w:szCs w:val="24"/>
          <w:lang w:val="es-CO" w:eastAsia="ar-SA"/>
        </w:rPr>
        <w:t xml:space="preserve"> (se transcribe literal incluso con posibles errores)</w:t>
      </w:r>
      <w:r w:rsidR="00076F35" w:rsidRPr="00545310">
        <w:rPr>
          <w:rFonts w:ascii="Arial" w:hAnsi="Arial" w:cs="Arial"/>
          <w:szCs w:val="24"/>
          <w:lang w:val="es-CO" w:eastAsia="ar-SA"/>
        </w:rPr>
        <w:t>:</w:t>
      </w:r>
    </w:p>
    <w:p w14:paraId="4EAF2292" w14:textId="77777777" w:rsidR="00076F35" w:rsidRPr="00545310" w:rsidRDefault="00076F35" w:rsidP="00AD0323">
      <w:pPr>
        <w:pStyle w:val="Sangradetextonormal"/>
        <w:spacing w:after="0" w:line="240" w:lineRule="auto"/>
        <w:ind w:left="0"/>
        <w:rPr>
          <w:rFonts w:ascii="Arial" w:hAnsi="Arial" w:cs="Arial"/>
          <w:b/>
          <w:szCs w:val="24"/>
          <w:lang w:val="es-CO" w:eastAsia="ar-SA"/>
        </w:rPr>
      </w:pPr>
    </w:p>
    <w:p w14:paraId="2FCE25D0" w14:textId="77777777" w:rsidR="003C316A" w:rsidRPr="00545310" w:rsidRDefault="00076F35" w:rsidP="00937B51">
      <w:pPr>
        <w:pStyle w:val="Sangradetextonormal"/>
        <w:spacing w:after="0" w:line="276" w:lineRule="auto"/>
        <w:ind w:left="567" w:right="567"/>
        <w:rPr>
          <w:rFonts w:ascii="Arial" w:hAnsi="Arial" w:cs="Arial"/>
          <w:i/>
          <w:szCs w:val="24"/>
          <w:lang w:val="es-CO" w:eastAsia="ar-SA"/>
        </w:rPr>
      </w:pPr>
      <w:r w:rsidRPr="00545310">
        <w:rPr>
          <w:rFonts w:ascii="Arial" w:hAnsi="Arial" w:cs="Arial"/>
          <w:i/>
          <w:szCs w:val="24"/>
          <w:lang w:val="es-CO" w:eastAsia="ar-SA"/>
        </w:rPr>
        <w:t xml:space="preserve">“En caso de incumplimiento definitivo de las obligaciones a cargo del contratista o de la declaratoria de caducidad del contrato, FONADE podrá hacer efectiva la cláusula penal pecuniaria por un monto equivalente al diez por ciento </w:t>
      </w:r>
      <w:r w:rsidR="004A0A99" w:rsidRPr="00545310">
        <w:rPr>
          <w:rFonts w:ascii="Arial" w:hAnsi="Arial" w:cs="Arial"/>
          <w:i/>
          <w:szCs w:val="24"/>
          <w:lang w:val="es-CO" w:eastAsia="ar-SA"/>
        </w:rPr>
        <w:t>(10%) del valor total del contrato suma que se e</w:t>
      </w:r>
      <w:r w:rsidR="00867A16" w:rsidRPr="00545310">
        <w:rPr>
          <w:rFonts w:ascii="Arial" w:hAnsi="Arial" w:cs="Arial"/>
          <w:i/>
          <w:szCs w:val="24"/>
          <w:lang w:val="es-CO" w:eastAsia="ar-SA"/>
        </w:rPr>
        <w:t>s</w:t>
      </w:r>
      <w:r w:rsidR="004A0A99" w:rsidRPr="00545310">
        <w:rPr>
          <w:rFonts w:ascii="Arial" w:hAnsi="Arial" w:cs="Arial"/>
          <w:i/>
          <w:szCs w:val="24"/>
          <w:lang w:val="es-CO" w:eastAsia="ar-SA"/>
        </w:rPr>
        <w:t>tipula como estimación anticipada y parcial de los perjuicios que se le causen sin perjuicio del derecho a obtener del contratista y/o de su garante el pago de la indemnización correspondiente a los dem</w:t>
      </w:r>
      <w:r w:rsidR="00E6792A" w:rsidRPr="00545310">
        <w:rPr>
          <w:rFonts w:ascii="Arial" w:hAnsi="Arial" w:cs="Arial"/>
          <w:i/>
          <w:szCs w:val="24"/>
          <w:lang w:val="es-CO" w:eastAsia="ar-SA"/>
        </w:rPr>
        <w:t>á</w:t>
      </w:r>
      <w:r w:rsidR="004A0A99" w:rsidRPr="00545310">
        <w:rPr>
          <w:rFonts w:ascii="Arial" w:hAnsi="Arial" w:cs="Arial"/>
          <w:i/>
          <w:szCs w:val="24"/>
          <w:lang w:val="es-CO" w:eastAsia="ar-SA"/>
        </w:rPr>
        <w:t>s perjuici</w:t>
      </w:r>
      <w:r w:rsidR="00E6792A" w:rsidRPr="00545310">
        <w:rPr>
          <w:rFonts w:ascii="Arial" w:hAnsi="Arial" w:cs="Arial"/>
          <w:i/>
          <w:szCs w:val="24"/>
          <w:lang w:val="es-CO" w:eastAsia="ar-SA"/>
        </w:rPr>
        <w:t>o</w:t>
      </w:r>
      <w:r w:rsidR="004A0A99" w:rsidRPr="00545310">
        <w:rPr>
          <w:rFonts w:ascii="Arial" w:hAnsi="Arial" w:cs="Arial"/>
          <w:i/>
          <w:szCs w:val="24"/>
          <w:lang w:val="es-CO" w:eastAsia="ar-SA"/>
        </w:rPr>
        <w:t xml:space="preserve">s </w:t>
      </w:r>
      <w:r w:rsidR="00A077C5" w:rsidRPr="00545310">
        <w:rPr>
          <w:rFonts w:ascii="Arial" w:hAnsi="Arial" w:cs="Arial"/>
          <w:i/>
          <w:szCs w:val="24"/>
          <w:lang w:val="es-CO" w:eastAsia="ar-SA"/>
        </w:rPr>
        <w:t>que con dicho incumplimiento se le hayan irrogado. El contratista auto</w:t>
      </w:r>
      <w:r w:rsidR="00E6792A" w:rsidRPr="00545310">
        <w:rPr>
          <w:rFonts w:ascii="Arial" w:hAnsi="Arial" w:cs="Arial"/>
          <w:i/>
          <w:szCs w:val="24"/>
          <w:lang w:val="es-CO" w:eastAsia="ar-SA"/>
        </w:rPr>
        <w:t>r</w:t>
      </w:r>
      <w:r w:rsidR="00A077C5" w:rsidRPr="00545310">
        <w:rPr>
          <w:rFonts w:ascii="Arial" w:hAnsi="Arial" w:cs="Arial"/>
          <w:i/>
          <w:szCs w:val="24"/>
          <w:lang w:val="es-CO" w:eastAsia="ar-SA"/>
        </w:rPr>
        <w:t>iza a FONADE a descontarle de las sumas que se adeuden los valores correspondientes a la pena pecuniaria aquí establecida. De no existir tales deudas o de no resultar suficiente</w:t>
      </w:r>
      <w:r w:rsidR="004707C2" w:rsidRPr="00545310">
        <w:rPr>
          <w:rFonts w:ascii="Arial" w:hAnsi="Arial" w:cs="Arial"/>
          <w:i/>
          <w:szCs w:val="24"/>
          <w:lang w:val="es-CO" w:eastAsia="ar-SA"/>
        </w:rPr>
        <w:t>s para cubrir la totalidad de su valor FONADE podrá obtener el pago de la pena de apremio mediante reclamación de pago ante la compañía de seguros dentro del amparo de cumplimiento otorgado en la garantía única”</w:t>
      </w:r>
      <w:r w:rsidR="004707C2" w:rsidRPr="00545310">
        <w:rPr>
          <w:rStyle w:val="Refdenotaalpie"/>
          <w:rFonts w:ascii="Arial" w:hAnsi="Arial" w:cs="Arial"/>
          <w:i/>
          <w:szCs w:val="24"/>
          <w:lang w:val="es-CO" w:eastAsia="ar-SA"/>
        </w:rPr>
        <w:footnoteReference w:id="47"/>
      </w:r>
      <w:r w:rsidR="00BB1E77" w:rsidRPr="00545310">
        <w:rPr>
          <w:rFonts w:ascii="Arial" w:hAnsi="Arial" w:cs="Arial"/>
          <w:i/>
          <w:szCs w:val="24"/>
          <w:lang w:val="es-CO" w:eastAsia="ar-SA"/>
        </w:rPr>
        <w:t>.</w:t>
      </w:r>
      <w:r w:rsidR="003C316A" w:rsidRPr="00545310">
        <w:rPr>
          <w:rFonts w:ascii="Arial" w:hAnsi="Arial" w:cs="Arial"/>
          <w:i/>
          <w:szCs w:val="24"/>
          <w:lang w:val="es-CO" w:eastAsia="ar-SA"/>
        </w:rPr>
        <w:t xml:space="preserve"> </w:t>
      </w:r>
    </w:p>
    <w:p w14:paraId="128D7030" w14:textId="77777777" w:rsidR="003C316A" w:rsidRPr="00545310" w:rsidRDefault="003C316A" w:rsidP="00C4526D">
      <w:pPr>
        <w:pStyle w:val="Sangradetextonormal"/>
        <w:spacing w:before="120" w:after="0" w:line="276" w:lineRule="auto"/>
        <w:ind w:left="567" w:right="567"/>
        <w:rPr>
          <w:rFonts w:ascii="Arial" w:hAnsi="Arial" w:cs="Arial"/>
          <w:i/>
          <w:szCs w:val="24"/>
          <w:lang w:val="es-CO" w:eastAsia="ar-SA"/>
        </w:rPr>
      </w:pPr>
    </w:p>
    <w:p w14:paraId="571589D3" w14:textId="77777777" w:rsidR="008D2AF1" w:rsidRPr="00545310" w:rsidRDefault="008D2AF1" w:rsidP="008D2AF1">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Se </w:t>
      </w:r>
      <w:r w:rsidR="00C157A3" w:rsidRPr="00545310">
        <w:rPr>
          <w:rFonts w:ascii="Arial" w:hAnsi="Arial" w:cs="Arial"/>
          <w:szCs w:val="24"/>
          <w:lang w:val="es-CO" w:eastAsia="ar-SA"/>
        </w:rPr>
        <w:t xml:space="preserve">reafirma que la póliza de cumplimiento amparaba el monto de la cláusula penal, </w:t>
      </w:r>
      <w:r w:rsidRPr="00545310">
        <w:rPr>
          <w:rFonts w:ascii="Arial" w:hAnsi="Arial" w:cs="Arial"/>
          <w:szCs w:val="24"/>
          <w:lang w:val="es-CO" w:eastAsia="ar-SA"/>
        </w:rPr>
        <w:t xml:space="preserve">con fundamento en la dispuesto en el numeral 4.12.2 del pliego de condiciones de la licitación pública LP-002 de marzo de 2009, en </w:t>
      </w:r>
      <w:r w:rsidR="00EA33F5" w:rsidRPr="00545310">
        <w:rPr>
          <w:rFonts w:ascii="Arial" w:hAnsi="Arial" w:cs="Arial"/>
          <w:szCs w:val="24"/>
          <w:lang w:val="es-CO" w:eastAsia="ar-SA"/>
        </w:rPr>
        <w:t xml:space="preserve">el </w:t>
      </w:r>
      <w:r w:rsidRPr="00545310">
        <w:rPr>
          <w:rFonts w:ascii="Arial" w:hAnsi="Arial" w:cs="Arial"/>
          <w:szCs w:val="24"/>
          <w:lang w:val="es-CO" w:eastAsia="ar-SA"/>
        </w:rPr>
        <w:t xml:space="preserve">cual se </w:t>
      </w:r>
      <w:r w:rsidR="00EA33F5" w:rsidRPr="00545310">
        <w:rPr>
          <w:rFonts w:ascii="Arial" w:hAnsi="Arial" w:cs="Arial"/>
          <w:szCs w:val="24"/>
          <w:lang w:val="es-CO" w:eastAsia="ar-SA"/>
        </w:rPr>
        <w:t xml:space="preserve">definió </w:t>
      </w:r>
      <w:r w:rsidRPr="00545310">
        <w:rPr>
          <w:rFonts w:ascii="Arial" w:hAnsi="Arial" w:cs="Arial"/>
          <w:szCs w:val="24"/>
          <w:lang w:val="es-CO" w:eastAsia="ar-SA"/>
        </w:rPr>
        <w:t>el requerimiento del amparo de cumplimiento del contrato, por un monto equivalente al 30% y se dispuso:</w:t>
      </w:r>
    </w:p>
    <w:p w14:paraId="705539D1" w14:textId="77777777" w:rsidR="008D2AF1" w:rsidRPr="00545310" w:rsidRDefault="008D2AF1" w:rsidP="008D2AF1">
      <w:pPr>
        <w:pStyle w:val="Sangradetextonormal"/>
        <w:spacing w:after="0" w:line="276" w:lineRule="auto"/>
        <w:ind w:left="567" w:right="567"/>
        <w:rPr>
          <w:rFonts w:ascii="Arial" w:hAnsi="Arial" w:cs="Arial"/>
          <w:i/>
          <w:szCs w:val="24"/>
          <w:lang w:val="es-CO" w:eastAsia="ar-SA"/>
        </w:rPr>
      </w:pPr>
    </w:p>
    <w:p w14:paraId="109802C9" w14:textId="77777777" w:rsidR="008D2AF1" w:rsidRPr="00545310" w:rsidRDefault="008D2AF1" w:rsidP="008D2AF1">
      <w:pPr>
        <w:pStyle w:val="Sangradetextonormal"/>
        <w:spacing w:after="0" w:line="276" w:lineRule="auto"/>
        <w:ind w:left="567" w:right="567"/>
        <w:rPr>
          <w:rFonts w:ascii="Arial" w:hAnsi="Arial" w:cs="Arial"/>
          <w:i/>
          <w:szCs w:val="24"/>
          <w:lang w:val="es-CO" w:eastAsia="ar-SA"/>
        </w:rPr>
      </w:pPr>
      <w:r w:rsidRPr="00545310">
        <w:rPr>
          <w:rFonts w:ascii="Arial" w:hAnsi="Arial" w:cs="Arial"/>
          <w:i/>
          <w:szCs w:val="24"/>
          <w:lang w:val="es-CO" w:eastAsia="ar-SA"/>
        </w:rPr>
        <w:t>“Esta cobertura también debe incluir del pago por el asegurador de las cláusulas penal de apremio, penal pecuniaria y multas, en los porcentajes señalados en el contrato”.</w:t>
      </w:r>
    </w:p>
    <w:p w14:paraId="32AF963D" w14:textId="77777777" w:rsidR="0020213C" w:rsidRPr="00545310" w:rsidRDefault="0020213C" w:rsidP="00B3455B">
      <w:pPr>
        <w:pStyle w:val="Sangradetextonormal"/>
        <w:spacing w:after="0" w:line="276" w:lineRule="auto"/>
        <w:ind w:left="567" w:right="567"/>
        <w:rPr>
          <w:rFonts w:ascii="Arial" w:hAnsi="Arial" w:cs="Arial"/>
          <w:i/>
          <w:szCs w:val="24"/>
          <w:lang w:val="es-CO" w:eastAsia="ar-SA"/>
        </w:rPr>
      </w:pPr>
    </w:p>
    <w:p w14:paraId="15236500" w14:textId="77777777" w:rsidR="008D2AF1" w:rsidRPr="00545310" w:rsidRDefault="008539E6" w:rsidP="00423EC8">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De conformidad con los documentos acredita</w:t>
      </w:r>
      <w:r w:rsidR="005362AD" w:rsidRPr="00545310">
        <w:rPr>
          <w:rFonts w:ascii="Arial" w:hAnsi="Arial" w:cs="Arial"/>
          <w:szCs w:val="24"/>
          <w:lang w:val="es-CO" w:eastAsia="ar-SA"/>
        </w:rPr>
        <w:t xml:space="preserve">dos en este proceso, se aprecia que la póliza de seguro de cumplimiento, otorgada por el 30% del valor del contrato, </w:t>
      </w:r>
      <w:r w:rsidR="005362AD" w:rsidRPr="00545310">
        <w:rPr>
          <w:rFonts w:ascii="Arial" w:hAnsi="Arial" w:cs="Arial"/>
          <w:szCs w:val="24"/>
          <w:lang w:val="es-CO" w:eastAsia="ar-SA"/>
        </w:rPr>
        <w:lastRenderedPageBreak/>
        <w:t xml:space="preserve">comprendió la cobertura de los perjuicios tasados a través de la cláusula penal, en el 10% del valor del contrato, pero no se limitó a ellos. </w:t>
      </w:r>
    </w:p>
    <w:p w14:paraId="09E66561" w14:textId="77777777" w:rsidR="008D2AF1" w:rsidRPr="00545310" w:rsidRDefault="008D2AF1" w:rsidP="00423EC8">
      <w:pPr>
        <w:pStyle w:val="Sangradetextonormal"/>
        <w:spacing w:after="0"/>
        <w:ind w:left="0"/>
        <w:rPr>
          <w:rFonts w:ascii="Arial" w:hAnsi="Arial" w:cs="Arial"/>
          <w:szCs w:val="24"/>
          <w:lang w:val="es-CO" w:eastAsia="ar-SA"/>
        </w:rPr>
      </w:pPr>
    </w:p>
    <w:p w14:paraId="66CBEC70" w14:textId="77777777" w:rsidR="005A0203" w:rsidRPr="00545310" w:rsidRDefault="005362AD" w:rsidP="00423EC8">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Las disposiciones contractuales y el contenido de la póliza de seguro permiten establecer que </w:t>
      </w:r>
      <w:r w:rsidR="005A0203" w:rsidRPr="00545310">
        <w:rPr>
          <w:rFonts w:ascii="Arial" w:hAnsi="Arial" w:cs="Arial"/>
          <w:szCs w:val="24"/>
          <w:lang w:val="es-CO" w:eastAsia="ar-SA"/>
        </w:rPr>
        <w:t>la garantía única de cumplimiento amparaba</w:t>
      </w:r>
      <w:r w:rsidR="00B035E8" w:rsidRPr="00545310">
        <w:rPr>
          <w:rFonts w:ascii="Arial" w:hAnsi="Arial" w:cs="Arial"/>
          <w:szCs w:val="24"/>
          <w:lang w:val="es-CO" w:eastAsia="ar-SA"/>
        </w:rPr>
        <w:t>, también,</w:t>
      </w:r>
      <w:r w:rsidR="005A0203" w:rsidRPr="00545310">
        <w:rPr>
          <w:rFonts w:ascii="Arial" w:hAnsi="Arial" w:cs="Arial"/>
          <w:szCs w:val="24"/>
          <w:lang w:val="es-CO" w:eastAsia="ar-SA"/>
        </w:rPr>
        <w:t xml:space="preserve"> los perjuicios que se causaran por valor superior al de la cláusula penal pactada</w:t>
      </w:r>
      <w:r w:rsidR="00B035E8" w:rsidRPr="00545310">
        <w:rPr>
          <w:rFonts w:ascii="Arial" w:hAnsi="Arial" w:cs="Arial"/>
          <w:szCs w:val="24"/>
          <w:lang w:val="es-CO" w:eastAsia="ar-SA"/>
        </w:rPr>
        <w:t xml:space="preserve">, obviamente sobre la base de que fueran demostrados o soportados para hacer exigible la referida garantía. </w:t>
      </w:r>
    </w:p>
    <w:p w14:paraId="383A795A" w14:textId="77777777" w:rsidR="00F37915" w:rsidRPr="00545310" w:rsidRDefault="00F37915" w:rsidP="00423EC8">
      <w:pPr>
        <w:pStyle w:val="Sangradetextonormal"/>
        <w:spacing w:after="0"/>
        <w:ind w:left="0"/>
        <w:rPr>
          <w:rFonts w:ascii="Arial" w:hAnsi="Arial" w:cs="Arial"/>
          <w:szCs w:val="24"/>
          <w:lang w:val="es-CO" w:eastAsia="ar-SA"/>
        </w:rPr>
      </w:pPr>
    </w:p>
    <w:p w14:paraId="364E446B" w14:textId="77777777" w:rsidR="00A46252" w:rsidRPr="00545310" w:rsidRDefault="007329DE" w:rsidP="006538E3">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Se agrega</w:t>
      </w:r>
      <w:r w:rsidR="00E046DE" w:rsidRPr="00545310">
        <w:rPr>
          <w:rFonts w:ascii="Arial" w:hAnsi="Arial" w:cs="Arial"/>
          <w:szCs w:val="24"/>
          <w:lang w:val="es-CO" w:eastAsia="ar-SA"/>
        </w:rPr>
        <w:t>,</w:t>
      </w:r>
      <w:r w:rsidRPr="00545310">
        <w:rPr>
          <w:rFonts w:ascii="Arial" w:hAnsi="Arial" w:cs="Arial"/>
          <w:szCs w:val="24"/>
          <w:lang w:val="es-CO" w:eastAsia="ar-SA"/>
        </w:rPr>
        <w:t xml:space="preserve"> que </w:t>
      </w:r>
      <w:r w:rsidR="006538E3" w:rsidRPr="00545310">
        <w:rPr>
          <w:rFonts w:ascii="Arial" w:hAnsi="Arial" w:cs="Arial"/>
          <w:szCs w:val="24"/>
          <w:lang w:val="es-CO" w:eastAsia="ar-SA"/>
        </w:rPr>
        <w:t xml:space="preserve">de conformidad con la póliza </w:t>
      </w:r>
      <w:r w:rsidR="001F6FD7" w:rsidRPr="00545310">
        <w:rPr>
          <w:rFonts w:ascii="Arial" w:hAnsi="Arial" w:cs="Arial"/>
          <w:szCs w:val="24"/>
          <w:lang w:val="es-CO" w:eastAsia="ar-SA"/>
        </w:rPr>
        <w:t>GU 069732, certificado GU 132785</w:t>
      </w:r>
      <w:r w:rsidR="00A46252" w:rsidRPr="00545310">
        <w:rPr>
          <w:rStyle w:val="Refdenotaalpie"/>
          <w:rFonts w:ascii="Arial" w:hAnsi="Arial" w:cs="Arial"/>
          <w:szCs w:val="24"/>
          <w:lang w:val="es-CO" w:eastAsia="ar-SA"/>
        </w:rPr>
        <w:footnoteReference w:id="48"/>
      </w:r>
      <w:r w:rsidR="001F6FD7" w:rsidRPr="00545310">
        <w:rPr>
          <w:rFonts w:ascii="Arial" w:hAnsi="Arial" w:cs="Arial"/>
          <w:szCs w:val="24"/>
          <w:lang w:val="es-CO" w:eastAsia="ar-SA"/>
        </w:rPr>
        <w:t xml:space="preserve">, el amparo de cumplimiento </w:t>
      </w:r>
      <w:r w:rsidR="00A462B9" w:rsidRPr="00545310">
        <w:rPr>
          <w:rFonts w:ascii="Arial" w:hAnsi="Arial" w:cs="Arial"/>
          <w:szCs w:val="24"/>
          <w:lang w:val="es-CO" w:eastAsia="ar-SA"/>
        </w:rPr>
        <w:t>se encontraba ex</w:t>
      </w:r>
      <w:r w:rsidR="008C3F47" w:rsidRPr="00545310">
        <w:rPr>
          <w:rFonts w:ascii="Arial" w:hAnsi="Arial" w:cs="Arial"/>
          <w:szCs w:val="24"/>
          <w:lang w:val="es-CO" w:eastAsia="ar-SA"/>
        </w:rPr>
        <w:t xml:space="preserve">tendido </w:t>
      </w:r>
      <w:r w:rsidR="002A127C" w:rsidRPr="00545310">
        <w:rPr>
          <w:rFonts w:ascii="Arial" w:hAnsi="Arial" w:cs="Arial"/>
          <w:szCs w:val="24"/>
          <w:lang w:val="es-CO" w:eastAsia="ar-SA"/>
        </w:rPr>
        <w:t xml:space="preserve">hasta </w:t>
      </w:r>
      <w:r w:rsidR="00A46252" w:rsidRPr="00545310">
        <w:rPr>
          <w:rFonts w:ascii="Arial" w:hAnsi="Arial" w:cs="Arial"/>
          <w:szCs w:val="24"/>
          <w:lang w:val="es-CO" w:eastAsia="ar-SA"/>
        </w:rPr>
        <w:t xml:space="preserve">por la suma de $1.888’676.842, </w:t>
      </w:r>
      <w:r w:rsidR="008C3F47" w:rsidRPr="00545310">
        <w:rPr>
          <w:rFonts w:ascii="Arial" w:hAnsi="Arial" w:cs="Arial"/>
          <w:szCs w:val="24"/>
          <w:lang w:val="es-CO" w:eastAsia="ar-SA"/>
        </w:rPr>
        <w:t xml:space="preserve">con vigencia </w:t>
      </w:r>
      <w:r w:rsidR="001F6FD7" w:rsidRPr="00545310">
        <w:rPr>
          <w:rFonts w:ascii="Arial" w:hAnsi="Arial" w:cs="Arial"/>
          <w:szCs w:val="24"/>
          <w:lang w:val="es-CO" w:eastAsia="ar-SA"/>
        </w:rPr>
        <w:t xml:space="preserve">hasta el 21 de noviembre de 2011 </w:t>
      </w:r>
      <w:r w:rsidR="00CB111A" w:rsidRPr="00545310">
        <w:rPr>
          <w:rFonts w:ascii="Arial" w:hAnsi="Arial" w:cs="Arial"/>
          <w:szCs w:val="24"/>
          <w:lang w:val="es-CO" w:eastAsia="ar-SA"/>
        </w:rPr>
        <w:t>y, por tanto</w:t>
      </w:r>
      <w:r w:rsidR="00E046DE" w:rsidRPr="00545310">
        <w:rPr>
          <w:rFonts w:ascii="Arial" w:hAnsi="Arial" w:cs="Arial"/>
          <w:szCs w:val="24"/>
          <w:lang w:val="es-CO" w:eastAsia="ar-SA"/>
        </w:rPr>
        <w:t>,</w:t>
      </w:r>
      <w:r w:rsidR="00CB111A" w:rsidRPr="00545310">
        <w:rPr>
          <w:rFonts w:ascii="Arial" w:hAnsi="Arial" w:cs="Arial"/>
          <w:szCs w:val="24"/>
          <w:lang w:val="es-CO" w:eastAsia="ar-SA"/>
        </w:rPr>
        <w:t xml:space="preserve"> </w:t>
      </w:r>
      <w:r w:rsidR="00A462B9" w:rsidRPr="00545310">
        <w:rPr>
          <w:rFonts w:ascii="Arial" w:hAnsi="Arial" w:cs="Arial"/>
          <w:szCs w:val="24"/>
          <w:lang w:val="es-CO" w:eastAsia="ar-SA"/>
        </w:rPr>
        <w:t xml:space="preserve">estaba </w:t>
      </w:r>
      <w:r w:rsidR="00CB111A" w:rsidRPr="00545310">
        <w:rPr>
          <w:rFonts w:ascii="Arial" w:hAnsi="Arial" w:cs="Arial"/>
          <w:szCs w:val="24"/>
          <w:lang w:val="es-CO" w:eastAsia="ar-SA"/>
        </w:rPr>
        <w:t xml:space="preserve">vigente para la fecha de la </w:t>
      </w:r>
      <w:r w:rsidR="00E046DE" w:rsidRPr="00545310">
        <w:rPr>
          <w:rFonts w:ascii="Arial" w:hAnsi="Arial" w:cs="Arial"/>
          <w:szCs w:val="24"/>
          <w:lang w:val="es-CO" w:eastAsia="ar-SA"/>
        </w:rPr>
        <w:t xml:space="preserve">expedición de la </w:t>
      </w:r>
      <w:r w:rsidR="00CB111A" w:rsidRPr="00545310">
        <w:rPr>
          <w:rFonts w:ascii="Arial" w:hAnsi="Arial" w:cs="Arial"/>
          <w:szCs w:val="24"/>
          <w:lang w:val="es-CO" w:eastAsia="ar-SA"/>
        </w:rPr>
        <w:t>Resolución 962 de 13 de mayo de 20</w:t>
      </w:r>
      <w:r w:rsidR="00817CC8" w:rsidRPr="00545310">
        <w:rPr>
          <w:rFonts w:ascii="Arial" w:hAnsi="Arial" w:cs="Arial"/>
          <w:szCs w:val="24"/>
          <w:lang w:val="es-CO" w:eastAsia="ar-SA"/>
        </w:rPr>
        <w:t>1</w:t>
      </w:r>
      <w:r w:rsidR="00CB111A" w:rsidRPr="00545310">
        <w:rPr>
          <w:rFonts w:ascii="Arial" w:hAnsi="Arial" w:cs="Arial"/>
          <w:szCs w:val="24"/>
          <w:lang w:val="es-CO" w:eastAsia="ar-SA"/>
        </w:rPr>
        <w:t xml:space="preserve">1, </w:t>
      </w:r>
      <w:r w:rsidR="00A462B9" w:rsidRPr="00545310">
        <w:rPr>
          <w:rFonts w:ascii="Arial" w:hAnsi="Arial" w:cs="Arial"/>
          <w:szCs w:val="24"/>
          <w:lang w:val="es-CO" w:eastAsia="ar-SA"/>
        </w:rPr>
        <w:t xml:space="preserve">mediante la cual se declaró la caducidad del contrato y la efectividad de la garantía única de cumplimiento. </w:t>
      </w:r>
      <w:r w:rsidR="00A46252" w:rsidRPr="00545310">
        <w:rPr>
          <w:rFonts w:ascii="Arial" w:hAnsi="Arial" w:cs="Arial"/>
          <w:szCs w:val="24"/>
          <w:lang w:val="es-CO" w:eastAsia="ar-SA"/>
        </w:rPr>
        <w:t xml:space="preserve">De la misma manera, se </w:t>
      </w:r>
      <w:r w:rsidR="007B2FA5" w:rsidRPr="00545310">
        <w:rPr>
          <w:rFonts w:ascii="Arial" w:hAnsi="Arial" w:cs="Arial"/>
          <w:szCs w:val="24"/>
          <w:lang w:val="es-CO" w:eastAsia="ar-SA"/>
        </w:rPr>
        <w:t xml:space="preserve">observa </w:t>
      </w:r>
      <w:r w:rsidR="00A46252" w:rsidRPr="00545310">
        <w:rPr>
          <w:rFonts w:ascii="Arial" w:hAnsi="Arial" w:cs="Arial"/>
          <w:szCs w:val="24"/>
          <w:lang w:val="es-CO" w:eastAsia="ar-SA"/>
        </w:rPr>
        <w:t xml:space="preserve">que la cuantía del perjuicio </w:t>
      </w:r>
      <w:r w:rsidR="008D2AF1" w:rsidRPr="00545310">
        <w:rPr>
          <w:rFonts w:ascii="Arial" w:hAnsi="Arial" w:cs="Arial"/>
          <w:szCs w:val="24"/>
          <w:lang w:val="es-CO" w:eastAsia="ar-SA"/>
        </w:rPr>
        <w:t xml:space="preserve">derivado del incumplimiento, sobre cuya cuantificación se </w:t>
      </w:r>
      <w:r w:rsidR="00A46252" w:rsidRPr="00545310">
        <w:rPr>
          <w:rFonts w:ascii="Arial" w:hAnsi="Arial" w:cs="Arial"/>
          <w:szCs w:val="24"/>
          <w:lang w:val="es-CO" w:eastAsia="ar-SA"/>
        </w:rPr>
        <w:t>discute en este proceso</w:t>
      </w:r>
      <w:r w:rsidR="00E046DE" w:rsidRPr="00545310">
        <w:rPr>
          <w:rFonts w:ascii="Arial" w:hAnsi="Arial" w:cs="Arial"/>
          <w:szCs w:val="24"/>
          <w:lang w:val="es-CO" w:eastAsia="ar-SA"/>
        </w:rPr>
        <w:t>,</w:t>
      </w:r>
      <w:r w:rsidR="00A46252" w:rsidRPr="00545310">
        <w:rPr>
          <w:rFonts w:ascii="Arial" w:hAnsi="Arial" w:cs="Arial"/>
          <w:szCs w:val="24"/>
          <w:lang w:val="es-CO" w:eastAsia="ar-SA"/>
        </w:rPr>
        <w:t xml:space="preserve"> se encontraba dentro del </w:t>
      </w:r>
      <w:r w:rsidR="008D2AF1" w:rsidRPr="00545310">
        <w:rPr>
          <w:rFonts w:ascii="Arial" w:hAnsi="Arial" w:cs="Arial"/>
          <w:szCs w:val="24"/>
          <w:lang w:val="es-CO" w:eastAsia="ar-SA"/>
        </w:rPr>
        <w:t xml:space="preserve">referido </w:t>
      </w:r>
      <w:r w:rsidR="00A46252" w:rsidRPr="00545310">
        <w:rPr>
          <w:rFonts w:ascii="Arial" w:hAnsi="Arial" w:cs="Arial"/>
          <w:szCs w:val="24"/>
          <w:lang w:val="es-CO" w:eastAsia="ar-SA"/>
        </w:rPr>
        <w:t xml:space="preserve">límite del valor asegurado </w:t>
      </w:r>
      <w:r w:rsidR="005A0203" w:rsidRPr="00545310">
        <w:rPr>
          <w:rFonts w:ascii="Arial" w:hAnsi="Arial" w:cs="Arial"/>
          <w:szCs w:val="24"/>
          <w:lang w:val="es-CO" w:eastAsia="ar-SA"/>
        </w:rPr>
        <w:t xml:space="preserve">en </w:t>
      </w:r>
      <w:r w:rsidR="00001E1F" w:rsidRPr="00545310">
        <w:rPr>
          <w:rFonts w:ascii="Arial" w:hAnsi="Arial" w:cs="Arial"/>
          <w:szCs w:val="24"/>
          <w:lang w:val="es-CO" w:eastAsia="ar-SA"/>
        </w:rPr>
        <w:t xml:space="preserve">el amparo de </w:t>
      </w:r>
      <w:r w:rsidR="00A46252" w:rsidRPr="00545310">
        <w:rPr>
          <w:rFonts w:ascii="Arial" w:hAnsi="Arial" w:cs="Arial"/>
          <w:szCs w:val="24"/>
          <w:lang w:val="es-CO" w:eastAsia="ar-SA"/>
        </w:rPr>
        <w:t>cumplimiento.</w:t>
      </w:r>
    </w:p>
    <w:p w14:paraId="73A384B9" w14:textId="77777777" w:rsidR="00A462B9" w:rsidRPr="00545310" w:rsidRDefault="00A462B9" w:rsidP="006538E3">
      <w:pPr>
        <w:pStyle w:val="Sangradetextonormal"/>
        <w:spacing w:after="0"/>
        <w:ind w:left="0"/>
        <w:rPr>
          <w:rFonts w:ascii="Arial" w:hAnsi="Arial" w:cs="Arial"/>
          <w:szCs w:val="24"/>
          <w:lang w:val="es-CO" w:eastAsia="ar-SA"/>
        </w:rPr>
      </w:pPr>
    </w:p>
    <w:p w14:paraId="6327B4D3" w14:textId="77777777" w:rsidR="00A46252" w:rsidRPr="00545310" w:rsidRDefault="00361F3C" w:rsidP="006538E3">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Definido el marco legal y contractual aplicable, la Sala pasa a </w:t>
      </w:r>
      <w:r w:rsidR="007329DE" w:rsidRPr="00545310">
        <w:rPr>
          <w:rFonts w:ascii="Arial" w:hAnsi="Arial" w:cs="Arial"/>
          <w:szCs w:val="24"/>
          <w:lang w:val="es-CO" w:eastAsia="ar-SA"/>
        </w:rPr>
        <w:t xml:space="preserve">analizar </w:t>
      </w:r>
      <w:r w:rsidRPr="00545310">
        <w:rPr>
          <w:rFonts w:ascii="Arial" w:hAnsi="Arial" w:cs="Arial"/>
          <w:szCs w:val="24"/>
          <w:lang w:val="es-CO" w:eastAsia="ar-SA"/>
        </w:rPr>
        <w:t xml:space="preserve">los asuntos </w:t>
      </w:r>
      <w:r w:rsidR="008063BA" w:rsidRPr="00545310">
        <w:rPr>
          <w:rFonts w:ascii="Arial" w:hAnsi="Arial" w:cs="Arial"/>
          <w:szCs w:val="24"/>
          <w:lang w:val="es-CO" w:eastAsia="ar-SA"/>
        </w:rPr>
        <w:t xml:space="preserve">concretos </w:t>
      </w:r>
      <w:r w:rsidRPr="00545310">
        <w:rPr>
          <w:rFonts w:ascii="Arial" w:hAnsi="Arial" w:cs="Arial"/>
          <w:szCs w:val="24"/>
          <w:lang w:val="es-CO" w:eastAsia="ar-SA"/>
        </w:rPr>
        <w:t>de la apelación.</w:t>
      </w:r>
    </w:p>
    <w:p w14:paraId="0550FA2B" w14:textId="77777777" w:rsidR="00817CC8" w:rsidRPr="00545310" w:rsidRDefault="00817CC8" w:rsidP="006538E3">
      <w:pPr>
        <w:pStyle w:val="Sangradetextonormal"/>
        <w:spacing w:after="0"/>
        <w:ind w:left="0"/>
        <w:rPr>
          <w:rFonts w:ascii="Arial" w:hAnsi="Arial" w:cs="Arial"/>
          <w:szCs w:val="24"/>
          <w:lang w:val="es-CO" w:eastAsia="ar-SA"/>
        </w:rPr>
      </w:pPr>
    </w:p>
    <w:p w14:paraId="0E99EC3C" w14:textId="77777777" w:rsidR="00817CC8" w:rsidRPr="00545310" w:rsidRDefault="00D05434" w:rsidP="006538E3">
      <w:pPr>
        <w:pStyle w:val="Sangradetextonormal"/>
        <w:spacing w:after="0"/>
        <w:ind w:left="0"/>
        <w:rPr>
          <w:rFonts w:ascii="Arial" w:hAnsi="Arial" w:cs="Arial"/>
          <w:b/>
          <w:szCs w:val="24"/>
          <w:lang w:val="es-CO" w:eastAsia="ar-SA"/>
        </w:rPr>
      </w:pPr>
      <w:r w:rsidRPr="00545310">
        <w:rPr>
          <w:rFonts w:ascii="Arial" w:hAnsi="Arial" w:cs="Arial"/>
          <w:b/>
          <w:szCs w:val="24"/>
          <w:lang w:val="es-CO" w:eastAsia="ar-SA"/>
        </w:rPr>
        <w:t>6</w:t>
      </w:r>
      <w:r w:rsidR="005605A0" w:rsidRPr="00545310">
        <w:rPr>
          <w:rFonts w:ascii="Arial" w:hAnsi="Arial" w:cs="Arial"/>
          <w:b/>
          <w:szCs w:val="24"/>
          <w:lang w:val="es-CO" w:eastAsia="ar-SA"/>
        </w:rPr>
        <w:t xml:space="preserve">. </w:t>
      </w:r>
      <w:r w:rsidR="00817CC8" w:rsidRPr="00545310">
        <w:rPr>
          <w:rFonts w:ascii="Arial" w:hAnsi="Arial" w:cs="Arial"/>
          <w:b/>
          <w:szCs w:val="24"/>
          <w:lang w:val="es-CO" w:eastAsia="ar-SA"/>
        </w:rPr>
        <w:t>Delimitación de la apelación</w:t>
      </w:r>
    </w:p>
    <w:p w14:paraId="42087E82" w14:textId="77777777" w:rsidR="002E168E" w:rsidRPr="00545310" w:rsidRDefault="002E168E" w:rsidP="006538E3">
      <w:pPr>
        <w:pStyle w:val="Sangradetextonormal"/>
        <w:spacing w:after="0"/>
        <w:ind w:left="0"/>
        <w:rPr>
          <w:rFonts w:ascii="Arial" w:hAnsi="Arial" w:cs="Arial"/>
          <w:szCs w:val="24"/>
          <w:lang w:val="es-CO" w:eastAsia="ar-SA"/>
        </w:rPr>
      </w:pPr>
    </w:p>
    <w:p w14:paraId="5AEA0A5B" w14:textId="77777777" w:rsidR="002E168E" w:rsidRPr="00545310" w:rsidRDefault="003C6959" w:rsidP="006538E3">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Asiste la razón a la </w:t>
      </w:r>
      <w:r w:rsidR="007B2FA5" w:rsidRPr="00545310">
        <w:rPr>
          <w:rFonts w:ascii="Arial" w:hAnsi="Arial" w:cs="Arial"/>
          <w:szCs w:val="24"/>
          <w:lang w:val="es-CO" w:eastAsia="ar-SA"/>
        </w:rPr>
        <w:t xml:space="preserve">entidad estatal </w:t>
      </w:r>
      <w:r w:rsidRPr="00545310">
        <w:rPr>
          <w:rFonts w:ascii="Arial" w:hAnsi="Arial" w:cs="Arial"/>
          <w:szCs w:val="24"/>
          <w:lang w:val="es-CO" w:eastAsia="ar-SA"/>
        </w:rPr>
        <w:t xml:space="preserve">demandada en cuanto </w:t>
      </w:r>
      <w:r w:rsidR="00CE6693" w:rsidRPr="00545310">
        <w:rPr>
          <w:rFonts w:ascii="Arial" w:hAnsi="Arial" w:cs="Arial"/>
          <w:szCs w:val="24"/>
          <w:lang w:val="es-CO" w:eastAsia="ar-SA"/>
        </w:rPr>
        <w:t xml:space="preserve">alegó </w:t>
      </w:r>
      <w:r w:rsidRPr="00545310">
        <w:rPr>
          <w:rFonts w:ascii="Arial" w:hAnsi="Arial" w:cs="Arial"/>
          <w:szCs w:val="24"/>
          <w:lang w:val="es-CO" w:eastAsia="ar-SA"/>
        </w:rPr>
        <w:t xml:space="preserve">que en </w:t>
      </w:r>
      <w:r w:rsidR="007B2FA5" w:rsidRPr="00545310">
        <w:rPr>
          <w:rFonts w:ascii="Arial" w:hAnsi="Arial" w:cs="Arial"/>
          <w:szCs w:val="24"/>
          <w:lang w:val="es-CO" w:eastAsia="ar-SA"/>
        </w:rPr>
        <w:t xml:space="preserve">el recurso de </w:t>
      </w:r>
      <w:r w:rsidRPr="00545310">
        <w:rPr>
          <w:rFonts w:ascii="Arial" w:hAnsi="Arial" w:cs="Arial"/>
          <w:szCs w:val="24"/>
          <w:lang w:val="es-CO" w:eastAsia="ar-SA"/>
        </w:rPr>
        <w:t xml:space="preserve">apelación la </w:t>
      </w:r>
      <w:r w:rsidR="007B2FA5" w:rsidRPr="00545310">
        <w:rPr>
          <w:rFonts w:ascii="Arial" w:hAnsi="Arial" w:cs="Arial"/>
          <w:szCs w:val="24"/>
          <w:lang w:val="es-CO" w:eastAsia="ar-SA"/>
        </w:rPr>
        <w:t xml:space="preserve">compañía </w:t>
      </w:r>
      <w:r w:rsidRPr="00545310">
        <w:rPr>
          <w:rFonts w:ascii="Arial" w:hAnsi="Arial" w:cs="Arial"/>
          <w:szCs w:val="24"/>
          <w:lang w:val="es-CO" w:eastAsia="ar-SA"/>
        </w:rPr>
        <w:t>aseguradora planteó nuevas violaciones al debido proceso</w:t>
      </w:r>
      <w:r w:rsidR="00AC7F1B" w:rsidRPr="00545310">
        <w:rPr>
          <w:rFonts w:ascii="Arial" w:hAnsi="Arial" w:cs="Arial"/>
          <w:szCs w:val="24"/>
          <w:lang w:val="es-CO" w:eastAsia="ar-SA"/>
        </w:rPr>
        <w:t xml:space="preserve"> en la actuación administrativa</w:t>
      </w:r>
      <w:r w:rsidRPr="00545310">
        <w:rPr>
          <w:rFonts w:ascii="Arial" w:hAnsi="Arial" w:cs="Arial"/>
          <w:szCs w:val="24"/>
          <w:lang w:val="es-CO" w:eastAsia="ar-SA"/>
        </w:rPr>
        <w:t>, en torno de</w:t>
      </w:r>
      <w:r w:rsidR="002E168E" w:rsidRPr="00545310">
        <w:rPr>
          <w:rFonts w:ascii="Arial" w:hAnsi="Arial" w:cs="Arial"/>
          <w:szCs w:val="24"/>
          <w:lang w:val="es-CO" w:eastAsia="ar-SA"/>
        </w:rPr>
        <w:t xml:space="preserve"> las supuestas </w:t>
      </w:r>
      <w:r w:rsidR="007B2FA5" w:rsidRPr="00545310">
        <w:rPr>
          <w:rFonts w:ascii="Arial" w:hAnsi="Arial" w:cs="Arial"/>
          <w:szCs w:val="24"/>
          <w:lang w:val="es-CO" w:eastAsia="ar-SA"/>
        </w:rPr>
        <w:t xml:space="preserve">transgresiones del </w:t>
      </w:r>
      <w:r w:rsidRPr="00545310">
        <w:rPr>
          <w:rFonts w:ascii="Arial" w:hAnsi="Arial" w:cs="Arial"/>
          <w:szCs w:val="24"/>
          <w:lang w:val="es-CO" w:eastAsia="ar-SA"/>
        </w:rPr>
        <w:t xml:space="preserve">procedimiento sancionatorio y de la falta de traslado del informe de FONADE que </w:t>
      </w:r>
      <w:r w:rsidR="002E168E" w:rsidRPr="00545310">
        <w:rPr>
          <w:rFonts w:ascii="Arial" w:hAnsi="Arial" w:cs="Arial"/>
          <w:szCs w:val="24"/>
          <w:lang w:val="es-CO" w:eastAsia="ar-SA"/>
        </w:rPr>
        <w:t>fue</w:t>
      </w:r>
      <w:r w:rsidRPr="00545310">
        <w:rPr>
          <w:rFonts w:ascii="Arial" w:hAnsi="Arial" w:cs="Arial"/>
          <w:szCs w:val="24"/>
          <w:lang w:val="es-CO" w:eastAsia="ar-SA"/>
        </w:rPr>
        <w:t xml:space="preserve"> utilizado como base de la cuantificación de </w:t>
      </w:r>
      <w:r w:rsidR="007B2FA5" w:rsidRPr="00545310">
        <w:rPr>
          <w:rFonts w:ascii="Arial" w:hAnsi="Arial" w:cs="Arial"/>
          <w:szCs w:val="24"/>
          <w:lang w:val="es-CO" w:eastAsia="ar-SA"/>
        </w:rPr>
        <w:t xml:space="preserve">los </w:t>
      </w:r>
      <w:r w:rsidR="002E168E" w:rsidRPr="00545310">
        <w:rPr>
          <w:rFonts w:ascii="Arial" w:hAnsi="Arial" w:cs="Arial"/>
          <w:szCs w:val="24"/>
          <w:lang w:val="es-CO" w:eastAsia="ar-SA"/>
        </w:rPr>
        <w:t>perjuicios</w:t>
      </w:r>
      <w:r w:rsidR="007B2FA5" w:rsidRPr="00545310">
        <w:rPr>
          <w:rFonts w:ascii="Arial" w:hAnsi="Arial" w:cs="Arial"/>
          <w:szCs w:val="24"/>
          <w:lang w:val="es-CO" w:eastAsia="ar-SA"/>
        </w:rPr>
        <w:t xml:space="preserve"> para declarar la efectividad de la póliza de seguros.</w:t>
      </w:r>
      <w:r w:rsidR="002E168E" w:rsidRPr="00545310">
        <w:rPr>
          <w:rFonts w:ascii="Arial" w:hAnsi="Arial" w:cs="Arial"/>
          <w:szCs w:val="24"/>
          <w:lang w:val="es-CO" w:eastAsia="ar-SA"/>
        </w:rPr>
        <w:t xml:space="preserve"> </w:t>
      </w:r>
    </w:p>
    <w:p w14:paraId="5F9C29B0" w14:textId="77777777" w:rsidR="002E168E" w:rsidRPr="00545310" w:rsidRDefault="002E168E" w:rsidP="006538E3">
      <w:pPr>
        <w:pStyle w:val="Sangradetextonormal"/>
        <w:spacing w:after="0"/>
        <w:ind w:left="0"/>
        <w:rPr>
          <w:rFonts w:ascii="Arial" w:hAnsi="Arial" w:cs="Arial"/>
          <w:szCs w:val="24"/>
          <w:lang w:val="es-CO" w:eastAsia="ar-SA"/>
        </w:rPr>
      </w:pPr>
    </w:p>
    <w:p w14:paraId="04F81C9C" w14:textId="77777777" w:rsidR="005555EC" w:rsidRPr="00545310" w:rsidRDefault="002E168E" w:rsidP="006538E3">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En respeto del debido proceso y del principio de congruencia</w:t>
      </w:r>
      <w:r w:rsidR="00847807" w:rsidRPr="00545310">
        <w:rPr>
          <w:rFonts w:ascii="Arial" w:hAnsi="Arial" w:cs="Arial"/>
          <w:szCs w:val="24"/>
          <w:lang w:val="es-CO" w:eastAsia="ar-SA"/>
        </w:rPr>
        <w:t xml:space="preserve"> en el medio de control </w:t>
      </w:r>
      <w:r w:rsidR="004E3442" w:rsidRPr="00545310">
        <w:rPr>
          <w:rFonts w:ascii="Arial" w:hAnsi="Arial" w:cs="Arial"/>
          <w:szCs w:val="24"/>
          <w:lang w:val="es-CO" w:eastAsia="ar-SA"/>
        </w:rPr>
        <w:t xml:space="preserve">de controversias </w:t>
      </w:r>
      <w:r w:rsidR="00847807" w:rsidRPr="00545310">
        <w:rPr>
          <w:rFonts w:ascii="Arial" w:hAnsi="Arial" w:cs="Arial"/>
          <w:szCs w:val="24"/>
          <w:lang w:val="es-CO" w:eastAsia="ar-SA"/>
        </w:rPr>
        <w:t>contractual</w:t>
      </w:r>
      <w:r w:rsidR="004E3442" w:rsidRPr="00545310">
        <w:rPr>
          <w:rFonts w:ascii="Arial" w:hAnsi="Arial" w:cs="Arial"/>
          <w:szCs w:val="24"/>
          <w:lang w:val="es-CO" w:eastAsia="ar-SA"/>
        </w:rPr>
        <w:t>es</w:t>
      </w:r>
      <w:r w:rsidRPr="00545310">
        <w:rPr>
          <w:rFonts w:ascii="Arial" w:hAnsi="Arial" w:cs="Arial"/>
          <w:szCs w:val="24"/>
          <w:lang w:val="es-CO" w:eastAsia="ar-SA"/>
        </w:rPr>
        <w:t xml:space="preserve">, debe advertirse que </w:t>
      </w:r>
      <w:r w:rsidR="005555EC" w:rsidRPr="00545310">
        <w:rPr>
          <w:rFonts w:ascii="Arial" w:hAnsi="Arial" w:cs="Arial"/>
          <w:szCs w:val="24"/>
          <w:lang w:val="es-CO" w:eastAsia="ar-SA"/>
        </w:rPr>
        <w:t xml:space="preserve">no serán estudiados los </w:t>
      </w:r>
      <w:r w:rsidR="00847807" w:rsidRPr="00545310">
        <w:rPr>
          <w:rFonts w:ascii="Arial" w:hAnsi="Arial" w:cs="Arial"/>
          <w:szCs w:val="24"/>
          <w:lang w:val="es-CO" w:eastAsia="ar-SA"/>
        </w:rPr>
        <w:t xml:space="preserve">aludidos </w:t>
      </w:r>
      <w:r w:rsidR="005555EC" w:rsidRPr="00545310">
        <w:rPr>
          <w:rFonts w:ascii="Arial" w:hAnsi="Arial" w:cs="Arial"/>
          <w:szCs w:val="24"/>
          <w:lang w:val="es-CO" w:eastAsia="ar-SA"/>
        </w:rPr>
        <w:t>argumentos de la compañía de seguros, en tanto se fundan en hechos que no son nuevos</w:t>
      </w:r>
      <w:r w:rsidR="000B139F" w:rsidRPr="00545310">
        <w:rPr>
          <w:rFonts w:ascii="Arial" w:hAnsi="Arial" w:cs="Arial"/>
          <w:szCs w:val="24"/>
          <w:lang w:val="es-CO" w:eastAsia="ar-SA"/>
        </w:rPr>
        <w:t xml:space="preserve"> y que tampoco </w:t>
      </w:r>
      <w:r w:rsidR="00847807" w:rsidRPr="00545310">
        <w:rPr>
          <w:rFonts w:ascii="Arial" w:hAnsi="Arial" w:cs="Arial"/>
          <w:szCs w:val="24"/>
          <w:lang w:val="es-CO" w:eastAsia="ar-SA"/>
        </w:rPr>
        <w:t xml:space="preserve">surgieron </w:t>
      </w:r>
      <w:r w:rsidR="005555EC" w:rsidRPr="00545310">
        <w:rPr>
          <w:rFonts w:ascii="Arial" w:hAnsi="Arial" w:cs="Arial"/>
          <w:szCs w:val="24"/>
          <w:lang w:val="es-CO" w:eastAsia="ar-SA"/>
        </w:rPr>
        <w:t>de la</w:t>
      </w:r>
      <w:r w:rsidR="00847807" w:rsidRPr="00545310">
        <w:rPr>
          <w:rFonts w:ascii="Arial" w:hAnsi="Arial" w:cs="Arial"/>
          <w:szCs w:val="24"/>
          <w:lang w:val="es-CO" w:eastAsia="ar-SA"/>
        </w:rPr>
        <w:t xml:space="preserve">s consideraciones de la </w:t>
      </w:r>
      <w:r w:rsidR="005555EC" w:rsidRPr="00545310">
        <w:rPr>
          <w:rFonts w:ascii="Arial" w:hAnsi="Arial" w:cs="Arial"/>
          <w:szCs w:val="24"/>
          <w:lang w:val="es-CO" w:eastAsia="ar-SA"/>
        </w:rPr>
        <w:t>sentencia</w:t>
      </w:r>
      <w:r w:rsidR="000B139F" w:rsidRPr="00545310">
        <w:rPr>
          <w:rFonts w:ascii="Arial" w:hAnsi="Arial" w:cs="Arial"/>
          <w:szCs w:val="24"/>
          <w:lang w:val="es-CO" w:eastAsia="ar-SA"/>
        </w:rPr>
        <w:t xml:space="preserve"> de </w:t>
      </w:r>
      <w:r w:rsidR="000B139F" w:rsidRPr="00545310">
        <w:rPr>
          <w:rFonts w:ascii="Arial" w:hAnsi="Arial" w:cs="Arial"/>
          <w:szCs w:val="24"/>
          <w:lang w:val="es-CO" w:eastAsia="ar-SA"/>
        </w:rPr>
        <w:lastRenderedPageBreak/>
        <w:t>primera instancia</w:t>
      </w:r>
      <w:r w:rsidR="005555EC" w:rsidRPr="00545310">
        <w:rPr>
          <w:rFonts w:ascii="Arial" w:hAnsi="Arial" w:cs="Arial"/>
          <w:szCs w:val="24"/>
          <w:lang w:val="es-CO" w:eastAsia="ar-SA"/>
        </w:rPr>
        <w:t xml:space="preserve">, de manera que </w:t>
      </w:r>
      <w:r w:rsidR="00847807" w:rsidRPr="00545310">
        <w:rPr>
          <w:rFonts w:ascii="Arial" w:hAnsi="Arial" w:cs="Arial"/>
          <w:szCs w:val="24"/>
          <w:lang w:val="es-CO" w:eastAsia="ar-SA"/>
        </w:rPr>
        <w:t>han debido ser planteados desde la demanda</w:t>
      </w:r>
      <w:r w:rsidR="00292993" w:rsidRPr="00545310">
        <w:rPr>
          <w:rFonts w:ascii="Arial" w:hAnsi="Arial" w:cs="Arial"/>
          <w:szCs w:val="24"/>
          <w:lang w:val="es-CO" w:eastAsia="ar-SA"/>
        </w:rPr>
        <w:t>, e</w:t>
      </w:r>
      <w:r w:rsidR="004E3442" w:rsidRPr="00545310">
        <w:rPr>
          <w:rFonts w:ascii="Arial" w:hAnsi="Arial" w:cs="Arial"/>
          <w:szCs w:val="24"/>
          <w:lang w:val="es-CO" w:eastAsia="ar-SA"/>
        </w:rPr>
        <w:t xml:space="preserve">n la </w:t>
      </w:r>
      <w:r w:rsidR="00847807" w:rsidRPr="00545310">
        <w:rPr>
          <w:rFonts w:ascii="Arial" w:hAnsi="Arial" w:cs="Arial"/>
          <w:szCs w:val="24"/>
          <w:lang w:val="es-CO" w:eastAsia="ar-SA"/>
        </w:rPr>
        <w:t>fij</w:t>
      </w:r>
      <w:r w:rsidR="00292993" w:rsidRPr="00545310">
        <w:rPr>
          <w:rFonts w:ascii="Arial" w:hAnsi="Arial" w:cs="Arial"/>
          <w:szCs w:val="24"/>
          <w:lang w:val="es-CO" w:eastAsia="ar-SA"/>
        </w:rPr>
        <w:t xml:space="preserve">ación de </w:t>
      </w:r>
      <w:r w:rsidR="00847807" w:rsidRPr="00545310">
        <w:rPr>
          <w:rFonts w:ascii="Arial" w:hAnsi="Arial" w:cs="Arial"/>
          <w:szCs w:val="24"/>
          <w:lang w:val="es-CO" w:eastAsia="ar-SA"/>
        </w:rPr>
        <w:t xml:space="preserve">la </w:t>
      </w:r>
      <w:r w:rsidR="00847807" w:rsidRPr="00545310">
        <w:rPr>
          <w:rFonts w:ascii="Arial" w:hAnsi="Arial" w:cs="Arial"/>
          <w:i/>
          <w:szCs w:val="24"/>
          <w:lang w:val="es-CO" w:eastAsia="ar-SA"/>
        </w:rPr>
        <w:t>causa petendi</w:t>
      </w:r>
      <w:r w:rsidR="00847807" w:rsidRPr="00545310">
        <w:rPr>
          <w:rFonts w:ascii="Arial" w:hAnsi="Arial" w:cs="Arial"/>
          <w:szCs w:val="24"/>
          <w:lang w:val="es-CO" w:eastAsia="ar-SA"/>
        </w:rPr>
        <w:t xml:space="preserve"> objeto del proceso judicial y que, por </w:t>
      </w:r>
      <w:r w:rsidR="00292993" w:rsidRPr="00545310">
        <w:rPr>
          <w:rFonts w:ascii="Arial" w:hAnsi="Arial" w:cs="Arial"/>
          <w:szCs w:val="24"/>
          <w:lang w:val="es-CO" w:eastAsia="ar-SA"/>
        </w:rPr>
        <w:t xml:space="preserve">esa razón </w:t>
      </w:r>
      <w:r w:rsidR="00847807" w:rsidRPr="00545310">
        <w:rPr>
          <w:rFonts w:ascii="Arial" w:hAnsi="Arial" w:cs="Arial"/>
          <w:szCs w:val="24"/>
          <w:lang w:val="es-CO" w:eastAsia="ar-SA"/>
        </w:rPr>
        <w:t xml:space="preserve">no </w:t>
      </w:r>
      <w:r w:rsidR="005555EC" w:rsidRPr="00545310">
        <w:rPr>
          <w:rFonts w:ascii="Arial" w:hAnsi="Arial" w:cs="Arial"/>
          <w:szCs w:val="24"/>
          <w:lang w:val="es-CO" w:eastAsia="ar-SA"/>
        </w:rPr>
        <w:t xml:space="preserve">pueden ser </w:t>
      </w:r>
      <w:r w:rsidR="00266013" w:rsidRPr="00545310">
        <w:rPr>
          <w:rFonts w:ascii="Arial" w:hAnsi="Arial" w:cs="Arial"/>
          <w:szCs w:val="24"/>
          <w:lang w:val="es-CO" w:eastAsia="ar-SA"/>
        </w:rPr>
        <w:t xml:space="preserve">materia </w:t>
      </w:r>
      <w:r w:rsidR="000B139F" w:rsidRPr="00545310">
        <w:rPr>
          <w:rFonts w:ascii="Arial" w:hAnsi="Arial" w:cs="Arial"/>
          <w:szCs w:val="24"/>
          <w:lang w:val="es-CO" w:eastAsia="ar-SA"/>
        </w:rPr>
        <w:t xml:space="preserve">de </w:t>
      </w:r>
      <w:r w:rsidR="005555EC" w:rsidRPr="00545310">
        <w:rPr>
          <w:rFonts w:ascii="Arial" w:hAnsi="Arial" w:cs="Arial"/>
          <w:szCs w:val="24"/>
          <w:lang w:val="es-CO" w:eastAsia="ar-SA"/>
        </w:rPr>
        <w:t>debat</w:t>
      </w:r>
      <w:r w:rsidR="000B139F" w:rsidRPr="00545310">
        <w:rPr>
          <w:rFonts w:ascii="Arial" w:hAnsi="Arial" w:cs="Arial"/>
          <w:szCs w:val="24"/>
          <w:lang w:val="es-CO" w:eastAsia="ar-SA"/>
        </w:rPr>
        <w:t>e</w:t>
      </w:r>
      <w:r w:rsidR="005555EC" w:rsidRPr="00545310">
        <w:rPr>
          <w:rFonts w:ascii="Arial" w:hAnsi="Arial" w:cs="Arial"/>
          <w:szCs w:val="24"/>
          <w:lang w:val="es-CO" w:eastAsia="ar-SA"/>
        </w:rPr>
        <w:t xml:space="preserve"> </w:t>
      </w:r>
      <w:r w:rsidR="000B139F" w:rsidRPr="00545310">
        <w:rPr>
          <w:rFonts w:ascii="Arial" w:hAnsi="Arial" w:cs="Arial"/>
          <w:szCs w:val="24"/>
          <w:lang w:val="es-CO" w:eastAsia="ar-SA"/>
        </w:rPr>
        <w:t xml:space="preserve">por la vía del recurso de apelación. </w:t>
      </w:r>
    </w:p>
    <w:p w14:paraId="3D6E2DB7" w14:textId="77777777" w:rsidR="000B139F" w:rsidRPr="00545310" w:rsidRDefault="000B139F" w:rsidP="006538E3">
      <w:pPr>
        <w:pStyle w:val="Sangradetextonormal"/>
        <w:spacing w:after="0"/>
        <w:ind w:left="0"/>
        <w:rPr>
          <w:rFonts w:ascii="Arial" w:hAnsi="Arial" w:cs="Arial"/>
          <w:szCs w:val="24"/>
          <w:lang w:val="es-CO" w:eastAsia="ar-SA"/>
        </w:rPr>
      </w:pPr>
    </w:p>
    <w:p w14:paraId="46DCA34A" w14:textId="77777777" w:rsidR="00153634" w:rsidRPr="00545310" w:rsidRDefault="000B139F" w:rsidP="006538E3">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No obstante</w:t>
      </w:r>
      <w:r w:rsidR="0064442B" w:rsidRPr="00545310">
        <w:rPr>
          <w:rFonts w:ascii="Arial" w:hAnsi="Arial" w:cs="Arial"/>
          <w:szCs w:val="24"/>
          <w:lang w:val="es-CO" w:eastAsia="ar-SA"/>
        </w:rPr>
        <w:t xml:space="preserve">, puede mencionarse que en el acervo probatorio allegado al proceso </w:t>
      </w:r>
      <w:r w:rsidR="00153634" w:rsidRPr="00545310">
        <w:rPr>
          <w:rFonts w:ascii="Arial" w:hAnsi="Arial" w:cs="Arial"/>
          <w:szCs w:val="24"/>
          <w:lang w:val="es-CO" w:eastAsia="ar-SA"/>
        </w:rPr>
        <w:t>obra e</w:t>
      </w:r>
      <w:r w:rsidR="00195B73" w:rsidRPr="00545310">
        <w:rPr>
          <w:rFonts w:ascii="Arial" w:hAnsi="Arial" w:cs="Arial"/>
          <w:szCs w:val="24"/>
          <w:lang w:val="es-CO" w:eastAsia="ar-SA"/>
        </w:rPr>
        <w:t xml:space="preserve">l informe radicado bajo el No. 2011-430-019223, </w:t>
      </w:r>
      <w:r w:rsidR="004D1712" w:rsidRPr="00545310">
        <w:rPr>
          <w:rFonts w:ascii="Arial" w:hAnsi="Arial" w:cs="Arial"/>
          <w:szCs w:val="24"/>
          <w:lang w:val="es-CO" w:eastAsia="ar-SA"/>
        </w:rPr>
        <w:t>de 18 de abril de 2011</w:t>
      </w:r>
      <w:r w:rsidR="00431750" w:rsidRPr="00545310">
        <w:rPr>
          <w:rStyle w:val="Refdenotaalpie"/>
          <w:rFonts w:ascii="Arial" w:hAnsi="Arial" w:cs="Arial"/>
          <w:szCs w:val="24"/>
          <w:lang w:val="es-CO" w:eastAsia="ar-SA"/>
        </w:rPr>
        <w:footnoteReference w:id="49"/>
      </w:r>
      <w:r w:rsidR="004D1712" w:rsidRPr="00545310">
        <w:rPr>
          <w:rFonts w:ascii="Arial" w:hAnsi="Arial" w:cs="Arial"/>
          <w:szCs w:val="24"/>
          <w:lang w:val="es-CO" w:eastAsia="ar-SA"/>
        </w:rPr>
        <w:t xml:space="preserve">, mediante el cual la </w:t>
      </w:r>
      <w:r w:rsidR="00266013" w:rsidRPr="00545310">
        <w:rPr>
          <w:rFonts w:ascii="Arial" w:hAnsi="Arial" w:cs="Arial"/>
          <w:szCs w:val="24"/>
          <w:lang w:val="es-CO" w:eastAsia="ar-SA"/>
        </w:rPr>
        <w:t xml:space="preserve">entidad </w:t>
      </w:r>
      <w:r w:rsidR="004D1712" w:rsidRPr="00545310">
        <w:rPr>
          <w:rFonts w:ascii="Arial" w:hAnsi="Arial" w:cs="Arial"/>
          <w:szCs w:val="24"/>
          <w:lang w:val="es-CO" w:eastAsia="ar-SA"/>
        </w:rPr>
        <w:t xml:space="preserve">interventora </w:t>
      </w:r>
      <w:r w:rsidR="00266013" w:rsidRPr="00545310">
        <w:rPr>
          <w:rFonts w:ascii="Arial" w:hAnsi="Arial" w:cs="Arial"/>
          <w:szCs w:val="24"/>
          <w:lang w:val="es-CO" w:eastAsia="ar-SA"/>
        </w:rPr>
        <w:t xml:space="preserve">del contrato </w:t>
      </w:r>
      <w:r w:rsidR="004D1712" w:rsidRPr="00545310">
        <w:rPr>
          <w:rFonts w:ascii="Arial" w:hAnsi="Arial" w:cs="Arial"/>
          <w:szCs w:val="24"/>
          <w:lang w:val="es-CO" w:eastAsia="ar-SA"/>
        </w:rPr>
        <w:t>re</w:t>
      </w:r>
      <w:r w:rsidR="00266013" w:rsidRPr="00545310">
        <w:rPr>
          <w:rFonts w:ascii="Arial" w:hAnsi="Arial" w:cs="Arial"/>
          <w:szCs w:val="24"/>
          <w:lang w:val="es-CO" w:eastAsia="ar-SA"/>
        </w:rPr>
        <w:t xml:space="preserve">lacionó </w:t>
      </w:r>
      <w:r w:rsidR="004D1712" w:rsidRPr="00545310">
        <w:rPr>
          <w:rFonts w:ascii="Arial" w:hAnsi="Arial" w:cs="Arial"/>
          <w:szCs w:val="24"/>
          <w:lang w:val="es-CO" w:eastAsia="ar-SA"/>
        </w:rPr>
        <w:t>los incumplimientos</w:t>
      </w:r>
      <w:r w:rsidR="00153634" w:rsidRPr="00545310">
        <w:rPr>
          <w:rFonts w:ascii="Arial" w:hAnsi="Arial" w:cs="Arial"/>
          <w:szCs w:val="24"/>
          <w:lang w:val="es-CO" w:eastAsia="ar-SA"/>
        </w:rPr>
        <w:t>,</w:t>
      </w:r>
      <w:r w:rsidR="004D1712" w:rsidRPr="00545310">
        <w:rPr>
          <w:rFonts w:ascii="Arial" w:hAnsi="Arial" w:cs="Arial"/>
          <w:szCs w:val="24"/>
          <w:lang w:val="es-CO" w:eastAsia="ar-SA"/>
        </w:rPr>
        <w:t xml:space="preserve"> estableció el valor ejecutado del contrato y recomendó pr</w:t>
      </w:r>
      <w:r w:rsidR="00705FEC" w:rsidRPr="00545310">
        <w:rPr>
          <w:rFonts w:ascii="Arial" w:hAnsi="Arial" w:cs="Arial"/>
          <w:szCs w:val="24"/>
          <w:lang w:val="es-CO" w:eastAsia="ar-SA"/>
        </w:rPr>
        <w:t xml:space="preserve">oceder a la </w:t>
      </w:r>
      <w:r w:rsidR="00E046DE" w:rsidRPr="00545310">
        <w:rPr>
          <w:rFonts w:ascii="Arial" w:hAnsi="Arial" w:cs="Arial"/>
          <w:szCs w:val="24"/>
          <w:lang w:val="es-CO" w:eastAsia="ar-SA"/>
        </w:rPr>
        <w:t xml:space="preserve">declaratoria de </w:t>
      </w:r>
      <w:r w:rsidR="00705FEC" w:rsidRPr="00545310">
        <w:rPr>
          <w:rFonts w:ascii="Arial" w:hAnsi="Arial" w:cs="Arial"/>
          <w:szCs w:val="24"/>
          <w:lang w:val="es-CO" w:eastAsia="ar-SA"/>
        </w:rPr>
        <w:t xml:space="preserve">caducidad del </w:t>
      </w:r>
      <w:r w:rsidR="00153634" w:rsidRPr="00545310">
        <w:rPr>
          <w:rFonts w:ascii="Arial" w:hAnsi="Arial" w:cs="Arial"/>
          <w:szCs w:val="24"/>
          <w:lang w:val="es-CO" w:eastAsia="ar-SA"/>
        </w:rPr>
        <w:t>mismo</w:t>
      </w:r>
      <w:r w:rsidR="00705FEC" w:rsidRPr="00545310">
        <w:rPr>
          <w:rFonts w:ascii="Arial" w:hAnsi="Arial" w:cs="Arial"/>
          <w:szCs w:val="24"/>
          <w:lang w:val="es-CO" w:eastAsia="ar-SA"/>
        </w:rPr>
        <w:t xml:space="preserve">, el cual se remitió a FONADE con copia a la compañía </w:t>
      </w:r>
      <w:r w:rsidR="007914A3" w:rsidRPr="00545310">
        <w:rPr>
          <w:rFonts w:ascii="Arial" w:hAnsi="Arial" w:cs="Arial"/>
          <w:szCs w:val="24"/>
          <w:lang w:val="es-CO" w:eastAsia="ar-SA"/>
        </w:rPr>
        <w:t>a</w:t>
      </w:r>
      <w:r w:rsidR="00705FEC" w:rsidRPr="00545310">
        <w:rPr>
          <w:rFonts w:ascii="Arial" w:hAnsi="Arial" w:cs="Arial"/>
          <w:szCs w:val="24"/>
          <w:lang w:val="es-CO" w:eastAsia="ar-SA"/>
        </w:rPr>
        <w:t xml:space="preserve">seguradora y </w:t>
      </w:r>
      <w:r w:rsidR="00153634" w:rsidRPr="00545310">
        <w:rPr>
          <w:rFonts w:ascii="Arial" w:hAnsi="Arial" w:cs="Arial"/>
          <w:szCs w:val="24"/>
          <w:lang w:val="es-CO" w:eastAsia="ar-SA"/>
        </w:rPr>
        <w:t xml:space="preserve">también </w:t>
      </w:r>
      <w:r w:rsidR="00E568BF" w:rsidRPr="00545310">
        <w:rPr>
          <w:rFonts w:ascii="Arial" w:hAnsi="Arial" w:cs="Arial"/>
          <w:szCs w:val="24"/>
          <w:lang w:val="es-CO" w:eastAsia="ar-SA"/>
        </w:rPr>
        <w:t xml:space="preserve">reposa </w:t>
      </w:r>
      <w:r w:rsidR="00AC7F1B" w:rsidRPr="00545310">
        <w:rPr>
          <w:rFonts w:ascii="Arial" w:hAnsi="Arial" w:cs="Arial"/>
          <w:szCs w:val="24"/>
          <w:lang w:val="es-CO" w:eastAsia="ar-SA"/>
        </w:rPr>
        <w:t xml:space="preserve">en el expediente </w:t>
      </w:r>
      <w:r w:rsidR="0064442B" w:rsidRPr="00545310">
        <w:rPr>
          <w:rFonts w:ascii="Arial" w:hAnsi="Arial" w:cs="Arial"/>
          <w:szCs w:val="24"/>
          <w:lang w:val="es-CO" w:eastAsia="ar-SA"/>
        </w:rPr>
        <w:t>la comunicación</w:t>
      </w:r>
      <w:r w:rsidR="00195B73" w:rsidRPr="00545310">
        <w:rPr>
          <w:rFonts w:ascii="Arial" w:hAnsi="Arial" w:cs="Arial"/>
          <w:szCs w:val="24"/>
          <w:lang w:val="es-CO" w:eastAsia="ar-SA"/>
        </w:rPr>
        <w:t xml:space="preserve"> </w:t>
      </w:r>
      <w:r w:rsidR="00943C9F" w:rsidRPr="00545310">
        <w:rPr>
          <w:rFonts w:ascii="Arial" w:hAnsi="Arial" w:cs="Arial"/>
          <w:szCs w:val="24"/>
          <w:lang w:val="es-CO" w:eastAsia="ar-SA"/>
        </w:rPr>
        <w:t>2011-430-019450 de 19 de abril de 2011</w:t>
      </w:r>
      <w:r w:rsidR="00431750" w:rsidRPr="00545310">
        <w:rPr>
          <w:rStyle w:val="Refdenotaalpie"/>
          <w:rFonts w:ascii="Arial" w:hAnsi="Arial" w:cs="Arial"/>
          <w:szCs w:val="24"/>
          <w:lang w:val="es-CO" w:eastAsia="ar-SA"/>
        </w:rPr>
        <w:footnoteReference w:id="50"/>
      </w:r>
      <w:r w:rsidR="00943C9F" w:rsidRPr="00545310">
        <w:rPr>
          <w:rFonts w:ascii="Arial" w:hAnsi="Arial" w:cs="Arial"/>
          <w:szCs w:val="24"/>
          <w:lang w:val="es-CO" w:eastAsia="ar-SA"/>
        </w:rPr>
        <w:t xml:space="preserve">, </w:t>
      </w:r>
      <w:r w:rsidR="0064442B" w:rsidRPr="00545310">
        <w:rPr>
          <w:rFonts w:ascii="Arial" w:hAnsi="Arial" w:cs="Arial"/>
          <w:szCs w:val="24"/>
          <w:lang w:val="es-CO" w:eastAsia="ar-SA"/>
        </w:rPr>
        <w:t xml:space="preserve">mediante la cual </w:t>
      </w:r>
      <w:r w:rsidR="00943C9F" w:rsidRPr="00545310">
        <w:rPr>
          <w:rFonts w:ascii="Arial" w:hAnsi="Arial" w:cs="Arial"/>
          <w:szCs w:val="24"/>
          <w:lang w:val="es-CO" w:eastAsia="ar-SA"/>
        </w:rPr>
        <w:t>la interventoría s</w:t>
      </w:r>
      <w:r w:rsidR="0064442B" w:rsidRPr="00545310">
        <w:rPr>
          <w:rFonts w:ascii="Arial" w:hAnsi="Arial" w:cs="Arial"/>
          <w:szCs w:val="24"/>
          <w:lang w:val="es-CO" w:eastAsia="ar-SA"/>
        </w:rPr>
        <w:t xml:space="preserve">e pronunció sobre </w:t>
      </w:r>
      <w:r w:rsidR="002B42AB" w:rsidRPr="00545310">
        <w:rPr>
          <w:rFonts w:ascii="Arial" w:hAnsi="Arial" w:cs="Arial"/>
          <w:szCs w:val="24"/>
          <w:lang w:val="es-CO" w:eastAsia="ar-SA"/>
        </w:rPr>
        <w:t>las observaciones del contratista expresadas en reunión de abril 7 de 2011</w:t>
      </w:r>
      <w:r w:rsidR="00EB35F4" w:rsidRPr="00545310">
        <w:rPr>
          <w:rFonts w:ascii="Arial" w:hAnsi="Arial" w:cs="Arial"/>
          <w:szCs w:val="24"/>
          <w:lang w:val="es-CO" w:eastAsia="ar-SA"/>
        </w:rPr>
        <w:t xml:space="preserve"> y </w:t>
      </w:r>
      <w:r w:rsidR="00AC7F1B" w:rsidRPr="00545310">
        <w:rPr>
          <w:rFonts w:ascii="Arial" w:hAnsi="Arial" w:cs="Arial"/>
          <w:szCs w:val="24"/>
          <w:lang w:val="es-CO" w:eastAsia="ar-SA"/>
        </w:rPr>
        <w:t xml:space="preserve">acerca de </w:t>
      </w:r>
      <w:r w:rsidR="00EB35F4" w:rsidRPr="00545310">
        <w:rPr>
          <w:rFonts w:ascii="Arial" w:hAnsi="Arial" w:cs="Arial"/>
          <w:szCs w:val="24"/>
          <w:lang w:val="es-CO" w:eastAsia="ar-SA"/>
        </w:rPr>
        <w:t>la citación a CONFIANZA</w:t>
      </w:r>
      <w:r w:rsidR="00153634" w:rsidRPr="00545310">
        <w:rPr>
          <w:rFonts w:ascii="Arial" w:hAnsi="Arial" w:cs="Arial"/>
          <w:szCs w:val="24"/>
          <w:lang w:val="es-CO" w:eastAsia="ar-SA"/>
        </w:rPr>
        <w:t xml:space="preserve">. </w:t>
      </w:r>
    </w:p>
    <w:p w14:paraId="1971379C" w14:textId="77777777" w:rsidR="00153634" w:rsidRPr="00545310" w:rsidRDefault="00153634" w:rsidP="006538E3">
      <w:pPr>
        <w:pStyle w:val="Sangradetextonormal"/>
        <w:spacing w:after="0"/>
        <w:ind w:left="0"/>
        <w:rPr>
          <w:rFonts w:ascii="Arial" w:hAnsi="Arial" w:cs="Arial"/>
          <w:szCs w:val="24"/>
          <w:lang w:val="es-CO" w:eastAsia="ar-SA"/>
        </w:rPr>
      </w:pPr>
    </w:p>
    <w:p w14:paraId="276F1A77" w14:textId="77777777" w:rsidR="002F5E67" w:rsidRPr="00545310" w:rsidRDefault="00266013" w:rsidP="006538E3">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Igualmente, </w:t>
      </w:r>
      <w:r w:rsidR="00153634" w:rsidRPr="00545310">
        <w:rPr>
          <w:rFonts w:ascii="Arial" w:hAnsi="Arial" w:cs="Arial"/>
          <w:szCs w:val="24"/>
          <w:lang w:val="es-CO" w:eastAsia="ar-SA"/>
        </w:rPr>
        <w:t>se</w:t>
      </w:r>
      <w:r w:rsidR="00A572FE" w:rsidRPr="00545310">
        <w:rPr>
          <w:rFonts w:ascii="Arial" w:hAnsi="Arial" w:cs="Arial"/>
          <w:szCs w:val="24"/>
          <w:lang w:val="es-CO" w:eastAsia="ar-SA"/>
        </w:rPr>
        <w:t xml:space="preserve">gún se detallará más adelante, </w:t>
      </w:r>
      <w:r w:rsidR="00CE6693" w:rsidRPr="00545310">
        <w:rPr>
          <w:rFonts w:ascii="Arial" w:hAnsi="Arial" w:cs="Arial"/>
          <w:szCs w:val="24"/>
          <w:lang w:val="es-CO" w:eastAsia="ar-SA"/>
        </w:rPr>
        <w:t xml:space="preserve">obran en el expediente </w:t>
      </w:r>
      <w:r w:rsidR="00A572FE" w:rsidRPr="00545310">
        <w:rPr>
          <w:rFonts w:ascii="Arial" w:hAnsi="Arial" w:cs="Arial"/>
          <w:szCs w:val="24"/>
          <w:lang w:val="es-CO" w:eastAsia="ar-SA"/>
        </w:rPr>
        <w:t xml:space="preserve">las comunicaciones referidas al </w:t>
      </w:r>
      <w:r w:rsidR="000B139F" w:rsidRPr="00545310">
        <w:rPr>
          <w:rFonts w:ascii="Arial" w:hAnsi="Arial" w:cs="Arial"/>
          <w:szCs w:val="24"/>
          <w:lang w:val="es-CO" w:eastAsia="ar-SA"/>
        </w:rPr>
        <w:t>procedim</w:t>
      </w:r>
      <w:r w:rsidR="00A81232" w:rsidRPr="00545310">
        <w:rPr>
          <w:rFonts w:ascii="Arial" w:hAnsi="Arial" w:cs="Arial"/>
          <w:szCs w:val="24"/>
          <w:lang w:val="es-CO" w:eastAsia="ar-SA"/>
        </w:rPr>
        <w:t xml:space="preserve">iento de reclamación de la póliza </w:t>
      </w:r>
      <w:r w:rsidR="00292993" w:rsidRPr="00545310">
        <w:rPr>
          <w:rFonts w:ascii="Arial" w:hAnsi="Arial" w:cs="Arial"/>
          <w:szCs w:val="24"/>
          <w:lang w:val="es-CO" w:eastAsia="ar-SA"/>
        </w:rPr>
        <w:t xml:space="preserve">de seguros </w:t>
      </w:r>
      <w:r w:rsidR="00A81232" w:rsidRPr="00545310">
        <w:rPr>
          <w:rFonts w:ascii="Arial" w:hAnsi="Arial" w:cs="Arial"/>
          <w:szCs w:val="24"/>
          <w:lang w:val="es-CO" w:eastAsia="ar-SA"/>
        </w:rPr>
        <w:t xml:space="preserve">que siguió FONADE frente a la compañía aseguradora, en el cual </w:t>
      </w:r>
      <w:r w:rsidR="00155754" w:rsidRPr="00545310">
        <w:rPr>
          <w:rFonts w:ascii="Arial" w:hAnsi="Arial" w:cs="Arial"/>
          <w:szCs w:val="24"/>
          <w:lang w:val="es-CO" w:eastAsia="ar-SA"/>
        </w:rPr>
        <w:t>CONFIANZA</w:t>
      </w:r>
      <w:r w:rsidRPr="00545310">
        <w:rPr>
          <w:rFonts w:ascii="Arial" w:hAnsi="Arial" w:cs="Arial"/>
          <w:szCs w:val="24"/>
          <w:lang w:val="es-CO" w:eastAsia="ar-SA"/>
        </w:rPr>
        <w:t xml:space="preserve"> </w:t>
      </w:r>
      <w:r w:rsidR="00A81232" w:rsidRPr="00545310">
        <w:rPr>
          <w:rFonts w:ascii="Arial" w:hAnsi="Arial" w:cs="Arial"/>
          <w:szCs w:val="24"/>
          <w:lang w:val="es-CO" w:eastAsia="ar-SA"/>
        </w:rPr>
        <w:t>desplegó el derecho a objetar la cobran</w:t>
      </w:r>
      <w:r w:rsidR="00155754" w:rsidRPr="00545310">
        <w:rPr>
          <w:rFonts w:ascii="Arial" w:hAnsi="Arial" w:cs="Arial"/>
          <w:szCs w:val="24"/>
          <w:lang w:val="es-CO" w:eastAsia="ar-SA"/>
        </w:rPr>
        <w:t xml:space="preserve">za, con </w:t>
      </w:r>
      <w:r w:rsidR="002921CD" w:rsidRPr="00545310">
        <w:rPr>
          <w:rFonts w:ascii="Arial" w:hAnsi="Arial" w:cs="Arial"/>
          <w:szCs w:val="24"/>
          <w:lang w:val="es-CO" w:eastAsia="ar-SA"/>
        </w:rPr>
        <w:t xml:space="preserve">un </w:t>
      </w:r>
      <w:r w:rsidR="00155754" w:rsidRPr="00545310">
        <w:rPr>
          <w:rFonts w:ascii="Arial" w:hAnsi="Arial" w:cs="Arial"/>
          <w:szCs w:val="24"/>
          <w:lang w:val="es-CO" w:eastAsia="ar-SA"/>
        </w:rPr>
        <w:t xml:space="preserve">fundamento </w:t>
      </w:r>
      <w:r w:rsidR="002921CD" w:rsidRPr="00545310">
        <w:rPr>
          <w:rFonts w:ascii="Arial" w:hAnsi="Arial" w:cs="Arial"/>
          <w:szCs w:val="24"/>
          <w:lang w:val="es-CO" w:eastAsia="ar-SA"/>
        </w:rPr>
        <w:t>similar al</w:t>
      </w:r>
      <w:r w:rsidR="00155754" w:rsidRPr="00545310">
        <w:rPr>
          <w:rFonts w:ascii="Arial" w:hAnsi="Arial" w:cs="Arial"/>
          <w:szCs w:val="24"/>
          <w:lang w:val="es-CO" w:eastAsia="ar-SA"/>
        </w:rPr>
        <w:t xml:space="preserve"> </w:t>
      </w:r>
      <w:r w:rsidR="002921CD" w:rsidRPr="00545310">
        <w:rPr>
          <w:rFonts w:ascii="Arial" w:hAnsi="Arial" w:cs="Arial"/>
          <w:szCs w:val="24"/>
          <w:lang w:val="es-CO" w:eastAsia="ar-SA"/>
        </w:rPr>
        <w:t xml:space="preserve">de </w:t>
      </w:r>
      <w:r w:rsidR="00155754" w:rsidRPr="00545310">
        <w:rPr>
          <w:rFonts w:ascii="Arial" w:hAnsi="Arial" w:cs="Arial"/>
          <w:szCs w:val="24"/>
          <w:lang w:val="es-CO" w:eastAsia="ar-SA"/>
        </w:rPr>
        <w:t xml:space="preserve">fondo </w:t>
      </w:r>
      <w:r w:rsidR="002F5E67" w:rsidRPr="00545310">
        <w:rPr>
          <w:rFonts w:ascii="Arial" w:hAnsi="Arial" w:cs="Arial"/>
          <w:szCs w:val="24"/>
          <w:lang w:val="es-CO" w:eastAsia="ar-SA"/>
        </w:rPr>
        <w:t>que aquí se debate</w:t>
      </w:r>
      <w:r w:rsidR="007914A3" w:rsidRPr="00545310">
        <w:rPr>
          <w:rFonts w:ascii="Arial" w:hAnsi="Arial" w:cs="Arial"/>
          <w:szCs w:val="24"/>
          <w:lang w:val="es-CO" w:eastAsia="ar-SA"/>
        </w:rPr>
        <w:t>, esto es</w:t>
      </w:r>
      <w:r w:rsidR="00E568BF" w:rsidRPr="00545310">
        <w:rPr>
          <w:rFonts w:ascii="Arial" w:hAnsi="Arial" w:cs="Arial"/>
          <w:szCs w:val="24"/>
          <w:lang w:val="es-CO" w:eastAsia="ar-SA"/>
        </w:rPr>
        <w:t>,</w:t>
      </w:r>
      <w:r w:rsidR="007914A3" w:rsidRPr="00545310">
        <w:rPr>
          <w:rFonts w:ascii="Arial" w:hAnsi="Arial" w:cs="Arial"/>
          <w:szCs w:val="24"/>
          <w:lang w:val="es-CO" w:eastAsia="ar-SA"/>
        </w:rPr>
        <w:t xml:space="preserve"> el referido al </w:t>
      </w:r>
      <w:r w:rsidR="00D103C9" w:rsidRPr="00545310">
        <w:rPr>
          <w:rFonts w:ascii="Arial" w:hAnsi="Arial" w:cs="Arial"/>
          <w:szCs w:val="24"/>
          <w:lang w:val="es-CO" w:eastAsia="ar-SA"/>
        </w:rPr>
        <w:t xml:space="preserve">contenido del </w:t>
      </w:r>
      <w:r w:rsidR="002921CD" w:rsidRPr="00545310">
        <w:rPr>
          <w:rFonts w:ascii="Arial" w:hAnsi="Arial" w:cs="Arial"/>
          <w:szCs w:val="24"/>
          <w:lang w:val="es-CO" w:eastAsia="ar-SA"/>
        </w:rPr>
        <w:t xml:space="preserve">informe </w:t>
      </w:r>
      <w:r w:rsidR="00D103C9" w:rsidRPr="00545310">
        <w:rPr>
          <w:rFonts w:ascii="Arial" w:hAnsi="Arial" w:cs="Arial"/>
          <w:szCs w:val="24"/>
          <w:lang w:val="es-CO" w:eastAsia="ar-SA"/>
        </w:rPr>
        <w:t xml:space="preserve">citado </w:t>
      </w:r>
      <w:r w:rsidR="002921CD" w:rsidRPr="00545310">
        <w:rPr>
          <w:rFonts w:ascii="Arial" w:hAnsi="Arial" w:cs="Arial"/>
          <w:szCs w:val="24"/>
          <w:lang w:val="es-CO" w:eastAsia="ar-SA"/>
        </w:rPr>
        <w:t xml:space="preserve">por </w:t>
      </w:r>
      <w:r w:rsidR="00D103C9" w:rsidRPr="00545310">
        <w:rPr>
          <w:rFonts w:ascii="Arial" w:hAnsi="Arial" w:cs="Arial"/>
          <w:szCs w:val="24"/>
          <w:lang w:val="es-CO" w:eastAsia="ar-SA"/>
        </w:rPr>
        <w:t xml:space="preserve">esa aseguradora en su </w:t>
      </w:r>
      <w:r w:rsidR="002921CD" w:rsidRPr="00545310">
        <w:rPr>
          <w:rFonts w:ascii="Arial" w:hAnsi="Arial" w:cs="Arial"/>
          <w:szCs w:val="24"/>
          <w:lang w:val="es-CO" w:eastAsia="ar-SA"/>
        </w:rPr>
        <w:t>apela</w:t>
      </w:r>
      <w:r w:rsidR="00D103C9" w:rsidRPr="00545310">
        <w:rPr>
          <w:rFonts w:ascii="Arial" w:hAnsi="Arial" w:cs="Arial"/>
          <w:szCs w:val="24"/>
          <w:lang w:val="es-CO" w:eastAsia="ar-SA"/>
        </w:rPr>
        <w:t>ció</w:t>
      </w:r>
      <w:r w:rsidR="002921CD" w:rsidRPr="00545310">
        <w:rPr>
          <w:rFonts w:ascii="Arial" w:hAnsi="Arial" w:cs="Arial"/>
          <w:szCs w:val="24"/>
          <w:lang w:val="es-CO" w:eastAsia="ar-SA"/>
        </w:rPr>
        <w:t>n</w:t>
      </w:r>
      <w:r w:rsidR="002F5E67" w:rsidRPr="00545310">
        <w:rPr>
          <w:rFonts w:ascii="Arial" w:hAnsi="Arial" w:cs="Arial"/>
          <w:szCs w:val="24"/>
          <w:lang w:val="es-CO" w:eastAsia="ar-SA"/>
        </w:rPr>
        <w:t>.</w:t>
      </w:r>
    </w:p>
    <w:p w14:paraId="6C5702F2" w14:textId="77777777" w:rsidR="00A81232" w:rsidRPr="00545310" w:rsidRDefault="00A81232" w:rsidP="006538E3">
      <w:pPr>
        <w:pStyle w:val="Sangradetextonormal"/>
        <w:spacing w:after="0"/>
        <w:ind w:left="0"/>
        <w:rPr>
          <w:rFonts w:ascii="Arial" w:hAnsi="Arial" w:cs="Arial"/>
          <w:szCs w:val="24"/>
          <w:lang w:val="es-CO" w:eastAsia="ar-SA"/>
        </w:rPr>
      </w:pPr>
    </w:p>
    <w:p w14:paraId="6118F533" w14:textId="77777777" w:rsidR="00BE46E0" w:rsidRPr="00545310" w:rsidRDefault="00292993" w:rsidP="006538E3">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Así las cosas, </w:t>
      </w:r>
      <w:r w:rsidR="00096C37" w:rsidRPr="00545310">
        <w:rPr>
          <w:rFonts w:ascii="Arial" w:hAnsi="Arial" w:cs="Arial"/>
          <w:szCs w:val="24"/>
          <w:lang w:val="es-CO" w:eastAsia="ar-SA"/>
        </w:rPr>
        <w:t xml:space="preserve">se delimita </w:t>
      </w:r>
      <w:r w:rsidR="00384F25" w:rsidRPr="00545310">
        <w:rPr>
          <w:rFonts w:ascii="Arial" w:hAnsi="Arial" w:cs="Arial"/>
          <w:szCs w:val="24"/>
          <w:lang w:val="es-CO" w:eastAsia="ar-SA"/>
        </w:rPr>
        <w:t>e</w:t>
      </w:r>
      <w:r w:rsidR="00817CC8" w:rsidRPr="00545310">
        <w:rPr>
          <w:rFonts w:ascii="Arial" w:hAnsi="Arial" w:cs="Arial"/>
          <w:szCs w:val="24"/>
          <w:lang w:val="es-CO" w:eastAsia="ar-SA"/>
        </w:rPr>
        <w:t xml:space="preserve">l asunto </w:t>
      </w:r>
      <w:r w:rsidR="002921CD" w:rsidRPr="00545310">
        <w:rPr>
          <w:rFonts w:ascii="Arial" w:hAnsi="Arial" w:cs="Arial"/>
          <w:szCs w:val="24"/>
          <w:lang w:val="es-CO" w:eastAsia="ar-SA"/>
        </w:rPr>
        <w:t xml:space="preserve">litigioso </w:t>
      </w:r>
      <w:r w:rsidR="00817CC8" w:rsidRPr="00545310">
        <w:rPr>
          <w:rFonts w:ascii="Arial" w:hAnsi="Arial" w:cs="Arial"/>
          <w:szCs w:val="24"/>
          <w:lang w:val="es-CO" w:eastAsia="ar-SA"/>
        </w:rPr>
        <w:t>en esta apelación</w:t>
      </w:r>
      <w:r w:rsidR="00096C37" w:rsidRPr="00545310">
        <w:rPr>
          <w:rFonts w:ascii="Arial" w:hAnsi="Arial" w:cs="Arial"/>
          <w:szCs w:val="24"/>
          <w:lang w:val="es-CO" w:eastAsia="ar-SA"/>
        </w:rPr>
        <w:t xml:space="preserve">, el cual, de manera concreta, </w:t>
      </w:r>
      <w:r w:rsidR="00817CC8" w:rsidRPr="00545310">
        <w:rPr>
          <w:rFonts w:ascii="Arial" w:hAnsi="Arial" w:cs="Arial"/>
          <w:szCs w:val="24"/>
          <w:lang w:val="es-CO" w:eastAsia="ar-SA"/>
        </w:rPr>
        <w:t xml:space="preserve">se refiere al valor </w:t>
      </w:r>
      <w:r w:rsidR="00D103C9" w:rsidRPr="00545310">
        <w:rPr>
          <w:rFonts w:ascii="Arial" w:hAnsi="Arial" w:cs="Arial"/>
          <w:szCs w:val="24"/>
          <w:lang w:val="es-CO" w:eastAsia="ar-SA"/>
        </w:rPr>
        <w:t xml:space="preserve">adicional </w:t>
      </w:r>
      <w:r w:rsidR="00817CC8" w:rsidRPr="00545310">
        <w:rPr>
          <w:rFonts w:ascii="Arial" w:hAnsi="Arial" w:cs="Arial"/>
          <w:szCs w:val="24"/>
          <w:lang w:val="es-CO" w:eastAsia="ar-SA"/>
        </w:rPr>
        <w:t>por el cual se hizo efectiv</w:t>
      </w:r>
      <w:r w:rsidR="00D05434" w:rsidRPr="00545310">
        <w:rPr>
          <w:rFonts w:ascii="Arial" w:hAnsi="Arial" w:cs="Arial"/>
          <w:szCs w:val="24"/>
          <w:lang w:val="es-CO" w:eastAsia="ar-SA"/>
        </w:rPr>
        <w:t>a</w:t>
      </w:r>
      <w:r w:rsidR="00817CC8" w:rsidRPr="00545310">
        <w:rPr>
          <w:rFonts w:ascii="Arial" w:hAnsi="Arial" w:cs="Arial"/>
          <w:szCs w:val="24"/>
          <w:lang w:val="es-CO" w:eastAsia="ar-SA"/>
        </w:rPr>
        <w:t xml:space="preserve"> </w:t>
      </w:r>
      <w:r w:rsidR="005605A0" w:rsidRPr="00545310">
        <w:rPr>
          <w:rFonts w:ascii="Arial" w:hAnsi="Arial" w:cs="Arial"/>
          <w:szCs w:val="24"/>
          <w:lang w:val="es-CO" w:eastAsia="ar-SA"/>
        </w:rPr>
        <w:t xml:space="preserve">la garantía de </w:t>
      </w:r>
      <w:r w:rsidR="00817CC8" w:rsidRPr="00545310">
        <w:rPr>
          <w:rFonts w:ascii="Arial" w:hAnsi="Arial" w:cs="Arial"/>
          <w:szCs w:val="24"/>
          <w:lang w:val="es-CO" w:eastAsia="ar-SA"/>
        </w:rPr>
        <w:t>cumplimiento</w:t>
      </w:r>
      <w:r w:rsidR="005605A0" w:rsidRPr="00545310">
        <w:rPr>
          <w:rFonts w:ascii="Arial" w:hAnsi="Arial" w:cs="Arial"/>
          <w:szCs w:val="24"/>
          <w:lang w:val="es-CO" w:eastAsia="ar-SA"/>
        </w:rPr>
        <w:t xml:space="preserve">, </w:t>
      </w:r>
      <w:r w:rsidR="00D103C9" w:rsidRPr="00545310">
        <w:rPr>
          <w:rFonts w:ascii="Arial" w:hAnsi="Arial" w:cs="Arial"/>
          <w:szCs w:val="24"/>
          <w:lang w:val="es-CO" w:eastAsia="ar-SA"/>
        </w:rPr>
        <w:t xml:space="preserve">por encima del </w:t>
      </w:r>
      <w:r w:rsidR="00096C37" w:rsidRPr="00545310">
        <w:rPr>
          <w:rFonts w:ascii="Arial" w:hAnsi="Arial" w:cs="Arial"/>
          <w:szCs w:val="24"/>
          <w:lang w:val="es-CO" w:eastAsia="ar-SA"/>
        </w:rPr>
        <w:t>monto de</w:t>
      </w:r>
      <w:r w:rsidR="005605A0" w:rsidRPr="00545310">
        <w:rPr>
          <w:rFonts w:ascii="Arial" w:hAnsi="Arial" w:cs="Arial"/>
          <w:szCs w:val="24"/>
          <w:lang w:val="es-CO" w:eastAsia="ar-SA"/>
        </w:rPr>
        <w:t xml:space="preserve"> la cláusula penal pactada</w:t>
      </w:r>
      <w:r w:rsidR="00817CC8" w:rsidRPr="00545310">
        <w:rPr>
          <w:rFonts w:ascii="Arial" w:hAnsi="Arial" w:cs="Arial"/>
          <w:szCs w:val="24"/>
          <w:lang w:val="es-CO" w:eastAsia="ar-SA"/>
        </w:rPr>
        <w:t xml:space="preserve">. </w:t>
      </w:r>
    </w:p>
    <w:p w14:paraId="158385F7" w14:textId="77777777" w:rsidR="00BE46E0" w:rsidRPr="00545310" w:rsidRDefault="00BE46E0" w:rsidP="006538E3">
      <w:pPr>
        <w:pStyle w:val="Sangradetextonormal"/>
        <w:spacing w:after="0"/>
        <w:ind w:left="0"/>
        <w:rPr>
          <w:rFonts w:ascii="Arial" w:hAnsi="Arial" w:cs="Arial"/>
          <w:szCs w:val="24"/>
          <w:lang w:val="es-CO" w:eastAsia="ar-SA"/>
        </w:rPr>
      </w:pPr>
    </w:p>
    <w:p w14:paraId="71B6FF70" w14:textId="77777777" w:rsidR="00292608" w:rsidRPr="00545310" w:rsidRDefault="00817CC8" w:rsidP="006538E3">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La controversia </w:t>
      </w:r>
      <w:r w:rsidR="00A572FE" w:rsidRPr="00545310">
        <w:rPr>
          <w:rFonts w:ascii="Arial" w:hAnsi="Arial" w:cs="Arial"/>
          <w:szCs w:val="24"/>
          <w:lang w:val="es-CO" w:eastAsia="ar-SA"/>
        </w:rPr>
        <w:t xml:space="preserve">que se debe desatar en este proceso </w:t>
      </w:r>
      <w:r w:rsidRPr="00545310">
        <w:rPr>
          <w:rFonts w:ascii="Arial" w:hAnsi="Arial" w:cs="Arial"/>
          <w:szCs w:val="24"/>
          <w:lang w:val="es-CO" w:eastAsia="ar-SA"/>
        </w:rPr>
        <w:t>estriba en que</w:t>
      </w:r>
      <w:r w:rsidR="00D318AB" w:rsidRPr="00545310">
        <w:rPr>
          <w:rFonts w:ascii="Arial" w:hAnsi="Arial" w:cs="Arial"/>
          <w:szCs w:val="24"/>
          <w:lang w:val="es-CO" w:eastAsia="ar-SA"/>
        </w:rPr>
        <w:t>,</w:t>
      </w:r>
      <w:r w:rsidR="005E4786" w:rsidRPr="00545310">
        <w:rPr>
          <w:rFonts w:ascii="Arial" w:hAnsi="Arial" w:cs="Arial"/>
          <w:szCs w:val="24"/>
          <w:lang w:val="es-CO" w:eastAsia="ar-SA"/>
        </w:rPr>
        <w:t xml:space="preserve"> para la aseguradora, deben ser anulados el </w:t>
      </w:r>
      <w:r w:rsidR="00F92BD6" w:rsidRPr="00545310">
        <w:rPr>
          <w:rFonts w:ascii="Arial" w:hAnsi="Arial" w:cs="Arial"/>
          <w:szCs w:val="24"/>
          <w:lang w:val="es-CO" w:eastAsia="ar-SA"/>
        </w:rPr>
        <w:t xml:space="preserve">ordinal </w:t>
      </w:r>
      <w:r w:rsidR="00D318AB" w:rsidRPr="00545310">
        <w:rPr>
          <w:rFonts w:ascii="Arial" w:hAnsi="Arial" w:cs="Arial"/>
          <w:szCs w:val="24"/>
          <w:lang w:val="es-CO" w:eastAsia="ar-SA"/>
        </w:rPr>
        <w:t>cuarto de la Resolución 962 de 2011 y e</w:t>
      </w:r>
      <w:r w:rsidR="00384F25" w:rsidRPr="00545310">
        <w:rPr>
          <w:rFonts w:ascii="Arial" w:hAnsi="Arial" w:cs="Arial"/>
          <w:szCs w:val="24"/>
          <w:lang w:val="es-CO" w:eastAsia="ar-SA"/>
        </w:rPr>
        <w:t>l</w:t>
      </w:r>
      <w:r w:rsidR="00D318AB" w:rsidRPr="00545310">
        <w:rPr>
          <w:rFonts w:ascii="Arial" w:hAnsi="Arial" w:cs="Arial"/>
          <w:szCs w:val="24"/>
          <w:lang w:val="es-CO" w:eastAsia="ar-SA"/>
        </w:rPr>
        <w:t xml:space="preserve"> </w:t>
      </w:r>
      <w:r w:rsidR="005E4786" w:rsidRPr="00545310">
        <w:rPr>
          <w:rFonts w:ascii="Arial" w:hAnsi="Arial" w:cs="Arial"/>
          <w:szCs w:val="24"/>
          <w:lang w:val="es-CO" w:eastAsia="ar-SA"/>
        </w:rPr>
        <w:t>segundo de la Resolución 11</w:t>
      </w:r>
      <w:r w:rsidR="00D318AB" w:rsidRPr="00545310">
        <w:rPr>
          <w:rFonts w:ascii="Arial" w:hAnsi="Arial" w:cs="Arial"/>
          <w:szCs w:val="24"/>
          <w:lang w:val="es-CO" w:eastAsia="ar-SA"/>
        </w:rPr>
        <w:t xml:space="preserve">51 de </w:t>
      </w:r>
      <w:r w:rsidR="001A3036" w:rsidRPr="00545310">
        <w:rPr>
          <w:rFonts w:ascii="Arial" w:hAnsi="Arial" w:cs="Arial"/>
          <w:szCs w:val="24"/>
          <w:lang w:val="es-CO" w:eastAsia="ar-SA"/>
        </w:rPr>
        <w:t>8</w:t>
      </w:r>
      <w:r w:rsidR="00D318AB" w:rsidRPr="00545310">
        <w:rPr>
          <w:rFonts w:ascii="Arial" w:hAnsi="Arial" w:cs="Arial"/>
          <w:szCs w:val="24"/>
          <w:lang w:val="es-CO" w:eastAsia="ar-SA"/>
        </w:rPr>
        <w:t xml:space="preserve"> de septiembre de 2011, así como la Resolución 1169 de 16 de noviembre de 2011, </w:t>
      </w:r>
      <w:r w:rsidR="00361F3C" w:rsidRPr="00545310">
        <w:rPr>
          <w:rFonts w:ascii="Arial" w:hAnsi="Arial" w:cs="Arial"/>
          <w:szCs w:val="24"/>
          <w:lang w:val="es-CO" w:eastAsia="ar-SA"/>
        </w:rPr>
        <w:t xml:space="preserve">contentivos de </w:t>
      </w:r>
      <w:r w:rsidR="00292608" w:rsidRPr="00545310">
        <w:rPr>
          <w:rFonts w:ascii="Arial" w:hAnsi="Arial" w:cs="Arial"/>
          <w:szCs w:val="24"/>
          <w:lang w:val="es-CO" w:eastAsia="ar-SA"/>
        </w:rPr>
        <w:t xml:space="preserve">los valores por los que se hizo efectivo el amparo de cumplimiento, </w:t>
      </w:r>
      <w:r w:rsidR="00292608" w:rsidRPr="00545310">
        <w:rPr>
          <w:rFonts w:ascii="Arial" w:hAnsi="Arial" w:cs="Arial"/>
          <w:i/>
          <w:szCs w:val="24"/>
          <w:lang w:val="es-CO" w:eastAsia="ar-SA"/>
        </w:rPr>
        <w:t>“adicionales a la suma afectada”</w:t>
      </w:r>
      <w:r w:rsidR="00384F25" w:rsidRPr="00545310">
        <w:rPr>
          <w:rFonts w:ascii="Arial" w:hAnsi="Arial" w:cs="Arial"/>
          <w:i/>
          <w:szCs w:val="24"/>
          <w:lang w:val="es-CO" w:eastAsia="ar-SA"/>
        </w:rPr>
        <w:t xml:space="preserve">, </w:t>
      </w:r>
      <w:r w:rsidR="00384F25" w:rsidRPr="00545310">
        <w:rPr>
          <w:rFonts w:ascii="Arial" w:hAnsi="Arial" w:cs="Arial"/>
          <w:szCs w:val="24"/>
          <w:lang w:val="es-CO" w:eastAsia="ar-SA"/>
        </w:rPr>
        <w:t xml:space="preserve">por encima del  monto de </w:t>
      </w:r>
      <w:r w:rsidR="00292608" w:rsidRPr="00545310">
        <w:rPr>
          <w:rFonts w:ascii="Arial" w:hAnsi="Arial" w:cs="Arial"/>
          <w:szCs w:val="24"/>
          <w:lang w:val="es-CO" w:eastAsia="ar-SA"/>
        </w:rPr>
        <w:t>la cláusula penal.</w:t>
      </w:r>
    </w:p>
    <w:p w14:paraId="14725A0F" w14:textId="77777777" w:rsidR="00292608" w:rsidRPr="00545310" w:rsidRDefault="00292608" w:rsidP="006538E3">
      <w:pPr>
        <w:pStyle w:val="Sangradetextonormal"/>
        <w:spacing w:after="0"/>
        <w:ind w:left="0"/>
        <w:rPr>
          <w:rFonts w:ascii="Arial" w:hAnsi="Arial" w:cs="Arial"/>
          <w:szCs w:val="24"/>
          <w:lang w:val="es-CO" w:eastAsia="ar-SA"/>
        </w:rPr>
      </w:pPr>
    </w:p>
    <w:p w14:paraId="01F5BA5C" w14:textId="77777777" w:rsidR="00384F25" w:rsidRPr="00545310" w:rsidRDefault="00A572FE" w:rsidP="006538E3">
      <w:pPr>
        <w:pStyle w:val="Sangradetextonormal"/>
        <w:spacing w:after="0"/>
        <w:ind w:left="0"/>
        <w:rPr>
          <w:rFonts w:ascii="Arial" w:hAnsi="Arial" w:cs="Arial"/>
          <w:szCs w:val="24"/>
          <w:lang w:val="es-CO" w:eastAsia="ar-SA"/>
        </w:rPr>
      </w:pPr>
      <w:r w:rsidRPr="00545310">
        <w:rPr>
          <w:rFonts w:ascii="Arial" w:hAnsi="Arial" w:cs="Arial"/>
          <w:szCs w:val="24"/>
          <w:lang w:val="es-CO" w:eastAsia="ar-SA"/>
        </w:rPr>
        <w:lastRenderedPageBreak/>
        <w:t xml:space="preserve">Se hace notar que en </w:t>
      </w:r>
      <w:r w:rsidR="007914A3" w:rsidRPr="00545310">
        <w:rPr>
          <w:rFonts w:ascii="Arial" w:hAnsi="Arial" w:cs="Arial"/>
          <w:szCs w:val="24"/>
          <w:lang w:val="es-CO" w:eastAsia="ar-SA"/>
        </w:rPr>
        <w:t xml:space="preserve">la demanda </w:t>
      </w:r>
      <w:r w:rsidRPr="00545310">
        <w:rPr>
          <w:rFonts w:ascii="Arial" w:hAnsi="Arial" w:cs="Arial"/>
          <w:szCs w:val="24"/>
          <w:lang w:val="es-CO" w:eastAsia="ar-SA"/>
        </w:rPr>
        <w:t xml:space="preserve">no se impugnó </w:t>
      </w:r>
      <w:r w:rsidR="000539A3" w:rsidRPr="00545310">
        <w:rPr>
          <w:rFonts w:ascii="Arial" w:hAnsi="Arial" w:cs="Arial"/>
          <w:szCs w:val="24"/>
          <w:lang w:val="es-CO" w:eastAsia="ar-SA"/>
        </w:rPr>
        <w:t xml:space="preserve">la decisión de declarar la caducidad del Contrato 2091477, ni </w:t>
      </w:r>
      <w:r w:rsidR="004379FC" w:rsidRPr="00545310">
        <w:rPr>
          <w:rFonts w:ascii="Arial" w:hAnsi="Arial" w:cs="Arial"/>
          <w:szCs w:val="24"/>
          <w:lang w:val="es-CO" w:eastAsia="ar-SA"/>
        </w:rPr>
        <w:t xml:space="preserve">se pretendió la nulidad de la decisión consistente en </w:t>
      </w:r>
      <w:r w:rsidR="000539A3" w:rsidRPr="00545310">
        <w:rPr>
          <w:rFonts w:ascii="Arial" w:hAnsi="Arial" w:cs="Arial"/>
          <w:szCs w:val="24"/>
          <w:lang w:val="es-CO" w:eastAsia="ar-SA"/>
        </w:rPr>
        <w:t>hacer efectiva la cláusula penal pecuniaria</w:t>
      </w:r>
      <w:r w:rsidR="005605A0" w:rsidRPr="00545310">
        <w:rPr>
          <w:rFonts w:ascii="Arial" w:hAnsi="Arial" w:cs="Arial"/>
          <w:szCs w:val="24"/>
          <w:lang w:val="es-CO" w:eastAsia="ar-SA"/>
        </w:rPr>
        <w:t xml:space="preserve"> pactada</w:t>
      </w:r>
      <w:r w:rsidR="000539A3" w:rsidRPr="00545310">
        <w:rPr>
          <w:rFonts w:ascii="Arial" w:hAnsi="Arial" w:cs="Arial"/>
          <w:szCs w:val="24"/>
          <w:lang w:val="es-CO" w:eastAsia="ar-SA"/>
        </w:rPr>
        <w:t>.</w:t>
      </w:r>
      <w:r w:rsidR="005605A0" w:rsidRPr="00545310">
        <w:rPr>
          <w:rFonts w:ascii="Arial" w:hAnsi="Arial" w:cs="Arial"/>
          <w:szCs w:val="24"/>
          <w:lang w:val="es-CO" w:eastAsia="ar-SA"/>
        </w:rPr>
        <w:t xml:space="preserve"> </w:t>
      </w:r>
    </w:p>
    <w:p w14:paraId="4AFB04C8" w14:textId="77777777" w:rsidR="00384F25" w:rsidRPr="00545310" w:rsidRDefault="00384F25" w:rsidP="006538E3">
      <w:pPr>
        <w:pStyle w:val="Sangradetextonormal"/>
        <w:spacing w:after="0"/>
        <w:ind w:left="0"/>
        <w:rPr>
          <w:rFonts w:ascii="Arial" w:hAnsi="Arial" w:cs="Arial"/>
          <w:szCs w:val="24"/>
          <w:lang w:val="es-CO" w:eastAsia="ar-SA"/>
        </w:rPr>
      </w:pPr>
    </w:p>
    <w:p w14:paraId="1AF350B1" w14:textId="77777777" w:rsidR="00F766F1" w:rsidRPr="00545310" w:rsidRDefault="00361F3C" w:rsidP="006538E3">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Por tanto, se tiene </w:t>
      </w:r>
      <w:r w:rsidR="000D0B09" w:rsidRPr="00545310">
        <w:rPr>
          <w:rFonts w:ascii="Arial" w:hAnsi="Arial" w:cs="Arial"/>
          <w:szCs w:val="24"/>
          <w:lang w:val="es-CO" w:eastAsia="ar-SA"/>
        </w:rPr>
        <w:t xml:space="preserve">como establecido que el siniestro ocurrió y que el amparo de cumplimiento cubrió </w:t>
      </w:r>
      <w:r w:rsidR="00B31340" w:rsidRPr="00545310">
        <w:rPr>
          <w:rFonts w:ascii="Arial" w:hAnsi="Arial" w:cs="Arial"/>
          <w:szCs w:val="24"/>
          <w:lang w:val="es-CO" w:eastAsia="ar-SA"/>
        </w:rPr>
        <w:t xml:space="preserve">en forma ajustada a derecho </w:t>
      </w:r>
      <w:r w:rsidR="000D0B09" w:rsidRPr="00545310">
        <w:rPr>
          <w:rFonts w:ascii="Arial" w:hAnsi="Arial" w:cs="Arial"/>
          <w:szCs w:val="24"/>
          <w:lang w:val="es-CO" w:eastAsia="ar-SA"/>
        </w:rPr>
        <w:t>el monto de la cláusula penal</w:t>
      </w:r>
      <w:r w:rsidR="00B31340" w:rsidRPr="00545310">
        <w:rPr>
          <w:rFonts w:ascii="Arial" w:hAnsi="Arial" w:cs="Arial"/>
          <w:szCs w:val="24"/>
          <w:lang w:val="es-CO" w:eastAsia="ar-SA"/>
        </w:rPr>
        <w:t xml:space="preserve"> pactada</w:t>
      </w:r>
      <w:r w:rsidR="00F766F1" w:rsidRPr="00545310">
        <w:rPr>
          <w:rFonts w:ascii="Arial" w:hAnsi="Arial" w:cs="Arial"/>
          <w:szCs w:val="24"/>
          <w:lang w:val="es-CO" w:eastAsia="ar-SA"/>
        </w:rPr>
        <w:t>.</w:t>
      </w:r>
    </w:p>
    <w:p w14:paraId="036B4D3A" w14:textId="77777777" w:rsidR="00C64A58" w:rsidRPr="00545310" w:rsidRDefault="00C64A58" w:rsidP="006538E3">
      <w:pPr>
        <w:pStyle w:val="Sangradetextonormal"/>
        <w:spacing w:after="0"/>
        <w:ind w:left="0"/>
        <w:rPr>
          <w:rFonts w:ascii="Arial" w:hAnsi="Arial" w:cs="Arial"/>
          <w:szCs w:val="24"/>
          <w:lang w:val="es-CO" w:eastAsia="ar-SA"/>
        </w:rPr>
      </w:pPr>
    </w:p>
    <w:p w14:paraId="467E6304" w14:textId="77777777" w:rsidR="00C5558C" w:rsidRPr="00545310" w:rsidRDefault="00C5558C" w:rsidP="006538E3">
      <w:pPr>
        <w:pStyle w:val="Sangradetextonormal"/>
        <w:spacing w:after="0"/>
        <w:ind w:left="0"/>
        <w:rPr>
          <w:rFonts w:ascii="Arial" w:hAnsi="Arial" w:cs="Arial"/>
          <w:b/>
          <w:szCs w:val="24"/>
          <w:lang w:val="es-CO" w:eastAsia="ar-SA"/>
        </w:rPr>
      </w:pPr>
    </w:p>
    <w:p w14:paraId="79A96C16" w14:textId="77777777" w:rsidR="00810766" w:rsidRPr="00545310" w:rsidRDefault="00810766" w:rsidP="006538E3">
      <w:pPr>
        <w:pStyle w:val="Sangradetextonormal"/>
        <w:spacing w:after="0"/>
        <w:ind w:left="0"/>
        <w:rPr>
          <w:rFonts w:ascii="Arial" w:hAnsi="Arial" w:cs="Arial"/>
          <w:b/>
          <w:szCs w:val="24"/>
          <w:lang w:val="es-CO" w:eastAsia="ar-SA"/>
        </w:rPr>
      </w:pPr>
      <w:r w:rsidRPr="00545310">
        <w:rPr>
          <w:rFonts w:ascii="Arial" w:hAnsi="Arial" w:cs="Arial"/>
          <w:b/>
          <w:szCs w:val="24"/>
          <w:lang w:val="es-CO" w:eastAsia="ar-SA"/>
        </w:rPr>
        <w:t>7</w:t>
      </w:r>
      <w:r w:rsidR="00731923" w:rsidRPr="00545310">
        <w:rPr>
          <w:rFonts w:ascii="Arial" w:hAnsi="Arial" w:cs="Arial"/>
          <w:b/>
          <w:szCs w:val="24"/>
          <w:lang w:val="es-CO" w:eastAsia="ar-SA"/>
        </w:rPr>
        <w:t>.</w:t>
      </w:r>
      <w:r w:rsidRPr="00545310">
        <w:rPr>
          <w:rFonts w:ascii="Arial" w:hAnsi="Arial" w:cs="Arial"/>
          <w:b/>
          <w:szCs w:val="24"/>
          <w:lang w:val="es-CO" w:eastAsia="ar-SA"/>
        </w:rPr>
        <w:t xml:space="preserve"> </w:t>
      </w:r>
      <w:r w:rsidR="00731923" w:rsidRPr="00545310">
        <w:rPr>
          <w:rFonts w:ascii="Arial" w:hAnsi="Arial" w:cs="Arial"/>
          <w:b/>
          <w:szCs w:val="24"/>
          <w:lang w:val="es-CO" w:eastAsia="ar-SA"/>
        </w:rPr>
        <w:t>E</w:t>
      </w:r>
      <w:r w:rsidRPr="00545310">
        <w:rPr>
          <w:rFonts w:ascii="Arial" w:hAnsi="Arial" w:cs="Arial"/>
          <w:b/>
          <w:szCs w:val="24"/>
          <w:lang w:val="es-CO" w:eastAsia="ar-SA"/>
        </w:rPr>
        <w:t>l caso c</w:t>
      </w:r>
      <w:r w:rsidR="00731923" w:rsidRPr="00545310">
        <w:rPr>
          <w:rFonts w:ascii="Arial" w:hAnsi="Arial" w:cs="Arial"/>
          <w:b/>
          <w:szCs w:val="24"/>
          <w:lang w:val="es-CO" w:eastAsia="ar-SA"/>
        </w:rPr>
        <w:t>o</w:t>
      </w:r>
      <w:r w:rsidRPr="00545310">
        <w:rPr>
          <w:rFonts w:ascii="Arial" w:hAnsi="Arial" w:cs="Arial"/>
          <w:b/>
          <w:szCs w:val="24"/>
          <w:lang w:val="es-CO" w:eastAsia="ar-SA"/>
        </w:rPr>
        <w:t>ncreto</w:t>
      </w:r>
    </w:p>
    <w:p w14:paraId="73A48DD0" w14:textId="77777777" w:rsidR="00810766" w:rsidRPr="00545310" w:rsidRDefault="00810766" w:rsidP="006538E3">
      <w:pPr>
        <w:pStyle w:val="Sangradetextonormal"/>
        <w:spacing w:after="0"/>
        <w:ind w:left="0"/>
        <w:rPr>
          <w:rFonts w:ascii="Arial" w:hAnsi="Arial" w:cs="Arial"/>
          <w:szCs w:val="24"/>
          <w:lang w:val="es-CO" w:eastAsia="ar-SA"/>
        </w:rPr>
      </w:pPr>
    </w:p>
    <w:p w14:paraId="0AE14E4A" w14:textId="77777777" w:rsidR="00C64A58" w:rsidRPr="00545310" w:rsidRDefault="00810766" w:rsidP="006538E3">
      <w:pPr>
        <w:pStyle w:val="Sangradetextonormal"/>
        <w:spacing w:after="0"/>
        <w:ind w:left="0"/>
        <w:rPr>
          <w:rFonts w:ascii="Arial" w:hAnsi="Arial" w:cs="Arial"/>
          <w:b/>
          <w:szCs w:val="24"/>
          <w:lang w:val="es-CO" w:eastAsia="ar-SA"/>
        </w:rPr>
      </w:pPr>
      <w:r w:rsidRPr="00545310">
        <w:rPr>
          <w:rFonts w:ascii="Arial" w:hAnsi="Arial" w:cs="Arial"/>
          <w:b/>
          <w:szCs w:val="24"/>
          <w:lang w:val="es-CO" w:eastAsia="ar-SA"/>
        </w:rPr>
        <w:t xml:space="preserve">7.1 Planteamiento del </w:t>
      </w:r>
      <w:r w:rsidR="00D21D02" w:rsidRPr="00545310">
        <w:rPr>
          <w:rFonts w:ascii="Arial" w:hAnsi="Arial" w:cs="Arial"/>
          <w:b/>
          <w:szCs w:val="24"/>
          <w:lang w:val="es-CO" w:eastAsia="ar-SA"/>
        </w:rPr>
        <w:t xml:space="preserve">problema jurídico </w:t>
      </w:r>
    </w:p>
    <w:p w14:paraId="00852BC0" w14:textId="77777777" w:rsidR="00C64A58" w:rsidRPr="00545310" w:rsidRDefault="00C64A58" w:rsidP="006538E3">
      <w:pPr>
        <w:pStyle w:val="Sangradetextonormal"/>
        <w:spacing w:after="0"/>
        <w:ind w:left="0"/>
        <w:rPr>
          <w:rFonts w:ascii="Arial" w:hAnsi="Arial" w:cs="Arial"/>
          <w:szCs w:val="24"/>
          <w:lang w:val="es-CO" w:eastAsia="ar-SA"/>
        </w:rPr>
      </w:pPr>
    </w:p>
    <w:p w14:paraId="0FEC2770" w14:textId="77777777" w:rsidR="000539A3" w:rsidRPr="00545310" w:rsidRDefault="000539A3" w:rsidP="006538E3">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El problema jurídico que se planteó en la demanda </w:t>
      </w:r>
      <w:r w:rsidR="005605A0" w:rsidRPr="00545310">
        <w:rPr>
          <w:rFonts w:ascii="Arial" w:hAnsi="Arial" w:cs="Arial"/>
          <w:szCs w:val="24"/>
          <w:lang w:val="es-CO" w:eastAsia="ar-SA"/>
        </w:rPr>
        <w:t xml:space="preserve">y se reiteró en la apelación, </w:t>
      </w:r>
      <w:r w:rsidR="00D21D02" w:rsidRPr="00545310">
        <w:rPr>
          <w:rFonts w:ascii="Arial" w:hAnsi="Arial" w:cs="Arial"/>
          <w:szCs w:val="24"/>
          <w:lang w:val="es-CO" w:eastAsia="ar-SA"/>
        </w:rPr>
        <w:t xml:space="preserve">se circunscribe a </w:t>
      </w:r>
      <w:r w:rsidRPr="00545310">
        <w:rPr>
          <w:rFonts w:ascii="Arial" w:hAnsi="Arial" w:cs="Arial"/>
          <w:szCs w:val="24"/>
          <w:lang w:val="es-CO" w:eastAsia="ar-SA"/>
        </w:rPr>
        <w:t>determinar si los perjuicios adicionales al monto de la cláusula penal estaban cubiertos o no dentro del amparo de cumplimiento otorgado por la compañía aseguradora, ahora demandante.</w:t>
      </w:r>
    </w:p>
    <w:p w14:paraId="71B1C07D" w14:textId="77777777" w:rsidR="000539A3" w:rsidRPr="00545310" w:rsidRDefault="000539A3" w:rsidP="006538E3">
      <w:pPr>
        <w:pStyle w:val="Sangradetextonormal"/>
        <w:spacing w:after="0"/>
        <w:ind w:left="0"/>
        <w:rPr>
          <w:rFonts w:ascii="Arial" w:hAnsi="Arial" w:cs="Arial"/>
          <w:szCs w:val="24"/>
          <w:lang w:val="es-CO" w:eastAsia="ar-SA"/>
        </w:rPr>
      </w:pPr>
    </w:p>
    <w:p w14:paraId="4B3267B8" w14:textId="77777777" w:rsidR="00CB3DFA" w:rsidRPr="00545310" w:rsidRDefault="00C56A1F" w:rsidP="006538E3">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Para resolver la cuestión, la Sala se referirá</w:t>
      </w:r>
      <w:r w:rsidR="00D21D02" w:rsidRPr="00545310">
        <w:rPr>
          <w:rFonts w:ascii="Arial" w:hAnsi="Arial" w:cs="Arial"/>
          <w:szCs w:val="24"/>
          <w:lang w:val="es-CO" w:eastAsia="ar-SA"/>
        </w:rPr>
        <w:t>,</w:t>
      </w:r>
      <w:r w:rsidRPr="00545310">
        <w:rPr>
          <w:rFonts w:ascii="Arial" w:hAnsi="Arial" w:cs="Arial"/>
          <w:szCs w:val="24"/>
          <w:lang w:val="es-CO" w:eastAsia="ar-SA"/>
        </w:rPr>
        <w:t xml:space="preserve"> en primer lugar</w:t>
      </w:r>
      <w:r w:rsidR="00D21D02" w:rsidRPr="00545310">
        <w:rPr>
          <w:rFonts w:ascii="Arial" w:hAnsi="Arial" w:cs="Arial"/>
          <w:szCs w:val="24"/>
          <w:lang w:val="es-CO" w:eastAsia="ar-SA"/>
        </w:rPr>
        <w:t>,</w:t>
      </w:r>
      <w:r w:rsidR="002A127C" w:rsidRPr="00545310">
        <w:rPr>
          <w:rFonts w:ascii="Arial" w:hAnsi="Arial" w:cs="Arial"/>
          <w:szCs w:val="24"/>
          <w:lang w:val="es-CO" w:eastAsia="ar-SA"/>
        </w:rPr>
        <w:t xml:space="preserve"> </w:t>
      </w:r>
      <w:r w:rsidRPr="00545310">
        <w:rPr>
          <w:rFonts w:ascii="Arial" w:hAnsi="Arial" w:cs="Arial"/>
          <w:szCs w:val="24"/>
          <w:lang w:val="es-CO" w:eastAsia="ar-SA"/>
        </w:rPr>
        <w:t>a los  argumentos presentados en la demanda y reiterados en la apelación, acerca de la naturaleza de los perjuicios, toda vez que, como se ha establecido</w:t>
      </w:r>
      <w:r w:rsidR="004379FC" w:rsidRPr="00545310">
        <w:rPr>
          <w:rFonts w:ascii="Arial" w:hAnsi="Arial" w:cs="Arial"/>
          <w:szCs w:val="24"/>
          <w:lang w:val="es-CO" w:eastAsia="ar-SA"/>
        </w:rPr>
        <w:t>,</w:t>
      </w:r>
      <w:r w:rsidRPr="00545310">
        <w:rPr>
          <w:rFonts w:ascii="Arial" w:hAnsi="Arial" w:cs="Arial"/>
          <w:szCs w:val="24"/>
          <w:lang w:val="es-CO" w:eastAsia="ar-SA"/>
        </w:rPr>
        <w:t xml:space="preserve"> en el texto de la póliza de seguros, la compañía aseguradora se obligó a </w:t>
      </w:r>
      <w:r w:rsidR="00470D0E" w:rsidRPr="00545310">
        <w:rPr>
          <w:rFonts w:ascii="Arial" w:hAnsi="Arial" w:cs="Arial"/>
          <w:szCs w:val="24"/>
          <w:lang w:val="es-CO" w:eastAsia="ar-SA"/>
        </w:rPr>
        <w:t>pagar los “</w:t>
      </w:r>
      <w:r w:rsidRPr="00545310">
        <w:rPr>
          <w:rFonts w:ascii="Arial" w:hAnsi="Arial" w:cs="Arial"/>
          <w:i/>
          <w:szCs w:val="24"/>
          <w:lang w:val="es-CO" w:eastAsia="ar-SA"/>
        </w:rPr>
        <w:t>perjuicios directos derivados del incumplimiento total o parcial de las obligaciones nacidas del contrato</w:t>
      </w:r>
      <w:r w:rsidR="00470D0E" w:rsidRPr="00545310">
        <w:rPr>
          <w:rFonts w:ascii="Arial" w:hAnsi="Arial" w:cs="Arial"/>
          <w:i/>
          <w:szCs w:val="24"/>
          <w:lang w:val="es-CO" w:eastAsia="ar-SA"/>
        </w:rPr>
        <w:t>”</w:t>
      </w:r>
      <w:r w:rsidR="00651075" w:rsidRPr="00545310">
        <w:rPr>
          <w:rFonts w:ascii="Arial" w:hAnsi="Arial" w:cs="Arial"/>
          <w:szCs w:val="24"/>
          <w:lang w:val="es-CO" w:eastAsia="ar-SA"/>
        </w:rPr>
        <w:t xml:space="preserve"> y, en el mismo sentido,</w:t>
      </w:r>
      <w:r w:rsidR="00651075" w:rsidRPr="00545310">
        <w:rPr>
          <w:rFonts w:ascii="Arial" w:hAnsi="Arial" w:cs="Arial"/>
          <w:i/>
          <w:szCs w:val="24"/>
          <w:lang w:val="es-CO" w:eastAsia="ar-SA"/>
        </w:rPr>
        <w:t xml:space="preserve"> </w:t>
      </w:r>
      <w:r w:rsidR="00C64A58" w:rsidRPr="00545310">
        <w:rPr>
          <w:rFonts w:ascii="Arial" w:hAnsi="Arial" w:cs="Arial"/>
          <w:szCs w:val="24"/>
          <w:lang w:val="es-CO" w:eastAsia="ar-SA"/>
        </w:rPr>
        <w:t xml:space="preserve">en la demanda se solicitó la nulidad </w:t>
      </w:r>
      <w:r w:rsidR="004379FC" w:rsidRPr="00545310">
        <w:rPr>
          <w:rFonts w:ascii="Arial" w:hAnsi="Arial" w:cs="Arial"/>
          <w:szCs w:val="24"/>
          <w:lang w:val="es-CO" w:eastAsia="ar-SA"/>
        </w:rPr>
        <w:t xml:space="preserve">parcial </w:t>
      </w:r>
      <w:r w:rsidR="00C64A58" w:rsidRPr="00545310">
        <w:rPr>
          <w:rFonts w:ascii="Arial" w:hAnsi="Arial" w:cs="Arial"/>
          <w:szCs w:val="24"/>
          <w:lang w:val="es-CO" w:eastAsia="ar-SA"/>
        </w:rPr>
        <w:t>de los</w:t>
      </w:r>
      <w:r w:rsidR="00F766F1" w:rsidRPr="00545310">
        <w:rPr>
          <w:rFonts w:ascii="Arial" w:hAnsi="Arial" w:cs="Arial"/>
          <w:szCs w:val="24"/>
          <w:lang w:val="es-CO" w:eastAsia="ar-SA"/>
        </w:rPr>
        <w:t xml:space="preserve"> actos administrativos, en </w:t>
      </w:r>
      <w:r w:rsidR="004379FC" w:rsidRPr="00545310">
        <w:rPr>
          <w:rFonts w:ascii="Arial" w:hAnsi="Arial" w:cs="Arial"/>
          <w:szCs w:val="24"/>
          <w:lang w:val="es-CO" w:eastAsia="ar-SA"/>
        </w:rPr>
        <w:t xml:space="preserve">aquellos </w:t>
      </w:r>
      <w:r w:rsidR="00F766F1" w:rsidRPr="00545310">
        <w:rPr>
          <w:rFonts w:ascii="Arial" w:hAnsi="Arial" w:cs="Arial"/>
          <w:szCs w:val="24"/>
          <w:lang w:val="es-CO" w:eastAsia="ar-SA"/>
        </w:rPr>
        <w:t xml:space="preserve">artículos </w:t>
      </w:r>
      <w:r w:rsidR="00C64A58" w:rsidRPr="00545310">
        <w:rPr>
          <w:rFonts w:ascii="Arial" w:hAnsi="Arial" w:cs="Arial"/>
          <w:szCs w:val="24"/>
          <w:lang w:val="es-CO" w:eastAsia="ar-SA"/>
        </w:rPr>
        <w:t xml:space="preserve">referidos a la suma adicional a la cláusula penal, </w:t>
      </w:r>
      <w:r w:rsidR="00B31340" w:rsidRPr="00545310">
        <w:rPr>
          <w:rFonts w:ascii="Arial" w:hAnsi="Arial" w:cs="Arial"/>
          <w:szCs w:val="24"/>
          <w:lang w:val="es-CO" w:eastAsia="ar-SA"/>
        </w:rPr>
        <w:t xml:space="preserve">con fundamento en que, </w:t>
      </w:r>
      <w:r w:rsidR="00C64A58" w:rsidRPr="00545310">
        <w:rPr>
          <w:rFonts w:ascii="Arial" w:hAnsi="Arial" w:cs="Arial"/>
          <w:szCs w:val="24"/>
          <w:lang w:val="es-CO" w:eastAsia="ar-SA"/>
        </w:rPr>
        <w:t>a juicio de la parte actora, se trató de perjuicios indirectos</w:t>
      </w:r>
      <w:r w:rsidR="00CB3DFA" w:rsidRPr="00545310">
        <w:rPr>
          <w:rFonts w:ascii="Arial" w:hAnsi="Arial" w:cs="Arial"/>
          <w:szCs w:val="24"/>
          <w:lang w:val="es-CO" w:eastAsia="ar-SA"/>
        </w:rPr>
        <w:t xml:space="preserve">, </w:t>
      </w:r>
      <w:r w:rsidR="00CB5807" w:rsidRPr="00545310">
        <w:rPr>
          <w:rFonts w:ascii="Arial" w:hAnsi="Arial" w:cs="Arial"/>
          <w:szCs w:val="24"/>
          <w:lang w:val="es-CO" w:eastAsia="ar-SA"/>
        </w:rPr>
        <w:t xml:space="preserve">futuros e inciertos, </w:t>
      </w:r>
      <w:r w:rsidR="00CB3DFA" w:rsidRPr="00545310">
        <w:rPr>
          <w:rFonts w:ascii="Arial" w:hAnsi="Arial" w:cs="Arial"/>
          <w:szCs w:val="24"/>
          <w:lang w:val="es-CO" w:eastAsia="ar-SA"/>
        </w:rPr>
        <w:t>no cubiertos por la póliza de seguros GU 069732.</w:t>
      </w:r>
    </w:p>
    <w:p w14:paraId="67C1DA14" w14:textId="77777777" w:rsidR="00470D0E" w:rsidRPr="00545310" w:rsidRDefault="00470D0E" w:rsidP="006538E3">
      <w:pPr>
        <w:pStyle w:val="Sangradetextonormal"/>
        <w:spacing w:after="0"/>
        <w:ind w:left="0"/>
        <w:rPr>
          <w:rFonts w:ascii="Arial" w:hAnsi="Arial" w:cs="Arial"/>
          <w:i/>
          <w:szCs w:val="24"/>
          <w:lang w:val="es-CO" w:eastAsia="ar-SA"/>
        </w:rPr>
      </w:pPr>
    </w:p>
    <w:p w14:paraId="12D8221C" w14:textId="77777777" w:rsidR="005F2146" w:rsidRPr="00545310" w:rsidRDefault="00470D0E" w:rsidP="006538E3">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Según la demandante</w:t>
      </w:r>
      <w:r w:rsidR="00651075" w:rsidRPr="00545310">
        <w:rPr>
          <w:rFonts w:ascii="Arial" w:hAnsi="Arial" w:cs="Arial"/>
          <w:szCs w:val="24"/>
          <w:lang w:val="es-CO" w:eastAsia="ar-SA"/>
        </w:rPr>
        <w:t>,</w:t>
      </w:r>
      <w:r w:rsidRPr="00545310">
        <w:rPr>
          <w:rFonts w:ascii="Arial" w:hAnsi="Arial" w:cs="Arial"/>
          <w:szCs w:val="24"/>
          <w:lang w:val="es-CO" w:eastAsia="ar-SA"/>
        </w:rPr>
        <w:t xml:space="preserve"> </w:t>
      </w:r>
      <w:r w:rsidR="00D32F99" w:rsidRPr="00545310">
        <w:rPr>
          <w:rFonts w:ascii="Arial" w:hAnsi="Arial" w:cs="Arial"/>
          <w:szCs w:val="24"/>
          <w:lang w:val="es-CO" w:eastAsia="ar-SA"/>
        </w:rPr>
        <w:t xml:space="preserve">la póliza </w:t>
      </w:r>
      <w:r w:rsidR="00CB3DFA" w:rsidRPr="00545310">
        <w:rPr>
          <w:rFonts w:ascii="Arial" w:hAnsi="Arial" w:cs="Arial"/>
          <w:szCs w:val="24"/>
          <w:lang w:val="es-CO" w:eastAsia="ar-SA"/>
        </w:rPr>
        <w:t xml:space="preserve">GU 069732 </w:t>
      </w:r>
      <w:r w:rsidR="00D32F99" w:rsidRPr="00545310">
        <w:rPr>
          <w:rFonts w:ascii="Arial" w:hAnsi="Arial" w:cs="Arial"/>
          <w:szCs w:val="24"/>
          <w:lang w:val="es-CO" w:eastAsia="ar-SA"/>
        </w:rPr>
        <w:t>no otorg</w:t>
      </w:r>
      <w:r w:rsidR="00CB3DFA" w:rsidRPr="00545310">
        <w:rPr>
          <w:rFonts w:ascii="Arial" w:hAnsi="Arial" w:cs="Arial"/>
          <w:szCs w:val="24"/>
          <w:lang w:val="es-CO" w:eastAsia="ar-SA"/>
        </w:rPr>
        <w:t>ó</w:t>
      </w:r>
      <w:r w:rsidR="00D32F99" w:rsidRPr="00545310">
        <w:rPr>
          <w:rFonts w:ascii="Arial" w:hAnsi="Arial" w:cs="Arial"/>
          <w:szCs w:val="24"/>
          <w:lang w:val="es-CO" w:eastAsia="ar-SA"/>
        </w:rPr>
        <w:t xml:space="preserve"> cobertura para </w:t>
      </w:r>
      <w:r w:rsidRPr="00545310">
        <w:rPr>
          <w:rFonts w:ascii="Arial" w:hAnsi="Arial" w:cs="Arial"/>
          <w:szCs w:val="24"/>
          <w:lang w:val="es-CO" w:eastAsia="ar-SA"/>
        </w:rPr>
        <w:t xml:space="preserve">los perjuicios </w:t>
      </w:r>
      <w:r w:rsidR="00CB3DFA" w:rsidRPr="00545310">
        <w:rPr>
          <w:rFonts w:ascii="Arial" w:hAnsi="Arial" w:cs="Arial"/>
          <w:szCs w:val="24"/>
          <w:lang w:val="es-CO" w:eastAsia="ar-SA"/>
        </w:rPr>
        <w:t xml:space="preserve">que fueron </w:t>
      </w:r>
      <w:r w:rsidRPr="00545310">
        <w:rPr>
          <w:rFonts w:ascii="Arial" w:hAnsi="Arial" w:cs="Arial"/>
          <w:szCs w:val="24"/>
          <w:lang w:val="es-CO" w:eastAsia="ar-SA"/>
        </w:rPr>
        <w:t>c</w:t>
      </w:r>
      <w:r w:rsidR="009673B9" w:rsidRPr="00545310">
        <w:rPr>
          <w:rFonts w:ascii="Arial" w:hAnsi="Arial" w:cs="Arial"/>
          <w:szCs w:val="24"/>
          <w:lang w:val="es-CO" w:eastAsia="ar-SA"/>
        </w:rPr>
        <w:t xml:space="preserve">uantificados </w:t>
      </w:r>
      <w:r w:rsidRPr="00545310">
        <w:rPr>
          <w:rFonts w:ascii="Arial" w:hAnsi="Arial" w:cs="Arial"/>
          <w:szCs w:val="24"/>
          <w:lang w:val="es-CO" w:eastAsia="ar-SA"/>
        </w:rPr>
        <w:t xml:space="preserve">con base en el </w:t>
      </w:r>
      <w:r w:rsidR="00CB5807" w:rsidRPr="00545310">
        <w:rPr>
          <w:rFonts w:ascii="Arial" w:hAnsi="Arial" w:cs="Arial"/>
          <w:szCs w:val="24"/>
          <w:lang w:val="es-CO" w:eastAsia="ar-SA"/>
        </w:rPr>
        <w:t xml:space="preserve">mayor </w:t>
      </w:r>
      <w:r w:rsidR="00543FD9" w:rsidRPr="00545310">
        <w:rPr>
          <w:rFonts w:ascii="Arial" w:hAnsi="Arial" w:cs="Arial"/>
          <w:szCs w:val="24"/>
          <w:lang w:val="es-CO" w:eastAsia="ar-SA"/>
        </w:rPr>
        <w:t xml:space="preserve">costo </w:t>
      </w:r>
      <w:r w:rsidRPr="00545310">
        <w:rPr>
          <w:rFonts w:ascii="Arial" w:hAnsi="Arial" w:cs="Arial"/>
          <w:szCs w:val="24"/>
          <w:lang w:val="es-CO" w:eastAsia="ar-SA"/>
        </w:rPr>
        <w:t>de la obra dejada de ejecutar</w:t>
      </w:r>
      <w:r w:rsidR="00D32F99" w:rsidRPr="00545310">
        <w:rPr>
          <w:rFonts w:ascii="Arial" w:hAnsi="Arial" w:cs="Arial"/>
          <w:szCs w:val="24"/>
          <w:lang w:val="es-CO" w:eastAsia="ar-SA"/>
        </w:rPr>
        <w:t xml:space="preserve">, </w:t>
      </w:r>
      <w:r w:rsidR="005F2146" w:rsidRPr="00545310">
        <w:rPr>
          <w:rFonts w:ascii="Arial" w:hAnsi="Arial" w:cs="Arial"/>
          <w:szCs w:val="24"/>
          <w:lang w:val="es-CO" w:eastAsia="ar-SA"/>
        </w:rPr>
        <w:t>determinad</w:t>
      </w:r>
      <w:r w:rsidR="00CB3DFA" w:rsidRPr="00545310">
        <w:rPr>
          <w:rFonts w:ascii="Arial" w:hAnsi="Arial" w:cs="Arial"/>
          <w:szCs w:val="24"/>
          <w:lang w:val="es-CO" w:eastAsia="ar-SA"/>
        </w:rPr>
        <w:t>o</w:t>
      </w:r>
      <w:r w:rsidR="005F2146" w:rsidRPr="00545310">
        <w:rPr>
          <w:rFonts w:ascii="Arial" w:hAnsi="Arial" w:cs="Arial"/>
          <w:szCs w:val="24"/>
          <w:lang w:val="es-CO" w:eastAsia="ar-SA"/>
        </w:rPr>
        <w:t xml:space="preserve"> </w:t>
      </w:r>
      <w:r w:rsidR="00D32F99" w:rsidRPr="00545310">
        <w:rPr>
          <w:rFonts w:ascii="Arial" w:hAnsi="Arial" w:cs="Arial"/>
          <w:szCs w:val="24"/>
          <w:lang w:val="es-CO" w:eastAsia="ar-SA"/>
        </w:rPr>
        <w:t>por FONADE a los precios de mercado</w:t>
      </w:r>
      <w:r w:rsidR="00543FD9" w:rsidRPr="00545310">
        <w:rPr>
          <w:rFonts w:ascii="Arial" w:hAnsi="Arial" w:cs="Arial"/>
          <w:szCs w:val="24"/>
          <w:lang w:val="es-CO" w:eastAsia="ar-SA"/>
        </w:rPr>
        <w:t xml:space="preserve">. De la misma manera, la compañía de seguros afirmó que </w:t>
      </w:r>
      <w:r w:rsidR="00CB3DFA" w:rsidRPr="00545310">
        <w:rPr>
          <w:rFonts w:ascii="Arial" w:hAnsi="Arial" w:cs="Arial"/>
          <w:szCs w:val="24"/>
          <w:lang w:val="es-CO" w:eastAsia="ar-SA"/>
        </w:rPr>
        <w:t xml:space="preserve">tampoco existió cobertura para </w:t>
      </w:r>
      <w:r w:rsidR="005F2146" w:rsidRPr="00545310">
        <w:rPr>
          <w:rFonts w:ascii="Arial" w:hAnsi="Arial" w:cs="Arial"/>
          <w:szCs w:val="24"/>
          <w:lang w:val="es-CO" w:eastAsia="ar-SA"/>
        </w:rPr>
        <w:t xml:space="preserve">los perjuicios </w:t>
      </w:r>
      <w:r w:rsidR="00D32F99" w:rsidRPr="00545310">
        <w:rPr>
          <w:rFonts w:ascii="Arial" w:hAnsi="Arial" w:cs="Arial"/>
          <w:szCs w:val="24"/>
          <w:lang w:val="es-CO" w:eastAsia="ar-SA"/>
        </w:rPr>
        <w:t>estima</w:t>
      </w:r>
      <w:r w:rsidR="005F2146" w:rsidRPr="00545310">
        <w:rPr>
          <w:rFonts w:ascii="Arial" w:hAnsi="Arial" w:cs="Arial"/>
          <w:szCs w:val="24"/>
          <w:lang w:val="es-CO" w:eastAsia="ar-SA"/>
        </w:rPr>
        <w:t xml:space="preserve">dos con fundamento en el valor de la </w:t>
      </w:r>
      <w:r w:rsidR="00D32F99" w:rsidRPr="00545310">
        <w:rPr>
          <w:rFonts w:ascii="Arial" w:hAnsi="Arial" w:cs="Arial"/>
          <w:szCs w:val="24"/>
          <w:lang w:val="es-CO" w:eastAsia="ar-SA"/>
        </w:rPr>
        <w:t xml:space="preserve">interventoría </w:t>
      </w:r>
      <w:r w:rsidR="00CB3DFA" w:rsidRPr="00545310">
        <w:rPr>
          <w:rFonts w:ascii="Arial" w:hAnsi="Arial" w:cs="Arial"/>
          <w:szCs w:val="24"/>
          <w:lang w:val="es-CO" w:eastAsia="ar-SA"/>
        </w:rPr>
        <w:t xml:space="preserve">que se </w:t>
      </w:r>
      <w:r w:rsidR="00D32F99" w:rsidRPr="00545310">
        <w:rPr>
          <w:rFonts w:ascii="Arial" w:hAnsi="Arial" w:cs="Arial"/>
          <w:szCs w:val="24"/>
          <w:lang w:val="es-CO" w:eastAsia="ar-SA"/>
        </w:rPr>
        <w:t>requer</w:t>
      </w:r>
      <w:r w:rsidR="00CB3DFA" w:rsidRPr="00545310">
        <w:rPr>
          <w:rFonts w:ascii="Arial" w:hAnsi="Arial" w:cs="Arial"/>
          <w:szCs w:val="24"/>
          <w:lang w:val="es-CO" w:eastAsia="ar-SA"/>
        </w:rPr>
        <w:t xml:space="preserve">ía </w:t>
      </w:r>
      <w:r w:rsidR="005F2146" w:rsidRPr="00545310">
        <w:rPr>
          <w:rFonts w:ascii="Arial" w:hAnsi="Arial" w:cs="Arial"/>
          <w:szCs w:val="24"/>
          <w:lang w:val="es-CO" w:eastAsia="ar-SA"/>
        </w:rPr>
        <w:t xml:space="preserve">para terminar </w:t>
      </w:r>
      <w:r w:rsidR="00D32F99" w:rsidRPr="00545310">
        <w:rPr>
          <w:rFonts w:ascii="Arial" w:hAnsi="Arial" w:cs="Arial"/>
          <w:szCs w:val="24"/>
          <w:lang w:val="es-CO" w:eastAsia="ar-SA"/>
        </w:rPr>
        <w:t>la ejecución de</w:t>
      </w:r>
      <w:r w:rsidR="005F2146" w:rsidRPr="00545310">
        <w:rPr>
          <w:rFonts w:ascii="Arial" w:hAnsi="Arial" w:cs="Arial"/>
          <w:szCs w:val="24"/>
          <w:lang w:val="es-CO" w:eastAsia="ar-SA"/>
        </w:rPr>
        <w:t xml:space="preserve"> la obra</w:t>
      </w:r>
      <w:r w:rsidR="00CB5807" w:rsidRPr="00545310">
        <w:rPr>
          <w:rFonts w:ascii="Arial" w:hAnsi="Arial" w:cs="Arial"/>
          <w:szCs w:val="24"/>
          <w:lang w:val="es-CO" w:eastAsia="ar-SA"/>
        </w:rPr>
        <w:t xml:space="preserve">, igualmente </w:t>
      </w:r>
      <w:r w:rsidR="00543FD9" w:rsidRPr="00545310">
        <w:rPr>
          <w:rFonts w:ascii="Arial" w:hAnsi="Arial" w:cs="Arial"/>
          <w:szCs w:val="24"/>
          <w:lang w:val="es-CO" w:eastAsia="ar-SA"/>
        </w:rPr>
        <w:t xml:space="preserve">determinados por los estudios previos de </w:t>
      </w:r>
      <w:r w:rsidR="00CB5807" w:rsidRPr="00545310">
        <w:rPr>
          <w:rFonts w:ascii="Arial" w:hAnsi="Arial" w:cs="Arial"/>
          <w:szCs w:val="24"/>
          <w:lang w:val="es-CO" w:eastAsia="ar-SA"/>
        </w:rPr>
        <w:t>FONADE</w:t>
      </w:r>
      <w:r w:rsidR="005F2146" w:rsidRPr="00545310">
        <w:rPr>
          <w:rFonts w:ascii="Arial" w:hAnsi="Arial" w:cs="Arial"/>
          <w:szCs w:val="24"/>
          <w:lang w:val="es-CO" w:eastAsia="ar-SA"/>
        </w:rPr>
        <w:t xml:space="preserve">. </w:t>
      </w:r>
    </w:p>
    <w:p w14:paraId="08A154C8" w14:textId="77777777" w:rsidR="005F2146" w:rsidRPr="00545310" w:rsidRDefault="005F2146" w:rsidP="006538E3">
      <w:pPr>
        <w:pStyle w:val="Sangradetextonormal"/>
        <w:spacing w:after="0"/>
        <w:ind w:left="0"/>
        <w:rPr>
          <w:rFonts w:ascii="Arial" w:hAnsi="Arial" w:cs="Arial"/>
          <w:i/>
          <w:szCs w:val="24"/>
          <w:lang w:val="es-CO" w:eastAsia="ar-SA"/>
        </w:rPr>
      </w:pPr>
    </w:p>
    <w:p w14:paraId="303E3082" w14:textId="77777777" w:rsidR="00731923" w:rsidRPr="00545310" w:rsidRDefault="00731923" w:rsidP="006538E3">
      <w:pPr>
        <w:pStyle w:val="Sangradetextonormal"/>
        <w:spacing w:after="0"/>
        <w:ind w:left="0"/>
        <w:rPr>
          <w:rFonts w:ascii="Arial" w:hAnsi="Arial" w:cs="Arial"/>
          <w:b/>
          <w:szCs w:val="24"/>
          <w:lang w:val="es-CO" w:eastAsia="ar-SA"/>
        </w:rPr>
      </w:pPr>
      <w:r w:rsidRPr="00545310">
        <w:rPr>
          <w:rFonts w:ascii="Arial" w:hAnsi="Arial" w:cs="Arial"/>
          <w:b/>
          <w:szCs w:val="24"/>
          <w:lang w:val="es-CO" w:eastAsia="ar-SA"/>
        </w:rPr>
        <w:t>7.2. El procedimiento de reclamación adelantado en el caso sub júdice</w:t>
      </w:r>
    </w:p>
    <w:p w14:paraId="5CD7B960" w14:textId="77777777" w:rsidR="00450F87" w:rsidRPr="00545310" w:rsidRDefault="00450F87" w:rsidP="006538E3">
      <w:pPr>
        <w:pStyle w:val="Sangradetextonormal"/>
        <w:spacing w:after="0"/>
        <w:ind w:left="0"/>
        <w:rPr>
          <w:rFonts w:ascii="Arial" w:hAnsi="Arial" w:cs="Arial"/>
          <w:i/>
          <w:szCs w:val="24"/>
          <w:lang w:val="es-CO" w:eastAsia="ar-SA"/>
        </w:rPr>
      </w:pPr>
    </w:p>
    <w:p w14:paraId="5AEF8305" w14:textId="77777777" w:rsidR="00C5772C" w:rsidRPr="00545310" w:rsidRDefault="005F3775" w:rsidP="006538E3">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Antes de entrar en el aspecto </w:t>
      </w:r>
      <w:r w:rsidR="00CB5807" w:rsidRPr="00545310">
        <w:rPr>
          <w:rFonts w:ascii="Arial" w:hAnsi="Arial" w:cs="Arial"/>
          <w:szCs w:val="24"/>
          <w:lang w:val="es-CO" w:eastAsia="ar-SA"/>
        </w:rPr>
        <w:t xml:space="preserve">sustancial </w:t>
      </w:r>
      <w:r w:rsidRPr="00545310">
        <w:rPr>
          <w:rFonts w:ascii="Arial" w:hAnsi="Arial" w:cs="Arial"/>
          <w:szCs w:val="24"/>
          <w:lang w:val="es-CO" w:eastAsia="ar-SA"/>
        </w:rPr>
        <w:t xml:space="preserve">que llevó a la determinación de los valores incluidos en </w:t>
      </w:r>
      <w:r w:rsidR="00450F87" w:rsidRPr="00545310">
        <w:rPr>
          <w:rFonts w:ascii="Arial" w:hAnsi="Arial" w:cs="Arial"/>
          <w:szCs w:val="24"/>
          <w:lang w:val="es-CO" w:eastAsia="ar-SA"/>
        </w:rPr>
        <w:t xml:space="preserve">los actos administrativos </w:t>
      </w:r>
      <w:r w:rsidRPr="00545310">
        <w:rPr>
          <w:rFonts w:ascii="Arial" w:hAnsi="Arial" w:cs="Arial"/>
          <w:szCs w:val="24"/>
          <w:lang w:val="es-CO" w:eastAsia="ar-SA"/>
        </w:rPr>
        <w:t xml:space="preserve">atacados en la demanda, </w:t>
      </w:r>
      <w:r w:rsidR="00450F87" w:rsidRPr="00545310">
        <w:rPr>
          <w:rFonts w:ascii="Arial" w:hAnsi="Arial" w:cs="Arial"/>
          <w:szCs w:val="24"/>
          <w:lang w:val="es-CO" w:eastAsia="ar-SA"/>
        </w:rPr>
        <w:t>puede observarse</w:t>
      </w:r>
      <w:r w:rsidR="00A14347" w:rsidRPr="00545310">
        <w:rPr>
          <w:rFonts w:ascii="Arial" w:hAnsi="Arial" w:cs="Arial"/>
          <w:szCs w:val="24"/>
          <w:lang w:val="es-CO" w:eastAsia="ar-SA"/>
        </w:rPr>
        <w:t>,</w:t>
      </w:r>
      <w:r w:rsidR="00450F87" w:rsidRPr="00545310">
        <w:rPr>
          <w:rFonts w:ascii="Arial" w:hAnsi="Arial" w:cs="Arial"/>
          <w:szCs w:val="24"/>
          <w:lang w:val="es-CO" w:eastAsia="ar-SA"/>
        </w:rPr>
        <w:t xml:space="preserve"> </w:t>
      </w:r>
      <w:r w:rsidRPr="00545310">
        <w:rPr>
          <w:rFonts w:ascii="Arial" w:hAnsi="Arial" w:cs="Arial"/>
          <w:szCs w:val="24"/>
          <w:lang w:val="es-CO" w:eastAsia="ar-SA"/>
        </w:rPr>
        <w:t xml:space="preserve">de conformidad con los documentos obrantes en el plenario, </w:t>
      </w:r>
      <w:r w:rsidR="00A14347" w:rsidRPr="00545310">
        <w:rPr>
          <w:rFonts w:ascii="Arial" w:hAnsi="Arial" w:cs="Arial"/>
          <w:szCs w:val="24"/>
          <w:lang w:val="es-CO" w:eastAsia="ar-SA"/>
        </w:rPr>
        <w:t xml:space="preserve">que </w:t>
      </w:r>
      <w:r w:rsidRPr="00545310">
        <w:rPr>
          <w:rFonts w:ascii="Arial" w:hAnsi="Arial" w:cs="Arial"/>
          <w:szCs w:val="24"/>
          <w:lang w:val="es-CO" w:eastAsia="ar-SA"/>
        </w:rPr>
        <w:t xml:space="preserve">cuando la compañía de seguros recibió la comunicación de reclamación </w:t>
      </w:r>
      <w:r w:rsidR="00A14347" w:rsidRPr="00545310">
        <w:rPr>
          <w:rFonts w:ascii="Arial" w:hAnsi="Arial" w:cs="Arial"/>
          <w:szCs w:val="24"/>
          <w:lang w:val="es-CO" w:eastAsia="ar-SA"/>
        </w:rPr>
        <w:t xml:space="preserve">de fecha </w:t>
      </w:r>
      <w:r w:rsidRPr="00545310">
        <w:rPr>
          <w:rFonts w:ascii="Arial" w:hAnsi="Arial" w:cs="Arial"/>
          <w:szCs w:val="24"/>
          <w:lang w:val="es-CO" w:eastAsia="ar-SA"/>
        </w:rPr>
        <w:t>20</w:t>
      </w:r>
      <w:r w:rsidR="00C4362C" w:rsidRPr="00545310">
        <w:rPr>
          <w:rFonts w:ascii="Arial" w:hAnsi="Arial" w:cs="Arial"/>
          <w:szCs w:val="24"/>
          <w:lang w:val="es-CO" w:eastAsia="ar-SA"/>
        </w:rPr>
        <w:t xml:space="preserve"> de diciembre de 2011, </w:t>
      </w:r>
      <w:r w:rsidRPr="00545310">
        <w:rPr>
          <w:rFonts w:ascii="Arial" w:hAnsi="Arial" w:cs="Arial"/>
          <w:szCs w:val="24"/>
          <w:lang w:val="es-CO" w:eastAsia="ar-SA"/>
        </w:rPr>
        <w:t>mediante la cual F</w:t>
      </w:r>
      <w:r w:rsidR="00651ED9" w:rsidRPr="00545310">
        <w:rPr>
          <w:rFonts w:ascii="Arial" w:hAnsi="Arial" w:cs="Arial"/>
          <w:szCs w:val="24"/>
          <w:lang w:val="es-CO" w:eastAsia="ar-SA"/>
        </w:rPr>
        <w:t>O</w:t>
      </w:r>
      <w:r w:rsidRPr="00545310">
        <w:rPr>
          <w:rFonts w:ascii="Arial" w:hAnsi="Arial" w:cs="Arial"/>
          <w:szCs w:val="24"/>
          <w:lang w:val="es-CO" w:eastAsia="ar-SA"/>
        </w:rPr>
        <w:t xml:space="preserve">NADE le </w:t>
      </w:r>
      <w:r w:rsidR="00651ED9" w:rsidRPr="00545310">
        <w:rPr>
          <w:rFonts w:ascii="Arial" w:hAnsi="Arial" w:cs="Arial"/>
          <w:szCs w:val="24"/>
          <w:lang w:val="es-CO" w:eastAsia="ar-SA"/>
        </w:rPr>
        <w:t>exigió el pago de los valores establecidos en los respectivos actos administrativo</w:t>
      </w:r>
      <w:r w:rsidR="00D05434" w:rsidRPr="00545310">
        <w:rPr>
          <w:rFonts w:ascii="Arial" w:hAnsi="Arial" w:cs="Arial"/>
          <w:szCs w:val="24"/>
          <w:lang w:val="es-CO" w:eastAsia="ar-SA"/>
        </w:rPr>
        <w:t>s</w:t>
      </w:r>
      <w:r w:rsidR="00651ED9" w:rsidRPr="00545310">
        <w:rPr>
          <w:rFonts w:ascii="Arial" w:hAnsi="Arial" w:cs="Arial"/>
          <w:szCs w:val="24"/>
          <w:lang w:val="es-CO" w:eastAsia="ar-SA"/>
        </w:rPr>
        <w:t xml:space="preserve">, CONFIANZA </w:t>
      </w:r>
      <w:r w:rsidR="00C5772C" w:rsidRPr="00545310">
        <w:rPr>
          <w:rFonts w:ascii="Arial" w:hAnsi="Arial" w:cs="Arial"/>
          <w:szCs w:val="24"/>
          <w:lang w:val="es-CO" w:eastAsia="ar-SA"/>
        </w:rPr>
        <w:t>rechazó la reclamación por conceptos</w:t>
      </w:r>
      <w:r w:rsidR="00482571" w:rsidRPr="00545310">
        <w:rPr>
          <w:rFonts w:ascii="Arial" w:hAnsi="Arial" w:cs="Arial"/>
          <w:szCs w:val="24"/>
          <w:lang w:val="es-CO" w:eastAsia="ar-SA"/>
        </w:rPr>
        <w:t xml:space="preserve"> que se debaten en esta apelación</w:t>
      </w:r>
      <w:r w:rsidR="00C5772C" w:rsidRPr="00545310">
        <w:rPr>
          <w:rFonts w:ascii="Arial" w:hAnsi="Arial" w:cs="Arial"/>
          <w:szCs w:val="24"/>
          <w:lang w:val="es-CO" w:eastAsia="ar-SA"/>
        </w:rPr>
        <w:t>, así</w:t>
      </w:r>
      <w:r w:rsidR="00EC7953" w:rsidRPr="00545310">
        <w:rPr>
          <w:rFonts w:ascii="Arial" w:hAnsi="Arial" w:cs="Arial"/>
          <w:szCs w:val="24"/>
          <w:lang w:val="es-CO" w:eastAsia="ar-SA"/>
        </w:rPr>
        <w:t xml:space="preserve"> (se transcribe literal incluso son errores)</w:t>
      </w:r>
      <w:r w:rsidR="00C5772C" w:rsidRPr="00545310">
        <w:rPr>
          <w:rFonts w:ascii="Arial" w:hAnsi="Arial" w:cs="Arial"/>
          <w:szCs w:val="24"/>
          <w:lang w:val="es-CO" w:eastAsia="ar-SA"/>
        </w:rPr>
        <w:t>:</w:t>
      </w:r>
    </w:p>
    <w:p w14:paraId="31824D47" w14:textId="77777777" w:rsidR="00C5772C" w:rsidRPr="00545310" w:rsidRDefault="00C5772C" w:rsidP="006538E3">
      <w:pPr>
        <w:pStyle w:val="Sangradetextonormal"/>
        <w:spacing w:after="0"/>
        <w:ind w:left="0"/>
        <w:rPr>
          <w:rFonts w:ascii="Arial" w:hAnsi="Arial" w:cs="Arial"/>
          <w:i/>
          <w:szCs w:val="24"/>
          <w:lang w:val="es-CO" w:eastAsia="ar-SA"/>
        </w:rPr>
      </w:pPr>
    </w:p>
    <w:p w14:paraId="6EDB7D4C" w14:textId="77777777" w:rsidR="002507A5" w:rsidRPr="00545310" w:rsidRDefault="00450F87" w:rsidP="00450F87">
      <w:pPr>
        <w:pStyle w:val="Sangradetextonormal"/>
        <w:spacing w:after="0"/>
        <w:ind w:left="567" w:right="567"/>
        <w:rPr>
          <w:rFonts w:ascii="Arial" w:hAnsi="Arial" w:cs="Arial"/>
          <w:i/>
          <w:szCs w:val="24"/>
          <w:lang w:val="es-CO" w:eastAsia="ar-SA"/>
        </w:rPr>
      </w:pPr>
      <w:r w:rsidRPr="00545310">
        <w:rPr>
          <w:rFonts w:ascii="Arial" w:hAnsi="Arial" w:cs="Arial"/>
          <w:i/>
          <w:szCs w:val="24"/>
          <w:lang w:val="es-CO" w:eastAsia="ar-SA"/>
        </w:rPr>
        <w:t>“</w:t>
      </w:r>
      <w:r w:rsidR="00C5772C" w:rsidRPr="00545310">
        <w:rPr>
          <w:rFonts w:ascii="Arial" w:hAnsi="Arial" w:cs="Arial"/>
          <w:i/>
          <w:szCs w:val="24"/>
          <w:lang w:val="es-CO" w:eastAsia="ar-SA"/>
        </w:rPr>
        <w:t>(…) Sin embargo, la discusi</w:t>
      </w:r>
      <w:r w:rsidR="00CC6072" w:rsidRPr="00545310">
        <w:rPr>
          <w:rFonts w:ascii="Arial" w:hAnsi="Arial" w:cs="Arial"/>
          <w:i/>
          <w:szCs w:val="24"/>
          <w:lang w:val="es-CO" w:eastAsia="ar-SA"/>
        </w:rPr>
        <w:t>ó</w:t>
      </w:r>
      <w:r w:rsidR="00C5772C" w:rsidRPr="00545310">
        <w:rPr>
          <w:rFonts w:ascii="Arial" w:hAnsi="Arial" w:cs="Arial"/>
          <w:i/>
          <w:szCs w:val="24"/>
          <w:lang w:val="es-CO" w:eastAsia="ar-SA"/>
        </w:rPr>
        <w:t xml:space="preserve">n radica en los supuestos contemplados en los literales a) y b) los cuales en nada se pueden convertir en un perjuicio directo, pues no parten de la realidad sino de meros supuestos subjetivos que allí se indican, puesto que la diferencia económica entre el valor de las obras puede ser menor y de otra parte porque el pago a la interventoría debe tenerse solo hasta el momento </w:t>
      </w:r>
      <w:r w:rsidR="002507A5" w:rsidRPr="00545310">
        <w:rPr>
          <w:rFonts w:ascii="Arial" w:hAnsi="Arial" w:cs="Arial"/>
          <w:i/>
          <w:szCs w:val="24"/>
          <w:lang w:val="es-CO" w:eastAsia="ar-SA"/>
        </w:rPr>
        <w:t xml:space="preserve">en que se </w:t>
      </w:r>
      <w:r w:rsidRPr="00545310">
        <w:rPr>
          <w:rFonts w:ascii="Arial" w:hAnsi="Arial" w:cs="Arial"/>
          <w:i/>
          <w:szCs w:val="24"/>
          <w:lang w:val="es-CO" w:eastAsia="ar-SA"/>
        </w:rPr>
        <w:t>e</w:t>
      </w:r>
      <w:r w:rsidR="002507A5" w:rsidRPr="00545310">
        <w:rPr>
          <w:rFonts w:ascii="Arial" w:hAnsi="Arial" w:cs="Arial"/>
          <w:i/>
          <w:szCs w:val="24"/>
          <w:lang w:val="es-CO" w:eastAsia="ar-SA"/>
        </w:rPr>
        <w:t>jecutaron obras y no a su terminación, como lo pretende FONADE</w:t>
      </w:r>
      <w:r w:rsidRPr="00545310">
        <w:rPr>
          <w:rFonts w:ascii="Arial" w:hAnsi="Arial" w:cs="Arial"/>
          <w:i/>
          <w:szCs w:val="24"/>
          <w:lang w:val="es-CO" w:eastAsia="ar-SA"/>
        </w:rPr>
        <w:t>, (…).</w:t>
      </w:r>
    </w:p>
    <w:p w14:paraId="7562CB03" w14:textId="77777777" w:rsidR="002507A5" w:rsidRPr="00545310" w:rsidRDefault="002507A5" w:rsidP="006538E3">
      <w:pPr>
        <w:pStyle w:val="Sangradetextonormal"/>
        <w:spacing w:after="0"/>
        <w:ind w:left="0"/>
        <w:rPr>
          <w:rFonts w:ascii="Arial" w:hAnsi="Arial" w:cs="Arial"/>
          <w:i/>
          <w:szCs w:val="24"/>
          <w:lang w:val="es-CO" w:eastAsia="ar-SA"/>
        </w:rPr>
      </w:pPr>
    </w:p>
    <w:p w14:paraId="6A131C69" w14:textId="77777777" w:rsidR="00BE6350" w:rsidRPr="00545310" w:rsidRDefault="00450F87" w:rsidP="00450F87">
      <w:pPr>
        <w:pStyle w:val="Sangradetextonormal"/>
        <w:spacing w:after="0"/>
        <w:ind w:left="567" w:right="567"/>
        <w:rPr>
          <w:rFonts w:ascii="Arial" w:hAnsi="Arial" w:cs="Arial"/>
          <w:i/>
          <w:szCs w:val="24"/>
          <w:lang w:val="es-CO" w:eastAsia="ar-SA"/>
        </w:rPr>
      </w:pPr>
      <w:r w:rsidRPr="00545310">
        <w:rPr>
          <w:rFonts w:ascii="Arial" w:hAnsi="Arial" w:cs="Arial"/>
          <w:i/>
          <w:szCs w:val="24"/>
          <w:lang w:val="es-CO" w:eastAsia="ar-SA"/>
        </w:rPr>
        <w:t>“</w:t>
      </w:r>
      <w:r w:rsidR="002507A5" w:rsidRPr="00545310">
        <w:rPr>
          <w:rFonts w:ascii="Arial" w:hAnsi="Arial" w:cs="Arial"/>
          <w:i/>
          <w:szCs w:val="24"/>
          <w:lang w:val="es-CO" w:eastAsia="ar-SA"/>
        </w:rPr>
        <w:t>Se insiste que estos no tienen ninguna relación</w:t>
      </w:r>
      <w:r w:rsidR="00CC6072" w:rsidRPr="00545310">
        <w:rPr>
          <w:rFonts w:ascii="Arial" w:hAnsi="Arial" w:cs="Arial"/>
          <w:i/>
          <w:szCs w:val="24"/>
          <w:lang w:val="es-CO" w:eastAsia="ar-SA"/>
        </w:rPr>
        <w:t xml:space="preserve"> </w:t>
      </w:r>
      <w:r w:rsidR="002507A5" w:rsidRPr="00545310">
        <w:rPr>
          <w:rFonts w:ascii="Arial" w:hAnsi="Arial" w:cs="Arial"/>
          <w:i/>
          <w:szCs w:val="24"/>
          <w:lang w:val="es-CO" w:eastAsia="ar-SA"/>
        </w:rPr>
        <w:t>directa al contrato garantizado, por el contrario se convierten en costos indirectos que en nada pueden afectar la póliza en</w:t>
      </w:r>
      <w:r w:rsidR="00CC6072" w:rsidRPr="00545310">
        <w:rPr>
          <w:rFonts w:ascii="Arial" w:hAnsi="Arial" w:cs="Arial"/>
          <w:i/>
          <w:szCs w:val="24"/>
          <w:lang w:val="es-CO" w:eastAsia="ar-SA"/>
        </w:rPr>
        <w:t xml:space="preserve"> </w:t>
      </w:r>
      <w:r w:rsidR="002507A5" w:rsidRPr="00545310">
        <w:rPr>
          <w:rFonts w:ascii="Arial" w:hAnsi="Arial" w:cs="Arial"/>
          <w:i/>
          <w:szCs w:val="24"/>
          <w:lang w:val="es-CO" w:eastAsia="ar-SA"/>
        </w:rPr>
        <w:t>la medida que estos se entienden legalmente como c</w:t>
      </w:r>
      <w:r w:rsidR="00CC6072" w:rsidRPr="00545310">
        <w:rPr>
          <w:rFonts w:ascii="Arial" w:hAnsi="Arial" w:cs="Arial"/>
          <w:i/>
          <w:szCs w:val="24"/>
          <w:lang w:val="es-CO" w:eastAsia="ar-SA"/>
        </w:rPr>
        <w:t>o</w:t>
      </w:r>
      <w:r w:rsidR="002507A5" w:rsidRPr="00545310">
        <w:rPr>
          <w:rFonts w:ascii="Arial" w:hAnsi="Arial" w:cs="Arial"/>
          <w:i/>
          <w:szCs w:val="24"/>
          <w:lang w:val="es-CO" w:eastAsia="ar-SA"/>
        </w:rPr>
        <w:t>nsecuenciales, máxime cuando los mismos ni siquiera son reales no están soportados”</w:t>
      </w:r>
      <w:r w:rsidR="002507A5" w:rsidRPr="00545310">
        <w:rPr>
          <w:rStyle w:val="Refdenotaalpie"/>
          <w:rFonts w:ascii="Arial" w:hAnsi="Arial" w:cs="Arial"/>
          <w:i/>
          <w:szCs w:val="24"/>
          <w:lang w:val="es-CO" w:eastAsia="ar-SA"/>
        </w:rPr>
        <w:footnoteReference w:id="51"/>
      </w:r>
      <w:r w:rsidR="002A538F" w:rsidRPr="00545310">
        <w:rPr>
          <w:rFonts w:ascii="Arial" w:hAnsi="Arial" w:cs="Arial"/>
          <w:i/>
          <w:szCs w:val="24"/>
          <w:lang w:val="es-CO" w:eastAsia="ar-SA"/>
        </w:rPr>
        <w:t xml:space="preserve">. </w:t>
      </w:r>
    </w:p>
    <w:p w14:paraId="7A35DEC1" w14:textId="77777777" w:rsidR="00BE6350" w:rsidRPr="00545310" w:rsidRDefault="00BE6350" w:rsidP="00450F87">
      <w:pPr>
        <w:pStyle w:val="Sangradetextonormal"/>
        <w:spacing w:after="0"/>
        <w:ind w:left="567" w:right="567"/>
        <w:rPr>
          <w:rFonts w:ascii="Arial" w:hAnsi="Arial" w:cs="Arial"/>
          <w:i/>
          <w:szCs w:val="24"/>
          <w:lang w:val="es-CO" w:eastAsia="ar-SA"/>
        </w:rPr>
      </w:pPr>
    </w:p>
    <w:p w14:paraId="7FAF808E" w14:textId="77777777" w:rsidR="00CC6072" w:rsidRPr="00545310" w:rsidRDefault="002A538F" w:rsidP="00BE6350">
      <w:pPr>
        <w:pStyle w:val="Sangradetextonormal"/>
        <w:tabs>
          <w:tab w:val="left" w:pos="8505"/>
        </w:tabs>
        <w:spacing w:after="0"/>
        <w:ind w:left="0"/>
        <w:rPr>
          <w:rFonts w:ascii="Arial" w:hAnsi="Arial" w:cs="Arial"/>
          <w:szCs w:val="24"/>
          <w:lang w:val="es-CO" w:eastAsia="ar-SA"/>
        </w:rPr>
      </w:pPr>
      <w:r w:rsidRPr="00545310">
        <w:rPr>
          <w:rFonts w:ascii="Arial" w:hAnsi="Arial" w:cs="Arial"/>
          <w:szCs w:val="24"/>
          <w:lang w:val="es-CO" w:eastAsia="ar-SA"/>
        </w:rPr>
        <w:t xml:space="preserve">En </w:t>
      </w:r>
      <w:r w:rsidR="00BE6350" w:rsidRPr="00545310">
        <w:rPr>
          <w:rFonts w:ascii="Arial" w:hAnsi="Arial" w:cs="Arial"/>
          <w:szCs w:val="24"/>
          <w:lang w:val="es-CO" w:eastAsia="ar-SA"/>
        </w:rPr>
        <w:t>la</w:t>
      </w:r>
      <w:r w:rsidRPr="00545310">
        <w:rPr>
          <w:rFonts w:ascii="Arial" w:hAnsi="Arial" w:cs="Arial"/>
          <w:szCs w:val="24"/>
          <w:lang w:val="es-CO" w:eastAsia="ar-SA"/>
        </w:rPr>
        <w:t xml:space="preserve"> comunicación </w:t>
      </w:r>
      <w:r w:rsidR="00BE6350" w:rsidRPr="00545310">
        <w:rPr>
          <w:rFonts w:ascii="Arial" w:hAnsi="Arial" w:cs="Arial"/>
          <w:szCs w:val="24"/>
          <w:lang w:val="es-CO" w:eastAsia="ar-SA"/>
        </w:rPr>
        <w:t xml:space="preserve">citada, </w:t>
      </w:r>
      <w:r w:rsidRPr="00545310">
        <w:rPr>
          <w:rFonts w:ascii="Arial" w:hAnsi="Arial" w:cs="Arial"/>
          <w:szCs w:val="24"/>
          <w:lang w:val="es-CO" w:eastAsia="ar-SA"/>
        </w:rPr>
        <w:t xml:space="preserve">la aseguradora </w:t>
      </w:r>
      <w:r w:rsidR="00BE6350" w:rsidRPr="00545310">
        <w:rPr>
          <w:rFonts w:ascii="Arial" w:hAnsi="Arial" w:cs="Arial"/>
          <w:szCs w:val="24"/>
          <w:lang w:val="es-CO" w:eastAsia="ar-SA"/>
        </w:rPr>
        <w:t xml:space="preserve">solicitó a FONADE </w:t>
      </w:r>
      <w:r w:rsidRPr="00545310">
        <w:rPr>
          <w:rFonts w:ascii="Arial" w:hAnsi="Arial" w:cs="Arial"/>
          <w:szCs w:val="24"/>
          <w:lang w:val="es-CO" w:eastAsia="ar-SA"/>
        </w:rPr>
        <w:t>que antes de cobrar la póliza</w:t>
      </w:r>
      <w:r w:rsidR="00BE6350" w:rsidRPr="00545310">
        <w:rPr>
          <w:rFonts w:ascii="Arial" w:hAnsi="Arial" w:cs="Arial"/>
          <w:szCs w:val="24"/>
          <w:lang w:val="es-CO" w:eastAsia="ar-SA"/>
        </w:rPr>
        <w:t xml:space="preserve"> de seguro, </w:t>
      </w:r>
      <w:r w:rsidRPr="00545310">
        <w:rPr>
          <w:rFonts w:ascii="Arial" w:hAnsi="Arial" w:cs="Arial"/>
          <w:szCs w:val="24"/>
          <w:lang w:val="es-CO" w:eastAsia="ar-SA"/>
        </w:rPr>
        <w:t xml:space="preserve">adelantara la liquidación del contrato. </w:t>
      </w:r>
    </w:p>
    <w:p w14:paraId="0AE3BDE7" w14:textId="77777777" w:rsidR="002A538F" w:rsidRPr="00545310" w:rsidRDefault="002A538F" w:rsidP="00BE6350">
      <w:pPr>
        <w:pStyle w:val="Sangradetextonormal"/>
        <w:tabs>
          <w:tab w:val="left" w:pos="8505"/>
        </w:tabs>
        <w:spacing w:after="0"/>
        <w:ind w:left="0"/>
        <w:rPr>
          <w:rFonts w:ascii="Arial" w:hAnsi="Arial" w:cs="Arial"/>
          <w:i/>
          <w:szCs w:val="24"/>
          <w:lang w:val="es-CO" w:eastAsia="ar-SA"/>
        </w:rPr>
      </w:pPr>
    </w:p>
    <w:p w14:paraId="5DF8F333" w14:textId="77777777" w:rsidR="00676CB5" w:rsidRPr="00545310" w:rsidRDefault="00CC6072" w:rsidP="00BE6350">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Posteriormente, en la comunicación de enero 12 de 2012, emitida una vez que FONADE no accedió a las peticiones de </w:t>
      </w:r>
      <w:r w:rsidR="00856E07" w:rsidRPr="00545310">
        <w:rPr>
          <w:rFonts w:ascii="Arial" w:hAnsi="Arial" w:cs="Arial"/>
          <w:szCs w:val="24"/>
          <w:lang w:val="es-CO" w:eastAsia="ar-SA"/>
        </w:rPr>
        <w:t xml:space="preserve">la compañía de seguros, </w:t>
      </w:r>
      <w:r w:rsidR="00482571" w:rsidRPr="00545310">
        <w:rPr>
          <w:rFonts w:ascii="Arial" w:hAnsi="Arial" w:cs="Arial"/>
          <w:szCs w:val="24"/>
          <w:lang w:val="es-CO" w:eastAsia="ar-SA"/>
        </w:rPr>
        <w:t>e</w:t>
      </w:r>
      <w:r w:rsidR="00856E07" w:rsidRPr="00545310">
        <w:rPr>
          <w:rFonts w:ascii="Arial" w:hAnsi="Arial" w:cs="Arial"/>
          <w:szCs w:val="24"/>
          <w:lang w:val="es-CO" w:eastAsia="ar-SA"/>
        </w:rPr>
        <w:t xml:space="preserve">sta </w:t>
      </w:r>
      <w:r w:rsidR="00482571" w:rsidRPr="00545310">
        <w:rPr>
          <w:rFonts w:ascii="Arial" w:hAnsi="Arial" w:cs="Arial"/>
          <w:szCs w:val="24"/>
          <w:lang w:val="es-CO" w:eastAsia="ar-SA"/>
        </w:rPr>
        <w:t xml:space="preserve">última </w:t>
      </w:r>
      <w:r w:rsidR="00856E07" w:rsidRPr="00545310">
        <w:rPr>
          <w:rFonts w:ascii="Arial" w:hAnsi="Arial" w:cs="Arial"/>
          <w:szCs w:val="24"/>
          <w:lang w:val="es-CO" w:eastAsia="ar-SA"/>
        </w:rPr>
        <w:t xml:space="preserve">resolvió </w:t>
      </w:r>
      <w:r w:rsidR="00482571" w:rsidRPr="00545310">
        <w:rPr>
          <w:rFonts w:ascii="Arial" w:hAnsi="Arial" w:cs="Arial"/>
          <w:szCs w:val="24"/>
          <w:lang w:val="es-CO" w:eastAsia="ar-SA"/>
        </w:rPr>
        <w:t xml:space="preserve">honrar la póliza en el monto de </w:t>
      </w:r>
      <w:r w:rsidR="00856E07" w:rsidRPr="00545310">
        <w:rPr>
          <w:rFonts w:ascii="Arial" w:hAnsi="Arial" w:cs="Arial"/>
          <w:szCs w:val="24"/>
          <w:lang w:val="es-CO" w:eastAsia="ar-SA"/>
        </w:rPr>
        <w:t xml:space="preserve">la cláusula penal y del amparo de </w:t>
      </w:r>
      <w:r w:rsidR="00482571" w:rsidRPr="00545310">
        <w:rPr>
          <w:rFonts w:ascii="Arial" w:hAnsi="Arial" w:cs="Arial"/>
          <w:szCs w:val="24"/>
          <w:lang w:val="es-CO" w:eastAsia="ar-SA"/>
        </w:rPr>
        <w:t xml:space="preserve">buen manejo del </w:t>
      </w:r>
      <w:r w:rsidR="00856E07" w:rsidRPr="00545310">
        <w:rPr>
          <w:rFonts w:ascii="Arial" w:hAnsi="Arial" w:cs="Arial"/>
          <w:szCs w:val="24"/>
          <w:lang w:val="es-CO" w:eastAsia="ar-SA"/>
        </w:rPr>
        <w:t>anticipo</w:t>
      </w:r>
      <w:r w:rsidR="00EC7953" w:rsidRPr="00545310">
        <w:rPr>
          <w:rFonts w:ascii="Arial" w:hAnsi="Arial" w:cs="Arial"/>
          <w:szCs w:val="24"/>
          <w:lang w:val="es-CO" w:eastAsia="ar-SA"/>
        </w:rPr>
        <w:t>;</w:t>
      </w:r>
      <w:r w:rsidR="00856E07" w:rsidRPr="00545310">
        <w:rPr>
          <w:rFonts w:ascii="Arial" w:hAnsi="Arial" w:cs="Arial"/>
          <w:szCs w:val="24"/>
          <w:lang w:val="es-CO" w:eastAsia="ar-SA"/>
        </w:rPr>
        <w:t xml:space="preserve"> </w:t>
      </w:r>
      <w:r w:rsidR="0016598E" w:rsidRPr="00545310">
        <w:rPr>
          <w:rFonts w:ascii="Arial" w:hAnsi="Arial" w:cs="Arial"/>
          <w:szCs w:val="24"/>
          <w:lang w:val="es-CO" w:eastAsia="ar-SA"/>
        </w:rPr>
        <w:t xml:space="preserve">empero, dejó constancia de que mantenía su inconformidad </w:t>
      </w:r>
      <w:r w:rsidR="00BC2E06" w:rsidRPr="00545310">
        <w:rPr>
          <w:rFonts w:ascii="Arial" w:hAnsi="Arial" w:cs="Arial"/>
          <w:szCs w:val="24"/>
          <w:lang w:val="es-CO" w:eastAsia="ar-SA"/>
        </w:rPr>
        <w:t xml:space="preserve">en relación con </w:t>
      </w:r>
      <w:r w:rsidR="0016598E" w:rsidRPr="00545310">
        <w:rPr>
          <w:rFonts w:ascii="Arial" w:hAnsi="Arial" w:cs="Arial"/>
          <w:szCs w:val="24"/>
          <w:lang w:val="es-CO" w:eastAsia="ar-SA"/>
        </w:rPr>
        <w:t xml:space="preserve">el ítem de </w:t>
      </w:r>
      <w:r w:rsidR="00C4362C" w:rsidRPr="00545310">
        <w:rPr>
          <w:rFonts w:ascii="Arial" w:hAnsi="Arial" w:cs="Arial"/>
          <w:szCs w:val="24"/>
          <w:lang w:val="es-CO" w:eastAsia="ar-SA"/>
        </w:rPr>
        <w:t xml:space="preserve">los </w:t>
      </w:r>
      <w:r w:rsidR="0016598E" w:rsidRPr="00545310">
        <w:rPr>
          <w:rFonts w:ascii="Arial" w:hAnsi="Arial" w:cs="Arial"/>
          <w:szCs w:val="24"/>
          <w:lang w:val="es-CO" w:eastAsia="ar-SA"/>
        </w:rPr>
        <w:t>perjuicios adicionales</w:t>
      </w:r>
      <w:r w:rsidR="0016598E" w:rsidRPr="00545310">
        <w:rPr>
          <w:rStyle w:val="Refdenotaalpie"/>
          <w:rFonts w:ascii="Arial" w:hAnsi="Arial" w:cs="Arial"/>
          <w:szCs w:val="24"/>
          <w:lang w:val="es-CO" w:eastAsia="ar-SA"/>
        </w:rPr>
        <w:footnoteReference w:id="52"/>
      </w:r>
      <w:r w:rsidR="00BE6350" w:rsidRPr="00545310">
        <w:rPr>
          <w:rFonts w:ascii="Arial" w:hAnsi="Arial" w:cs="Arial"/>
          <w:szCs w:val="24"/>
          <w:lang w:val="es-CO" w:eastAsia="ar-SA"/>
        </w:rPr>
        <w:t>.</w:t>
      </w:r>
      <w:r w:rsidR="0016598E" w:rsidRPr="00545310">
        <w:rPr>
          <w:rFonts w:ascii="Arial" w:hAnsi="Arial" w:cs="Arial"/>
          <w:szCs w:val="24"/>
          <w:lang w:val="es-CO" w:eastAsia="ar-SA"/>
        </w:rPr>
        <w:t xml:space="preserve"> </w:t>
      </w:r>
    </w:p>
    <w:p w14:paraId="3296D2C8" w14:textId="77777777" w:rsidR="0016598E" w:rsidRPr="00545310" w:rsidRDefault="0016598E" w:rsidP="006538E3">
      <w:pPr>
        <w:pStyle w:val="Sangradetextonormal"/>
        <w:spacing w:after="0"/>
        <w:ind w:left="0"/>
        <w:rPr>
          <w:rFonts w:ascii="Arial" w:hAnsi="Arial" w:cs="Arial"/>
          <w:i/>
          <w:szCs w:val="24"/>
          <w:lang w:val="es-CO" w:eastAsia="ar-SA"/>
        </w:rPr>
      </w:pPr>
    </w:p>
    <w:p w14:paraId="5F2101AB" w14:textId="77777777" w:rsidR="00C4362C" w:rsidRPr="00545310" w:rsidRDefault="0016598E" w:rsidP="006538E3">
      <w:pPr>
        <w:pStyle w:val="Sangradetextonormal"/>
        <w:spacing w:after="0"/>
        <w:ind w:left="0"/>
        <w:rPr>
          <w:rFonts w:ascii="Arial" w:hAnsi="Arial" w:cs="Arial"/>
          <w:szCs w:val="24"/>
          <w:lang w:val="es-CO" w:eastAsia="ar-SA"/>
        </w:rPr>
      </w:pPr>
      <w:r w:rsidRPr="00545310">
        <w:rPr>
          <w:rFonts w:ascii="Arial" w:hAnsi="Arial" w:cs="Arial"/>
          <w:szCs w:val="24"/>
          <w:lang w:val="es-CO" w:eastAsia="ar-SA"/>
        </w:rPr>
        <w:lastRenderedPageBreak/>
        <w:t xml:space="preserve">En comunicación de febrero 28 de 2012, </w:t>
      </w:r>
      <w:r w:rsidR="007A64A2" w:rsidRPr="00545310">
        <w:rPr>
          <w:rFonts w:ascii="Arial" w:hAnsi="Arial" w:cs="Arial"/>
          <w:szCs w:val="24"/>
          <w:lang w:val="es-CO" w:eastAsia="ar-SA"/>
        </w:rPr>
        <w:t xml:space="preserve">la compañía de seguros insistió en que el valor de la nueva interventoría que se </w:t>
      </w:r>
      <w:r w:rsidR="00E755F5" w:rsidRPr="00545310">
        <w:rPr>
          <w:rFonts w:ascii="Arial" w:hAnsi="Arial" w:cs="Arial"/>
          <w:szCs w:val="24"/>
          <w:lang w:val="es-CO" w:eastAsia="ar-SA"/>
        </w:rPr>
        <w:t xml:space="preserve">habría de </w:t>
      </w:r>
      <w:r w:rsidR="007A64A2" w:rsidRPr="00545310">
        <w:rPr>
          <w:rFonts w:ascii="Arial" w:hAnsi="Arial" w:cs="Arial"/>
          <w:szCs w:val="24"/>
          <w:lang w:val="es-CO" w:eastAsia="ar-SA"/>
        </w:rPr>
        <w:t xml:space="preserve">efectuar sobre las labores de terminación de obra, no podía considerarse como perjuicio directo. </w:t>
      </w:r>
    </w:p>
    <w:p w14:paraId="1049F41C" w14:textId="77777777" w:rsidR="00C4362C" w:rsidRPr="00545310" w:rsidRDefault="00C4362C" w:rsidP="006538E3">
      <w:pPr>
        <w:pStyle w:val="Sangradetextonormal"/>
        <w:spacing w:after="0"/>
        <w:ind w:left="0"/>
        <w:rPr>
          <w:rFonts w:ascii="Arial" w:hAnsi="Arial" w:cs="Arial"/>
          <w:szCs w:val="24"/>
          <w:lang w:val="es-CO" w:eastAsia="ar-SA"/>
        </w:rPr>
      </w:pPr>
    </w:p>
    <w:p w14:paraId="00269ABC" w14:textId="77777777" w:rsidR="00E755F5" w:rsidRPr="00545310" w:rsidRDefault="00BC2E06" w:rsidP="006538E3">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En esa oportunidad</w:t>
      </w:r>
      <w:r w:rsidR="00EC7953" w:rsidRPr="00545310">
        <w:rPr>
          <w:rFonts w:ascii="Arial" w:hAnsi="Arial" w:cs="Arial"/>
          <w:szCs w:val="24"/>
          <w:lang w:val="es-CO" w:eastAsia="ar-SA"/>
        </w:rPr>
        <w:t>,</w:t>
      </w:r>
      <w:r w:rsidRPr="00545310">
        <w:rPr>
          <w:rFonts w:ascii="Arial" w:hAnsi="Arial" w:cs="Arial"/>
          <w:szCs w:val="24"/>
          <w:lang w:val="es-CO" w:eastAsia="ar-SA"/>
        </w:rPr>
        <w:t xml:space="preserve"> repitió q</w:t>
      </w:r>
      <w:r w:rsidR="007A64A2" w:rsidRPr="00545310">
        <w:rPr>
          <w:rFonts w:ascii="Arial" w:hAnsi="Arial" w:cs="Arial"/>
          <w:szCs w:val="24"/>
          <w:lang w:val="es-CO" w:eastAsia="ar-SA"/>
        </w:rPr>
        <w:t xml:space="preserve">ue el pago correspondiente </w:t>
      </w:r>
      <w:r w:rsidR="00C4362C" w:rsidRPr="00545310">
        <w:rPr>
          <w:rFonts w:ascii="Arial" w:hAnsi="Arial" w:cs="Arial"/>
          <w:szCs w:val="24"/>
          <w:lang w:val="es-CO" w:eastAsia="ar-SA"/>
        </w:rPr>
        <w:t xml:space="preserve">al nuevo contrato de interventoría </w:t>
      </w:r>
      <w:r w:rsidR="007A64A2" w:rsidRPr="00545310">
        <w:rPr>
          <w:rFonts w:ascii="Arial" w:hAnsi="Arial" w:cs="Arial"/>
          <w:szCs w:val="24"/>
          <w:lang w:val="es-CO" w:eastAsia="ar-SA"/>
        </w:rPr>
        <w:t xml:space="preserve">se constituiría en un perjuicio indirecto y </w:t>
      </w:r>
      <w:r w:rsidR="007A64A2" w:rsidRPr="00545310">
        <w:rPr>
          <w:rFonts w:ascii="Arial" w:hAnsi="Arial" w:cs="Arial"/>
          <w:i/>
          <w:szCs w:val="24"/>
          <w:lang w:val="es-CO" w:eastAsia="ar-SA"/>
        </w:rPr>
        <w:t>“por ende no incluido dentro de la cobertura otorgada por la aseguradora”</w:t>
      </w:r>
      <w:r w:rsidR="007A64A2" w:rsidRPr="00545310">
        <w:rPr>
          <w:rStyle w:val="Refdenotaalpie"/>
          <w:rFonts w:ascii="Arial" w:hAnsi="Arial" w:cs="Arial"/>
          <w:szCs w:val="24"/>
          <w:lang w:val="es-CO" w:eastAsia="ar-SA"/>
        </w:rPr>
        <w:footnoteReference w:id="53"/>
      </w:r>
      <w:r w:rsidR="007A64A2" w:rsidRPr="00545310">
        <w:rPr>
          <w:rFonts w:ascii="Arial" w:hAnsi="Arial" w:cs="Arial"/>
          <w:szCs w:val="24"/>
          <w:lang w:val="es-CO" w:eastAsia="ar-SA"/>
        </w:rPr>
        <w:t>.</w:t>
      </w:r>
      <w:r w:rsidR="007F09C1" w:rsidRPr="00545310">
        <w:rPr>
          <w:rFonts w:ascii="Arial" w:hAnsi="Arial" w:cs="Arial"/>
          <w:szCs w:val="24"/>
          <w:lang w:val="es-CO" w:eastAsia="ar-SA"/>
        </w:rPr>
        <w:t xml:space="preserve"> </w:t>
      </w:r>
    </w:p>
    <w:p w14:paraId="640AD97D" w14:textId="77777777" w:rsidR="00E755F5" w:rsidRPr="00545310" w:rsidRDefault="00E755F5" w:rsidP="006538E3">
      <w:pPr>
        <w:pStyle w:val="Sangradetextonormal"/>
        <w:spacing w:after="0"/>
        <w:ind w:left="0"/>
        <w:rPr>
          <w:rFonts w:ascii="Arial" w:hAnsi="Arial" w:cs="Arial"/>
          <w:szCs w:val="24"/>
          <w:lang w:val="es-CO" w:eastAsia="ar-SA"/>
        </w:rPr>
      </w:pPr>
    </w:p>
    <w:p w14:paraId="0F467D49" w14:textId="77777777" w:rsidR="00E755F5" w:rsidRPr="00545310" w:rsidRDefault="007F09C1" w:rsidP="006538E3">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En </w:t>
      </w:r>
      <w:r w:rsidR="00E755F5" w:rsidRPr="00545310">
        <w:rPr>
          <w:rFonts w:ascii="Arial" w:hAnsi="Arial" w:cs="Arial"/>
          <w:szCs w:val="24"/>
          <w:lang w:val="es-CO" w:eastAsia="ar-SA"/>
        </w:rPr>
        <w:t xml:space="preserve">la </w:t>
      </w:r>
      <w:r w:rsidR="00EA1640" w:rsidRPr="00545310">
        <w:rPr>
          <w:rFonts w:ascii="Arial" w:hAnsi="Arial" w:cs="Arial"/>
          <w:szCs w:val="24"/>
          <w:lang w:val="es-CO" w:eastAsia="ar-SA"/>
        </w:rPr>
        <w:t xml:space="preserve">última </w:t>
      </w:r>
      <w:r w:rsidRPr="00545310">
        <w:rPr>
          <w:rFonts w:ascii="Arial" w:hAnsi="Arial" w:cs="Arial"/>
          <w:szCs w:val="24"/>
          <w:lang w:val="es-CO" w:eastAsia="ar-SA"/>
        </w:rPr>
        <w:t>comunicación</w:t>
      </w:r>
      <w:r w:rsidR="00EA1640" w:rsidRPr="00545310">
        <w:rPr>
          <w:rFonts w:ascii="Arial" w:hAnsi="Arial" w:cs="Arial"/>
          <w:szCs w:val="24"/>
          <w:lang w:val="es-CO" w:eastAsia="ar-SA"/>
        </w:rPr>
        <w:t xml:space="preserve"> citada</w:t>
      </w:r>
      <w:r w:rsidR="00E755F5" w:rsidRPr="00545310">
        <w:rPr>
          <w:rFonts w:ascii="Arial" w:hAnsi="Arial" w:cs="Arial"/>
          <w:szCs w:val="24"/>
          <w:lang w:val="es-CO" w:eastAsia="ar-SA"/>
        </w:rPr>
        <w:t>,</w:t>
      </w:r>
      <w:r w:rsidRPr="00545310">
        <w:rPr>
          <w:rFonts w:ascii="Arial" w:hAnsi="Arial" w:cs="Arial"/>
          <w:szCs w:val="24"/>
          <w:lang w:val="es-CO" w:eastAsia="ar-SA"/>
        </w:rPr>
        <w:t xml:space="preserve"> </w:t>
      </w:r>
      <w:r w:rsidR="00676CB5" w:rsidRPr="00545310">
        <w:rPr>
          <w:rFonts w:ascii="Arial" w:hAnsi="Arial" w:cs="Arial"/>
          <w:szCs w:val="24"/>
          <w:lang w:val="es-CO" w:eastAsia="ar-SA"/>
        </w:rPr>
        <w:t xml:space="preserve">CONFIANZA </w:t>
      </w:r>
      <w:r w:rsidRPr="00545310">
        <w:rPr>
          <w:rFonts w:ascii="Arial" w:hAnsi="Arial" w:cs="Arial"/>
          <w:szCs w:val="24"/>
          <w:lang w:val="es-CO" w:eastAsia="ar-SA"/>
        </w:rPr>
        <w:t xml:space="preserve">accedió a </w:t>
      </w:r>
      <w:r w:rsidR="00E755F5" w:rsidRPr="00545310">
        <w:rPr>
          <w:rFonts w:ascii="Arial" w:hAnsi="Arial" w:cs="Arial"/>
          <w:szCs w:val="24"/>
          <w:lang w:val="es-CO" w:eastAsia="ar-SA"/>
        </w:rPr>
        <w:t xml:space="preserve">realizar </w:t>
      </w:r>
      <w:r w:rsidRPr="00545310">
        <w:rPr>
          <w:rFonts w:ascii="Arial" w:hAnsi="Arial" w:cs="Arial"/>
          <w:szCs w:val="24"/>
          <w:lang w:val="es-CO" w:eastAsia="ar-SA"/>
        </w:rPr>
        <w:t xml:space="preserve">un pago adicional por el monto de $86’494.576, </w:t>
      </w:r>
      <w:r w:rsidRPr="00545310">
        <w:rPr>
          <w:rFonts w:ascii="Arial" w:hAnsi="Arial" w:cs="Arial"/>
          <w:i/>
          <w:szCs w:val="24"/>
          <w:lang w:val="es-CO" w:eastAsia="ar-SA"/>
        </w:rPr>
        <w:t>“entendiendo que efectivamente la entidad ya había realizado el descuento cuando aplicó la prop</w:t>
      </w:r>
      <w:r w:rsidR="00676CB5" w:rsidRPr="00545310">
        <w:rPr>
          <w:rFonts w:ascii="Arial" w:hAnsi="Arial" w:cs="Arial"/>
          <w:i/>
          <w:szCs w:val="24"/>
          <w:lang w:val="es-CO" w:eastAsia="ar-SA"/>
        </w:rPr>
        <w:t>o</w:t>
      </w:r>
      <w:r w:rsidRPr="00545310">
        <w:rPr>
          <w:rFonts w:ascii="Arial" w:hAnsi="Arial" w:cs="Arial"/>
          <w:i/>
          <w:szCs w:val="24"/>
          <w:lang w:val="es-CO" w:eastAsia="ar-SA"/>
        </w:rPr>
        <w:t>rcionalidad de la cláusula penal</w:t>
      </w:r>
      <w:r w:rsidR="00A93889" w:rsidRPr="00545310">
        <w:rPr>
          <w:rFonts w:ascii="Arial" w:hAnsi="Arial" w:cs="Arial"/>
          <w:i/>
          <w:szCs w:val="24"/>
          <w:lang w:val="es-CO" w:eastAsia="ar-SA"/>
        </w:rPr>
        <w:t>”</w:t>
      </w:r>
      <w:r w:rsidR="00A93889" w:rsidRPr="00545310">
        <w:rPr>
          <w:rFonts w:ascii="Arial" w:hAnsi="Arial" w:cs="Arial"/>
          <w:szCs w:val="24"/>
          <w:lang w:val="es-CO" w:eastAsia="ar-SA"/>
        </w:rPr>
        <w:t xml:space="preserve">. </w:t>
      </w:r>
    </w:p>
    <w:p w14:paraId="1E411876" w14:textId="77777777" w:rsidR="00E755F5" w:rsidRPr="00545310" w:rsidRDefault="00E755F5" w:rsidP="006538E3">
      <w:pPr>
        <w:pStyle w:val="Sangradetextonormal"/>
        <w:spacing w:after="0"/>
        <w:ind w:left="0"/>
        <w:rPr>
          <w:rFonts w:ascii="Arial" w:hAnsi="Arial" w:cs="Arial"/>
          <w:szCs w:val="24"/>
          <w:lang w:val="es-CO" w:eastAsia="ar-SA"/>
        </w:rPr>
      </w:pPr>
    </w:p>
    <w:p w14:paraId="42543086" w14:textId="77777777" w:rsidR="00A93889" w:rsidRPr="00545310" w:rsidRDefault="00A93889" w:rsidP="006538E3">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Sin embargo,</w:t>
      </w:r>
      <w:r w:rsidR="00676CB5" w:rsidRPr="00545310">
        <w:rPr>
          <w:rFonts w:ascii="Arial" w:hAnsi="Arial" w:cs="Arial"/>
          <w:szCs w:val="24"/>
          <w:lang w:val="es-CO" w:eastAsia="ar-SA"/>
        </w:rPr>
        <w:t xml:space="preserve"> </w:t>
      </w:r>
      <w:r w:rsidR="00EA1640" w:rsidRPr="00545310">
        <w:rPr>
          <w:rFonts w:ascii="Arial" w:hAnsi="Arial" w:cs="Arial"/>
          <w:szCs w:val="24"/>
          <w:lang w:val="es-CO" w:eastAsia="ar-SA"/>
        </w:rPr>
        <w:t xml:space="preserve">esa aseguradora </w:t>
      </w:r>
      <w:r w:rsidR="00676CB5" w:rsidRPr="00545310">
        <w:rPr>
          <w:rFonts w:ascii="Arial" w:hAnsi="Arial" w:cs="Arial"/>
          <w:szCs w:val="24"/>
          <w:lang w:val="es-CO" w:eastAsia="ar-SA"/>
        </w:rPr>
        <w:t>reiteró que las reclamaciones por la suma de $</w:t>
      </w:r>
      <w:r w:rsidR="00123BE1" w:rsidRPr="00545310">
        <w:rPr>
          <w:rFonts w:ascii="Arial" w:hAnsi="Arial" w:cs="Arial"/>
          <w:szCs w:val="24"/>
          <w:lang w:val="es-CO" w:eastAsia="ar-SA"/>
        </w:rPr>
        <w:t xml:space="preserve">373’168.864, liquidadas en la </w:t>
      </w:r>
      <w:r w:rsidR="00676CB5" w:rsidRPr="00545310">
        <w:rPr>
          <w:rFonts w:ascii="Arial" w:hAnsi="Arial" w:cs="Arial"/>
          <w:szCs w:val="24"/>
          <w:lang w:val="es-CO" w:eastAsia="ar-SA"/>
        </w:rPr>
        <w:t>R</w:t>
      </w:r>
      <w:r w:rsidR="00123BE1" w:rsidRPr="00545310">
        <w:rPr>
          <w:rFonts w:ascii="Arial" w:hAnsi="Arial" w:cs="Arial"/>
          <w:szCs w:val="24"/>
          <w:lang w:val="es-CO" w:eastAsia="ar-SA"/>
        </w:rPr>
        <w:t>esolución 1</w:t>
      </w:r>
      <w:r w:rsidR="00AB5972" w:rsidRPr="00545310">
        <w:rPr>
          <w:rFonts w:ascii="Arial" w:hAnsi="Arial" w:cs="Arial"/>
          <w:szCs w:val="24"/>
          <w:lang w:val="es-CO" w:eastAsia="ar-SA"/>
        </w:rPr>
        <w:t>1</w:t>
      </w:r>
      <w:r w:rsidR="00123BE1" w:rsidRPr="00545310">
        <w:rPr>
          <w:rFonts w:ascii="Arial" w:hAnsi="Arial" w:cs="Arial"/>
          <w:szCs w:val="24"/>
          <w:lang w:val="es-CO" w:eastAsia="ar-SA"/>
        </w:rPr>
        <w:t>51 de 2011,</w:t>
      </w:r>
      <w:r w:rsidRPr="00545310">
        <w:rPr>
          <w:rFonts w:ascii="Arial" w:hAnsi="Arial" w:cs="Arial"/>
          <w:szCs w:val="24"/>
          <w:lang w:val="es-CO" w:eastAsia="ar-SA"/>
        </w:rPr>
        <w:t xml:space="preserve"> </w:t>
      </w:r>
      <w:r w:rsidR="00123BE1" w:rsidRPr="00545310">
        <w:rPr>
          <w:rFonts w:ascii="Arial" w:hAnsi="Arial" w:cs="Arial"/>
          <w:i/>
          <w:szCs w:val="24"/>
          <w:lang w:val="es-CO" w:eastAsia="ar-SA"/>
        </w:rPr>
        <w:t>“</w:t>
      </w:r>
      <w:r w:rsidRPr="00545310">
        <w:rPr>
          <w:rFonts w:ascii="Arial" w:hAnsi="Arial" w:cs="Arial"/>
          <w:i/>
          <w:szCs w:val="24"/>
          <w:lang w:val="es-CO" w:eastAsia="ar-SA"/>
        </w:rPr>
        <w:t>no son objeto de cobertura por tratarse de perjuicios consecuenciales que no deberá asumir la garante”</w:t>
      </w:r>
      <w:r w:rsidRPr="00545310">
        <w:rPr>
          <w:rStyle w:val="Refdenotaalpie"/>
          <w:rFonts w:ascii="Arial" w:hAnsi="Arial" w:cs="Arial"/>
          <w:szCs w:val="24"/>
          <w:lang w:val="es-CO" w:eastAsia="ar-SA"/>
        </w:rPr>
        <w:footnoteReference w:id="54"/>
      </w:r>
      <w:r w:rsidR="00BE6350" w:rsidRPr="00545310">
        <w:rPr>
          <w:rFonts w:ascii="Arial" w:hAnsi="Arial" w:cs="Arial"/>
          <w:szCs w:val="24"/>
          <w:lang w:val="es-CO" w:eastAsia="ar-SA"/>
        </w:rPr>
        <w:t>.</w:t>
      </w:r>
    </w:p>
    <w:p w14:paraId="32D64D5C" w14:textId="77777777" w:rsidR="00A93889" w:rsidRPr="00545310" w:rsidRDefault="00A93889" w:rsidP="006538E3">
      <w:pPr>
        <w:pStyle w:val="Sangradetextonormal"/>
        <w:spacing w:after="0"/>
        <w:ind w:left="0"/>
        <w:rPr>
          <w:rFonts w:ascii="Arial" w:hAnsi="Arial" w:cs="Arial"/>
          <w:szCs w:val="24"/>
          <w:lang w:val="es-CO" w:eastAsia="ar-SA"/>
        </w:rPr>
      </w:pPr>
    </w:p>
    <w:p w14:paraId="6262A39A" w14:textId="77777777" w:rsidR="00703226" w:rsidRPr="00545310" w:rsidRDefault="00A93889" w:rsidP="00E755F5">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Con fundamento en el recuento anterior</w:t>
      </w:r>
      <w:r w:rsidR="00E755F5" w:rsidRPr="00545310">
        <w:rPr>
          <w:rFonts w:ascii="Arial" w:hAnsi="Arial" w:cs="Arial"/>
          <w:szCs w:val="24"/>
          <w:lang w:val="es-CO" w:eastAsia="ar-SA"/>
        </w:rPr>
        <w:t>,</w:t>
      </w:r>
      <w:r w:rsidRPr="00545310">
        <w:rPr>
          <w:rFonts w:ascii="Arial" w:hAnsi="Arial" w:cs="Arial"/>
          <w:szCs w:val="24"/>
          <w:lang w:val="es-CO" w:eastAsia="ar-SA"/>
        </w:rPr>
        <w:t xml:space="preserve"> se </w:t>
      </w:r>
      <w:r w:rsidR="00AB5972" w:rsidRPr="00545310">
        <w:rPr>
          <w:rFonts w:ascii="Arial" w:hAnsi="Arial" w:cs="Arial"/>
          <w:szCs w:val="24"/>
          <w:lang w:val="es-CO" w:eastAsia="ar-SA"/>
        </w:rPr>
        <w:t xml:space="preserve">advierte </w:t>
      </w:r>
      <w:r w:rsidRPr="00545310">
        <w:rPr>
          <w:rFonts w:ascii="Arial" w:hAnsi="Arial" w:cs="Arial"/>
          <w:szCs w:val="24"/>
          <w:lang w:val="es-CO" w:eastAsia="ar-SA"/>
        </w:rPr>
        <w:t xml:space="preserve">que la </w:t>
      </w:r>
      <w:r w:rsidR="00E755F5" w:rsidRPr="00545310">
        <w:rPr>
          <w:rFonts w:ascii="Arial" w:hAnsi="Arial" w:cs="Arial"/>
          <w:szCs w:val="24"/>
          <w:lang w:val="es-CO" w:eastAsia="ar-SA"/>
        </w:rPr>
        <w:t xml:space="preserve">compañía </w:t>
      </w:r>
      <w:r w:rsidRPr="00545310">
        <w:rPr>
          <w:rFonts w:ascii="Arial" w:hAnsi="Arial" w:cs="Arial"/>
          <w:szCs w:val="24"/>
          <w:lang w:val="es-CO" w:eastAsia="ar-SA"/>
        </w:rPr>
        <w:t xml:space="preserve">aseguradora objetó la reclamación, </w:t>
      </w:r>
      <w:r w:rsidR="00905C0F" w:rsidRPr="00545310">
        <w:rPr>
          <w:rFonts w:ascii="Arial" w:hAnsi="Arial" w:cs="Arial"/>
          <w:szCs w:val="24"/>
          <w:lang w:val="es-CO" w:eastAsia="ar-SA"/>
        </w:rPr>
        <w:t xml:space="preserve">lo cual la sitúa en el ejercicio de sus derechos </w:t>
      </w:r>
      <w:r w:rsidR="0018443F" w:rsidRPr="00545310">
        <w:rPr>
          <w:rFonts w:ascii="Arial" w:hAnsi="Arial" w:cs="Arial"/>
          <w:szCs w:val="24"/>
          <w:lang w:val="es-CO" w:eastAsia="ar-SA"/>
        </w:rPr>
        <w:t xml:space="preserve">para los efectos de los artículos 1053 y 1080 del Código de Comercio, </w:t>
      </w:r>
      <w:r w:rsidR="00CF0633" w:rsidRPr="00545310">
        <w:rPr>
          <w:rFonts w:ascii="Arial" w:hAnsi="Arial" w:cs="Arial"/>
          <w:szCs w:val="24"/>
          <w:lang w:val="es-CO" w:eastAsia="ar-SA"/>
        </w:rPr>
        <w:t>es decir</w:t>
      </w:r>
      <w:r w:rsidR="00D25FE0" w:rsidRPr="00545310">
        <w:rPr>
          <w:rFonts w:ascii="Arial" w:hAnsi="Arial" w:cs="Arial"/>
          <w:szCs w:val="24"/>
          <w:lang w:val="es-CO" w:eastAsia="ar-SA"/>
        </w:rPr>
        <w:t>,</w:t>
      </w:r>
      <w:r w:rsidR="00CF0633" w:rsidRPr="00545310">
        <w:rPr>
          <w:rFonts w:ascii="Arial" w:hAnsi="Arial" w:cs="Arial"/>
          <w:szCs w:val="24"/>
          <w:lang w:val="es-CO" w:eastAsia="ar-SA"/>
        </w:rPr>
        <w:t xml:space="preserve"> que </w:t>
      </w:r>
      <w:r w:rsidR="0018443F" w:rsidRPr="00545310">
        <w:rPr>
          <w:rFonts w:ascii="Arial" w:hAnsi="Arial" w:cs="Arial"/>
          <w:szCs w:val="24"/>
          <w:lang w:val="es-CO" w:eastAsia="ar-SA"/>
        </w:rPr>
        <w:t xml:space="preserve">tuvo lugar </w:t>
      </w:r>
      <w:r w:rsidR="00CF0633" w:rsidRPr="00545310">
        <w:rPr>
          <w:rFonts w:ascii="Arial" w:hAnsi="Arial" w:cs="Arial"/>
          <w:szCs w:val="24"/>
          <w:lang w:val="es-CO" w:eastAsia="ar-SA"/>
        </w:rPr>
        <w:t>el</w:t>
      </w:r>
      <w:r w:rsidR="0018443F" w:rsidRPr="00545310">
        <w:rPr>
          <w:rFonts w:ascii="Arial" w:hAnsi="Arial" w:cs="Arial"/>
          <w:szCs w:val="24"/>
          <w:lang w:val="es-CO" w:eastAsia="ar-SA"/>
        </w:rPr>
        <w:t xml:space="preserve"> </w:t>
      </w:r>
      <w:r w:rsidR="00D25FE0" w:rsidRPr="00545310">
        <w:rPr>
          <w:rFonts w:ascii="Arial" w:hAnsi="Arial" w:cs="Arial"/>
          <w:szCs w:val="24"/>
          <w:lang w:val="es-CO" w:eastAsia="ar-SA"/>
        </w:rPr>
        <w:t xml:space="preserve">ejercicio del </w:t>
      </w:r>
      <w:r w:rsidR="0018443F" w:rsidRPr="00545310">
        <w:rPr>
          <w:rFonts w:ascii="Arial" w:hAnsi="Arial" w:cs="Arial"/>
          <w:szCs w:val="24"/>
          <w:lang w:val="es-CO" w:eastAsia="ar-SA"/>
        </w:rPr>
        <w:t>derecho de defensa</w:t>
      </w:r>
      <w:r w:rsidR="00905C0F" w:rsidRPr="00545310">
        <w:rPr>
          <w:rFonts w:ascii="Arial" w:hAnsi="Arial" w:cs="Arial"/>
          <w:szCs w:val="24"/>
          <w:lang w:val="es-CO" w:eastAsia="ar-SA"/>
        </w:rPr>
        <w:t xml:space="preserve"> contra la respectiva cobranza</w:t>
      </w:r>
      <w:r w:rsidR="00CF0633" w:rsidRPr="00545310">
        <w:rPr>
          <w:rFonts w:ascii="Arial" w:hAnsi="Arial" w:cs="Arial"/>
          <w:szCs w:val="24"/>
          <w:lang w:val="es-CO" w:eastAsia="ar-SA"/>
        </w:rPr>
        <w:t xml:space="preserve"> </w:t>
      </w:r>
      <w:r w:rsidR="00AB30E3" w:rsidRPr="00545310">
        <w:rPr>
          <w:rFonts w:ascii="Arial" w:hAnsi="Arial" w:cs="Arial"/>
          <w:szCs w:val="24"/>
          <w:lang w:val="es-CO" w:eastAsia="ar-SA"/>
        </w:rPr>
        <w:t xml:space="preserve">ejecutiva </w:t>
      </w:r>
      <w:r w:rsidR="00CF0633" w:rsidRPr="00545310">
        <w:rPr>
          <w:rFonts w:ascii="Arial" w:hAnsi="Arial" w:cs="Arial"/>
          <w:szCs w:val="24"/>
          <w:lang w:val="es-CO" w:eastAsia="ar-SA"/>
        </w:rPr>
        <w:t>de la póliza de seguros</w:t>
      </w:r>
      <w:r w:rsidR="0018443F" w:rsidRPr="00545310">
        <w:rPr>
          <w:rFonts w:ascii="Arial" w:hAnsi="Arial" w:cs="Arial"/>
          <w:szCs w:val="24"/>
          <w:lang w:val="es-CO" w:eastAsia="ar-SA"/>
        </w:rPr>
        <w:t>, con el efecto de suspender la exigibilidad de</w:t>
      </w:r>
      <w:r w:rsidR="00B60F32" w:rsidRPr="00545310">
        <w:rPr>
          <w:rFonts w:ascii="Arial" w:hAnsi="Arial" w:cs="Arial"/>
          <w:szCs w:val="24"/>
          <w:lang w:val="es-CO" w:eastAsia="ar-SA"/>
        </w:rPr>
        <w:t xml:space="preserve">l </w:t>
      </w:r>
      <w:r w:rsidR="0018443F" w:rsidRPr="00545310">
        <w:rPr>
          <w:rFonts w:ascii="Arial" w:hAnsi="Arial" w:cs="Arial"/>
          <w:szCs w:val="24"/>
          <w:lang w:val="es-CO" w:eastAsia="ar-SA"/>
        </w:rPr>
        <w:t>monto materia de</w:t>
      </w:r>
      <w:r w:rsidR="00EA1640" w:rsidRPr="00545310">
        <w:rPr>
          <w:rFonts w:ascii="Arial" w:hAnsi="Arial" w:cs="Arial"/>
          <w:szCs w:val="24"/>
          <w:lang w:val="es-CO" w:eastAsia="ar-SA"/>
        </w:rPr>
        <w:t xml:space="preserve"> los actos acusados en e</w:t>
      </w:r>
      <w:r w:rsidR="0018443F" w:rsidRPr="00545310">
        <w:rPr>
          <w:rFonts w:ascii="Arial" w:hAnsi="Arial" w:cs="Arial"/>
          <w:szCs w:val="24"/>
          <w:lang w:val="es-CO" w:eastAsia="ar-SA"/>
        </w:rPr>
        <w:t xml:space="preserve">l </w:t>
      </w:r>
      <w:r w:rsidR="00B60F32" w:rsidRPr="00545310">
        <w:rPr>
          <w:rFonts w:ascii="Arial" w:hAnsi="Arial" w:cs="Arial"/>
          <w:szCs w:val="24"/>
          <w:lang w:val="es-CO" w:eastAsia="ar-SA"/>
        </w:rPr>
        <w:t xml:space="preserve">presente </w:t>
      </w:r>
      <w:r w:rsidR="00EA1640" w:rsidRPr="00545310">
        <w:rPr>
          <w:rFonts w:ascii="Arial" w:hAnsi="Arial" w:cs="Arial"/>
          <w:szCs w:val="24"/>
          <w:lang w:val="es-CO" w:eastAsia="ar-SA"/>
        </w:rPr>
        <w:t>litigio</w:t>
      </w:r>
      <w:r w:rsidR="00703226" w:rsidRPr="00545310">
        <w:rPr>
          <w:rFonts w:ascii="Arial" w:hAnsi="Arial" w:cs="Arial"/>
          <w:szCs w:val="24"/>
          <w:lang w:val="es-CO" w:eastAsia="ar-SA"/>
        </w:rPr>
        <w:t>.</w:t>
      </w:r>
    </w:p>
    <w:p w14:paraId="7D2B3B56" w14:textId="77777777" w:rsidR="00A93889" w:rsidRPr="00545310" w:rsidRDefault="00A93889" w:rsidP="006538E3">
      <w:pPr>
        <w:pStyle w:val="Sangradetextonormal"/>
        <w:spacing w:after="0"/>
        <w:ind w:left="0"/>
        <w:rPr>
          <w:rFonts w:ascii="Arial" w:hAnsi="Arial" w:cs="Arial"/>
          <w:i/>
          <w:szCs w:val="24"/>
          <w:lang w:val="es-CO" w:eastAsia="ar-SA"/>
        </w:rPr>
      </w:pPr>
    </w:p>
    <w:p w14:paraId="7E903DC3" w14:textId="77777777" w:rsidR="00C5558C" w:rsidRPr="00545310" w:rsidRDefault="00C5558C" w:rsidP="00DC4458">
      <w:pPr>
        <w:pStyle w:val="Sangradetextonormal"/>
        <w:spacing w:after="0" w:line="240" w:lineRule="auto"/>
        <w:ind w:left="0"/>
        <w:rPr>
          <w:rFonts w:ascii="Arial" w:hAnsi="Arial" w:cs="Arial"/>
          <w:b/>
          <w:szCs w:val="24"/>
          <w:lang w:val="es-CO" w:eastAsia="ar-SA"/>
        </w:rPr>
      </w:pPr>
    </w:p>
    <w:p w14:paraId="7E9E54DA" w14:textId="77777777" w:rsidR="006524A2" w:rsidRPr="00545310" w:rsidRDefault="00731923" w:rsidP="00DC4458">
      <w:pPr>
        <w:pStyle w:val="Sangradetextonormal"/>
        <w:spacing w:after="0" w:line="240" w:lineRule="auto"/>
        <w:ind w:left="0"/>
        <w:rPr>
          <w:rFonts w:ascii="Arial" w:hAnsi="Arial" w:cs="Arial"/>
          <w:b/>
          <w:szCs w:val="24"/>
          <w:lang w:val="es-CO" w:eastAsia="ar-SA"/>
        </w:rPr>
      </w:pPr>
      <w:r w:rsidRPr="00545310">
        <w:rPr>
          <w:rFonts w:ascii="Arial" w:hAnsi="Arial" w:cs="Arial"/>
          <w:b/>
          <w:szCs w:val="24"/>
          <w:lang w:val="es-CO" w:eastAsia="ar-SA"/>
        </w:rPr>
        <w:t xml:space="preserve">7.3. </w:t>
      </w:r>
      <w:r w:rsidR="009826FF" w:rsidRPr="00545310">
        <w:rPr>
          <w:rFonts w:ascii="Arial" w:hAnsi="Arial" w:cs="Arial"/>
          <w:b/>
          <w:szCs w:val="24"/>
          <w:lang w:val="es-CO" w:eastAsia="ar-SA"/>
        </w:rPr>
        <w:t>Análisis de l</w:t>
      </w:r>
      <w:r w:rsidR="006524A2" w:rsidRPr="00545310">
        <w:rPr>
          <w:rFonts w:ascii="Arial" w:hAnsi="Arial" w:cs="Arial"/>
          <w:b/>
          <w:szCs w:val="24"/>
          <w:lang w:val="es-CO" w:eastAsia="ar-SA"/>
        </w:rPr>
        <w:t>os actos acusados y l</w:t>
      </w:r>
      <w:r w:rsidR="009826FF" w:rsidRPr="00545310">
        <w:rPr>
          <w:rFonts w:ascii="Arial" w:hAnsi="Arial" w:cs="Arial"/>
          <w:b/>
          <w:szCs w:val="24"/>
          <w:lang w:val="es-CO" w:eastAsia="ar-SA"/>
        </w:rPr>
        <w:t>as</w:t>
      </w:r>
      <w:r w:rsidR="00703226" w:rsidRPr="00545310">
        <w:rPr>
          <w:rFonts w:ascii="Arial" w:hAnsi="Arial" w:cs="Arial"/>
          <w:b/>
          <w:szCs w:val="24"/>
          <w:lang w:val="es-CO" w:eastAsia="ar-SA"/>
        </w:rPr>
        <w:t xml:space="preserve"> </w:t>
      </w:r>
      <w:r w:rsidR="009826FF" w:rsidRPr="00545310">
        <w:rPr>
          <w:rFonts w:ascii="Arial" w:hAnsi="Arial" w:cs="Arial"/>
          <w:b/>
          <w:szCs w:val="24"/>
          <w:lang w:val="es-CO" w:eastAsia="ar-SA"/>
        </w:rPr>
        <w:t xml:space="preserve">pruebas </w:t>
      </w:r>
      <w:r w:rsidR="006524A2" w:rsidRPr="00545310">
        <w:rPr>
          <w:rFonts w:ascii="Arial" w:hAnsi="Arial" w:cs="Arial"/>
          <w:b/>
          <w:szCs w:val="24"/>
          <w:lang w:val="es-CO" w:eastAsia="ar-SA"/>
        </w:rPr>
        <w:t>correlativas a la cuantificación del perjuicio</w:t>
      </w:r>
    </w:p>
    <w:p w14:paraId="1B2A2882" w14:textId="77777777" w:rsidR="009826FF" w:rsidRPr="00545310" w:rsidRDefault="009826FF" w:rsidP="00B26B0D">
      <w:pPr>
        <w:pStyle w:val="Sangradetextonormal"/>
        <w:spacing w:after="0"/>
        <w:ind w:left="0"/>
        <w:rPr>
          <w:rFonts w:ascii="Arial" w:hAnsi="Arial" w:cs="Arial"/>
          <w:szCs w:val="24"/>
          <w:lang w:val="es-CO" w:eastAsia="ar-SA"/>
        </w:rPr>
      </w:pPr>
    </w:p>
    <w:p w14:paraId="3B60B9B3" w14:textId="77777777" w:rsidR="00AB5972" w:rsidRPr="00545310" w:rsidRDefault="00913C58" w:rsidP="00B26B0D">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Debe acotarse que </w:t>
      </w:r>
      <w:r w:rsidR="00905C0F" w:rsidRPr="00545310">
        <w:rPr>
          <w:rFonts w:ascii="Arial" w:hAnsi="Arial" w:cs="Arial"/>
          <w:szCs w:val="24"/>
          <w:lang w:val="es-CO" w:eastAsia="ar-SA"/>
        </w:rPr>
        <w:t>e</w:t>
      </w:r>
      <w:r w:rsidR="00AB5972" w:rsidRPr="00545310">
        <w:rPr>
          <w:rFonts w:ascii="Arial" w:hAnsi="Arial" w:cs="Arial"/>
          <w:szCs w:val="24"/>
          <w:lang w:val="es-CO" w:eastAsia="ar-SA"/>
        </w:rPr>
        <w:t>n</w:t>
      </w:r>
      <w:r w:rsidR="00A04303" w:rsidRPr="00545310">
        <w:rPr>
          <w:rFonts w:ascii="Arial" w:hAnsi="Arial" w:cs="Arial"/>
          <w:szCs w:val="24"/>
          <w:lang w:val="es-CO" w:eastAsia="ar-SA"/>
        </w:rPr>
        <w:t xml:space="preserve"> el artículo segundo de l</w:t>
      </w:r>
      <w:r w:rsidRPr="00545310">
        <w:rPr>
          <w:rFonts w:ascii="Arial" w:hAnsi="Arial" w:cs="Arial"/>
          <w:szCs w:val="24"/>
          <w:lang w:val="es-CO" w:eastAsia="ar-SA"/>
        </w:rPr>
        <w:t>a Resolución 1151 de 8 de septiembre de 2011, - materia de la pretensión de nulidad en el presente proceso</w:t>
      </w:r>
      <w:r w:rsidR="00CF0633" w:rsidRPr="00545310">
        <w:rPr>
          <w:rFonts w:ascii="Arial" w:hAnsi="Arial" w:cs="Arial"/>
          <w:szCs w:val="24"/>
          <w:lang w:val="es-CO" w:eastAsia="ar-SA"/>
        </w:rPr>
        <w:t>-</w:t>
      </w:r>
      <w:r w:rsidRPr="00545310">
        <w:rPr>
          <w:rFonts w:ascii="Arial" w:hAnsi="Arial" w:cs="Arial"/>
          <w:szCs w:val="24"/>
          <w:lang w:val="es-CO" w:eastAsia="ar-SA"/>
        </w:rPr>
        <w:t xml:space="preserve"> FONADE dispuso</w:t>
      </w:r>
      <w:r w:rsidR="00D25FE0" w:rsidRPr="00545310">
        <w:rPr>
          <w:rFonts w:ascii="Arial" w:hAnsi="Arial" w:cs="Arial"/>
          <w:szCs w:val="24"/>
          <w:lang w:val="es-CO" w:eastAsia="ar-SA"/>
        </w:rPr>
        <w:t xml:space="preserve"> (se transcribe literal incluso con posibles errores)</w:t>
      </w:r>
      <w:r w:rsidRPr="00545310">
        <w:rPr>
          <w:rFonts w:ascii="Arial" w:hAnsi="Arial" w:cs="Arial"/>
          <w:szCs w:val="24"/>
          <w:lang w:val="es-CO" w:eastAsia="ar-SA"/>
        </w:rPr>
        <w:t>:</w:t>
      </w:r>
    </w:p>
    <w:p w14:paraId="08C0E3E5" w14:textId="77777777" w:rsidR="00AB5972" w:rsidRPr="00545310" w:rsidRDefault="00AB5972" w:rsidP="00B26B0D">
      <w:pPr>
        <w:pStyle w:val="Sangradetextonormal"/>
        <w:spacing w:after="0"/>
        <w:ind w:left="0"/>
        <w:rPr>
          <w:rFonts w:ascii="Arial" w:hAnsi="Arial" w:cs="Arial"/>
          <w:szCs w:val="24"/>
          <w:lang w:val="es-CO" w:eastAsia="ar-SA"/>
        </w:rPr>
      </w:pPr>
    </w:p>
    <w:p w14:paraId="6AF36FD4" w14:textId="77777777" w:rsidR="00913C58" w:rsidRPr="00545310" w:rsidRDefault="00683479" w:rsidP="00683479">
      <w:pPr>
        <w:pStyle w:val="Sangradetextonormal"/>
        <w:spacing w:after="0" w:line="276" w:lineRule="auto"/>
        <w:ind w:left="567" w:right="567"/>
        <w:rPr>
          <w:rFonts w:ascii="Arial" w:hAnsi="Arial" w:cs="Arial"/>
          <w:i/>
          <w:szCs w:val="24"/>
          <w:lang w:val="es-CO" w:eastAsia="ar-SA"/>
        </w:rPr>
      </w:pPr>
      <w:r w:rsidRPr="00545310">
        <w:rPr>
          <w:rFonts w:ascii="Arial" w:hAnsi="Arial" w:cs="Arial"/>
          <w:i/>
          <w:szCs w:val="24"/>
          <w:lang w:val="es-CO" w:eastAsia="ar-SA"/>
        </w:rPr>
        <w:t>“</w:t>
      </w:r>
      <w:r w:rsidR="00913C58" w:rsidRPr="00545310">
        <w:rPr>
          <w:rFonts w:ascii="Arial" w:hAnsi="Arial" w:cs="Arial"/>
          <w:b/>
          <w:i/>
          <w:szCs w:val="24"/>
          <w:u w:val="single"/>
          <w:lang w:val="es-CO" w:eastAsia="ar-SA"/>
        </w:rPr>
        <w:t>ARTÍCULO SEGUNDO</w:t>
      </w:r>
      <w:r w:rsidR="00913C58" w:rsidRPr="00545310">
        <w:rPr>
          <w:rFonts w:ascii="Arial" w:hAnsi="Arial" w:cs="Arial"/>
          <w:i/>
          <w:szCs w:val="24"/>
          <w:lang w:val="es-CO" w:eastAsia="ar-SA"/>
        </w:rPr>
        <w:t xml:space="preserve">: </w:t>
      </w:r>
      <w:r w:rsidR="00913C58" w:rsidRPr="00545310">
        <w:rPr>
          <w:rFonts w:ascii="Arial" w:hAnsi="Arial" w:cs="Arial"/>
          <w:b/>
          <w:i/>
          <w:szCs w:val="24"/>
          <w:lang w:val="es-CO" w:eastAsia="ar-SA"/>
        </w:rPr>
        <w:t>MODIFICAR PARCIALMENTE</w:t>
      </w:r>
      <w:r w:rsidR="00913C58" w:rsidRPr="00545310">
        <w:rPr>
          <w:rFonts w:ascii="Arial" w:hAnsi="Arial" w:cs="Arial"/>
          <w:i/>
          <w:szCs w:val="24"/>
          <w:lang w:val="es-CO" w:eastAsia="ar-SA"/>
        </w:rPr>
        <w:t xml:space="preserve">, conforme a lo expuesto en la parte motiva de la </w:t>
      </w:r>
      <w:r w:rsidR="00E2646A" w:rsidRPr="00545310">
        <w:rPr>
          <w:rFonts w:ascii="Arial" w:hAnsi="Arial" w:cs="Arial"/>
          <w:i/>
          <w:szCs w:val="24"/>
          <w:lang w:val="es-CO" w:eastAsia="ar-SA"/>
        </w:rPr>
        <w:t>presente r</w:t>
      </w:r>
      <w:r w:rsidR="00913C58" w:rsidRPr="00545310">
        <w:rPr>
          <w:rFonts w:ascii="Arial" w:hAnsi="Arial" w:cs="Arial"/>
          <w:i/>
          <w:szCs w:val="24"/>
          <w:lang w:val="es-CO" w:eastAsia="ar-SA"/>
        </w:rPr>
        <w:t>esolución</w:t>
      </w:r>
      <w:r w:rsidR="00E2646A" w:rsidRPr="00545310">
        <w:rPr>
          <w:rFonts w:ascii="Arial" w:hAnsi="Arial" w:cs="Arial"/>
          <w:i/>
          <w:szCs w:val="24"/>
          <w:lang w:val="es-CO" w:eastAsia="ar-SA"/>
        </w:rPr>
        <w:t xml:space="preserve">, el artículo 4º </w:t>
      </w:r>
      <w:r w:rsidR="000A64E7" w:rsidRPr="00545310">
        <w:rPr>
          <w:rFonts w:ascii="Arial" w:hAnsi="Arial" w:cs="Arial"/>
          <w:i/>
          <w:szCs w:val="24"/>
          <w:lang w:val="es-CO" w:eastAsia="ar-SA"/>
        </w:rPr>
        <w:t xml:space="preserve">de la </w:t>
      </w:r>
      <w:r w:rsidR="00E2646A" w:rsidRPr="00545310">
        <w:rPr>
          <w:rFonts w:ascii="Arial" w:hAnsi="Arial" w:cs="Arial"/>
          <w:i/>
          <w:szCs w:val="24"/>
          <w:lang w:val="es-CO" w:eastAsia="ar-SA"/>
        </w:rPr>
        <w:t xml:space="preserve">Resolución 962 de 13 de mayo de 2011, </w:t>
      </w:r>
      <w:r w:rsidRPr="00545310">
        <w:rPr>
          <w:rFonts w:ascii="Arial" w:hAnsi="Arial" w:cs="Arial"/>
          <w:b/>
          <w:i/>
          <w:szCs w:val="24"/>
          <w:lang w:val="es-CO" w:eastAsia="ar-SA"/>
        </w:rPr>
        <w:t>‘</w:t>
      </w:r>
      <w:r w:rsidR="00E2646A" w:rsidRPr="00545310">
        <w:rPr>
          <w:rFonts w:ascii="Arial" w:hAnsi="Arial" w:cs="Arial"/>
          <w:b/>
          <w:i/>
          <w:szCs w:val="24"/>
          <w:lang w:val="es-CO" w:eastAsia="ar-SA"/>
        </w:rPr>
        <w:t xml:space="preserve">POR MEDIO DE LA CUAL SE </w:t>
      </w:r>
      <w:r w:rsidR="00E2646A" w:rsidRPr="00545310">
        <w:rPr>
          <w:rFonts w:ascii="Arial" w:hAnsi="Arial" w:cs="Arial"/>
          <w:b/>
          <w:i/>
          <w:szCs w:val="24"/>
          <w:lang w:val="es-CO" w:eastAsia="ar-SA"/>
        </w:rPr>
        <w:lastRenderedPageBreak/>
        <w:t>DECLARA LA CADUCIDAD DEL CONTRATO No. 2091477’</w:t>
      </w:r>
      <w:r w:rsidR="00E2646A" w:rsidRPr="00545310">
        <w:rPr>
          <w:rFonts w:ascii="Arial" w:hAnsi="Arial" w:cs="Arial"/>
          <w:i/>
          <w:szCs w:val="24"/>
          <w:lang w:val="es-CO" w:eastAsia="ar-SA"/>
        </w:rPr>
        <w:t xml:space="preserve"> el cual quedará así: </w:t>
      </w:r>
    </w:p>
    <w:p w14:paraId="1815F53B" w14:textId="77777777" w:rsidR="00683479" w:rsidRPr="00545310" w:rsidRDefault="00683479" w:rsidP="00683479">
      <w:pPr>
        <w:pStyle w:val="Sangradetextonormal"/>
        <w:spacing w:after="0" w:line="276" w:lineRule="auto"/>
        <w:ind w:left="567" w:right="567"/>
        <w:rPr>
          <w:rFonts w:ascii="Arial" w:hAnsi="Arial" w:cs="Arial"/>
          <w:i/>
          <w:szCs w:val="24"/>
          <w:lang w:val="es-CO" w:eastAsia="ar-SA"/>
        </w:rPr>
      </w:pPr>
    </w:p>
    <w:p w14:paraId="1D6D8A6A" w14:textId="77777777" w:rsidR="00683479" w:rsidRPr="00545310" w:rsidRDefault="00683479" w:rsidP="00683479">
      <w:pPr>
        <w:pStyle w:val="Sangradetextonormal"/>
        <w:spacing w:after="0" w:line="276" w:lineRule="auto"/>
        <w:ind w:left="567" w:right="567"/>
        <w:rPr>
          <w:rFonts w:ascii="Arial" w:hAnsi="Arial" w:cs="Arial"/>
          <w:i/>
          <w:szCs w:val="24"/>
          <w:lang w:val="es-CO" w:eastAsia="ar-SA"/>
        </w:rPr>
      </w:pPr>
      <w:r w:rsidRPr="00545310">
        <w:rPr>
          <w:rFonts w:ascii="Arial" w:hAnsi="Arial" w:cs="Arial"/>
          <w:i/>
          <w:szCs w:val="24"/>
          <w:lang w:val="es-CO" w:eastAsia="ar-SA"/>
        </w:rPr>
        <w:t>“</w:t>
      </w:r>
      <w:r w:rsidR="00DB5F72" w:rsidRPr="00545310">
        <w:rPr>
          <w:rFonts w:ascii="Arial" w:hAnsi="Arial" w:cs="Arial"/>
          <w:i/>
          <w:szCs w:val="24"/>
          <w:lang w:val="es-CO" w:eastAsia="ar-SA"/>
        </w:rPr>
        <w:t xml:space="preserve">Hacer efectiva a favor de FONADE la Garantía </w:t>
      </w:r>
      <w:r w:rsidRPr="00545310">
        <w:rPr>
          <w:rFonts w:ascii="Arial" w:hAnsi="Arial" w:cs="Arial"/>
          <w:i/>
          <w:szCs w:val="24"/>
          <w:lang w:val="es-CO" w:eastAsia="ar-SA"/>
        </w:rPr>
        <w:t>Ú</w:t>
      </w:r>
      <w:r w:rsidR="00DB5F72" w:rsidRPr="00545310">
        <w:rPr>
          <w:rFonts w:ascii="Arial" w:hAnsi="Arial" w:cs="Arial"/>
          <w:i/>
          <w:szCs w:val="24"/>
          <w:lang w:val="es-CO" w:eastAsia="ar-SA"/>
        </w:rPr>
        <w:t>nica constitu</w:t>
      </w:r>
      <w:r w:rsidRPr="00545310">
        <w:rPr>
          <w:rFonts w:ascii="Arial" w:hAnsi="Arial" w:cs="Arial"/>
          <w:i/>
          <w:szCs w:val="24"/>
          <w:lang w:val="es-CO" w:eastAsia="ar-SA"/>
        </w:rPr>
        <w:t>i</w:t>
      </w:r>
      <w:r w:rsidR="00DB5F72" w:rsidRPr="00545310">
        <w:rPr>
          <w:rFonts w:ascii="Arial" w:hAnsi="Arial" w:cs="Arial"/>
          <w:i/>
          <w:szCs w:val="24"/>
          <w:lang w:val="es-CO" w:eastAsia="ar-SA"/>
        </w:rPr>
        <w:t>da por el contratista mediante póliza GU069732 expedida por CONFIANZA S.A. en su amparo de cumplimiento del contrato</w:t>
      </w:r>
      <w:r w:rsidR="00CF4043" w:rsidRPr="00545310">
        <w:rPr>
          <w:rFonts w:ascii="Arial" w:hAnsi="Arial" w:cs="Arial"/>
          <w:i/>
          <w:szCs w:val="24"/>
          <w:lang w:val="es-CO" w:eastAsia="ar-SA"/>
        </w:rPr>
        <w:t>, por la suma de TRESCIENTOS SETENTA Y TRES MILLONES CIENTO SETENTA Y OCHO MIL OCHOCIENTOS SETENTA Y CUATRO PESOS CON NOVENTA Y SEIS SENTAVOS ($373’168.864,96 M/</w:t>
      </w:r>
      <w:proofErr w:type="spellStart"/>
      <w:r w:rsidR="00CF4043" w:rsidRPr="00545310">
        <w:rPr>
          <w:rFonts w:ascii="Arial" w:hAnsi="Arial" w:cs="Arial"/>
          <w:i/>
          <w:szCs w:val="24"/>
          <w:lang w:val="es-CO" w:eastAsia="ar-SA"/>
        </w:rPr>
        <w:t>C</w:t>
      </w:r>
      <w:r w:rsidR="00354CA6" w:rsidRPr="00545310">
        <w:rPr>
          <w:rFonts w:ascii="Arial" w:hAnsi="Arial" w:cs="Arial"/>
          <w:i/>
          <w:szCs w:val="24"/>
          <w:lang w:val="es-CO" w:eastAsia="ar-SA"/>
        </w:rPr>
        <w:t>te</w:t>
      </w:r>
      <w:proofErr w:type="spellEnd"/>
      <w:r w:rsidR="00354CA6" w:rsidRPr="00545310">
        <w:rPr>
          <w:rFonts w:ascii="Arial" w:hAnsi="Arial" w:cs="Arial"/>
          <w:i/>
          <w:szCs w:val="24"/>
          <w:lang w:val="es-CO" w:eastAsia="ar-SA"/>
        </w:rPr>
        <w:t>) adicionales a la suma afectada mediante el artículo tercero de la Resolución 962 de 13 de mayo de 2011</w:t>
      </w:r>
      <w:r w:rsidRPr="00545310">
        <w:rPr>
          <w:rFonts w:ascii="Arial" w:hAnsi="Arial" w:cs="Arial"/>
          <w:i/>
          <w:szCs w:val="24"/>
          <w:lang w:val="es-CO" w:eastAsia="ar-SA"/>
        </w:rPr>
        <w:t>, modificado por el artículo 1º de la presente resolución”.</w:t>
      </w:r>
    </w:p>
    <w:p w14:paraId="0E63BDE8" w14:textId="77777777" w:rsidR="00E2646A" w:rsidRPr="00545310" w:rsidRDefault="00DB5F72" w:rsidP="00B26B0D">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 </w:t>
      </w:r>
    </w:p>
    <w:p w14:paraId="23792601" w14:textId="77777777" w:rsidR="00795D58" w:rsidRPr="00545310" w:rsidRDefault="00A93889" w:rsidP="00B26B0D">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De </w:t>
      </w:r>
      <w:r w:rsidR="00E4612B" w:rsidRPr="00545310">
        <w:rPr>
          <w:rFonts w:ascii="Arial" w:hAnsi="Arial" w:cs="Arial"/>
          <w:szCs w:val="24"/>
          <w:lang w:val="es-CO" w:eastAsia="ar-SA"/>
        </w:rPr>
        <w:t>acuerdo con la modificaci</w:t>
      </w:r>
      <w:r w:rsidR="00700303" w:rsidRPr="00545310">
        <w:rPr>
          <w:rFonts w:ascii="Arial" w:hAnsi="Arial" w:cs="Arial"/>
          <w:szCs w:val="24"/>
          <w:lang w:val="es-CO" w:eastAsia="ar-SA"/>
        </w:rPr>
        <w:t xml:space="preserve">ón </w:t>
      </w:r>
      <w:r w:rsidR="00E4612B" w:rsidRPr="00545310">
        <w:rPr>
          <w:rFonts w:ascii="Arial" w:hAnsi="Arial" w:cs="Arial"/>
          <w:szCs w:val="24"/>
          <w:lang w:val="es-CO" w:eastAsia="ar-SA"/>
        </w:rPr>
        <w:t>establecida en la Resolución 1</w:t>
      </w:r>
      <w:r w:rsidR="00700303" w:rsidRPr="00545310">
        <w:rPr>
          <w:rFonts w:ascii="Arial" w:hAnsi="Arial" w:cs="Arial"/>
          <w:szCs w:val="24"/>
          <w:lang w:val="es-CO" w:eastAsia="ar-SA"/>
        </w:rPr>
        <w:t xml:space="preserve">151 </w:t>
      </w:r>
      <w:r w:rsidR="00E4612B" w:rsidRPr="00545310">
        <w:rPr>
          <w:rFonts w:ascii="Arial" w:hAnsi="Arial" w:cs="Arial"/>
          <w:szCs w:val="24"/>
          <w:lang w:val="es-CO" w:eastAsia="ar-SA"/>
        </w:rPr>
        <w:t xml:space="preserve">de </w:t>
      </w:r>
      <w:r w:rsidR="00CA5E3B" w:rsidRPr="00545310">
        <w:rPr>
          <w:rFonts w:ascii="Arial" w:hAnsi="Arial" w:cs="Arial"/>
          <w:szCs w:val="24"/>
          <w:lang w:val="es-CO" w:eastAsia="ar-SA"/>
        </w:rPr>
        <w:t xml:space="preserve">8 de septiembre de </w:t>
      </w:r>
      <w:r w:rsidR="00E4612B" w:rsidRPr="00545310">
        <w:rPr>
          <w:rFonts w:ascii="Arial" w:hAnsi="Arial" w:cs="Arial"/>
          <w:szCs w:val="24"/>
          <w:lang w:val="es-CO" w:eastAsia="ar-SA"/>
        </w:rPr>
        <w:t xml:space="preserve">2011, </w:t>
      </w:r>
      <w:r w:rsidR="008F7B8D" w:rsidRPr="00545310">
        <w:rPr>
          <w:rFonts w:ascii="Arial" w:hAnsi="Arial" w:cs="Arial"/>
          <w:szCs w:val="24"/>
          <w:lang w:val="es-CO" w:eastAsia="ar-SA"/>
        </w:rPr>
        <w:t xml:space="preserve">mediante la cual FONADE </w:t>
      </w:r>
      <w:r w:rsidR="008F7B8D" w:rsidRPr="00545310">
        <w:rPr>
          <w:rFonts w:ascii="Arial" w:hAnsi="Arial" w:cs="Arial"/>
          <w:i/>
          <w:szCs w:val="24"/>
          <w:lang w:val="es-CO" w:eastAsia="ar-SA"/>
        </w:rPr>
        <w:t>“adelantó una nueva revisión de los perju</w:t>
      </w:r>
      <w:r w:rsidR="00361903" w:rsidRPr="00545310">
        <w:rPr>
          <w:rFonts w:ascii="Arial" w:hAnsi="Arial" w:cs="Arial"/>
          <w:i/>
          <w:szCs w:val="24"/>
          <w:lang w:val="es-CO" w:eastAsia="ar-SA"/>
        </w:rPr>
        <w:t>i</w:t>
      </w:r>
      <w:r w:rsidR="008F7B8D" w:rsidRPr="00545310">
        <w:rPr>
          <w:rFonts w:ascii="Arial" w:hAnsi="Arial" w:cs="Arial"/>
          <w:i/>
          <w:szCs w:val="24"/>
          <w:lang w:val="es-CO" w:eastAsia="ar-SA"/>
        </w:rPr>
        <w:t>cios gen</w:t>
      </w:r>
      <w:r w:rsidR="001242B6" w:rsidRPr="00545310">
        <w:rPr>
          <w:rFonts w:ascii="Arial" w:hAnsi="Arial" w:cs="Arial"/>
          <w:i/>
          <w:szCs w:val="24"/>
          <w:lang w:val="es-CO" w:eastAsia="ar-SA"/>
        </w:rPr>
        <w:t>e</w:t>
      </w:r>
      <w:r w:rsidR="008F7B8D" w:rsidRPr="00545310">
        <w:rPr>
          <w:rFonts w:ascii="Arial" w:hAnsi="Arial" w:cs="Arial"/>
          <w:i/>
          <w:szCs w:val="24"/>
          <w:lang w:val="es-CO" w:eastAsia="ar-SA"/>
        </w:rPr>
        <w:t>rados p</w:t>
      </w:r>
      <w:r w:rsidR="00361903" w:rsidRPr="00545310">
        <w:rPr>
          <w:rFonts w:ascii="Arial" w:hAnsi="Arial" w:cs="Arial"/>
          <w:i/>
          <w:szCs w:val="24"/>
          <w:lang w:val="es-CO" w:eastAsia="ar-SA"/>
        </w:rPr>
        <w:t>or</w:t>
      </w:r>
      <w:r w:rsidR="008F7B8D" w:rsidRPr="00545310">
        <w:rPr>
          <w:rFonts w:ascii="Arial" w:hAnsi="Arial" w:cs="Arial"/>
          <w:i/>
          <w:szCs w:val="24"/>
          <w:lang w:val="es-CO" w:eastAsia="ar-SA"/>
        </w:rPr>
        <w:t xml:space="preserve"> el incumplimiento del contratista</w:t>
      </w:r>
      <w:r w:rsidR="001242B6" w:rsidRPr="00545310">
        <w:rPr>
          <w:rFonts w:ascii="Arial" w:hAnsi="Arial" w:cs="Arial"/>
          <w:szCs w:val="24"/>
          <w:lang w:val="es-CO" w:eastAsia="ar-SA"/>
        </w:rPr>
        <w:t>”</w:t>
      </w:r>
      <w:r w:rsidR="001242B6" w:rsidRPr="00545310">
        <w:rPr>
          <w:rStyle w:val="Refdenotaalpie"/>
          <w:rFonts w:ascii="Arial" w:hAnsi="Arial" w:cs="Arial"/>
          <w:szCs w:val="24"/>
          <w:lang w:val="es-CO" w:eastAsia="ar-SA"/>
        </w:rPr>
        <w:footnoteReference w:id="55"/>
      </w:r>
      <w:r w:rsidR="008F7B8D" w:rsidRPr="00545310">
        <w:rPr>
          <w:rFonts w:ascii="Arial" w:hAnsi="Arial" w:cs="Arial"/>
          <w:szCs w:val="24"/>
          <w:lang w:val="es-CO" w:eastAsia="ar-SA"/>
        </w:rPr>
        <w:t xml:space="preserve">, </w:t>
      </w:r>
      <w:r w:rsidR="00E4612B" w:rsidRPr="00545310">
        <w:rPr>
          <w:rFonts w:ascii="Arial" w:hAnsi="Arial" w:cs="Arial"/>
          <w:szCs w:val="24"/>
          <w:lang w:val="es-CO" w:eastAsia="ar-SA"/>
        </w:rPr>
        <w:t xml:space="preserve">se establece que la suma discutida </w:t>
      </w:r>
      <w:r w:rsidR="0069682D" w:rsidRPr="00545310">
        <w:rPr>
          <w:rFonts w:ascii="Arial" w:hAnsi="Arial" w:cs="Arial"/>
          <w:szCs w:val="24"/>
          <w:lang w:val="es-CO" w:eastAsia="ar-SA"/>
        </w:rPr>
        <w:t xml:space="preserve">en este proceso </w:t>
      </w:r>
      <w:r w:rsidR="00AB30E3" w:rsidRPr="00545310">
        <w:rPr>
          <w:rFonts w:ascii="Arial" w:hAnsi="Arial" w:cs="Arial"/>
          <w:szCs w:val="24"/>
          <w:lang w:val="es-CO" w:eastAsia="ar-SA"/>
        </w:rPr>
        <w:t xml:space="preserve">corresponde a </w:t>
      </w:r>
      <w:r w:rsidR="00E4612B" w:rsidRPr="00545310">
        <w:rPr>
          <w:rFonts w:ascii="Arial" w:hAnsi="Arial" w:cs="Arial"/>
          <w:szCs w:val="24"/>
          <w:lang w:val="es-CO" w:eastAsia="ar-SA"/>
        </w:rPr>
        <w:t xml:space="preserve">los perjuicios liquidados por encima del valor de la cláusula penal, </w:t>
      </w:r>
      <w:r w:rsidR="006524A2" w:rsidRPr="00545310">
        <w:rPr>
          <w:rFonts w:ascii="Arial" w:hAnsi="Arial" w:cs="Arial"/>
          <w:szCs w:val="24"/>
          <w:lang w:val="es-CO" w:eastAsia="ar-SA"/>
        </w:rPr>
        <w:t xml:space="preserve">los cuales </w:t>
      </w:r>
      <w:r w:rsidR="00795D58" w:rsidRPr="00545310">
        <w:rPr>
          <w:rFonts w:ascii="Arial" w:hAnsi="Arial" w:cs="Arial"/>
          <w:szCs w:val="24"/>
          <w:lang w:val="es-CO" w:eastAsia="ar-SA"/>
        </w:rPr>
        <w:t xml:space="preserve">se determinaron con </w:t>
      </w:r>
      <w:r w:rsidR="00700303" w:rsidRPr="00545310">
        <w:rPr>
          <w:rFonts w:ascii="Arial" w:hAnsi="Arial" w:cs="Arial"/>
          <w:szCs w:val="24"/>
          <w:lang w:val="es-CO" w:eastAsia="ar-SA"/>
        </w:rPr>
        <w:t xml:space="preserve">fundamento en </w:t>
      </w:r>
      <w:r w:rsidR="00795D58" w:rsidRPr="00545310">
        <w:rPr>
          <w:rFonts w:ascii="Arial" w:hAnsi="Arial" w:cs="Arial"/>
          <w:szCs w:val="24"/>
          <w:lang w:val="es-CO" w:eastAsia="ar-SA"/>
        </w:rPr>
        <w:t>la siguiente motivación</w:t>
      </w:r>
      <w:r w:rsidR="006524A2" w:rsidRPr="00545310">
        <w:rPr>
          <w:rFonts w:ascii="Arial" w:hAnsi="Arial" w:cs="Arial"/>
          <w:szCs w:val="24"/>
          <w:lang w:val="es-CO" w:eastAsia="ar-SA"/>
        </w:rPr>
        <w:t xml:space="preserve"> (se transcribe de manera textual, incluso con errores):</w:t>
      </w:r>
      <w:r w:rsidR="00795D58" w:rsidRPr="00545310">
        <w:rPr>
          <w:rFonts w:ascii="Arial" w:hAnsi="Arial" w:cs="Arial"/>
          <w:szCs w:val="24"/>
          <w:lang w:val="es-CO" w:eastAsia="ar-SA"/>
        </w:rPr>
        <w:t xml:space="preserve"> </w:t>
      </w:r>
    </w:p>
    <w:p w14:paraId="79B3BB18" w14:textId="77777777" w:rsidR="00795D58" w:rsidRPr="00545310" w:rsidRDefault="00795D58" w:rsidP="00B26B0D">
      <w:pPr>
        <w:pStyle w:val="Sangradetextonormal"/>
        <w:spacing w:after="0"/>
        <w:ind w:left="0"/>
        <w:rPr>
          <w:rFonts w:ascii="Arial" w:hAnsi="Arial" w:cs="Arial"/>
          <w:szCs w:val="24"/>
          <w:lang w:val="es-CO" w:eastAsia="ar-SA"/>
        </w:rPr>
      </w:pPr>
    </w:p>
    <w:p w14:paraId="7F1D7389" w14:textId="77777777" w:rsidR="00090D3F" w:rsidRPr="00545310" w:rsidRDefault="00795D58" w:rsidP="00700303">
      <w:pPr>
        <w:pStyle w:val="Sangradetextonormal"/>
        <w:spacing w:after="0" w:line="276" w:lineRule="auto"/>
        <w:ind w:left="567" w:right="567"/>
        <w:rPr>
          <w:rFonts w:ascii="Arial" w:hAnsi="Arial" w:cs="Arial"/>
          <w:i/>
          <w:szCs w:val="24"/>
          <w:lang w:val="es-CO" w:eastAsia="ar-SA"/>
        </w:rPr>
      </w:pPr>
      <w:r w:rsidRPr="00545310">
        <w:rPr>
          <w:rFonts w:ascii="Arial" w:hAnsi="Arial" w:cs="Arial"/>
          <w:i/>
          <w:szCs w:val="24"/>
          <w:lang w:val="es-CO" w:eastAsia="ar-SA"/>
        </w:rPr>
        <w:t xml:space="preserve">“El costo actual de la obra no ejecutada, conforme a la actualización de los precios unitarios efectuada en su momento por el </w:t>
      </w:r>
      <w:r w:rsidR="00295EB0" w:rsidRPr="00545310">
        <w:rPr>
          <w:rFonts w:ascii="Arial" w:hAnsi="Arial" w:cs="Arial"/>
          <w:i/>
          <w:szCs w:val="24"/>
          <w:lang w:val="es-CO" w:eastAsia="ar-SA"/>
        </w:rPr>
        <w:t>Área</w:t>
      </w:r>
      <w:r w:rsidRPr="00545310">
        <w:rPr>
          <w:rFonts w:ascii="Arial" w:hAnsi="Arial" w:cs="Arial"/>
          <w:i/>
          <w:szCs w:val="24"/>
          <w:lang w:val="es-CO" w:eastAsia="ar-SA"/>
        </w:rPr>
        <w:t xml:space="preserve"> de Estudios Previos de FONADE, asciende a la suma de $5.293’387.825,84 M/</w:t>
      </w:r>
      <w:proofErr w:type="spellStart"/>
      <w:r w:rsidRPr="00545310">
        <w:rPr>
          <w:rFonts w:ascii="Arial" w:hAnsi="Arial" w:cs="Arial"/>
          <w:i/>
          <w:szCs w:val="24"/>
          <w:lang w:val="es-CO" w:eastAsia="ar-SA"/>
        </w:rPr>
        <w:t>cte</w:t>
      </w:r>
      <w:proofErr w:type="spellEnd"/>
      <w:r w:rsidRPr="00545310">
        <w:rPr>
          <w:rFonts w:ascii="Arial" w:hAnsi="Arial" w:cs="Arial"/>
          <w:i/>
          <w:szCs w:val="24"/>
          <w:lang w:val="es-CO" w:eastAsia="ar-SA"/>
        </w:rPr>
        <w:t xml:space="preserve">, lo cual indica que el perjuicio generado </w:t>
      </w:r>
      <w:r w:rsidR="00D03F6D" w:rsidRPr="00545310">
        <w:rPr>
          <w:rFonts w:ascii="Arial" w:hAnsi="Arial" w:cs="Arial"/>
          <w:b/>
          <w:i/>
          <w:szCs w:val="24"/>
          <w:lang w:val="es-CO" w:eastAsia="ar-SA"/>
        </w:rPr>
        <w:t>por efecto del mayor costo de la obra es de $524’832.622,50 M/</w:t>
      </w:r>
      <w:proofErr w:type="spellStart"/>
      <w:r w:rsidR="00D03F6D" w:rsidRPr="00545310">
        <w:rPr>
          <w:rFonts w:ascii="Arial" w:hAnsi="Arial" w:cs="Arial"/>
          <w:b/>
          <w:i/>
          <w:szCs w:val="24"/>
          <w:lang w:val="es-CO" w:eastAsia="ar-SA"/>
        </w:rPr>
        <w:t>cte</w:t>
      </w:r>
      <w:proofErr w:type="spellEnd"/>
      <w:r w:rsidR="00D03F6D" w:rsidRPr="00545310">
        <w:rPr>
          <w:rFonts w:ascii="Arial" w:hAnsi="Arial" w:cs="Arial"/>
          <w:i/>
          <w:szCs w:val="24"/>
          <w:lang w:val="es-CO" w:eastAsia="ar-SA"/>
        </w:rPr>
        <w:t>, Este monto disminuyó también con la actualización efectuada inicialmente, cuyo valor se había estimado, en $564’824.165,02 M/</w:t>
      </w:r>
      <w:proofErr w:type="spellStart"/>
      <w:r w:rsidR="00D03F6D" w:rsidRPr="00545310">
        <w:rPr>
          <w:rFonts w:ascii="Arial" w:hAnsi="Arial" w:cs="Arial"/>
          <w:i/>
          <w:szCs w:val="24"/>
          <w:lang w:val="es-CO" w:eastAsia="ar-SA"/>
        </w:rPr>
        <w:t>Cte</w:t>
      </w:r>
      <w:proofErr w:type="spellEnd"/>
      <w:r w:rsidR="00D03F6D" w:rsidRPr="00545310">
        <w:rPr>
          <w:rFonts w:ascii="Arial" w:hAnsi="Arial" w:cs="Arial"/>
          <w:i/>
          <w:szCs w:val="24"/>
          <w:lang w:val="es-CO" w:eastAsia="ar-SA"/>
        </w:rPr>
        <w:t>, toda vez que fueron ajustados tanto el valor no ejecutado</w:t>
      </w:r>
      <w:r w:rsidR="00090D3F" w:rsidRPr="00545310">
        <w:rPr>
          <w:rFonts w:ascii="Arial" w:hAnsi="Arial" w:cs="Arial"/>
          <w:i/>
          <w:szCs w:val="24"/>
          <w:lang w:val="es-CO" w:eastAsia="ar-SA"/>
        </w:rPr>
        <w:t xml:space="preserve"> del contrato</w:t>
      </w:r>
      <w:r w:rsidR="00D03F6D" w:rsidRPr="00545310">
        <w:rPr>
          <w:rFonts w:ascii="Arial" w:hAnsi="Arial" w:cs="Arial"/>
          <w:i/>
          <w:szCs w:val="24"/>
          <w:lang w:val="es-CO" w:eastAsia="ar-SA"/>
        </w:rPr>
        <w:t xml:space="preserve"> </w:t>
      </w:r>
      <w:r w:rsidR="00090D3F" w:rsidRPr="00545310">
        <w:rPr>
          <w:rFonts w:ascii="Arial" w:hAnsi="Arial" w:cs="Arial"/>
          <w:i/>
          <w:szCs w:val="24"/>
          <w:lang w:val="es-CO" w:eastAsia="ar-SA"/>
        </w:rPr>
        <w:t>como el valor actualizado del mismo.</w:t>
      </w:r>
    </w:p>
    <w:p w14:paraId="27E65DA9" w14:textId="77777777" w:rsidR="00700303" w:rsidRPr="00545310" w:rsidRDefault="00700303" w:rsidP="00700303">
      <w:pPr>
        <w:pStyle w:val="Sangradetextonormal"/>
        <w:spacing w:after="0" w:line="276" w:lineRule="auto"/>
        <w:ind w:left="567" w:right="567"/>
        <w:rPr>
          <w:rFonts w:ascii="Arial" w:hAnsi="Arial" w:cs="Arial"/>
          <w:i/>
          <w:szCs w:val="24"/>
          <w:lang w:val="es-CO" w:eastAsia="ar-SA"/>
        </w:rPr>
      </w:pPr>
    </w:p>
    <w:p w14:paraId="4BA3DEDB" w14:textId="77777777" w:rsidR="00090D3F" w:rsidRPr="00545310" w:rsidRDefault="00700303" w:rsidP="00700303">
      <w:pPr>
        <w:pStyle w:val="Sangradetextonormal"/>
        <w:spacing w:after="0" w:line="276" w:lineRule="auto"/>
        <w:ind w:left="567" w:right="567"/>
        <w:rPr>
          <w:rFonts w:ascii="Arial" w:hAnsi="Arial" w:cs="Arial"/>
          <w:i/>
          <w:szCs w:val="24"/>
          <w:lang w:val="es-CO" w:eastAsia="ar-SA"/>
        </w:rPr>
      </w:pPr>
      <w:r w:rsidRPr="00545310">
        <w:rPr>
          <w:rFonts w:ascii="Arial" w:hAnsi="Arial" w:cs="Arial"/>
          <w:i/>
          <w:szCs w:val="24"/>
          <w:lang w:val="es-CO" w:eastAsia="ar-SA"/>
        </w:rPr>
        <w:t>“</w:t>
      </w:r>
      <w:r w:rsidR="00090D3F" w:rsidRPr="00545310">
        <w:rPr>
          <w:rFonts w:ascii="Arial" w:hAnsi="Arial" w:cs="Arial"/>
          <w:i/>
          <w:szCs w:val="24"/>
          <w:lang w:val="es-CO" w:eastAsia="ar-SA"/>
        </w:rPr>
        <w:t>(…)</w:t>
      </w:r>
      <w:r w:rsidR="006524A2" w:rsidRPr="00545310">
        <w:rPr>
          <w:rFonts w:ascii="Arial" w:hAnsi="Arial" w:cs="Arial"/>
          <w:i/>
          <w:szCs w:val="24"/>
          <w:lang w:val="es-CO" w:eastAsia="ar-SA"/>
        </w:rPr>
        <w:t>.</w:t>
      </w:r>
    </w:p>
    <w:p w14:paraId="68A955D1" w14:textId="77777777" w:rsidR="00700303" w:rsidRPr="00545310" w:rsidRDefault="00700303" w:rsidP="00700303">
      <w:pPr>
        <w:pStyle w:val="Sangradetextonormal"/>
        <w:spacing w:after="0" w:line="276" w:lineRule="auto"/>
        <w:ind w:left="567" w:right="567"/>
        <w:rPr>
          <w:rFonts w:ascii="Arial" w:hAnsi="Arial" w:cs="Arial"/>
          <w:i/>
          <w:szCs w:val="24"/>
          <w:lang w:val="es-CO" w:eastAsia="ar-SA"/>
        </w:rPr>
      </w:pPr>
    </w:p>
    <w:p w14:paraId="434E2019" w14:textId="77777777" w:rsidR="00F41935" w:rsidRPr="00545310" w:rsidRDefault="00700303" w:rsidP="00700303">
      <w:pPr>
        <w:pStyle w:val="Sangradetextonormal"/>
        <w:spacing w:after="0" w:line="276" w:lineRule="auto"/>
        <w:ind w:left="567" w:right="567"/>
        <w:rPr>
          <w:rFonts w:ascii="Arial" w:hAnsi="Arial" w:cs="Arial"/>
          <w:i/>
          <w:szCs w:val="24"/>
          <w:lang w:val="es-CO" w:eastAsia="ar-SA"/>
        </w:rPr>
      </w:pPr>
      <w:r w:rsidRPr="00545310">
        <w:rPr>
          <w:rFonts w:ascii="Arial" w:hAnsi="Arial" w:cs="Arial"/>
          <w:i/>
          <w:szCs w:val="24"/>
          <w:lang w:val="es-CO" w:eastAsia="ar-SA"/>
        </w:rPr>
        <w:t>“</w:t>
      </w:r>
      <w:r w:rsidR="00090D3F" w:rsidRPr="00545310">
        <w:rPr>
          <w:rFonts w:ascii="Arial" w:hAnsi="Arial" w:cs="Arial"/>
          <w:i/>
          <w:szCs w:val="24"/>
          <w:lang w:val="es-CO" w:eastAsia="ar-SA"/>
        </w:rPr>
        <w:t>Dentro de los perjuicios adicionales</w:t>
      </w:r>
      <w:r w:rsidR="006C1A82" w:rsidRPr="00545310">
        <w:rPr>
          <w:rFonts w:ascii="Arial" w:hAnsi="Arial" w:cs="Arial"/>
          <w:i/>
          <w:szCs w:val="24"/>
          <w:lang w:val="es-CO" w:eastAsia="ar-SA"/>
        </w:rPr>
        <w:t xml:space="preserve"> </w:t>
      </w:r>
      <w:r w:rsidR="006C1A82" w:rsidRPr="00545310">
        <w:rPr>
          <w:rFonts w:ascii="Arial" w:hAnsi="Arial" w:cs="Arial"/>
          <w:szCs w:val="24"/>
          <w:lang w:val="es-CO" w:eastAsia="ar-SA"/>
        </w:rPr>
        <w:t>[se incluye]</w:t>
      </w:r>
      <w:r w:rsidR="006C1A82" w:rsidRPr="00545310">
        <w:rPr>
          <w:rFonts w:ascii="Arial" w:hAnsi="Arial" w:cs="Arial"/>
          <w:i/>
          <w:szCs w:val="24"/>
          <w:lang w:val="es-CO" w:eastAsia="ar-SA"/>
        </w:rPr>
        <w:t xml:space="preserve"> </w:t>
      </w:r>
      <w:r w:rsidR="00090D3F" w:rsidRPr="00545310">
        <w:rPr>
          <w:rFonts w:ascii="Arial" w:hAnsi="Arial" w:cs="Arial"/>
          <w:i/>
          <w:szCs w:val="24"/>
          <w:lang w:val="es-CO" w:eastAsia="ar-SA"/>
        </w:rPr>
        <w:t xml:space="preserve"> el costo de interventoría por</w:t>
      </w:r>
      <w:r w:rsidR="000725CB" w:rsidRPr="00545310">
        <w:rPr>
          <w:rFonts w:ascii="Arial" w:hAnsi="Arial" w:cs="Arial"/>
          <w:i/>
          <w:szCs w:val="24"/>
          <w:lang w:val="es-CO" w:eastAsia="ar-SA"/>
        </w:rPr>
        <w:t xml:space="preserve"> </w:t>
      </w:r>
      <w:r w:rsidR="00090D3F" w:rsidRPr="00545310">
        <w:rPr>
          <w:rFonts w:ascii="Arial" w:hAnsi="Arial" w:cs="Arial"/>
          <w:i/>
          <w:szCs w:val="24"/>
          <w:lang w:val="es-CO" w:eastAsia="ar-SA"/>
        </w:rPr>
        <w:t>las obras faltantes, en la suma de $280’845.290,00</w:t>
      </w:r>
      <w:r w:rsidR="006C1A82" w:rsidRPr="00545310">
        <w:rPr>
          <w:rFonts w:ascii="Arial" w:hAnsi="Arial" w:cs="Arial"/>
          <w:i/>
          <w:szCs w:val="24"/>
          <w:lang w:val="es-CO" w:eastAsia="ar-SA"/>
        </w:rPr>
        <w:t xml:space="preserve">; </w:t>
      </w:r>
      <w:r w:rsidR="00090D3F" w:rsidRPr="00545310">
        <w:rPr>
          <w:rFonts w:ascii="Arial" w:hAnsi="Arial" w:cs="Arial"/>
          <w:i/>
          <w:szCs w:val="24"/>
          <w:lang w:val="es-CO" w:eastAsia="ar-SA"/>
        </w:rPr>
        <w:t xml:space="preserve">  b) el valor que el contratista le adeuda a la interventoría actual</w:t>
      </w:r>
      <w:r w:rsidR="000725CB" w:rsidRPr="00545310">
        <w:rPr>
          <w:rFonts w:ascii="Arial" w:hAnsi="Arial" w:cs="Arial"/>
          <w:i/>
          <w:szCs w:val="24"/>
          <w:lang w:val="es-CO" w:eastAsia="ar-SA"/>
        </w:rPr>
        <w:t xml:space="preserve"> (DAIMCO E.U.) por efecto de la cesión de derechos económicos (…)”</w:t>
      </w:r>
      <w:r w:rsidR="00F41935" w:rsidRPr="00545310">
        <w:rPr>
          <w:rFonts w:ascii="Arial" w:hAnsi="Arial" w:cs="Arial"/>
          <w:i/>
          <w:szCs w:val="24"/>
          <w:lang w:val="es-CO" w:eastAsia="ar-SA"/>
        </w:rPr>
        <w:t xml:space="preserve"> // y el valor del servicio de vigilancia (….)</w:t>
      </w:r>
      <w:r w:rsidR="006C1A82" w:rsidRPr="00545310">
        <w:rPr>
          <w:rFonts w:ascii="Arial" w:hAnsi="Arial" w:cs="Arial"/>
          <w:i/>
          <w:szCs w:val="24"/>
          <w:lang w:val="es-CO" w:eastAsia="ar-SA"/>
        </w:rPr>
        <w:t>”.</w:t>
      </w:r>
    </w:p>
    <w:p w14:paraId="27322B83" w14:textId="77777777" w:rsidR="00F41935" w:rsidRPr="00545310" w:rsidRDefault="00F41935" w:rsidP="00B26B0D">
      <w:pPr>
        <w:pStyle w:val="Sangradetextonormal"/>
        <w:spacing w:after="0"/>
        <w:ind w:left="0"/>
        <w:rPr>
          <w:rFonts w:ascii="Arial" w:hAnsi="Arial" w:cs="Arial"/>
          <w:szCs w:val="24"/>
          <w:lang w:val="es-CO" w:eastAsia="ar-SA"/>
        </w:rPr>
      </w:pPr>
    </w:p>
    <w:p w14:paraId="4ABBFE8E" w14:textId="77777777" w:rsidR="00C67D59" w:rsidRPr="00545310" w:rsidRDefault="006C1A82" w:rsidP="006C1A82">
      <w:pPr>
        <w:pStyle w:val="Sangradetextonormal"/>
        <w:spacing w:after="0" w:line="276" w:lineRule="auto"/>
        <w:ind w:left="567" w:right="567"/>
        <w:rPr>
          <w:rFonts w:ascii="Arial" w:hAnsi="Arial" w:cs="Arial"/>
          <w:i/>
          <w:szCs w:val="24"/>
          <w:lang w:val="es-CO" w:eastAsia="ar-SA"/>
        </w:rPr>
      </w:pPr>
      <w:r w:rsidRPr="00545310">
        <w:rPr>
          <w:rFonts w:ascii="Arial" w:hAnsi="Arial" w:cs="Arial"/>
          <w:i/>
          <w:szCs w:val="24"/>
          <w:lang w:val="es-CO" w:eastAsia="ar-SA"/>
        </w:rPr>
        <w:t>“</w:t>
      </w:r>
      <w:r w:rsidR="00F41935" w:rsidRPr="00545310">
        <w:rPr>
          <w:rFonts w:ascii="Arial" w:hAnsi="Arial" w:cs="Arial"/>
          <w:i/>
          <w:szCs w:val="24"/>
          <w:lang w:val="es-CO" w:eastAsia="ar-SA"/>
        </w:rPr>
        <w:t xml:space="preserve">De la operación aritmética previamente efectuada, </w:t>
      </w:r>
      <w:r w:rsidR="00A64CAC" w:rsidRPr="00545310">
        <w:rPr>
          <w:rFonts w:ascii="Arial" w:hAnsi="Arial" w:cs="Arial"/>
          <w:i/>
          <w:szCs w:val="24"/>
          <w:lang w:val="es-CO" w:eastAsia="ar-SA"/>
        </w:rPr>
        <w:t>resulta que el contratista y su garante adeudan a la entidad la suma denominada en el presente acto como perjuicio adicional, la cual corresponde a $373’168.864,46 M/</w:t>
      </w:r>
      <w:proofErr w:type="spellStart"/>
      <w:r w:rsidR="00A64CAC" w:rsidRPr="00545310">
        <w:rPr>
          <w:rFonts w:ascii="Arial" w:hAnsi="Arial" w:cs="Arial"/>
          <w:i/>
          <w:szCs w:val="24"/>
          <w:lang w:val="es-CO" w:eastAsia="ar-SA"/>
        </w:rPr>
        <w:t>Cte</w:t>
      </w:r>
      <w:proofErr w:type="spellEnd"/>
      <w:r w:rsidR="00A64CAC" w:rsidRPr="00545310">
        <w:rPr>
          <w:rFonts w:ascii="Arial" w:hAnsi="Arial" w:cs="Arial"/>
          <w:i/>
          <w:szCs w:val="24"/>
          <w:lang w:val="es-CO" w:eastAsia="ar-SA"/>
        </w:rPr>
        <w:t xml:space="preserve"> que ser</w:t>
      </w:r>
      <w:r w:rsidR="00EA3AE8" w:rsidRPr="00545310">
        <w:rPr>
          <w:rFonts w:ascii="Arial" w:hAnsi="Arial" w:cs="Arial"/>
          <w:i/>
          <w:szCs w:val="24"/>
          <w:lang w:val="es-CO" w:eastAsia="ar-SA"/>
        </w:rPr>
        <w:t>á</w:t>
      </w:r>
      <w:r w:rsidR="00A64CAC" w:rsidRPr="00545310">
        <w:rPr>
          <w:rFonts w:ascii="Arial" w:hAnsi="Arial" w:cs="Arial"/>
          <w:i/>
          <w:szCs w:val="24"/>
          <w:lang w:val="es-CO" w:eastAsia="ar-SA"/>
        </w:rPr>
        <w:t xml:space="preserve"> igualmente afectada con cargo al amparo de cumplimiento</w:t>
      </w:r>
      <w:r w:rsidR="00C67D59" w:rsidRPr="00545310">
        <w:rPr>
          <w:rFonts w:ascii="Arial" w:hAnsi="Arial" w:cs="Arial"/>
          <w:i/>
          <w:szCs w:val="24"/>
          <w:lang w:val="es-CO" w:eastAsia="ar-SA"/>
        </w:rPr>
        <w:t>”</w:t>
      </w:r>
      <w:r w:rsidR="00C67D59" w:rsidRPr="00545310">
        <w:rPr>
          <w:rStyle w:val="Refdenotaalpie"/>
          <w:rFonts w:ascii="Arial" w:hAnsi="Arial" w:cs="Arial"/>
          <w:i/>
          <w:szCs w:val="24"/>
          <w:lang w:val="es-CO" w:eastAsia="ar-SA"/>
        </w:rPr>
        <w:footnoteReference w:id="56"/>
      </w:r>
      <w:r w:rsidR="00A64CAC" w:rsidRPr="00545310">
        <w:rPr>
          <w:rFonts w:ascii="Arial" w:hAnsi="Arial" w:cs="Arial"/>
          <w:i/>
          <w:szCs w:val="24"/>
          <w:lang w:val="es-CO" w:eastAsia="ar-SA"/>
        </w:rPr>
        <w:t xml:space="preserve">. </w:t>
      </w:r>
    </w:p>
    <w:p w14:paraId="29216FBE" w14:textId="77777777" w:rsidR="000725CB" w:rsidRPr="00545310" w:rsidRDefault="000725CB" w:rsidP="00B26B0D">
      <w:pPr>
        <w:pStyle w:val="Sangradetextonormal"/>
        <w:spacing w:after="0"/>
        <w:ind w:left="0"/>
        <w:rPr>
          <w:rFonts w:ascii="Arial" w:hAnsi="Arial" w:cs="Arial"/>
          <w:szCs w:val="24"/>
          <w:lang w:val="es-CO" w:eastAsia="ar-SA"/>
        </w:rPr>
      </w:pPr>
    </w:p>
    <w:p w14:paraId="02C8A3EB" w14:textId="77777777" w:rsidR="000B0E29" w:rsidRPr="00545310" w:rsidRDefault="001A408D" w:rsidP="00B26B0D">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La operación aritmética </w:t>
      </w:r>
      <w:r w:rsidR="006C1A82" w:rsidRPr="00545310">
        <w:rPr>
          <w:rFonts w:ascii="Arial" w:hAnsi="Arial" w:cs="Arial"/>
          <w:szCs w:val="24"/>
          <w:lang w:val="es-CO" w:eastAsia="ar-SA"/>
        </w:rPr>
        <w:t xml:space="preserve">detallada </w:t>
      </w:r>
      <w:r w:rsidRPr="00545310">
        <w:rPr>
          <w:rFonts w:ascii="Arial" w:hAnsi="Arial" w:cs="Arial"/>
          <w:szCs w:val="24"/>
          <w:lang w:val="es-CO" w:eastAsia="ar-SA"/>
        </w:rPr>
        <w:t xml:space="preserve">en la Resolución 1151 consistió en sumar todos los perjuicios, los </w:t>
      </w:r>
      <w:r w:rsidR="006C1A82" w:rsidRPr="00545310">
        <w:rPr>
          <w:rFonts w:ascii="Arial" w:hAnsi="Arial" w:cs="Arial"/>
          <w:szCs w:val="24"/>
          <w:lang w:val="es-CO" w:eastAsia="ar-SA"/>
        </w:rPr>
        <w:t xml:space="preserve">cuales </w:t>
      </w:r>
      <w:r w:rsidRPr="00545310">
        <w:rPr>
          <w:rFonts w:ascii="Arial" w:hAnsi="Arial" w:cs="Arial"/>
          <w:szCs w:val="24"/>
          <w:lang w:val="es-CO" w:eastAsia="ar-SA"/>
        </w:rPr>
        <w:t>ascendieron a $2.102’710.289,32</w:t>
      </w:r>
      <w:r w:rsidR="00703226" w:rsidRPr="00545310">
        <w:rPr>
          <w:rFonts w:ascii="Arial" w:hAnsi="Arial" w:cs="Arial"/>
          <w:szCs w:val="24"/>
          <w:lang w:val="es-CO" w:eastAsia="ar-SA"/>
        </w:rPr>
        <w:t>, con base en</w:t>
      </w:r>
      <w:r w:rsidR="001A4F0D" w:rsidRPr="00545310">
        <w:rPr>
          <w:rFonts w:ascii="Arial" w:hAnsi="Arial" w:cs="Arial"/>
          <w:szCs w:val="24"/>
          <w:lang w:val="es-CO" w:eastAsia="ar-SA"/>
        </w:rPr>
        <w:t xml:space="preserve"> el balance del contrato, esto es</w:t>
      </w:r>
      <w:r w:rsidR="001A583C" w:rsidRPr="00545310">
        <w:rPr>
          <w:rFonts w:ascii="Arial" w:hAnsi="Arial" w:cs="Arial"/>
          <w:szCs w:val="24"/>
          <w:lang w:val="es-CO" w:eastAsia="ar-SA"/>
        </w:rPr>
        <w:t>,</w:t>
      </w:r>
      <w:r w:rsidR="00703226" w:rsidRPr="00545310">
        <w:rPr>
          <w:rFonts w:ascii="Arial" w:hAnsi="Arial" w:cs="Arial"/>
          <w:szCs w:val="24"/>
          <w:lang w:val="es-CO" w:eastAsia="ar-SA"/>
        </w:rPr>
        <w:t xml:space="preserve"> el valor de la obra</w:t>
      </w:r>
      <w:r w:rsidR="001A4F0D" w:rsidRPr="00545310">
        <w:rPr>
          <w:rFonts w:ascii="Arial" w:hAnsi="Arial" w:cs="Arial"/>
          <w:szCs w:val="24"/>
          <w:lang w:val="es-CO" w:eastAsia="ar-SA"/>
        </w:rPr>
        <w:t xml:space="preserve"> y </w:t>
      </w:r>
      <w:r w:rsidR="00703226" w:rsidRPr="00545310">
        <w:rPr>
          <w:rFonts w:ascii="Arial" w:hAnsi="Arial" w:cs="Arial"/>
          <w:szCs w:val="24"/>
          <w:lang w:val="es-CO" w:eastAsia="ar-SA"/>
        </w:rPr>
        <w:t xml:space="preserve"> los recursos en caja no ejecutados</w:t>
      </w:r>
      <w:r w:rsidR="001A4F0D" w:rsidRPr="00545310">
        <w:rPr>
          <w:rFonts w:ascii="Arial" w:hAnsi="Arial" w:cs="Arial"/>
          <w:szCs w:val="24"/>
          <w:lang w:val="es-CO" w:eastAsia="ar-SA"/>
        </w:rPr>
        <w:t>. Con fundamento en esas c</w:t>
      </w:r>
      <w:r w:rsidR="00F02BDB" w:rsidRPr="00545310">
        <w:rPr>
          <w:rFonts w:ascii="Arial" w:hAnsi="Arial" w:cs="Arial"/>
          <w:szCs w:val="24"/>
          <w:lang w:val="es-CO" w:eastAsia="ar-SA"/>
        </w:rPr>
        <w:t>ifras,</w:t>
      </w:r>
      <w:r w:rsidR="001A4F0D" w:rsidRPr="00545310">
        <w:rPr>
          <w:rFonts w:ascii="Arial" w:hAnsi="Arial" w:cs="Arial"/>
          <w:szCs w:val="24"/>
          <w:lang w:val="es-CO" w:eastAsia="ar-SA"/>
        </w:rPr>
        <w:t xml:space="preserve"> se indicó que se debían </w:t>
      </w:r>
      <w:r w:rsidRPr="00545310">
        <w:rPr>
          <w:rFonts w:ascii="Arial" w:hAnsi="Arial" w:cs="Arial"/>
          <w:szCs w:val="24"/>
          <w:lang w:val="es-CO" w:eastAsia="ar-SA"/>
        </w:rPr>
        <w:t>afectar l</w:t>
      </w:r>
      <w:r w:rsidR="000B0E29" w:rsidRPr="00545310">
        <w:rPr>
          <w:rFonts w:ascii="Arial" w:hAnsi="Arial" w:cs="Arial"/>
          <w:szCs w:val="24"/>
          <w:lang w:val="es-CO" w:eastAsia="ar-SA"/>
        </w:rPr>
        <w:t xml:space="preserve">os </w:t>
      </w:r>
      <w:r w:rsidRPr="00545310">
        <w:rPr>
          <w:rFonts w:ascii="Arial" w:hAnsi="Arial" w:cs="Arial"/>
          <w:szCs w:val="24"/>
          <w:lang w:val="es-CO" w:eastAsia="ar-SA"/>
        </w:rPr>
        <w:t>amparos</w:t>
      </w:r>
      <w:r w:rsidR="006C1A82" w:rsidRPr="00545310">
        <w:rPr>
          <w:rFonts w:ascii="Arial" w:hAnsi="Arial" w:cs="Arial"/>
          <w:szCs w:val="24"/>
          <w:lang w:val="es-CO" w:eastAsia="ar-SA"/>
        </w:rPr>
        <w:t xml:space="preserve"> de </w:t>
      </w:r>
      <w:r w:rsidR="00D82BBE" w:rsidRPr="00545310">
        <w:rPr>
          <w:rFonts w:ascii="Arial" w:hAnsi="Arial" w:cs="Arial"/>
          <w:szCs w:val="24"/>
          <w:lang w:val="es-CO" w:eastAsia="ar-SA"/>
        </w:rPr>
        <w:t>cumplimiento y de anticipo</w:t>
      </w:r>
      <w:r w:rsidR="000B0E29" w:rsidRPr="00545310">
        <w:rPr>
          <w:rFonts w:ascii="Arial" w:hAnsi="Arial" w:cs="Arial"/>
          <w:szCs w:val="24"/>
          <w:lang w:val="es-CO" w:eastAsia="ar-SA"/>
        </w:rPr>
        <w:t xml:space="preserve">, </w:t>
      </w:r>
      <w:r w:rsidR="006C1A82" w:rsidRPr="00545310">
        <w:rPr>
          <w:rFonts w:ascii="Arial" w:hAnsi="Arial" w:cs="Arial"/>
          <w:szCs w:val="24"/>
          <w:lang w:val="es-CO" w:eastAsia="ar-SA"/>
        </w:rPr>
        <w:t>en la siguiente forma:</w:t>
      </w:r>
    </w:p>
    <w:p w14:paraId="66452451" w14:textId="77777777" w:rsidR="001A408D" w:rsidRPr="00545310" w:rsidRDefault="001A408D" w:rsidP="00B26B0D">
      <w:pPr>
        <w:pStyle w:val="Sangradetextonormal"/>
        <w:spacing w:after="0"/>
        <w:ind w:left="0"/>
        <w:rPr>
          <w:rFonts w:ascii="Arial" w:hAnsi="Arial" w:cs="Arial"/>
          <w:szCs w:val="24"/>
          <w:lang w:val="es-CO"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292"/>
      </w:tblGrid>
      <w:tr w:rsidR="001A408D" w:rsidRPr="00E5066D" w14:paraId="5A1C3BD3" w14:textId="77777777" w:rsidTr="00E5066D">
        <w:tc>
          <w:tcPr>
            <w:tcW w:w="5353" w:type="dxa"/>
            <w:shd w:val="clear" w:color="auto" w:fill="auto"/>
          </w:tcPr>
          <w:p w14:paraId="058F2F3E" w14:textId="77777777" w:rsidR="001A408D" w:rsidRPr="00E5066D" w:rsidRDefault="000B0E29" w:rsidP="00E5066D">
            <w:pPr>
              <w:pStyle w:val="Sangradetextonormal"/>
              <w:spacing w:after="0" w:line="276" w:lineRule="auto"/>
              <w:ind w:left="0"/>
              <w:rPr>
                <w:rFonts w:ascii="Arial" w:hAnsi="Arial" w:cs="Arial"/>
                <w:i/>
                <w:szCs w:val="24"/>
                <w:lang w:val="es-CO" w:eastAsia="ar-SA"/>
              </w:rPr>
            </w:pPr>
            <w:r w:rsidRPr="00E5066D">
              <w:rPr>
                <w:rFonts w:ascii="Arial" w:hAnsi="Arial" w:cs="Arial"/>
                <w:i/>
                <w:szCs w:val="24"/>
                <w:lang w:val="es-CO" w:eastAsia="ar-SA"/>
              </w:rPr>
              <w:t>“</w:t>
            </w:r>
            <w:r w:rsidR="00492C8A" w:rsidRPr="00E5066D">
              <w:rPr>
                <w:rFonts w:ascii="Arial" w:hAnsi="Arial" w:cs="Arial"/>
                <w:i/>
                <w:szCs w:val="24"/>
                <w:lang w:val="es-CO" w:eastAsia="ar-SA"/>
              </w:rPr>
              <w:t>Valor Cl</w:t>
            </w:r>
            <w:r w:rsidR="001A583C" w:rsidRPr="00E5066D">
              <w:rPr>
                <w:rFonts w:ascii="Arial" w:hAnsi="Arial" w:cs="Arial"/>
                <w:i/>
                <w:szCs w:val="24"/>
                <w:lang w:val="es-CO" w:eastAsia="ar-SA"/>
              </w:rPr>
              <w:t>á</w:t>
            </w:r>
            <w:r w:rsidR="00492C8A" w:rsidRPr="00E5066D">
              <w:rPr>
                <w:rFonts w:ascii="Arial" w:hAnsi="Arial" w:cs="Arial"/>
                <w:i/>
                <w:szCs w:val="24"/>
                <w:lang w:val="es-CO" w:eastAsia="ar-SA"/>
              </w:rPr>
              <w:t>usula penal pecuniaria, en proporción al porcentaje de obra no ejecutada (75.75%)</w:t>
            </w:r>
          </w:p>
        </w:tc>
        <w:tc>
          <w:tcPr>
            <w:tcW w:w="3292" w:type="dxa"/>
            <w:shd w:val="clear" w:color="auto" w:fill="auto"/>
          </w:tcPr>
          <w:p w14:paraId="611412A5" w14:textId="77777777" w:rsidR="001A408D" w:rsidRPr="00E5066D" w:rsidRDefault="00492C8A" w:rsidP="00E5066D">
            <w:pPr>
              <w:pStyle w:val="Sangradetextonormal"/>
              <w:spacing w:after="0" w:line="276" w:lineRule="auto"/>
              <w:ind w:left="0"/>
              <w:jc w:val="right"/>
              <w:rPr>
                <w:rFonts w:ascii="Arial" w:hAnsi="Arial" w:cs="Arial"/>
                <w:i/>
                <w:szCs w:val="24"/>
                <w:lang w:val="es-CO" w:eastAsia="ar-SA"/>
              </w:rPr>
            </w:pPr>
            <w:r w:rsidRPr="00E5066D">
              <w:rPr>
                <w:rFonts w:ascii="Arial" w:hAnsi="Arial" w:cs="Arial"/>
                <w:i/>
                <w:szCs w:val="24"/>
                <w:lang w:val="es-CO" w:eastAsia="ar-SA"/>
              </w:rPr>
              <w:t>$476</w:t>
            </w:r>
            <w:r w:rsidR="0017700F" w:rsidRPr="00E5066D">
              <w:rPr>
                <w:rFonts w:ascii="Arial" w:hAnsi="Arial" w:cs="Arial"/>
                <w:i/>
                <w:szCs w:val="24"/>
                <w:lang w:val="es-CO" w:eastAsia="ar-SA"/>
              </w:rPr>
              <w:t>’</w:t>
            </w:r>
            <w:r w:rsidR="000B0E29" w:rsidRPr="00E5066D">
              <w:rPr>
                <w:rFonts w:ascii="Arial" w:hAnsi="Arial" w:cs="Arial"/>
                <w:i/>
                <w:szCs w:val="24"/>
                <w:lang w:val="es-CO" w:eastAsia="ar-SA"/>
              </w:rPr>
              <w:t>8</w:t>
            </w:r>
            <w:r w:rsidRPr="00E5066D">
              <w:rPr>
                <w:rFonts w:ascii="Arial" w:hAnsi="Arial" w:cs="Arial"/>
                <w:i/>
                <w:szCs w:val="24"/>
                <w:lang w:val="es-CO" w:eastAsia="ar-SA"/>
              </w:rPr>
              <w:t>90</w:t>
            </w:r>
            <w:r w:rsidR="000B0E29" w:rsidRPr="00E5066D">
              <w:rPr>
                <w:rFonts w:ascii="Arial" w:hAnsi="Arial" w:cs="Arial"/>
                <w:i/>
                <w:szCs w:val="24"/>
                <w:lang w:val="es-CO" w:eastAsia="ar-SA"/>
              </w:rPr>
              <w:t xml:space="preserve">.902, </w:t>
            </w:r>
            <w:r w:rsidRPr="00E5066D">
              <w:rPr>
                <w:rFonts w:ascii="Arial" w:hAnsi="Arial" w:cs="Arial"/>
                <w:i/>
                <w:szCs w:val="24"/>
                <w:lang w:val="es-CO" w:eastAsia="ar-SA"/>
              </w:rPr>
              <w:t>52 M/</w:t>
            </w:r>
            <w:proofErr w:type="spellStart"/>
            <w:r w:rsidRPr="00E5066D">
              <w:rPr>
                <w:rFonts w:ascii="Arial" w:hAnsi="Arial" w:cs="Arial"/>
                <w:i/>
                <w:szCs w:val="24"/>
                <w:lang w:val="es-CO" w:eastAsia="ar-SA"/>
              </w:rPr>
              <w:t>Cte</w:t>
            </w:r>
            <w:proofErr w:type="spellEnd"/>
          </w:p>
        </w:tc>
      </w:tr>
      <w:tr w:rsidR="001A408D" w:rsidRPr="00E5066D" w14:paraId="265FB1D1" w14:textId="77777777" w:rsidTr="00E5066D">
        <w:tc>
          <w:tcPr>
            <w:tcW w:w="5353" w:type="dxa"/>
            <w:shd w:val="clear" w:color="auto" w:fill="auto"/>
          </w:tcPr>
          <w:p w14:paraId="082FFF79" w14:textId="77777777" w:rsidR="001A408D" w:rsidRPr="00E5066D" w:rsidRDefault="00492C8A" w:rsidP="00E5066D">
            <w:pPr>
              <w:pStyle w:val="Sangradetextonormal"/>
              <w:spacing w:after="0" w:line="276" w:lineRule="auto"/>
              <w:ind w:left="0"/>
              <w:rPr>
                <w:rFonts w:ascii="Arial" w:hAnsi="Arial" w:cs="Arial"/>
                <w:b/>
                <w:i/>
                <w:szCs w:val="24"/>
                <w:lang w:val="es-CO" w:eastAsia="ar-SA"/>
              </w:rPr>
            </w:pPr>
            <w:r w:rsidRPr="00E5066D">
              <w:rPr>
                <w:rFonts w:ascii="Arial" w:hAnsi="Arial" w:cs="Arial"/>
                <w:b/>
                <w:i/>
                <w:szCs w:val="24"/>
                <w:lang w:val="es-CO" w:eastAsia="ar-SA"/>
              </w:rPr>
              <w:t>Valor del perjuicio adicional</w:t>
            </w:r>
            <w:r w:rsidR="00D82BBE" w:rsidRPr="00E5066D">
              <w:rPr>
                <w:rStyle w:val="Refdenotaalpie"/>
                <w:rFonts w:ascii="Arial" w:hAnsi="Arial" w:cs="Arial"/>
                <w:b/>
                <w:i/>
                <w:szCs w:val="24"/>
                <w:lang w:val="es-CO" w:eastAsia="ar-SA"/>
              </w:rPr>
              <w:footnoteReference w:id="57"/>
            </w:r>
          </w:p>
        </w:tc>
        <w:tc>
          <w:tcPr>
            <w:tcW w:w="3292" w:type="dxa"/>
            <w:shd w:val="clear" w:color="auto" w:fill="auto"/>
          </w:tcPr>
          <w:p w14:paraId="34687510" w14:textId="77777777" w:rsidR="001A408D" w:rsidRPr="00E5066D" w:rsidRDefault="004A73CC" w:rsidP="00E5066D">
            <w:pPr>
              <w:pStyle w:val="Sangradetextonormal"/>
              <w:spacing w:after="0" w:line="276" w:lineRule="auto"/>
              <w:ind w:left="0"/>
              <w:jc w:val="right"/>
              <w:rPr>
                <w:rFonts w:ascii="Arial" w:hAnsi="Arial" w:cs="Arial"/>
                <w:b/>
                <w:i/>
                <w:szCs w:val="24"/>
                <w:lang w:val="es-CO" w:eastAsia="ar-SA"/>
              </w:rPr>
            </w:pPr>
            <w:r w:rsidRPr="00E5066D">
              <w:rPr>
                <w:rFonts w:ascii="Arial" w:hAnsi="Arial" w:cs="Arial"/>
                <w:b/>
                <w:i/>
                <w:szCs w:val="24"/>
                <w:lang w:val="es-CO" w:eastAsia="ar-SA"/>
              </w:rPr>
              <w:t>$373’168.864,96 M/</w:t>
            </w:r>
            <w:proofErr w:type="spellStart"/>
            <w:r w:rsidRPr="00E5066D">
              <w:rPr>
                <w:rFonts w:ascii="Arial" w:hAnsi="Arial" w:cs="Arial"/>
                <w:b/>
                <w:i/>
                <w:szCs w:val="24"/>
                <w:lang w:val="es-CO" w:eastAsia="ar-SA"/>
              </w:rPr>
              <w:t>Cte</w:t>
            </w:r>
            <w:proofErr w:type="spellEnd"/>
          </w:p>
        </w:tc>
      </w:tr>
      <w:tr w:rsidR="001A408D" w:rsidRPr="00E5066D" w14:paraId="752D6EB6" w14:textId="77777777" w:rsidTr="00E5066D">
        <w:tc>
          <w:tcPr>
            <w:tcW w:w="5353" w:type="dxa"/>
            <w:shd w:val="clear" w:color="auto" w:fill="auto"/>
          </w:tcPr>
          <w:p w14:paraId="403571F2" w14:textId="77777777" w:rsidR="001A408D" w:rsidRPr="00E5066D" w:rsidRDefault="00492C8A" w:rsidP="00E5066D">
            <w:pPr>
              <w:pStyle w:val="Sangradetextonormal"/>
              <w:spacing w:after="0" w:line="276" w:lineRule="auto"/>
              <w:ind w:left="0"/>
              <w:rPr>
                <w:rFonts w:ascii="Arial" w:hAnsi="Arial" w:cs="Arial"/>
                <w:i/>
                <w:szCs w:val="24"/>
                <w:lang w:val="es-CO" w:eastAsia="ar-SA"/>
              </w:rPr>
            </w:pPr>
            <w:r w:rsidRPr="00E5066D">
              <w:rPr>
                <w:rFonts w:ascii="Arial" w:hAnsi="Arial" w:cs="Arial"/>
                <w:i/>
                <w:szCs w:val="24"/>
                <w:lang w:val="es-CO" w:eastAsia="ar-SA"/>
              </w:rPr>
              <w:t xml:space="preserve">Valor amparo anticipo no amortizado </w:t>
            </w:r>
          </w:p>
        </w:tc>
        <w:tc>
          <w:tcPr>
            <w:tcW w:w="3292" w:type="dxa"/>
            <w:shd w:val="clear" w:color="auto" w:fill="auto"/>
          </w:tcPr>
          <w:p w14:paraId="5D6134A4" w14:textId="77777777" w:rsidR="001A408D" w:rsidRPr="00E5066D" w:rsidRDefault="004A73CC" w:rsidP="00E5066D">
            <w:pPr>
              <w:pStyle w:val="Sangradetextonormal"/>
              <w:spacing w:after="0" w:line="276" w:lineRule="auto"/>
              <w:ind w:left="0"/>
              <w:jc w:val="right"/>
              <w:rPr>
                <w:rFonts w:ascii="Arial" w:hAnsi="Arial" w:cs="Arial"/>
                <w:i/>
                <w:szCs w:val="24"/>
                <w:lang w:val="es-CO" w:eastAsia="ar-SA"/>
              </w:rPr>
            </w:pPr>
            <w:r w:rsidRPr="00E5066D">
              <w:rPr>
                <w:rFonts w:ascii="Arial" w:hAnsi="Arial" w:cs="Arial"/>
                <w:i/>
                <w:szCs w:val="24"/>
                <w:lang w:val="es-CO" w:eastAsia="ar-SA"/>
              </w:rPr>
              <w:t>$1.252’650.521,84 M/</w:t>
            </w:r>
            <w:proofErr w:type="spellStart"/>
            <w:r w:rsidRPr="00E5066D">
              <w:rPr>
                <w:rFonts w:ascii="Arial" w:hAnsi="Arial" w:cs="Arial"/>
                <w:i/>
                <w:szCs w:val="24"/>
                <w:lang w:val="es-CO" w:eastAsia="ar-SA"/>
              </w:rPr>
              <w:t>Cte</w:t>
            </w:r>
            <w:proofErr w:type="spellEnd"/>
          </w:p>
        </w:tc>
      </w:tr>
      <w:tr w:rsidR="001A408D" w:rsidRPr="00E5066D" w14:paraId="306DC9EB" w14:textId="77777777" w:rsidTr="00E5066D">
        <w:tc>
          <w:tcPr>
            <w:tcW w:w="5353" w:type="dxa"/>
            <w:shd w:val="clear" w:color="auto" w:fill="auto"/>
          </w:tcPr>
          <w:p w14:paraId="6AFD34F9" w14:textId="77777777" w:rsidR="001A408D" w:rsidRPr="00E5066D" w:rsidRDefault="00492C8A" w:rsidP="00E5066D">
            <w:pPr>
              <w:pStyle w:val="Sangradetextonormal"/>
              <w:spacing w:after="0" w:line="276" w:lineRule="auto"/>
              <w:ind w:left="0"/>
              <w:rPr>
                <w:rFonts w:ascii="Arial" w:hAnsi="Arial" w:cs="Arial"/>
                <w:i/>
                <w:szCs w:val="24"/>
                <w:lang w:val="es-CO" w:eastAsia="ar-SA"/>
              </w:rPr>
            </w:pPr>
            <w:r w:rsidRPr="00E5066D">
              <w:rPr>
                <w:rFonts w:ascii="Arial" w:hAnsi="Arial" w:cs="Arial"/>
                <w:i/>
                <w:szCs w:val="24"/>
                <w:lang w:val="es-CO" w:eastAsia="ar-SA"/>
              </w:rPr>
              <w:t>Valor total a afectar amparos del contrato</w:t>
            </w:r>
          </w:p>
        </w:tc>
        <w:tc>
          <w:tcPr>
            <w:tcW w:w="3292" w:type="dxa"/>
            <w:shd w:val="clear" w:color="auto" w:fill="auto"/>
          </w:tcPr>
          <w:p w14:paraId="0EE63437" w14:textId="77777777" w:rsidR="001A408D" w:rsidRPr="00E5066D" w:rsidRDefault="004A73CC" w:rsidP="00E5066D">
            <w:pPr>
              <w:pStyle w:val="Sangradetextonormal"/>
              <w:spacing w:after="0" w:line="276" w:lineRule="auto"/>
              <w:ind w:left="0"/>
              <w:jc w:val="right"/>
              <w:rPr>
                <w:rFonts w:ascii="Arial" w:hAnsi="Arial" w:cs="Arial"/>
                <w:i/>
                <w:szCs w:val="24"/>
                <w:lang w:val="es-CO" w:eastAsia="ar-SA"/>
              </w:rPr>
            </w:pPr>
            <w:r w:rsidRPr="00E5066D">
              <w:rPr>
                <w:rFonts w:ascii="Arial" w:hAnsi="Arial" w:cs="Arial"/>
                <w:i/>
                <w:szCs w:val="24"/>
                <w:lang w:val="es-CO" w:eastAsia="ar-SA"/>
              </w:rPr>
              <w:t>$2.102</w:t>
            </w:r>
            <w:r w:rsidR="0017700F" w:rsidRPr="00E5066D">
              <w:rPr>
                <w:rFonts w:ascii="Arial" w:hAnsi="Arial" w:cs="Arial"/>
                <w:i/>
                <w:szCs w:val="24"/>
                <w:lang w:val="es-CO" w:eastAsia="ar-SA"/>
              </w:rPr>
              <w:t>’</w:t>
            </w:r>
            <w:r w:rsidRPr="00E5066D">
              <w:rPr>
                <w:rFonts w:ascii="Arial" w:hAnsi="Arial" w:cs="Arial"/>
                <w:i/>
                <w:szCs w:val="24"/>
                <w:lang w:val="es-CO" w:eastAsia="ar-SA"/>
              </w:rPr>
              <w:t>710</w:t>
            </w:r>
            <w:r w:rsidR="0017700F" w:rsidRPr="00E5066D">
              <w:rPr>
                <w:rFonts w:ascii="Arial" w:hAnsi="Arial" w:cs="Arial"/>
                <w:i/>
                <w:szCs w:val="24"/>
                <w:lang w:val="es-CO" w:eastAsia="ar-SA"/>
              </w:rPr>
              <w:t>.</w:t>
            </w:r>
            <w:r w:rsidRPr="00E5066D">
              <w:rPr>
                <w:rFonts w:ascii="Arial" w:hAnsi="Arial" w:cs="Arial"/>
                <w:i/>
                <w:szCs w:val="24"/>
                <w:lang w:val="es-CO" w:eastAsia="ar-SA"/>
              </w:rPr>
              <w:t>289</w:t>
            </w:r>
            <w:r w:rsidR="0017700F" w:rsidRPr="00E5066D">
              <w:rPr>
                <w:rFonts w:ascii="Arial" w:hAnsi="Arial" w:cs="Arial"/>
                <w:i/>
                <w:szCs w:val="24"/>
                <w:lang w:val="es-CO" w:eastAsia="ar-SA"/>
              </w:rPr>
              <w:t xml:space="preserve">,00 </w:t>
            </w:r>
            <w:r w:rsidRPr="00E5066D">
              <w:rPr>
                <w:rFonts w:ascii="Arial" w:hAnsi="Arial" w:cs="Arial"/>
                <w:i/>
                <w:szCs w:val="24"/>
                <w:lang w:val="es-CO" w:eastAsia="ar-SA"/>
              </w:rPr>
              <w:t>M/</w:t>
            </w:r>
            <w:proofErr w:type="spellStart"/>
            <w:r w:rsidRPr="00E5066D">
              <w:rPr>
                <w:rFonts w:ascii="Arial" w:hAnsi="Arial" w:cs="Arial"/>
                <w:i/>
                <w:szCs w:val="24"/>
                <w:lang w:val="es-CO" w:eastAsia="ar-SA"/>
              </w:rPr>
              <w:t>Cte</w:t>
            </w:r>
            <w:proofErr w:type="spellEnd"/>
            <w:r w:rsidRPr="00E5066D">
              <w:rPr>
                <w:rFonts w:ascii="Arial" w:hAnsi="Arial" w:cs="Arial"/>
                <w:i/>
                <w:szCs w:val="24"/>
                <w:lang w:val="es-CO" w:eastAsia="ar-SA"/>
              </w:rPr>
              <w:t>”</w:t>
            </w:r>
          </w:p>
        </w:tc>
      </w:tr>
    </w:tbl>
    <w:p w14:paraId="7EE80F17" w14:textId="77777777" w:rsidR="001A408D" w:rsidRPr="00545310" w:rsidRDefault="001A408D" w:rsidP="00B26B0D">
      <w:pPr>
        <w:pStyle w:val="Sangradetextonormal"/>
        <w:spacing w:after="0"/>
        <w:ind w:left="0"/>
        <w:rPr>
          <w:rFonts w:ascii="Arial" w:hAnsi="Arial" w:cs="Arial"/>
          <w:b/>
          <w:szCs w:val="24"/>
          <w:lang w:val="es-CO" w:eastAsia="ar-SA"/>
        </w:rPr>
      </w:pPr>
    </w:p>
    <w:p w14:paraId="2797D394" w14:textId="77777777" w:rsidR="00D275F3" w:rsidRPr="00545310" w:rsidRDefault="00EA3AE8" w:rsidP="00B26B0D">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Ahora bien</w:t>
      </w:r>
      <w:r w:rsidR="001A583C" w:rsidRPr="00545310">
        <w:rPr>
          <w:rFonts w:ascii="Arial" w:hAnsi="Arial" w:cs="Arial"/>
          <w:szCs w:val="24"/>
          <w:lang w:val="es-CO" w:eastAsia="ar-SA"/>
        </w:rPr>
        <w:t>,</w:t>
      </w:r>
      <w:r w:rsidRPr="00545310">
        <w:rPr>
          <w:rFonts w:ascii="Arial" w:hAnsi="Arial" w:cs="Arial"/>
          <w:szCs w:val="24"/>
          <w:lang w:val="es-CO" w:eastAsia="ar-SA"/>
        </w:rPr>
        <w:t xml:space="preserve"> </w:t>
      </w:r>
      <w:r w:rsidR="007507FE" w:rsidRPr="00545310">
        <w:rPr>
          <w:rFonts w:ascii="Arial" w:hAnsi="Arial" w:cs="Arial"/>
          <w:szCs w:val="24"/>
          <w:lang w:val="es-CO" w:eastAsia="ar-SA"/>
        </w:rPr>
        <w:t>se probó que</w:t>
      </w:r>
      <w:r w:rsidR="005A1C03" w:rsidRPr="00545310">
        <w:rPr>
          <w:rFonts w:ascii="Arial" w:hAnsi="Arial" w:cs="Arial"/>
          <w:szCs w:val="24"/>
          <w:lang w:val="es-CO" w:eastAsia="ar-SA"/>
        </w:rPr>
        <w:t>,</w:t>
      </w:r>
      <w:r w:rsidR="007507FE" w:rsidRPr="00545310">
        <w:rPr>
          <w:rFonts w:ascii="Arial" w:hAnsi="Arial" w:cs="Arial"/>
          <w:szCs w:val="24"/>
          <w:lang w:val="es-CO" w:eastAsia="ar-SA"/>
        </w:rPr>
        <w:t xml:space="preserve"> </w:t>
      </w:r>
      <w:r w:rsidR="00CA5E3B" w:rsidRPr="00545310">
        <w:rPr>
          <w:rFonts w:ascii="Arial" w:hAnsi="Arial" w:cs="Arial"/>
          <w:szCs w:val="24"/>
          <w:lang w:val="es-CO" w:eastAsia="ar-SA"/>
        </w:rPr>
        <w:t xml:space="preserve">inicialmente, </w:t>
      </w:r>
      <w:r w:rsidR="007507FE" w:rsidRPr="00545310">
        <w:rPr>
          <w:rFonts w:ascii="Arial" w:hAnsi="Arial" w:cs="Arial"/>
          <w:szCs w:val="24"/>
          <w:lang w:val="es-CO" w:eastAsia="ar-SA"/>
        </w:rPr>
        <w:t>d</w:t>
      </w:r>
      <w:r w:rsidR="00715FCC" w:rsidRPr="00545310">
        <w:rPr>
          <w:rFonts w:ascii="Arial" w:hAnsi="Arial" w:cs="Arial"/>
          <w:szCs w:val="24"/>
          <w:lang w:val="es-CO" w:eastAsia="ar-SA"/>
        </w:rPr>
        <w:t xml:space="preserve">e </w:t>
      </w:r>
      <w:r w:rsidR="00D275F3" w:rsidRPr="00545310">
        <w:rPr>
          <w:rFonts w:ascii="Arial" w:hAnsi="Arial" w:cs="Arial"/>
          <w:szCs w:val="24"/>
          <w:lang w:val="es-CO" w:eastAsia="ar-SA"/>
        </w:rPr>
        <w:t xml:space="preserve">conformidad </w:t>
      </w:r>
      <w:r w:rsidR="00715FCC" w:rsidRPr="00545310">
        <w:rPr>
          <w:rFonts w:ascii="Arial" w:hAnsi="Arial" w:cs="Arial"/>
          <w:szCs w:val="24"/>
          <w:lang w:val="es-CO" w:eastAsia="ar-SA"/>
        </w:rPr>
        <w:t>con el memorando interno del 11 de mayo de 2011</w:t>
      </w:r>
      <w:r w:rsidR="0051656A" w:rsidRPr="00545310">
        <w:rPr>
          <w:rStyle w:val="Refdenotaalpie"/>
          <w:rFonts w:ascii="Arial" w:hAnsi="Arial" w:cs="Arial"/>
          <w:szCs w:val="24"/>
          <w:lang w:val="es-CO" w:eastAsia="ar-SA"/>
        </w:rPr>
        <w:footnoteReference w:id="58"/>
      </w:r>
      <w:r w:rsidR="00715FCC" w:rsidRPr="00545310">
        <w:rPr>
          <w:rFonts w:ascii="Arial" w:hAnsi="Arial" w:cs="Arial"/>
          <w:szCs w:val="24"/>
          <w:lang w:val="es-CO" w:eastAsia="ar-SA"/>
        </w:rPr>
        <w:t xml:space="preserve">, </w:t>
      </w:r>
      <w:r w:rsidRPr="00545310">
        <w:rPr>
          <w:rFonts w:ascii="Arial" w:hAnsi="Arial" w:cs="Arial"/>
          <w:szCs w:val="24"/>
          <w:lang w:val="es-CO" w:eastAsia="ar-SA"/>
        </w:rPr>
        <w:t xml:space="preserve">que se tomó como base </w:t>
      </w:r>
      <w:r w:rsidR="007B69D4" w:rsidRPr="00545310">
        <w:rPr>
          <w:rFonts w:ascii="Arial" w:hAnsi="Arial" w:cs="Arial"/>
          <w:szCs w:val="24"/>
          <w:lang w:val="es-CO" w:eastAsia="ar-SA"/>
        </w:rPr>
        <w:t xml:space="preserve">para cuantificar los perjuicios derivados de la </w:t>
      </w:r>
      <w:r w:rsidR="001A583C" w:rsidRPr="00545310">
        <w:rPr>
          <w:rFonts w:ascii="Arial" w:hAnsi="Arial" w:cs="Arial"/>
          <w:szCs w:val="24"/>
          <w:lang w:val="es-CO" w:eastAsia="ar-SA"/>
        </w:rPr>
        <w:t xml:space="preserve">declaratoria de </w:t>
      </w:r>
      <w:r w:rsidR="007B69D4" w:rsidRPr="00545310">
        <w:rPr>
          <w:rFonts w:ascii="Arial" w:hAnsi="Arial" w:cs="Arial"/>
          <w:szCs w:val="24"/>
          <w:lang w:val="es-CO" w:eastAsia="ar-SA"/>
        </w:rPr>
        <w:t>caducidad del contrato</w:t>
      </w:r>
      <w:r w:rsidR="001A583C" w:rsidRPr="00545310">
        <w:rPr>
          <w:rFonts w:ascii="Arial" w:hAnsi="Arial" w:cs="Arial"/>
          <w:szCs w:val="24"/>
          <w:lang w:val="es-CO" w:eastAsia="ar-SA"/>
        </w:rPr>
        <w:t>,</w:t>
      </w:r>
      <w:r w:rsidR="007B69D4" w:rsidRPr="00545310">
        <w:rPr>
          <w:rFonts w:ascii="Arial" w:hAnsi="Arial" w:cs="Arial"/>
          <w:szCs w:val="24"/>
          <w:lang w:val="es-CO" w:eastAsia="ar-SA"/>
        </w:rPr>
        <w:t xml:space="preserve"> mediante la </w:t>
      </w:r>
      <w:r w:rsidRPr="00545310">
        <w:rPr>
          <w:rFonts w:ascii="Arial" w:hAnsi="Arial" w:cs="Arial"/>
          <w:szCs w:val="24"/>
          <w:lang w:val="es-CO" w:eastAsia="ar-SA"/>
        </w:rPr>
        <w:t xml:space="preserve">Resolución </w:t>
      </w:r>
      <w:r w:rsidR="003D4D4D" w:rsidRPr="00545310">
        <w:rPr>
          <w:rFonts w:ascii="Arial" w:hAnsi="Arial" w:cs="Arial"/>
          <w:szCs w:val="24"/>
          <w:lang w:val="es-CO" w:eastAsia="ar-SA"/>
        </w:rPr>
        <w:t xml:space="preserve">962 de 13 de mayo de 2012, </w:t>
      </w:r>
      <w:r w:rsidR="00715FCC" w:rsidRPr="00545310">
        <w:rPr>
          <w:rFonts w:ascii="Arial" w:hAnsi="Arial" w:cs="Arial"/>
          <w:szCs w:val="24"/>
          <w:lang w:val="es-CO" w:eastAsia="ar-SA"/>
        </w:rPr>
        <w:t xml:space="preserve">el </w:t>
      </w:r>
      <w:r w:rsidR="001F7FA4" w:rsidRPr="00545310">
        <w:rPr>
          <w:rFonts w:ascii="Arial" w:hAnsi="Arial" w:cs="Arial"/>
          <w:szCs w:val="24"/>
          <w:lang w:val="es-CO" w:eastAsia="ar-SA"/>
        </w:rPr>
        <w:t xml:space="preserve">costo </w:t>
      </w:r>
      <w:r w:rsidR="00715FCC" w:rsidRPr="00545310">
        <w:rPr>
          <w:rFonts w:ascii="Arial" w:hAnsi="Arial" w:cs="Arial"/>
          <w:szCs w:val="24"/>
          <w:lang w:val="es-CO" w:eastAsia="ar-SA"/>
        </w:rPr>
        <w:t>de las obras falt</w:t>
      </w:r>
      <w:r w:rsidR="002B46FE" w:rsidRPr="00545310">
        <w:rPr>
          <w:rFonts w:ascii="Arial" w:hAnsi="Arial" w:cs="Arial"/>
          <w:szCs w:val="24"/>
          <w:lang w:val="es-CO" w:eastAsia="ar-SA"/>
        </w:rPr>
        <w:t>a</w:t>
      </w:r>
      <w:r w:rsidR="00715FCC" w:rsidRPr="00545310">
        <w:rPr>
          <w:rFonts w:ascii="Arial" w:hAnsi="Arial" w:cs="Arial"/>
          <w:szCs w:val="24"/>
          <w:lang w:val="es-CO" w:eastAsia="ar-SA"/>
        </w:rPr>
        <w:t xml:space="preserve">ntes se estimó </w:t>
      </w:r>
      <w:r w:rsidR="00385714" w:rsidRPr="00545310">
        <w:rPr>
          <w:rFonts w:ascii="Arial" w:hAnsi="Arial" w:cs="Arial"/>
          <w:szCs w:val="24"/>
          <w:lang w:val="es-CO" w:eastAsia="ar-SA"/>
        </w:rPr>
        <w:t xml:space="preserve">por la Unidad de Estudios Previos de FONADE, </w:t>
      </w:r>
      <w:r w:rsidR="00715FCC" w:rsidRPr="00545310">
        <w:rPr>
          <w:rFonts w:ascii="Arial" w:hAnsi="Arial" w:cs="Arial"/>
          <w:szCs w:val="24"/>
          <w:lang w:val="es-CO" w:eastAsia="ar-SA"/>
        </w:rPr>
        <w:t>en un total de $5.29</w:t>
      </w:r>
      <w:r w:rsidR="007507FE" w:rsidRPr="00545310">
        <w:rPr>
          <w:rFonts w:ascii="Arial" w:hAnsi="Arial" w:cs="Arial"/>
          <w:szCs w:val="24"/>
          <w:lang w:val="es-CO" w:eastAsia="ar-SA"/>
        </w:rPr>
        <w:t>0</w:t>
      </w:r>
      <w:r w:rsidR="0051656A" w:rsidRPr="00545310">
        <w:rPr>
          <w:rFonts w:ascii="Arial" w:hAnsi="Arial" w:cs="Arial"/>
          <w:szCs w:val="24"/>
          <w:lang w:val="es-CO" w:eastAsia="ar-SA"/>
        </w:rPr>
        <w:t>’</w:t>
      </w:r>
      <w:r w:rsidR="00715FCC" w:rsidRPr="00545310">
        <w:rPr>
          <w:rFonts w:ascii="Arial" w:hAnsi="Arial" w:cs="Arial"/>
          <w:szCs w:val="24"/>
          <w:lang w:val="es-CO" w:eastAsia="ar-SA"/>
        </w:rPr>
        <w:t>199</w:t>
      </w:r>
      <w:r w:rsidR="0051656A" w:rsidRPr="00545310">
        <w:rPr>
          <w:rFonts w:ascii="Arial" w:hAnsi="Arial" w:cs="Arial"/>
          <w:szCs w:val="24"/>
          <w:lang w:val="es-CO" w:eastAsia="ar-SA"/>
        </w:rPr>
        <w:t>.363</w:t>
      </w:r>
      <w:r w:rsidR="00D275F3" w:rsidRPr="00545310">
        <w:rPr>
          <w:rFonts w:ascii="Arial" w:hAnsi="Arial" w:cs="Arial"/>
          <w:szCs w:val="24"/>
          <w:lang w:val="es-CO" w:eastAsia="ar-SA"/>
        </w:rPr>
        <w:t>.</w:t>
      </w:r>
    </w:p>
    <w:p w14:paraId="069C8FBD" w14:textId="77777777" w:rsidR="00D275F3" w:rsidRPr="00545310" w:rsidRDefault="00D275F3" w:rsidP="00B26B0D">
      <w:pPr>
        <w:pStyle w:val="Sangradetextonormal"/>
        <w:spacing w:after="0"/>
        <w:ind w:left="0"/>
        <w:rPr>
          <w:rFonts w:ascii="Arial" w:hAnsi="Arial" w:cs="Arial"/>
          <w:szCs w:val="24"/>
          <w:lang w:val="es-CO" w:eastAsia="ar-SA"/>
        </w:rPr>
      </w:pPr>
    </w:p>
    <w:p w14:paraId="3F42F743" w14:textId="77777777" w:rsidR="001B0711" w:rsidRPr="00545310" w:rsidRDefault="00D275F3" w:rsidP="00B26B0D">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Se observa que ese </w:t>
      </w:r>
      <w:r w:rsidR="000C644A" w:rsidRPr="00545310">
        <w:rPr>
          <w:rFonts w:ascii="Arial" w:hAnsi="Arial" w:cs="Arial"/>
          <w:szCs w:val="24"/>
          <w:lang w:val="es-CO" w:eastAsia="ar-SA"/>
        </w:rPr>
        <w:t xml:space="preserve">documento está fechado dos días antes de </w:t>
      </w:r>
      <w:r w:rsidR="005A1C03" w:rsidRPr="00545310">
        <w:rPr>
          <w:rFonts w:ascii="Arial" w:hAnsi="Arial" w:cs="Arial"/>
          <w:szCs w:val="24"/>
          <w:lang w:val="es-CO" w:eastAsia="ar-SA"/>
        </w:rPr>
        <w:t>la declara</w:t>
      </w:r>
      <w:r w:rsidR="000774FA" w:rsidRPr="00545310">
        <w:rPr>
          <w:rFonts w:ascii="Arial" w:hAnsi="Arial" w:cs="Arial"/>
          <w:szCs w:val="24"/>
          <w:lang w:val="es-CO" w:eastAsia="ar-SA"/>
        </w:rPr>
        <w:t xml:space="preserve">toria </w:t>
      </w:r>
      <w:r w:rsidR="005A1C03" w:rsidRPr="00545310">
        <w:rPr>
          <w:rFonts w:ascii="Arial" w:hAnsi="Arial" w:cs="Arial"/>
          <w:szCs w:val="24"/>
          <w:lang w:val="es-CO" w:eastAsia="ar-SA"/>
        </w:rPr>
        <w:t xml:space="preserve">de caducidad, como </w:t>
      </w:r>
      <w:r w:rsidRPr="00545310">
        <w:rPr>
          <w:rFonts w:ascii="Arial" w:hAnsi="Arial" w:cs="Arial"/>
          <w:szCs w:val="24"/>
          <w:lang w:val="es-CO" w:eastAsia="ar-SA"/>
        </w:rPr>
        <w:t>aleg</w:t>
      </w:r>
      <w:r w:rsidR="00F02BDB" w:rsidRPr="00545310">
        <w:rPr>
          <w:rFonts w:ascii="Arial" w:hAnsi="Arial" w:cs="Arial"/>
          <w:szCs w:val="24"/>
          <w:lang w:val="es-CO" w:eastAsia="ar-SA"/>
        </w:rPr>
        <w:t>ó</w:t>
      </w:r>
      <w:r w:rsidRPr="00545310">
        <w:rPr>
          <w:rFonts w:ascii="Arial" w:hAnsi="Arial" w:cs="Arial"/>
          <w:szCs w:val="24"/>
          <w:lang w:val="es-CO" w:eastAsia="ar-SA"/>
        </w:rPr>
        <w:t xml:space="preserve"> </w:t>
      </w:r>
      <w:r w:rsidR="000C644A" w:rsidRPr="00545310">
        <w:rPr>
          <w:rFonts w:ascii="Arial" w:hAnsi="Arial" w:cs="Arial"/>
          <w:szCs w:val="24"/>
          <w:lang w:val="es-CO" w:eastAsia="ar-SA"/>
        </w:rPr>
        <w:t xml:space="preserve">la </w:t>
      </w:r>
      <w:r w:rsidR="005A1C03" w:rsidRPr="00545310">
        <w:rPr>
          <w:rFonts w:ascii="Arial" w:hAnsi="Arial" w:cs="Arial"/>
          <w:szCs w:val="24"/>
          <w:lang w:val="es-CO" w:eastAsia="ar-SA"/>
        </w:rPr>
        <w:t xml:space="preserve">apelante, </w:t>
      </w:r>
      <w:r w:rsidR="000C644A" w:rsidRPr="00545310">
        <w:rPr>
          <w:rFonts w:ascii="Arial" w:hAnsi="Arial" w:cs="Arial"/>
          <w:szCs w:val="24"/>
          <w:lang w:val="es-CO" w:eastAsia="ar-SA"/>
        </w:rPr>
        <w:t xml:space="preserve">pero </w:t>
      </w:r>
      <w:r w:rsidR="001A583C" w:rsidRPr="00545310">
        <w:rPr>
          <w:rFonts w:ascii="Arial" w:hAnsi="Arial" w:cs="Arial"/>
          <w:szCs w:val="24"/>
          <w:lang w:val="es-CO" w:eastAsia="ar-SA"/>
        </w:rPr>
        <w:t xml:space="preserve">su </w:t>
      </w:r>
      <w:r w:rsidR="00F02BDB" w:rsidRPr="00545310">
        <w:rPr>
          <w:rFonts w:ascii="Arial" w:hAnsi="Arial" w:cs="Arial"/>
          <w:szCs w:val="24"/>
          <w:lang w:val="es-CO" w:eastAsia="ar-SA"/>
        </w:rPr>
        <w:t xml:space="preserve">contenido se corresponde </w:t>
      </w:r>
      <w:r w:rsidR="005A1C03" w:rsidRPr="00545310">
        <w:rPr>
          <w:rFonts w:ascii="Arial" w:hAnsi="Arial" w:cs="Arial"/>
          <w:szCs w:val="24"/>
          <w:lang w:val="es-CO" w:eastAsia="ar-SA"/>
        </w:rPr>
        <w:t xml:space="preserve">con </w:t>
      </w:r>
      <w:r w:rsidR="00FE6CC8" w:rsidRPr="00545310">
        <w:rPr>
          <w:rFonts w:ascii="Arial" w:hAnsi="Arial" w:cs="Arial"/>
          <w:szCs w:val="24"/>
          <w:lang w:val="es-CO" w:eastAsia="ar-SA"/>
        </w:rPr>
        <w:t>el informe de la interventoría de fecha 18 de abril de 2011</w:t>
      </w:r>
      <w:r w:rsidR="005A1C03" w:rsidRPr="00545310">
        <w:rPr>
          <w:rFonts w:ascii="Arial" w:hAnsi="Arial" w:cs="Arial"/>
          <w:szCs w:val="24"/>
          <w:lang w:val="es-CO" w:eastAsia="ar-SA"/>
        </w:rPr>
        <w:t>, radicado con el número 2011-430-019223-2</w:t>
      </w:r>
      <w:r w:rsidR="000C644A" w:rsidRPr="00545310">
        <w:rPr>
          <w:rFonts w:ascii="Arial" w:hAnsi="Arial" w:cs="Arial"/>
          <w:szCs w:val="24"/>
          <w:lang w:val="es-CO" w:eastAsia="ar-SA"/>
        </w:rPr>
        <w:t xml:space="preserve">, en el cual se determinó el porcentaje </w:t>
      </w:r>
      <w:r w:rsidR="00F02BDB" w:rsidRPr="00545310">
        <w:rPr>
          <w:rFonts w:ascii="Arial" w:hAnsi="Arial" w:cs="Arial"/>
          <w:szCs w:val="24"/>
          <w:lang w:val="es-CO" w:eastAsia="ar-SA"/>
        </w:rPr>
        <w:t xml:space="preserve">de obra </w:t>
      </w:r>
      <w:r w:rsidR="000C644A" w:rsidRPr="00545310">
        <w:rPr>
          <w:rFonts w:ascii="Arial" w:hAnsi="Arial" w:cs="Arial"/>
          <w:szCs w:val="24"/>
          <w:lang w:val="es-CO" w:eastAsia="ar-SA"/>
        </w:rPr>
        <w:t xml:space="preserve">ejecutado </w:t>
      </w:r>
      <w:r w:rsidR="00F17B2E" w:rsidRPr="00545310">
        <w:rPr>
          <w:rFonts w:ascii="Arial" w:hAnsi="Arial" w:cs="Arial"/>
          <w:szCs w:val="24"/>
          <w:lang w:val="es-CO" w:eastAsia="ar-SA"/>
        </w:rPr>
        <w:t>y por ejecuta</w:t>
      </w:r>
      <w:r w:rsidR="00F02BDB" w:rsidRPr="00545310">
        <w:rPr>
          <w:rFonts w:ascii="Arial" w:hAnsi="Arial" w:cs="Arial"/>
          <w:szCs w:val="24"/>
          <w:lang w:val="es-CO" w:eastAsia="ar-SA"/>
        </w:rPr>
        <w:t>r</w:t>
      </w:r>
      <w:r w:rsidR="005C4AC8" w:rsidRPr="00545310">
        <w:rPr>
          <w:rFonts w:ascii="Arial" w:hAnsi="Arial" w:cs="Arial"/>
          <w:szCs w:val="24"/>
          <w:lang w:val="es-CO" w:eastAsia="ar-SA"/>
        </w:rPr>
        <w:t xml:space="preserve">, </w:t>
      </w:r>
      <w:r w:rsidR="00F17B2E" w:rsidRPr="00545310">
        <w:rPr>
          <w:rFonts w:ascii="Arial" w:hAnsi="Arial" w:cs="Arial"/>
          <w:szCs w:val="24"/>
          <w:lang w:val="es-CO" w:eastAsia="ar-SA"/>
        </w:rPr>
        <w:t xml:space="preserve">informe interno que fue </w:t>
      </w:r>
      <w:r w:rsidR="005C4AC8" w:rsidRPr="00545310">
        <w:rPr>
          <w:rFonts w:ascii="Arial" w:hAnsi="Arial" w:cs="Arial"/>
          <w:szCs w:val="24"/>
          <w:lang w:val="es-CO" w:eastAsia="ar-SA"/>
        </w:rPr>
        <w:t>remitido con copia a la contratista y a la aseguradora</w:t>
      </w:r>
      <w:r w:rsidRPr="00545310">
        <w:rPr>
          <w:rFonts w:ascii="Arial" w:hAnsi="Arial" w:cs="Arial"/>
          <w:szCs w:val="24"/>
          <w:lang w:val="es-CO" w:eastAsia="ar-SA"/>
        </w:rPr>
        <w:t>. En ese informe la interventoría presentó e</w:t>
      </w:r>
      <w:r w:rsidR="00A30028" w:rsidRPr="00545310">
        <w:rPr>
          <w:rFonts w:ascii="Arial" w:hAnsi="Arial" w:cs="Arial"/>
          <w:szCs w:val="24"/>
          <w:lang w:val="es-CO" w:eastAsia="ar-SA"/>
        </w:rPr>
        <w:t>l</w:t>
      </w:r>
      <w:r w:rsidRPr="00545310">
        <w:rPr>
          <w:rFonts w:ascii="Arial" w:hAnsi="Arial" w:cs="Arial"/>
          <w:szCs w:val="24"/>
          <w:lang w:val="es-CO" w:eastAsia="ar-SA"/>
        </w:rPr>
        <w:t xml:space="preserve"> detalle </w:t>
      </w:r>
      <w:r w:rsidR="00A30028" w:rsidRPr="00545310">
        <w:rPr>
          <w:rFonts w:ascii="Arial" w:hAnsi="Arial" w:cs="Arial"/>
          <w:szCs w:val="24"/>
          <w:lang w:val="es-CO" w:eastAsia="ar-SA"/>
        </w:rPr>
        <w:t xml:space="preserve">de </w:t>
      </w:r>
      <w:r w:rsidRPr="00545310">
        <w:rPr>
          <w:rFonts w:ascii="Arial" w:hAnsi="Arial" w:cs="Arial"/>
          <w:szCs w:val="24"/>
          <w:lang w:val="es-CO" w:eastAsia="ar-SA"/>
        </w:rPr>
        <w:t xml:space="preserve">los incumplimientos del contrato y el estado de avance de la obra, concluyendo con la recomendación de </w:t>
      </w:r>
      <w:r w:rsidR="004D1ED9" w:rsidRPr="00545310">
        <w:rPr>
          <w:rFonts w:ascii="Arial" w:hAnsi="Arial" w:cs="Arial"/>
          <w:szCs w:val="24"/>
          <w:lang w:val="es-CO" w:eastAsia="ar-SA"/>
        </w:rPr>
        <w:t xml:space="preserve">declarar la caducidad del contrato. </w:t>
      </w:r>
    </w:p>
    <w:p w14:paraId="0714A8A0" w14:textId="77777777" w:rsidR="004D1ED9" w:rsidRPr="00545310" w:rsidRDefault="004D1ED9" w:rsidP="00B26B0D">
      <w:pPr>
        <w:pStyle w:val="Sangradetextonormal"/>
        <w:spacing w:after="0"/>
        <w:ind w:left="0"/>
        <w:rPr>
          <w:rFonts w:ascii="Arial" w:hAnsi="Arial" w:cs="Arial"/>
          <w:szCs w:val="24"/>
          <w:lang w:val="es-CO" w:eastAsia="ar-SA"/>
        </w:rPr>
      </w:pPr>
    </w:p>
    <w:p w14:paraId="3E95A917" w14:textId="77777777" w:rsidR="002C28A4" w:rsidRPr="00545310" w:rsidRDefault="001B0711" w:rsidP="00B26B0D">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En relación con </w:t>
      </w:r>
      <w:r w:rsidR="004D1ED9" w:rsidRPr="00545310">
        <w:rPr>
          <w:rFonts w:ascii="Arial" w:hAnsi="Arial" w:cs="Arial"/>
          <w:szCs w:val="24"/>
          <w:lang w:val="es-CO" w:eastAsia="ar-SA"/>
        </w:rPr>
        <w:t>el perjuicio</w:t>
      </w:r>
      <w:r w:rsidR="007B4682" w:rsidRPr="00545310">
        <w:rPr>
          <w:rFonts w:ascii="Arial" w:hAnsi="Arial" w:cs="Arial"/>
          <w:szCs w:val="24"/>
          <w:lang w:val="es-CO" w:eastAsia="ar-SA"/>
        </w:rPr>
        <w:t>,</w:t>
      </w:r>
      <w:r w:rsidR="004D1ED9" w:rsidRPr="00545310">
        <w:rPr>
          <w:rFonts w:ascii="Arial" w:hAnsi="Arial" w:cs="Arial"/>
          <w:szCs w:val="24"/>
          <w:lang w:val="es-CO" w:eastAsia="ar-SA"/>
        </w:rPr>
        <w:t xml:space="preserve"> que se cuantificó con base en </w:t>
      </w:r>
      <w:r w:rsidR="007B4682" w:rsidRPr="00545310">
        <w:rPr>
          <w:rFonts w:ascii="Arial" w:hAnsi="Arial" w:cs="Arial"/>
          <w:szCs w:val="24"/>
          <w:lang w:val="es-CO" w:eastAsia="ar-SA"/>
        </w:rPr>
        <w:t xml:space="preserve">el informe anterior y en </w:t>
      </w:r>
      <w:r w:rsidR="004D1ED9" w:rsidRPr="00545310">
        <w:rPr>
          <w:rFonts w:ascii="Arial" w:hAnsi="Arial" w:cs="Arial"/>
          <w:szCs w:val="24"/>
          <w:lang w:val="es-CO" w:eastAsia="ar-SA"/>
        </w:rPr>
        <w:t>los estudios previos</w:t>
      </w:r>
      <w:r w:rsidR="00F02BDB" w:rsidRPr="00545310">
        <w:rPr>
          <w:rFonts w:ascii="Arial" w:hAnsi="Arial" w:cs="Arial"/>
          <w:szCs w:val="24"/>
          <w:lang w:val="es-CO" w:eastAsia="ar-SA"/>
        </w:rPr>
        <w:t xml:space="preserve"> de FONADE</w:t>
      </w:r>
      <w:r w:rsidR="007B4682" w:rsidRPr="00545310">
        <w:rPr>
          <w:rFonts w:ascii="Arial" w:hAnsi="Arial" w:cs="Arial"/>
          <w:szCs w:val="24"/>
          <w:lang w:val="es-CO" w:eastAsia="ar-SA"/>
        </w:rPr>
        <w:t>,</w:t>
      </w:r>
      <w:r w:rsidR="004D1ED9" w:rsidRPr="00545310">
        <w:rPr>
          <w:rFonts w:ascii="Arial" w:hAnsi="Arial" w:cs="Arial"/>
          <w:szCs w:val="24"/>
          <w:lang w:val="es-CO" w:eastAsia="ar-SA"/>
        </w:rPr>
        <w:t xml:space="preserve"> </w:t>
      </w:r>
      <w:r w:rsidR="00F17B2E" w:rsidRPr="00545310">
        <w:rPr>
          <w:rFonts w:ascii="Arial" w:hAnsi="Arial" w:cs="Arial"/>
          <w:szCs w:val="24"/>
          <w:lang w:val="es-CO" w:eastAsia="ar-SA"/>
        </w:rPr>
        <w:t>se corrob</w:t>
      </w:r>
      <w:r w:rsidR="00F76357" w:rsidRPr="00545310">
        <w:rPr>
          <w:rFonts w:ascii="Arial" w:hAnsi="Arial" w:cs="Arial"/>
          <w:szCs w:val="24"/>
          <w:lang w:val="es-CO" w:eastAsia="ar-SA"/>
        </w:rPr>
        <w:t>o</w:t>
      </w:r>
      <w:r w:rsidR="00F17B2E" w:rsidRPr="00545310">
        <w:rPr>
          <w:rFonts w:ascii="Arial" w:hAnsi="Arial" w:cs="Arial"/>
          <w:szCs w:val="24"/>
          <w:lang w:val="es-CO" w:eastAsia="ar-SA"/>
        </w:rPr>
        <w:t xml:space="preserve">ra la idoneidad de </w:t>
      </w:r>
      <w:r w:rsidR="00454911" w:rsidRPr="00545310">
        <w:rPr>
          <w:rFonts w:ascii="Arial" w:hAnsi="Arial" w:cs="Arial"/>
          <w:szCs w:val="24"/>
          <w:lang w:val="es-CO" w:eastAsia="ar-SA"/>
        </w:rPr>
        <w:t>la metodología</w:t>
      </w:r>
      <w:r w:rsidR="007B4682" w:rsidRPr="00545310">
        <w:rPr>
          <w:rFonts w:ascii="Arial" w:hAnsi="Arial" w:cs="Arial"/>
          <w:szCs w:val="24"/>
          <w:lang w:val="es-CO" w:eastAsia="ar-SA"/>
        </w:rPr>
        <w:t xml:space="preserve"> en que se apoyó la estimación de la cuantía,</w:t>
      </w:r>
      <w:r w:rsidR="00454911" w:rsidRPr="00545310">
        <w:rPr>
          <w:rFonts w:ascii="Arial" w:hAnsi="Arial" w:cs="Arial"/>
          <w:szCs w:val="24"/>
          <w:lang w:val="es-CO" w:eastAsia="ar-SA"/>
        </w:rPr>
        <w:t xml:space="preserve"> </w:t>
      </w:r>
      <w:r w:rsidR="00EF32AB" w:rsidRPr="00545310">
        <w:rPr>
          <w:rFonts w:ascii="Arial" w:hAnsi="Arial" w:cs="Arial"/>
          <w:szCs w:val="24"/>
          <w:lang w:val="es-CO" w:eastAsia="ar-SA"/>
        </w:rPr>
        <w:t xml:space="preserve">por cuanto </w:t>
      </w:r>
      <w:r w:rsidRPr="00545310">
        <w:rPr>
          <w:rFonts w:ascii="Arial" w:hAnsi="Arial" w:cs="Arial"/>
          <w:szCs w:val="24"/>
          <w:lang w:val="es-CO" w:eastAsia="ar-SA"/>
        </w:rPr>
        <w:t xml:space="preserve">la contratación </w:t>
      </w:r>
      <w:r w:rsidR="00EF32AB" w:rsidRPr="00545310">
        <w:rPr>
          <w:rFonts w:ascii="Arial" w:hAnsi="Arial" w:cs="Arial"/>
          <w:szCs w:val="24"/>
          <w:lang w:val="es-CO" w:eastAsia="ar-SA"/>
        </w:rPr>
        <w:t xml:space="preserve">de la obra faltante </w:t>
      </w:r>
      <w:r w:rsidRPr="00545310">
        <w:rPr>
          <w:rFonts w:ascii="Arial" w:hAnsi="Arial" w:cs="Arial"/>
          <w:szCs w:val="24"/>
          <w:lang w:val="es-CO" w:eastAsia="ar-SA"/>
        </w:rPr>
        <w:t xml:space="preserve">se celebró </w:t>
      </w:r>
      <w:r w:rsidR="007F58F1" w:rsidRPr="00545310">
        <w:rPr>
          <w:rFonts w:ascii="Arial" w:hAnsi="Arial" w:cs="Arial"/>
          <w:szCs w:val="24"/>
          <w:lang w:val="es-CO" w:eastAsia="ar-SA"/>
        </w:rPr>
        <w:t xml:space="preserve">en el año 2012, </w:t>
      </w:r>
      <w:r w:rsidRPr="00545310">
        <w:rPr>
          <w:rFonts w:ascii="Arial" w:hAnsi="Arial" w:cs="Arial"/>
          <w:szCs w:val="24"/>
          <w:lang w:val="es-CO" w:eastAsia="ar-SA"/>
        </w:rPr>
        <w:t xml:space="preserve">por una suma </w:t>
      </w:r>
      <w:r w:rsidR="004D1ED9" w:rsidRPr="00545310">
        <w:rPr>
          <w:rFonts w:ascii="Arial" w:hAnsi="Arial" w:cs="Arial"/>
          <w:szCs w:val="24"/>
          <w:lang w:val="es-CO" w:eastAsia="ar-SA"/>
        </w:rPr>
        <w:t xml:space="preserve">aun </w:t>
      </w:r>
      <w:r w:rsidRPr="00545310">
        <w:rPr>
          <w:rFonts w:ascii="Arial" w:hAnsi="Arial" w:cs="Arial"/>
          <w:szCs w:val="24"/>
          <w:lang w:val="es-CO" w:eastAsia="ar-SA"/>
        </w:rPr>
        <w:t xml:space="preserve">mayor a la imputada </w:t>
      </w:r>
      <w:r w:rsidR="004D1ED9" w:rsidRPr="00545310">
        <w:rPr>
          <w:rFonts w:ascii="Arial" w:hAnsi="Arial" w:cs="Arial"/>
          <w:szCs w:val="24"/>
          <w:lang w:val="es-CO" w:eastAsia="ar-SA"/>
        </w:rPr>
        <w:t>en su momento c</w:t>
      </w:r>
      <w:r w:rsidR="007F58F1" w:rsidRPr="00545310">
        <w:rPr>
          <w:rFonts w:ascii="Arial" w:hAnsi="Arial" w:cs="Arial"/>
          <w:szCs w:val="24"/>
          <w:lang w:val="es-CO" w:eastAsia="ar-SA"/>
        </w:rPr>
        <w:t>o</w:t>
      </w:r>
      <w:r w:rsidR="004D1ED9" w:rsidRPr="00545310">
        <w:rPr>
          <w:rFonts w:ascii="Arial" w:hAnsi="Arial" w:cs="Arial"/>
          <w:szCs w:val="24"/>
          <w:lang w:val="es-CO" w:eastAsia="ar-SA"/>
        </w:rPr>
        <w:t xml:space="preserve">n cargo a la póliza de seguro, </w:t>
      </w:r>
      <w:r w:rsidRPr="00545310">
        <w:rPr>
          <w:rFonts w:ascii="Arial" w:hAnsi="Arial" w:cs="Arial"/>
          <w:szCs w:val="24"/>
          <w:lang w:val="es-CO" w:eastAsia="ar-SA"/>
        </w:rPr>
        <w:t>toda v</w:t>
      </w:r>
      <w:r w:rsidR="00CC1EFB" w:rsidRPr="00545310">
        <w:rPr>
          <w:rFonts w:ascii="Arial" w:hAnsi="Arial" w:cs="Arial"/>
          <w:szCs w:val="24"/>
          <w:lang w:val="es-CO" w:eastAsia="ar-SA"/>
        </w:rPr>
        <w:t>ez que el contrato 2123680</w:t>
      </w:r>
      <w:r w:rsidR="007B4682" w:rsidRPr="00545310">
        <w:rPr>
          <w:rFonts w:ascii="Arial" w:hAnsi="Arial" w:cs="Arial"/>
          <w:szCs w:val="24"/>
          <w:lang w:val="es-CO" w:eastAsia="ar-SA"/>
        </w:rPr>
        <w:t>,</w:t>
      </w:r>
      <w:r w:rsidR="00CC1EFB" w:rsidRPr="00545310">
        <w:rPr>
          <w:rFonts w:ascii="Arial" w:hAnsi="Arial" w:cs="Arial"/>
          <w:szCs w:val="24"/>
          <w:lang w:val="es-CO" w:eastAsia="ar-SA"/>
        </w:rPr>
        <w:t xml:space="preserve"> </w:t>
      </w:r>
      <w:r w:rsidR="00CC1EFB" w:rsidRPr="00545310">
        <w:rPr>
          <w:rFonts w:ascii="Arial" w:hAnsi="Arial" w:cs="Arial"/>
          <w:szCs w:val="24"/>
          <w:lang w:val="es-CO" w:eastAsia="ar-SA"/>
        </w:rPr>
        <w:lastRenderedPageBreak/>
        <w:t>celebrado entre FONADE y el Consorcio PRK</w:t>
      </w:r>
      <w:r w:rsidR="00CC1EFB" w:rsidRPr="00545310">
        <w:rPr>
          <w:rStyle w:val="Refdenotaalpie"/>
          <w:rFonts w:ascii="Arial" w:hAnsi="Arial" w:cs="Arial"/>
          <w:szCs w:val="24"/>
          <w:lang w:val="es-CO" w:eastAsia="ar-SA"/>
        </w:rPr>
        <w:footnoteReference w:id="59"/>
      </w:r>
      <w:r w:rsidR="007B4682" w:rsidRPr="00545310">
        <w:rPr>
          <w:rFonts w:ascii="Arial" w:hAnsi="Arial" w:cs="Arial"/>
          <w:szCs w:val="24"/>
          <w:lang w:val="es-CO" w:eastAsia="ar-SA"/>
        </w:rPr>
        <w:t xml:space="preserve">, </w:t>
      </w:r>
      <w:r w:rsidR="00CC1EFB" w:rsidRPr="00545310">
        <w:rPr>
          <w:rFonts w:ascii="Arial" w:hAnsi="Arial" w:cs="Arial"/>
          <w:szCs w:val="24"/>
          <w:lang w:val="es-CO" w:eastAsia="ar-SA"/>
        </w:rPr>
        <w:t>se adjudicó por la suma de $5.569</w:t>
      </w:r>
      <w:r w:rsidR="002C28A4" w:rsidRPr="00545310">
        <w:rPr>
          <w:rFonts w:ascii="Arial" w:hAnsi="Arial" w:cs="Arial"/>
          <w:szCs w:val="24"/>
          <w:lang w:val="es-CO" w:eastAsia="ar-SA"/>
        </w:rPr>
        <w:t>’</w:t>
      </w:r>
      <w:r w:rsidR="00CC1EFB" w:rsidRPr="00545310">
        <w:rPr>
          <w:rFonts w:ascii="Arial" w:hAnsi="Arial" w:cs="Arial"/>
          <w:szCs w:val="24"/>
          <w:lang w:val="es-CO" w:eastAsia="ar-SA"/>
        </w:rPr>
        <w:t>036</w:t>
      </w:r>
      <w:r w:rsidR="002C28A4" w:rsidRPr="00545310">
        <w:rPr>
          <w:rFonts w:ascii="Arial" w:hAnsi="Arial" w:cs="Arial"/>
          <w:szCs w:val="24"/>
          <w:lang w:val="es-CO" w:eastAsia="ar-SA"/>
        </w:rPr>
        <w:t>.</w:t>
      </w:r>
      <w:r w:rsidR="00CC1EFB" w:rsidRPr="00545310">
        <w:rPr>
          <w:rFonts w:ascii="Arial" w:hAnsi="Arial" w:cs="Arial"/>
          <w:szCs w:val="24"/>
          <w:lang w:val="es-CO" w:eastAsia="ar-SA"/>
        </w:rPr>
        <w:t>314</w:t>
      </w:r>
      <w:r w:rsidR="002C28A4" w:rsidRPr="00545310">
        <w:rPr>
          <w:rFonts w:ascii="Arial" w:hAnsi="Arial" w:cs="Arial"/>
          <w:szCs w:val="24"/>
          <w:lang w:val="es-CO" w:eastAsia="ar-SA"/>
        </w:rPr>
        <w:t>.</w:t>
      </w:r>
    </w:p>
    <w:p w14:paraId="0E849C38" w14:textId="77777777" w:rsidR="00B86505" w:rsidRPr="00545310" w:rsidRDefault="00B86505" w:rsidP="00B26B0D">
      <w:pPr>
        <w:pStyle w:val="Sangradetextonormal"/>
        <w:spacing w:after="0"/>
        <w:ind w:left="0"/>
        <w:rPr>
          <w:rFonts w:ascii="Arial" w:hAnsi="Arial" w:cs="Arial"/>
          <w:i/>
          <w:szCs w:val="24"/>
          <w:lang w:val="es-CO" w:eastAsia="ar-SA"/>
        </w:rPr>
      </w:pPr>
    </w:p>
    <w:p w14:paraId="1069C10D" w14:textId="77777777" w:rsidR="00454911" w:rsidRPr="00545310" w:rsidRDefault="00560560" w:rsidP="00B26B0D">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Por otra parte</w:t>
      </w:r>
      <w:r w:rsidR="007F58F1" w:rsidRPr="00545310">
        <w:rPr>
          <w:rFonts w:ascii="Arial" w:hAnsi="Arial" w:cs="Arial"/>
          <w:szCs w:val="24"/>
          <w:lang w:val="es-CO" w:eastAsia="ar-SA"/>
        </w:rPr>
        <w:t xml:space="preserve">, en cuanto al perjuicio </w:t>
      </w:r>
      <w:r w:rsidR="00EF32AB" w:rsidRPr="00545310">
        <w:rPr>
          <w:rFonts w:ascii="Arial" w:hAnsi="Arial" w:cs="Arial"/>
          <w:szCs w:val="24"/>
          <w:lang w:val="es-CO" w:eastAsia="ar-SA"/>
        </w:rPr>
        <w:t xml:space="preserve">causado por </w:t>
      </w:r>
      <w:r w:rsidR="007F58F1" w:rsidRPr="00545310">
        <w:rPr>
          <w:rFonts w:ascii="Arial" w:hAnsi="Arial" w:cs="Arial"/>
          <w:szCs w:val="24"/>
          <w:lang w:val="es-CO" w:eastAsia="ar-SA"/>
        </w:rPr>
        <w:t xml:space="preserve">el imperativo de celebrar un nuevo </w:t>
      </w:r>
      <w:r w:rsidR="0007211F" w:rsidRPr="00545310">
        <w:rPr>
          <w:rFonts w:ascii="Arial" w:hAnsi="Arial" w:cs="Arial"/>
          <w:szCs w:val="24"/>
          <w:lang w:val="es-CO" w:eastAsia="ar-SA"/>
        </w:rPr>
        <w:t xml:space="preserve">contrato de interventoría </w:t>
      </w:r>
      <w:r w:rsidR="00315E80" w:rsidRPr="00545310">
        <w:rPr>
          <w:rFonts w:ascii="Arial" w:hAnsi="Arial" w:cs="Arial"/>
          <w:szCs w:val="24"/>
          <w:lang w:val="es-CO" w:eastAsia="ar-SA"/>
        </w:rPr>
        <w:t xml:space="preserve">para las obras faltantes, los </w:t>
      </w:r>
      <w:r w:rsidR="00EF32AB" w:rsidRPr="00545310">
        <w:rPr>
          <w:rFonts w:ascii="Arial" w:hAnsi="Arial" w:cs="Arial"/>
          <w:szCs w:val="24"/>
          <w:lang w:val="es-CO" w:eastAsia="ar-SA"/>
        </w:rPr>
        <w:t xml:space="preserve">informes </w:t>
      </w:r>
      <w:r w:rsidR="00315E80" w:rsidRPr="00545310">
        <w:rPr>
          <w:rFonts w:ascii="Arial" w:hAnsi="Arial" w:cs="Arial"/>
          <w:szCs w:val="24"/>
          <w:lang w:val="es-CO" w:eastAsia="ar-SA"/>
        </w:rPr>
        <w:t xml:space="preserve">antedichos </w:t>
      </w:r>
      <w:r w:rsidR="00EF32AB" w:rsidRPr="00545310">
        <w:rPr>
          <w:rFonts w:ascii="Arial" w:hAnsi="Arial" w:cs="Arial"/>
          <w:szCs w:val="24"/>
          <w:lang w:val="es-CO" w:eastAsia="ar-SA"/>
        </w:rPr>
        <w:t xml:space="preserve">coinciden </w:t>
      </w:r>
      <w:r w:rsidR="00315E80" w:rsidRPr="00545310">
        <w:rPr>
          <w:rFonts w:ascii="Arial" w:hAnsi="Arial" w:cs="Arial"/>
          <w:szCs w:val="24"/>
          <w:lang w:val="es-CO" w:eastAsia="ar-SA"/>
        </w:rPr>
        <w:t xml:space="preserve">en </w:t>
      </w:r>
      <w:r w:rsidR="00A52C09" w:rsidRPr="00545310">
        <w:rPr>
          <w:rFonts w:ascii="Arial" w:hAnsi="Arial" w:cs="Arial"/>
          <w:szCs w:val="24"/>
          <w:lang w:val="es-CO" w:eastAsia="ar-SA"/>
        </w:rPr>
        <w:t xml:space="preserve">cuantificar </w:t>
      </w:r>
      <w:r w:rsidR="0007211F" w:rsidRPr="00545310">
        <w:rPr>
          <w:rFonts w:ascii="Arial" w:hAnsi="Arial" w:cs="Arial"/>
          <w:szCs w:val="24"/>
          <w:lang w:val="es-CO" w:eastAsia="ar-SA"/>
        </w:rPr>
        <w:t xml:space="preserve">la </w:t>
      </w:r>
      <w:r w:rsidR="00EA3AE8" w:rsidRPr="00545310">
        <w:rPr>
          <w:rFonts w:ascii="Arial" w:hAnsi="Arial" w:cs="Arial"/>
          <w:szCs w:val="24"/>
          <w:lang w:val="es-CO" w:eastAsia="ar-SA"/>
        </w:rPr>
        <w:t xml:space="preserve">suma de </w:t>
      </w:r>
      <w:r w:rsidR="0051656A" w:rsidRPr="00545310">
        <w:rPr>
          <w:rFonts w:ascii="Arial" w:hAnsi="Arial" w:cs="Arial"/>
          <w:szCs w:val="24"/>
          <w:lang w:val="es-CO" w:eastAsia="ar-SA"/>
        </w:rPr>
        <w:t>$280’845.290,00</w:t>
      </w:r>
      <w:r w:rsidR="00AC66A1" w:rsidRPr="00545310">
        <w:rPr>
          <w:rFonts w:ascii="Arial" w:hAnsi="Arial" w:cs="Arial"/>
          <w:szCs w:val="24"/>
          <w:lang w:val="es-CO" w:eastAsia="ar-SA"/>
        </w:rPr>
        <w:t xml:space="preserve">. </w:t>
      </w:r>
      <w:r w:rsidR="00EB3B5C" w:rsidRPr="00545310">
        <w:rPr>
          <w:rFonts w:ascii="Arial" w:hAnsi="Arial" w:cs="Arial"/>
          <w:szCs w:val="24"/>
          <w:lang w:val="es-CO" w:eastAsia="ar-SA"/>
        </w:rPr>
        <w:t xml:space="preserve">De la lectura de los actos acusados se advierte que FONADE </w:t>
      </w:r>
      <w:r w:rsidR="007B44B4" w:rsidRPr="00545310">
        <w:rPr>
          <w:rFonts w:ascii="Arial" w:hAnsi="Arial" w:cs="Arial"/>
          <w:szCs w:val="24"/>
          <w:lang w:val="es-CO" w:eastAsia="ar-SA"/>
        </w:rPr>
        <w:t xml:space="preserve">consideró </w:t>
      </w:r>
      <w:r w:rsidR="00AC66A1" w:rsidRPr="00545310">
        <w:rPr>
          <w:rFonts w:ascii="Arial" w:hAnsi="Arial" w:cs="Arial"/>
          <w:szCs w:val="24"/>
          <w:lang w:val="es-CO" w:eastAsia="ar-SA"/>
        </w:rPr>
        <w:t xml:space="preserve">que el </w:t>
      </w:r>
      <w:r w:rsidR="00A52C09" w:rsidRPr="00545310">
        <w:rPr>
          <w:rFonts w:ascii="Arial" w:hAnsi="Arial" w:cs="Arial"/>
          <w:szCs w:val="24"/>
          <w:lang w:val="es-CO" w:eastAsia="ar-SA"/>
        </w:rPr>
        <w:t xml:space="preserve">mayor </w:t>
      </w:r>
      <w:r w:rsidR="00AC66A1" w:rsidRPr="00545310">
        <w:rPr>
          <w:rFonts w:ascii="Arial" w:hAnsi="Arial" w:cs="Arial"/>
          <w:szCs w:val="24"/>
          <w:lang w:val="es-CO" w:eastAsia="ar-SA"/>
        </w:rPr>
        <w:t xml:space="preserve">costo de la interventoría </w:t>
      </w:r>
      <w:r w:rsidR="007F58F1" w:rsidRPr="00545310">
        <w:rPr>
          <w:rFonts w:ascii="Arial" w:hAnsi="Arial" w:cs="Arial"/>
          <w:szCs w:val="24"/>
          <w:lang w:val="es-CO" w:eastAsia="ar-SA"/>
        </w:rPr>
        <w:t xml:space="preserve">era </w:t>
      </w:r>
      <w:r w:rsidR="00A52C09" w:rsidRPr="00545310">
        <w:rPr>
          <w:rFonts w:ascii="Arial" w:hAnsi="Arial" w:cs="Arial"/>
          <w:szCs w:val="24"/>
          <w:lang w:val="es-CO" w:eastAsia="ar-SA"/>
        </w:rPr>
        <w:t>un perjuicio</w:t>
      </w:r>
      <w:r w:rsidR="007F58F1" w:rsidRPr="00545310">
        <w:rPr>
          <w:rFonts w:ascii="Arial" w:hAnsi="Arial" w:cs="Arial"/>
          <w:szCs w:val="24"/>
          <w:lang w:val="es-CO" w:eastAsia="ar-SA"/>
        </w:rPr>
        <w:t xml:space="preserve">, por cuanto </w:t>
      </w:r>
      <w:r w:rsidR="007B44B4" w:rsidRPr="00545310">
        <w:rPr>
          <w:rFonts w:ascii="Arial" w:hAnsi="Arial" w:cs="Arial"/>
          <w:szCs w:val="24"/>
          <w:lang w:val="es-CO" w:eastAsia="ar-SA"/>
        </w:rPr>
        <w:t xml:space="preserve">los recursos </w:t>
      </w:r>
      <w:r w:rsidR="007159CC" w:rsidRPr="00545310">
        <w:rPr>
          <w:rFonts w:ascii="Arial" w:hAnsi="Arial" w:cs="Arial"/>
          <w:szCs w:val="24"/>
          <w:lang w:val="es-CO" w:eastAsia="ar-SA"/>
        </w:rPr>
        <w:t>asignados para e</w:t>
      </w:r>
      <w:r w:rsidR="00EF32AB" w:rsidRPr="00545310">
        <w:rPr>
          <w:rFonts w:ascii="Arial" w:hAnsi="Arial" w:cs="Arial"/>
          <w:szCs w:val="24"/>
          <w:lang w:val="es-CO" w:eastAsia="ar-SA"/>
        </w:rPr>
        <w:t xml:space="preserve">sa actividad, </w:t>
      </w:r>
      <w:r w:rsidR="007159CC" w:rsidRPr="00545310">
        <w:rPr>
          <w:rFonts w:ascii="Arial" w:hAnsi="Arial" w:cs="Arial"/>
          <w:szCs w:val="24"/>
          <w:lang w:val="es-CO" w:eastAsia="ar-SA"/>
        </w:rPr>
        <w:t xml:space="preserve">dentro </w:t>
      </w:r>
      <w:r w:rsidR="007B44B4" w:rsidRPr="00545310">
        <w:rPr>
          <w:rFonts w:ascii="Arial" w:hAnsi="Arial" w:cs="Arial"/>
          <w:szCs w:val="24"/>
          <w:lang w:val="es-CO" w:eastAsia="ar-SA"/>
        </w:rPr>
        <w:t xml:space="preserve">del convenio interadministrativo </w:t>
      </w:r>
      <w:r w:rsidR="007D5596" w:rsidRPr="00545310">
        <w:rPr>
          <w:rFonts w:ascii="Arial" w:hAnsi="Arial" w:cs="Arial"/>
          <w:szCs w:val="24"/>
          <w:lang w:val="es-CO" w:eastAsia="ar-SA"/>
        </w:rPr>
        <w:t xml:space="preserve">que </w:t>
      </w:r>
      <w:r w:rsidR="000807C3" w:rsidRPr="00545310">
        <w:rPr>
          <w:rFonts w:ascii="Arial" w:hAnsi="Arial" w:cs="Arial"/>
          <w:szCs w:val="24"/>
          <w:lang w:val="es-CO" w:eastAsia="ar-SA"/>
        </w:rPr>
        <w:t xml:space="preserve">administró </w:t>
      </w:r>
      <w:r w:rsidR="007D5596" w:rsidRPr="00545310">
        <w:rPr>
          <w:rFonts w:ascii="Arial" w:hAnsi="Arial" w:cs="Arial"/>
          <w:szCs w:val="24"/>
          <w:lang w:val="es-CO" w:eastAsia="ar-SA"/>
        </w:rPr>
        <w:t>FONADE</w:t>
      </w:r>
      <w:r w:rsidR="00AC66A1" w:rsidRPr="00545310">
        <w:rPr>
          <w:rFonts w:ascii="Arial" w:hAnsi="Arial" w:cs="Arial"/>
          <w:szCs w:val="24"/>
          <w:lang w:val="es-CO" w:eastAsia="ar-SA"/>
        </w:rPr>
        <w:t>, ya se habían agotado, e</w:t>
      </w:r>
      <w:r w:rsidR="000807C3" w:rsidRPr="00545310">
        <w:rPr>
          <w:rFonts w:ascii="Arial" w:hAnsi="Arial" w:cs="Arial"/>
          <w:szCs w:val="24"/>
          <w:lang w:val="es-CO" w:eastAsia="ar-SA"/>
        </w:rPr>
        <w:t>,</w:t>
      </w:r>
      <w:r w:rsidR="00AC66A1" w:rsidRPr="00545310">
        <w:rPr>
          <w:rFonts w:ascii="Arial" w:hAnsi="Arial" w:cs="Arial"/>
          <w:szCs w:val="24"/>
          <w:lang w:val="es-CO" w:eastAsia="ar-SA"/>
        </w:rPr>
        <w:t xml:space="preserve"> inclus</w:t>
      </w:r>
      <w:r w:rsidR="007159CC" w:rsidRPr="00545310">
        <w:rPr>
          <w:rFonts w:ascii="Arial" w:hAnsi="Arial" w:cs="Arial"/>
          <w:szCs w:val="24"/>
          <w:lang w:val="es-CO" w:eastAsia="ar-SA"/>
        </w:rPr>
        <w:t>o</w:t>
      </w:r>
      <w:r w:rsidR="000807C3" w:rsidRPr="00545310">
        <w:rPr>
          <w:rFonts w:ascii="Arial" w:hAnsi="Arial" w:cs="Arial"/>
          <w:szCs w:val="24"/>
          <w:lang w:val="es-CO" w:eastAsia="ar-SA"/>
        </w:rPr>
        <w:t>,</w:t>
      </w:r>
      <w:r w:rsidR="00AC66A1" w:rsidRPr="00545310">
        <w:rPr>
          <w:rFonts w:ascii="Arial" w:hAnsi="Arial" w:cs="Arial"/>
          <w:szCs w:val="24"/>
          <w:lang w:val="es-CO" w:eastAsia="ar-SA"/>
        </w:rPr>
        <w:t xml:space="preserve"> existía un saldo </w:t>
      </w:r>
      <w:r w:rsidR="00454911" w:rsidRPr="00545310">
        <w:rPr>
          <w:rFonts w:ascii="Arial" w:hAnsi="Arial" w:cs="Arial"/>
          <w:szCs w:val="24"/>
          <w:lang w:val="es-CO" w:eastAsia="ar-SA"/>
        </w:rPr>
        <w:t xml:space="preserve">a pagar a </w:t>
      </w:r>
      <w:r w:rsidR="00AC66A1" w:rsidRPr="00545310">
        <w:rPr>
          <w:rFonts w:ascii="Arial" w:hAnsi="Arial" w:cs="Arial"/>
          <w:szCs w:val="24"/>
          <w:lang w:val="es-CO" w:eastAsia="ar-SA"/>
        </w:rPr>
        <w:t xml:space="preserve">la interventoría anterior, que la contratista se comprometió a </w:t>
      </w:r>
      <w:r w:rsidR="00454911" w:rsidRPr="00545310">
        <w:rPr>
          <w:rFonts w:ascii="Arial" w:hAnsi="Arial" w:cs="Arial"/>
          <w:szCs w:val="24"/>
          <w:lang w:val="es-CO" w:eastAsia="ar-SA"/>
        </w:rPr>
        <w:t>asumir.</w:t>
      </w:r>
    </w:p>
    <w:p w14:paraId="441FC5BF" w14:textId="77777777" w:rsidR="00454911" w:rsidRPr="00545310" w:rsidRDefault="00454911" w:rsidP="00B26B0D">
      <w:pPr>
        <w:pStyle w:val="Sangradetextonormal"/>
        <w:spacing w:after="0"/>
        <w:ind w:left="0"/>
        <w:rPr>
          <w:rFonts w:ascii="Arial" w:hAnsi="Arial" w:cs="Arial"/>
          <w:szCs w:val="24"/>
          <w:lang w:val="es-CO" w:eastAsia="ar-SA"/>
        </w:rPr>
      </w:pPr>
    </w:p>
    <w:p w14:paraId="11F208CE" w14:textId="77777777" w:rsidR="007D5596" w:rsidRPr="00545310" w:rsidRDefault="007D5596" w:rsidP="00B26B0D">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 </w:t>
      </w:r>
      <w:r w:rsidR="00FA0FB1" w:rsidRPr="00545310">
        <w:rPr>
          <w:rFonts w:ascii="Arial" w:hAnsi="Arial" w:cs="Arial"/>
          <w:szCs w:val="24"/>
          <w:lang w:val="es-CO" w:eastAsia="ar-SA"/>
        </w:rPr>
        <w:t xml:space="preserve">En </w:t>
      </w:r>
      <w:r w:rsidR="005C4AC8" w:rsidRPr="00545310">
        <w:rPr>
          <w:rFonts w:ascii="Arial" w:hAnsi="Arial" w:cs="Arial"/>
          <w:szCs w:val="24"/>
          <w:lang w:val="es-CO" w:eastAsia="ar-SA"/>
        </w:rPr>
        <w:t xml:space="preserve">relación con </w:t>
      </w:r>
      <w:r w:rsidR="00454911" w:rsidRPr="00545310">
        <w:rPr>
          <w:rFonts w:ascii="Arial" w:hAnsi="Arial" w:cs="Arial"/>
          <w:szCs w:val="24"/>
          <w:lang w:val="es-CO" w:eastAsia="ar-SA"/>
        </w:rPr>
        <w:t xml:space="preserve">el </w:t>
      </w:r>
      <w:r w:rsidR="00A52C09" w:rsidRPr="00545310">
        <w:rPr>
          <w:rFonts w:ascii="Arial" w:hAnsi="Arial" w:cs="Arial"/>
          <w:szCs w:val="24"/>
          <w:lang w:val="es-CO" w:eastAsia="ar-SA"/>
        </w:rPr>
        <w:t xml:space="preserve">cálculo del </w:t>
      </w:r>
      <w:r w:rsidR="00454911" w:rsidRPr="00545310">
        <w:rPr>
          <w:rFonts w:ascii="Arial" w:hAnsi="Arial" w:cs="Arial"/>
          <w:szCs w:val="24"/>
          <w:lang w:val="es-CO" w:eastAsia="ar-SA"/>
        </w:rPr>
        <w:t>mayor costo de la interventoría</w:t>
      </w:r>
      <w:r w:rsidR="00E3710B" w:rsidRPr="00545310">
        <w:rPr>
          <w:rFonts w:ascii="Arial" w:hAnsi="Arial" w:cs="Arial"/>
          <w:szCs w:val="24"/>
          <w:lang w:val="es-CO" w:eastAsia="ar-SA"/>
        </w:rPr>
        <w:t>,</w:t>
      </w:r>
      <w:r w:rsidR="00454911" w:rsidRPr="00545310">
        <w:rPr>
          <w:rFonts w:ascii="Arial" w:hAnsi="Arial" w:cs="Arial"/>
          <w:szCs w:val="24"/>
          <w:lang w:val="es-CO" w:eastAsia="ar-SA"/>
        </w:rPr>
        <w:t xml:space="preserve"> </w:t>
      </w:r>
      <w:r w:rsidR="00FA0FB1" w:rsidRPr="00545310">
        <w:rPr>
          <w:rFonts w:ascii="Arial" w:hAnsi="Arial" w:cs="Arial"/>
          <w:szCs w:val="24"/>
          <w:lang w:val="es-CO" w:eastAsia="ar-SA"/>
        </w:rPr>
        <w:t>p</w:t>
      </w:r>
      <w:r w:rsidR="00560560" w:rsidRPr="00545310">
        <w:rPr>
          <w:rFonts w:ascii="Arial" w:hAnsi="Arial" w:cs="Arial"/>
          <w:szCs w:val="24"/>
          <w:lang w:val="es-CO" w:eastAsia="ar-SA"/>
        </w:rPr>
        <w:t xml:space="preserve">uede mencionarse que </w:t>
      </w:r>
      <w:r w:rsidR="00A52C09" w:rsidRPr="00545310">
        <w:rPr>
          <w:rFonts w:ascii="Arial" w:hAnsi="Arial" w:cs="Arial"/>
          <w:szCs w:val="24"/>
          <w:lang w:val="es-CO" w:eastAsia="ar-SA"/>
        </w:rPr>
        <w:t xml:space="preserve">fue correctamente establecido, </w:t>
      </w:r>
      <w:r w:rsidR="00560560" w:rsidRPr="00545310">
        <w:rPr>
          <w:rFonts w:ascii="Arial" w:hAnsi="Arial" w:cs="Arial"/>
          <w:szCs w:val="24"/>
          <w:lang w:val="es-CO" w:eastAsia="ar-SA"/>
        </w:rPr>
        <w:t xml:space="preserve">puesto que </w:t>
      </w:r>
      <w:r w:rsidR="002B46FE" w:rsidRPr="00545310">
        <w:rPr>
          <w:rFonts w:ascii="Arial" w:hAnsi="Arial" w:cs="Arial"/>
          <w:szCs w:val="24"/>
          <w:lang w:val="es-CO" w:eastAsia="ar-SA"/>
        </w:rPr>
        <w:t xml:space="preserve">con memorando interno de 14 de mayo de 2012, el gerente de la Unidad de Estudios Previos </w:t>
      </w:r>
      <w:r w:rsidR="007159CC" w:rsidRPr="00545310">
        <w:rPr>
          <w:rFonts w:ascii="Arial" w:hAnsi="Arial" w:cs="Arial"/>
          <w:szCs w:val="24"/>
          <w:lang w:val="es-CO" w:eastAsia="ar-SA"/>
        </w:rPr>
        <w:t xml:space="preserve">atendió un requerimiento para </w:t>
      </w:r>
      <w:r w:rsidR="00A52C09" w:rsidRPr="00545310">
        <w:rPr>
          <w:rFonts w:ascii="Arial" w:hAnsi="Arial" w:cs="Arial"/>
          <w:szCs w:val="24"/>
          <w:lang w:val="es-CO" w:eastAsia="ar-SA"/>
        </w:rPr>
        <w:t>actualizar</w:t>
      </w:r>
      <w:r w:rsidR="00E3710B" w:rsidRPr="00545310">
        <w:rPr>
          <w:rFonts w:ascii="Arial" w:hAnsi="Arial" w:cs="Arial"/>
          <w:szCs w:val="24"/>
          <w:lang w:val="es-CO" w:eastAsia="ar-SA"/>
        </w:rPr>
        <w:t xml:space="preserve"> </w:t>
      </w:r>
      <w:r w:rsidR="00A52C09" w:rsidRPr="00545310">
        <w:rPr>
          <w:rFonts w:ascii="Arial" w:hAnsi="Arial" w:cs="Arial"/>
          <w:szCs w:val="24"/>
          <w:lang w:val="es-CO" w:eastAsia="ar-SA"/>
        </w:rPr>
        <w:t>los</w:t>
      </w:r>
      <w:r w:rsidR="00E3710B" w:rsidRPr="00545310">
        <w:rPr>
          <w:rFonts w:ascii="Arial" w:hAnsi="Arial" w:cs="Arial"/>
          <w:szCs w:val="24"/>
          <w:lang w:val="es-CO" w:eastAsia="ar-SA"/>
        </w:rPr>
        <w:t xml:space="preserve"> estudios</w:t>
      </w:r>
      <w:r w:rsidR="00A52C09" w:rsidRPr="00545310">
        <w:rPr>
          <w:rFonts w:ascii="Arial" w:hAnsi="Arial" w:cs="Arial"/>
          <w:szCs w:val="24"/>
          <w:lang w:val="es-CO" w:eastAsia="ar-SA"/>
        </w:rPr>
        <w:t xml:space="preserve">, el cual arrojó una suma aún mayor, por cuanto tuvo que incluir el valor </w:t>
      </w:r>
      <w:r w:rsidR="001E0DC9" w:rsidRPr="00545310">
        <w:rPr>
          <w:rFonts w:ascii="Arial" w:hAnsi="Arial" w:cs="Arial"/>
          <w:szCs w:val="24"/>
          <w:lang w:val="es-CO" w:eastAsia="ar-SA"/>
        </w:rPr>
        <w:t xml:space="preserve">de </w:t>
      </w:r>
      <w:r w:rsidRPr="00545310">
        <w:rPr>
          <w:rFonts w:ascii="Arial" w:hAnsi="Arial" w:cs="Arial"/>
          <w:szCs w:val="24"/>
          <w:lang w:val="es-CO" w:eastAsia="ar-SA"/>
        </w:rPr>
        <w:t xml:space="preserve">la interventoría </w:t>
      </w:r>
      <w:r w:rsidR="001E0DC9" w:rsidRPr="00545310">
        <w:rPr>
          <w:rFonts w:ascii="Arial" w:hAnsi="Arial" w:cs="Arial"/>
          <w:szCs w:val="24"/>
          <w:lang w:val="es-CO" w:eastAsia="ar-SA"/>
        </w:rPr>
        <w:t xml:space="preserve">que se </w:t>
      </w:r>
      <w:r w:rsidR="00F76357" w:rsidRPr="00545310">
        <w:rPr>
          <w:rFonts w:ascii="Arial" w:hAnsi="Arial" w:cs="Arial"/>
          <w:szCs w:val="24"/>
          <w:lang w:val="es-CO" w:eastAsia="ar-SA"/>
        </w:rPr>
        <w:t>debió</w:t>
      </w:r>
      <w:r w:rsidR="001E0DC9" w:rsidRPr="00545310">
        <w:rPr>
          <w:rFonts w:ascii="Arial" w:hAnsi="Arial" w:cs="Arial"/>
          <w:szCs w:val="24"/>
          <w:lang w:val="es-CO" w:eastAsia="ar-SA"/>
        </w:rPr>
        <w:t xml:space="preserve"> que realizar </w:t>
      </w:r>
      <w:r w:rsidR="005C4AC8" w:rsidRPr="00545310">
        <w:rPr>
          <w:rFonts w:ascii="Arial" w:hAnsi="Arial" w:cs="Arial"/>
          <w:szCs w:val="24"/>
          <w:lang w:val="es-CO" w:eastAsia="ar-SA"/>
        </w:rPr>
        <w:t xml:space="preserve">para </w:t>
      </w:r>
      <w:r w:rsidRPr="00545310">
        <w:rPr>
          <w:rFonts w:ascii="Arial" w:hAnsi="Arial" w:cs="Arial"/>
          <w:szCs w:val="24"/>
          <w:lang w:val="es-CO" w:eastAsia="ar-SA"/>
        </w:rPr>
        <w:t xml:space="preserve">la revisión y diagnóstico de la infraestructura existente, </w:t>
      </w:r>
      <w:r w:rsidR="005C4AC8" w:rsidRPr="00545310">
        <w:rPr>
          <w:rFonts w:ascii="Arial" w:hAnsi="Arial" w:cs="Arial"/>
          <w:szCs w:val="24"/>
          <w:lang w:val="es-CO" w:eastAsia="ar-SA"/>
        </w:rPr>
        <w:t xml:space="preserve">lo que arrojó </w:t>
      </w:r>
      <w:r w:rsidRPr="00545310">
        <w:rPr>
          <w:rFonts w:ascii="Arial" w:hAnsi="Arial" w:cs="Arial"/>
          <w:szCs w:val="24"/>
          <w:lang w:val="es-CO" w:eastAsia="ar-SA"/>
        </w:rPr>
        <w:t xml:space="preserve">un presupuesto </w:t>
      </w:r>
      <w:r w:rsidR="005C4AC8" w:rsidRPr="00545310">
        <w:rPr>
          <w:rFonts w:ascii="Arial" w:hAnsi="Arial" w:cs="Arial"/>
          <w:szCs w:val="24"/>
          <w:lang w:val="es-CO" w:eastAsia="ar-SA"/>
        </w:rPr>
        <w:t xml:space="preserve">total </w:t>
      </w:r>
      <w:r w:rsidRPr="00545310">
        <w:rPr>
          <w:rFonts w:ascii="Arial" w:hAnsi="Arial" w:cs="Arial"/>
          <w:szCs w:val="24"/>
          <w:lang w:val="es-CO" w:eastAsia="ar-SA"/>
        </w:rPr>
        <w:t xml:space="preserve">de </w:t>
      </w:r>
      <w:r w:rsidR="009F2B11" w:rsidRPr="00545310">
        <w:rPr>
          <w:rFonts w:ascii="Arial" w:hAnsi="Arial" w:cs="Arial"/>
          <w:szCs w:val="24"/>
          <w:lang w:val="es-CO" w:eastAsia="ar-SA"/>
        </w:rPr>
        <w:t>$356’042.230</w:t>
      </w:r>
      <w:r w:rsidRPr="00545310">
        <w:rPr>
          <w:rFonts w:ascii="Arial" w:hAnsi="Arial" w:cs="Arial"/>
          <w:szCs w:val="24"/>
          <w:lang w:val="es-CO" w:eastAsia="ar-SA"/>
        </w:rPr>
        <w:t>.</w:t>
      </w:r>
    </w:p>
    <w:p w14:paraId="0D488734" w14:textId="77777777" w:rsidR="007D5596" w:rsidRPr="00545310" w:rsidRDefault="007D5596" w:rsidP="00B26B0D">
      <w:pPr>
        <w:pStyle w:val="Sangradetextonormal"/>
        <w:spacing w:after="0"/>
        <w:ind w:left="0"/>
        <w:rPr>
          <w:rFonts w:ascii="Arial" w:hAnsi="Arial" w:cs="Arial"/>
          <w:szCs w:val="24"/>
          <w:lang w:val="es-CO" w:eastAsia="ar-SA"/>
        </w:rPr>
      </w:pPr>
    </w:p>
    <w:p w14:paraId="32778A7E" w14:textId="77777777" w:rsidR="003A3A9C" w:rsidRPr="00545310" w:rsidRDefault="009F2B11" w:rsidP="00B26B0D">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Los citados </w:t>
      </w:r>
      <w:r w:rsidR="005A1F04" w:rsidRPr="00545310">
        <w:rPr>
          <w:rFonts w:ascii="Arial" w:hAnsi="Arial" w:cs="Arial"/>
          <w:szCs w:val="24"/>
          <w:lang w:val="es-CO" w:eastAsia="ar-SA"/>
        </w:rPr>
        <w:t>memorando</w:t>
      </w:r>
      <w:r w:rsidRPr="00545310">
        <w:rPr>
          <w:rFonts w:ascii="Arial" w:hAnsi="Arial" w:cs="Arial"/>
          <w:szCs w:val="24"/>
          <w:lang w:val="es-CO" w:eastAsia="ar-SA"/>
        </w:rPr>
        <w:t>s</w:t>
      </w:r>
      <w:r w:rsidR="005A1F04" w:rsidRPr="00545310">
        <w:rPr>
          <w:rFonts w:ascii="Arial" w:hAnsi="Arial" w:cs="Arial"/>
          <w:szCs w:val="24"/>
          <w:lang w:val="es-CO" w:eastAsia="ar-SA"/>
        </w:rPr>
        <w:t xml:space="preserve"> </w:t>
      </w:r>
      <w:r w:rsidR="00B26B0D" w:rsidRPr="00545310">
        <w:rPr>
          <w:rFonts w:ascii="Arial" w:hAnsi="Arial" w:cs="Arial"/>
          <w:szCs w:val="24"/>
          <w:lang w:val="es-CO" w:eastAsia="ar-SA"/>
        </w:rPr>
        <w:t xml:space="preserve">obran en el plenario, </w:t>
      </w:r>
      <w:r w:rsidRPr="00545310">
        <w:rPr>
          <w:rFonts w:ascii="Arial" w:hAnsi="Arial" w:cs="Arial"/>
          <w:szCs w:val="24"/>
          <w:lang w:val="es-CO" w:eastAsia="ar-SA"/>
        </w:rPr>
        <w:t xml:space="preserve">respaldados </w:t>
      </w:r>
      <w:r w:rsidR="005A1F04" w:rsidRPr="00545310">
        <w:rPr>
          <w:rFonts w:ascii="Arial" w:hAnsi="Arial" w:cs="Arial"/>
          <w:szCs w:val="24"/>
          <w:lang w:val="es-CO" w:eastAsia="ar-SA"/>
        </w:rPr>
        <w:t xml:space="preserve">con </w:t>
      </w:r>
      <w:r w:rsidRPr="00545310">
        <w:rPr>
          <w:rFonts w:ascii="Arial" w:hAnsi="Arial" w:cs="Arial"/>
          <w:szCs w:val="24"/>
          <w:lang w:val="es-CO" w:eastAsia="ar-SA"/>
        </w:rPr>
        <w:t xml:space="preserve">diversos </w:t>
      </w:r>
      <w:r w:rsidR="005A1F04" w:rsidRPr="00545310">
        <w:rPr>
          <w:rFonts w:ascii="Arial" w:hAnsi="Arial" w:cs="Arial"/>
          <w:szCs w:val="24"/>
          <w:lang w:val="es-CO" w:eastAsia="ar-SA"/>
        </w:rPr>
        <w:t xml:space="preserve">cuadros </w:t>
      </w:r>
      <w:r w:rsidR="00B26B0D" w:rsidRPr="00545310">
        <w:rPr>
          <w:rFonts w:ascii="Arial" w:hAnsi="Arial" w:cs="Arial"/>
          <w:szCs w:val="24"/>
          <w:lang w:val="es-CO" w:eastAsia="ar-SA"/>
        </w:rPr>
        <w:t>que soportan el</w:t>
      </w:r>
      <w:r w:rsidR="005A1F04" w:rsidRPr="00545310">
        <w:rPr>
          <w:rFonts w:ascii="Arial" w:hAnsi="Arial" w:cs="Arial"/>
          <w:szCs w:val="24"/>
          <w:lang w:val="es-CO" w:eastAsia="ar-SA"/>
        </w:rPr>
        <w:t xml:space="preserve"> valor total</w:t>
      </w:r>
      <w:r w:rsidR="00E821BB" w:rsidRPr="00545310">
        <w:rPr>
          <w:rFonts w:ascii="Arial" w:hAnsi="Arial" w:cs="Arial"/>
          <w:szCs w:val="24"/>
          <w:lang w:val="es-CO" w:eastAsia="ar-SA"/>
        </w:rPr>
        <w:t xml:space="preserve"> de la obra</w:t>
      </w:r>
      <w:r w:rsidR="00354AC9" w:rsidRPr="00545310">
        <w:rPr>
          <w:rFonts w:ascii="Arial" w:hAnsi="Arial" w:cs="Arial"/>
          <w:szCs w:val="24"/>
          <w:lang w:val="es-CO" w:eastAsia="ar-SA"/>
        </w:rPr>
        <w:t xml:space="preserve">, en los cuales se discriminaron los </w:t>
      </w:r>
      <w:r w:rsidR="00A52121" w:rsidRPr="00545310">
        <w:rPr>
          <w:rFonts w:ascii="Arial" w:hAnsi="Arial" w:cs="Arial"/>
          <w:szCs w:val="24"/>
          <w:lang w:val="es-CO" w:eastAsia="ar-SA"/>
        </w:rPr>
        <w:t xml:space="preserve">análisis de </w:t>
      </w:r>
      <w:r w:rsidR="00B26B0D" w:rsidRPr="00545310">
        <w:rPr>
          <w:rFonts w:ascii="Arial" w:hAnsi="Arial" w:cs="Arial"/>
          <w:szCs w:val="24"/>
          <w:lang w:val="es-CO" w:eastAsia="ar-SA"/>
        </w:rPr>
        <w:t xml:space="preserve">las cifras por concepto de </w:t>
      </w:r>
      <w:r w:rsidR="00354AC9" w:rsidRPr="00545310">
        <w:rPr>
          <w:rFonts w:ascii="Arial" w:hAnsi="Arial" w:cs="Arial"/>
          <w:szCs w:val="24"/>
          <w:lang w:val="es-CO" w:eastAsia="ar-SA"/>
        </w:rPr>
        <w:t>costos directos</w:t>
      </w:r>
      <w:r w:rsidR="00A52121" w:rsidRPr="00545310">
        <w:rPr>
          <w:rFonts w:ascii="Arial" w:hAnsi="Arial" w:cs="Arial"/>
          <w:szCs w:val="24"/>
          <w:lang w:val="es-CO" w:eastAsia="ar-SA"/>
        </w:rPr>
        <w:t xml:space="preserve">, administración, imprevistos, utilidades e impuestos, para las contrataciones de obra y </w:t>
      </w:r>
      <w:r w:rsidR="00DA405F" w:rsidRPr="00545310">
        <w:rPr>
          <w:rFonts w:ascii="Arial" w:hAnsi="Arial" w:cs="Arial"/>
          <w:szCs w:val="24"/>
          <w:lang w:val="es-CO" w:eastAsia="ar-SA"/>
        </w:rPr>
        <w:t xml:space="preserve">para la </w:t>
      </w:r>
      <w:r w:rsidR="00A52121" w:rsidRPr="00545310">
        <w:rPr>
          <w:rFonts w:ascii="Arial" w:hAnsi="Arial" w:cs="Arial"/>
          <w:szCs w:val="24"/>
          <w:lang w:val="es-CO" w:eastAsia="ar-SA"/>
        </w:rPr>
        <w:t xml:space="preserve">interventoría. </w:t>
      </w:r>
      <w:r w:rsidR="005F40BC" w:rsidRPr="00545310">
        <w:rPr>
          <w:rFonts w:ascii="Arial" w:hAnsi="Arial" w:cs="Arial"/>
          <w:szCs w:val="24"/>
          <w:lang w:val="es-CO" w:eastAsia="ar-SA"/>
        </w:rPr>
        <w:t xml:space="preserve"> </w:t>
      </w:r>
    </w:p>
    <w:p w14:paraId="2F08CAE2" w14:textId="77777777" w:rsidR="003A3A9C" w:rsidRPr="00545310" w:rsidRDefault="003A3A9C" w:rsidP="00B26B0D">
      <w:pPr>
        <w:pStyle w:val="Sangradetextonormal"/>
        <w:spacing w:after="0"/>
        <w:ind w:left="0"/>
        <w:rPr>
          <w:rFonts w:ascii="Arial" w:hAnsi="Arial" w:cs="Arial"/>
          <w:szCs w:val="24"/>
          <w:lang w:val="es-CO" w:eastAsia="ar-SA"/>
        </w:rPr>
      </w:pPr>
    </w:p>
    <w:p w14:paraId="7F5C0209" w14:textId="77777777" w:rsidR="00625427" w:rsidRPr="00545310" w:rsidRDefault="003A3A9C" w:rsidP="00B26B0D">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Según se </w:t>
      </w:r>
      <w:r w:rsidR="00426884" w:rsidRPr="00545310">
        <w:rPr>
          <w:rFonts w:ascii="Arial" w:hAnsi="Arial" w:cs="Arial"/>
          <w:szCs w:val="24"/>
          <w:lang w:val="es-CO" w:eastAsia="ar-SA"/>
        </w:rPr>
        <w:t xml:space="preserve">establece en </w:t>
      </w:r>
      <w:r w:rsidRPr="00545310">
        <w:rPr>
          <w:rFonts w:ascii="Arial" w:hAnsi="Arial" w:cs="Arial"/>
          <w:szCs w:val="24"/>
          <w:lang w:val="es-CO" w:eastAsia="ar-SA"/>
        </w:rPr>
        <w:t xml:space="preserve">los considerandos de la Resolución 1511 </w:t>
      </w:r>
      <w:r w:rsidR="00426884" w:rsidRPr="00545310">
        <w:rPr>
          <w:rFonts w:ascii="Arial" w:hAnsi="Arial" w:cs="Arial"/>
          <w:szCs w:val="24"/>
          <w:lang w:val="es-CO" w:eastAsia="ar-SA"/>
        </w:rPr>
        <w:t xml:space="preserve">y se advierte de los estudios previos utilizados para determinar el </w:t>
      </w:r>
      <w:r w:rsidR="00426884" w:rsidRPr="00545310">
        <w:rPr>
          <w:rFonts w:ascii="Arial" w:hAnsi="Arial" w:cs="Arial"/>
          <w:i/>
          <w:szCs w:val="24"/>
          <w:lang w:val="es-CO" w:eastAsia="ar-SA"/>
        </w:rPr>
        <w:t>qu</w:t>
      </w:r>
      <w:r w:rsidR="001E0DC9" w:rsidRPr="00545310">
        <w:rPr>
          <w:rFonts w:ascii="Arial" w:hAnsi="Arial" w:cs="Arial"/>
          <w:i/>
          <w:szCs w:val="24"/>
          <w:lang w:val="es-CO" w:eastAsia="ar-SA"/>
        </w:rPr>
        <w:t>a</w:t>
      </w:r>
      <w:r w:rsidR="00426884" w:rsidRPr="00545310">
        <w:rPr>
          <w:rFonts w:ascii="Arial" w:hAnsi="Arial" w:cs="Arial"/>
          <w:i/>
          <w:szCs w:val="24"/>
          <w:lang w:val="es-CO" w:eastAsia="ar-SA"/>
        </w:rPr>
        <w:t>ntum</w:t>
      </w:r>
      <w:r w:rsidR="00426884" w:rsidRPr="00545310">
        <w:rPr>
          <w:rFonts w:ascii="Arial" w:hAnsi="Arial" w:cs="Arial"/>
          <w:szCs w:val="24"/>
          <w:lang w:val="es-CO" w:eastAsia="ar-SA"/>
        </w:rPr>
        <w:t xml:space="preserve"> del perjuicio, </w:t>
      </w:r>
      <w:r w:rsidR="00F76357" w:rsidRPr="00545310">
        <w:rPr>
          <w:rFonts w:ascii="Arial" w:hAnsi="Arial" w:cs="Arial"/>
          <w:szCs w:val="24"/>
          <w:lang w:val="es-CO" w:eastAsia="ar-SA"/>
        </w:rPr>
        <w:t>FONADE</w:t>
      </w:r>
      <w:r w:rsidR="0078218C" w:rsidRPr="00545310">
        <w:rPr>
          <w:rFonts w:ascii="Arial" w:hAnsi="Arial" w:cs="Arial"/>
          <w:szCs w:val="24"/>
          <w:lang w:val="es-CO" w:eastAsia="ar-SA"/>
        </w:rPr>
        <w:t xml:space="preserve"> </w:t>
      </w:r>
      <w:r w:rsidR="00CD52FB" w:rsidRPr="00545310">
        <w:rPr>
          <w:rFonts w:ascii="Arial" w:hAnsi="Arial" w:cs="Arial"/>
          <w:szCs w:val="24"/>
          <w:lang w:val="es-CO" w:eastAsia="ar-SA"/>
        </w:rPr>
        <w:t>part</w:t>
      </w:r>
      <w:r w:rsidR="006416AE" w:rsidRPr="00545310">
        <w:rPr>
          <w:rFonts w:ascii="Arial" w:hAnsi="Arial" w:cs="Arial"/>
          <w:szCs w:val="24"/>
          <w:lang w:val="es-CO" w:eastAsia="ar-SA"/>
        </w:rPr>
        <w:t xml:space="preserve">ió del presupuesto de </w:t>
      </w:r>
      <w:r w:rsidR="002E2FC5" w:rsidRPr="00545310">
        <w:rPr>
          <w:rFonts w:ascii="Arial" w:hAnsi="Arial" w:cs="Arial"/>
          <w:szCs w:val="24"/>
          <w:lang w:val="es-CO" w:eastAsia="ar-SA"/>
        </w:rPr>
        <w:t xml:space="preserve">costos </w:t>
      </w:r>
      <w:r w:rsidR="00426884" w:rsidRPr="00545310">
        <w:rPr>
          <w:rFonts w:ascii="Arial" w:hAnsi="Arial" w:cs="Arial"/>
          <w:szCs w:val="24"/>
          <w:lang w:val="es-CO" w:eastAsia="ar-SA"/>
        </w:rPr>
        <w:t xml:space="preserve">para </w:t>
      </w:r>
      <w:r w:rsidR="00EB3B5C" w:rsidRPr="00545310">
        <w:rPr>
          <w:rFonts w:ascii="Arial" w:hAnsi="Arial" w:cs="Arial"/>
          <w:szCs w:val="24"/>
          <w:lang w:val="es-CO" w:eastAsia="ar-SA"/>
        </w:rPr>
        <w:t xml:space="preserve">lo que sería un </w:t>
      </w:r>
      <w:r w:rsidR="002E2FC5" w:rsidRPr="00545310">
        <w:rPr>
          <w:rFonts w:ascii="Arial" w:hAnsi="Arial" w:cs="Arial"/>
          <w:szCs w:val="24"/>
          <w:lang w:val="es-CO" w:eastAsia="ar-SA"/>
        </w:rPr>
        <w:t>nuevo proceso de selección</w:t>
      </w:r>
      <w:r w:rsidR="00625427" w:rsidRPr="00545310">
        <w:rPr>
          <w:rFonts w:ascii="Arial" w:hAnsi="Arial" w:cs="Arial"/>
          <w:szCs w:val="24"/>
          <w:lang w:val="es-CO" w:eastAsia="ar-SA"/>
        </w:rPr>
        <w:t xml:space="preserve"> para </w:t>
      </w:r>
      <w:r w:rsidRPr="00545310">
        <w:rPr>
          <w:rFonts w:ascii="Arial" w:hAnsi="Arial" w:cs="Arial"/>
          <w:szCs w:val="24"/>
          <w:lang w:val="es-CO" w:eastAsia="ar-SA"/>
        </w:rPr>
        <w:t>la obra faltante</w:t>
      </w:r>
      <w:r w:rsidR="00F837AD" w:rsidRPr="00545310">
        <w:rPr>
          <w:rFonts w:ascii="Arial" w:hAnsi="Arial" w:cs="Arial"/>
          <w:szCs w:val="24"/>
          <w:lang w:val="es-CO" w:eastAsia="ar-SA"/>
        </w:rPr>
        <w:t xml:space="preserve">, el cual se </w:t>
      </w:r>
      <w:r w:rsidR="001E0DC9" w:rsidRPr="00545310">
        <w:rPr>
          <w:rFonts w:ascii="Arial" w:hAnsi="Arial" w:cs="Arial"/>
          <w:szCs w:val="24"/>
          <w:lang w:val="es-CO" w:eastAsia="ar-SA"/>
        </w:rPr>
        <w:t xml:space="preserve">adelantó </w:t>
      </w:r>
      <w:r w:rsidR="00F837AD" w:rsidRPr="00545310">
        <w:rPr>
          <w:rFonts w:ascii="Arial" w:hAnsi="Arial" w:cs="Arial"/>
          <w:szCs w:val="24"/>
          <w:lang w:val="es-CO" w:eastAsia="ar-SA"/>
        </w:rPr>
        <w:t xml:space="preserve">a los precios </w:t>
      </w:r>
      <w:r w:rsidR="001E0DC9" w:rsidRPr="00545310">
        <w:rPr>
          <w:rFonts w:ascii="Arial" w:hAnsi="Arial" w:cs="Arial"/>
          <w:szCs w:val="24"/>
          <w:lang w:val="es-CO" w:eastAsia="ar-SA"/>
        </w:rPr>
        <w:t xml:space="preserve">vigentes para la fecha </w:t>
      </w:r>
      <w:r w:rsidR="006416AE" w:rsidRPr="00545310">
        <w:rPr>
          <w:rFonts w:ascii="Arial" w:hAnsi="Arial" w:cs="Arial"/>
          <w:szCs w:val="24"/>
          <w:lang w:val="es-CO" w:eastAsia="ar-SA"/>
        </w:rPr>
        <w:t xml:space="preserve">en que se realizaron </w:t>
      </w:r>
      <w:r w:rsidR="00E20E79" w:rsidRPr="00545310">
        <w:rPr>
          <w:rFonts w:ascii="Arial" w:hAnsi="Arial" w:cs="Arial"/>
          <w:szCs w:val="24"/>
          <w:lang w:val="es-CO" w:eastAsia="ar-SA"/>
        </w:rPr>
        <w:t>los estudio</w:t>
      </w:r>
      <w:r w:rsidR="00DA405F" w:rsidRPr="00545310">
        <w:rPr>
          <w:rFonts w:ascii="Arial" w:hAnsi="Arial" w:cs="Arial"/>
          <w:szCs w:val="24"/>
          <w:lang w:val="es-CO" w:eastAsia="ar-SA"/>
        </w:rPr>
        <w:t>s</w:t>
      </w:r>
      <w:r w:rsidR="00E20E79" w:rsidRPr="00545310">
        <w:rPr>
          <w:rFonts w:ascii="Arial" w:hAnsi="Arial" w:cs="Arial"/>
          <w:szCs w:val="24"/>
          <w:lang w:val="es-CO" w:eastAsia="ar-SA"/>
        </w:rPr>
        <w:t xml:space="preserve"> pre</w:t>
      </w:r>
      <w:r w:rsidR="00DA405F" w:rsidRPr="00545310">
        <w:rPr>
          <w:rFonts w:ascii="Arial" w:hAnsi="Arial" w:cs="Arial"/>
          <w:szCs w:val="24"/>
          <w:lang w:val="es-CO" w:eastAsia="ar-SA"/>
        </w:rPr>
        <w:t>v</w:t>
      </w:r>
      <w:r w:rsidR="00E20E79" w:rsidRPr="00545310">
        <w:rPr>
          <w:rFonts w:ascii="Arial" w:hAnsi="Arial" w:cs="Arial"/>
          <w:szCs w:val="24"/>
          <w:lang w:val="es-CO" w:eastAsia="ar-SA"/>
        </w:rPr>
        <w:t>ios (mayo y septiembre de 2011)</w:t>
      </w:r>
      <w:r w:rsidR="00625427" w:rsidRPr="00545310">
        <w:rPr>
          <w:rFonts w:ascii="Arial" w:hAnsi="Arial" w:cs="Arial"/>
          <w:szCs w:val="24"/>
          <w:lang w:val="es-CO" w:eastAsia="ar-SA"/>
        </w:rPr>
        <w:t>.</w:t>
      </w:r>
    </w:p>
    <w:p w14:paraId="07C70D7B" w14:textId="77777777" w:rsidR="009E03B4" w:rsidRPr="00545310" w:rsidRDefault="009E03B4" w:rsidP="00B26B0D">
      <w:pPr>
        <w:pStyle w:val="Sangradetextonormal"/>
        <w:spacing w:after="0"/>
        <w:ind w:left="0"/>
        <w:rPr>
          <w:rFonts w:ascii="Arial" w:hAnsi="Arial" w:cs="Arial"/>
          <w:szCs w:val="24"/>
          <w:lang w:val="es-CO" w:eastAsia="ar-SA"/>
        </w:rPr>
      </w:pPr>
    </w:p>
    <w:p w14:paraId="7A5CE50C" w14:textId="77777777" w:rsidR="0002302D" w:rsidRPr="00545310" w:rsidRDefault="0002302D" w:rsidP="00B26B0D">
      <w:pPr>
        <w:pStyle w:val="Sangradetextonormal"/>
        <w:spacing w:after="0"/>
        <w:ind w:left="0"/>
        <w:rPr>
          <w:rFonts w:ascii="Arial" w:hAnsi="Arial" w:cs="Arial"/>
          <w:b/>
          <w:szCs w:val="24"/>
          <w:lang w:val="es-CO" w:eastAsia="ar-SA"/>
        </w:rPr>
      </w:pPr>
      <w:r w:rsidRPr="00545310">
        <w:rPr>
          <w:rFonts w:ascii="Arial" w:hAnsi="Arial" w:cs="Arial"/>
          <w:b/>
          <w:szCs w:val="24"/>
          <w:lang w:val="es-CO" w:eastAsia="ar-SA"/>
        </w:rPr>
        <w:t xml:space="preserve">8. Conclusiones </w:t>
      </w:r>
    </w:p>
    <w:p w14:paraId="58CBF47F" w14:textId="77777777" w:rsidR="0002302D" w:rsidRPr="00545310" w:rsidRDefault="0002302D" w:rsidP="00B26B0D">
      <w:pPr>
        <w:pStyle w:val="Sangradetextonormal"/>
        <w:spacing w:after="0"/>
        <w:ind w:left="0"/>
        <w:rPr>
          <w:rFonts w:ascii="Arial" w:hAnsi="Arial" w:cs="Arial"/>
          <w:szCs w:val="24"/>
          <w:lang w:val="es-CO" w:eastAsia="ar-SA"/>
        </w:rPr>
      </w:pPr>
    </w:p>
    <w:p w14:paraId="236F7EC9" w14:textId="77777777" w:rsidR="00131B4E" w:rsidRPr="00545310" w:rsidRDefault="00686E50" w:rsidP="00B26B0D">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Con base en la</w:t>
      </w:r>
      <w:r w:rsidR="0002302D" w:rsidRPr="00545310">
        <w:rPr>
          <w:rFonts w:ascii="Arial" w:hAnsi="Arial" w:cs="Arial"/>
          <w:szCs w:val="24"/>
          <w:lang w:val="es-CO" w:eastAsia="ar-SA"/>
        </w:rPr>
        <w:t>s</w:t>
      </w:r>
      <w:r w:rsidRPr="00545310">
        <w:rPr>
          <w:rFonts w:ascii="Arial" w:hAnsi="Arial" w:cs="Arial"/>
          <w:szCs w:val="24"/>
          <w:lang w:val="es-CO" w:eastAsia="ar-SA"/>
        </w:rPr>
        <w:t xml:space="preserve"> anterior</w:t>
      </w:r>
      <w:r w:rsidR="0002302D" w:rsidRPr="00545310">
        <w:rPr>
          <w:rFonts w:ascii="Arial" w:hAnsi="Arial" w:cs="Arial"/>
          <w:szCs w:val="24"/>
          <w:lang w:val="es-CO" w:eastAsia="ar-SA"/>
        </w:rPr>
        <w:t>es</w:t>
      </w:r>
      <w:r w:rsidRPr="00545310">
        <w:rPr>
          <w:rFonts w:ascii="Arial" w:hAnsi="Arial" w:cs="Arial"/>
          <w:szCs w:val="24"/>
          <w:lang w:val="es-CO" w:eastAsia="ar-SA"/>
        </w:rPr>
        <w:t xml:space="preserve"> apreciaci</w:t>
      </w:r>
      <w:r w:rsidR="0002302D" w:rsidRPr="00545310">
        <w:rPr>
          <w:rFonts w:ascii="Arial" w:hAnsi="Arial" w:cs="Arial"/>
          <w:szCs w:val="24"/>
          <w:lang w:val="es-CO" w:eastAsia="ar-SA"/>
        </w:rPr>
        <w:t xml:space="preserve">ones sobre las pruebas obrantes en el plenario, </w:t>
      </w:r>
      <w:r w:rsidRPr="00545310">
        <w:rPr>
          <w:rFonts w:ascii="Arial" w:hAnsi="Arial" w:cs="Arial"/>
          <w:szCs w:val="24"/>
          <w:lang w:val="es-CO" w:eastAsia="ar-SA"/>
        </w:rPr>
        <w:t xml:space="preserve">la Sala considera que </w:t>
      </w:r>
      <w:r w:rsidR="001E0DC9" w:rsidRPr="00545310">
        <w:rPr>
          <w:rFonts w:ascii="Arial" w:hAnsi="Arial" w:cs="Arial"/>
          <w:szCs w:val="24"/>
          <w:lang w:val="es-CO" w:eastAsia="ar-SA"/>
        </w:rPr>
        <w:t xml:space="preserve">le </w:t>
      </w:r>
      <w:r w:rsidRPr="00545310">
        <w:rPr>
          <w:rFonts w:ascii="Arial" w:hAnsi="Arial" w:cs="Arial"/>
          <w:szCs w:val="24"/>
          <w:lang w:val="es-CO" w:eastAsia="ar-SA"/>
        </w:rPr>
        <w:t xml:space="preserve">asiste la </w:t>
      </w:r>
      <w:r w:rsidR="004C7F53" w:rsidRPr="00545310">
        <w:rPr>
          <w:rFonts w:ascii="Arial" w:hAnsi="Arial" w:cs="Arial"/>
          <w:szCs w:val="24"/>
          <w:lang w:val="es-CO" w:eastAsia="ar-SA"/>
        </w:rPr>
        <w:t>razón a FONADE, en cuanto que el mayor valor</w:t>
      </w:r>
      <w:r w:rsidR="00625427" w:rsidRPr="00545310">
        <w:rPr>
          <w:rFonts w:ascii="Arial" w:hAnsi="Arial" w:cs="Arial"/>
          <w:szCs w:val="24"/>
          <w:lang w:val="es-CO" w:eastAsia="ar-SA"/>
        </w:rPr>
        <w:t xml:space="preserve"> </w:t>
      </w:r>
      <w:r w:rsidR="00625427" w:rsidRPr="00545310">
        <w:rPr>
          <w:rFonts w:ascii="Arial" w:hAnsi="Arial" w:cs="Arial"/>
          <w:szCs w:val="24"/>
          <w:lang w:val="es-CO" w:eastAsia="ar-SA"/>
        </w:rPr>
        <w:lastRenderedPageBreak/>
        <w:t xml:space="preserve">requerido para </w:t>
      </w:r>
      <w:r w:rsidR="009826FF" w:rsidRPr="00545310">
        <w:rPr>
          <w:rFonts w:ascii="Arial" w:hAnsi="Arial" w:cs="Arial"/>
          <w:szCs w:val="24"/>
          <w:lang w:val="es-CO" w:eastAsia="ar-SA"/>
        </w:rPr>
        <w:t xml:space="preserve">ejecutar </w:t>
      </w:r>
      <w:r w:rsidR="00625427" w:rsidRPr="00545310">
        <w:rPr>
          <w:rFonts w:ascii="Arial" w:hAnsi="Arial" w:cs="Arial"/>
          <w:szCs w:val="24"/>
          <w:lang w:val="es-CO" w:eastAsia="ar-SA"/>
        </w:rPr>
        <w:t xml:space="preserve">la </w:t>
      </w:r>
      <w:r w:rsidR="004C7F53" w:rsidRPr="00545310">
        <w:rPr>
          <w:rFonts w:ascii="Arial" w:hAnsi="Arial" w:cs="Arial"/>
          <w:szCs w:val="24"/>
          <w:lang w:val="es-CO" w:eastAsia="ar-SA"/>
        </w:rPr>
        <w:t xml:space="preserve">obra faltante se </w:t>
      </w:r>
      <w:r w:rsidR="00625427" w:rsidRPr="00545310">
        <w:rPr>
          <w:rFonts w:ascii="Arial" w:hAnsi="Arial" w:cs="Arial"/>
          <w:szCs w:val="24"/>
          <w:lang w:val="es-CO" w:eastAsia="ar-SA"/>
        </w:rPr>
        <w:t xml:space="preserve">originaba </w:t>
      </w:r>
      <w:r w:rsidR="004C7F53" w:rsidRPr="00545310">
        <w:rPr>
          <w:rFonts w:ascii="Arial" w:hAnsi="Arial" w:cs="Arial"/>
          <w:szCs w:val="24"/>
          <w:lang w:val="es-CO" w:eastAsia="ar-SA"/>
        </w:rPr>
        <w:t xml:space="preserve">directamente </w:t>
      </w:r>
      <w:r w:rsidR="00625427" w:rsidRPr="00545310">
        <w:rPr>
          <w:rFonts w:ascii="Arial" w:hAnsi="Arial" w:cs="Arial"/>
          <w:szCs w:val="24"/>
          <w:lang w:val="es-CO" w:eastAsia="ar-SA"/>
        </w:rPr>
        <w:t xml:space="preserve">en la </w:t>
      </w:r>
      <w:r w:rsidR="004C7F53" w:rsidRPr="00545310">
        <w:rPr>
          <w:rFonts w:ascii="Arial" w:hAnsi="Arial" w:cs="Arial"/>
          <w:szCs w:val="24"/>
          <w:lang w:val="es-CO" w:eastAsia="ar-SA"/>
        </w:rPr>
        <w:t xml:space="preserve">caducidad del contrato, imputable al contratista, </w:t>
      </w:r>
      <w:r w:rsidR="00625427" w:rsidRPr="00545310">
        <w:rPr>
          <w:rFonts w:ascii="Arial" w:hAnsi="Arial" w:cs="Arial"/>
          <w:szCs w:val="24"/>
          <w:lang w:val="es-CO" w:eastAsia="ar-SA"/>
        </w:rPr>
        <w:t xml:space="preserve">toda vez que </w:t>
      </w:r>
      <w:r w:rsidR="0029620F" w:rsidRPr="00545310">
        <w:rPr>
          <w:rFonts w:ascii="Arial" w:hAnsi="Arial" w:cs="Arial"/>
          <w:szCs w:val="24"/>
          <w:lang w:val="es-CO" w:eastAsia="ar-SA"/>
        </w:rPr>
        <w:t>declarada la referida sanción, era</w:t>
      </w:r>
      <w:r w:rsidR="00625427" w:rsidRPr="00545310">
        <w:rPr>
          <w:rFonts w:ascii="Arial" w:hAnsi="Arial" w:cs="Arial"/>
          <w:szCs w:val="24"/>
          <w:lang w:val="es-CO" w:eastAsia="ar-SA"/>
        </w:rPr>
        <w:t xml:space="preserve"> cierto que F</w:t>
      </w:r>
      <w:r w:rsidR="004C7F53" w:rsidRPr="00545310">
        <w:rPr>
          <w:rFonts w:ascii="Arial" w:hAnsi="Arial" w:cs="Arial"/>
          <w:szCs w:val="24"/>
          <w:lang w:val="es-CO" w:eastAsia="ar-SA"/>
        </w:rPr>
        <w:t xml:space="preserve">ONADE </w:t>
      </w:r>
      <w:r w:rsidR="00625427" w:rsidRPr="00545310">
        <w:rPr>
          <w:rFonts w:ascii="Arial" w:hAnsi="Arial" w:cs="Arial"/>
          <w:szCs w:val="24"/>
          <w:lang w:val="es-CO" w:eastAsia="ar-SA"/>
        </w:rPr>
        <w:t xml:space="preserve">tendría </w:t>
      </w:r>
      <w:r w:rsidR="004C7F53" w:rsidRPr="00545310">
        <w:rPr>
          <w:rFonts w:ascii="Arial" w:hAnsi="Arial" w:cs="Arial"/>
          <w:szCs w:val="24"/>
          <w:lang w:val="es-CO" w:eastAsia="ar-SA"/>
        </w:rPr>
        <w:t xml:space="preserve">que </w:t>
      </w:r>
      <w:r w:rsidR="00CD52FB" w:rsidRPr="00545310">
        <w:rPr>
          <w:rFonts w:ascii="Arial" w:hAnsi="Arial" w:cs="Arial"/>
          <w:szCs w:val="24"/>
          <w:lang w:val="es-CO" w:eastAsia="ar-SA"/>
        </w:rPr>
        <w:t xml:space="preserve">realizar una nueva contratación, por supuesto, reconociendo a los nuevos contratistas </w:t>
      </w:r>
      <w:r w:rsidR="0029620F" w:rsidRPr="00545310">
        <w:rPr>
          <w:rFonts w:ascii="Arial" w:hAnsi="Arial" w:cs="Arial"/>
          <w:szCs w:val="24"/>
          <w:lang w:val="es-CO" w:eastAsia="ar-SA"/>
        </w:rPr>
        <w:t>el precio de mercado</w:t>
      </w:r>
      <w:r w:rsidR="00131B4E" w:rsidRPr="00545310">
        <w:rPr>
          <w:rFonts w:ascii="Arial" w:hAnsi="Arial" w:cs="Arial"/>
          <w:szCs w:val="24"/>
          <w:lang w:val="es-CO" w:eastAsia="ar-SA"/>
        </w:rPr>
        <w:t>.</w:t>
      </w:r>
    </w:p>
    <w:p w14:paraId="075FA5E9" w14:textId="77777777" w:rsidR="006824AD" w:rsidRPr="00545310" w:rsidRDefault="006824AD" w:rsidP="00B26B0D">
      <w:pPr>
        <w:pStyle w:val="Sangradetextonormal"/>
        <w:spacing w:after="0"/>
        <w:ind w:left="0"/>
        <w:rPr>
          <w:rFonts w:ascii="Arial" w:hAnsi="Arial" w:cs="Arial"/>
          <w:szCs w:val="24"/>
          <w:lang w:val="es-CO" w:eastAsia="ar-SA"/>
        </w:rPr>
      </w:pPr>
    </w:p>
    <w:p w14:paraId="7B6C9AA8" w14:textId="77777777" w:rsidR="00D05855" w:rsidRPr="00545310" w:rsidRDefault="00131B4E" w:rsidP="00B26B0D">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En efecto, e</w:t>
      </w:r>
      <w:r w:rsidR="00920BD8" w:rsidRPr="00545310">
        <w:rPr>
          <w:rFonts w:ascii="Arial" w:hAnsi="Arial" w:cs="Arial"/>
          <w:szCs w:val="24"/>
          <w:lang w:val="es-CO" w:eastAsia="ar-SA"/>
        </w:rPr>
        <w:t xml:space="preserve">l </w:t>
      </w:r>
      <w:r w:rsidR="006824AD" w:rsidRPr="00545310">
        <w:rPr>
          <w:rFonts w:ascii="Arial" w:hAnsi="Arial" w:cs="Arial"/>
          <w:szCs w:val="24"/>
          <w:lang w:val="es-CO" w:eastAsia="ar-SA"/>
        </w:rPr>
        <w:t xml:space="preserve">daño patrimonial que evidenció FONADE </w:t>
      </w:r>
      <w:r w:rsidR="00920BD8" w:rsidRPr="00545310">
        <w:rPr>
          <w:rFonts w:ascii="Arial" w:hAnsi="Arial" w:cs="Arial"/>
          <w:szCs w:val="24"/>
          <w:lang w:val="es-CO" w:eastAsia="ar-SA"/>
        </w:rPr>
        <w:t xml:space="preserve">estaba </w:t>
      </w:r>
      <w:r w:rsidR="00331979" w:rsidRPr="00545310">
        <w:rPr>
          <w:rFonts w:ascii="Arial" w:hAnsi="Arial" w:cs="Arial"/>
          <w:szCs w:val="24"/>
          <w:lang w:val="es-CO" w:eastAsia="ar-SA"/>
        </w:rPr>
        <w:t xml:space="preserve">fundado en el </w:t>
      </w:r>
      <w:r w:rsidR="00920BD8" w:rsidRPr="00545310">
        <w:rPr>
          <w:rFonts w:ascii="Arial" w:hAnsi="Arial" w:cs="Arial"/>
          <w:szCs w:val="24"/>
          <w:lang w:val="es-CO" w:eastAsia="ar-SA"/>
        </w:rPr>
        <w:t xml:space="preserve">siniestro por caducidad del contrato, </w:t>
      </w:r>
      <w:r w:rsidR="00F629E5" w:rsidRPr="00545310">
        <w:rPr>
          <w:rFonts w:ascii="Arial" w:hAnsi="Arial" w:cs="Arial"/>
          <w:szCs w:val="24"/>
          <w:lang w:val="es-CO" w:eastAsia="ar-SA"/>
        </w:rPr>
        <w:t xml:space="preserve">-la más drástica de las sanciones contractuales- </w:t>
      </w:r>
      <w:r w:rsidR="00920BD8" w:rsidRPr="00545310">
        <w:rPr>
          <w:rFonts w:ascii="Arial" w:hAnsi="Arial" w:cs="Arial"/>
          <w:szCs w:val="24"/>
          <w:lang w:val="es-CO" w:eastAsia="ar-SA"/>
        </w:rPr>
        <w:t>por cuanto, de haberse cumplido el contrato</w:t>
      </w:r>
      <w:r w:rsidR="00BE3B6C" w:rsidRPr="00545310">
        <w:rPr>
          <w:rFonts w:ascii="Arial" w:hAnsi="Arial" w:cs="Arial"/>
          <w:szCs w:val="24"/>
          <w:lang w:val="es-CO" w:eastAsia="ar-SA"/>
        </w:rPr>
        <w:t xml:space="preserve"> en la forma y tiempo convenidos, </w:t>
      </w:r>
      <w:r w:rsidR="00920BD8" w:rsidRPr="00545310">
        <w:rPr>
          <w:rFonts w:ascii="Arial" w:hAnsi="Arial" w:cs="Arial"/>
          <w:szCs w:val="24"/>
          <w:lang w:val="es-CO" w:eastAsia="ar-SA"/>
        </w:rPr>
        <w:t xml:space="preserve">no </w:t>
      </w:r>
      <w:r w:rsidR="006824AD" w:rsidRPr="00545310">
        <w:rPr>
          <w:rFonts w:ascii="Arial" w:hAnsi="Arial" w:cs="Arial"/>
          <w:szCs w:val="24"/>
          <w:lang w:val="es-CO" w:eastAsia="ar-SA"/>
        </w:rPr>
        <w:t xml:space="preserve">se requeriría </w:t>
      </w:r>
      <w:r w:rsidR="00F837AD" w:rsidRPr="00545310">
        <w:rPr>
          <w:rFonts w:ascii="Arial" w:hAnsi="Arial" w:cs="Arial"/>
          <w:szCs w:val="24"/>
          <w:lang w:val="es-CO" w:eastAsia="ar-SA"/>
        </w:rPr>
        <w:t xml:space="preserve">de </w:t>
      </w:r>
      <w:r w:rsidR="006824AD" w:rsidRPr="00545310">
        <w:rPr>
          <w:rFonts w:ascii="Arial" w:hAnsi="Arial" w:cs="Arial"/>
          <w:szCs w:val="24"/>
          <w:lang w:val="es-CO" w:eastAsia="ar-SA"/>
        </w:rPr>
        <w:t xml:space="preserve">una nueva contratación ni </w:t>
      </w:r>
      <w:r w:rsidR="00D05855" w:rsidRPr="00545310">
        <w:rPr>
          <w:rFonts w:ascii="Arial" w:hAnsi="Arial" w:cs="Arial"/>
          <w:szCs w:val="24"/>
          <w:lang w:val="es-CO" w:eastAsia="ar-SA"/>
        </w:rPr>
        <w:t xml:space="preserve">de </w:t>
      </w:r>
      <w:r w:rsidR="006824AD" w:rsidRPr="00545310">
        <w:rPr>
          <w:rFonts w:ascii="Arial" w:hAnsi="Arial" w:cs="Arial"/>
          <w:szCs w:val="24"/>
          <w:lang w:val="es-CO" w:eastAsia="ar-SA"/>
        </w:rPr>
        <w:t>los recursos adicionales para pagar los contratos correspondientes</w:t>
      </w:r>
      <w:r w:rsidR="00D05855" w:rsidRPr="00545310">
        <w:rPr>
          <w:rFonts w:ascii="Arial" w:hAnsi="Arial" w:cs="Arial"/>
          <w:szCs w:val="24"/>
          <w:lang w:val="es-CO" w:eastAsia="ar-SA"/>
        </w:rPr>
        <w:t>.</w:t>
      </w:r>
    </w:p>
    <w:p w14:paraId="10761605" w14:textId="77777777" w:rsidR="006824AD" w:rsidRPr="00545310" w:rsidRDefault="00D05855" w:rsidP="00B26B0D">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 </w:t>
      </w:r>
    </w:p>
    <w:p w14:paraId="1D378261" w14:textId="77777777" w:rsidR="00045992" w:rsidRPr="00545310" w:rsidRDefault="00131B4E" w:rsidP="00B26B0D">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En resumen; a </w:t>
      </w:r>
      <w:r w:rsidR="00BE3B6C" w:rsidRPr="00545310">
        <w:rPr>
          <w:rFonts w:ascii="Arial" w:hAnsi="Arial" w:cs="Arial"/>
          <w:szCs w:val="24"/>
          <w:lang w:val="es-CO" w:eastAsia="ar-SA"/>
        </w:rPr>
        <w:t>diferencia de lo que afirm</w:t>
      </w:r>
      <w:r w:rsidR="00F629E5" w:rsidRPr="00545310">
        <w:rPr>
          <w:rFonts w:ascii="Arial" w:hAnsi="Arial" w:cs="Arial"/>
          <w:szCs w:val="24"/>
          <w:lang w:val="es-CO" w:eastAsia="ar-SA"/>
        </w:rPr>
        <w:t>ó</w:t>
      </w:r>
      <w:r w:rsidR="00BE3B6C" w:rsidRPr="00545310">
        <w:rPr>
          <w:rFonts w:ascii="Arial" w:hAnsi="Arial" w:cs="Arial"/>
          <w:szCs w:val="24"/>
          <w:lang w:val="es-CO" w:eastAsia="ar-SA"/>
        </w:rPr>
        <w:t xml:space="preserve"> la apelante</w:t>
      </w:r>
      <w:r w:rsidRPr="00545310">
        <w:rPr>
          <w:rFonts w:ascii="Arial" w:hAnsi="Arial" w:cs="Arial"/>
          <w:szCs w:val="24"/>
          <w:lang w:val="es-CO" w:eastAsia="ar-SA"/>
        </w:rPr>
        <w:t xml:space="preserve">, se concluye que </w:t>
      </w:r>
      <w:r w:rsidR="00BE3B6C" w:rsidRPr="00545310">
        <w:rPr>
          <w:rFonts w:ascii="Arial" w:hAnsi="Arial" w:cs="Arial"/>
          <w:szCs w:val="24"/>
          <w:lang w:val="es-CO" w:eastAsia="ar-SA"/>
        </w:rPr>
        <w:t xml:space="preserve">los actos acusados se apoyaron en </w:t>
      </w:r>
      <w:r w:rsidR="00331979" w:rsidRPr="00545310">
        <w:rPr>
          <w:rFonts w:ascii="Arial" w:hAnsi="Arial" w:cs="Arial"/>
          <w:szCs w:val="24"/>
          <w:lang w:val="es-CO" w:eastAsia="ar-SA"/>
        </w:rPr>
        <w:t xml:space="preserve">el estimativo de </w:t>
      </w:r>
      <w:r w:rsidR="00BE3B6C" w:rsidRPr="00545310">
        <w:rPr>
          <w:rFonts w:ascii="Arial" w:hAnsi="Arial" w:cs="Arial"/>
          <w:szCs w:val="24"/>
          <w:lang w:val="es-CO" w:eastAsia="ar-SA"/>
        </w:rPr>
        <w:t>perjuicio</w:t>
      </w:r>
      <w:r w:rsidR="00F629E5" w:rsidRPr="00545310">
        <w:rPr>
          <w:rFonts w:ascii="Arial" w:hAnsi="Arial" w:cs="Arial"/>
          <w:szCs w:val="24"/>
          <w:lang w:val="es-CO" w:eastAsia="ar-SA"/>
        </w:rPr>
        <w:t>s</w:t>
      </w:r>
      <w:r w:rsidR="00BE3B6C" w:rsidRPr="00545310">
        <w:rPr>
          <w:rFonts w:ascii="Arial" w:hAnsi="Arial" w:cs="Arial"/>
          <w:szCs w:val="24"/>
          <w:lang w:val="es-CO" w:eastAsia="ar-SA"/>
        </w:rPr>
        <w:t xml:space="preserve"> </w:t>
      </w:r>
      <w:r w:rsidR="00A04776" w:rsidRPr="00545310">
        <w:rPr>
          <w:rFonts w:ascii="Arial" w:hAnsi="Arial" w:cs="Arial"/>
          <w:szCs w:val="24"/>
          <w:lang w:val="es-CO" w:eastAsia="ar-SA"/>
        </w:rPr>
        <w:t>cierto</w:t>
      </w:r>
      <w:r w:rsidR="00F629E5" w:rsidRPr="00545310">
        <w:rPr>
          <w:rFonts w:ascii="Arial" w:hAnsi="Arial" w:cs="Arial"/>
          <w:szCs w:val="24"/>
          <w:lang w:val="es-CO" w:eastAsia="ar-SA"/>
        </w:rPr>
        <w:t>s</w:t>
      </w:r>
      <w:r w:rsidR="00BE3B6C" w:rsidRPr="00545310">
        <w:rPr>
          <w:rFonts w:ascii="Arial" w:hAnsi="Arial" w:cs="Arial"/>
          <w:szCs w:val="24"/>
          <w:lang w:val="es-CO" w:eastAsia="ar-SA"/>
        </w:rPr>
        <w:t>, p</w:t>
      </w:r>
      <w:r w:rsidR="00D05855" w:rsidRPr="00545310">
        <w:rPr>
          <w:rFonts w:ascii="Arial" w:hAnsi="Arial" w:cs="Arial"/>
          <w:szCs w:val="24"/>
          <w:lang w:val="es-CO" w:eastAsia="ar-SA"/>
        </w:rPr>
        <w:t>or lo siguiente:</w:t>
      </w:r>
      <w:r w:rsidR="00BE3B6C" w:rsidRPr="00545310">
        <w:rPr>
          <w:rFonts w:ascii="Arial" w:hAnsi="Arial" w:cs="Arial"/>
          <w:szCs w:val="24"/>
          <w:lang w:val="es-CO" w:eastAsia="ar-SA"/>
        </w:rPr>
        <w:t xml:space="preserve"> </w:t>
      </w:r>
      <w:r w:rsidRPr="00545310">
        <w:rPr>
          <w:rFonts w:ascii="Arial" w:hAnsi="Arial" w:cs="Arial"/>
          <w:b/>
          <w:szCs w:val="24"/>
          <w:lang w:val="es-CO" w:eastAsia="ar-SA"/>
        </w:rPr>
        <w:t>i)</w:t>
      </w:r>
      <w:r w:rsidRPr="00545310">
        <w:rPr>
          <w:rFonts w:ascii="Arial" w:hAnsi="Arial" w:cs="Arial"/>
          <w:szCs w:val="24"/>
          <w:lang w:val="es-CO" w:eastAsia="ar-SA"/>
        </w:rPr>
        <w:t xml:space="preserve"> </w:t>
      </w:r>
      <w:r w:rsidR="00BE3B6C" w:rsidRPr="00545310">
        <w:rPr>
          <w:rFonts w:ascii="Arial" w:hAnsi="Arial" w:cs="Arial"/>
          <w:szCs w:val="24"/>
          <w:lang w:val="es-CO" w:eastAsia="ar-SA"/>
        </w:rPr>
        <w:t xml:space="preserve">el daño </w:t>
      </w:r>
      <w:r w:rsidR="00A04776" w:rsidRPr="00545310">
        <w:rPr>
          <w:rFonts w:ascii="Arial" w:hAnsi="Arial" w:cs="Arial"/>
          <w:szCs w:val="24"/>
          <w:lang w:val="es-CO" w:eastAsia="ar-SA"/>
        </w:rPr>
        <w:t>se</w:t>
      </w:r>
      <w:r w:rsidR="00BE3B6C" w:rsidRPr="00545310">
        <w:rPr>
          <w:rFonts w:ascii="Arial" w:hAnsi="Arial" w:cs="Arial"/>
          <w:szCs w:val="24"/>
          <w:lang w:val="es-CO" w:eastAsia="ar-SA"/>
        </w:rPr>
        <w:t xml:space="preserve"> causó </w:t>
      </w:r>
      <w:r w:rsidR="00AF064C" w:rsidRPr="00545310">
        <w:rPr>
          <w:rFonts w:ascii="Arial" w:hAnsi="Arial" w:cs="Arial"/>
          <w:szCs w:val="24"/>
          <w:lang w:val="es-CO" w:eastAsia="ar-SA"/>
        </w:rPr>
        <w:t xml:space="preserve">con el incumplimiento </w:t>
      </w:r>
      <w:r w:rsidR="00D05855" w:rsidRPr="00545310">
        <w:rPr>
          <w:rFonts w:ascii="Arial" w:hAnsi="Arial" w:cs="Arial"/>
          <w:szCs w:val="24"/>
          <w:lang w:val="es-CO" w:eastAsia="ar-SA"/>
        </w:rPr>
        <w:t xml:space="preserve">grave de la contratista, </w:t>
      </w:r>
      <w:r w:rsidR="00AF064C" w:rsidRPr="00545310">
        <w:rPr>
          <w:rFonts w:ascii="Arial" w:hAnsi="Arial" w:cs="Arial"/>
          <w:szCs w:val="24"/>
          <w:lang w:val="es-CO" w:eastAsia="ar-SA"/>
        </w:rPr>
        <w:t>que dio lugar a la declaratoria de caducidad, la cual constituía en si misma el siniestro amparado</w:t>
      </w:r>
      <w:r w:rsidR="00602D01" w:rsidRPr="00545310">
        <w:rPr>
          <w:rStyle w:val="Refdenotaalpie"/>
          <w:rFonts w:ascii="Arial" w:hAnsi="Arial" w:cs="Arial"/>
          <w:szCs w:val="24"/>
          <w:lang w:val="es-CO" w:eastAsia="ar-SA"/>
        </w:rPr>
        <w:footnoteReference w:id="60"/>
      </w:r>
      <w:r w:rsidR="00DD1500" w:rsidRPr="00545310">
        <w:rPr>
          <w:rFonts w:ascii="Arial" w:hAnsi="Arial" w:cs="Arial"/>
          <w:szCs w:val="24"/>
          <w:lang w:val="es-CO" w:eastAsia="ar-SA"/>
        </w:rPr>
        <w:t>;</w:t>
      </w:r>
      <w:r w:rsidR="00AF064C" w:rsidRPr="00545310">
        <w:rPr>
          <w:rFonts w:ascii="Arial" w:hAnsi="Arial" w:cs="Arial"/>
          <w:szCs w:val="24"/>
          <w:lang w:val="es-CO" w:eastAsia="ar-SA"/>
        </w:rPr>
        <w:t xml:space="preserve"> </w:t>
      </w:r>
      <w:proofErr w:type="spellStart"/>
      <w:r w:rsidR="00AF064C" w:rsidRPr="00545310">
        <w:rPr>
          <w:rFonts w:ascii="Arial" w:hAnsi="Arial" w:cs="Arial"/>
          <w:b/>
          <w:szCs w:val="24"/>
          <w:lang w:val="es-CO" w:eastAsia="ar-SA"/>
        </w:rPr>
        <w:t>ii</w:t>
      </w:r>
      <w:proofErr w:type="spellEnd"/>
      <w:r w:rsidR="00AF064C" w:rsidRPr="00545310">
        <w:rPr>
          <w:rFonts w:ascii="Arial" w:hAnsi="Arial" w:cs="Arial"/>
          <w:b/>
          <w:szCs w:val="24"/>
          <w:lang w:val="es-CO" w:eastAsia="ar-SA"/>
        </w:rPr>
        <w:t>)</w:t>
      </w:r>
      <w:r w:rsidR="00AF064C" w:rsidRPr="00545310">
        <w:rPr>
          <w:rFonts w:ascii="Arial" w:hAnsi="Arial" w:cs="Arial"/>
          <w:szCs w:val="24"/>
          <w:lang w:val="es-CO" w:eastAsia="ar-SA"/>
        </w:rPr>
        <w:t xml:space="preserve"> la </w:t>
      </w:r>
      <w:r w:rsidR="00BE3B6C" w:rsidRPr="00545310">
        <w:rPr>
          <w:rFonts w:ascii="Arial" w:hAnsi="Arial" w:cs="Arial"/>
          <w:szCs w:val="24"/>
          <w:lang w:val="es-CO" w:eastAsia="ar-SA"/>
        </w:rPr>
        <w:t>ocurrencia del siniestro</w:t>
      </w:r>
      <w:r w:rsidR="0064497F" w:rsidRPr="00545310">
        <w:rPr>
          <w:rFonts w:ascii="Arial" w:hAnsi="Arial" w:cs="Arial"/>
          <w:szCs w:val="24"/>
          <w:lang w:val="es-CO" w:eastAsia="ar-SA"/>
        </w:rPr>
        <w:t xml:space="preserve"> </w:t>
      </w:r>
      <w:r w:rsidR="00AF064C" w:rsidRPr="00545310">
        <w:rPr>
          <w:rFonts w:ascii="Arial" w:hAnsi="Arial" w:cs="Arial"/>
          <w:szCs w:val="24"/>
          <w:lang w:val="es-CO" w:eastAsia="ar-SA"/>
        </w:rPr>
        <w:t xml:space="preserve">era </w:t>
      </w:r>
      <w:r w:rsidR="00F629E5" w:rsidRPr="00545310">
        <w:rPr>
          <w:rFonts w:ascii="Arial" w:hAnsi="Arial" w:cs="Arial"/>
          <w:szCs w:val="24"/>
          <w:lang w:val="es-CO" w:eastAsia="ar-SA"/>
        </w:rPr>
        <w:t xml:space="preserve">entonces </w:t>
      </w:r>
      <w:r w:rsidR="00A04776" w:rsidRPr="00545310">
        <w:rPr>
          <w:rFonts w:ascii="Arial" w:hAnsi="Arial" w:cs="Arial"/>
          <w:szCs w:val="24"/>
          <w:lang w:val="es-CO" w:eastAsia="ar-SA"/>
        </w:rPr>
        <w:t>un hecho cierto</w:t>
      </w:r>
      <w:r w:rsidR="00B21A35" w:rsidRPr="00545310">
        <w:rPr>
          <w:rFonts w:ascii="Arial" w:hAnsi="Arial" w:cs="Arial"/>
          <w:szCs w:val="24"/>
          <w:lang w:val="es-CO" w:eastAsia="ar-SA"/>
        </w:rPr>
        <w:t xml:space="preserve">, </w:t>
      </w:r>
      <w:r w:rsidR="00E50AFC" w:rsidRPr="00545310">
        <w:rPr>
          <w:rFonts w:ascii="Arial" w:hAnsi="Arial" w:cs="Arial"/>
          <w:szCs w:val="24"/>
          <w:lang w:val="es-CO" w:eastAsia="ar-SA"/>
        </w:rPr>
        <w:t xml:space="preserve">respaldado con la fuerza jurídica de un acto administrativo, </w:t>
      </w:r>
      <w:r w:rsidR="00B21A35" w:rsidRPr="00545310">
        <w:rPr>
          <w:rFonts w:ascii="Arial" w:hAnsi="Arial" w:cs="Arial"/>
          <w:szCs w:val="24"/>
          <w:lang w:val="es-CO" w:eastAsia="ar-SA"/>
        </w:rPr>
        <w:t xml:space="preserve">como lo era también </w:t>
      </w:r>
      <w:r w:rsidR="00CD7050" w:rsidRPr="00545310">
        <w:rPr>
          <w:rFonts w:ascii="Arial" w:hAnsi="Arial" w:cs="Arial"/>
          <w:szCs w:val="24"/>
          <w:lang w:val="es-CO" w:eastAsia="ar-SA"/>
        </w:rPr>
        <w:t xml:space="preserve">el </w:t>
      </w:r>
      <w:r w:rsidR="004A69B6" w:rsidRPr="00545310">
        <w:rPr>
          <w:rFonts w:ascii="Arial" w:hAnsi="Arial" w:cs="Arial"/>
          <w:szCs w:val="24"/>
          <w:lang w:val="es-CO" w:eastAsia="ar-SA"/>
        </w:rPr>
        <w:t xml:space="preserve">hecho de </w:t>
      </w:r>
      <w:r w:rsidR="00B21A35" w:rsidRPr="00545310">
        <w:rPr>
          <w:rFonts w:ascii="Arial" w:hAnsi="Arial" w:cs="Arial"/>
          <w:szCs w:val="24"/>
          <w:lang w:val="es-CO" w:eastAsia="ar-SA"/>
        </w:rPr>
        <w:t xml:space="preserve">que </w:t>
      </w:r>
      <w:r w:rsidR="004A69B6" w:rsidRPr="00545310">
        <w:rPr>
          <w:rFonts w:ascii="Arial" w:hAnsi="Arial" w:cs="Arial"/>
          <w:szCs w:val="24"/>
          <w:lang w:val="es-CO" w:eastAsia="ar-SA"/>
        </w:rPr>
        <w:t>la</w:t>
      </w:r>
      <w:r w:rsidR="00B21A35" w:rsidRPr="00545310">
        <w:rPr>
          <w:rFonts w:ascii="Arial" w:hAnsi="Arial" w:cs="Arial"/>
          <w:szCs w:val="24"/>
          <w:lang w:val="es-CO" w:eastAsia="ar-SA"/>
        </w:rPr>
        <w:t xml:space="preserve"> contrat</w:t>
      </w:r>
      <w:r w:rsidR="00320B78" w:rsidRPr="00545310">
        <w:rPr>
          <w:rFonts w:ascii="Arial" w:hAnsi="Arial" w:cs="Arial"/>
          <w:szCs w:val="24"/>
          <w:lang w:val="es-CO" w:eastAsia="ar-SA"/>
        </w:rPr>
        <w:t>ista había sido separad</w:t>
      </w:r>
      <w:r w:rsidR="004A69B6" w:rsidRPr="00545310">
        <w:rPr>
          <w:rFonts w:ascii="Arial" w:hAnsi="Arial" w:cs="Arial"/>
          <w:szCs w:val="24"/>
          <w:lang w:val="es-CO" w:eastAsia="ar-SA"/>
        </w:rPr>
        <w:t>a</w:t>
      </w:r>
      <w:r w:rsidR="00320B78" w:rsidRPr="00545310">
        <w:rPr>
          <w:rFonts w:ascii="Arial" w:hAnsi="Arial" w:cs="Arial"/>
          <w:szCs w:val="24"/>
          <w:lang w:val="es-CO" w:eastAsia="ar-SA"/>
        </w:rPr>
        <w:t xml:space="preserve"> de la ejecución de la obra, que su contrato había terminado y que se imponía </w:t>
      </w:r>
      <w:r w:rsidR="004A69B6" w:rsidRPr="00545310">
        <w:rPr>
          <w:rFonts w:ascii="Arial" w:hAnsi="Arial" w:cs="Arial"/>
          <w:szCs w:val="24"/>
          <w:lang w:val="es-CO" w:eastAsia="ar-SA"/>
        </w:rPr>
        <w:t xml:space="preserve">para FONADE </w:t>
      </w:r>
      <w:r w:rsidR="00320B78" w:rsidRPr="00545310">
        <w:rPr>
          <w:rFonts w:ascii="Arial" w:hAnsi="Arial" w:cs="Arial"/>
          <w:szCs w:val="24"/>
          <w:lang w:val="es-CO" w:eastAsia="ar-SA"/>
        </w:rPr>
        <w:t xml:space="preserve">la nueva contratación, </w:t>
      </w:r>
      <w:r w:rsidR="004A69B6" w:rsidRPr="00545310">
        <w:rPr>
          <w:rFonts w:ascii="Arial" w:hAnsi="Arial" w:cs="Arial"/>
          <w:szCs w:val="24"/>
          <w:lang w:val="es-CO" w:eastAsia="ar-SA"/>
        </w:rPr>
        <w:t xml:space="preserve">en orden a </w:t>
      </w:r>
      <w:r w:rsidR="00320B78" w:rsidRPr="00545310">
        <w:rPr>
          <w:rFonts w:ascii="Arial" w:hAnsi="Arial" w:cs="Arial"/>
          <w:szCs w:val="24"/>
          <w:lang w:val="es-CO" w:eastAsia="ar-SA"/>
        </w:rPr>
        <w:t xml:space="preserve">completar la obra faltante; </w:t>
      </w:r>
      <w:proofErr w:type="spellStart"/>
      <w:r w:rsidR="00320B78" w:rsidRPr="00545310">
        <w:rPr>
          <w:rFonts w:ascii="Arial" w:hAnsi="Arial" w:cs="Arial"/>
          <w:b/>
          <w:szCs w:val="24"/>
          <w:lang w:val="es-CO" w:eastAsia="ar-SA"/>
        </w:rPr>
        <w:t>iii</w:t>
      </w:r>
      <w:proofErr w:type="spellEnd"/>
      <w:r w:rsidR="00320B78" w:rsidRPr="00545310">
        <w:rPr>
          <w:rFonts w:ascii="Arial" w:hAnsi="Arial" w:cs="Arial"/>
          <w:b/>
          <w:szCs w:val="24"/>
          <w:lang w:val="es-CO" w:eastAsia="ar-SA"/>
        </w:rPr>
        <w:t>)</w:t>
      </w:r>
      <w:r w:rsidR="00320B78" w:rsidRPr="00545310">
        <w:rPr>
          <w:rFonts w:ascii="Arial" w:hAnsi="Arial" w:cs="Arial"/>
          <w:szCs w:val="24"/>
          <w:lang w:val="es-CO" w:eastAsia="ar-SA"/>
        </w:rPr>
        <w:t xml:space="preserve"> </w:t>
      </w:r>
      <w:r w:rsidR="00AF064C" w:rsidRPr="00545310">
        <w:rPr>
          <w:rFonts w:ascii="Arial" w:hAnsi="Arial" w:cs="Arial"/>
          <w:szCs w:val="24"/>
          <w:lang w:val="es-CO" w:eastAsia="ar-SA"/>
        </w:rPr>
        <w:t xml:space="preserve">la cuantificación del valor por el que se hizo efectiva la póliza de seguro </w:t>
      </w:r>
      <w:r w:rsidR="00B21A35" w:rsidRPr="00545310">
        <w:rPr>
          <w:rFonts w:ascii="Arial" w:hAnsi="Arial" w:cs="Arial"/>
          <w:szCs w:val="24"/>
          <w:lang w:val="es-CO" w:eastAsia="ar-SA"/>
        </w:rPr>
        <w:t xml:space="preserve">se </w:t>
      </w:r>
      <w:r w:rsidR="00A04776" w:rsidRPr="00545310">
        <w:rPr>
          <w:rFonts w:ascii="Arial" w:hAnsi="Arial" w:cs="Arial"/>
          <w:szCs w:val="24"/>
          <w:lang w:val="es-CO" w:eastAsia="ar-SA"/>
        </w:rPr>
        <w:t xml:space="preserve">realizó con base en las cifras </w:t>
      </w:r>
      <w:r w:rsidR="00B21A35" w:rsidRPr="00545310">
        <w:rPr>
          <w:rFonts w:ascii="Arial" w:hAnsi="Arial" w:cs="Arial"/>
          <w:szCs w:val="24"/>
          <w:lang w:val="es-CO" w:eastAsia="ar-SA"/>
        </w:rPr>
        <w:t xml:space="preserve">ciertas </w:t>
      </w:r>
      <w:r w:rsidR="00A04776" w:rsidRPr="00545310">
        <w:rPr>
          <w:rFonts w:ascii="Arial" w:hAnsi="Arial" w:cs="Arial"/>
          <w:szCs w:val="24"/>
          <w:lang w:val="es-CO" w:eastAsia="ar-SA"/>
        </w:rPr>
        <w:t>de</w:t>
      </w:r>
      <w:r w:rsidR="00B21A35" w:rsidRPr="00545310">
        <w:rPr>
          <w:rFonts w:ascii="Arial" w:hAnsi="Arial" w:cs="Arial"/>
          <w:szCs w:val="24"/>
          <w:lang w:val="es-CO" w:eastAsia="ar-SA"/>
        </w:rPr>
        <w:t>l estado de</w:t>
      </w:r>
      <w:r w:rsidR="00A04776" w:rsidRPr="00545310">
        <w:rPr>
          <w:rFonts w:ascii="Arial" w:hAnsi="Arial" w:cs="Arial"/>
          <w:szCs w:val="24"/>
          <w:lang w:val="es-CO" w:eastAsia="ar-SA"/>
        </w:rPr>
        <w:t xml:space="preserve"> ejecución de obra</w:t>
      </w:r>
      <w:r w:rsidR="00D05855" w:rsidRPr="00545310">
        <w:rPr>
          <w:rFonts w:ascii="Arial" w:hAnsi="Arial" w:cs="Arial"/>
          <w:szCs w:val="24"/>
          <w:lang w:val="es-CO" w:eastAsia="ar-SA"/>
        </w:rPr>
        <w:t xml:space="preserve">, </w:t>
      </w:r>
      <w:r w:rsidR="00045992" w:rsidRPr="00545310">
        <w:rPr>
          <w:rFonts w:ascii="Arial" w:hAnsi="Arial" w:cs="Arial"/>
          <w:szCs w:val="24"/>
          <w:lang w:val="es-CO" w:eastAsia="ar-SA"/>
        </w:rPr>
        <w:t>de l</w:t>
      </w:r>
      <w:r w:rsidR="00E50AFC" w:rsidRPr="00545310">
        <w:rPr>
          <w:rFonts w:ascii="Arial" w:hAnsi="Arial" w:cs="Arial"/>
          <w:szCs w:val="24"/>
          <w:lang w:val="es-CO" w:eastAsia="ar-SA"/>
        </w:rPr>
        <w:t>os</w:t>
      </w:r>
      <w:r w:rsidR="00045992" w:rsidRPr="00545310">
        <w:rPr>
          <w:rFonts w:ascii="Arial" w:hAnsi="Arial" w:cs="Arial"/>
          <w:szCs w:val="24"/>
          <w:lang w:val="es-CO" w:eastAsia="ar-SA"/>
        </w:rPr>
        <w:t xml:space="preserve"> recursos que </w:t>
      </w:r>
      <w:r w:rsidR="00D05855" w:rsidRPr="00545310">
        <w:rPr>
          <w:rFonts w:ascii="Arial" w:hAnsi="Arial" w:cs="Arial"/>
          <w:szCs w:val="24"/>
          <w:lang w:val="es-CO" w:eastAsia="ar-SA"/>
        </w:rPr>
        <w:t xml:space="preserve">quedaban en caja y de los que </w:t>
      </w:r>
      <w:r w:rsidR="00045992" w:rsidRPr="00545310">
        <w:rPr>
          <w:rFonts w:ascii="Arial" w:hAnsi="Arial" w:cs="Arial"/>
          <w:szCs w:val="24"/>
          <w:lang w:val="es-CO" w:eastAsia="ar-SA"/>
        </w:rPr>
        <w:t xml:space="preserve">eran requeridos para atender la contratación faltante, a </w:t>
      </w:r>
      <w:r w:rsidR="00002B15" w:rsidRPr="00545310">
        <w:rPr>
          <w:rFonts w:ascii="Arial" w:hAnsi="Arial" w:cs="Arial"/>
          <w:szCs w:val="24"/>
          <w:lang w:val="es-CO" w:eastAsia="ar-SA"/>
        </w:rPr>
        <w:t xml:space="preserve">los precios de 2011, año en que </w:t>
      </w:r>
      <w:r w:rsidR="00045992" w:rsidRPr="00545310">
        <w:rPr>
          <w:rFonts w:ascii="Arial" w:hAnsi="Arial" w:cs="Arial"/>
          <w:szCs w:val="24"/>
          <w:lang w:val="es-CO" w:eastAsia="ar-SA"/>
        </w:rPr>
        <w:t>se hizo efectiva la garantía.</w:t>
      </w:r>
    </w:p>
    <w:p w14:paraId="75917E6E" w14:textId="77777777" w:rsidR="00331979" w:rsidRPr="00545310" w:rsidRDefault="00331979" w:rsidP="00B26B0D">
      <w:pPr>
        <w:pStyle w:val="Sangradetextonormal"/>
        <w:spacing w:after="0"/>
        <w:ind w:left="0"/>
        <w:rPr>
          <w:rFonts w:ascii="Arial" w:hAnsi="Arial" w:cs="Arial"/>
          <w:szCs w:val="24"/>
          <w:lang w:val="es-CO" w:eastAsia="ar-SA"/>
        </w:rPr>
      </w:pPr>
    </w:p>
    <w:p w14:paraId="69AC2ED4" w14:textId="77777777" w:rsidR="00AC4BBF" w:rsidRPr="00545310" w:rsidRDefault="00473824" w:rsidP="00B26B0D">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Se </w:t>
      </w:r>
      <w:r w:rsidR="00045992" w:rsidRPr="00545310">
        <w:rPr>
          <w:rFonts w:ascii="Arial" w:hAnsi="Arial" w:cs="Arial"/>
          <w:szCs w:val="24"/>
          <w:lang w:val="es-CO" w:eastAsia="ar-SA"/>
        </w:rPr>
        <w:t>co</w:t>
      </w:r>
      <w:r w:rsidR="0078218C" w:rsidRPr="00545310">
        <w:rPr>
          <w:rFonts w:ascii="Arial" w:hAnsi="Arial" w:cs="Arial"/>
          <w:szCs w:val="24"/>
          <w:lang w:val="es-CO" w:eastAsia="ar-SA"/>
        </w:rPr>
        <w:t>nfirma</w:t>
      </w:r>
      <w:r w:rsidR="004A69B6" w:rsidRPr="00545310">
        <w:rPr>
          <w:rFonts w:ascii="Arial" w:hAnsi="Arial" w:cs="Arial"/>
          <w:szCs w:val="24"/>
          <w:lang w:val="es-CO" w:eastAsia="ar-SA"/>
        </w:rPr>
        <w:t xml:space="preserve"> </w:t>
      </w:r>
      <w:r w:rsidR="005F40BC" w:rsidRPr="00545310">
        <w:rPr>
          <w:rFonts w:ascii="Arial" w:hAnsi="Arial" w:cs="Arial"/>
          <w:szCs w:val="24"/>
          <w:lang w:val="es-CO" w:eastAsia="ar-SA"/>
        </w:rPr>
        <w:t xml:space="preserve">que </w:t>
      </w:r>
      <w:r w:rsidR="00B26B0D" w:rsidRPr="00545310">
        <w:rPr>
          <w:rFonts w:ascii="Arial" w:hAnsi="Arial" w:cs="Arial"/>
          <w:szCs w:val="24"/>
          <w:lang w:val="es-CO" w:eastAsia="ar-SA"/>
        </w:rPr>
        <w:t>l</w:t>
      </w:r>
      <w:r w:rsidR="00045992" w:rsidRPr="00545310">
        <w:rPr>
          <w:rFonts w:ascii="Arial" w:hAnsi="Arial" w:cs="Arial"/>
          <w:szCs w:val="24"/>
          <w:lang w:val="es-CO" w:eastAsia="ar-SA"/>
        </w:rPr>
        <w:t xml:space="preserve">os </w:t>
      </w:r>
      <w:r w:rsidR="00531F3F" w:rsidRPr="00545310">
        <w:rPr>
          <w:rFonts w:ascii="Arial" w:hAnsi="Arial" w:cs="Arial"/>
          <w:szCs w:val="24"/>
          <w:lang w:val="es-CO" w:eastAsia="ar-SA"/>
        </w:rPr>
        <w:t xml:space="preserve">perjuicios </w:t>
      </w:r>
      <w:r w:rsidR="00045992" w:rsidRPr="00545310">
        <w:rPr>
          <w:rFonts w:ascii="Arial" w:hAnsi="Arial" w:cs="Arial"/>
          <w:szCs w:val="24"/>
          <w:lang w:val="es-CO" w:eastAsia="ar-SA"/>
        </w:rPr>
        <w:t xml:space="preserve">estaban adecuadamente soportados, por cuanto las contrataciones posteriores demostraron que los contratos correspondientes tuvieron que </w:t>
      </w:r>
      <w:r w:rsidR="00AC4BBF" w:rsidRPr="00545310">
        <w:rPr>
          <w:rFonts w:ascii="Arial" w:hAnsi="Arial" w:cs="Arial"/>
          <w:szCs w:val="24"/>
          <w:lang w:val="es-CO" w:eastAsia="ar-SA"/>
        </w:rPr>
        <w:t xml:space="preserve">celebrarse por valores aún mayores a los que arrojaron los estudios utilizados para ordenar la </w:t>
      </w:r>
      <w:r w:rsidR="00DD1500" w:rsidRPr="00545310">
        <w:rPr>
          <w:rFonts w:ascii="Arial" w:hAnsi="Arial" w:cs="Arial"/>
          <w:szCs w:val="24"/>
          <w:lang w:val="es-CO" w:eastAsia="ar-SA"/>
        </w:rPr>
        <w:t xml:space="preserve">efectividad de la </w:t>
      </w:r>
      <w:r w:rsidR="00AC4BBF" w:rsidRPr="00545310">
        <w:rPr>
          <w:rFonts w:ascii="Arial" w:hAnsi="Arial" w:cs="Arial"/>
          <w:szCs w:val="24"/>
          <w:lang w:val="es-CO" w:eastAsia="ar-SA"/>
        </w:rPr>
        <w:t xml:space="preserve">póliza de seguro que se reclamó en su oportunidad a la compañía </w:t>
      </w:r>
      <w:r w:rsidR="00DD1500" w:rsidRPr="00545310">
        <w:rPr>
          <w:rFonts w:ascii="Arial" w:hAnsi="Arial" w:cs="Arial"/>
          <w:szCs w:val="24"/>
          <w:lang w:val="es-CO" w:eastAsia="ar-SA"/>
        </w:rPr>
        <w:t>a</w:t>
      </w:r>
      <w:r w:rsidR="00AC4BBF" w:rsidRPr="00545310">
        <w:rPr>
          <w:rFonts w:ascii="Arial" w:hAnsi="Arial" w:cs="Arial"/>
          <w:szCs w:val="24"/>
          <w:lang w:val="es-CO" w:eastAsia="ar-SA"/>
        </w:rPr>
        <w:t xml:space="preserve">seguradora </w:t>
      </w:r>
    </w:p>
    <w:p w14:paraId="0D8D7860" w14:textId="77777777" w:rsidR="003D0BA6" w:rsidRPr="00545310" w:rsidRDefault="003D0BA6" w:rsidP="00B26B0D">
      <w:pPr>
        <w:pStyle w:val="Sangradetextonormal"/>
        <w:spacing w:after="0"/>
        <w:ind w:left="0"/>
        <w:rPr>
          <w:rFonts w:ascii="Arial" w:hAnsi="Arial" w:cs="Arial"/>
          <w:szCs w:val="24"/>
          <w:lang w:val="es-CO" w:eastAsia="ar-SA"/>
        </w:rPr>
      </w:pPr>
    </w:p>
    <w:p w14:paraId="074FA9EF" w14:textId="77777777" w:rsidR="00D40855" w:rsidRPr="00545310" w:rsidRDefault="008C4C1E" w:rsidP="00B26B0D">
      <w:pPr>
        <w:pStyle w:val="Sangradetextonormal"/>
        <w:spacing w:after="0"/>
        <w:ind w:left="0"/>
        <w:rPr>
          <w:rFonts w:ascii="Arial" w:hAnsi="Arial" w:cs="Arial"/>
          <w:szCs w:val="24"/>
          <w:lang w:val="es-CO" w:eastAsia="ar-SA"/>
        </w:rPr>
      </w:pPr>
      <w:r w:rsidRPr="00545310">
        <w:rPr>
          <w:rFonts w:ascii="Arial" w:hAnsi="Arial" w:cs="Arial"/>
          <w:szCs w:val="24"/>
          <w:lang w:val="es-CO" w:eastAsia="ar-SA"/>
        </w:rPr>
        <w:lastRenderedPageBreak/>
        <w:t xml:space="preserve">Se observa </w:t>
      </w:r>
      <w:r w:rsidR="00191448" w:rsidRPr="00545310">
        <w:rPr>
          <w:rFonts w:ascii="Arial" w:hAnsi="Arial" w:cs="Arial"/>
          <w:szCs w:val="24"/>
          <w:lang w:val="es-CO" w:eastAsia="ar-SA"/>
        </w:rPr>
        <w:t>que los costos d</w:t>
      </w:r>
      <w:r w:rsidR="002176E8" w:rsidRPr="00545310">
        <w:rPr>
          <w:rFonts w:ascii="Arial" w:hAnsi="Arial" w:cs="Arial"/>
          <w:szCs w:val="24"/>
          <w:lang w:val="es-CO" w:eastAsia="ar-SA"/>
        </w:rPr>
        <w:t xml:space="preserve">irectos de obra </w:t>
      </w:r>
      <w:r w:rsidR="00F679F9" w:rsidRPr="00545310">
        <w:rPr>
          <w:rFonts w:ascii="Arial" w:hAnsi="Arial" w:cs="Arial"/>
          <w:szCs w:val="24"/>
          <w:lang w:val="es-CO" w:eastAsia="ar-SA"/>
        </w:rPr>
        <w:t xml:space="preserve">se establecieron en forma previa a </w:t>
      </w:r>
      <w:r w:rsidR="00204699" w:rsidRPr="00545310">
        <w:rPr>
          <w:rFonts w:ascii="Arial" w:hAnsi="Arial" w:cs="Arial"/>
          <w:szCs w:val="24"/>
          <w:lang w:val="es-CO" w:eastAsia="ar-SA"/>
        </w:rPr>
        <w:t xml:space="preserve">la </w:t>
      </w:r>
      <w:r w:rsidR="00F679F9" w:rsidRPr="00545310">
        <w:rPr>
          <w:rFonts w:ascii="Arial" w:hAnsi="Arial" w:cs="Arial"/>
          <w:szCs w:val="24"/>
          <w:lang w:val="es-CO" w:eastAsia="ar-SA"/>
        </w:rPr>
        <w:t>declara</w:t>
      </w:r>
      <w:r w:rsidR="00204699" w:rsidRPr="00545310">
        <w:rPr>
          <w:rFonts w:ascii="Arial" w:hAnsi="Arial" w:cs="Arial"/>
          <w:szCs w:val="24"/>
          <w:lang w:val="es-CO" w:eastAsia="ar-SA"/>
        </w:rPr>
        <w:t xml:space="preserve">toria de </w:t>
      </w:r>
      <w:r w:rsidR="00F679F9" w:rsidRPr="00545310">
        <w:rPr>
          <w:rFonts w:ascii="Arial" w:hAnsi="Arial" w:cs="Arial"/>
          <w:szCs w:val="24"/>
          <w:lang w:val="es-CO" w:eastAsia="ar-SA"/>
        </w:rPr>
        <w:t xml:space="preserve"> </w:t>
      </w:r>
      <w:r w:rsidRPr="00545310">
        <w:rPr>
          <w:rFonts w:ascii="Arial" w:hAnsi="Arial" w:cs="Arial"/>
          <w:szCs w:val="24"/>
          <w:lang w:val="es-CO" w:eastAsia="ar-SA"/>
        </w:rPr>
        <w:t>la caducidad</w:t>
      </w:r>
      <w:r w:rsidR="00F679F9" w:rsidRPr="00545310">
        <w:rPr>
          <w:rFonts w:ascii="Arial" w:hAnsi="Arial" w:cs="Arial"/>
          <w:szCs w:val="24"/>
          <w:lang w:val="es-CO" w:eastAsia="ar-SA"/>
        </w:rPr>
        <w:t xml:space="preserve"> del contrato, con </w:t>
      </w:r>
      <w:r w:rsidR="003F3972" w:rsidRPr="00545310">
        <w:rPr>
          <w:rFonts w:ascii="Arial" w:hAnsi="Arial" w:cs="Arial"/>
          <w:szCs w:val="24"/>
          <w:lang w:val="es-CO" w:eastAsia="ar-SA"/>
        </w:rPr>
        <w:t xml:space="preserve">precios </w:t>
      </w:r>
      <w:r w:rsidR="009259EC" w:rsidRPr="00545310">
        <w:rPr>
          <w:rFonts w:ascii="Arial" w:hAnsi="Arial" w:cs="Arial"/>
          <w:szCs w:val="24"/>
          <w:lang w:val="es-CO" w:eastAsia="ar-SA"/>
        </w:rPr>
        <w:t>vigente</w:t>
      </w:r>
      <w:r w:rsidR="00427FD8" w:rsidRPr="00545310">
        <w:rPr>
          <w:rFonts w:ascii="Arial" w:hAnsi="Arial" w:cs="Arial"/>
          <w:szCs w:val="24"/>
          <w:lang w:val="es-CO" w:eastAsia="ar-SA"/>
        </w:rPr>
        <w:t>s</w:t>
      </w:r>
      <w:r w:rsidR="009259EC" w:rsidRPr="00545310">
        <w:rPr>
          <w:rFonts w:ascii="Arial" w:hAnsi="Arial" w:cs="Arial"/>
          <w:szCs w:val="24"/>
          <w:lang w:val="es-CO" w:eastAsia="ar-SA"/>
        </w:rPr>
        <w:t xml:space="preserve"> para </w:t>
      </w:r>
      <w:r w:rsidR="002176E8" w:rsidRPr="00545310">
        <w:rPr>
          <w:rFonts w:ascii="Arial" w:hAnsi="Arial" w:cs="Arial"/>
          <w:szCs w:val="24"/>
          <w:lang w:val="es-CO" w:eastAsia="ar-SA"/>
        </w:rPr>
        <w:t>l</w:t>
      </w:r>
      <w:r w:rsidR="003F3972" w:rsidRPr="00545310">
        <w:rPr>
          <w:rFonts w:ascii="Arial" w:hAnsi="Arial" w:cs="Arial"/>
          <w:szCs w:val="24"/>
          <w:lang w:val="es-CO" w:eastAsia="ar-SA"/>
        </w:rPr>
        <w:t xml:space="preserve">os </w:t>
      </w:r>
      <w:r w:rsidR="002F66B2" w:rsidRPr="00545310">
        <w:rPr>
          <w:rFonts w:ascii="Arial" w:hAnsi="Arial" w:cs="Arial"/>
          <w:szCs w:val="24"/>
          <w:lang w:val="es-CO" w:eastAsia="ar-SA"/>
        </w:rPr>
        <w:t xml:space="preserve">diversos </w:t>
      </w:r>
      <w:r w:rsidR="003F3972" w:rsidRPr="00545310">
        <w:rPr>
          <w:rFonts w:ascii="Arial" w:hAnsi="Arial" w:cs="Arial"/>
          <w:szCs w:val="24"/>
          <w:lang w:val="es-CO" w:eastAsia="ar-SA"/>
        </w:rPr>
        <w:t xml:space="preserve">ítems, </w:t>
      </w:r>
      <w:r w:rsidR="002176E8" w:rsidRPr="00545310">
        <w:rPr>
          <w:rFonts w:ascii="Arial" w:hAnsi="Arial" w:cs="Arial"/>
          <w:szCs w:val="24"/>
          <w:lang w:val="es-CO" w:eastAsia="ar-SA"/>
        </w:rPr>
        <w:t xml:space="preserve">a </w:t>
      </w:r>
      <w:r w:rsidR="003F3972" w:rsidRPr="00545310">
        <w:rPr>
          <w:rFonts w:ascii="Arial" w:hAnsi="Arial" w:cs="Arial"/>
          <w:szCs w:val="24"/>
          <w:lang w:val="es-CO" w:eastAsia="ar-SA"/>
        </w:rPr>
        <w:t xml:space="preserve">la </w:t>
      </w:r>
      <w:r w:rsidR="002176E8" w:rsidRPr="00545310">
        <w:rPr>
          <w:rFonts w:ascii="Arial" w:hAnsi="Arial" w:cs="Arial"/>
          <w:szCs w:val="24"/>
          <w:lang w:val="es-CO" w:eastAsia="ar-SA"/>
        </w:rPr>
        <w:t>fecha</w:t>
      </w:r>
      <w:r w:rsidR="009259EC" w:rsidRPr="00545310">
        <w:rPr>
          <w:rFonts w:ascii="Arial" w:hAnsi="Arial" w:cs="Arial"/>
          <w:szCs w:val="24"/>
          <w:lang w:val="es-CO" w:eastAsia="ar-SA"/>
        </w:rPr>
        <w:t xml:space="preserve"> en que se </w:t>
      </w:r>
      <w:r w:rsidR="00F43CCC" w:rsidRPr="00545310">
        <w:rPr>
          <w:rFonts w:ascii="Arial" w:hAnsi="Arial" w:cs="Arial"/>
          <w:szCs w:val="24"/>
          <w:lang w:val="es-CO" w:eastAsia="ar-SA"/>
        </w:rPr>
        <w:t>re</w:t>
      </w:r>
      <w:r w:rsidR="003F3972" w:rsidRPr="00545310">
        <w:rPr>
          <w:rFonts w:ascii="Arial" w:hAnsi="Arial" w:cs="Arial"/>
          <w:szCs w:val="24"/>
          <w:lang w:val="es-CO" w:eastAsia="ar-SA"/>
        </w:rPr>
        <w:t xml:space="preserve">quirió </w:t>
      </w:r>
      <w:r w:rsidR="00F43CCC" w:rsidRPr="00545310">
        <w:rPr>
          <w:rFonts w:ascii="Arial" w:hAnsi="Arial" w:cs="Arial"/>
          <w:szCs w:val="24"/>
          <w:lang w:val="es-CO" w:eastAsia="ar-SA"/>
        </w:rPr>
        <w:t xml:space="preserve">el estudio, </w:t>
      </w:r>
      <w:r w:rsidR="00BE0CC2" w:rsidRPr="00545310">
        <w:rPr>
          <w:rFonts w:ascii="Arial" w:hAnsi="Arial" w:cs="Arial"/>
          <w:szCs w:val="24"/>
          <w:lang w:val="es-CO" w:eastAsia="ar-SA"/>
        </w:rPr>
        <w:t xml:space="preserve">con la misma metodología </w:t>
      </w:r>
      <w:r w:rsidRPr="00545310">
        <w:rPr>
          <w:rFonts w:ascii="Arial" w:hAnsi="Arial" w:cs="Arial"/>
          <w:szCs w:val="24"/>
          <w:lang w:val="es-CO" w:eastAsia="ar-SA"/>
        </w:rPr>
        <w:t xml:space="preserve">de análisis de precios unitarios </w:t>
      </w:r>
      <w:r w:rsidR="00A3033D" w:rsidRPr="00545310">
        <w:rPr>
          <w:rFonts w:ascii="Arial" w:hAnsi="Arial" w:cs="Arial"/>
          <w:szCs w:val="24"/>
          <w:lang w:val="es-CO" w:eastAsia="ar-SA"/>
        </w:rPr>
        <w:t xml:space="preserve">que se </w:t>
      </w:r>
      <w:r w:rsidRPr="00545310">
        <w:rPr>
          <w:rFonts w:ascii="Arial" w:hAnsi="Arial" w:cs="Arial"/>
          <w:szCs w:val="24"/>
          <w:lang w:val="es-CO" w:eastAsia="ar-SA"/>
        </w:rPr>
        <w:t xml:space="preserve">utilizó en </w:t>
      </w:r>
      <w:r w:rsidR="00511A47" w:rsidRPr="00545310">
        <w:rPr>
          <w:rFonts w:ascii="Arial" w:hAnsi="Arial" w:cs="Arial"/>
          <w:szCs w:val="24"/>
          <w:lang w:val="es-CO" w:eastAsia="ar-SA"/>
        </w:rPr>
        <w:t xml:space="preserve">el </w:t>
      </w:r>
      <w:r w:rsidR="00A3033D" w:rsidRPr="00545310">
        <w:rPr>
          <w:rFonts w:ascii="Arial" w:hAnsi="Arial" w:cs="Arial"/>
          <w:szCs w:val="24"/>
          <w:lang w:val="es-CO" w:eastAsia="ar-SA"/>
        </w:rPr>
        <w:t>estudio previo</w:t>
      </w:r>
      <w:r w:rsidR="00511A47" w:rsidRPr="00545310">
        <w:rPr>
          <w:rFonts w:ascii="Arial" w:hAnsi="Arial" w:cs="Arial"/>
          <w:szCs w:val="24"/>
          <w:lang w:val="es-CO" w:eastAsia="ar-SA"/>
        </w:rPr>
        <w:t xml:space="preserve"> inicial</w:t>
      </w:r>
      <w:r w:rsidR="00A3033D" w:rsidRPr="00545310">
        <w:rPr>
          <w:rFonts w:ascii="Arial" w:hAnsi="Arial" w:cs="Arial"/>
          <w:szCs w:val="24"/>
          <w:lang w:val="es-CO" w:eastAsia="ar-SA"/>
        </w:rPr>
        <w:t xml:space="preserve">, </w:t>
      </w:r>
      <w:r w:rsidR="00F679F9" w:rsidRPr="00545310">
        <w:rPr>
          <w:rFonts w:ascii="Arial" w:hAnsi="Arial" w:cs="Arial"/>
          <w:szCs w:val="24"/>
          <w:lang w:val="es-CO" w:eastAsia="ar-SA"/>
        </w:rPr>
        <w:t xml:space="preserve">en </w:t>
      </w:r>
      <w:r w:rsidR="002F66B2" w:rsidRPr="00545310">
        <w:rPr>
          <w:rFonts w:ascii="Arial" w:hAnsi="Arial" w:cs="Arial"/>
          <w:szCs w:val="24"/>
          <w:lang w:val="es-CO" w:eastAsia="ar-SA"/>
        </w:rPr>
        <w:t>los términos del artículo 25 de la Ley 80 de 1993</w:t>
      </w:r>
      <w:r w:rsidR="007A64B3" w:rsidRPr="00545310">
        <w:rPr>
          <w:rStyle w:val="Refdenotaalpie"/>
          <w:rFonts w:ascii="Arial" w:hAnsi="Arial" w:cs="Arial"/>
          <w:szCs w:val="24"/>
          <w:lang w:val="es-CO" w:eastAsia="ar-SA"/>
        </w:rPr>
        <w:footnoteReference w:id="61"/>
      </w:r>
      <w:r w:rsidR="007A64B3" w:rsidRPr="00545310">
        <w:rPr>
          <w:rFonts w:ascii="Arial" w:hAnsi="Arial" w:cs="Arial"/>
          <w:szCs w:val="24"/>
          <w:lang w:val="es-CO" w:eastAsia="ar-SA"/>
        </w:rPr>
        <w:t xml:space="preserve">, en </w:t>
      </w:r>
      <w:r w:rsidR="00F679F9" w:rsidRPr="00545310">
        <w:rPr>
          <w:rFonts w:ascii="Arial" w:hAnsi="Arial" w:cs="Arial"/>
          <w:szCs w:val="24"/>
          <w:lang w:val="es-CO" w:eastAsia="ar-SA"/>
        </w:rPr>
        <w:t xml:space="preserve">orden a </w:t>
      </w:r>
      <w:r w:rsidR="00427FD8" w:rsidRPr="00545310">
        <w:rPr>
          <w:rFonts w:ascii="Arial" w:hAnsi="Arial" w:cs="Arial"/>
          <w:szCs w:val="24"/>
          <w:lang w:val="es-CO" w:eastAsia="ar-SA"/>
        </w:rPr>
        <w:t>determinar el presupuesto requerido para la contratación</w:t>
      </w:r>
      <w:r w:rsidR="00D40855" w:rsidRPr="00545310">
        <w:rPr>
          <w:rFonts w:ascii="Arial" w:hAnsi="Arial" w:cs="Arial"/>
          <w:szCs w:val="24"/>
          <w:lang w:val="es-CO" w:eastAsia="ar-SA"/>
        </w:rPr>
        <w:t xml:space="preserve"> correspondiente a la obra faltante. </w:t>
      </w:r>
    </w:p>
    <w:p w14:paraId="1636EC00" w14:textId="77777777" w:rsidR="00D40855" w:rsidRPr="00545310" w:rsidRDefault="00D40855" w:rsidP="00B26B0D">
      <w:pPr>
        <w:pStyle w:val="Sangradetextonormal"/>
        <w:spacing w:after="0"/>
        <w:ind w:left="0"/>
        <w:rPr>
          <w:rFonts w:ascii="Arial" w:hAnsi="Arial" w:cs="Arial"/>
          <w:szCs w:val="24"/>
          <w:lang w:val="es-CO" w:eastAsia="ar-SA"/>
        </w:rPr>
      </w:pPr>
    </w:p>
    <w:p w14:paraId="54087BFD" w14:textId="77777777" w:rsidR="008164D4" w:rsidRPr="00545310" w:rsidRDefault="003B5C50" w:rsidP="003B5C50">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Se a</w:t>
      </w:r>
      <w:r w:rsidR="00204699" w:rsidRPr="00545310">
        <w:rPr>
          <w:rFonts w:ascii="Arial" w:hAnsi="Arial" w:cs="Arial"/>
          <w:szCs w:val="24"/>
          <w:lang w:val="es-CO" w:eastAsia="ar-SA"/>
        </w:rPr>
        <w:t>grega</w:t>
      </w:r>
      <w:r w:rsidRPr="00545310">
        <w:rPr>
          <w:rFonts w:ascii="Arial" w:hAnsi="Arial" w:cs="Arial"/>
          <w:szCs w:val="24"/>
          <w:lang w:val="es-CO" w:eastAsia="ar-SA"/>
        </w:rPr>
        <w:t xml:space="preserve"> que la argumentación de la demanda se orientó a controvertir la calificación del perjuicio como directo, cierto y actualizado a la fecha en que ocurrió el siniestro, empero</w:t>
      </w:r>
      <w:r w:rsidR="00204699" w:rsidRPr="00545310">
        <w:rPr>
          <w:rFonts w:ascii="Arial" w:hAnsi="Arial" w:cs="Arial"/>
          <w:szCs w:val="24"/>
          <w:lang w:val="es-CO" w:eastAsia="ar-SA"/>
        </w:rPr>
        <w:t>,</w:t>
      </w:r>
      <w:r w:rsidRPr="00545310">
        <w:rPr>
          <w:rFonts w:ascii="Arial" w:hAnsi="Arial" w:cs="Arial"/>
          <w:szCs w:val="24"/>
          <w:lang w:val="es-CO" w:eastAsia="ar-SA"/>
        </w:rPr>
        <w:t xml:space="preserve"> los testimonios </w:t>
      </w:r>
      <w:r w:rsidR="008F016F" w:rsidRPr="00545310">
        <w:rPr>
          <w:rFonts w:ascii="Arial" w:hAnsi="Arial" w:cs="Arial"/>
          <w:szCs w:val="24"/>
          <w:lang w:val="es-CO" w:eastAsia="ar-SA"/>
        </w:rPr>
        <w:t>corroboran la apreciación de los documentos, es decir,</w:t>
      </w:r>
      <w:r w:rsidRPr="00545310">
        <w:rPr>
          <w:rFonts w:ascii="Arial" w:hAnsi="Arial" w:cs="Arial"/>
          <w:szCs w:val="24"/>
          <w:lang w:val="es-CO" w:eastAsia="ar-SA"/>
        </w:rPr>
        <w:t xml:space="preserve"> que esos estudios se hicieron por los profesionales especializados de FONADE y con el costo de la mano de obra y  los precios unitarios de materiales, equipos y transporte, con la metodología utilizada para los estudios previos de la contratación realizada por esa entidad</w:t>
      </w:r>
      <w:r w:rsidRPr="00545310">
        <w:rPr>
          <w:rStyle w:val="Refdenotaalpie"/>
          <w:rFonts w:ascii="Arial" w:hAnsi="Arial" w:cs="Arial"/>
          <w:szCs w:val="24"/>
          <w:lang w:val="es-CO" w:eastAsia="ar-SA"/>
        </w:rPr>
        <w:footnoteReference w:id="62"/>
      </w:r>
      <w:r w:rsidRPr="00545310">
        <w:rPr>
          <w:rFonts w:ascii="Arial" w:hAnsi="Arial" w:cs="Arial"/>
          <w:szCs w:val="24"/>
          <w:lang w:val="es-CO" w:eastAsia="ar-SA"/>
        </w:rPr>
        <w:t xml:space="preserve">. </w:t>
      </w:r>
      <w:r w:rsidR="008164D4" w:rsidRPr="00545310">
        <w:rPr>
          <w:rFonts w:ascii="Arial" w:hAnsi="Arial" w:cs="Arial"/>
          <w:szCs w:val="24"/>
          <w:lang w:val="es-CO" w:eastAsia="ar-SA"/>
        </w:rPr>
        <w:t>Por ello, se aprecian como prueba</w:t>
      </w:r>
      <w:r w:rsidR="00204699" w:rsidRPr="00545310">
        <w:rPr>
          <w:rFonts w:ascii="Arial" w:hAnsi="Arial" w:cs="Arial"/>
          <w:szCs w:val="24"/>
          <w:lang w:val="es-CO" w:eastAsia="ar-SA"/>
        </w:rPr>
        <w:t>s</w:t>
      </w:r>
      <w:r w:rsidR="008164D4" w:rsidRPr="00545310">
        <w:rPr>
          <w:rFonts w:ascii="Arial" w:hAnsi="Arial" w:cs="Arial"/>
          <w:szCs w:val="24"/>
          <w:lang w:val="es-CO" w:eastAsia="ar-SA"/>
        </w:rPr>
        <w:t xml:space="preserve"> idónea</w:t>
      </w:r>
      <w:r w:rsidR="00204699" w:rsidRPr="00545310">
        <w:rPr>
          <w:rFonts w:ascii="Arial" w:hAnsi="Arial" w:cs="Arial"/>
          <w:szCs w:val="24"/>
          <w:lang w:val="es-CO" w:eastAsia="ar-SA"/>
        </w:rPr>
        <w:t>s</w:t>
      </w:r>
      <w:r w:rsidR="008164D4" w:rsidRPr="00545310">
        <w:rPr>
          <w:rFonts w:ascii="Arial" w:hAnsi="Arial" w:cs="Arial"/>
          <w:szCs w:val="24"/>
          <w:lang w:val="es-CO" w:eastAsia="ar-SA"/>
        </w:rPr>
        <w:t xml:space="preserve"> para hacer parte de la cuantificación del perjuicio.</w:t>
      </w:r>
    </w:p>
    <w:p w14:paraId="64897765" w14:textId="77777777" w:rsidR="00546587" w:rsidRPr="00545310" w:rsidRDefault="00546587" w:rsidP="003B5C50">
      <w:pPr>
        <w:pStyle w:val="Sangradetextonormal"/>
        <w:spacing w:after="0"/>
        <w:ind w:left="0"/>
        <w:rPr>
          <w:rFonts w:ascii="Arial" w:hAnsi="Arial" w:cs="Arial"/>
          <w:szCs w:val="24"/>
          <w:lang w:val="es-CO" w:eastAsia="ar-SA"/>
        </w:rPr>
      </w:pPr>
    </w:p>
    <w:p w14:paraId="08B63968" w14:textId="77777777" w:rsidR="003B2937" w:rsidRPr="00545310" w:rsidRDefault="000F588A" w:rsidP="003B5C50">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No se puede aceptar la argumentación de la demandante, según la cual </w:t>
      </w:r>
      <w:r w:rsidR="008239CC" w:rsidRPr="00545310">
        <w:rPr>
          <w:rFonts w:ascii="Arial" w:hAnsi="Arial" w:cs="Arial"/>
          <w:szCs w:val="24"/>
          <w:lang w:val="es-CO" w:eastAsia="ar-SA"/>
        </w:rPr>
        <w:t xml:space="preserve">se </w:t>
      </w:r>
      <w:r w:rsidRPr="00545310">
        <w:rPr>
          <w:rFonts w:ascii="Arial" w:hAnsi="Arial" w:cs="Arial"/>
          <w:szCs w:val="24"/>
          <w:lang w:val="es-CO" w:eastAsia="ar-SA"/>
        </w:rPr>
        <w:t>debe</w:t>
      </w:r>
      <w:r w:rsidR="008164D4" w:rsidRPr="00545310">
        <w:rPr>
          <w:rFonts w:ascii="Arial" w:hAnsi="Arial" w:cs="Arial"/>
          <w:szCs w:val="24"/>
          <w:lang w:val="es-CO" w:eastAsia="ar-SA"/>
        </w:rPr>
        <w:t>ría</w:t>
      </w:r>
      <w:r w:rsidRPr="00545310">
        <w:rPr>
          <w:rFonts w:ascii="Arial" w:hAnsi="Arial" w:cs="Arial"/>
          <w:szCs w:val="24"/>
          <w:lang w:val="es-CO" w:eastAsia="ar-SA"/>
        </w:rPr>
        <w:t xml:space="preserve"> rechazar la </w:t>
      </w:r>
      <w:r w:rsidR="008F016F" w:rsidRPr="00545310">
        <w:rPr>
          <w:rFonts w:ascii="Arial" w:hAnsi="Arial" w:cs="Arial"/>
          <w:szCs w:val="24"/>
          <w:lang w:val="es-CO" w:eastAsia="ar-SA"/>
        </w:rPr>
        <w:t xml:space="preserve">efectividad de la </w:t>
      </w:r>
      <w:r w:rsidRPr="00545310">
        <w:rPr>
          <w:rFonts w:ascii="Arial" w:hAnsi="Arial" w:cs="Arial"/>
          <w:szCs w:val="24"/>
          <w:lang w:val="es-CO" w:eastAsia="ar-SA"/>
        </w:rPr>
        <w:t>p</w:t>
      </w:r>
      <w:r w:rsidR="008F016F" w:rsidRPr="00545310">
        <w:rPr>
          <w:rFonts w:ascii="Arial" w:hAnsi="Arial" w:cs="Arial"/>
          <w:szCs w:val="24"/>
          <w:lang w:val="es-CO" w:eastAsia="ar-SA"/>
        </w:rPr>
        <w:t>óliza de seguro</w:t>
      </w:r>
      <w:r w:rsidRPr="00545310">
        <w:rPr>
          <w:rFonts w:ascii="Arial" w:hAnsi="Arial" w:cs="Arial"/>
          <w:szCs w:val="24"/>
          <w:lang w:val="es-CO" w:eastAsia="ar-SA"/>
        </w:rPr>
        <w:t xml:space="preserve">, por cuanto FONADE habría </w:t>
      </w:r>
      <w:r w:rsidR="008164D4" w:rsidRPr="00545310">
        <w:rPr>
          <w:rFonts w:ascii="Arial" w:hAnsi="Arial" w:cs="Arial"/>
          <w:szCs w:val="24"/>
          <w:lang w:val="es-CO" w:eastAsia="ar-SA"/>
        </w:rPr>
        <w:t>“</w:t>
      </w:r>
      <w:r w:rsidRPr="00545310">
        <w:rPr>
          <w:rFonts w:ascii="Arial" w:hAnsi="Arial" w:cs="Arial"/>
          <w:i/>
          <w:szCs w:val="24"/>
          <w:lang w:val="es-CO" w:eastAsia="ar-SA"/>
        </w:rPr>
        <w:t>fabricado su propia prueba</w:t>
      </w:r>
      <w:r w:rsidR="008164D4" w:rsidRPr="00545310">
        <w:rPr>
          <w:rFonts w:ascii="Arial" w:hAnsi="Arial" w:cs="Arial"/>
          <w:i/>
          <w:szCs w:val="24"/>
          <w:lang w:val="es-CO" w:eastAsia="ar-SA"/>
        </w:rPr>
        <w:t>”</w:t>
      </w:r>
      <w:r w:rsidR="003B2937" w:rsidRPr="00545310">
        <w:rPr>
          <w:rFonts w:ascii="Arial" w:hAnsi="Arial" w:cs="Arial"/>
          <w:szCs w:val="24"/>
          <w:lang w:val="es-CO" w:eastAsia="ar-SA"/>
        </w:rPr>
        <w:t xml:space="preserve"> del perjuicio, </w:t>
      </w:r>
      <w:r w:rsidR="008F016F" w:rsidRPr="00545310">
        <w:rPr>
          <w:rFonts w:ascii="Arial" w:hAnsi="Arial" w:cs="Arial"/>
          <w:szCs w:val="24"/>
          <w:lang w:val="es-CO" w:eastAsia="ar-SA"/>
        </w:rPr>
        <w:t xml:space="preserve">dado que </w:t>
      </w:r>
      <w:r w:rsidR="003B2937" w:rsidRPr="00545310">
        <w:rPr>
          <w:rFonts w:ascii="Arial" w:hAnsi="Arial" w:cs="Arial"/>
          <w:szCs w:val="24"/>
          <w:lang w:val="es-CO" w:eastAsia="ar-SA"/>
        </w:rPr>
        <w:t xml:space="preserve">se trató de la prueba de </w:t>
      </w:r>
      <w:r w:rsidR="008239CC" w:rsidRPr="00545310">
        <w:rPr>
          <w:rFonts w:ascii="Arial" w:hAnsi="Arial" w:cs="Arial"/>
          <w:szCs w:val="24"/>
          <w:lang w:val="es-CO" w:eastAsia="ar-SA"/>
        </w:rPr>
        <w:t>la</w:t>
      </w:r>
      <w:r w:rsidR="003B2937" w:rsidRPr="00545310">
        <w:rPr>
          <w:rFonts w:ascii="Arial" w:hAnsi="Arial" w:cs="Arial"/>
          <w:szCs w:val="24"/>
          <w:lang w:val="es-CO" w:eastAsia="ar-SA"/>
        </w:rPr>
        <w:t xml:space="preserve"> </w:t>
      </w:r>
      <w:r w:rsidR="008F016F" w:rsidRPr="00545310">
        <w:rPr>
          <w:rFonts w:ascii="Arial" w:hAnsi="Arial" w:cs="Arial"/>
          <w:szCs w:val="24"/>
          <w:lang w:val="es-CO" w:eastAsia="ar-SA"/>
        </w:rPr>
        <w:t>cuantificación, basada</w:t>
      </w:r>
      <w:r w:rsidR="008164D4" w:rsidRPr="00545310">
        <w:rPr>
          <w:rFonts w:ascii="Arial" w:hAnsi="Arial" w:cs="Arial"/>
          <w:szCs w:val="24"/>
          <w:lang w:val="es-CO" w:eastAsia="ar-SA"/>
        </w:rPr>
        <w:t xml:space="preserve">, de una parte en el informe de interventoría y de otra, en la </w:t>
      </w:r>
      <w:r w:rsidR="008F016F" w:rsidRPr="00545310">
        <w:rPr>
          <w:rFonts w:ascii="Arial" w:hAnsi="Arial" w:cs="Arial"/>
          <w:szCs w:val="24"/>
          <w:lang w:val="es-CO" w:eastAsia="ar-SA"/>
        </w:rPr>
        <w:t xml:space="preserve">labor </w:t>
      </w:r>
      <w:r w:rsidR="003B2937" w:rsidRPr="00545310">
        <w:rPr>
          <w:rFonts w:ascii="Arial" w:hAnsi="Arial" w:cs="Arial"/>
          <w:szCs w:val="24"/>
          <w:lang w:val="es-CO" w:eastAsia="ar-SA"/>
        </w:rPr>
        <w:t xml:space="preserve">propia </w:t>
      </w:r>
      <w:r w:rsidR="008F016F" w:rsidRPr="00545310">
        <w:rPr>
          <w:rFonts w:ascii="Arial" w:hAnsi="Arial" w:cs="Arial"/>
          <w:szCs w:val="24"/>
          <w:lang w:val="es-CO" w:eastAsia="ar-SA"/>
        </w:rPr>
        <w:t xml:space="preserve">de la </w:t>
      </w:r>
      <w:r w:rsidR="003B2937" w:rsidRPr="00545310">
        <w:rPr>
          <w:rFonts w:ascii="Arial" w:hAnsi="Arial" w:cs="Arial"/>
          <w:szCs w:val="24"/>
          <w:lang w:val="es-CO" w:eastAsia="ar-SA"/>
        </w:rPr>
        <w:t>actividad</w:t>
      </w:r>
      <w:r w:rsidR="008F016F" w:rsidRPr="00545310">
        <w:rPr>
          <w:rFonts w:ascii="Arial" w:hAnsi="Arial" w:cs="Arial"/>
          <w:szCs w:val="24"/>
          <w:lang w:val="es-CO" w:eastAsia="ar-SA"/>
        </w:rPr>
        <w:t xml:space="preserve"> del área de estudios previos, </w:t>
      </w:r>
      <w:r w:rsidR="003B2937" w:rsidRPr="00545310">
        <w:rPr>
          <w:rFonts w:ascii="Arial" w:hAnsi="Arial" w:cs="Arial"/>
          <w:szCs w:val="24"/>
          <w:lang w:val="es-CO" w:eastAsia="ar-SA"/>
        </w:rPr>
        <w:t xml:space="preserve">acorde con las exigencias de los procedimientos de </w:t>
      </w:r>
      <w:r w:rsidR="00546587" w:rsidRPr="00545310">
        <w:rPr>
          <w:rFonts w:ascii="Arial" w:hAnsi="Arial" w:cs="Arial"/>
          <w:szCs w:val="24"/>
          <w:lang w:val="es-CO" w:eastAsia="ar-SA"/>
        </w:rPr>
        <w:t xml:space="preserve">la </w:t>
      </w:r>
      <w:r w:rsidR="003B2937" w:rsidRPr="00545310">
        <w:rPr>
          <w:rFonts w:ascii="Arial" w:hAnsi="Arial" w:cs="Arial"/>
          <w:szCs w:val="24"/>
          <w:lang w:val="es-CO" w:eastAsia="ar-SA"/>
        </w:rPr>
        <w:t>c</w:t>
      </w:r>
      <w:r w:rsidR="00546587" w:rsidRPr="00545310">
        <w:rPr>
          <w:rFonts w:ascii="Arial" w:hAnsi="Arial" w:cs="Arial"/>
          <w:szCs w:val="24"/>
          <w:lang w:val="es-CO" w:eastAsia="ar-SA"/>
        </w:rPr>
        <w:t>o</w:t>
      </w:r>
      <w:r w:rsidR="003B2937" w:rsidRPr="00545310">
        <w:rPr>
          <w:rFonts w:ascii="Arial" w:hAnsi="Arial" w:cs="Arial"/>
          <w:szCs w:val="24"/>
          <w:lang w:val="es-CO" w:eastAsia="ar-SA"/>
        </w:rPr>
        <w:t>ntratación</w:t>
      </w:r>
      <w:r w:rsidR="00546587" w:rsidRPr="00545310">
        <w:rPr>
          <w:rFonts w:ascii="Arial" w:hAnsi="Arial" w:cs="Arial"/>
          <w:szCs w:val="24"/>
          <w:lang w:val="es-CO" w:eastAsia="ar-SA"/>
        </w:rPr>
        <w:t xml:space="preserve"> que tendría que realizar</w:t>
      </w:r>
      <w:r w:rsidR="003B2937" w:rsidRPr="00545310">
        <w:rPr>
          <w:rFonts w:ascii="Arial" w:hAnsi="Arial" w:cs="Arial"/>
          <w:szCs w:val="24"/>
          <w:lang w:val="es-CO" w:eastAsia="ar-SA"/>
        </w:rPr>
        <w:t xml:space="preserve"> de acuerdo con la </w:t>
      </w:r>
      <w:r w:rsidR="00546587" w:rsidRPr="00545310">
        <w:rPr>
          <w:rFonts w:ascii="Arial" w:hAnsi="Arial" w:cs="Arial"/>
          <w:szCs w:val="24"/>
          <w:lang w:val="es-CO" w:eastAsia="ar-SA"/>
        </w:rPr>
        <w:t>L</w:t>
      </w:r>
      <w:r w:rsidR="003B2937" w:rsidRPr="00545310">
        <w:rPr>
          <w:rFonts w:ascii="Arial" w:hAnsi="Arial" w:cs="Arial"/>
          <w:szCs w:val="24"/>
          <w:lang w:val="es-CO" w:eastAsia="ar-SA"/>
        </w:rPr>
        <w:t xml:space="preserve">ey 80 de 1993. </w:t>
      </w:r>
    </w:p>
    <w:p w14:paraId="51C50AD8" w14:textId="77777777" w:rsidR="003B5C50" w:rsidRPr="00545310" w:rsidRDefault="003B5C50" w:rsidP="00B26B0D">
      <w:pPr>
        <w:pStyle w:val="Sangradetextonormal"/>
        <w:spacing w:after="0"/>
        <w:ind w:left="0"/>
        <w:rPr>
          <w:rFonts w:ascii="Arial" w:hAnsi="Arial" w:cs="Arial"/>
          <w:szCs w:val="24"/>
          <w:lang w:val="es-CO" w:eastAsia="ar-SA"/>
        </w:rPr>
      </w:pPr>
    </w:p>
    <w:p w14:paraId="0F3DE5ED" w14:textId="77777777" w:rsidR="00467024" w:rsidRPr="00545310" w:rsidRDefault="003E0D1B" w:rsidP="00B26B0D">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Por ello, se </w:t>
      </w:r>
      <w:r w:rsidR="006E3379" w:rsidRPr="00545310">
        <w:rPr>
          <w:rFonts w:ascii="Arial" w:hAnsi="Arial" w:cs="Arial"/>
          <w:szCs w:val="24"/>
          <w:lang w:val="es-CO" w:eastAsia="ar-SA"/>
        </w:rPr>
        <w:t xml:space="preserve">acompaña la consideración del Tribunal </w:t>
      </w:r>
      <w:r w:rsidR="006E3379" w:rsidRPr="00545310">
        <w:rPr>
          <w:rFonts w:ascii="Arial" w:hAnsi="Arial" w:cs="Arial"/>
          <w:i/>
          <w:szCs w:val="24"/>
          <w:lang w:val="es-CO" w:eastAsia="ar-SA"/>
        </w:rPr>
        <w:t>a quo</w:t>
      </w:r>
      <w:r w:rsidR="006E3379" w:rsidRPr="00545310">
        <w:rPr>
          <w:rFonts w:ascii="Arial" w:hAnsi="Arial" w:cs="Arial"/>
          <w:szCs w:val="24"/>
          <w:lang w:val="es-CO" w:eastAsia="ar-SA"/>
        </w:rPr>
        <w:t xml:space="preserve">, acerca de </w:t>
      </w:r>
      <w:r w:rsidR="00467024" w:rsidRPr="00545310">
        <w:rPr>
          <w:rFonts w:ascii="Arial" w:hAnsi="Arial" w:cs="Arial"/>
          <w:szCs w:val="24"/>
          <w:lang w:val="es-CO" w:eastAsia="ar-SA"/>
        </w:rPr>
        <w:t>la fal</w:t>
      </w:r>
      <w:r w:rsidR="00D40855" w:rsidRPr="00545310">
        <w:rPr>
          <w:rFonts w:ascii="Arial" w:hAnsi="Arial" w:cs="Arial"/>
          <w:szCs w:val="24"/>
          <w:lang w:val="es-CO" w:eastAsia="ar-SA"/>
        </w:rPr>
        <w:t xml:space="preserve">la en los argumentos de la demandante, </w:t>
      </w:r>
      <w:r w:rsidR="00467024" w:rsidRPr="00545310">
        <w:rPr>
          <w:rFonts w:ascii="Arial" w:hAnsi="Arial" w:cs="Arial"/>
          <w:szCs w:val="24"/>
          <w:lang w:val="es-CO" w:eastAsia="ar-SA"/>
        </w:rPr>
        <w:t xml:space="preserve">dado que </w:t>
      </w:r>
      <w:r w:rsidR="006721DE" w:rsidRPr="00545310">
        <w:rPr>
          <w:rFonts w:ascii="Arial" w:hAnsi="Arial" w:cs="Arial"/>
          <w:szCs w:val="24"/>
          <w:lang w:val="es-CO" w:eastAsia="ar-SA"/>
        </w:rPr>
        <w:t>los estudios previos deben aceptarse como soporte</w:t>
      </w:r>
      <w:r w:rsidR="00FC75F8" w:rsidRPr="00545310">
        <w:rPr>
          <w:rFonts w:ascii="Arial" w:hAnsi="Arial" w:cs="Arial"/>
          <w:szCs w:val="24"/>
          <w:lang w:val="es-CO" w:eastAsia="ar-SA"/>
        </w:rPr>
        <w:t>s</w:t>
      </w:r>
      <w:r w:rsidR="006721DE" w:rsidRPr="00545310">
        <w:rPr>
          <w:rFonts w:ascii="Arial" w:hAnsi="Arial" w:cs="Arial"/>
          <w:szCs w:val="24"/>
          <w:lang w:val="es-CO" w:eastAsia="ar-SA"/>
        </w:rPr>
        <w:t xml:space="preserve"> </w:t>
      </w:r>
      <w:r w:rsidR="00511A47" w:rsidRPr="00545310">
        <w:rPr>
          <w:rFonts w:ascii="Arial" w:hAnsi="Arial" w:cs="Arial"/>
          <w:szCs w:val="24"/>
          <w:lang w:val="es-CO" w:eastAsia="ar-SA"/>
        </w:rPr>
        <w:t>suficiente</w:t>
      </w:r>
      <w:r w:rsidR="00FC75F8" w:rsidRPr="00545310">
        <w:rPr>
          <w:rFonts w:ascii="Arial" w:hAnsi="Arial" w:cs="Arial"/>
          <w:szCs w:val="24"/>
          <w:lang w:val="es-CO" w:eastAsia="ar-SA"/>
        </w:rPr>
        <w:t>s</w:t>
      </w:r>
      <w:r w:rsidR="00511A47" w:rsidRPr="00545310">
        <w:rPr>
          <w:rFonts w:ascii="Arial" w:hAnsi="Arial" w:cs="Arial"/>
          <w:szCs w:val="24"/>
          <w:lang w:val="es-CO" w:eastAsia="ar-SA"/>
        </w:rPr>
        <w:t xml:space="preserve"> </w:t>
      </w:r>
      <w:r w:rsidR="006721DE" w:rsidRPr="00545310">
        <w:rPr>
          <w:rFonts w:ascii="Arial" w:hAnsi="Arial" w:cs="Arial"/>
          <w:szCs w:val="24"/>
          <w:lang w:val="es-CO" w:eastAsia="ar-SA"/>
        </w:rPr>
        <w:t xml:space="preserve">para cuantificar el valor </w:t>
      </w:r>
      <w:r w:rsidR="008164D4" w:rsidRPr="00545310">
        <w:rPr>
          <w:rFonts w:ascii="Arial" w:hAnsi="Arial" w:cs="Arial"/>
          <w:szCs w:val="24"/>
          <w:lang w:val="es-CO" w:eastAsia="ar-SA"/>
        </w:rPr>
        <w:t xml:space="preserve">de la obra faltante </w:t>
      </w:r>
      <w:r w:rsidR="006721DE" w:rsidRPr="00545310">
        <w:rPr>
          <w:rFonts w:ascii="Arial" w:hAnsi="Arial" w:cs="Arial"/>
          <w:szCs w:val="24"/>
          <w:lang w:val="es-CO" w:eastAsia="ar-SA"/>
        </w:rPr>
        <w:t xml:space="preserve">que se </w:t>
      </w:r>
      <w:r w:rsidR="008164D4" w:rsidRPr="00545310">
        <w:rPr>
          <w:rFonts w:ascii="Arial" w:hAnsi="Arial" w:cs="Arial"/>
          <w:szCs w:val="24"/>
          <w:lang w:val="es-CO" w:eastAsia="ar-SA"/>
        </w:rPr>
        <w:t xml:space="preserve">tuvo en cuenta para hacer </w:t>
      </w:r>
      <w:r w:rsidR="006721DE" w:rsidRPr="00545310">
        <w:rPr>
          <w:rFonts w:ascii="Arial" w:hAnsi="Arial" w:cs="Arial"/>
          <w:szCs w:val="24"/>
          <w:lang w:val="es-CO" w:eastAsia="ar-SA"/>
        </w:rPr>
        <w:t>efectiva la póliza</w:t>
      </w:r>
      <w:r w:rsidR="008164D4" w:rsidRPr="00545310">
        <w:rPr>
          <w:rFonts w:ascii="Arial" w:hAnsi="Arial" w:cs="Arial"/>
          <w:szCs w:val="24"/>
          <w:lang w:val="es-CO" w:eastAsia="ar-SA"/>
        </w:rPr>
        <w:t xml:space="preserve"> de seguro</w:t>
      </w:r>
      <w:r w:rsidR="0054102F" w:rsidRPr="00545310">
        <w:rPr>
          <w:rFonts w:ascii="Arial" w:hAnsi="Arial" w:cs="Arial"/>
          <w:szCs w:val="24"/>
          <w:lang w:val="es-CO" w:eastAsia="ar-SA"/>
        </w:rPr>
        <w:t xml:space="preserve">. Se reafirma que </w:t>
      </w:r>
      <w:r w:rsidR="008239CC" w:rsidRPr="00545310">
        <w:rPr>
          <w:rFonts w:ascii="Arial" w:hAnsi="Arial" w:cs="Arial"/>
          <w:szCs w:val="24"/>
          <w:lang w:val="es-CO" w:eastAsia="ar-SA"/>
        </w:rPr>
        <w:t xml:space="preserve">si en </w:t>
      </w:r>
      <w:r w:rsidR="0054102F" w:rsidRPr="00545310">
        <w:rPr>
          <w:rFonts w:ascii="Arial" w:hAnsi="Arial" w:cs="Arial"/>
          <w:szCs w:val="24"/>
          <w:lang w:val="es-CO" w:eastAsia="ar-SA"/>
        </w:rPr>
        <w:t xml:space="preserve">dichos estudios </w:t>
      </w:r>
      <w:r w:rsidR="008239CC" w:rsidRPr="00545310">
        <w:rPr>
          <w:rFonts w:ascii="Arial" w:hAnsi="Arial" w:cs="Arial"/>
          <w:szCs w:val="24"/>
          <w:lang w:val="es-CO" w:eastAsia="ar-SA"/>
        </w:rPr>
        <w:t xml:space="preserve">se podía encontrar un </w:t>
      </w:r>
      <w:r w:rsidR="00BE0CC2" w:rsidRPr="00545310">
        <w:rPr>
          <w:rFonts w:ascii="Arial" w:hAnsi="Arial" w:cs="Arial"/>
          <w:szCs w:val="24"/>
          <w:lang w:val="es-CO" w:eastAsia="ar-SA"/>
        </w:rPr>
        <w:t xml:space="preserve">reparo en la metodología de la cuantificación, </w:t>
      </w:r>
      <w:r w:rsidR="0054102F" w:rsidRPr="00545310">
        <w:rPr>
          <w:rFonts w:ascii="Arial" w:hAnsi="Arial" w:cs="Arial"/>
          <w:szCs w:val="24"/>
          <w:lang w:val="es-CO" w:eastAsia="ar-SA"/>
        </w:rPr>
        <w:t>en este proceso</w:t>
      </w:r>
      <w:r w:rsidR="00B70B59" w:rsidRPr="00545310">
        <w:rPr>
          <w:rFonts w:ascii="Arial" w:hAnsi="Arial" w:cs="Arial"/>
          <w:szCs w:val="24"/>
          <w:lang w:val="es-CO" w:eastAsia="ar-SA"/>
        </w:rPr>
        <w:t>,</w:t>
      </w:r>
      <w:r w:rsidR="0054102F" w:rsidRPr="00545310">
        <w:rPr>
          <w:rFonts w:ascii="Arial" w:hAnsi="Arial" w:cs="Arial"/>
          <w:szCs w:val="24"/>
          <w:lang w:val="es-CO" w:eastAsia="ar-SA"/>
        </w:rPr>
        <w:t xml:space="preserve"> </w:t>
      </w:r>
      <w:r w:rsidR="00467024" w:rsidRPr="00545310">
        <w:rPr>
          <w:rFonts w:ascii="Arial" w:hAnsi="Arial" w:cs="Arial"/>
          <w:szCs w:val="24"/>
          <w:lang w:val="es-CO" w:eastAsia="ar-SA"/>
        </w:rPr>
        <w:t xml:space="preserve">la demandante </w:t>
      </w:r>
      <w:r w:rsidR="00546587" w:rsidRPr="00545310">
        <w:rPr>
          <w:rFonts w:ascii="Arial" w:hAnsi="Arial" w:cs="Arial"/>
          <w:szCs w:val="24"/>
          <w:lang w:val="es-CO" w:eastAsia="ar-SA"/>
        </w:rPr>
        <w:t xml:space="preserve">debió </w:t>
      </w:r>
      <w:r w:rsidR="00636FC4" w:rsidRPr="00545310">
        <w:rPr>
          <w:rFonts w:ascii="Arial" w:hAnsi="Arial" w:cs="Arial"/>
          <w:szCs w:val="24"/>
          <w:lang w:val="es-CO" w:eastAsia="ar-SA"/>
        </w:rPr>
        <w:t xml:space="preserve">señalarlo y </w:t>
      </w:r>
      <w:r w:rsidR="0054102F" w:rsidRPr="00545310">
        <w:rPr>
          <w:rFonts w:ascii="Arial" w:hAnsi="Arial" w:cs="Arial"/>
          <w:szCs w:val="24"/>
          <w:lang w:val="es-CO" w:eastAsia="ar-SA"/>
        </w:rPr>
        <w:t xml:space="preserve">le correspondía </w:t>
      </w:r>
      <w:r w:rsidR="00467024" w:rsidRPr="00545310">
        <w:rPr>
          <w:rFonts w:ascii="Arial" w:hAnsi="Arial" w:cs="Arial"/>
          <w:szCs w:val="24"/>
          <w:lang w:val="es-CO" w:eastAsia="ar-SA"/>
        </w:rPr>
        <w:t>prob</w:t>
      </w:r>
      <w:r w:rsidR="00636FC4" w:rsidRPr="00545310">
        <w:rPr>
          <w:rFonts w:ascii="Arial" w:hAnsi="Arial" w:cs="Arial"/>
          <w:szCs w:val="24"/>
          <w:lang w:val="es-CO" w:eastAsia="ar-SA"/>
        </w:rPr>
        <w:t>ar sobre ello</w:t>
      </w:r>
      <w:r w:rsidR="00B70B59" w:rsidRPr="00545310">
        <w:rPr>
          <w:rFonts w:ascii="Arial" w:hAnsi="Arial" w:cs="Arial"/>
          <w:szCs w:val="24"/>
          <w:lang w:val="es-CO" w:eastAsia="ar-SA"/>
        </w:rPr>
        <w:t>, mediante el despliegue de los medios probatorios a su alcance</w:t>
      </w:r>
      <w:r w:rsidR="00546587" w:rsidRPr="00545310">
        <w:rPr>
          <w:rFonts w:ascii="Arial" w:hAnsi="Arial" w:cs="Arial"/>
          <w:szCs w:val="24"/>
          <w:lang w:val="es-CO" w:eastAsia="ar-SA"/>
        </w:rPr>
        <w:t>.</w:t>
      </w:r>
    </w:p>
    <w:p w14:paraId="54AA6653" w14:textId="77777777" w:rsidR="00546587" w:rsidRPr="00545310" w:rsidRDefault="00546587" w:rsidP="006538E3">
      <w:pPr>
        <w:pStyle w:val="Sangradetextonormal"/>
        <w:spacing w:after="0"/>
        <w:ind w:left="0"/>
        <w:rPr>
          <w:rFonts w:ascii="Arial" w:hAnsi="Arial" w:cs="Arial"/>
          <w:b/>
          <w:i/>
          <w:szCs w:val="24"/>
          <w:lang w:val="es-CO" w:eastAsia="ar-SA"/>
        </w:rPr>
      </w:pPr>
    </w:p>
    <w:p w14:paraId="282464F5" w14:textId="77777777" w:rsidR="00877A88" w:rsidRPr="00545310" w:rsidRDefault="004A0CC1" w:rsidP="00FC5EFB">
      <w:pPr>
        <w:pStyle w:val="Sangradetextonormal"/>
        <w:spacing w:after="0"/>
        <w:ind w:left="0"/>
        <w:rPr>
          <w:rFonts w:ascii="Arial" w:hAnsi="Arial" w:cs="Arial"/>
          <w:b/>
          <w:szCs w:val="24"/>
          <w:lang w:val="es-CO" w:eastAsia="ar-SA"/>
        </w:rPr>
      </w:pPr>
      <w:r w:rsidRPr="00545310">
        <w:rPr>
          <w:rFonts w:ascii="Arial" w:hAnsi="Arial" w:cs="Arial"/>
          <w:b/>
          <w:szCs w:val="24"/>
          <w:lang w:val="es-CO" w:eastAsia="ar-SA"/>
        </w:rPr>
        <w:lastRenderedPageBreak/>
        <w:t>9</w:t>
      </w:r>
      <w:r w:rsidR="00D90DD9" w:rsidRPr="00545310">
        <w:rPr>
          <w:rFonts w:ascii="Arial" w:hAnsi="Arial" w:cs="Arial"/>
          <w:b/>
          <w:szCs w:val="24"/>
          <w:lang w:val="es-CO" w:eastAsia="ar-SA"/>
        </w:rPr>
        <w:t>.</w:t>
      </w:r>
      <w:r w:rsidRPr="00545310">
        <w:rPr>
          <w:rFonts w:ascii="Arial" w:hAnsi="Arial" w:cs="Arial"/>
          <w:b/>
          <w:szCs w:val="24"/>
          <w:lang w:val="es-CO" w:eastAsia="ar-SA"/>
        </w:rPr>
        <w:t xml:space="preserve"> </w:t>
      </w:r>
      <w:r w:rsidR="00945C25" w:rsidRPr="00545310">
        <w:rPr>
          <w:rFonts w:ascii="Arial" w:hAnsi="Arial" w:cs="Arial"/>
          <w:b/>
          <w:i/>
          <w:szCs w:val="24"/>
          <w:lang w:val="es-CO" w:eastAsia="ar-SA"/>
        </w:rPr>
        <w:t>No</w:t>
      </w:r>
      <w:r w:rsidR="008239CC" w:rsidRPr="00545310">
        <w:rPr>
          <w:rFonts w:ascii="Arial" w:hAnsi="Arial" w:cs="Arial"/>
          <w:b/>
          <w:i/>
          <w:szCs w:val="24"/>
          <w:lang w:val="es-CO" w:eastAsia="ar-SA"/>
        </w:rPr>
        <w:t>n</w:t>
      </w:r>
      <w:r w:rsidR="00945C25" w:rsidRPr="00545310">
        <w:rPr>
          <w:rFonts w:ascii="Arial" w:hAnsi="Arial" w:cs="Arial"/>
          <w:b/>
          <w:i/>
          <w:szCs w:val="24"/>
          <w:lang w:val="es-CO" w:eastAsia="ar-SA"/>
        </w:rPr>
        <w:t xml:space="preserve"> </w:t>
      </w:r>
      <w:proofErr w:type="spellStart"/>
      <w:r w:rsidR="00945C25" w:rsidRPr="00545310">
        <w:rPr>
          <w:rFonts w:ascii="Arial" w:hAnsi="Arial" w:cs="Arial"/>
          <w:b/>
          <w:i/>
          <w:szCs w:val="24"/>
          <w:lang w:val="es-CO" w:eastAsia="ar-SA"/>
        </w:rPr>
        <w:t>reformatio</w:t>
      </w:r>
      <w:proofErr w:type="spellEnd"/>
      <w:r w:rsidR="00945C25" w:rsidRPr="00545310">
        <w:rPr>
          <w:rFonts w:ascii="Arial" w:hAnsi="Arial" w:cs="Arial"/>
          <w:b/>
          <w:i/>
          <w:szCs w:val="24"/>
          <w:lang w:val="es-CO" w:eastAsia="ar-SA"/>
        </w:rPr>
        <w:t xml:space="preserve"> in </w:t>
      </w:r>
      <w:proofErr w:type="spellStart"/>
      <w:r w:rsidR="00945C25" w:rsidRPr="00545310">
        <w:rPr>
          <w:rFonts w:ascii="Arial" w:hAnsi="Arial" w:cs="Arial"/>
          <w:b/>
          <w:i/>
          <w:szCs w:val="24"/>
          <w:lang w:val="es-CO" w:eastAsia="ar-SA"/>
        </w:rPr>
        <w:t>pejus</w:t>
      </w:r>
      <w:proofErr w:type="spellEnd"/>
    </w:p>
    <w:p w14:paraId="1741C693" w14:textId="77777777" w:rsidR="00945C25" w:rsidRPr="00545310" w:rsidRDefault="00945C25" w:rsidP="00FC5EFB">
      <w:pPr>
        <w:pStyle w:val="Sangradetextonormal"/>
        <w:spacing w:after="0"/>
        <w:ind w:left="0"/>
        <w:rPr>
          <w:rFonts w:ascii="Arial" w:hAnsi="Arial" w:cs="Arial"/>
          <w:szCs w:val="24"/>
          <w:lang w:val="es-CO" w:eastAsia="ar-SA"/>
        </w:rPr>
      </w:pPr>
    </w:p>
    <w:p w14:paraId="516BB863" w14:textId="77777777" w:rsidR="009F4B20" w:rsidRPr="00545310" w:rsidRDefault="00945C25" w:rsidP="00FC5EFB">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La Sala est</w:t>
      </w:r>
      <w:r w:rsidR="00D24A46" w:rsidRPr="00545310">
        <w:rPr>
          <w:rFonts w:ascii="Arial" w:hAnsi="Arial" w:cs="Arial"/>
          <w:szCs w:val="24"/>
          <w:lang w:val="es-CO" w:eastAsia="ar-SA"/>
        </w:rPr>
        <w:t xml:space="preserve">ima </w:t>
      </w:r>
      <w:r w:rsidRPr="00545310">
        <w:rPr>
          <w:rFonts w:ascii="Arial" w:hAnsi="Arial" w:cs="Arial"/>
          <w:szCs w:val="24"/>
          <w:lang w:val="es-CO" w:eastAsia="ar-SA"/>
        </w:rPr>
        <w:t>improceden</w:t>
      </w:r>
      <w:r w:rsidR="00D24A46" w:rsidRPr="00545310">
        <w:rPr>
          <w:rFonts w:ascii="Arial" w:hAnsi="Arial" w:cs="Arial"/>
          <w:szCs w:val="24"/>
          <w:lang w:val="es-CO" w:eastAsia="ar-SA"/>
        </w:rPr>
        <w:t xml:space="preserve">te </w:t>
      </w:r>
      <w:r w:rsidRPr="00545310">
        <w:rPr>
          <w:rFonts w:ascii="Arial" w:hAnsi="Arial" w:cs="Arial"/>
          <w:szCs w:val="24"/>
          <w:lang w:val="es-CO" w:eastAsia="ar-SA"/>
        </w:rPr>
        <w:t>l</w:t>
      </w:r>
      <w:r w:rsidR="00D24A46" w:rsidRPr="00545310">
        <w:rPr>
          <w:rFonts w:ascii="Arial" w:hAnsi="Arial" w:cs="Arial"/>
          <w:szCs w:val="24"/>
          <w:lang w:val="es-CO" w:eastAsia="ar-SA"/>
        </w:rPr>
        <w:t>a</w:t>
      </w:r>
      <w:r w:rsidRPr="00545310">
        <w:rPr>
          <w:rFonts w:ascii="Arial" w:hAnsi="Arial" w:cs="Arial"/>
          <w:szCs w:val="24"/>
          <w:lang w:val="es-CO" w:eastAsia="ar-SA"/>
        </w:rPr>
        <w:t xml:space="preserve"> invocación de</w:t>
      </w:r>
      <w:r w:rsidR="00FC5EFB" w:rsidRPr="00545310">
        <w:rPr>
          <w:rFonts w:ascii="Arial" w:hAnsi="Arial" w:cs="Arial"/>
          <w:szCs w:val="24"/>
          <w:lang w:val="es-CO" w:eastAsia="ar-SA"/>
        </w:rPr>
        <w:t xml:space="preserve">l principio de la </w:t>
      </w:r>
      <w:r w:rsidRPr="00545310">
        <w:rPr>
          <w:rFonts w:ascii="Arial" w:hAnsi="Arial" w:cs="Arial"/>
          <w:i/>
          <w:szCs w:val="24"/>
          <w:lang w:val="es-CO" w:eastAsia="ar-SA"/>
        </w:rPr>
        <w:t>no</w:t>
      </w:r>
      <w:r w:rsidR="00FC5EFB" w:rsidRPr="00545310">
        <w:rPr>
          <w:rFonts w:ascii="Arial" w:hAnsi="Arial" w:cs="Arial"/>
          <w:i/>
          <w:szCs w:val="24"/>
          <w:lang w:val="es-CO" w:eastAsia="ar-SA"/>
        </w:rPr>
        <w:t>n</w:t>
      </w:r>
      <w:r w:rsidRPr="00545310">
        <w:rPr>
          <w:rFonts w:ascii="Arial" w:hAnsi="Arial" w:cs="Arial"/>
          <w:i/>
          <w:szCs w:val="24"/>
          <w:lang w:val="es-CO" w:eastAsia="ar-SA"/>
        </w:rPr>
        <w:t xml:space="preserve"> </w:t>
      </w:r>
      <w:proofErr w:type="spellStart"/>
      <w:r w:rsidRPr="00545310">
        <w:rPr>
          <w:rFonts w:ascii="Arial" w:hAnsi="Arial" w:cs="Arial"/>
          <w:i/>
          <w:szCs w:val="24"/>
          <w:lang w:val="es-CO" w:eastAsia="ar-SA"/>
        </w:rPr>
        <w:t>reformatio</w:t>
      </w:r>
      <w:proofErr w:type="spellEnd"/>
      <w:r w:rsidRPr="00545310">
        <w:rPr>
          <w:rFonts w:ascii="Arial" w:hAnsi="Arial" w:cs="Arial"/>
          <w:i/>
          <w:szCs w:val="24"/>
          <w:lang w:val="es-CO" w:eastAsia="ar-SA"/>
        </w:rPr>
        <w:t xml:space="preserve"> in </w:t>
      </w:r>
      <w:proofErr w:type="spellStart"/>
      <w:r w:rsidRPr="00545310">
        <w:rPr>
          <w:rFonts w:ascii="Arial" w:hAnsi="Arial" w:cs="Arial"/>
          <w:i/>
          <w:szCs w:val="24"/>
          <w:lang w:val="es-CO" w:eastAsia="ar-SA"/>
        </w:rPr>
        <w:t>pejus</w:t>
      </w:r>
      <w:proofErr w:type="spellEnd"/>
      <w:r w:rsidRPr="00545310">
        <w:rPr>
          <w:rFonts w:ascii="Arial" w:hAnsi="Arial" w:cs="Arial"/>
          <w:szCs w:val="24"/>
          <w:lang w:val="es-CO" w:eastAsia="ar-SA"/>
        </w:rPr>
        <w:t xml:space="preserve"> en </w:t>
      </w:r>
      <w:r w:rsidR="00821458" w:rsidRPr="00545310">
        <w:rPr>
          <w:rFonts w:ascii="Arial" w:hAnsi="Arial" w:cs="Arial"/>
          <w:szCs w:val="24"/>
          <w:lang w:val="es-CO" w:eastAsia="ar-SA"/>
        </w:rPr>
        <w:t>la actuación administrativa que culminó con la modificación de l</w:t>
      </w:r>
      <w:r w:rsidR="003B5C50" w:rsidRPr="00545310">
        <w:rPr>
          <w:rFonts w:ascii="Arial" w:hAnsi="Arial" w:cs="Arial"/>
          <w:szCs w:val="24"/>
          <w:lang w:val="es-CO" w:eastAsia="ar-SA"/>
        </w:rPr>
        <w:t>a Resolución 962 de 2011, en cuanto a l</w:t>
      </w:r>
      <w:r w:rsidR="00821458" w:rsidRPr="00545310">
        <w:rPr>
          <w:rFonts w:ascii="Arial" w:hAnsi="Arial" w:cs="Arial"/>
          <w:szCs w:val="24"/>
          <w:lang w:val="es-CO" w:eastAsia="ar-SA"/>
        </w:rPr>
        <w:t xml:space="preserve">os valores por los que se afectó la póliza de cumplimiento, </w:t>
      </w:r>
      <w:r w:rsidRPr="00545310">
        <w:rPr>
          <w:rFonts w:ascii="Arial" w:hAnsi="Arial" w:cs="Arial"/>
          <w:szCs w:val="24"/>
          <w:lang w:val="es-CO" w:eastAsia="ar-SA"/>
        </w:rPr>
        <w:t>habida cuenta de que la propia compañía aseguradora, ahora demandante, en su recurso de reposición</w:t>
      </w:r>
      <w:r w:rsidR="00696EC5" w:rsidRPr="00545310">
        <w:rPr>
          <w:rFonts w:ascii="Arial" w:hAnsi="Arial" w:cs="Arial"/>
          <w:szCs w:val="24"/>
          <w:lang w:val="es-CO" w:eastAsia="ar-SA"/>
        </w:rPr>
        <w:t>, presentado en junio 15 de 2011</w:t>
      </w:r>
      <w:r w:rsidR="0023060D" w:rsidRPr="00545310">
        <w:rPr>
          <w:rStyle w:val="Refdenotaalpie"/>
          <w:rFonts w:ascii="Arial" w:hAnsi="Arial" w:cs="Arial"/>
          <w:szCs w:val="24"/>
          <w:lang w:val="es-CO" w:eastAsia="ar-SA"/>
        </w:rPr>
        <w:footnoteReference w:id="63"/>
      </w:r>
      <w:r w:rsidRPr="00545310">
        <w:rPr>
          <w:rFonts w:ascii="Arial" w:hAnsi="Arial" w:cs="Arial"/>
          <w:szCs w:val="24"/>
          <w:lang w:val="es-CO" w:eastAsia="ar-SA"/>
        </w:rPr>
        <w:t xml:space="preserve">, </w:t>
      </w:r>
      <w:r w:rsidR="00696EC5" w:rsidRPr="00545310">
        <w:rPr>
          <w:rFonts w:ascii="Arial" w:hAnsi="Arial" w:cs="Arial"/>
          <w:szCs w:val="24"/>
          <w:lang w:val="es-CO" w:eastAsia="ar-SA"/>
        </w:rPr>
        <w:t xml:space="preserve">solicitó </w:t>
      </w:r>
      <w:r w:rsidR="000D7464" w:rsidRPr="00545310">
        <w:rPr>
          <w:rFonts w:ascii="Arial" w:hAnsi="Arial" w:cs="Arial"/>
          <w:szCs w:val="24"/>
          <w:lang w:val="es-CO" w:eastAsia="ar-SA"/>
        </w:rPr>
        <w:t>la aplicación de la proporcionalidad de la cuantía del siniestro</w:t>
      </w:r>
      <w:r w:rsidR="00E80957" w:rsidRPr="00545310">
        <w:rPr>
          <w:rFonts w:ascii="Arial" w:hAnsi="Arial" w:cs="Arial"/>
          <w:szCs w:val="24"/>
          <w:lang w:val="es-CO" w:eastAsia="ar-SA"/>
        </w:rPr>
        <w:t xml:space="preserve"> e invocó la jurisprudencia del Consejo de Estado sobre la posibilidad de aplicar la cláusula penal en forma proporcional a la obra</w:t>
      </w:r>
      <w:r w:rsidR="00821458" w:rsidRPr="00545310">
        <w:rPr>
          <w:rFonts w:ascii="Arial" w:hAnsi="Arial" w:cs="Arial"/>
          <w:szCs w:val="24"/>
          <w:lang w:val="es-CO" w:eastAsia="ar-SA"/>
        </w:rPr>
        <w:t xml:space="preserve"> no ejecutada</w:t>
      </w:r>
      <w:r w:rsidR="0023060D" w:rsidRPr="00545310">
        <w:rPr>
          <w:rFonts w:ascii="Arial" w:hAnsi="Arial" w:cs="Arial"/>
          <w:szCs w:val="24"/>
          <w:lang w:val="es-CO" w:eastAsia="ar-SA"/>
        </w:rPr>
        <w:t xml:space="preserve">, a lo </w:t>
      </w:r>
      <w:r w:rsidR="00821458" w:rsidRPr="00545310">
        <w:rPr>
          <w:rFonts w:ascii="Arial" w:hAnsi="Arial" w:cs="Arial"/>
          <w:szCs w:val="24"/>
          <w:lang w:val="es-CO" w:eastAsia="ar-SA"/>
        </w:rPr>
        <w:t>cual</w:t>
      </w:r>
      <w:r w:rsidR="00FC75F8" w:rsidRPr="00545310">
        <w:rPr>
          <w:rFonts w:ascii="Arial" w:hAnsi="Arial" w:cs="Arial"/>
          <w:szCs w:val="24"/>
          <w:lang w:val="es-CO" w:eastAsia="ar-SA"/>
        </w:rPr>
        <w:t>,</w:t>
      </w:r>
      <w:r w:rsidR="00821458" w:rsidRPr="00545310">
        <w:rPr>
          <w:rFonts w:ascii="Arial" w:hAnsi="Arial" w:cs="Arial"/>
          <w:szCs w:val="24"/>
          <w:lang w:val="es-CO" w:eastAsia="ar-SA"/>
        </w:rPr>
        <w:t xml:space="preserve"> </w:t>
      </w:r>
      <w:r w:rsidR="0023060D" w:rsidRPr="00545310">
        <w:rPr>
          <w:rFonts w:ascii="Arial" w:hAnsi="Arial" w:cs="Arial"/>
          <w:szCs w:val="24"/>
          <w:lang w:val="es-CO" w:eastAsia="ar-SA"/>
        </w:rPr>
        <w:t>en efecto</w:t>
      </w:r>
      <w:r w:rsidR="003D049F" w:rsidRPr="00545310">
        <w:rPr>
          <w:rFonts w:ascii="Arial" w:hAnsi="Arial" w:cs="Arial"/>
          <w:szCs w:val="24"/>
          <w:lang w:val="es-CO" w:eastAsia="ar-SA"/>
        </w:rPr>
        <w:t xml:space="preserve">, </w:t>
      </w:r>
      <w:r w:rsidR="0023060D" w:rsidRPr="00545310">
        <w:rPr>
          <w:rFonts w:ascii="Arial" w:hAnsi="Arial" w:cs="Arial"/>
          <w:szCs w:val="24"/>
          <w:lang w:val="es-CO" w:eastAsia="ar-SA"/>
        </w:rPr>
        <w:t xml:space="preserve">accedió </w:t>
      </w:r>
      <w:r w:rsidR="003D049F" w:rsidRPr="00545310">
        <w:rPr>
          <w:rFonts w:ascii="Arial" w:hAnsi="Arial" w:cs="Arial"/>
          <w:szCs w:val="24"/>
          <w:lang w:val="es-CO" w:eastAsia="ar-SA"/>
        </w:rPr>
        <w:t xml:space="preserve">FONADE </w:t>
      </w:r>
      <w:r w:rsidR="0023060D" w:rsidRPr="00545310">
        <w:rPr>
          <w:rFonts w:ascii="Arial" w:hAnsi="Arial" w:cs="Arial"/>
          <w:szCs w:val="24"/>
          <w:lang w:val="es-CO" w:eastAsia="ar-SA"/>
        </w:rPr>
        <w:t xml:space="preserve">en la Resolución 1151 de 2011. </w:t>
      </w:r>
      <w:r w:rsidR="00E80957" w:rsidRPr="00545310">
        <w:rPr>
          <w:rFonts w:ascii="Arial" w:hAnsi="Arial" w:cs="Arial"/>
          <w:szCs w:val="24"/>
          <w:lang w:val="es-CO" w:eastAsia="ar-SA"/>
        </w:rPr>
        <w:t xml:space="preserve"> </w:t>
      </w:r>
      <w:r w:rsidR="009F4B20" w:rsidRPr="00545310">
        <w:rPr>
          <w:rFonts w:ascii="Arial" w:hAnsi="Arial" w:cs="Arial"/>
          <w:szCs w:val="24"/>
          <w:lang w:val="es-CO" w:eastAsia="ar-SA"/>
        </w:rPr>
        <w:t xml:space="preserve"> </w:t>
      </w:r>
    </w:p>
    <w:p w14:paraId="2C8D96A4" w14:textId="77777777" w:rsidR="009F4B20" w:rsidRPr="00545310" w:rsidRDefault="009F4B20" w:rsidP="00FC5EFB">
      <w:pPr>
        <w:pStyle w:val="Sangradetextonormal"/>
        <w:spacing w:after="0"/>
        <w:ind w:left="0"/>
        <w:rPr>
          <w:rFonts w:ascii="Arial" w:hAnsi="Arial" w:cs="Arial"/>
          <w:i/>
          <w:szCs w:val="24"/>
          <w:lang w:val="es-CO" w:eastAsia="ar-SA"/>
        </w:rPr>
      </w:pPr>
    </w:p>
    <w:p w14:paraId="4ED8E1E7" w14:textId="77777777" w:rsidR="003D049F" w:rsidRPr="00545310" w:rsidRDefault="009F4B20" w:rsidP="00FC5EFB">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Igualmente, debe tenerse </w:t>
      </w:r>
      <w:r w:rsidR="003D049F" w:rsidRPr="00545310">
        <w:rPr>
          <w:rFonts w:ascii="Arial" w:hAnsi="Arial" w:cs="Arial"/>
          <w:szCs w:val="24"/>
          <w:lang w:val="es-CO" w:eastAsia="ar-SA"/>
        </w:rPr>
        <w:t xml:space="preserve">presente </w:t>
      </w:r>
      <w:r w:rsidRPr="00545310">
        <w:rPr>
          <w:rFonts w:ascii="Arial" w:hAnsi="Arial" w:cs="Arial"/>
          <w:szCs w:val="24"/>
          <w:lang w:val="es-CO" w:eastAsia="ar-SA"/>
        </w:rPr>
        <w:t xml:space="preserve">que Construcciones André </w:t>
      </w:r>
      <w:proofErr w:type="spellStart"/>
      <w:r w:rsidRPr="00545310">
        <w:rPr>
          <w:rFonts w:ascii="Arial" w:hAnsi="Arial" w:cs="Arial"/>
          <w:szCs w:val="24"/>
          <w:lang w:val="es-CO" w:eastAsia="ar-SA"/>
        </w:rPr>
        <w:t>Ltda</w:t>
      </w:r>
      <w:proofErr w:type="spellEnd"/>
      <w:r w:rsidR="00FC5EFB" w:rsidRPr="00545310">
        <w:rPr>
          <w:rFonts w:ascii="Arial" w:hAnsi="Arial" w:cs="Arial"/>
          <w:szCs w:val="24"/>
          <w:lang w:val="es-CO" w:eastAsia="ar-SA"/>
        </w:rPr>
        <w:t xml:space="preserve"> (hoy S.A.S.)</w:t>
      </w:r>
      <w:r w:rsidRPr="00545310">
        <w:rPr>
          <w:rFonts w:ascii="Arial" w:hAnsi="Arial" w:cs="Arial"/>
          <w:szCs w:val="24"/>
          <w:lang w:val="es-CO" w:eastAsia="ar-SA"/>
        </w:rPr>
        <w:t xml:space="preserve">, también </w:t>
      </w:r>
      <w:r w:rsidR="003D049F" w:rsidRPr="00545310">
        <w:rPr>
          <w:rFonts w:ascii="Arial" w:hAnsi="Arial" w:cs="Arial"/>
          <w:szCs w:val="24"/>
          <w:lang w:val="es-CO" w:eastAsia="ar-SA"/>
        </w:rPr>
        <w:t xml:space="preserve">interpuso </w:t>
      </w:r>
      <w:r w:rsidRPr="00545310">
        <w:rPr>
          <w:rFonts w:ascii="Arial" w:hAnsi="Arial" w:cs="Arial"/>
          <w:szCs w:val="24"/>
          <w:lang w:val="es-CO" w:eastAsia="ar-SA"/>
        </w:rPr>
        <w:t xml:space="preserve">su propio recurso de reposición y que la compañía aseguradora hizo constar </w:t>
      </w:r>
      <w:r w:rsidR="00A23377" w:rsidRPr="00545310">
        <w:rPr>
          <w:rFonts w:ascii="Arial" w:hAnsi="Arial" w:cs="Arial"/>
          <w:szCs w:val="24"/>
          <w:lang w:val="es-CO" w:eastAsia="ar-SA"/>
        </w:rPr>
        <w:t>su</w:t>
      </w:r>
      <w:r w:rsidRPr="00545310">
        <w:rPr>
          <w:rFonts w:ascii="Arial" w:hAnsi="Arial" w:cs="Arial"/>
          <w:szCs w:val="24"/>
          <w:lang w:val="es-CO" w:eastAsia="ar-SA"/>
        </w:rPr>
        <w:t xml:space="preserve"> </w:t>
      </w:r>
      <w:r w:rsidR="00D24A46" w:rsidRPr="00545310">
        <w:rPr>
          <w:rFonts w:ascii="Arial" w:hAnsi="Arial" w:cs="Arial"/>
          <w:szCs w:val="24"/>
          <w:lang w:val="es-CO" w:eastAsia="ar-SA"/>
        </w:rPr>
        <w:t>adh</w:t>
      </w:r>
      <w:r w:rsidR="00ED5391" w:rsidRPr="00545310">
        <w:rPr>
          <w:rFonts w:ascii="Arial" w:hAnsi="Arial" w:cs="Arial"/>
          <w:szCs w:val="24"/>
          <w:lang w:val="es-CO" w:eastAsia="ar-SA"/>
        </w:rPr>
        <w:t>e</w:t>
      </w:r>
      <w:r w:rsidR="00D24A46" w:rsidRPr="00545310">
        <w:rPr>
          <w:rFonts w:ascii="Arial" w:hAnsi="Arial" w:cs="Arial"/>
          <w:szCs w:val="24"/>
          <w:lang w:val="es-CO" w:eastAsia="ar-SA"/>
        </w:rPr>
        <w:t>sión al</w:t>
      </w:r>
      <w:r w:rsidRPr="00545310">
        <w:rPr>
          <w:rFonts w:ascii="Arial" w:hAnsi="Arial" w:cs="Arial"/>
          <w:szCs w:val="24"/>
          <w:lang w:val="es-CO" w:eastAsia="ar-SA"/>
        </w:rPr>
        <w:t xml:space="preserve"> </w:t>
      </w:r>
      <w:r w:rsidR="0061442C" w:rsidRPr="00545310">
        <w:rPr>
          <w:rFonts w:ascii="Arial" w:hAnsi="Arial" w:cs="Arial"/>
          <w:szCs w:val="24"/>
          <w:lang w:val="es-CO" w:eastAsia="ar-SA"/>
        </w:rPr>
        <w:t>mismo</w:t>
      </w:r>
      <w:r w:rsidR="00D24A46" w:rsidRPr="00545310">
        <w:rPr>
          <w:rStyle w:val="Refdenotaalpie"/>
          <w:rFonts w:ascii="Arial" w:hAnsi="Arial" w:cs="Arial"/>
          <w:szCs w:val="24"/>
          <w:lang w:val="es-CO" w:eastAsia="ar-SA"/>
        </w:rPr>
        <w:footnoteReference w:id="64"/>
      </w:r>
      <w:r w:rsidR="0061442C" w:rsidRPr="00545310">
        <w:rPr>
          <w:rFonts w:ascii="Arial" w:hAnsi="Arial" w:cs="Arial"/>
          <w:szCs w:val="24"/>
          <w:lang w:val="es-CO" w:eastAsia="ar-SA"/>
        </w:rPr>
        <w:t>, de manera que le correspond</w:t>
      </w:r>
      <w:r w:rsidR="003D049F" w:rsidRPr="00545310">
        <w:rPr>
          <w:rFonts w:ascii="Arial" w:hAnsi="Arial" w:cs="Arial"/>
          <w:szCs w:val="24"/>
          <w:lang w:val="es-CO" w:eastAsia="ar-SA"/>
        </w:rPr>
        <w:t>í</w:t>
      </w:r>
      <w:r w:rsidR="0061442C" w:rsidRPr="00545310">
        <w:rPr>
          <w:rFonts w:ascii="Arial" w:hAnsi="Arial" w:cs="Arial"/>
          <w:szCs w:val="24"/>
          <w:lang w:val="es-CO" w:eastAsia="ar-SA"/>
        </w:rPr>
        <w:t xml:space="preserve">a a FONADE examinar todos los motivos de inconformidad expuestos por las </w:t>
      </w:r>
      <w:r w:rsidR="003D049F" w:rsidRPr="00545310">
        <w:rPr>
          <w:rFonts w:ascii="Arial" w:hAnsi="Arial" w:cs="Arial"/>
          <w:szCs w:val="24"/>
          <w:lang w:val="es-CO" w:eastAsia="ar-SA"/>
        </w:rPr>
        <w:t xml:space="preserve">dos entidades </w:t>
      </w:r>
      <w:r w:rsidR="0061442C" w:rsidRPr="00545310">
        <w:rPr>
          <w:rFonts w:ascii="Arial" w:hAnsi="Arial" w:cs="Arial"/>
          <w:szCs w:val="24"/>
          <w:lang w:val="es-CO" w:eastAsia="ar-SA"/>
        </w:rPr>
        <w:t>recurrentes</w:t>
      </w:r>
      <w:r w:rsidR="003D049F" w:rsidRPr="00545310">
        <w:rPr>
          <w:rFonts w:ascii="Arial" w:hAnsi="Arial" w:cs="Arial"/>
          <w:szCs w:val="24"/>
          <w:lang w:val="es-CO" w:eastAsia="ar-SA"/>
        </w:rPr>
        <w:t>.</w:t>
      </w:r>
    </w:p>
    <w:p w14:paraId="715F29F7" w14:textId="77777777" w:rsidR="009F4B20" w:rsidRPr="00545310" w:rsidRDefault="009F4B20" w:rsidP="00FC5EFB">
      <w:pPr>
        <w:pStyle w:val="Sangradetextonormal"/>
        <w:spacing w:after="0"/>
        <w:ind w:left="0"/>
        <w:rPr>
          <w:rFonts w:ascii="Arial" w:hAnsi="Arial" w:cs="Arial"/>
          <w:szCs w:val="24"/>
          <w:lang w:val="es-CO" w:eastAsia="ar-SA"/>
        </w:rPr>
      </w:pPr>
    </w:p>
    <w:p w14:paraId="6AD9DAC5" w14:textId="77777777" w:rsidR="00A23377" w:rsidRPr="00545310" w:rsidRDefault="00ED5391" w:rsidP="006538E3">
      <w:pPr>
        <w:pStyle w:val="Sangradetextonormal"/>
        <w:spacing w:after="0"/>
        <w:ind w:left="0"/>
        <w:rPr>
          <w:rFonts w:ascii="Arial" w:hAnsi="Arial" w:cs="Arial"/>
          <w:szCs w:val="24"/>
          <w:lang w:val="es-CO" w:eastAsia="ar-SA"/>
        </w:rPr>
      </w:pPr>
      <w:r w:rsidRPr="00545310">
        <w:rPr>
          <w:rFonts w:ascii="Arial" w:hAnsi="Arial" w:cs="Arial"/>
          <w:szCs w:val="24"/>
          <w:lang w:val="es-CO" w:eastAsia="ar-SA"/>
        </w:rPr>
        <w:t xml:space="preserve">También se puntualiza que en la Resolución 1511 se adoptó </w:t>
      </w:r>
      <w:r w:rsidR="003D049F" w:rsidRPr="00545310">
        <w:rPr>
          <w:rFonts w:ascii="Arial" w:hAnsi="Arial" w:cs="Arial"/>
          <w:szCs w:val="24"/>
          <w:lang w:val="es-CO" w:eastAsia="ar-SA"/>
        </w:rPr>
        <w:t xml:space="preserve">una reclasificación de las cifras dentro del mismo amparo de cumplimiento, toda vez que </w:t>
      </w:r>
      <w:r w:rsidRPr="00545310">
        <w:rPr>
          <w:rFonts w:ascii="Arial" w:hAnsi="Arial" w:cs="Arial"/>
          <w:szCs w:val="24"/>
          <w:lang w:val="es-CO" w:eastAsia="ar-SA"/>
        </w:rPr>
        <w:t xml:space="preserve">la disminución de la suma exigida por concepto de cláusula penal se </w:t>
      </w:r>
      <w:r w:rsidR="00A23377" w:rsidRPr="00545310">
        <w:rPr>
          <w:rFonts w:ascii="Arial" w:hAnsi="Arial" w:cs="Arial"/>
          <w:szCs w:val="24"/>
          <w:lang w:val="es-CO" w:eastAsia="ar-SA"/>
        </w:rPr>
        <w:t xml:space="preserve">correspondió con el </w:t>
      </w:r>
      <w:r w:rsidRPr="00545310">
        <w:rPr>
          <w:rFonts w:ascii="Arial" w:hAnsi="Arial" w:cs="Arial"/>
          <w:szCs w:val="24"/>
          <w:lang w:val="es-CO" w:eastAsia="ar-SA"/>
        </w:rPr>
        <w:t xml:space="preserve">incrementó </w:t>
      </w:r>
      <w:r w:rsidR="0034729E" w:rsidRPr="00545310">
        <w:rPr>
          <w:rFonts w:ascii="Arial" w:hAnsi="Arial" w:cs="Arial"/>
          <w:szCs w:val="24"/>
          <w:lang w:val="es-CO" w:eastAsia="ar-SA"/>
        </w:rPr>
        <w:t xml:space="preserve">en </w:t>
      </w:r>
      <w:r w:rsidR="004C6D22" w:rsidRPr="00545310">
        <w:rPr>
          <w:rFonts w:ascii="Arial" w:hAnsi="Arial" w:cs="Arial"/>
          <w:szCs w:val="24"/>
          <w:lang w:val="es-CO" w:eastAsia="ar-SA"/>
        </w:rPr>
        <w:t xml:space="preserve">el ítem del perjuicio adicional, empero el monto total </w:t>
      </w:r>
      <w:r w:rsidR="007C0440" w:rsidRPr="00545310">
        <w:rPr>
          <w:rFonts w:ascii="Arial" w:hAnsi="Arial" w:cs="Arial"/>
          <w:szCs w:val="24"/>
          <w:lang w:val="es-CO" w:eastAsia="ar-SA"/>
        </w:rPr>
        <w:t>d</w:t>
      </w:r>
      <w:r w:rsidR="0034729E" w:rsidRPr="00545310">
        <w:rPr>
          <w:rFonts w:ascii="Arial" w:hAnsi="Arial" w:cs="Arial"/>
          <w:szCs w:val="24"/>
          <w:lang w:val="es-CO" w:eastAsia="ar-SA"/>
        </w:rPr>
        <w:t>el perjuicio por incumplimiento era el mismo</w:t>
      </w:r>
      <w:r w:rsidR="00A23377" w:rsidRPr="00545310">
        <w:rPr>
          <w:rFonts w:ascii="Arial" w:hAnsi="Arial" w:cs="Arial"/>
          <w:szCs w:val="24"/>
          <w:lang w:val="es-CO" w:eastAsia="ar-SA"/>
        </w:rPr>
        <w:t xml:space="preserve">. </w:t>
      </w:r>
    </w:p>
    <w:p w14:paraId="42AAA317" w14:textId="77777777" w:rsidR="00A23377" w:rsidRPr="00545310" w:rsidRDefault="00A23377" w:rsidP="006538E3">
      <w:pPr>
        <w:pStyle w:val="Sangradetextonormal"/>
        <w:spacing w:after="0"/>
        <w:ind w:left="0"/>
        <w:rPr>
          <w:rFonts w:ascii="Arial" w:hAnsi="Arial" w:cs="Arial"/>
          <w:szCs w:val="24"/>
          <w:lang w:val="es-CO" w:eastAsia="ar-SA"/>
        </w:rPr>
      </w:pPr>
    </w:p>
    <w:p w14:paraId="273F7602" w14:textId="77777777" w:rsidR="00CF76FD" w:rsidRPr="00545310" w:rsidRDefault="00F7083B" w:rsidP="002F5868">
      <w:pPr>
        <w:pStyle w:val="Lista2"/>
        <w:ind w:left="0" w:firstLine="0"/>
        <w:rPr>
          <w:rFonts w:cs="Arial"/>
          <w:b/>
        </w:rPr>
      </w:pPr>
      <w:r w:rsidRPr="00545310">
        <w:rPr>
          <w:rFonts w:cs="Arial"/>
          <w:b/>
        </w:rPr>
        <w:t>10</w:t>
      </w:r>
      <w:r w:rsidR="007A7EDE" w:rsidRPr="00545310">
        <w:rPr>
          <w:rFonts w:cs="Arial"/>
          <w:b/>
        </w:rPr>
        <w:t>.</w:t>
      </w:r>
      <w:r w:rsidR="009D2A60" w:rsidRPr="00545310">
        <w:rPr>
          <w:rFonts w:cs="Arial"/>
          <w:b/>
        </w:rPr>
        <w:tab/>
      </w:r>
      <w:r w:rsidR="001C6D0F" w:rsidRPr="00545310">
        <w:rPr>
          <w:rFonts w:cs="Arial"/>
          <w:b/>
        </w:rPr>
        <w:t>Costas</w:t>
      </w:r>
    </w:p>
    <w:p w14:paraId="489EFD99" w14:textId="77777777" w:rsidR="00FC5EFB" w:rsidRPr="00545310" w:rsidRDefault="00FC5EFB" w:rsidP="00F46B24">
      <w:pPr>
        <w:pStyle w:val="Continuarlista2"/>
        <w:ind w:left="0"/>
        <w:rPr>
          <w:rFonts w:cs="Arial"/>
        </w:rPr>
      </w:pPr>
    </w:p>
    <w:p w14:paraId="1673AC61" w14:textId="77777777" w:rsidR="00F46B24" w:rsidRPr="00545310" w:rsidRDefault="00F46B24" w:rsidP="00F46B24">
      <w:pPr>
        <w:pStyle w:val="Continuarlista2"/>
        <w:ind w:left="0"/>
        <w:rPr>
          <w:rFonts w:cs="Arial"/>
        </w:rPr>
      </w:pPr>
      <w:r w:rsidRPr="00545310">
        <w:rPr>
          <w:rFonts w:cs="Arial"/>
        </w:rPr>
        <w:t xml:space="preserve">Habida cuenta de que para </w:t>
      </w:r>
      <w:r w:rsidR="00A23377" w:rsidRPr="00545310">
        <w:rPr>
          <w:rFonts w:cs="Arial"/>
        </w:rPr>
        <w:t xml:space="preserve">este proceso se </w:t>
      </w:r>
      <w:r w:rsidRPr="00545310">
        <w:rPr>
          <w:rFonts w:cs="Arial"/>
        </w:rPr>
        <w:t>aplica el artículo 188 del C</w:t>
      </w:r>
      <w:r w:rsidR="00A23377" w:rsidRPr="00545310">
        <w:rPr>
          <w:rFonts w:cs="Arial"/>
        </w:rPr>
        <w:t>PACA</w:t>
      </w:r>
      <w:r w:rsidRPr="00545310">
        <w:rPr>
          <w:rFonts w:cs="Arial"/>
        </w:rPr>
        <w:t xml:space="preserve">, de conformidad con el artículo 365 del Código General del Proceso, en la presente </w:t>
      </w:r>
      <w:r w:rsidR="000030F1" w:rsidRPr="00545310">
        <w:rPr>
          <w:rFonts w:cs="Arial"/>
        </w:rPr>
        <w:t xml:space="preserve">providencia </w:t>
      </w:r>
      <w:r w:rsidRPr="00545310">
        <w:rPr>
          <w:rFonts w:cs="Arial"/>
        </w:rPr>
        <w:t xml:space="preserve">se confirmará, también, la condena en costas </w:t>
      </w:r>
      <w:r w:rsidR="00600D31" w:rsidRPr="00545310">
        <w:rPr>
          <w:rFonts w:cs="Arial"/>
        </w:rPr>
        <w:t xml:space="preserve">a cargo de la parte vencida, </w:t>
      </w:r>
      <w:r w:rsidRPr="00545310">
        <w:rPr>
          <w:rFonts w:cs="Arial"/>
        </w:rPr>
        <w:t xml:space="preserve">realizada en </w:t>
      </w:r>
      <w:r w:rsidR="00600D31" w:rsidRPr="00545310">
        <w:rPr>
          <w:rFonts w:cs="Arial"/>
        </w:rPr>
        <w:t xml:space="preserve">la sentencia de la </w:t>
      </w:r>
      <w:r w:rsidRPr="00545310">
        <w:rPr>
          <w:rFonts w:cs="Arial"/>
        </w:rPr>
        <w:t>primera instancia.</w:t>
      </w:r>
    </w:p>
    <w:p w14:paraId="6EA8B7E3" w14:textId="77777777" w:rsidR="00F46B24" w:rsidRPr="00545310" w:rsidRDefault="00F46B24" w:rsidP="00F46B24">
      <w:pPr>
        <w:pStyle w:val="Continuarlista2"/>
        <w:ind w:left="0"/>
        <w:rPr>
          <w:rFonts w:cs="Arial"/>
        </w:rPr>
      </w:pPr>
    </w:p>
    <w:p w14:paraId="59A37793" w14:textId="77777777" w:rsidR="00F46B24" w:rsidRPr="00545310" w:rsidRDefault="00F46B24" w:rsidP="00F46B24">
      <w:pPr>
        <w:pStyle w:val="Continuarlista2"/>
        <w:ind w:left="0"/>
        <w:rPr>
          <w:rFonts w:cs="Arial"/>
        </w:rPr>
      </w:pPr>
      <w:r w:rsidRPr="00545310">
        <w:rPr>
          <w:rFonts w:cs="Arial"/>
        </w:rPr>
        <w:t xml:space="preserve">La liquidación de las costas y agencias en derecho se debe adelantar </w:t>
      </w:r>
      <w:r w:rsidRPr="00545310">
        <w:rPr>
          <w:rFonts w:cs="Arial"/>
          <w:shd w:val="clear" w:color="auto" w:fill="FFFFFF"/>
        </w:rPr>
        <w:t>de manera concentrada en el Tribunal que conoció del proceso en primera instancia,</w:t>
      </w:r>
      <w:r w:rsidRPr="00545310">
        <w:rPr>
          <w:rStyle w:val="apple-converted-space"/>
          <w:rFonts w:cs="Arial"/>
          <w:shd w:val="clear" w:color="auto" w:fill="FFFFFF"/>
        </w:rPr>
        <w:t> de acuerdo con lo que dispone el artículo 366 del Código General del Proceso</w:t>
      </w:r>
      <w:r w:rsidRPr="00545310">
        <w:rPr>
          <w:rFonts w:cs="Arial"/>
        </w:rPr>
        <w:t>.</w:t>
      </w:r>
    </w:p>
    <w:p w14:paraId="6F2F22D5" w14:textId="77777777" w:rsidR="001C6D0F" w:rsidRPr="00545310" w:rsidRDefault="001C6D0F" w:rsidP="00CF76FD">
      <w:pPr>
        <w:rPr>
          <w:rFonts w:cs="Arial"/>
        </w:rPr>
      </w:pPr>
    </w:p>
    <w:p w14:paraId="7E583CD0" w14:textId="77777777" w:rsidR="00FE0103" w:rsidRPr="00545310" w:rsidRDefault="00D90DD9" w:rsidP="00CF76FD">
      <w:pPr>
        <w:rPr>
          <w:rFonts w:cs="Arial"/>
        </w:rPr>
      </w:pPr>
      <w:r w:rsidRPr="00545310">
        <w:rPr>
          <w:rFonts w:cs="Arial"/>
        </w:rPr>
        <w:t>La Sala estima que n</w:t>
      </w:r>
      <w:r w:rsidR="00F46B24" w:rsidRPr="00545310">
        <w:rPr>
          <w:rFonts w:cs="Arial"/>
        </w:rPr>
        <w:t xml:space="preserve">o hay lugar a señalar nuevas agencias en derecho por la </w:t>
      </w:r>
      <w:r w:rsidRPr="00545310">
        <w:rPr>
          <w:rFonts w:cs="Arial"/>
        </w:rPr>
        <w:t xml:space="preserve">actuación en </w:t>
      </w:r>
      <w:r w:rsidR="00F46B24" w:rsidRPr="00545310">
        <w:rPr>
          <w:rFonts w:cs="Arial"/>
        </w:rPr>
        <w:t xml:space="preserve">segunda instancia, </w:t>
      </w:r>
      <w:r w:rsidR="000030F1" w:rsidRPr="00545310">
        <w:rPr>
          <w:rFonts w:cs="Arial"/>
        </w:rPr>
        <w:t xml:space="preserve">toda vez que </w:t>
      </w:r>
      <w:r w:rsidR="00F46B24" w:rsidRPr="00545310">
        <w:rPr>
          <w:rFonts w:cs="Arial"/>
        </w:rPr>
        <w:t xml:space="preserve">la cuantificación </w:t>
      </w:r>
      <w:r w:rsidR="00FC7CC1" w:rsidRPr="00545310">
        <w:rPr>
          <w:rFonts w:cs="Arial"/>
        </w:rPr>
        <w:t>de la primera instancia, realizada en el 1% de las pretensiones denegadas, se estima suficiente</w:t>
      </w:r>
      <w:r w:rsidR="00FE0103" w:rsidRPr="00545310">
        <w:rPr>
          <w:rFonts w:cs="Arial"/>
        </w:rPr>
        <w:t xml:space="preserve">, de acuerdo con </w:t>
      </w:r>
      <w:r w:rsidRPr="00545310">
        <w:rPr>
          <w:rFonts w:cs="Arial"/>
        </w:rPr>
        <w:t xml:space="preserve">el trámite procesal </w:t>
      </w:r>
      <w:r w:rsidR="00600D31" w:rsidRPr="00545310">
        <w:rPr>
          <w:rFonts w:cs="Arial"/>
        </w:rPr>
        <w:t xml:space="preserve">y la complejidad del debate </w:t>
      </w:r>
      <w:r w:rsidR="00FE0103" w:rsidRPr="00545310">
        <w:rPr>
          <w:rFonts w:cs="Arial"/>
        </w:rPr>
        <w:t>de</w:t>
      </w:r>
      <w:r w:rsidR="00F44623" w:rsidRPr="00545310">
        <w:rPr>
          <w:rFonts w:cs="Arial"/>
        </w:rPr>
        <w:t>splegad</w:t>
      </w:r>
      <w:r w:rsidR="00600D31" w:rsidRPr="00545310">
        <w:rPr>
          <w:rFonts w:cs="Arial"/>
        </w:rPr>
        <w:t>o</w:t>
      </w:r>
      <w:r w:rsidR="00F44623" w:rsidRPr="00545310">
        <w:rPr>
          <w:rFonts w:cs="Arial"/>
        </w:rPr>
        <w:t xml:space="preserve"> en </w:t>
      </w:r>
      <w:r w:rsidR="00FE0103" w:rsidRPr="00545310">
        <w:rPr>
          <w:rFonts w:cs="Arial"/>
        </w:rPr>
        <w:t xml:space="preserve">la segunda instancia. </w:t>
      </w:r>
    </w:p>
    <w:p w14:paraId="1A21E616" w14:textId="77777777" w:rsidR="00B35501" w:rsidRPr="00545310" w:rsidRDefault="00B35501" w:rsidP="002D4371">
      <w:pPr>
        <w:pStyle w:val="Textoindependiente22"/>
        <w:numPr>
          <w:ilvl w:val="12"/>
          <w:numId w:val="0"/>
        </w:numPr>
        <w:overflowPunct/>
        <w:autoSpaceDE/>
        <w:autoSpaceDN/>
        <w:adjustRightInd/>
        <w:textAlignment w:val="auto"/>
        <w:rPr>
          <w:rFonts w:cs="Arial"/>
          <w:szCs w:val="24"/>
        </w:rPr>
      </w:pPr>
    </w:p>
    <w:p w14:paraId="21848A79" w14:textId="77777777" w:rsidR="002D4371" w:rsidRPr="00545310" w:rsidRDefault="002D4371" w:rsidP="002D4371">
      <w:pPr>
        <w:pStyle w:val="Textoindependiente22"/>
        <w:numPr>
          <w:ilvl w:val="12"/>
          <w:numId w:val="0"/>
        </w:numPr>
        <w:overflowPunct/>
        <w:autoSpaceDE/>
        <w:autoSpaceDN/>
        <w:adjustRightInd/>
        <w:textAlignment w:val="auto"/>
        <w:rPr>
          <w:rFonts w:cs="Arial"/>
          <w:szCs w:val="24"/>
        </w:rPr>
      </w:pPr>
      <w:r w:rsidRPr="00545310">
        <w:rPr>
          <w:rFonts w:cs="Arial"/>
          <w:szCs w:val="24"/>
        </w:rPr>
        <w:t>En mérito de lo expuesto, el Consejo de Estado, en Sala de lo Contencioso Administrativo, Sección Tercera,</w:t>
      </w:r>
      <w:r w:rsidR="00AD4DBE" w:rsidRPr="00545310">
        <w:rPr>
          <w:rFonts w:cs="Arial"/>
          <w:szCs w:val="24"/>
        </w:rPr>
        <w:t xml:space="preserve"> Subsección A,</w:t>
      </w:r>
      <w:r w:rsidRPr="00545310">
        <w:rPr>
          <w:rFonts w:cs="Arial"/>
          <w:szCs w:val="24"/>
        </w:rPr>
        <w:t xml:space="preserve"> administrando justicia en nombre de la República de Colombia y por autoridad de la ley,</w:t>
      </w:r>
    </w:p>
    <w:p w14:paraId="74C10B70" w14:textId="77777777" w:rsidR="008F2EA9" w:rsidRPr="00545310" w:rsidRDefault="008F2EA9" w:rsidP="0009687C">
      <w:pPr>
        <w:rPr>
          <w:rFonts w:cs="Arial"/>
        </w:rPr>
      </w:pPr>
    </w:p>
    <w:p w14:paraId="2CE0AC78" w14:textId="77777777" w:rsidR="00EA2611" w:rsidRPr="00545310" w:rsidRDefault="00EA2611" w:rsidP="00EA2611">
      <w:pPr>
        <w:pStyle w:val="Ttulo5"/>
        <w:rPr>
          <w:rFonts w:cs="Arial"/>
          <w:bCs/>
          <w:sz w:val="24"/>
          <w:szCs w:val="24"/>
        </w:rPr>
      </w:pPr>
      <w:r w:rsidRPr="00545310">
        <w:rPr>
          <w:rFonts w:cs="Arial"/>
          <w:bCs/>
          <w:sz w:val="24"/>
          <w:szCs w:val="24"/>
        </w:rPr>
        <w:t xml:space="preserve">F A L </w:t>
      </w:r>
      <w:proofErr w:type="spellStart"/>
      <w:r w:rsidRPr="00545310">
        <w:rPr>
          <w:rFonts w:cs="Arial"/>
          <w:bCs/>
          <w:sz w:val="24"/>
          <w:szCs w:val="24"/>
        </w:rPr>
        <w:t>L</w:t>
      </w:r>
      <w:proofErr w:type="spellEnd"/>
      <w:r w:rsidRPr="00545310">
        <w:rPr>
          <w:rFonts w:cs="Arial"/>
          <w:bCs/>
          <w:sz w:val="24"/>
          <w:szCs w:val="24"/>
        </w:rPr>
        <w:t xml:space="preserve"> A</w:t>
      </w:r>
    </w:p>
    <w:p w14:paraId="424536E9" w14:textId="77777777" w:rsidR="00EA2611" w:rsidRPr="00545310" w:rsidRDefault="00EA2611" w:rsidP="00EA2611">
      <w:pPr>
        <w:widowControl w:val="0"/>
        <w:autoSpaceDE w:val="0"/>
        <w:autoSpaceDN w:val="0"/>
        <w:adjustRightInd w:val="0"/>
        <w:rPr>
          <w:rFonts w:cs="Arial"/>
          <w:b/>
        </w:rPr>
      </w:pPr>
    </w:p>
    <w:p w14:paraId="74584EC6" w14:textId="77777777" w:rsidR="00EA2611" w:rsidRPr="00545310" w:rsidRDefault="00EA2611" w:rsidP="00EA2611">
      <w:pPr>
        <w:widowControl w:val="0"/>
        <w:autoSpaceDE w:val="0"/>
        <w:autoSpaceDN w:val="0"/>
        <w:adjustRightInd w:val="0"/>
        <w:rPr>
          <w:rFonts w:cs="Arial"/>
          <w:lang w:val="es-CO"/>
        </w:rPr>
      </w:pPr>
      <w:r w:rsidRPr="00545310">
        <w:rPr>
          <w:rFonts w:cs="Arial"/>
          <w:b/>
        </w:rPr>
        <w:t>PRIMERO</w:t>
      </w:r>
      <w:r w:rsidR="00121D61" w:rsidRPr="00545310">
        <w:rPr>
          <w:rFonts w:cs="Arial"/>
          <w:b/>
        </w:rPr>
        <w:t>:</w:t>
      </w:r>
      <w:r w:rsidRPr="00545310">
        <w:rPr>
          <w:rFonts w:cs="Arial"/>
          <w:b/>
        </w:rPr>
        <w:t xml:space="preserve"> CONFIRMAR </w:t>
      </w:r>
      <w:r w:rsidRPr="00545310">
        <w:rPr>
          <w:rFonts w:cs="Arial"/>
          <w:lang w:val="es-CO"/>
        </w:rPr>
        <w:t xml:space="preserve">la sentencia </w:t>
      </w:r>
      <w:r w:rsidR="00121D61" w:rsidRPr="00545310">
        <w:rPr>
          <w:rFonts w:cs="Arial"/>
          <w:lang w:val="es-CO"/>
        </w:rPr>
        <w:t xml:space="preserve">proferida por el Tribunal Administrativo de </w:t>
      </w:r>
      <w:r w:rsidR="00F44623" w:rsidRPr="00545310">
        <w:rPr>
          <w:rFonts w:cs="Arial"/>
        </w:rPr>
        <w:t xml:space="preserve">Tribunal Administrativo de Santander, el 22 de julio de 2014, incluida la condena en costas. </w:t>
      </w:r>
    </w:p>
    <w:p w14:paraId="7AD302BA" w14:textId="77777777" w:rsidR="00EA2611" w:rsidRPr="00545310" w:rsidRDefault="00EA2611" w:rsidP="00EA2611">
      <w:pPr>
        <w:widowControl w:val="0"/>
        <w:ind w:left="851"/>
        <w:rPr>
          <w:rFonts w:cs="Arial"/>
        </w:rPr>
      </w:pPr>
    </w:p>
    <w:p w14:paraId="0C1CA311" w14:textId="77777777" w:rsidR="00EA2611" w:rsidRPr="00545310" w:rsidRDefault="004B4921" w:rsidP="00EA2611">
      <w:pPr>
        <w:widowControl w:val="0"/>
        <w:autoSpaceDE w:val="0"/>
        <w:autoSpaceDN w:val="0"/>
        <w:adjustRightInd w:val="0"/>
        <w:rPr>
          <w:rFonts w:cs="Arial"/>
        </w:rPr>
      </w:pPr>
      <w:r w:rsidRPr="00545310">
        <w:rPr>
          <w:rFonts w:cs="Arial"/>
          <w:b/>
        </w:rPr>
        <w:t>SEGUNDO</w:t>
      </w:r>
      <w:r w:rsidR="00EA2611" w:rsidRPr="00545310">
        <w:rPr>
          <w:rFonts w:cs="Arial"/>
          <w:b/>
        </w:rPr>
        <w:t xml:space="preserve">: </w:t>
      </w:r>
      <w:r w:rsidR="00EA2611" w:rsidRPr="00545310">
        <w:rPr>
          <w:rFonts w:cs="Arial"/>
        </w:rPr>
        <w:t>Sin condena en costas</w:t>
      </w:r>
      <w:r w:rsidR="00F44623" w:rsidRPr="00545310">
        <w:rPr>
          <w:rFonts w:cs="Arial"/>
        </w:rPr>
        <w:t xml:space="preserve"> por la segunda instancia</w:t>
      </w:r>
      <w:r w:rsidR="00EA2611" w:rsidRPr="00545310">
        <w:rPr>
          <w:rFonts w:cs="Arial"/>
        </w:rPr>
        <w:t>.</w:t>
      </w:r>
    </w:p>
    <w:p w14:paraId="41A882A4" w14:textId="77777777" w:rsidR="00C5558C" w:rsidRPr="00545310" w:rsidRDefault="00C5558C" w:rsidP="00EA2611">
      <w:pPr>
        <w:widowControl w:val="0"/>
        <w:autoSpaceDE w:val="0"/>
        <w:autoSpaceDN w:val="0"/>
        <w:adjustRightInd w:val="0"/>
        <w:rPr>
          <w:rFonts w:cs="Arial"/>
          <w:b/>
        </w:rPr>
      </w:pPr>
    </w:p>
    <w:p w14:paraId="78A8A1A5" w14:textId="77777777" w:rsidR="00EA2611" w:rsidRPr="00545310" w:rsidRDefault="004B4921" w:rsidP="00EA2611">
      <w:pPr>
        <w:widowControl w:val="0"/>
        <w:autoSpaceDE w:val="0"/>
        <w:autoSpaceDN w:val="0"/>
        <w:adjustRightInd w:val="0"/>
        <w:rPr>
          <w:rFonts w:cs="Arial"/>
        </w:rPr>
      </w:pPr>
      <w:r w:rsidRPr="00545310">
        <w:rPr>
          <w:rFonts w:cs="Arial"/>
          <w:b/>
        </w:rPr>
        <w:t>TERCERO</w:t>
      </w:r>
      <w:r w:rsidR="00EA2611" w:rsidRPr="00545310">
        <w:rPr>
          <w:rFonts w:cs="Arial"/>
          <w:b/>
        </w:rPr>
        <w:t xml:space="preserve">: </w:t>
      </w:r>
      <w:r w:rsidR="00EA2611" w:rsidRPr="00545310">
        <w:rPr>
          <w:rFonts w:cs="Arial"/>
        </w:rPr>
        <w:t>En firme esta providencia, devuélvase el expediente al Tribunal de origen.</w:t>
      </w:r>
    </w:p>
    <w:p w14:paraId="784E2F7F" w14:textId="77777777" w:rsidR="00EA2611" w:rsidRPr="00545310" w:rsidRDefault="00EA2611" w:rsidP="00EA2611">
      <w:pPr>
        <w:jc w:val="center"/>
        <w:rPr>
          <w:rFonts w:cs="Arial"/>
          <w:b/>
          <w:bCs/>
          <w:noProof/>
        </w:rPr>
      </w:pPr>
    </w:p>
    <w:p w14:paraId="6A812561" w14:textId="77777777" w:rsidR="00EA2611" w:rsidRPr="00545310" w:rsidRDefault="00EA2611" w:rsidP="00EA2611">
      <w:pPr>
        <w:jc w:val="center"/>
        <w:rPr>
          <w:rFonts w:cs="Arial"/>
          <w:b/>
          <w:bCs/>
          <w:noProof/>
        </w:rPr>
      </w:pPr>
      <w:r w:rsidRPr="00545310">
        <w:rPr>
          <w:rFonts w:cs="Arial"/>
          <w:b/>
          <w:bCs/>
          <w:noProof/>
        </w:rPr>
        <w:t>CÓPIESE, NOTIFÍQUESE Y CÚMPLASE</w:t>
      </w:r>
    </w:p>
    <w:p w14:paraId="7783D905" w14:textId="77777777" w:rsidR="00CC4B8A" w:rsidRPr="00545310" w:rsidRDefault="00CC4B8A" w:rsidP="00E60854">
      <w:pPr>
        <w:jc w:val="center"/>
        <w:rPr>
          <w:rFonts w:cs="Arial"/>
        </w:rPr>
      </w:pPr>
    </w:p>
    <w:p w14:paraId="18298C68" w14:textId="77777777" w:rsidR="00DC5897" w:rsidRPr="00545310" w:rsidRDefault="00DC5897" w:rsidP="00E60854">
      <w:pPr>
        <w:jc w:val="center"/>
        <w:rPr>
          <w:rFonts w:cs="Arial"/>
        </w:rPr>
      </w:pPr>
    </w:p>
    <w:p w14:paraId="0CFC215D" w14:textId="77777777" w:rsidR="00EA2611" w:rsidRPr="00545310" w:rsidRDefault="00EA2611" w:rsidP="00E60854">
      <w:pPr>
        <w:jc w:val="center"/>
        <w:rPr>
          <w:rFonts w:cs="Arial"/>
        </w:rPr>
      </w:pPr>
    </w:p>
    <w:p w14:paraId="3F98AD60" w14:textId="77777777" w:rsidR="00EA2611" w:rsidRPr="00545310" w:rsidRDefault="001F48D2" w:rsidP="00E60854">
      <w:pPr>
        <w:widowControl w:val="0"/>
        <w:autoSpaceDE w:val="0"/>
        <w:autoSpaceDN w:val="0"/>
        <w:adjustRightInd w:val="0"/>
        <w:jc w:val="center"/>
        <w:rPr>
          <w:rFonts w:cs="Arial"/>
          <w:b/>
        </w:rPr>
      </w:pPr>
      <w:r w:rsidRPr="00545310">
        <w:rPr>
          <w:rFonts w:cs="Arial"/>
          <w:b/>
          <w:lang w:val="es-CO"/>
        </w:rPr>
        <w:t>MARTA NUBIA VELÁSQUEZ RICO</w:t>
      </w:r>
    </w:p>
    <w:p w14:paraId="5F400561" w14:textId="77777777" w:rsidR="00E87111" w:rsidRPr="00545310" w:rsidRDefault="00E87111" w:rsidP="00E60854">
      <w:pPr>
        <w:widowControl w:val="0"/>
        <w:autoSpaceDE w:val="0"/>
        <w:autoSpaceDN w:val="0"/>
        <w:adjustRightInd w:val="0"/>
        <w:jc w:val="center"/>
        <w:rPr>
          <w:rFonts w:cs="Arial"/>
          <w:b/>
        </w:rPr>
      </w:pPr>
    </w:p>
    <w:p w14:paraId="361B3B59" w14:textId="77777777" w:rsidR="00DC5897" w:rsidRPr="00545310" w:rsidRDefault="00DC5897" w:rsidP="00E60854">
      <w:pPr>
        <w:widowControl w:val="0"/>
        <w:autoSpaceDE w:val="0"/>
        <w:autoSpaceDN w:val="0"/>
        <w:adjustRightInd w:val="0"/>
        <w:jc w:val="center"/>
        <w:rPr>
          <w:rFonts w:cs="Arial"/>
          <w:b/>
        </w:rPr>
      </w:pPr>
    </w:p>
    <w:p w14:paraId="4DC08864" w14:textId="77777777" w:rsidR="00DC5897" w:rsidRPr="00545310" w:rsidRDefault="00DC5897" w:rsidP="00E60854">
      <w:pPr>
        <w:widowControl w:val="0"/>
        <w:autoSpaceDE w:val="0"/>
        <w:autoSpaceDN w:val="0"/>
        <w:adjustRightInd w:val="0"/>
        <w:jc w:val="center"/>
        <w:rPr>
          <w:rFonts w:cs="Arial"/>
          <w:b/>
        </w:rPr>
      </w:pPr>
    </w:p>
    <w:p w14:paraId="6E3D53F8" w14:textId="77777777" w:rsidR="00833F13" w:rsidRPr="00545310" w:rsidRDefault="00EA2611" w:rsidP="00EA2611">
      <w:pPr>
        <w:widowControl w:val="0"/>
        <w:autoSpaceDE w:val="0"/>
        <w:autoSpaceDN w:val="0"/>
        <w:adjustRightInd w:val="0"/>
        <w:jc w:val="center"/>
        <w:rPr>
          <w:rFonts w:cs="Arial"/>
          <w:b/>
        </w:rPr>
      </w:pPr>
      <w:r w:rsidRPr="00545310">
        <w:rPr>
          <w:rFonts w:cs="Arial"/>
          <w:b/>
        </w:rPr>
        <w:t>CARLOS ALBERTO ZAMBRANO BARRERA</w:t>
      </w:r>
    </w:p>
    <w:sectPr w:rsidR="00833F13" w:rsidRPr="00545310" w:rsidSect="00545310">
      <w:headerReference w:type="even" r:id="rId11"/>
      <w:footerReference w:type="even" r:id="rId12"/>
      <w:headerReference w:type="first" r:id="rId13"/>
      <w:pgSz w:w="12242" w:h="18722" w:code="120"/>
      <w:pgMar w:top="1701" w:right="1701" w:bottom="1701" w:left="1701" w:header="0" w:footer="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DF501" w14:textId="77777777" w:rsidR="00EF49D6" w:rsidRDefault="00EF49D6" w:rsidP="00C85395">
      <w:r>
        <w:separator/>
      </w:r>
    </w:p>
  </w:endnote>
  <w:endnote w:type="continuationSeparator" w:id="0">
    <w:p w14:paraId="481DD252" w14:textId="77777777" w:rsidR="00EF49D6" w:rsidRDefault="00EF49D6"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45462" w14:textId="77777777" w:rsidR="00654072" w:rsidRDefault="00654072"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85EEA5" w14:textId="77777777" w:rsidR="00654072" w:rsidRDefault="00654072" w:rsidP="0064345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8AC50" w14:textId="77777777" w:rsidR="00EF49D6" w:rsidRDefault="00EF49D6" w:rsidP="00C85395">
      <w:r>
        <w:separator/>
      </w:r>
    </w:p>
  </w:footnote>
  <w:footnote w:type="continuationSeparator" w:id="0">
    <w:p w14:paraId="54A5B921" w14:textId="77777777" w:rsidR="00EF49D6" w:rsidRDefault="00EF49D6" w:rsidP="00C85395">
      <w:r>
        <w:continuationSeparator/>
      </w:r>
    </w:p>
  </w:footnote>
  <w:footnote w:id="1">
    <w:p w14:paraId="7C6A876D" w14:textId="77777777" w:rsidR="00654072" w:rsidRPr="007943B5" w:rsidRDefault="00654072">
      <w:pPr>
        <w:pStyle w:val="Textonotapie"/>
        <w:rPr>
          <w:lang w:val="es-CO"/>
        </w:rPr>
      </w:pPr>
      <w:r>
        <w:rPr>
          <w:rStyle w:val="Refdenotaalpie"/>
        </w:rPr>
        <w:footnoteRef/>
      </w:r>
      <w:r>
        <w:t xml:space="preserve"> </w:t>
      </w:r>
      <w:r>
        <w:rPr>
          <w:lang w:val="es-CO"/>
        </w:rPr>
        <w:t>En adelante, el referido código se identificará bajo la sigla  CPACA.</w:t>
      </w:r>
    </w:p>
  </w:footnote>
  <w:footnote w:id="2">
    <w:p w14:paraId="1DDA6154" w14:textId="77777777" w:rsidR="00654072" w:rsidRDefault="00654072" w:rsidP="000D337F">
      <w:pPr>
        <w:pStyle w:val="Textonotapie"/>
        <w:spacing w:line="240" w:lineRule="auto"/>
      </w:pPr>
      <w:r>
        <w:rPr>
          <w:rStyle w:val="Refdenotaalpie"/>
        </w:rPr>
        <w:footnoteRef/>
      </w:r>
      <w:r>
        <w:t xml:space="preserve"> Se transcribe textualmente, aunque el número de la póliza no coincide con el que se indicó en las anteriores pretensiones.</w:t>
      </w:r>
    </w:p>
    <w:p w14:paraId="5DD4A051" w14:textId="77777777" w:rsidR="00654072" w:rsidRPr="000D337F" w:rsidRDefault="00654072" w:rsidP="000D337F">
      <w:pPr>
        <w:pStyle w:val="Textonotapie"/>
        <w:spacing w:line="240" w:lineRule="auto"/>
        <w:rPr>
          <w:lang w:val="es-CO"/>
        </w:rPr>
      </w:pPr>
    </w:p>
  </w:footnote>
  <w:footnote w:id="3">
    <w:p w14:paraId="4117243C" w14:textId="77777777" w:rsidR="00654072" w:rsidRPr="00B5334A" w:rsidRDefault="00654072">
      <w:pPr>
        <w:pStyle w:val="Textonotapie"/>
        <w:rPr>
          <w:lang w:val="es-CO"/>
        </w:rPr>
      </w:pPr>
      <w:r>
        <w:rPr>
          <w:rStyle w:val="Refdenotaalpie"/>
        </w:rPr>
        <w:footnoteRef/>
      </w:r>
      <w:r>
        <w:t xml:space="preserve"> </w:t>
      </w:r>
      <w:r>
        <w:rPr>
          <w:lang w:val="es-CO"/>
        </w:rPr>
        <w:t>Folios 3 y 4, cuaderno 1.</w:t>
      </w:r>
    </w:p>
  </w:footnote>
  <w:footnote w:id="4">
    <w:p w14:paraId="2FD5DF59" w14:textId="77777777" w:rsidR="00654072" w:rsidRPr="00CB1001" w:rsidRDefault="00654072">
      <w:pPr>
        <w:pStyle w:val="Textonotapie"/>
        <w:rPr>
          <w:lang w:val="es-CO"/>
        </w:rPr>
      </w:pPr>
      <w:r>
        <w:rPr>
          <w:rStyle w:val="Refdenotaalpie"/>
        </w:rPr>
        <w:footnoteRef/>
      </w:r>
      <w:r>
        <w:t xml:space="preserve"> </w:t>
      </w:r>
      <w:r>
        <w:rPr>
          <w:lang w:val="es-CO"/>
        </w:rPr>
        <w:t>Informes técnicos y peritaciones de entidades oficiales.</w:t>
      </w:r>
    </w:p>
  </w:footnote>
  <w:footnote w:id="5">
    <w:p w14:paraId="3AE63319" w14:textId="77777777" w:rsidR="00654072" w:rsidRPr="00CB1001" w:rsidRDefault="00654072">
      <w:pPr>
        <w:pStyle w:val="Textonotapie"/>
        <w:rPr>
          <w:lang w:val="es-CO"/>
        </w:rPr>
      </w:pPr>
      <w:r>
        <w:rPr>
          <w:rStyle w:val="Refdenotaalpie"/>
        </w:rPr>
        <w:footnoteRef/>
      </w:r>
      <w:r>
        <w:t xml:space="preserve"> </w:t>
      </w:r>
      <w:r>
        <w:rPr>
          <w:lang w:val="es-CO"/>
        </w:rPr>
        <w:t xml:space="preserve">Se refiere al artículo 234 del CGP. </w:t>
      </w:r>
    </w:p>
  </w:footnote>
  <w:footnote w:id="6">
    <w:p w14:paraId="2C4310C9" w14:textId="77777777" w:rsidR="00654072" w:rsidRPr="00435AFC" w:rsidRDefault="00654072">
      <w:pPr>
        <w:pStyle w:val="Textonotapie"/>
        <w:rPr>
          <w:lang w:val="es-CO"/>
        </w:rPr>
      </w:pPr>
      <w:r>
        <w:rPr>
          <w:rStyle w:val="Refdenotaalpie"/>
        </w:rPr>
        <w:footnoteRef/>
      </w:r>
      <w:r>
        <w:t xml:space="preserve"> </w:t>
      </w:r>
      <w:r>
        <w:rPr>
          <w:lang w:val="es-CO"/>
        </w:rPr>
        <w:t xml:space="preserve">Folios 217 a 219, cuaderno 1. </w:t>
      </w:r>
    </w:p>
  </w:footnote>
  <w:footnote w:id="7">
    <w:p w14:paraId="23E7CC88" w14:textId="77777777" w:rsidR="00654072" w:rsidRPr="00FD3133" w:rsidRDefault="00654072">
      <w:pPr>
        <w:pStyle w:val="Textonotapie"/>
        <w:rPr>
          <w:lang w:val="es-CO"/>
        </w:rPr>
      </w:pPr>
      <w:r>
        <w:rPr>
          <w:rStyle w:val="Refdenotaalpie"/>
        </w:rPr>
        <w:footnoteRef/>
      </w:r>
      <w:r>
        <w:t xml:space="preserve"> </w:t>
      </w:r>
      <w:r>
        <w:rPr>
          <w:lang w:val="es-CO"/>
        </w:rPr>
        <w:t xml:space="preserve">Folios 226 a 227, cuaderno 1. </w:t>
      </w:r>
    </w:p>
  </w:footnote>
  <w:footnote w:id="8">
    <w:p w14:paraId="0E9E4B43" w14:textId="77777777" w:rsidR="00654072" w:rsidRPr="00CB48ED" w:rsidRDefault="00654072">
      <w:pPr>
        <w:pStyle w:val="Textonotapie"/>
        <w:rPr>
          <w:lang w:val="es-CO"/>
        </w:rPr>
      </w:pPr>
      <w:r>
        <w:rPr>
          <w:rStyle w:val="Refdenotaalpie"/>
        </w:rPr>
        <w:footnoteRef/>
      </w:r>
      <w:r>
        <w:t xml:space="preserve"> </w:t>
      </w:r>
      <w:r>
        <w:rPr>
          <w:lang w:val="es-CO"/>
        </w:rPr>
        <w:t xml:space="preserve">Folios 45 a 47, cuaderno 3. </w:t>
      </w:r>
    </w:p>
  </w:footnote>
  <w:footnote w:id="9">
    <w:p w14:paraId="69B9F240" w14:textId="77777777" w:rsidR="00654072" w:rsidRPr="00CA44F6" w:rsidRDefault="00654072">
      <w:pPr>
        <w:pStyle w:val="Textonotapie"/>
        <w:rPr>
          <w:lang w:val="es-CO"/>
        </w:rPr>
      </w:pPr>
      <w:r>
        <w:rPr>
          <w:rStyle w:val="Refdenotaalpie"/>
        </w:rPr>
        <w:footnoteRef/>
      </w:r>
      <w:r>
        <w:t xml:space="preserve"> </w:t>
      </w:r>
      <w:r>
        <w:rPr>
          <w:lang w:val="es-CO"/>
        </w:rPr>
        <w:t xml:space="preserve">Folios 69 a 72 y 103 a 105, cuaderno 3. </w:t>
      </w:r>
    </w:p>
  </w:footnote>
  <w:footnote w:id="10">
    <w:p w14:paraId="1D8F61D6" w14:textId="77777777" w:rsidR="00654072" w:rsidRPr="00AE305F" w:rsidRDefault="00654072">
      <w:pPr>
        <w:pStyle w:val="Textonotapie"/>
        <w:rPr>
          <w:lang w:val="es-CO"/>
        </w:rPr>
      </w:pPr>
      <w:r>
        <w:rPr>
          <w:rStyle w:val="Refdenotaalpie"/>
        </w:rPr>
        <w:footnoteRef/>
      </w:r>
      <w:r>
        <w:t xml:space="preserve"> </w:t>
      </w:r>
      <w:r>
        <w:rPr>
          <w:lang w:val="es-CO"/>
        </w:rPr>
        <w:t>Folio 278, cuaderno 1.</w:t>
      </w:r>
    </w:p>
  </w:footnote>
  <w:footnote w:id="11">
    <w:p w14:paraId="20A90764" w14:textId="77777777" w:rsidR="00654072" w:rsidRDefault="00654072" w:rsidP="006F124D">
      <w:pPr>
        <w:pStyle w:val="Textonotapie"/>
        <w:spacing w:line="240" w:lineRule="auto"/>
        <w:rPr>
          <w:lang w:val="es-CO"/>
        </w:rPr>
      </w:pPr>
      <w:r>
        <w:rPr>
          <w:rStyle w:val="Refdenotaalpie"/>
        </w:rPr>
        <w:footnoteRef/>
      </w:r>
      <w:r>
        <w:t xml:space="preserve"> El Tribunal a quo c</w:t>
      </w:r>
      <w:r>
        <w:rPr>
          <w:lang w:val="es-CO"/>
        </w:rPr>
        <w:t>itó, en extenso, la sentencia de 22 de abril de 2006, exp. 14.667, Consejera Ponente: Myriam Guerrero de Escobar.</w:t>
      </w:r>
    </w:p>
    <w:p w14:paraId="0F8D4718" w14:textId="77777777" w:rsidR="00654072" w:rsidRPr="00EF0801" w:rsidRDefault="00654072" w:rsidP="006F124D">
      <w:pPr>
        <w:pStyle w:val="Textonotapie"/>
        <w:spacing w:line="240" w:lineRule="auto"/>
        <w:rPr>
          <w:lang w:val="es-CO"/>
        </w:rPr>
      </w:pPr>
    </w:p>
  </w:footnote>
  <w:footnote w:id="12">
    <w:p w14:paraId="39ED2D4D" w14:textId="77777777" w:rsidR="00654072" w:rsidRPr="00180209" w:rsidRDefault="00654072" w:rsidP="006F124D">
      <w:pPr>
        <w:pStyle w:val="Textonotapie"/>
        <w:spacing w:line="240" w:lineRule="auto"/>
        <w:rPr>
          <w:lang w:val="es-CO"/>
        </w:rPr>
      </w:pPr>
      <w:r>
        <w:rPr>
          <w:rStyle w:val="Refdenotaalpie"/>
        </w:rPr>
        <w:footnoteRef/>
      </w:r>
      <w:r>
        <w:t xml:space="preserve"> </w:t>
      </w:r>
      <w:r>
        <w:rPr>
          <w:lang w:val="es-CO"/>
        </w:rPr>
        <w:t>Página 26 de la sentencia, folio 744 vuelto, cuaderno principal segunda instancia.</w:t>
      </w:r>
    </w:p>
  </w:footnote>
  <w:footnote w:id="13">
    <w:p w14:paraId="5AEFA4AF" w14:textId="77777777" w:rsidR="00654072" w:rsidRPr="003368A5" w:rsidRDefault="00654072">
      <w:pPr>
        <w:pStyle w:val="Textonotapie"/>
        <w:rPr>
          <w:lang w:val="es-CO"/>
        </w:rPr>
      </w:pPr>
      <w:r>
        <w:rPr>
          <w:rStyle w:val="Refdenotaalpie"/>
        </w:rPr>
        <w:footnoteRef/>
      </w:r>
      <w:r>
        <w:t xml:space="preserve"> </w:t>
      </w:r>
      <w:r>
        <w:rPr>
          <w:lang w:val="es-CO"/>
        </w:rPr>
        <w:t>Página 36 de la sentencia, folio 750, cuaderno principal, segunda instancia.</w:t>
      </w:r>
    </w:p>
  </w:footnote>
  <w:footnote w:id="14">
    <w:p w14:paraId="368DB2E1" w14:textId="77777777" w:rsidR="00654072" w:rsidRPr="00167479" w:rsidRDefault="00654072">
      <w:pPr>
        <w:pStyle w:val="Textonotapie"/>
        <w:rPr>
          <w:lang w:val="es-CO"/>
        </w:rPr>
      </w:pPr>
      <w:r>
        <w:rPr>
          <w:rStyle w:val="Refdenotaalpie"/>
        </w:rPr>
        <w:footnoteRef/>
      </w:r>
      <w:r>
        <w:t xml:space="preserve"> </w:t>
      </w:r>
      <w:r>
        <w:rPr>
          <w:lang w:val="es-CO"/>
        </w:rPr>
        <w:t>Folio 759, cuaderno principal segunda instancia</w:t>
      </w:r>
    </w:p>
  </w:footnote>
  <w:footnote w:id="15">
    <w:p w14:paraId="75142B64" w14:textId="77777777" w:rsidR="00654072" w:rsidRDefault="00654072">
      <w:pPr>
        <w:pStyle w:val="Textonotapie"/>
      </w:pPr>
      <w:r>
        <w:rPr>
          <w:rStyle w:val="Refdenotaalpie"/>
        </w:rPr>
        <w:footnoteRef/>
      </w:r>
      <w:r>
        <w:t xml:space="preserve"> Ibídem.</w:t>
      </w:r>
    </w:p>
    <w:p w14:paraId="21D18A60" w14:textId="77777777" w:rsidR="00654072" w:rsidRPr="00D80F17" w:rsidRDefault="00654072">
      <w:pPr>
        <w:pStyle w:val="Textonotapie"/>
        <w:rPr>
          <w:lang w:val="es-CO"/>
        </w:rPr>
      </w:pPr>
      <w:r>
        <w:rPr>
          <w:lang w:val="es-CO"/>
        </w:rPr>
        <w:t xml:space="preserve"> </w:t>
      </w:r>
    </w:p>
  </w:footnote>
  <w:footnote w:id="16">
    <w:p w14:paraId="7EB63FD7" w14:textId="77777777" w:rsidR="00654072" w:rsidRPr="00982C61" w:rsidRDefault="00654072">
      <w:pPr>
        <w:pStyle w:val="Textonotapie"/>
        <w:rPr>
          <w:lang w:val="es-CO"/>
        </w:rPr>
      </w:pPr>
      <w:r>
        <w:rPr>
          <w:rStyle w:val="Refdenotaalpie"/>
        </w:rPr>
        <w:footnoteRef/>
      </w:r>
      <w:r>
        <w:t xml:space="preserve"> </w:t>
      </w:r>
      <w:r>
        <w:rPr>
          <w:lang w:val="es-CO"/>
        </w:rPr>
        <w:t>Folio 761, cuaderno principal segunda instancia.</w:t>
      </w:r>
    </w:p>
  </w:footnote>
  <w:footnote w:id="17">
    <w:p w14:paraId="30BC1970" w14:textId="77777777" w:rsidR="00654072" w:rsidRPr="00517C92" w:rsidRDefault="00654072">
      <w:pPr>
        <w:pStyle w:val="Textonotapie"/>
        <w:rPr>
          <w:lang w:val="es-CO"/>
        </w:rPr>
      </w:pPr>
      <w:r>
        <w:rPr>
          <w:rStyle w:val="Refdenotaalpie"/>
        </w:rPr>
        <w:footnoteRef/>
      </w:r>
      <w:r>
        <w:t xml:space="preserve"> </w:t>
      </w:r>
      <w:r>
        <w:rPr>
          <w:lang w:val="es-CO"/>
        </w:rPr>
        <w:t>Folio 764, cuaderno principal segunda instancia.</w:t>
      </w:r>
    </w:p>
  </w:footnote>
  <w:footnote w:id="18">
    <w:p w14:paraId="3B289AC1" w14:textId="77777777" w:rsidR="00654072" w:rsidRPr="00F26830" w:rsidRDefault="00654072">
      <w:pPr>
        <w:pStyle w:val="Textonotapie"/>
        <w:rPr>
          <w:lang w:val="es-CO"/>
        </w:rPr>
      </w:pPr>
      <w:r>
        <w:rPr>
          <w:rStyle w:val="Refdenotaalpie"/>
        </w:rPr>
        <w:footnoteRef/>
      </w:r>
      <w:r>
        <w:t xml:space="preserve"> </w:t>
      </w:r>
      <w:r>
        <w:rPr>
          <w:lang w:val="es-CO"/>
        </w:rPr>
        <w:t>Folio 768, cuaderno principal segunda instancia.</w:t>
      </w:r>
    </w:p>
  </w:footnote>
  <w:footnote w:id="19">
    <w:p w14:paraId="1FC5B961" w14:textId="77777777" w:rsidR="00654072" w:rsidRPr="00496CEA" w:rsidRDefault="00654072">
      <w:pPr>
        <w:pStyle w:val="Textonotapie"/>
        <w:rPr>
          <w:lang w:val="es-CO"/>
        </w:rPr>
      </w:pPr>
      <w:r>
        <w:rPr>
          <w:rStyle w:val="Refdenotaalpie"/>
        </w:rPr>
        <w:footnoteRef/>
      </w:r>
      <w:r>
        <w:t xml:space="preserve"> </w:t>
      </w:r>
      <w:r>
        <w:rPr>
          <w:lang w:val="es-CO"/>
        </w:rPr>
        <w:t>Expediente electrónico.</w:t>
      </w:r>
    </w:p>
  </w:footnote>
  <w:footnote w:id="20">
    <w:p w14:paraId="7F657ADA" w14:textId="77777777" w:rsidR="00654072" w:rsidRDefault="00654072">
      <w:pPr>
        <w:pStyle w:val="Textonotapie"/>
        <w:rPr>
          <w:lang w:val="es-CO"/>
        </w:rPr>
      </w:pPr>
      <w:r>
        <w:rPr>
          <w:rStyle w:val="Refdenotaalpie"/>
        </w:rPr>
        <w:footnoteRef/>
      </w:r>
      <w:r>
        <w:t xml:space="preserve"> </w:t>
      </w:r>
      <w:r>
        <w:rPr>
          <w:lang w:val="es-CO"/>
        </w:rPr>
        <w:t>Folio 810, cuaderno principal segunda instancia.</w:t>
      </w:r>
    </w:p>
    <w:p w14:paraId="7326FB5F" w14:textId="77777777" w:rsidR="00654072" w:rsidRPr="00545281" w:rsidRDefault="00654072">
      <w:pPr>
        <w:pStyle w:val="Textonotapie"/>
        <w:rPr>
          <w:lang w:val="es-CO"/>
        </w:rPr>
      </w:pPr>
      <w:r>
        <w:rPr>
          <w:lang w:val="es-CO"/>
        </w:rPr>
        <w:t xml:space="preserve"> </w:t>
      </w:r>
    </w:p>
  </w:footnote>
  <w:footnote w:id="21">
    <w:p w14:paraId="39866738" w14:textId="77777777" w:rsidR="00654072" w:rsidRDefault="00654072" w:rsidP="009B4453">
      <w:pPr>
        <w:pStyle w:val="Textonotapie"/>
        <w:spacing w:line="240" w:lineRule="auto"/>
        <w:rPr>
          <w:rFonts w:cs="Arial"/>
          <w:i/>
          <w:color w:val="000000"/>
          <w:shd w:val="clear" w:color="auto" w:fill="FFFFFF"/>
        </w:rPr>
      </w:pPr>
      <w:r>
        <w:rPr>
          <w:rStyle w:val="Refdenotaalpie"/>
        </w:rPr>
        <w:footnoteRef/>
      </w:r>
      <w:r>
        <w:t xml:space="preserve"> </w:t>
      </w:r>
      <w:r w:rsidRPr="00EA5153">
        <w:rPr>
          <w:i/>
        </w:rPr>
        <w:t xml:space="preserve">Ley 1150 de 2007, </w:t>
      </w:r>
      <w:r w:rsidRPr="009B4453">
        <w:rPr>
          <w:rFonts w:cs="Arial"/>
          <w:bCs/>
          <w:i/>
          <w:color w:val="000000"/>
          <w:shd w:val="clear" w:color="auto" w:fill="FFFFFF"/>
        </w:rPr>
        <w:t>Artículo 13.</w:t>
      </w:r>
      <w:r w:rsidRPr="00EA5153">
        <w:rPr>
          <w:rFonts w:cs="Arial"/>
          <w:b/>
          <w:bCs/>
          <w:i/>
          <w:color w:val="000000"/>
          <w:shd w:val="clear" w:color="auto" w:fill="FFFFFF"/>
        </w:rPr>
        <w:t> </w:t>
      </w:r>
      <w:r w:rsidRPr="00EA5153">
        <w:rPr>
          <w:rFonts w:cs="Arial"/>
          <w:i/>
          <w:iCs/>
          <w:color w:val="000000"/>
          <w:shd w:val="clear" w:color="auto" w:fill="FFFFFF"/>
        </w:rPr>
        <w:t>Principios generales de la actividad contractual para entidades no sometidas al Estatuto General de Contratación de la Administración Pública. </w:t>
      </w:r>
      <w:r w:rsidRPr="00EA5153">
        <w:rPr>
          <w:rFonts w:cs="Arial"/>
          <w:i/>
          <w:color w:val="000000"/>
          <w:shd w:val="clear" w:color="auto" w:fill="FFFFFF"/>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Pr>
          <w:rFonts w:cs="Arial"/>
          <w:i/>
          <w:color w:val="000000"/>
          <w:shd w:val="clear" w:color="auto" w:fill="FFFFFF"/>
        </w:rPr>
        <w:t>”</w:t>
      </w:r>
      <w:r w:rsidRPr="00EA5153">
        <w:rPr>
          <w:rFonts w:cs="Arial"/>
          <w:i/>
          <w:color w:val="000000"/>
          <w:shd w:val="clear" w:color="auto" w:fill="FFFFFF"/>
        </w:rPr>
        <w:t>.</w:t>
      </w:r>
    </w:p>
    <w:p w14:paraId="7432A4FC" w14:textId="77777777" w:rsidR="00654072" w:rsidRPr="00EA5153" w:rsidRDefault="00654072" w:rsidP="009B4453">
      <w:pPr>
        <w:pStyle w:val="Textonotapie"/>
        <w:spacing w:line="240" w:lineRule="auto"/>
        <w:rPr>
          <w:i/>
          <w:lang w:val="es-CO"/>
        </w:rPr>
      </w:pPr>
    </w:p>
  </w:footnote>
  <w:footnote w:id="22">
    <w:p w14:paraId="55F048FD" w14:textId="77777777" w:rsidR="00654072" w:rsidRPr="008F5313" w:rsidRDefault="00654072" w:rsidP="00CD576C">
      <w:pPr>
        <w:pStyle w:val="Textonotapie"/>
        <w:spacing w:line="240" w:lineRule="auto"/>
        <w:rPr>
          <w:rFonts w:cs="Arial"/>
          <w:bCs/>
        </w:rPr>
      </w:pPr>
      <w:r w:rsidRPr="008F5313">
        <w:rPr>
          <w:rStyle w:val="Refdenotaalpie"/>
        </w:rPr>
        <w:footnoteRef/>
      </w:r>
      <w:r w:rsidRPr="008F5313">
        <w:t xml:space="preserve"> “</w:t>
      </w:r>
      <w:r w:rsidRPr="008F5313">
        <w:rPr>
          <w:rFonts w:cs="Arial"/>
          <w:i/>
          <w:color w:val="000000"/>
        </w:rPr>
        <w:t>En cuanto constituye el principal instrumento de ejecución del gasto público, la contratación pública aparece como un asunto esencial para el correcto devenir de la administración pública y, por ende, para la satisfacción de los cometidos estatales. Adicionalmente, por el tamaño de la misma, es sin duda también la contratación pública un instrumento de singular valía dentro del entorno de la materialización de los objetivos socio-económicos de la administración. // (…) // El proyecto de ley que hoy se presenta no tiene por objeto dictar un nuevo estatuto general de contratación, sino introducir medidas puntuales que permitan a las entidades hacer más eficiente y transparente su gestión, así como corregir algunas fallas que se han presentado en su aplicación y que han derivado en espacios que son aprovechados por la corrupción para desviar los recursos de las finalidades estatales a los que se encuentran destinados. De igual manera se propone la adopción de medidas legislativas que, aplicables a toda contratación efectuada con recursos públicos con independencia de su régimen legal, aseguren la vigencia uniforme de los principios constitucionales de la función pública y del régimen legal de inhabilidades e incompatibilidades. En puntos tan cardinales, no puede haber excepción alguna”.</w:t>
      </w:r>
      <w:r w:rsidRPr="008F5313">
        <w:rPr>
          <w:rFonts w:cs="Arial"/>
          <w:color w:val="000000"/>
        </w:rPr>
        <w:t xml:space="preserve"> www.imprenta.gov.co/ documento: P</w:t>
      </w:r>
      <w:r w:rsidRPr="008F5313">
        <w:rPr>
          <w:rFonts w:cs="Arial"/>
          <w:bCs/>
        </w:rPr>
        <w:t>royecto de Ley 20 de 2005 senado, fecha de consulta 09/08/2017.</w:t>
      </w:r>
    </w:p>
    <w:p w14:paraId="7E2CEC0C" w14:textId="77777777" w:rsidR="00654072" w:rsidRPr="008F5313" w:rsidRDefault="00654072" w:rsidP="00CD576C">
      <w:pPr>
        <w:pStyle w:val="Textonotapie"/>
        <w:spacing w:line="240" w:lineRule="auto"/>
        <w:rPr>
          <w:lang w:val="es-CO"/>
        </w:rPr>
      </w:pPr>
    </w:p>
  </w:footnote>
  <w:footnote w:id="23">
    <w:p w14:paraId="1C6875E8" w14:textId="77777777" w:rsidR="00654072" w:rsidRPr="006F6443" w:rsidRDefault="00654072" w:rsidP="00CD576C">
      <w:pPr>
        <w:pStyle w:val="Textonotapie"/>
        <w:spacing w:line="240" w:lineRule="auto"/>
        <w:rPr>
          <w:lang w:val="es-CO"/>
        </w:rPr>
      </w:pPr>
      <w:r w:rsidRPr="008F5313">
        <w:rPr>
          <w:rStyle w:val="Refdenotaalpie"/>
          <w:rFonts w:cs="Arial"/>
          <w:i/>
        </w:rPr>
        <w:footnoteRef/>
      </w:r>
      <w:r w:rsidRPr="008F5313">
        <w:rPr>
          <w:rFonts w:cs="Arial"/>
          <w:i/>
        </w:rPr>
        <w:t xml:space="preserve"> “</w:t>
      </w:r>
      <w:r w:rsidRPr="008F5313">
        <w:rPr>
          <w:rFonts w:cs="Arial"/>
          <w:i/>
          <w:color w:val="000000"/>
        </w:rPr>
        <w:t xml:space="preserve">Los artículos 12 y 13 del proyecto de ley señalan los principios y límites a que debe someterse la actividad contractual de entidades estatales que por la naturaleza de la función o de los servicios que prestan, requieren de procedimientos contractuales que les permitan competir en igualdad de condiciones con los particulares. En ese sentido el proyecto permite que quienes como entidades públicas tienen objetos de naturaleza comercial, industrial o financiera, rijan su actividad por las normas de la misma </w:t>
      </w:r>
      <w:r w:rsidRPr="008F5313">
        <w:rPr>
          <w:rFonts w:cs="Arial"/>
          <w:b/>
          <w:i/>
          <w:color w:val="000000"/>
        </w:rPr>
        <w:t>en aras de su competitividad</w:t>
      </w:r>
      <w:r w:rsidRPr="008F5313">
        <w:rPr>
          <w:rFonts w:cs="Arial"/>
          <w:i/>
          <w:color w:val="000000"/>
        </w:rPr>
        <w:t xml:space="preserve">, pero que ello no sirva de excusa a la aplicación de los fines de la función pública, ni mucho menos a la universalidad del sistema de inhabilidades e incompatibilidades para contratar con el Estado”. </w:t>
      </w:r>
      <w:r w:rsidRPr="008F5313">
        <w:rPr>
          <w:rFonts w:cs="Arial"/>
          <w:color w:val="000000"/>
        </w:rPr>
        <w:t>(la negrilla no es del texto).</w:t>
      </w:r>
      <w:r w:rsidRPr="008F5313">
        <w:rPr>
          <w:rFonts w:cs="Arial"/>
          <w:i/>
          <w:color w:val="000000"/>
        </w:rPr>
        <w:t xml:space="preserve"> </w:t>
      </w:r>
      <w:r w:rsidRPr="008F5313">
        <w:rPr>
          <w:rFonts w:cs="Arial"/>
          <w:color w:val="000000"/>
        </w:rPr>
        <w:t>www.imprenta.gov.co/ documento: P</w:t>
      </w:r>
      <w:r w:rsidRPr="008F5313">
        <w:rPr>
          <w:rFonts w:cs="Arial"/>
          <w:bCs/>
        </w:rPr>
        <w:t>royecto de ley 20 de 2005 senado , fecha de consulta 09/08/2017</w:t>
      </w:r>
      <w:r>
        <w:rPr>
          <w:rFonts w:cs="Arial"/>
          <w:bCs/>
        </w:rPr>
        <w:t>.</w:t>
      </w:r>
    </w:p>
  </w:footnote>
  <w:footnote w:id="24">
    <w:p w14:paraId="6E800E55" w14:textId="77777777" w:rsidR="00654072" w:rsidRPr="00282C9B" w:rsidRDefault="00654072">
      <w:pPr>
        <w:pStyle w:val="Textonotapie"/>
        <w:rPr>
          <w:lang w:val="es-CO"/>
        </w:rPr>
      </w:pPr>
      <w:r w:rsidRPr="00282C9B">
        <w:rPr>
          <w:rStyle w:val="Refdenotaalpie"/>
        </w:rPr>
        <w:footnoteRef/>
      </w:r>
      <w:r w:rsidRPr="00282C9B">
        <w:t xml:space="preserve"> </w:t>
      </w:r>
      <w:r w:rsidRPr="00282C9B">
        <w:rPr>
          <w:lang w:val="es-CO"/>
        </w:rPr>
        <w:t xml:space="preserve">Los patrimonios autónomos creados por ley en cabeza de determinadas fiduciarias públicas. </w:t>
      </w:r>
    </w:p>
  </w:footnote>
  <w:footnote w:id="25">
    <w:p w14:paraId="41B2D6E7" w14:textId="77777777" w:rsidR="00654072" w:rsidRPr="00282C9B" w:rsidRDefault="00654072" w:rsidP="00455B6B">
      <w:pPr>
        <w:pStyle w:val="Textonotapie"/>
        <w:spacing w:line="240" w:lineRule="auto"/>
      </w:pPr>
      <w:r w:rsidRPr="00282C9B">
        <w:rPr>
          <w:rStyle w:val="Refdenotaalpie"/>
        </w:rPr>
        <w:footnoteRef/>
      </w:r>
      <w:r w:rsidRPr="00282C9B">
        <w:t xml:space="preserve"> Dentro de las cinco estrategias transversales propuestas, en el tema de la competitividad, y de la asignación eficiente del recurso público,  puede destacarse lo siguiente: </w:t>
      </w:r>
    </w:p>
    <w:p w14:paraId="04EB37DC" w14:textId="77777777" w:rsidR="00654072" w:rsidRPr="00282C9B" w:rsidRDefault="00654072" w:rsidP="00455B6B">
      <w:pPr>
        <w:pStyle w:val="Textonotapie"/>
        <w:spacing w:line="240" w:lineRule="auto"/>
      </w:pPr>
    </w:p>
    <w:p w14:paraId="4ECAA187" w14:textId="77777777" w:rsidR="00654072" w:rsidRPr="00282C9B" w:rsidRDefault="00654072" w:rsidP="00455B6B">
      <w:pPr>
        <w:pStyle w:val="Textonotapie"/>
        <w:spacing w:line="240" w:lineRule="auto"/>
        <w:rPr>
          <w:i/>
        </w:rPr>
      </w:pPr>
      <w:r w:rsidRPr="00282C9B">
        <w:rPr>
          <w:i/>
        </w:rPr>
        <w:t>“Competitividad e infraestructura estratégicas: La estrategia de competitividad e infraestructura estratégicas es la estrategia de crecimiento económico del Plan. Esta estrategia transversal se fija cinco objetivos: (1) el desarrollo productivo, (…) (4) el desarrollo de la infraestructura y servicios de logística y transporte para la integración territorial, (…).</w:t>
      </w:r>
    </w:p>
    <w:p w14:paraId="4EA39122" w14:textId="77777777" w:rsidR="00654072" w:rsidRPr="00282C9B" w:rsidRDefault="00654072" w:rsidP="00455B6B">
      <w:pPr>
        <w:pStyle w:val="Textonotapie"/>
        <w:spacing w:line="240" w:lineRule="auto"/>
        <w:rPr>
          <w:i/>
        </w:rPr>
      </w:pPr>
    </w:p>
    <w:p w14:paraId="74039E10" w14:textId="77777777" w:rsidR="00654072" w:rsidRPr="00455B6B" w:rsidRDefault="00654072" w:rsidP="00455B6B">
      <w:pPr>
        <w:pStyle w:val="Textonotapie"/>
        <w:spacing w:line="240" w:lineRule="auto"/>
        <w:rPr>
          <w:i/>
          <w:lang w:val="es-CO"/>
        </w:rPr>
      </w:pPr>
      <w:r w:rsidRPr="00282C9B">
        <w:rPr>
          <w:i/>
        </w:rPr>
        <w:t>“Buen gobierno: La estrategia transversal de buen gobierno busca que el ciudadano y sus derechos sean la prioridad del Estado, y que las organizaciones públicas logren los efectos esperados de su misión: asignaciones eficientes, respuesta a las necesidades del ciudadano, mitigación de las fallas del mercado y promoción de la equidad. Un buen gobierno planea y ejecuta sus recursos de manera eficiente, eficaz y transparente. Sus objetivos son: (1) el fortalecimiento de la articulación Nación-territorio; (…) (5) la gestión óptima de la inversión y de los recursos públicos, (…). EXPOSICIÓN DE MOTIVOS PROYECTO DE LEY “Por la cual se expide el Plan Nacional de Desarrollo 2014-2018: ‘Todos por un nuevo país’.”.</w:t>
      </w:r>
    </w:p>
  </w:footnote>
  <w:footnote w:id="26">
    <w:p w14:paraId="49D3CE6A" w14:textId="77777777" w:rsidR="00654072" w:rsidRPr="007E13D1" w:rsidRDefault="00654072" w:rsidP="004F1304">
      <w:pPr>
        <w:pStyle w:val="Textonotapie"/>
        <w:spacing w:line="240" w:lineRule="auto"/>
        <w:rPr>
          <w:lang w:val="es-CO"/>
        </w:rPr>
      </w:pPr>
      <w:r w:rsidRPr="00282C9B">
        <w:rPr>
          <w:rStyle w:val="Refdenotaalpie"/>
        </w:rPr>
        <w:footnoteRef/>
      </w:r>
      <w:r w:rsidRPr="00282C9B">
        <w:t xml:space="preserve"> </w:t>
      </w:r>
      <w:r w:rsidRPr="00282C9B">
        <w:rPr>
          <w:lang w:val="es-CO"/>
        </w:rPr>
        <w:t>El sector financiero –no solo los bancos- cumplen con un servicio público en cuanto administran recursos del público e intermedian riesgos financieros con un impacto sistémico en la economía del país y en múltiples de los pilares básicos de la gestión pública. Para entender la noción de servicio público ínsita y tradicionalmente reconocida en la actividad financiera, basta con observar la gestión de los fondos financieros de la salud, las pensiones, la educación, la atención de desastres y los proyectos de desarrollo, entre otros.</w:t>
      </w:r>
      <w:r w:rsidRPr="00076569">
        <w:rPr>
          <w:rFonts w:cs="Arial"/>
          <w:color w:val="000000"/>
        </w:rPr>
        <w:t xml:space="preserve"> </w:t>
      </w:r>
      <w:r>
        <w:rPr>
          <w:lang w:val="es-CO"/>
        </w:rPr>
        <w:t xml:space="preserve"> </w:t>
      </w:r>
    </w:p>
  </w:footnote>
  <w:footnote w:id="27">
    <w:p w14:paraId="5DA2830F" w14:textId="77777777" w:rsidR="00654072" w:rsidRPr="00CF1943" w:rsidRDefault="00654072">
      <w:pPr>
        <w:pStyle w:val="Textonotapie"/>
        <w:rPr>
          <w:lang w:val="es-CO"/>
        </w:rPr>
      </w:pPr>
      <w:r>
        <w:rPr>
          <w:rStyle w:val="Refdenotaalpie"/>
        </w:rPr>
        <w:footnoteRef/>
      </w:r>
      <w:r>
        <w:t xml:space="preserve"> </w:t>
      </w:r>
      <w:r>
        <w:rPr>
          <w:lang w:val="es-CO"/>
        </w:rPr>
        <w:t>Artículos 2 y 75 de la Ley 80 de 1993.</w:t>
      </w:r>
    </w:p>
  </w:footnote>
  <w:footnote w:id="28">
    <w:p w14:paraId="3E8ACC63" w14:textId="77777777" w:rsidR="00654072" w:rsidRDefault="00654072" w:rsidP="007C3B64">
      <w:pPr>
        <w:pStyle w:val="Textonotapie"/>
        <w:spacing w:line="240" w:lineRule="auto"/>
        <w:rPr>
          <w:lang w:val="es-CO"/>
        </w:rPr>
      </w:pPr>
      <w:r>
        <w:rPr>
          <w:rStyle w:val="Refdenotaalpie"/>
        </w:rPr>
        <w:footnoteRef/>
      </w:r>
      <w:r>
        <w:t xml:space="preserve"> El criterio orgánico se refiere a la asignación de jurisdicción competente para conocer de las controversias contractuales con base en naturaleza de entidad pública de una de las partes del contrato, de acuerdo con la enumeración del artículo 2º de la Ley 80 de 1993. Este criterio fue corroborado como regla general de la determinación de la jurisdicción competente, de acuerdo con las modificaciones introducidas por el artículo 30 de </w:t>
      </w:r>
      <w:r>
        <w:rPr>
          <w:lang w:val="es-CO"/>
        </w:rPr>
        <w:t>la Ley 446 de 1998, la cual entró a regir el 8 de julio de 1998 y por el artículo 1º de la Ley 1107 de 27 de diciembre 2006.  Igualmente constituye una de las reglas generales para determinar la jurisdicción y competencia en el medio de control de controversias contractuales previsto en el artículo 104 del Código de Procedimiento Administrativo y Contencioso Administrativo (C.P.A.C.A.) el cual entró a regir el 2 de julio de 2012.</w:t>
      </w:r>
    </w:p>
    <w:p w14:paraId="6DCFC80E" w14:textId="77777777" w:rsidR="00654072" w:rsidRDefault="00654072" w:rsidP="007C3B64">
      <w:pPr>
        <w:pStyle w:val="Textonotapie"/>
        <w:spacing w:line="240" w:lineRule="auto"/>
        <w:rPr>
          <w:lang w:val="es-CO"/>
        </w:rPr>
      </w:pPr>
    </w:p>
    <w:p w14:paraId="573AB5F9" w14:textId="77777777" w:rsidR="00654072" w:rsidRPr="00812A33" w:rsidRDefault="00654072" w:rsidP="00621A91">
      <w:pPr>
        <w:shd w:val="clear" w:color="auto" w:fill="FFFFFF"/>
        <w:spacing w:line="240" w:lineRule="auto"/>
        <w:rPr>
          <w:rFonts w:cs="Arial"/>
          <w:i/>
          <w:color w:val="000000"/>
          <w:sz w:val="20"/>
          <w:szCs w:val="20"/>
        </w:rPr>
      </w:pPr>
      <w:r>
        <w:rPr>
          <w:rFonts w:cs="Arial"/>
          <w:bCs/>
          <w:color w:val="000000"/>
          <w:sz w:val="20"/>
          <w:szCs w:val="20"/>
        </w:rPr>
        <w:t>“</w:t>
      </w:r>
      <w:r w:rsidRPr="00812A33">
        <w:rPr>
          <w:rFonts w:cs="Arial"/>
          <w:bCs/>
          <w:i/>
          <w:color w:val="000000"/>
          <w:sz w:val="20"/>
          <w:szCs w:val="20"/>
        </w:rPr>
        <w:t>Artículo 104 CPACA</w:t>
      </w:r>
      <w:r w:rsidRPr="00812A33">
        <w:rPr>
          <w:rFonts w:cs="Arial"/>
          <w:bCs/>
          <w:i/>
          <w:iCs/>
          <w:color w:val="000000"/>
          <w:sz w:val="20"/>
          <w:szCs w:val="20"/>
        </w:rPr>
        <w:t>. De la Jurisdicción de lo Contencioso Administrativo.</w:t>
      </w:r>
      <w:r w:rsidRPr="00812A33">
        <w:rPr>
          <w:rFonts w:cs="Arial"/>
          <w:i/>
          <w:iCs/>
          <w:color w:val="000000"/>
          <w:sz w:val="20"/>
          <w:szCs w:val="20"/>
        </w:rPr>
        <w:t> </w:t>
      </w:r>
      <w:r w:rsidRPr="00812A33">
        <w:rPr>
          <w:rFonts w:cs="Arial"/>
          <w:i/>
          <w:color w:val="000000"/>
          <w:sz w:val="20"/>
          <w:szCs w:val="20"/>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14:paraId="0263F916" w14:textId="77777777" w:rsidR="00654072" w:rsidRPr="00812A33" w:rsidRDefault="00654072" w:rsidP="00621A91">
      <w:pPr>
        <w:shd w:val="clear" w:color="auto" w:fill="FFFFFF"/>
        <w:spacing w:line="240" w:lineRule="auto"/>
        <w:rPr>
          <w:rFonts w:cs="Arial"/>
          <w:i/>
          <w:color w:val="000000"/>
          <w:sz w:val="20"/>
          <w:szCs w:val="20"/>
        </w:rPr>
      </w:pPr>
      <w:r w:rsidRPr="00812A33">
        <w:rPr>
          <w:rFonts w:cs="Arial"/>
          <w:i/>
          <w:color w:val="000000"/>
          <w:sz w:val="20"/>
          <w:szCs w:val="20"/>
        </w:rPr>
        <w:t>Igualmente conocerá de los siguientes procesos:</w:t>
      </w:r>
    </w:p>
    <w:p w14:paraId="50577C7C" w14:textId="77777777" w:rsidR="00654072" w:rsidRDefault="00654072" w:rsidP="00621A91">
      <w:pPr>
        <w:shd w:val="clear" w:color="auto" w:fill="FFFFFF"/>
        <w:spacing w:line="240" w:lineRule="auto"/>
        <w:rPr>
          <w:rFonts w:cs="Arial"/>
          <w:i/>
          <w:color w:val="000000"/>
          <w:sz w:val="20"/>
          <w:szCs w:val="20"/>
        </w:rPr>
      </w:pPr>
    </w:p>
    <w:p w14:paraId="474F836E" w14:textId="77777777" w:rsidR="00654072" w:rsidRPr="00812A33" w:rsidRDefault="00654072" w:rsidP="00621A91">
      <w:pPr>
        <w:shd w:val="clear" w:color="auto" w:fill="FFFFFF"/>
        <w:spacing w:line="240" w:lineRule="auto"/>
        <w:rPr>
          <w:rFonts w:cs="Arial"/>
          <w:i/>
          <w:color w:val="000000"/>
          <w:sz w:val="20"/>
          <w:szCs w:val="20"/>
        </w:rPr>
      </w:pPr>
      <w:r>
        <w:rPr>
          <w:rFonts w:cs="Arial"/>
          <w:i/>
          <w:color w:val="000000"/>
          <w:sz w:val="20"/>
          <w:szCs w:val="20"/>
        </w:rPr>
        <w:t>“</w:t>
      </w:r>
      <w:r w:rsidRPr="00812A33">
        <w:rPr>
          <w:rFonts w:cs="Arial"/>
          <w:i/>
          <w:color w:val="000000"/>
          <w:sz w:val="20"/>
          <w:szCs w:val="20"/>
        </w:rPr>
        <w:t>1. Los relativos a la responsabilidad extracontractual de cualquier entidad pública, cualquiera que sea el régimen aplicable.</w:t>
      </w:r>
    </w:p>
    <w:p w14:paraId="5071F065" w14:textId="77777777" w:rsidR="00654072" w:rsidRDefault="00654072" w:rsidP="00621A91">
      <w:pPr>
        <w:shd w:val="clear" w:color="auto" w:fill="FFFFFF"/>
        <w:spacing w:line="240" w:lineRule="auto"/>
        <w:rPr>
          <w:rFonts w:cs="Arial"/>
          <w:i/>
          <w:color w:val="000000"/>
          <w:sz w:val="20"/>
          <w:szCs w:val="20"/>
        </w:rPr>
      </w:pPr>
    </w:p>
    <w:p w14:paraId="3E203FF0" w14:textId="77777777" w:rsidR="00654072" w:rsidRPr="00812A33" w:rsidRDefault="00654072" w:rsidP="00812A33">
      <w:pPr>
        <w:shd w:val="clear" w:color="auto" w:fill="FFFFFF"/>
        <w:spacing w:line="240" w:lineRule="auto"/>
        <w:rPr>
          <w:i/>
          <w:lang w:val="es-CO"/>
        </w:rPr>
      </w:pPr>
      <w:r>
        <w:rPr>
          <w:rFonts w:cs="Arial"/>
          <w:i/>
          <w:color w:val="000000"/>
          <w:sz w:val="20"/>
          <w:szCs w:val="20"/>
        </w:rPr>
        <w:t>“</w:t>
      </w:r>
      <w:r w:rsidRPr="00812A33">
        <w:rPr>
          <w:rFonts w:cs="Arial"/>
          <w:i/>
          <w:color w:val="000000"/>
          <w:sz w:val="20"/>
          <w:szCs w:val="20"/>
        </w:rPr>
        <w:t>2. Los relativos a los contratos, cualquiera que sea su régimen, en los que sea parte una entidad pública o un particular en ejercicio de funciones propias del Estado.</w:t>
      </w:r>
    </w:p>
    <w:p w14:paraId="7641AD94" w14:textId="77777777" w:rsidR="00654072" w:rsidRPr="00C045C1" w:rsidRDefault="00654072" w:rsidP="007C3B64">
      <w:pPr>
        <w:pStyle w:val="Textonotapie"/>
        <w:spacing w:line="240" w:lineRule="auto"/>
        <w:rPr>
          <w:lang w:val="es-CO"/>
        </w:rPr>
      </w:pPr>
    </w:p>
  </w:footnote>
  <w:footnote w:id="29">
    <w:p w14:paraId="50AD0D56" w14:textId="77777777" w:rsidR="00654072" w:rsidRDefault="00654072" w:rsidP="005C4986">
      <w:pPr>
        <w:pStyle w:val="Textonotapie"/>
        <w:spacing w:line="240" w:lineRule="auto"/>
      </w:pPr>
      <w:r>
        <w:rPr>
          <w:rStyle w:val="Refdenotaalpie"/>
        </w:rPr>
        <w:footnoteRef/>
      </w:r>
      <w:r>
        <w:t xml:space="preserve"> De acuerdo con el certificado de la Superintendencia Financiera de Colombia, que obra en el proceso, el FONDO FINANCIERO DE PROYECTOS DE DESARROLLO FONADE, es una </w:t>
      </w:r>
      <w:r w:rsidRPr="00F45EB8">
        <w:rPr>
          <w:i/>
        </w:rPr>
        <w:t>“persona jurídica autónoma, empresa industrial y comercial del estado, de carácter financiero dotada de personería jurídica, autonomía administrativa, patrimonio propio y vinculada al Departamento Nacional de Planeación</w:t>
      </w:r>
      <w:r>
        <w:rPr>
          <w:i/>
        </w:rPr>
        <w:t>”</w:t>
      </w:r>
      <w:r w:rsidRPr="00F45EB8">
        <w:rPr>
          <w:i/>
        </w:rPr>
        <w:t xml:space="preserve">. </w:t>
      </w:r>
      <w:r w:rsidRPr="00F45EB8">
        <w:t>Igualmente es una entidad sometida al control y vigilancia de la Superintendencia Financiera de Colombia</w:t>
      </w:r>
      <w:r>
        <w:t xml:space="preserve"> (folio 284, cuaderno 1).</w:t>
      </w:r>
    </w:p>
    <w:p w14:paraId="19E57EC7" w14:textId="77777777" w:rsidR="00654072" w:rsidRPr="00C43BE3" w:rsidRDefault="00654072" w:rsidP="005C4986">
      <w:pPr>
        <w:pStyle w:val="Textonotapie"/>
        <w:spacing w:line="240" w:lineRule="auto"/>
        <w:rPr>
          <w:lang w:val="es-CO"/>
        </w:rPr>
      </w:pPr>
    </w:p>
  </w:footnote>
  <w:footnote w:id="30">
    <w:p w14:paraId="143D464D" w14:textId="77777777" w:rsidR="00654072" w:rsidRDefault="00654072" w:rsidP="00812A33">
      <w:pPr>
        <w:pStyle w:val="Textonotapie"/>
        <w:spacing w:line="240" w:lineRule="auto"/>
        <w:rPr>
          <w:rFonts w:cs="Arial"/>
        </w:rPr>
      </w:pPr>
      <w:r w:rsidRPr="002A58BF">
        <w:rPr>
          <w:rStyle w:val="Refdenotaalpie"/>
          <w:rFonts w:cs="Arial"/>
        </w:rPr>
        <w:footnoteRef/>
      </w:r>
      <w:r w:rsidRPr="002A58BF">
        <w:rPr>
          <w:rFonts w:cs="Arial"/>
        </w:rPr>
        <w:t xml:space="preserve"> El análisis de esa sentencia se hizo a la luz de las normas del CCA -Decreto 01 de 1984-</w:t>
      </w:r>
      <w:r>
        <w:rPr>
          <w:rFonts w:cs="Arial"/>
        </w:rPr>
        <w:t xml:space="preserve">, por lo que no resulta aplicable para este caso, puesto que la demanda se presentó en vigencia del CPACA. </w:t>
      </w:r>
    </w:p>
    <w:p w14:paraId="0DBEBFAF" w14:textId="77777777" w:rsidR="00654072" w:rsidRPr="002A58BF" w:rsidRDefault="00654072" w:rsidP="00812A33">
      <w:pPr>
        <w:pStyle w:val="Textonotapie"/>
        <w:spacing w:line="240" w:lineRule="auto"/>
        <w:rPr>
          <w:rFonts w:cs="Arial"/>
          <w:lang w:val="es-CO"/>
        </w:rPr>
      </w:pPr>
    </w:p>
  </w:footnote>
  <w:footnote w:id="31">
    <w:p w14:paraId="69CC4987" w14:textId="77777777" w:rsidR="00654072" w:rsidRPr="00911576" w:rsidRDefault="00654072" w:rsidP="00C521E2">
      <w:pPr>
        <w:pStyle w:val="Sangradetextonormal"/>
        <w:tabs>
          <w:tab w:val="left" w:pos="8505"/>
        </w:tabs>
        <w:spacing w:after="0" w:line="276" w:lineRule="auto"/>
        <w:ind w:left="0"/>
        <w:rPr>
          <w:lang w:val="es-CO"/>
        </w:rPr>
      </w:pPr>
      <w:r>
        <w:rPr>
          <w:rStyle w:val="Refdenotaalpie"/>
        </w:rPr>
        <w:footnoteRef/>
      </w:r>
      <w:r>
        <w:t xml:space="preserve"> </w:t>
      </w:r>
      <w:r w:rsidRPr="009B1D08">
        <w:rPr>
          <w:rFonts w:ascii="Arial" w:hAnsi="Arial" w:cs="Arial"/>
          <w:bCs/>
          <w:i/>
          <w:color w:val="000000"/>
          <w:sz w:val="20"/>
          <w:shd w:val="clear" w:color="auto" w:fill="FFFFFF"/>
        </w:rPr>
        <w:t>“Artículo 26</w:t>
      </w:r>
      <w:r w:rsidRPr="009B1D08">
        <w:rPr>
          <w:rStyle w:val="Refdenotaalpie"/>
          <w:rFonts w:ascii="Arial" w:hAnsi="Arial" w:cs="Arial"/>
          <w:bCs/>
          <w:i/>
          <w:color w:val="000000"/>
          <w:sz w:val="20"/>
          <w:shd w:val="clear" w:color="auto" w:fill="FFFFFF"/>
        </w:rPr>
        <w:footnoteRef/>
      </w:r>
      <w:r w:rsidRPr="009B1D08">
        <w:rPr>
          <w:rFonts w:ascii="Arial" w:hAnsi="Arial" w:cs="Arial"/>
          <w:bCs/>
          <w:i/>
          <w:color w:val="000000"/>
          <w:sz w:val="20"/>
          <w:shd w:val="clear" w:color="auto" w:fill="FFFFFF"/>
        </w:rPr>
        <w:t>.</w:t>
      </w:r>
      <w:r w:rsidRPr="009B1D08">
        <w:rPr>
          <w:rFonts w:ascii="Arial" w:hAnsi="Arial" w:cs="Arial"/>
          <w:b/>
          <w:bCs/>
          <w:i/>
          <w:color w:val="000000"/>
          <w:sz w:val="20"/>
          <w:shd w:val="clear" w:color="auto" w:fill="FFFFFF"/>
        </w:rPr>
        <w:t> </w:t>
      </w:r>
      <w:r w:rsidRPr="009B1D08">
        <w:rPr>
          <w:rFonts w:ascii="Arial" w:hAnsi="Arial" w:cs="Arial"/>
          <w:i/>
          <w:color w:val="000000"/>
          <w:sz w:val="20"/>
          <w:shd w:val="clear" w:color="auto" w:fill="FFFFFF"/>
        </w:rPr>
        <w:t xml:space="preserve"> Del Fondo Financiero de Proyectos de Desarrollo. El Fondo Financiero de Proyectos de Desarrollo, Fonade se regirá por las normas del Estatuto General de Contratación de la Administración Pública contenido en la Ley 80 de 1993 y en las demás normas que lo modifiquen, deroguen o adicionen”. </w:t>
      </w:r>
      <w:r w:rsidRPr="009B1D08">
        <w:rPr>
          <w:rFonts w:ascii="Arial" w:hAnsi="Arial" w:cs="Arial"/>
          <w:sz w:val="20"/>
          <w:lang w:val="es-CO"/>
        </w:rPr>
        <w:t xml:space="preserve">Derogado por la Ley 1450 de 2011, que entró a regir el 16 de junio de 2011. </w:t>
      </w:r>
    </w:p>
  </w:footnote>
  <w:footnote w:id="32">
    <w:p w14:paraId="5D2DBFA5" w14:textId="77777777" w:rsidR="00654072" w:rsidRPr="00C521E2" w:rsidRDefault="00654072" w:rsidP="00560914">
      <w:pPr>
        <w:pStyle w:val="NormalWeb"/>
        <w:shd w:val="clear" w:color="auto" w:fill="FFFFFF"/>
        <w:spacing w:line="240" w:lineRule="auto"/>
        <w:rPr>
          <w:lang w:val="es-CO"/>
        </w:rPr>
      </w:pPr>
      <w:r w:rsidRPr="007E3774">
        <w:rPr>
          <w:rStyle w:val="Refdenotaalpie"/>
          <w:i/>
          <w:sz w:val="20"/>
          <w:szCs w:val="20"/>
        </w:rPr>
        <w:footnoteRef/>
      </w:r>
      <w:r w:rsidRPr="007E3774">
        <w:rPr>
          <w:i/>
          <w:sz w:val="20"/>
          <w:szCs w:val="20"/>
        </w:rPr>
        <w:t xml:space="preserve"> </w:t>
      </w:r>
      <w:r w:rsidRPr="007E3774">
        <w:rPr>
          <w:sz w:val="20"/>
          <w:szCs w:val="20"/>
        </w:rPr>
        <w:t>De conformidad con el artículo 286 del Estatuto Orgánico del Sistema Financiero (EOSF):</w:t>
      </w:r>
      <w:r w:rsidRPr="007E3774">
        <w:rPr>
          <w:i/>
          <w:sz w:val="20"/>
          <w:szCs w:val="20"/>
        </w:rPr>
        <w:t xml:space="preserve"> “</w:t>
      </w:r>
      <w:r w:rsidRPr="007E3774">
        <w:rPr>
          <w:rFonts w:cs="Arial"/>
          <w:bCs/>
          <w:i/>
          <w:color w:val="000000"/>
          <w:sz w:val="20"/>
          <w:szCs w:val="20"/>
        </w:rPr>
        <w:t>2.</w:t>
      </w:r>
      <w:r w:rsidRPr="00C521E2">
        <w:rPr>
          <w:rFonts w:cs="Arial"/>
          <w:bCs/>
          <w:i/>
          <w:color w:val="000000"/>
          <w:sz w:val="20"/>
          <w:szCs w:val="20"/>
        </w:rPr>
        <w:t xml:space="preserve"> Objeto</w:t>
      </w:r>
      <w:r w:rsidRPr="00C521E2">
        <w:rPr>
          <w:rFonts w:cs="Arial"/>
          <w:b/>
          <w:bCs/>
          <w:i/>
          <w:color w:val="000000"/>
          <w:sz w:val="20"/>
          <w:szCs w:val="20"/>
        </w:rPr>
        <w:t>.</w:t>
      </w:r>
      <w:r w:rsidRPr="00C521E2">
        <w:rPr>
          <w:rStyle w:val="apple-converted-space"/>
          <w:rFonts w:cs="Arial"/>
          <w:i/>
          <w:color w:val="000000"/>
          <w:sz w:val="20"/>
          <w:szCs w:val="20"/>
        </w:rPr>
        <w:t> </w:t>
      </w:r>
      <w:r w:rsidRPr="00C521E2">
        <w:rPr>
          <w:rFonts w:cs="Arial"/>
          <w:i/>
          <w:color w:val="000000"/>
          <w:sz w:val="20"/>
          <w:szCs w:val="20"/>
        </w:rPr>
        <w:t xml:space="preserve">El Fondo Financiero de Proyectos de Desarrollo -FONADE- tiene por objeto </w:t>
      </w:r>
      <w:r w:rsidRPr="003E64B8">
        <w:rPr>
          <w:rFonts w:cs="Arial"/>
          <w:b/>
          <w:i/>
          <w:color w:val="000000"/>
          <w:sz w:val="20"/>
          <w:szCs w:val="20"/>
        </w:rPr>
        <w:t xml:space="preserve">principal </w:t>
      </w:r>
      <w:r w:rsidRPr="00C521E2">
        <w:rPr>
          <w:rFonts w:cs="Arial"/>
          <w:i/>
          <w:color w:val="000000"/>
          <w:sz w:val="20"/>
          <w:szCs w:val="20"/>
        </w:rPr>
        <w:t>ser agente en el ciclo de proyectos de desarrollo mediante la financiación y administración de estudios, y la coordinación y financiación de la fase de preparación de proyectos de desarrollo</w:t>
      </w:r>
      <w:r w:rsidRPr="00E5066D">
        <w:rPr>
          <w:i/>
          <w:sz w:val="20"/>
          <w:szCs w:val="20"/>
          <w:highlight w:val="lightGray"/>
        </w:rPr>
        <w:t xml:space="preserve"> </w:t>
      </w:r>
      <w:r w:rsidRPr="004973CF">
        <w:rPr>
          <w:sz w:val="20"/>
          <w:szCs w:val="20"/>
        </w:rPr>
        <w:t>De conformidad con el artículo 288 del Estatuto Orgánico del Sistema Financiero (EOSF), FONADE tiene, entre otras, las siguientes funciones:</w:t>
      </w:r>
      <w:r w:rsidRPr="00560914">
        <w:rPr>
          <w:i/>
          <w:sz w:val="20"/>
          <w:szCs w:val="20"/>
        </w:rPr>
        <w:t xml:space="preserve"> “</w:t>
      </w:r>
      <w:r w:rsidRPr="00560914">
        <w:rPr>
          <w:rFonts w:cs="Arial"/>
          <w:i/>
          <w:color w:val="000000"/>
          <w:sz w:val="20"/>
          <w:szCs w:val="20"/>
        </w:rPr>
        <w:t xml:space="preserve">e. Otorgar avales y garantías para créditos destinados a la fase de preparación de proyectos, </w:t>
      </w:r>
      <w:r w:rsidRPr="00560914">
        <w:rPr>
          <w:rFonts w:cs="Arial"/>
          <w:b/>
          <w:i/>
          <w:color w:val="000000"/>
          <w:sz w:val="20"/>
          <w:szCs w:val="20"/>
        </w:rPr>
        <w:t xml:space="preserve">y esquemas de gerencia de proyectos según prioridades y condiciones determinadas por la Junta Directiva” </w:t>
      </w:r>
      <w:r w:rsidRPr="00560914">
        <w:rPr>
          <w:rFonts w:cs="Arial"/>
          <w:color w:val="000000"/>
          <w:sz w:val="20"/>
          <w:szCs w:val="20"/>
        </w:rPr>
        <w:t>(la negrilla no es del texto).</w:t>
      </w:r>
      <w:r w:rsidRPr="00560914">
        <w:rPr>
          <w:rFonts w:cs="Arial"/>
          <w:b/>
          <w:color w:val="000000"/>
          <w:sz w:val="20"/>
          <w:szCs w:val="20"/>
        </w:rPr>
        <w:t xml:space="preserve"> </w:t>
      </w:r>
      <w:r w:rsidRPr="00560914">
        <w:rPr>
          <w:rFonts w:cs="Arial"/>
          <w:sz w:val="20"/>
          <w:szCs w:val="20"/>
        </w:rPr>
        <w:t xml:space="preserve">Según el artículo 2 del Decreto 288 de 2004, FONADE tiene por </w:t>
      </w:r>
      <w:r w:rsidRPr="00560914">
        <w:rPr>
          <w:rFonts w:cs="Arial"/>
          <w:color w:val="000000"/>
          <w:sz w:val="20"/>
          <w:szCs w:val="20"/>
          <w:shd w:val="clear" w:color="auto" w:fill="FFFFFF"/>
        </w:rPr>
        <w:t xml:space="preserve">objeto principal ser agente en cualquiera de las etapas del ciclo de proyectos de desarrollo, mediante la preparación, financiación, administración y </w:t>
      </w:r>
      <w:r w:rsidRPr="00560914">
        <w:rPr>
          <w:rFonts w:cs="Arial"/>
          <w:b/>
          <w:color w:val="000000"/>
          <w:sz w:val="20"/>
          <w:szCs w:val="20"/>
          <w:shd w:val="clear" w:color="auto" w:fill="FFFFFF"/>
        </w:rPr>
        <w:t>ejecución de proyectos</w:t>
      </w:r>
      <w:r w:rsidRPr="00560914">
        <w:rPr>
          <w:rFonts w:cs="Arial"/>
          <w:color w:val="000000"/>
          <w:sz w:val="20"/>
          <w:szCs w:val="20"/>
          <w:shd w:val="clear" w:color="auto" w:fill="FFFFFF"/>
        </w:rPr>
        <w:t xml:space="preserve">, en cualquiera de sus etapas.  A su vez, el artículo 3 ibídem establece que FONADE, </w:t>
      </w:r>
      <w:r w:rsidRPr="00560914">
        <w:rPr>
          <w:rFonts w:cs="Arial"/>
          <w:b/>
          <w:color w:val="000000"/>
          <w:sz w:val="20"/>
          <w:szCs w:val="20"/>
          <w:shd w:val="clear" w:color="auto" w:fill="FFFFFF"/>
        </w:rPr>
        <w:t>en desarrollo de su objeto</w:t>
      </w:r>
      <w:r w:rsidRPr="00560914">
        <w:rPr>
          <w:rFonts w:cs="Arial"/>
          <w:color w:val="000000"/>
          <w:sz w:val="20"/>
          <w:szCs w:val="20"/>
          <w:shd w:val="clear" w:color="auto" w:fill="FFFFFF"/>
        </w:rPr>
        <w:t>, podrá realizar, entre otras, las siguientes funciones:</w:t>
      </w:r>
      <w:r w:rsidRPr="00560914">
        <w:rPr>
          <w:rFonts w:cs="Arial"/>
          <w:i/>
          <w:color w:val="000000"/>
          <w:sz w:val="20"/>
          <w:szCs w:val="20"/>
          <w:shd w:val="clear" w:color="auto" w:fill="FFFFFF"/>
        </w:rPr>
        <w:t xml:space="preserve"> “i) promover, estructurar, </w:t>
      </w:r>
      <w:r w:rsidRPr="00560914">
        <w:rPr>
          <w:rFonts w:cs="Arial"/>
          <w:b/>
          <w:i/>
          <w:color w:val="000000"/>
          <w:sz w:val="20"/>
          <w:szCs w:val="20"/>
          <w:shd w:val="clear" w:color="auto" w:fill="FFFFFF"/>
        </w:rPr>
        <w:t xml:space="preserve">gerenciar, ejecutar </w:t>
      </w:r>
      <w:r w:rsidRPr="00560914">
        <w:rPr>
          <w:rFonts w:cs="Arial"/>
          <w:i/>
          <w:color w:val="000000"/>
          <w:sz w:val="20"/>
          <w:szCs w:val="20"/>
          <w:shd w:val="clear" w:color="auto" w:fill="FFFFFF"/>
        </w:rPr>
        <w:t xml:space="preserve">y evaluar proyectos de desarrollo financiados con recursos de fuentes nacionales o internacionales” (la negrilla no es del texto).  </w:t>
      </w:r>
      <w:r w:rsidRPr="00560914">
        <w:rPr>
          <w:rFonts w:cs="Arial"/>
          <w:color w:val="000000"/>
          <w:sz w:val="20"/>
          <w:szCs w:val="20"/>
          <w:shd w:val="clear" w:color="auto" w:fill="FFFFFF"/>
        </w:rPr>
        <w:t xml:space="preserve">La Subsección A de la Sección Tercera del Consejo de Estado ha admitido la conexidad de objeto para  los contratos celebrados en desarrollo </w:t>
      </w:r>
      <w:r>
        <w:rPr>
          <w:rFonts w:cs="Arial"/>
          <w:color w:val="000000"/>
          <w:sz w:val="20"/>
          <w:szCs w:val="20"/>
          <w:shd w:val="clear" w:color="auto" w:fill="FFFFFF"/>
        </w:rPr>
        <w:t xml:space="preserve">de </w:t>
      </w:r>
      <w:r w:rsidRPr="00560914">
        <w:rPr>
          <w:rFonts w:cs="Arial"/>
          <w:color w:val="000000"/>
          <w:sz w:val="20"/>
          <w:szCs w:val="20"/>
          <w:shd w:val="clear" w:color="auto" w:fill="FFFFFF"/>
        </w:rPr>
        <w:t xml:space="preserve">los proyectos en que participa FONADE (Consejero Ponente (e)  Hernán Andrade Rincón, sentencia de 26 de febrero de 2015, radicación: 25000232600020050276101 (38245), demandante: Career Management Consultans E.U. y otros, demandado: Fondo Financiero de Proyectos de Desarrollo </w:t>
      </w:r>
      <w:r>
        <w:rPr>
          <w:rFonts w:cs="Arial"/>
          <w:color w:val="000000"/>
          <w:sz w:val="20"/>
          <w:szCs w:val="20"/>
          <w:shd w:val="clear" w:color="auto" w:fill="FFFFFF"/>
        </w:rPr>
        <w:t>(</w:t>
      </w:r>
      <w:r w:rsidRPr="00560914">
        <w:rPr>
          <w:rFonts w:cs="Arial"/>
          <w:color w:val="000000"/>
          <w:sz w:val="20"/>
          <w:szCs w:val="20"/>
          <w:shd w:val="clear" w:color="auto" w:fill="FFFFFF"/>
        </w:rPr>
        <w:t>FONADE.)</w:t>
      </w:r>
      <w:r>
        <w:rPr>
          <w:rFonts w:cs="Arial"/>
          <w:color w:val="000000"/>
          <w:sz w:val="20"/>
          <w:szCs w:val="20"/>
          <w:shd w:val="clear" w:color="auto" w:fill="FFFFFF"/>
        </w:rPr>
        <w:t>.</w:t>
      </w:r>
    </w:p>
  </w:footnote>
  <w:footnote w:id="33">
    <w:p w14:paraId="3F1E0398" w14:textId="77777777" w:rsidR="00654072" w:rsidRPr="009B1D08" w:rsidRDefault="00654072" w:rsidP="00560914">
      <w:pPr>
        <w:pStyle w:val="Sangradetextonormal"/>
        <w:tabs>
          <w:tab w:val="left" w:pos="8505"/>
        </w:tabs>
        <w:spacing w:after="0" w:line="240" w:lineRule="auto"/>
        <w:ind w:left="0"/>
        <w:rPr>
          <w:rFonts w:ascii="Arial" w:hAnsi="Arial" w:cs="Arial"/>
          <w:sz w:val="20"/>
          <w:lang w:val="es-CO"/>
        </w:rPr>
      </w:pPr>
      <w:r w:rsidRPr="009B1D08">
        <w:rPr>
          <w:rStyle w:val="Refdenotaalpie"/>
          <w:rFonts w:ascii="Arial" w:hAnsi="Arial" w:cs="Arial"/>
          <w:sz w:val="20"/>
        </w:rPr>
        <w:footnoteRef/>
      </w:r>
      <w:r w:rsidRPr="009B1D08">
        <w:rPr>
          <w:rFonts w:ascii="Arial" w:hAnsi="Arial" w:cs="Arial"/>
          <w:sz w:val="20"/>
        </w:rPr>
        <w:t xml:space="preserve"> </w:t>
      </w:r>
      <w:r w:rsidRPr="009B1D08">
        <w:rPr>
          <w:rFonts w:ascii="Arial" w:hAnsi="Arial" w:cs="Arial"/>
          <w:bCs/>
          <w:i/>
          <w:color w:val="000000"/>
          <w:sz w:val="20"/>
          <w:shd w:val="clear" w:color="auto" w:fill="FFFFFF"/>
        </w:rPr>
        <w:t>“Artículo 26.</w:t>
      </w:r>
      <w:r w:rsidRPr="009B1D08">
        <w:rPr>
          <w:rFonts w:ascii="Arial" w:hAnsi="Arial" w:cs="Arial"/>
          <w:b/>
          <w:bCs/>
          <w:i/>
          <w:color w:val="000000"/>
          <w:sz w:val="20"/>
          <w:shd w:val="clear" w:color="auto" w:fill="FFFFFF"/>
        </w:rPr>
        <w:t> </w:t>
      </w:r>
      <w:r w:rsidRPr="009B1D08">
        <w:rPr>
          <w:rFonts w:ascii="Arial" w:hAnsi="Arial" w:cs="Arial"/>
          <w:i/>
          <w:color w:val="000000"/>
          <w:sz w:val="20"/>
          <w:shd w:val="clear" w:color="auto" w:fill="FFFFFF"/>
        </w:rPr>
        <w:t xml:space="preserve"> Del Fondo Financiero de Proyectos de Desarrollo. El Fondo Financiero de Proyectos de Desarrollo, Fonade se regirá por las normas del Estatuto General de Contratación de la Administración Pública contenido en la Ley 80 de 1993 y en las demás normas que lo modifiquen, deroguen o adicionen”. </w:t>
      </w:r>
      <w:r w:rsidRPr="009B1D08">
        <w:rPr>
          <w:rFonts w:ascii="Arial" w:hAnsi="Arial" w:cs="Arial"/>
          <w:sz w:val="20"/>
          <w:lang w:val="es-CO"/>
        </w:rPr>
        <w:t xml:space="preserve">Derogado por la Ley 1450 de 2011, que entró a regir el 16 de junio de 2011. </w:t>
      </w:r>
    </w:p>
  </w:footnote>
  <w:footnote w:id="34">
    <w:p w14:paraId="7D7CB236" w14:textId="77777777" w:rsidR="00654072" w:rsidRPr="004B0557" w:rsidRDefault="00654072" w:rsidP="004B0557">
      <w:pPr>
        <w:pStyle w:val="NormalWeb"/>
        <w:shd w:val="clear" w:color="auto" w:fill="FFFFFF"/>
        <w:spacing w:before="0" w:beforeAutospacing="0" w:after="0" w:afterAutospacing="0" w:line="240" w:lineRule="auto"/>
        <w:rPr>
          <w:rFonts w:cs="Arial"/>
          <w:i/>
          <w:color w:val="000000"/>
          <w:sz w:val="20"/>
          <w:szCs w:val="20"/>
        </w:rPr>
      </w:pPr>
      <w:r w:rsidRPr="004B0557">
        <w:rPr>
          <w:rStyle w:val="Refdenotaalpie"/>
          <w:sz w:val="20"/>
          <w:szCs w:val="20"/>
        </w:rPr>
        <w:footnoteRef/>
      </w:r>
      <w:r w:rsidRPr="004B0557">
        <w:rPr>
          <w:sz w:val="20"/>
          <w:szCs w:val="20"/>
        </w:rPr>
        <w:t xml:space="preserve"> </w:t>
      </w:r>
      <w:r>
        <w:rPr>
          <w:sz w:val="20"/>
          <w:szCs w:val="20"/>
        </w:rPr>
        <w:t>“</w:t>
      </w:r>
      <w:r w:rsidRPr="004B0557">
        <w:rPr>
          <w:rFonts w:cs="Arial"/>
          <w:bCs/>
          <w:i/>
          <w:color w:val="000000"/>
          <w:sz w:val="20"/>
          <w:szCs w:val="20"/>
        </w:rPr>
        <w:t>Artículo 157 CPACA. </w:t>
      </w:r>
      <w:r w:rsidRPr="004B0557">
        <w:rPr>
          <w:rFonts w:cs="Arial"/>
          <w:bCs/>
          <w:i/>
          <w:iCs/>
          <w:color w:val="000000"/>
          <w:sz w:val="20"/>
          <w:szCs w:val="20"/>
        </w:rPr>
        <w:t>Competencia por razón de la cuantía</w:t>
      </w:r>
      <w:r w:rsidRPr="004B0557">
        <w:rPr>
          <w:rFonts w:cs="Arial"/>
          <w:b/>
          <w:bCs/>
          <w:i/>
          <w:iCs/>
          <w:color w:val="000000"/>
          <w:sz w:val="20"/>
          <w:szCs w:val="20"/>
        </w:rPr>
        <w:t>.</w:t>
      </w:r>
      <w:r w:rsidRPr="004B0557">
        <w:rPr>
          <w:rFonts w:cs="Arial"/>
          <w:i/>
          <w:iCs/>
          <w:color w:val="000000"/>
          <w:sz w:val="20"/>
          <w:szCs w:val="20"/>
        </w:rPr>
        <w:t> </w:t>
      </w:r>
      <w:r w:rsidRPr="004B0557">
        <w:rPr>
          <w:rFonts w:cs="Arial"/>
          <w:i/>
          <w:color w:val="000000"/>
          <w:sz w:val="20"/>
          <w:szCs w:val="20"/>
        </w:rPr>
        <w:t>Para efectos de competencia, cuando sea del caso, la cuantía se determinará por el valor de la multa impuesta o de los perjuicios causados, según la estimación razonada hecha por el actor en la demanda (…).</w:t>
      </w:r>
    </w:p>
    <w:p w14:paraId="33CDB336" w14:textId="77777777" w:rsidR="00654072" w:rsidRDefault="00654072" w:rsidP="004B0557">
      <w:pPr>
        <w:shd w:val="clear" w:color="auto" w:fill="FFFFFF"/>
        <w:spacing w:line="240" w:lineRule="auto"/>
        <w:jc w:val="left"/>
        <w:rPr>
          <w:rFonts w:cs="Arial"/>
          <w:i/>
          <w:color w:val="000000"/>
          <w:sz w:val="20"/>
          <w:szCs w:val="20"/>
        </w:rPr>
      </w:pPr>
    </w:p>
    <w:p w14:paraId="7560E02D" w14:textId="77777777" w:rsidR="00654072" w:rsidRPr="004B0557" w:rsidRDefault="00654072" w:rsidP="004B0557">
      <w:pPr>
        <w:shd w:val="clear" w:color="auto" w:fill="FFFFFF"/>
        <w:spacing w:line="240" w:lineRule="auto"/>
        <w:jc w:val="left"/>
        <w:rPr>
          <w:rFonts w:cs="Arial"/>
          <w:i/>
          <w:color w:val="000000"/>
          <w:sz w:val="20"/>
          <w:szCs w:val="20"/>
        </w:rPr>
      </w:pPr>
      <w:r>
        <w:rPr>
          <w:rFonts w:cs="Arial"/>
          <w:i/>
          <w:color w:val="000000"/>
          <w:sz w:val="20"/>
          <w:szCs w:val="20"/>
        </w:rPr>
        <w:t>“</w:t>
      </w:r>
      <w:r w:rsidRPr="004B0557">
        <w:rPr>
          <w:rFonts w:cs="Arial"/>
          <w:i/>
          <w:color w:val="000000"/>
          <w:sz w:val="20"/>
          <w:szCs w:val="20"/>
        </w:rPr>
        <w:t>Para los efectos aquí contemplados, cuando en la demanda se acumulen varias pretensiones, la cuantía se determinará por el valor de la pretensión mayor”.</w:t>
      </w:r>
    </w:p>
    <w:p w14:paraId="20851C14" w14:textId="77777777" w:rsidR="00654072" w:rsidRPr="004B0557" w:rsidRDefault="00654072">
      <w:pPr>
        <w:pStyle w:val="Textonotapie"/>
        <w:rPr>
          <w:lang w:val="es-CO"/>
        </w:rPr>
      </w:pPr>
    </w:p>
  </w:footnote>
  <w:footnote w:id="35">
    <w:p w14:paraId="2D92FD50" w14:textId="77777777" w:rsidR="00654072" w:rsidRDefault="00654072" w:rsidP="0045694B">
      <w:pPr>
        <w:pStyle w:val="Textonotapie"/>
        <w:spacing w:line="240" w:lineRule="auto"/>
      </w:pPr>
      <w:r>
        <w:rPr>
          <w:rStyle w:val="Refdenotaalpie"/>
        </w:rPr>
        <w:footnoteRef/>
      </w:r>
      <w:r>
        <w:t xml:space="preserve"> De acuerdo con el salario mínimo vigente para el año 2012, en el cual se presentó la demanda ($566.700 x 500 = $283’350.000).</w:t>
      </w:r>
    </w:p>
    <w:p w14:paraId="7B0CBBED" w14:textId="77777777" w:rsidR="00654072" w:rsidRPr="00904AF7" w:rsidRDefault="00654072" w:rsidP="0045694B">
      <w:pPr>
        <w:pStyle w:val="Textonotapie"/>
        <w:spacing w:line="240" w:lineRule="auto"/>
        <w:rPr>
          <w:lang w:val="es-CO"/>
        </w:rPr>
      </w:pPr>
    </w:p>
  </w:footnote>
  <w:footnote w:id="36">
    <w:p w14:paraId="32927972" w14:textId="77777777" w:rsidR="00654072" w:rsidRPr="003C21FA" w:rsidRDefault="00654072">
      <w:pPr>
        <w:pStyle w:val="Textonotapie"/>
        <w:rPr>
          <w:lang w:val="es-CO"/>
        </w:rPr>
      </w:pPr>
      <w:r>
        <w:rPr>
          <w:rStyle w:val="Refdenotaalpie"/>
        </w:rPr>
        <w:footnoteRef/>
      </w:r>
      <w:r>
        <w:t xml:space="preserve"> </w:t>
      </w:r>
      <w:r>
        <w:rPr>
          <w:lang w:val="es-CO"/>
        </w:rPr>
        <w:t xml:space="preserve">Folios 159 y 160, cuaderno 1. </w:t>
      </w:r>
    </w:p>
  </w:footnote>
  <w:footnote w:id="37">
    <w:p w14:paraId="3849D81E" w14:textId="77777777" w:rsidR="00654072" w:rsidRDefault="00654072" w:rsidP="00E833BB">
      <w:pPr>
        <w:pStyle w:val="Textonotapie"/>
        <w:spacing w:line="240" w:lineRule="auto"/>
        <w:rPr>
          <w:lang w:val="es-CO"/>
        </w:rPr>
      </w:pPr>
      <w:r>
        <w:rPr>
          <w:rStyle w:val="Refdenotaalpie"/>
        </w:rPr>
        <w:footnoteRef/>
      </w:r>
      <w:r>
        <w:t xml:space="preserve"> </w:t>
      </w:r>
      <w:r>
        <w:rPr>
          <w:lang w:val="es-CO"/>
        </w:rPr>
        <w:t xml:space="preserve">Según esta norma se agregan al cómputo, a partir de la terminación del contrato, cuatro meses previstos para  la liquidación bilateral y dos meses para la liquidación unilateral. </w:t>
      </w:r>
    </w:p>
    <w:p w14:paraId="03F4B83D" w14:textId="77777777" w:rsidR="00654072" w:rsidRPr="00E833BB" w:rsidRDefault="00654072" w:rsidP="00E833BB">
      <w:pPr>
        <w:pStyle w:val="Textonotapie"/>
        <w:spacing w:line="240" w:lineRule="auto"/>
        <w:rPr>
          <w:lang w:val="es-CO"/>
        </w:rPr>
      </w:pPr>
    </w:p>
  </w:footnote>
  <w:footnote w:id="38">
    <w:p w14:paraId="5E4CBE9F" w14:textId="77777777" w:rsidR="00654072" w:rsidRPr="00F1350D" w:rsidRDefault="00654072">
      <w:pPr>
        <w:pStyle w:val="Textonotapie"/>
        <w:rPr>
          <w:lang w:val="es-CO"/>
        </w:rPr>
      </w:pPr>
      <w:r>
        <w:rPr>
          <w:rStyle w:val="Refdenotaalpie"/>
        </w:rPr>
        <w:footnoteRef/>
      </w:r>
      <w:r>
        <w:t xml:space="preserve"> </w:t>
      </w:r>
      <w:r>
        <w:rPr>
          <w:lang w:val="es-CO"/>
        </w:rPr>
        <w:t>Derogado por el artículo 276 de la Ley 1450 de 2011.</w:t>
      </w:r>
    </w:p>
  </w:footnote>
  <w:footnote w:id="39">
    <w:p w14:paraId="4139B806" w14:textId="77777777" w:rsidR="00654072" w:rsidRPr="00CF2298" w:rsidRDefault="00654072" w:rsidP="00F03528">
      <w:pPr>
        <w:pStyle w:val="Textonotapie"/>
        <w:spacing w:line="240" w:lineRule="auto"/>
        <w:rPr>
          <w:rFonts w:cs="Arial"/>
          <w:i/>
          <w:color w:val="000000"/>
          <w:shd w:val="clear" w:color="auto" w:fill="FFFFFF"/>
        </w:rPr>
      </w:pPr>
      <w:r w:rsidRPr="004B53F1">
        <w:rPr>
          <w:rStyle w:val="Refdenotaalpie"/>
        </w:rPr>
        <w:footnoteRef/>
      </w:r>
      <w:r w:rsidRPr="004B53F1">
        <w:t xml:space="preserve"> </w:t>
      </w:r>
      <w:r w:rsidRPr="00CF2298">
        <w:rPr>
          <w:i/>
        </w:rPr>
        <w:t>“</w:t>
      </w:r>
      <w:r w:rsidRPr="00CF2298">
        <w:rPr>
          <w:rFonts w:cs="Arial"/>
          <w:i/>
          <w:color w:val="000000"/>
          <w:shd w:val="clear" w:color="auto" w:fill="FFFFFF"/>
        </w:rPr>
        <w:t>La declaratoria de caducidad será constitutiva del siniestro de incumplimiento”.</w:t>
      </w:r>
    </w:p>
    <w:p w14:paraId="5E5584FC" w14:textId="77777777" w:rsidR="00654072" w:rsidRPr="00CF2298" w:rsidRDefault="00654072" w:rsidP="00F03528">
      <w:pPr>
        <w:pStyle w:val="Textonotapie"/>
        <w:spacing w:line="240" w:lineRule="auto"/>
        <w:rPr>
          <w:i/>
          <w:lang w:val="es-CO"/>
        </w:rPr>
      </w:pPr>
    </w:p>
  </w:footnote>
  <w:footnote w:id="40">
    <w:p w14:paraId="11DBAA57" w14:textId="77777777" w:rsidR="00654072" w:rsidRPr="00CF2298" w:rsidRDefault="00654072" w:rsidP="004B53F1">
      <w:pPr>
        <w:pStyle w:val="Textonotapie"/>
        <w:spacing w:line="240" w:lineRule="auto"/>
        <w:rPr>
          <w:rFonts w:cs="Arial"/>
          <w:color w:val="000000"/>
          <w:shd w:val="clear" w:color="auto" w:fill="FFFFFF"/>
        </w:rPr>
      </w:pPr>
      <w:r w:rsidRPr="004B53F1">
        <w:rPr>
          <w:rStyle w:val="Refdenotaalpie"/>
        </w:rPr>
        <w:footnoteRef/>
      </w:r>
      <w:r w:rsidRPr="004B53F1">
        <w:t xml:space="preserve"> </w:t>
      </w:r>
      <w:r w:rsidRPr="004B53F1">
        <w:rPr>
          <w:i/>
        </w:rPr>
        <w:t>“</w:t>
      </w:r>
      <w:r w:rsidRPr="004B53F1">
        <w:rPr>
          <w:rFonts w:cs="Arial"/>
          <w:i/>
          <w:color w:val="000000"/>
          <w:shd w:val="clear" w:color="auto" w:fill="FFFFFF"/>
        </w:rPr>
        <w:t xml:space="preserve">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w:t>
      </w:r>
      <w:r w:rsidRPr="004B53F1">
        <w:rPr>
          <w:rFonts w:cs="Arial"/>
          <w:b/>
          <w:i/>
          <w:color w:val="000000"/>
          <w:shd w:val="clear" w:color="auto" w:fill="FFFFFF"/>
        </w:rPr>
        <w:t>así como en los contratos de obra</w:t>
      </w:r>
      <w:r w:rsidRPr="004B53F1">
        <w:rPr>
          <w:rFonts w:cs="Arial"/>
          <w:i/>
          <w:color w:val="000000"/>
          <w:shd w:val="clear" w:color="auto" w:fill="FFFFFF"/>
        </w:rPr>
        <w:t>. (…). //.</w:t>
      </w:r>
      <w:r>
        <w:rPr>
          <w:rFonts w:cs="Arial"/>
          <w:i/>
          <w:color w:val="000000"/>
          <w:shd w:val="clear" w:color="auto" w:fill="FFFFFF"/>
        </w:rPr>
        <w:t xml:space="preserve"> </w:t>
      </w:r>
      <w:r w:rsidRPr="004B53F1">
        <w:rPr>
          <w:rFonts w:cs="Arial"/>
          <w:i/>
          <w:color w:val="000000"/>
          <w:shd w:val="clear" w:color="auto" w:fill="FFFFFF"/>
        </w:rPr>
        <w:t xml:space="preserve">En los casos previstos en este numeral, las cláusulas excepcionales </w:t>
      </w:r>
      <w:r w:rsidRPr="004B53F1">
        <w:rPr>
          <w:rFonts w:cs="Arial"/>
          <w:b/>
          <w:i/>
          <w:color w:val="000000"/>
          <w:shd w:val="clear" w:color="auto" w:fill="FFFFFF"/>
        </w:rPr>
        <w:t>se entienden pactadas aun cuando no se consignen expresamente</w:t>
      </w:r>
      <w:r w:rsidRPr="00CF2298">
        <w:rPr>
          <w:rFonts w:cs="Arial"/>
          <w:color w:val="000000"/>
          <w:shd w:val="clear" w:color="auto" w:fill="FFFFFF"/>
        </w:rPr>
        <w:t>” (la negrilla no es del texto).</w:t>
      </w:r>
    </w:p>
    <w:p w14:paraId="33228993" w14:textId="77777777" w:rsidR="00654072" w:rsidRPr="004B53F1" w:rsidRDefault="00654072">
      <w:pPr>
        <w:pStyle w:val="Textonotapie"/>
        <w:rPr>
          <w:i/>
          <w:lang w:val="es-CO"/>
        </w:rPr>
      </w:pPr>
    </w:p>
  </w:footnote>
  <w:footnote w:id="41">
    <w:p w14:paraId="4F048832" w14:textId="77777777" w:rsidR="00654072" w:rsidRDefault="00654072" w:rsidP="006900F5">
      <w:pPr>
        <w:pStyle w:val="NormalWeb"/>
        <w:shd w:val="clear" w:color="auto" w:fill="FFFFFF"/>
        <w:spacing w:before="0" w:beforeAutospacing="0" w:after="0" w:afterAutospacing="0" w:line="240" w:lineRule="auto"/>
        <w:rPr>
          <w:sz w:val="20"/>
          <w:szCs w:val="20"/>
          <w:lang w:val="es-CO"/>
        </w:rPr>
      </w:pPr>
      <w:r w:rsidRPr="00EC0F2B">
        <w:rPr>
          <w:rStyle w:val="Refdenotaalpie"/>
          <w:sz w:val="20"/>
          <w:szCs w:val="20"/>
        </w:rPr>
        <w:footnoteRef/>
      </w:r>
      <w:r w:rsidRPr="00EC0F2B">
        <w:rPr>
          <w:sz w:val="20"/>
          <w:szCs w:val="20"/>
        </w:rPr>
        <w:t xml:space="preserve"> </w:t>
      </w:r>
      <w:r>
        <w:rPr>
          <w:sz w:val="20"/>
          <w:szCs w:val="20"/>
        </w:rPr>
        <w:t>Esa e</w:t>
      </w:r>
      <w:r w:rsidRPr="00EC0F2B">
        <w:rPr>
          <w:sz w:val="20"/>
          <w:szCs w:val="20"/>
          <w:lang w:val="es-CO"/>
        </w:rPr>
        <w:t xml:space="preserve">xpresión se repitió en el Decreto 734 de 2012, pero fue eliminada en el Decreto 1510 de 2013. En la reglamentación actual, </w:t>
      </w:r>
      <w:r>
        <w:rPr>
          <w:sz w:val="20"/>
          <w:szCs w:val="20"/>
          <w:lang w:val="es-CO"/>
        </w:rPr>
        <w:t xml:space="preserve">en </w:t>
      </w:r>
      <w:r w:rsidRPr="00EC0F2B">
        <w:rPr>
          <w:sz w:val="20"/>
          <w:szCs w:val="20"/>
          <w:lang w:val="es-CO"/>
        </w:rPr>
        <w:t>el alcance de la garantía de cumplimiento</w:t>
      </w:r>
      <w:r>
        <w:rPr>
          <w:sz w:val="20"/>
          <w:szCs w:val="20"/>
          <w:lang w:val="es-CO"/>
        </w:rPr>
        <w:t>,</w:t>
      </w:r>
      <w:r w:rsidRPr="00EC0F2B">
        <w:rPr>
          <w:sz w:val="20"/>
          <w:szCs w:val="20"/>
          <w:lang w:val="es-CO"/>
        </w:rPr>
        <w:t xml:space="preserve"> no </w:t>
      </w:r>
      <w:r>
        <w:rPr>
          <w:sz w:val="20"/>
          <w:szCs w:val="20"/>
          <w:lang w:val="es-CO"/>
        </w:rPr>
        <w:t xml:space="preserve">se consagra </w:t>
      </w:r>
      <w:r w:rsidRPr="00EC0F2B">
        <w:rPr>
          <w:sz w:val="20"/>
          <w:szCs w:val="20"/>
          <w:lang w:val="es-CO"/>
        </w:rPr>
        <w:t xml:space="preserve">una distinción entre perjuicios directos e indirectos, para efectos de excluir algunos de ellos. Actualmente se dispone en </w:t>
      </w:r>
      <w:r w:rsidRPr="006900F5">
        <w:rPr>
          <w:sz w:val="20"/>
          <w:szCs w:val="20"/>
          <w:lang w:val="es-CO"/>
        </w:rPr>
        <w:t>el</w:t>
      </w:r>
      <w:r w:rsidRPr="007263D9">
        <w:rPr>
          <w:b/>
          <w:sz w:val="20"/>
          <w:szCs w:val="20"/>
          <w:lang w:val="es-CO"/>
        </w:rPr>
        <w:t xml:space="preserve"> </w:t>
      </w:r>
      <w:r w:rsidRPr="007263D9">
        <w:rPr>
          <w:rStyle w:val="Textoennegrita"/>
          <w:rFonts w:cs="Arial"/>
          <w:b w:val="0"/>
          <w:color w:val="333333"/>
          <w:sz w:val="20"/>
          <w:szCs w:val="20"/>
          <w:shd w:val="clear" w:color="auto" w:fill="FFFFFF"/>
        </w:rPr>
        <w:t>Artículo 2.2.1.2.3.1.7. del</w:t>
      </w:r>
      <w:r w:rsidRPr="00EC0F2B">
        <w:rPr>
          <w:rStyle w:val="Textoennegrita"/>
          <w:rFonts w:cs="Arial"/>
          <w:color w:val="333333"/>
          <w:sz w:val="20"/>
          <w:szCs w:val="20"/>
          <w:shd w:val="clear" w:color="auto" w:fill="FFFFFF"/>
        </w:rPr>
        <w:t xml:space="preserve"> </w:t>
      </w:r>
      <w:r w:rsidRPr="00EC0F2B">
        <w:rPr>
          <w:sz w:val="20"/>
          <w:szCs w:val="20"/>
          <w:lang w:val="es-CO"/>
        </w:rPr>
        <w:t xml:space="preserve">Decreto 1082 de 2015 lo siguiente: </w:t>
      </w:r>
    </w:p>
    <w:p w14:paraId="7BE9BE0D" w14:textId="77777777" w:rsidR="00654072" w:rsidRPr="00EC0F2B" w:rsidRDefault="00654072" w:rsidP="006900F5">
      <w:pPr>
        <w:pStyle w:val="NormalWeb"/>
        <w:shd w:val="clear" w:color="auto" w:fill="FFFFFF"/>
        <w:spacing w:before="0" w:beforeAutospacing="0" w:after="0" w:afterAutospacing="0" w:line="240" w:lineRule="auto"/>
        <w:rPr>
          <w:sz w:val="20"/>
          <w:szCs w:val="20"/>
          <w:lang w:val="es-CO"/>
        </w:rPr>
      </w:pPr>
    </w:p>
    <w:p w14:paraId="512CFB66" w14:textId="77777777" w:rsidR="00654072" w:rsidRDefault="00654072" w:rsidP="006900F5">
      <w:pPr>
        <w:pStyle w:val="NormalWeb"/>
        <w:shd w:val="clear" w:color="auto" w:fill="FFFFFF"/>
        <w:spacing w:before="0" w:beforeAutospacing="0" w:after="0" w:afterAutospacing="0" w:line="240" w:lineRule="auto"/>
        <w:rPr>
          <w:rFonts w:cs="Arial"/>
          <w:i/>
          <w:sz w:val="20"/>
          <w:szCs w:val="20"/>
        </w:rPr>
      </w:pPr>
      <w:r w:rsidRPr="006900F5">
        <w:rPr>
          <w:i/>
          <w:sz w:val="20"/>
          <w:szCs w:val="20"/>
          <w:lang w:val="es-CO"/>
        </w:rPr>
        <w:t>“</w:t>
      </w:r>
      <w:r w:rsidRPr="006900F5">
        <w:rPr>
          <w:rFonts w:cs="Arial"/>
          <w:i/>
          <w:sz w:val="20"/>
          <w:szCs w:val="20"/>
        </w:rPr>
        <w:t>3. Cumplimiento del contrato. Este amparo cubre a la Entidad Estatal de los perjuicios derivados de:</w:t>
      </w:r>
    </w:p>
    <w:p w14:paraId="45B54980" w14:textId="77777777" w:rsidR="00654072" w:rsidRPr="006900F5" w:rsidRDefault="00654072" w:rsidP="006900F5">
      <w:pPr>
        <w:pStyle w:val="NormalWeb"/>
        <w:shd w:val="clear" w:color="auto" w:fill="FFFFFF"/>
        <w:spacing w:before="0" w:beforeAutospacing="0" w:after="0" w:afterAutospacing="0" w:line="240" w:lineRule="auto"/>
        <w:rPr>
          <w:rFonts w:cs="Arial"/>
          <w:i/>
          <w:sz w:val="20"/>
          <w:szCs w:val="20"/>
        </w:rPr>
      </w:pPr>
    </w:p>
    <w:p w14:paraId="56D19E59" w14:textId="77777777" w:rsidR="00654072" w:rsidRPr="006900F5" w:rsidRDefault="00654072" w:rsidP="006900F5">
      <w:pPr>
        <w:pStyle w:val="NormalWeb"/>
        <w:shd w:val="clear" w:color="auto" w:fill="FFFFFF"/>
        <w:spacing w:before="0" w:beforeAutospacing="0" w:after="0" w:afterAutospacing="0" w:line="240" w:lineRule="auto"/>
        <w:rPr>
          <w:i/>
          <w:sz w:val="20"/>
          <w:szCs w:val="20"/>
          <w:lang w:val="es-CO"/>
        </w:rPr>
      </w:pPr>
      <w:r>
        <w:rPr>
          <w:rFonts w:cs="Arial"/>
          <w:i/>
          <w:sz w:val="20"/>
          <w:szCs w:val="20"/>
        </w:rPr>
        <w:t>“</w:t>
      </w:r>
      <w:r w:rsidRPr="006900F5">
        <w:rPr>
          <w:rFonts w:cs="Arial"/>
          <w:i/>
          <w:sz w:val="20"/>
          <w:szCs w:val="20"/>
        </w:rPr>
        <w:t>3.1.   El incumplimiento total o parcial del contrato, cuando el incumplimiento es imputable al contratista”</w:t>
      </w:r>
      <w:r>
        <w:rPr>
          <w:rFonts w:cs="Arial"/>
          <w:i/>
          <w:sz w:val="20"/>
          <w:szCs w:val="20"/>
        </w:rPr>
        <w:t xml:space="preserve"> (…)”.</w:t>
      </w:r>
      <w:r w:rsidRPr="006900F5">
        <w:rPr>
          <w:i/>
          <w:sz w:val="20"/>
          <w:szCs w:val="20"/>
          <w:lang w:val="es-CO"/>
        </w:rPr>
        <w:t xml:space="preserve"> </w:t>
      </w:r>
    </w:p>
  </w:footnote>
  <w:footnote w:id="42">
    <w:p w14:paraId="42B496EC" w14:textId="77777777" w:rsidR="00654072" w:rsidRPr="00867A16" w:rsidRDefault="00654072" w:rsidP="00EA33F5">
      <w:pPr>
        <w:pStyle w:val="Textonotapie"/>
        <w:rPr>
          <w:lang w:val="es-CO"/>
        </w:rPr>
      </w:pPr>
      <w:r>
        <w:rPr>
          <w:rStyle w:val="Refdenotaalpie"/>
        </w:rPr>
        <w:footnoteRef/>
      </w:r>
      <w:r>
        <w:t xml:space="preserve"> </w:t>
      </w:r>
      <w:r>
        <w:rPr>
          <w:lang w:val="es-CO"/>
        </w:rPr>
        <w:t xml:space="preserve">Folio 211, cuaderno 1. </w:t>
      </w:r>
    </w:p>
  </w:footnote>
  <w:footnote w:id="43">
    <w:p w14:paraId="250EA65D" w14:textId="77777777" w:rsidR="00654072" w:rsidRPr="006D38DA" w:rsidRDefault="00654072" w:rsidP="00C86AFA">
      <w:pPr>
        <w:pStyle w:val="Textonotapie"/>
        <w:spacing w:line="240" w:lineRule="auto"/>
        <w:rPr>
          <w:rFonts w:cs="Arial"/>
          <w:color w:val="141414"/>
          <w:shd w:val="clear" w:color="auto" w:fill="FCFCFF"/>
        </w:rPr>
      </w:pPr>
      <w:r w:rsidRPr="006D38DA">
        <w:rPr>
          <w:rStyle w:val="Refdenotaalpie"/>
          <w:rFonts w:cs="Arial"/>
        </w:rPr>
        <w:footnoteRef/>
      </w:r>
      <w:r w:rsidRPr="006D38DA">
        <w:rPr>
          <w:rFonts w:cs="Arial"/>
        </w:rPr>
        <w:t xml:space="preserve"> El perjuicio </w:t>
      </w:r>
      <w:r w:rsidRPr="006D38DA">
        <w:rPr>
          <w:rFonts w:cs="Arial"/>
          <w:color w:val="141414"/>
          <w:shd w:val="clear" w:color="auto" w:fill="FCFCFF"/>
        </w:rPr>
        <w:t xml:space="preserve">es </w:t>
      </w:r>
      <w:r w:rsidRPr="00590D53">
        <w:rPr>
          <w:rFonts w:cs="Arial"/>
          <w:i/>
          <w:color w:val="141414"/>
          <w:shd w:val="clear" w:color="auto" w:fill="FCFCFF"/>
        </w:rPr>
        <w:t>inmediato</w:t>
      </w:r>
      <w:r w:rsidRPr="006D38DA">
        <w:rPr>
          <w:rFonts w:cs="Arial"/>
          <w:color w:val="141414"/>
          <w:shd w:val="clear" w:color="auto" w:fill="FCFCFF"/>
        </w:rPr>
        <w:t xml:space="preserve"> cuando nada se interpone entre el incumplimiento y la afectación patrimonial, de lo contrario el perjuicio se entiende como </w:t>
      </w:r>
      <w:r w:rsidRPr="00590D53">
        <w:rPr>
          <w:rFonts w:cs="Arial"/>
          <w:i/>
          <w:color w:val="141414"/>
          <w:shd w:val="clear" w:color="auto" w:fill="FCFCFF"/>
        </w:rPr>
        <w:t>mediato</w:t>
      </w:r>
      <w:r w:rsidRPr="006D38DA">
        <w:rPr>
          <w:rFonts w:cs="Arial"/>
          <w:color w:val="141414"/>
          <w:shd w:val="clear" w:color="auto" w:fill="FCFCFF"/>
        </w:rPr>
        <w:t>, cuando concurren otras causas o fuentes para configurar el daño.</w:t>
      </w:r>
    </w:p>
    <w:p w14:paraId="3E111454" w14:textId="77777777" w:rsidR="00654072" w:rsidRPr="006D38DA" w:rsidRDefault="00654072">
      <w:pPr>
        <w:pStyle w:val="Textonotapie"/>
        <w:rPr>
          <w:rFonts w:cs="Arial"/>
          <w:lang w:val="es-CO"/>
        </w:rPr>
      </w:pPr>
      <w:r w:rsidRPr="006D38DA">
        <w:rPr>
          <w:rFonts w:cs="Arial"/>
          <w:color w:val="141414"/>
          <w:shd w:val="clear" w:color="auto" w:fill="FCFCFF"/>
        </w:rPr>
        <w:t>. </w:t>
      </w:r>
    </w:p>
  </w:footnote>
  <w:footnote w:id="44">
    <w:p w14:paraId="3045AC7D" w14:textId="77777777" w:rsidR="00654072" w:rsidRDefault="00654072" w:rsidP="00092596">
      <w:pPr>
        <w:pStyle w:val="Textonotapie"/>
        <w:spacing w:line="240" w:lineRule="auto"/>
        <w:rPr>
          <w:i/>
          <w:lang w:val="es-CO"/>
        </w:rPr>
      </w:pPr>
      <w:r w:rsidRPr="00092596">
        <w:rPr>
          <w:rStyle w:val="Refdenotaalpie"/>
          <w:i/>
        </w:rPr>
        <w:footnoteRef/>
      </w:r>
      <w:r w:rsidRPr="00092596">
        <w:rPr>
          <w:i/>
        </w:rPr>
        <w:t xml:space="preserve"> </w:t>
      </w:r>
      <w:r w:rsidRPr="00092596">
        <w:rPr>
          <w:i/>
          <w:lang w:val="es-CO"/>
        </w:rPr>
        <w:t>“La indemnización podrá comprender a la vez el daño emergente y el lucro cesante, pero este deberá ser objeto de acuerdo expreso”.</w:t>
      </w:r>
    </w:p>
    <w:p w14:paraId="7BF7064E" w14:textId="77777777" w:rsidR="00654072" w:rsidRPr="00092596" w:rsidRDefault="00654072" w:rsidP="00092596">
      <w:pPr>
        <w:pStyle w:val="Textonotapie"/>
        <w:spacing w:line="240" w:lineRule="auto"/>
        <w:rPr>
          <w:i/>
          <w:lang w:val="es-CO"/>
        </w:rPr>
      </w:pPr>
    </w:p>
  </w:footnote>
  <w:footnote w:id="45">
    <w:p w14:paraId="4EB9E8CE" w14:textId="77777777" w:rsidR="00654072" w:rsidRPr="00765739" w:rsidRDefault="00654072" w:rsidP="001C1791">
      <w:pPr>
        <w:pStyle w:val="NormalWeb"/>
        <w:shd w:val="clear" w:color="auto" w:fill="FFFFFF"/>
        <w:spacing w:before="0" w:beforeAutospacing="0" w:after="0" w:afterAutospacing="0" w:line="240" w:lineRule="auto"/>
        <w:rPr>
          <w:rFonts w:cs="Arial"/>
          <w:i/>
          <w:color w:val="000000"/>
          <w:sz w:val="20"/>
          <w:szCs w:val="20"/>
        </w:rPr>
      </w:pPr>
      <w:r>
        <w:rPr>
          <w:rStyle w:val="Refdenotaalpie"/>
        </w:rPr>
        <w:footnoteRef/>
      </w:r>
      <w:r>
        <w:t xml:space="preserve"> </w:t>
      </w:r>
      <w:r>
        <w:rPr>
          <w:i/>
          <w:sz w:val="20"/>
          <w:szCs w:val="20"/>
        </w:rPr>
        <w:t>A</w:t>
      </w:r>
      <w:r w:rsidRPr="001C1791">
        <w:rPr>
          <w:rFonts w:cs="Arial"/>
          <w:bCs/>
          <w:i/>
          <w:color w:val="000000"/>
          <w:sz w:val="20"/>
          <w:szCs w:val="20"/>
        </w:rPr>
        <w:t>rticulo 1613</w:t>
      </w:r>
      <w:r>
        <w:rPr>
          <w:rFonts w:cs="Arial"/>
          <w:bCs/>
          <w:i/>
          <w:color w:val="000000"/>
          <w:sz w:val="20"/>
          <w:szCs w:val="20"/>
        </w:rPr>
        <w:t xml:space="preserve"> CC</w:t>
      </w:r>
      <w:r w:rsidRPr="001C1791">
        <w:rPr>
          <w:rFonts w:cs="Arial"/>
          <w:bCs/>
          <w:i/>
          <w:color w:val="000000"/>
          <w:sz w:val="20"/>
          <w:szCs w:val="20"/>
        </w:rPr>
        <w:t xml:space="preserve">. </w:t>
      </w:r>
      <w:r>
        <w:rPr>
          <w:rFonts w:cs="Arial"/>
          <w:bCs/>
          <w:i/>
          <w:color w:val="000000"/>
          <w:sz w:val="20"/>
          <w:szCs w:val="20"/>
        </w:rPr>
        <w:t>I</w:t>
      </w:r>
      <w:r w:rsidRPr="001C1791">
        <w:rPr>
          <w:rFonts w:cs="Arial"/>
          <w:bCs/>
          <w:i/>
          <w:color w:val="000000"/>
          <w:sz w:val="20"/>
          <w:szCs w:val="20"/>
        </w:rPr>
        <w:t>ndemnizaci</w:t>
      </w:r>
      <w:r>
        <w:rPr>
          <w:rFonts w:cs="Arial"/>
          <w:bCs/>
          <w:i/>
          <w:color w:val="000000"/>
          <w:sz w:val="20"/>
          <w:szCs w:val="20"/>
        </w:rPr>
        <w:t>ó</w:t>
      </w:r>
      <w:r w:rsidRPr="001C1791">
        <w:rPr>
          <w:rFonts w:cs="Arial"/>
          <w:bCs/>
          <w:i/>
          <w:color w:val="000000"/>
          <w:sz w:val="20"/>
          <w:szCs w:val="20"/>
        </w:rPr>
        <w:t>n de perjuicios</w:t>
      </w:r>
      <w:r w:rsidRPr="00765739">
        <w:rPr>
          <w:rFonts w:cs="Arial"/>
          <w:i/>
          <w:color w:val="000000"/>
          <w:sz w:val="20"/>
          <w:szCs w:val="20"/>
        </w:rPr>
        <w:t xml:space="preserve">. </w:t>
      </w:r>
      <w:r>
        <w:rPr>
          <w:rFonts w:cs="Arial"/>
          <w:i/>
          <w:color w:val="000000"/>
          <w:sz w:val="20"/>
          <w:szCs w:val="20"/>
        </w:rPr>
        <w:t>“</w:t>
      </w:r>
      <w:r w:rsidRPr="00765739">
        <w:rPr>
          <w:rFonts w:cs="Arial"/>
          <w:i/>
          <w:color w:val="000000"/>
          <w:sz w:val="20"/>
          <w:szCs w:val="20"/>
        </w:rPr>
        <w:t>La indemnización de perjuicios comprende el daño emergente y lucro cesante, ya provenga de no haberse cumplido la obligación, o de haberse cumplido imperfectamente, o de haberse retardado el cumplimiento.</w:t>
      </w:r>
    </w:p>
    <w:p w14:paraId="4D24F416" w14:textId="77777777" w:rsidR="00654072" w:rsidRDefault="00654072" w:rsidP="001C1791">
      <w:pPr>
        <w:shd w:val="clear" w:color="auto" w:fill="FFFFFF"/>
        <w:spacing w:line="240" w:lineRule="auto"/>
        <w:rPr>
          <w:rFonts w:cs="Arial"/>
          <w:color w:val="000000"/>
          <w:sz w:val="20"/>
          <w:szCs w:val="20"/>
        </w:rPr>
      </w:pPr>
      <w:r w:rsidRPr="00765739">
        <w:rPr>
          <w:rFonts w:cs="Arial"/>
          <w:b/>
          <w:i/>
          <w:color w:val="000000"/>
          <w:sz w:val="20"/>
          <w:szCs w:val="20"/>
        </w:rPr>
        <w:t>Exceptúanse los casos en que la ley la limita expresamente al daño emergente</w:t>
      </w:r>
      <w:r w:rsidRPr="001C1791">
        <w:rPr>
          <w:rFonts w:cs="Arial"/>
          <w:i/>
          <w:color w:val="000000"/>
          <w:sz w:val="20"/>
          <w:szCs w:val="20"/>
        </w:rPr>
        <w:t xml:space="preserve">” </w:t>
      </w:r>
      <w:r w:rsidRPr="001C1791">
        <w:rPr>
          <w:rFonts w:cs="Arial"/>
          <w:color w:val="000000"/>
          <w:sz w:val="20"/>
          <w:szCs w:val="20"/>
        </w:rPr>
        <w:t>(la negrilla no es del texto).</w:t>
      </w:r>
    </w:p>
    <w:p w14:paraId="1DB4D440" w14:textId="77777777" w:rsidR="00654072" w:rsidRDefault="00654072" w:rsidP="001C1791">
      <w:pPr>
        <w:shd w:val="clear" w:color="auto" w:fill="FFFFFF"/>
        <w:spacing w:line="240" w:lineRule="auto"/>
        <w:rPr>
          <w:rFonts w:cs="Arial"/>
          <w:color w:val="000000"/>
          <w:sz w:val="20"/>
          <w:szCs w:val="20"/>
        </w:rPr>
      </w:pPr>
    </w:p>
    <w:p w14:paraId="3D3F5013" w14:textId="77777777" w:rsidR="00654072" w:rsidRPr="00E2364F" w:rsidRDefault="00654072" w:rsidP="001C1791">
      <w:pPr>
        <w:shd w:val="clear" w:color="auto" w:fill="FFFFFF"/>
        <w:spacing w:line="240" w:lineRule="auto"/>
        <w:rPr>
          <w:rFonts w:cs="Arial"/>
          <w:color w:val="000000"/>
          <w:sz w:val="20"/>
          <w:szCs w:val="20"/>
        </w:rPr>
      </w:pPr>
      <w:r w:rsidRPr="00AB3C46">
        <w:rPr>
          <w:rFonts w:cs="Arial"/>
          <w:bCs/>
          <w:i/>
          <w:color w:val="000000"/>
          <w:sz w:val="20"/>
          <w:szCs w:val="20"/>
          <w:shd w:val="clear" w:color="auto" w:fill="FFFFFF"/>
        </w:rPr>
        <w:t>“</w:t>
      </w:r>
      <w:r>
        <w:rPr>
          <w:rFonts w:cs="Arial"/>
          <w:bCs/>
          <w:i/>
          <w:color w:val="000000"/>
          <w:sz w:val="20"/>
          <w:szCs w:val="20"/>
          <w:shd w:val="clear" w:color="auto" w:fill="FFFFFF"/>
        </w:rPr>
        <w:t>A</w:t>
      </w:r>
      <w:r w:rsidRPr="00AB3C46">
        <w:rPr>
          <w:rFonts w:cs="Arial"/>
          <w:bCs/>
          <w:i/>
          <w:color w:val="000000"/>
          <w:sz w:val="20"/>
          <w:szCs w:val="20"/>
          <w:shd w:val="clear" w:color="auto" w:fill="FFFFFF"/>
        </w:rPr>
        <w:t>rticulo 1614</w:t>
      </w:r>
      <w:r>
        <w:rPr>
          <w:rFonts w:cs="Arial"/>
          <w:bCs/>
          <w:i/>
          <w:color w:val="000000"/>
          <w:sz w:val="20"/>
          <w:szCs w:val="20"/>
          <w:shd w:val="clear" w:color="auto" w:fill="FFFFFF"/>
        </w:rPr>
        <w:t xml:space="preserve"> CC</w:t>
      </w:r>
      <w:r w:rsidRPr="00AB3C46">
        <w:rPr>
          <w:rFonts w:cs="Arial"/>
          <w:bCs/>
          <w:i/>
          <w:color w:val="000000"/>
          <w:sz w:val="20"/>
          <w:szCs w:val="20"/>
          <w:shd w:val="clear" w:color="auto" w:fill="FFFFFF"/>
        </w:rPr>
        <w:t xml:space="preserve">. </w:t>
      </w:r>
      <w:r>
        <w:rPr>
          <w:rFonts w:cs="Arial"/>
          <w:bCs/>
          <w:i/>
          <w:color w:val="000000"/>
          <w:sz w:val="20"/>
          <w:szCs w:val="20"/>
          <w:shd w:val="clear" w:color="auto" w:fill="FFFFFF"/>
        </w:rPr>
        <w:t>D</w:t>
      </w:r>
      <w:r w:rsidRPr="00AB3C46">
        <w:rPr>
          <w:rFonts w:cs="Arial"/>
          <w:bCs/>
          <w:i/>
          <w:color w:val="000000"/>
          <w:sz w:val="20"/>
          <w:szCs w:val="20"/>
          <w:shd w:val="clear" w:color="auto" w:fill="FFFFFF"/>
        </w:rPr>
        <w:t>año emergente y lucro cesante</w:t>
      </w:r>
      <w:r w:rsidRPr="00AB3C46">
        <w:rPr>
          <w:rFonts w:cs="Arial"/>
          <w:i/>
          <w:color w:val="000000"/>
          <w:sz w:val="20"/>
          <w:szCs w:val="20"/>
          <w:shd w:val="clear" w:color="auto" w:fill="FFFFFF"/>
        </w:rPr>
        <w:t xml:space="preserve">. </w:t>
      </w:r>
      <w:r>
        <w:rPr>
          <w:rFonts w:cs="Arial"/>
          <w:i/>
          <w:color w:val="000000"/>
          <w:sz w:val="20"/>
          <w:szCs w:val="20"/>
          <w:shd w:val="clear" w:color="auto" w:fill="FFFFFF"/>
        </w:rPr>
        <w:t>“</w:t>
      </w:r>
      <w:r w:rsidRPr="00AB3C46">
        <w:rPr>
          <w:rFonts w:cs="Arial"/>
          <w:i/>
          <w:color w:val="000000"/>
          <w:sz w:val="20"/>
          <w:szCs w:val="20"/>
          <w:shd w:val="clear" w:color="auto" w:fill="FFFFFF"/>
        </w:rPr>
        <w:t xml:space="preserve">Entiéndese por daño emergente el perjuicio o la pérdida que proviene de no haberse cumplido la obligación o de haberse cumplido imperfectamente, o de haberse retardado su cumplimiento; y por lucro cesante, la ganancia o provecho que deja de reportarse </w:t>
      </w:r>
      <w:r w:rsidRPr="00AB3C46">
        <w:rPr>
          <w:rFonts w:cs="Arial"/>
          <w:b/>
          <w:i/>
          <w:color w:val="000000"/>
          <w:sz w:val="20"/>
          <w:szCs w:val="20"/>
          <w:shd w:val="clear" w:color="auto" w:fill="FFFFFF"/>
        </w:rPr>
        <w:t>a consecuencia de no haberse cumplido la obligación</w:t>
      </w:r>
      <w:r w:rsidRPr="00AB3C46">
        <w:rPr>
          <w:rFonts w:cs="Arial"/>
          <w:i/>
          <w:color w:val="000000"/>
          <w:sz w:val="20"/>
          <w:szCs w:val="20"/>
          <w:shd w:val="clear" w:color="auto" w:fill="FFFFFF"/>
        </w:rPr>
        <w:t>, o cumplido imperfectamente, o retardado su cumplimiento</w:t>
      </w:r>
      <w:r>
        <w:rPr>
          <w:rFonts w:cs="Arial"/>
          <w:i/>
          <w:color w:val="000000"/>
          <w:sz w:val="20"/>
          <w:szCs w:val="20"/>
          <w:shd w:val="clear" w:color="auto" w:fill="FFFFFF"/>
        </w:rPr>
        <w:t xml:space="preserve">” </w:t>
      </w:r>
      <w:r w:rsidRPr="00AB3C46">
        <w:rPr>
          <w:rFonts w:cs="Arial"/>
          <w:color w:val="000000"/>
          <w:sz w:val="20"/>
          <w:szCs w:val="20"/>
          <w:shd w:val="clear" w:color="auto" w:fill="FFFFFF"/>
        </w:rPr>
        <w:t>(</w:t>
      </w:r>
      <w:r w:rsidRPr="00E2364F">
        <w:rPr>
          <w:rFonts w:cs="Arial"/>
          <w:color w:val="000000"/>
          <w:sz w:val="20"/>
          <w:szCs w:val="20"/>
          <w:shd w:val="clear" w:color="auto" w:fill="FFFFFF"/>
        </w:rPr>
        <w:t>la negrilla no es del texto).</w:t>
      </w:r>
    </w:p>
    <w:p w14:paraId="40EFC4EA" w14:textId="77777777" w:rsidR="00654072" w:rsidRPr="00AB3C46" w:rsidRDefault="00654072" w:rsidP="001C1791">
      <w:pPr>
        <w:pStyle w:val="Textonotapie"/>
        <w:spacing w:line="240" w:lineRule="auto"/>
        <w:rPr>
          <w:b/>
          <w:i/>
          <w:lang w:val="es-CO"/>
        </w:rPr>
      </w:pPr>
    </w:p>
  </w:footnote>
  <w:footnote w:id="46">
    <w:p w14:paraId="496220F2" w14:textId="77777777" w:rsidR="00654072" w:rsidRDefault="00654072" w:rsidP="00EC0F2B">
      <w:pPr>
        <w:pStyle w:val="Textonotapie"/>
        <w:spacing w:line="240" w:lineRule="auto"/>
        <w:rPr>
          <w:lang w:val="es-CO"/>
        </w:rPr>
      </w:pPr>
      <w:r w:rsidRPr="00EC0F2B">
        <w:rPr>
          <w:rStyle w:val="Refdenotaalpie"/>
        </w:rPr>
        <w:footnoteRef/>
      </w:r>
      <w:r w:rsidRPr="00EC0F2B">
        <w:t xml:space="preserve"> </w:t>
      </w:r>
      <w:r w:rsidRPr="00EC0F2B">
        <w:rPr>
          <w:lang w:val="es-CO"/>
        </w:rPr>
        <w:t xml:space="preserve">Folio 28, cuaderno 1. </w:t>
      </w:r>
    </w:p>
    <w:p w14:paraId="5496B8E2" w14:textId="77777777" w:rsidR="00654072" w:rsidRPr="00EC0F2B" w:rsidRDefault="00654072" w:rsidP="00EC0F2B">
      <w:pPr>
        <w:pStyle w:val="Textonotapie"/>
        <w:spacing w:line="240" w:lineRule="auto"/>
        <w:rPr>
          <w:lang w:val="es-CO"/>
        </w:rPr>
      </w:pPr>
    </w:p>
  </w:footnote>
  <w:footnote w:id="47">
    <w:p w14:paraId="353F8F31" w14:textId="77777777" w:rsidR="00654072" w:rsidRDefault="00654072" w:rsidP="008539E6">
      <w:pPr>
        <w:pStyle w:val="Textonotapie"/>
        <w:spacing w:line="240" w:lineRule="auto"/>
        <w:rPr>
          <w:lang w:val="es-CO"/>
        </w:rPr>
      </w:pPr>
      <w:r>
        <w:rPr>
          <w:rStyle w:val="Refdenotaalpie"/>
        </w:rPr>
        <w:footnoteRef/>
      </w:r>
      <w:r>
        <w:t xml:space="preserve"> </w:t>
      </w:r>
      <w:r>
        <w:rPr>
          <w:lang w:val="es-CO"/>
        </w:rPr>
        <w:t xml:space="preserve">Folio 61, cuaderno 1. Obra en el expediente el Pliego de Condiciones de la Licitación Pública LP 002, de marzo de 2009, con base en el cual se corrobora la existencia de la cláusula penal prevista. Folio 348 vuelto, cuaderno 1. </w:t>
      </w:r>
    </w:p>
    <w:p w14:paraId="62652384" w14:textId="77777777" w:rsidR="00654072" w:rsidRPr="004707C2" w:rsidRDefault="00654072" w:rsidP="008539E6">
      <w:pPr>
        <w:pStyle w:val="Textonotapie"/>
        <w:spacing w:line="240" w:lineRule="auto"/>
        <w:rPr>
          <w:lang w:val="es-CO"/>
        </w:rPr>
      </w:pPr>
    </w:p>
  </w:footnote>
  <w:footnote w:id="48">
    <w:p w14:paraId="5D105B30" w14:textId="77777777" w:rsidR="00654072" w:rsidRPr="00A46252" w:rsidRDefault="00654072">
      <w:pPr>
        <w:pStyle w:val="Textonotapie"/>
        <w:rPr>
          <w:lang w:val="es-CO"/>
        </w:rPr>
      </w:pPr>
      <w:r>
        <w:rPr>
          <w:rStyle w:val="Refdenotaalpie"/>
        </w:rPr>
        <w:footnoteRef/>
      </w:r>
      <w:r>
        <w:t xml:space="preserve"> </w:t>
      </w:r>
      <w:r>
        <w:rPr>
          <w:lang w:val="es-CO"/>
        </w:rPr>
        <w:t>Folio 4.645, cuaderno de antecedentes de FONADE.</w:t>
      </w:r>
    </w:p>
  </w:footnote>
  <w:footnote w:id="49">
    <w:p w14:paraId="57873147" w14:textId="77777777" w:rsidR="00654072" w:rsidRPr="00431750" w:rsidRDefault="00654072">
      <w:pPr>
        <w:pStyle w:val="Textonotapie"/>
        <w:rPr>
          <w:lang w:val="es-CO"/>
        </w:rPr>
      </w:pPr>
      <w:r>
        <w:rPr>
          <w:rStyle w:val="Refdenotaalpie"/>
        </w:rPr>
        <w:footnoteRef/>
      </w:r>
      <w:r>
        <w:t xml:space="preserve"> </w:t>
      </w:r>
      <w:r>
        <w:rPr>
          <w:lang w:val="es-CO"/>
        </w:rPr>
        <w:t>Folios 365 a 369, cuaderno 1.</w:t>
      </w:r>
    </w:p>
  </w:footnote>
  <w:footnote w:id="50">
    <w:p w14:paraId="787A5FC2" w14:textId="77777777" w:rsidR="00654072" w:rsidRPr="00431750" w:rsidRDefault="00654072">
      <w:pPr>
        <w:pStyle w:val="Textonotapie"/>
        <w:rPr>
          <w:lang w:val="es-CO"/>
        </w:rPr>
      </w:pPr>
      <w:r>
        <w:rPr>
          <w:rStyle w:val="Refdenotaalpie"/>
        </w:rPr>
        <w:footnoteRef/>
      </w:r>
      <w:r>
        <w:t xml:space="preserve"> </w:t>
      </w:r>
      <w:r>
        <w:rPr>
          <w:lang w:val="es-CO"/>
        </w:rPr>
        <w:t>Folios 370 y 371, cuaderno 1.</w:t>
      </w:r>
    </w:p>
  </w:footnote>
  <w:footnote w:id="51">
    <w:p w14:paraId="09B8960F" w14:textId="77777777" w:rsidR="00654072" w:rsidRPr="002507A5" w:rsidRDefault="00654072">
      <w:pPr>
        <w:pStyle w:val="Textonotapie"/>
        <w:rPr>
          <w:lang w:val="es-CO"/>
        </w:rPr>
      </w:pPr>
      <w:r>
        <w:rPr>
          <w:rStyle w:val="Refdenotaalpie"/>
        </w:rPr>
        <w:footnoteRef/>
      </w:r>
      <w:r>
        <w:t xml:space="preserve"> </w:t>
      </w:r>
      <w:r>
        <w:rPr>
          <w:lang w:val="es-CO"/>
        </w:rPr>
        <w:t xml:space="preserve">Folio 167, cuaderno 1. </w:t>
      </w:r>
    </w:p>
  </w:footnote>
  <w:footnote w:id="52">
    <w:p w14:paraId="0961653D" w14:textId="77777777" w:rsidR="00654072" w:rsidRPr="0016598E" w:rsidRDefault="00654072">
      <w:pPr>
        <w:pStyle w:val="Textonotapie"/>
        <w:rPr>
          <w:lang w:val="es-CO"/>
        </w:rPr>
      </w:pPr>
      <w:r>
        <w:rPr>
          <w:rStyle w:val="Refdenotaalpie"/>
        </w:rPr>
        <w:footnoteRef/>
      </w:r>
      <w:r>
        <w:t xml:space="preserve"> </w:t>
      </w:r>
      <w:r>
        <w:rPr>
          <w:lang w:val="es-CO"/>
        </w:rPr>
        <w:t xml:space="preserve">Folio 178, cuaderno 1. </w:t>
      </w:r>
    </w:p>
  </w:footnote>
  <w:footnote w:id="53">
    <w:p w14:paraId="787599F1" w14:textId="77777777" w:rsidR="00654072" w:rsidRPr="007A64A2" w:rsidRDefault="00654072">
      <w:pPr>
        <w:pStyle w:val="Textonotapie"/>
        <w:rPr>
          <w:lang w:val="es-CO"/>
        </w:rPr>
      </w:pPr>
      <w:r>
        <w:rPr>
          <w:rStyle w:val="Refdenotaalpie"/>
        </w:rPr>
        <w:footnoteRef/>
      </w:r>
      <w:r>
        <w:t xml:space="preserve"> </w:t>
      </w:r>
      <w:r>
        <w:rPr>
          <w:lang w:val="es-CO"/>
        </w:rPr>
        <w:t xml:space="preserve">Folio 183, cuaderno 1. </w:t>
      </w:r>
    </w:p>
  </w:footnote>
  <w:footnote w:id="54">
    <w:p w14:paraId="529FA903" w14:textId="77777777" w:rsidR="00654072" w:rsidRPr="00A93889" w:rsidRDefault="00654072">
      <w:pPr>
        <w:pStyle w:val="Textonotapie"/>
        <w:rPr>
          <w:lang w:val="es-CO"/>
        </w:rPr>
      </w:pPr>
      <w:r>
        <w:rPr>
          <w:rStyle w:val="Refdenotaalpie"/>
        </w:rPr>
        <w:footnoteRef/>
      </w:r>
      <w:r>
        <w:t xml:space="preserve"> </w:t>
      </w:r>
      <w:r>
        <w:rPr>
          <w:lang w:val="es-CO"/>
        </w:rPr>
        <w:t xml:space="preserve">Folio 185, cuaderno 1. </w:t>
      </w:r>
    </w:p>
  </w:footnote>
  <w:footnote w:id="55">
    <w:p w14:paraId="5223B8AC" w14:textId="77777777" w:rsidR="00654072" w:rsidRPr="001242B6" w:rsidRDefault="00654072">
      <w:pPr>
        <w:pStyle w:val="Textonotapie"/>
        <w:rPr>
          <w:lang w:val="es-CO"/>
        </w:rPr>
      </w:pPr>
      <w:r>
        <w:rPr>
          <w:rStyle w:val="Refdenotaalpie"/>
        </w:rPr>
        <w:footnoteRef/>
      </w:r>
      <w:r>
        <w:t xml:space="preserve"> </w:t>
      </w:r>
      <w:r>
        <w:rPr>
          <w:lang w:val="es-CO"/>
        </w:rPr>
        <w:t>Folio 133, acápite de ‘TASACIÓN DE PERJUICIOS”.</w:t>
      </w:r>
    </w:p>
  </w:footnote>
  <w:footnote w:id="56">
    <w:p w14:paraId="3F707D7E" w14:textId="77777777" w:rsidR="00654072" w:rsidRPr="00C67D59" w:rsidRDefault="00654072">
      <w:pPr>
        <w:pStyle w:val="Textonotapie"/>
        <w:rPr>
          <w:lang w:val="es-CO"/>
        </w:rPr>
      </w:pPr>
      <w:r>
        <w:rPr>
          <w:rStyle w:val="Refdenotaalpie"/>
        </w:rPr>
        <w:footnoteRef/>
      </w:r>
      <w:r>
        <w:t xml:space="preserve"> </w:t>
      </w:r>
      <w:r>
        <w:rPr>
          <w:lang w:val="es-CO"/>
        </w:rPr>
        <w:t>Folio 136, cuaderno 1.</w:t>
      </w:r>
    </w:p>
  </w:footnote>
  <w:footnote w:id="57">
    <w:p w14:paraId="598B30E6" w14:textId="77777777" w:rsidR="00654072" w:rsidRPr="00D82BBE" w:rsidRDefault="00654072">
      <w:pPr>
        <w:pStyle w:val="Textonotapie"/>
        <w:rPr>
          <w:lang w:val="es-CO"/>
        </w:rPr>
      </w:pPr>
      <w:r>
        <w:rPr>
          <w:rStyle w:val="Refdenotaalpie"/>
        </w:rPr>
        <w:footnoteRef/>
      </w:r>
      <w:r>
        <w:t xml:space="preserve"> Se destaca el monto de perjuicios cuya cobertura se discute en este proceso.</w:t>
      </w:r>
    </w:p>
  </w:footnote>
  <w:footnote w:id="58">
    <w:p w14:paraId="4BDFD77F" w14:textId="77777777" w:rsidR="00654072" w:rsidRPr="0051656A" w:rsidRDefault="00654072">
      <w:pPr>
        <w:pStyle w:val="Textonotapie"/>
        <w:rPr>
          <w:lang w:val="es-CO"/>
        </w:rPr>
      </w:pPr>
      <w:r>
        <w:rPr>
          <w:rStyle w:val="Refdenotaalpie"/>
        </w:rPr>
        <w:footnoteRef/>
      </w:r>
      <w:r>
        <w:t xml:space="preserve"> </w:t>
      </w:r>
      <w:r>
        <w:rPr>
          <w:lang w:val="es-CO"/>
        </w:rPr>
        <w:t xml:space="preserve">Folio 387, cuaderno 1. </w:t>
      </w:r>
    </w:p>
  </w:footnote>
  <w:footnote w:id="59">
    <w:p w14:paraId="655B0B36" w14:textId="77777777" w:rsidR="00654072" w:rsidRPr="005C6D91" w:rsidRDefault="00654072" w:rsidP="000807C3">
      <w:pPr>
        <w:pStyle w:val="Textonotapie"/>
        <w:spacing w:line="240" w:lineRule="auto"/>
        <w:rPr>
          <w:lang w:val="es-CO"/>
        </w:rPr>
      </w:pPr>
      <w:r>
        <w:rPr>
          <w:rStyle w:val="Refdenotaalpie"/>
        </w:rPr>
        <w:footnoteRef/>
      </w:r>
      <w:r>
        <w:t xml:space="preserve"> </w:t>
      </w:r>
      <w:r>
        <w:rPr>
          <w:lang w:val="es-CO"/>
        </w:rPr>
        <w:t>Folios 473 a 502, cuaderno 1, esto es, con posterioridad a la exigibilidad de la póliza de seguro.</w:t>
      </w:r>
    </w:p>
  </w:footnote>
  <w:footnote w:id="60">
    <w:p w14:paraId="70C9FBEB" w14:textId="77777777" w:rsidR="00654072" w:rsidRPr="00602D01" w:rsidRDefault="00654072" w:rsidP="00DD3895">
      <w:pPr>
        <w:pStyle w:val="Textonotapie"/>
        <w:spacing w:line="240" w:lineRule="auto"/>
        <w:rPr>
          <w:lang w:val="es-CO"/>
        </w:rPr>
      </w:pPr>
      <w:r w:rsidRPr="004D638F">
        <w:rPr>
          <w:rStyle w:val="Refdenotaalpie"/>
        </w:rPr>
        <w:footnoteRef/>
      </w:r>
      <w:r w:rsidRPr="004D638F">
        <w:t xml:space="preserve"> Para reclamar la póliza de seguro no era preciso exigir </w:t>
      </w:r>
      <w:r>
        <w:t xml:space="preserve">que se hubiese celebrado </w:t>
      </w:r>
      <w:r w:rsidRPr="004D638F">
        <w:t xml:space="preserve">la contratación previa de la obra que faltaba. En ello resulta aplicable la observación tradicional de la doctrina: </w:t>
      </w:r>
      <w:r w:rsidRPr="004D638F">
        <w:rPr>
          <w:lang w:val="es-CO"/>
        </w:rPr>
        <w:t>“</w:t>
      </w:r>
      <w:r w:rsidRPr="004D638F">
        <w:rPr>
          <w:i/>
          <w:lang w:val="es-CO"/>
        </w:rPr>
        <w:t>Afirmar que el perjuicio debe ser cierto, es afirmar que no existe duda sobre su realidad. Pero no exigir que exigir que el perjuicio se haya producido ya: desde el momento en que se tiene la certeza de que se producirá en el porvenir y de que cabe apreciar su cuantía (…), la víctima tiene derecho a exigir, sin aguardar más la reparación. No es necesario, pues que sea actual el perjuicio; el futuro perjuicio cierto debe ser reparado”</w:t>
      </w:r>
      <w:r w:rsidRPr="004D638F">
        <w:rPr>
          <w:lang w:val="es-CO"/>
        </w:rPr>
        <w:t>. MAZEAUD, Henri, León y Jean. Lecciones de Derecho Civil, Parte Segunda, Volumen II, Ediciones Jurídicas Europa América, Traducción bajo la responsabilidad de Sentís Melendo Santiago, Buenos Aires 1978, página 62.</w:t>
      </w:r>
    </w:p>
  </w:footnote>
  <w:footnote w:id="61">
    <w:p w14:paraId="0FD25664" w14:textId="77777777" w:rsidR="00654072" w:rsidRDefault="00654072" w:rsidP="005D23F1">
      <w:pPr>
        <w:pStyle w:val="Textonotapie"/>
        <w:spacing w:line="240" w:lineRule="auto"/>
      </w:pPr>
      <w:r>
        <w:rPr>
          <w:rStyle w:val="Refdenotaalpie"/>
        </w:rPr>
        <w:footnoteRef/>
      </w:r>
      <w:r>
        <w:t xml:space="preserve"> En virtud del principio de la economía, los análisis de precios deben adelantarse con la debida antelación al proceso de selección, pueden ser realizados por las unidades asesoras y ejecutoras e la entidad y con base en ello se definen las autorizaciones y aprobaciones correspondientes (numerales 7, 9 y 12).</w:t>
      </w:r>
    </w:p>
    <w:p w14:paraId="13490316" w14:textId="77777777" w:rsidR="00654072" w:rsidRPr="007A64B3" w:rsidRDefault="00654072" w:rsidP="005D23F1">
      <w:pPr>
        <w:pStyle w:val="Textonotapie"/>
        <w:spacing w:line="240" w:lineRule="auto"/>
        <w:rPr>
          <w:lang w:val="es-CO"/>
        </w:rPr>
      </w:pPr>
    </w:p>
  </w:footnote>
  <w:footnote w:id="62">
    <w:p w14:paraId="730824C7" w14:textId="77777777" w:rsidR="00654072" w:rsidRPr="0081049F" w:rsidRDefault="00654072" w:rsidP="003B5C50">
      <w:pPr>
        <w:pStyle w:val="Textonotapie"/>
        <w:rPr>
          <w:lang w:val="es-CO"/>
        </w:rPr>
      </w:pPr>
      <w:r>
        <w:rPr>
          <w:rStyle w:val="Refdenotaalpie"/>
        </w:rPr>
        <w:footnoteRef/>
      </w:r>
      <w:r>
        <w:t xml:space="preserve"> Declaración del ex gerente de estudios previos de FONADE.</w:t>
      </w:r>
    </w:p>
  </w:footnote>
  <w:footnote w:id="63">
    <w:p w14:paraId="1A77D291" w14:textId="77777777" w:rsidR="00654072" w:rsidRPr="0023060D" w:rsidRDefault="00654072">
      <w:pPr>
        <w:pStyle w:val="Textonotapie"/>
        <w:rPr>
          <w:lang w:val="es-CO"/>
        </w:rPr>
      </w:pPr>
      <w:r>
        <w:rPr>
          <w:rStyle w:val="Refdenotaalpie"/>
        </w:rPr>
        <w:footnoteRef/>
      </w:r>
      <w:r>
        <w:t xml:space="preserve"> </w:t>
      </w:r>
      <w:r>
        <w:rPr>
          <w:lang w:val="es-CO"/>
        </w:rPr>
        <w:t>Folios 102 y 103, cuaderno 1.</w:t>
      </w:r>
    </w:p>
  </w:footnote>
  <w:footnote w:id="64">
    <w:p w14:paraId="01D5CA4A" w14:textId="77777777" w:rsidR="00654072" w:rsidRPr="00D24A46" w:rsidRDefault="00654072">
      <w:pPr>
        <w:pStyle w:val="Textonotapie"/>
        <w:rPr>
          <w:lang w:val="es-CO"/>
        </w:rPr>
      </w:pPr>
      <w:r>
        <w:rPr>
          <w:rStyle w:val="Refdenotaalpie"/>
        </w:rPr>
        <w:footnoteRef/>
      </w:r>
      <w:r>
        <w:t xml:space="preserve"> </w:t>
      </w:r>
      <w:r>
        <w:rPr>
          <w:lang w:val="es-CO"/>
        </w:rPr>
        <w:t>Folio 104, cuaderno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152F0" w14:textId="77777777" w:rsidR="00654072" w:rsidRDefault="00654072"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07AE36" w14:textId="77777777" w:rsidR="00654072" w:rsidRDefault="00654072" w:rsidP="0064345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48689" w14:textId="77777777" w:rsidR="00654072" w:rsidRDefault="00654072">
    <w:pPr>
      <w:pStyle w:val="Encabezado"/>
    </w:pPr>
    <w:r w:rsidRPr="00E5066D">
      <w:rPr>
        <w:noProof/>
        <w:lang w:val="es-CO" w:eastAsia="es-CO"/>
      </w:rPr>
      <w:drawing>
        <wp:inline distT="0" distB="0" distL="0" distR="0" wp14:anchorId="7CF5F811" wp14:editId="033AA8CE">
          <wp:extent cx="895350" cy="81915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7"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2"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3"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8"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15:restartNumberingAfterBreak="0">
    <w:nsid w:val="46737121"/>
    <w:multiLevelType w:val="hybridMultilevel"/>
    <w:tmpl w:val="ADCAA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5765F66"/>
    <w:multiLevelType w:val="hybridMultilevel"/>
    <w:tmpl w:val="F69C7B28"/>
    <w:lvl w:ilvl="0" w:tplc="0F069A74">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6"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1D71CCE"/>
    <w:multiLevelType w:val="hybridMultilevel"/>
    <w:tmpl w:val="818655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5"/>
  </w:num>
  <w:num w:numId="2">
    <w:abstractNumId w:val="28"/>
  </w:num>
  <w:num w:numId="3">
    <w:abstractNumId w:val="26"/>
  </w:num>
  <w:num w:numId="4">
    <w:abstractNumId w:val="11"/>
  </w:num>
  <w:num w:numId="5">
    <w:abstractNumId w:val="14"/>
  </w:num>
  <w:num w:numId="6">
    <w:abstractNumId w:val="4"/>
  </w:num>
  <w:num w:numId="7">
    <w:abstractNumId w:val="27"/>
  </w:num>
  <w:num w:numId="8">
    <w:abstractNumId w:val="5"/>
  </w:num>
  <w:num w:numId="9">
    <w:abstractNumId w:val="3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8"/>
  </w:num>
  <w:num w:numId="12">
    <w:abstractNumId w:val="9"/>
  </w:num>
  <w:num w:numId="13">
    <w:abstractNumId w:val="5"/>
  </w:num>
  <w:num w:numId="14">
    <w:abstractNumId w:val="24"/>
  </w:num>
  <w:num w:numId="15">
    <w:abstractNumId w:val="3"/>
  </w:num>
  <w:num w:numId="16">
    <w:abstractNumId w:val="12"/>
  </w:num>
  <w:num w:numId="17">
    <w:abstractNumId w:val="7"/>
  </w:num>
  <w:num w:numId="18">
    <w:abstractNumId w:val="16"/>
  </w:num>
  <w:num w:numId="19">
    <w:abstractNumId w:val="23"/>
  </w:num>
  <w:num w:numId="20">
    <w:abstractNumId w:val="29"/>
  </w:num>
  <w:num w:numId="21">
    <w:abstractNumId w:val="19"/>
  </w:num>
  <w:num w:numId="22">
    <w:abstractNumId w:val="1"/>
  </w:num>
  <w:num w:numId="23">
    <w:abstractNumId w:val="20"/>
  </w:num>
  <w:num w:numId="24">
    <w:abstractNumId w:val="2"/>
  </w:num>
  <w:num w:numId="25">
    <w:abstractNumId w:val="6"/>
  </w:num>
  <w:num w:numId="26">
    <w:abstractNumId w:val="8"/>
  </w:num>
  <w:num w:numId="27">
    <w:abstractNumId w:val="17"/>
  </w:num>
  <w:num w:numId="28">
    <w:abstractNumId w:val="13"/>
  </w:num>
  <w:num w:numId="29">
    <w:abstractNumId w:val="10"/>
  </w:num>
  <w:num w:numId="30">
    <w:abstractNumId w:val="0"/>
  </w:num>
  <w:num w:numId="31">
    <w:abstractNumId w:val="25"/>
  </w:num>
  <w:num w:numId="32">
    <w:abstractNumId w:val="30"/>
  </w:num>
  <w:num w:numId="3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gutterAtTop/>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395"/>
    <w:rsid w:val="0000005D"/>
    <w:rsid w:val="000004FE"/>
    <w:rsid w:val="0000071A"/>
    <w:rsid w:val="0000092F"/>
    <w:rsid w:val="00000E8A"/>
    <w:rsid w:val="00000F07"/>
    <w:rsid w:val="000012E0"/>
    <w:rsid w:val="000013BC"/>
    <w:rsid w:val="00001679"/>
    <w:rsid w:val="0000193E"/>
    <w:rsid w:val="00001C09"/>
    <w:rsid w:val="00001C23"/>
    <w:rsid w:val="00001E1F"/>
    <w:rsid w:val="00001F90"/>
    <w:rsid w:val="00002764"/>
    <w:rsid w:val="0000298F"/>
    <w:rsid w:val="00002B15"/>
    <w:rsid w:val="00002E38"/>
    <w:rsid w:val="000030F1"/>
    <w:rsid w:val="00003330"/>
    <w:rsid w:val="00003649"/>
    <w:rsid w:val="000036B8"/>
    <w:rsid w:val="000039FF"/>
    <w:rsid w:val="00003C47"/>
    <w:rsid w:val="00003D08"/>
    <w:rsid w:val="00003F52"/>
    <w:rsid w:val="00004194"/>
    <w:rsid w:val="000041F0"/>
    <w:rsid w:val="0000455E"/>
    <w:rsid w:val="00004616"/>
    <w:rsid w:val="000049E1"/>
    <w:rsid w:val="0000511F"/>
    <w:rsid w:val="00005654"/>
    <w:rsid w:val="000062C4"/>
    <w:rsid w:val="00006466"/>
    <w:rsid w:val="000067A2"/>
    <w:rsid w:val="00006BE4"/>
    <w:rsid w:val="00006EA4"/>
    <w:rsid w:val="000072F1"/>
    <w:rsid w:val="00007BA0"/>
    <w:rsid w:val="00007C4A"/>
    <w:rsid w:val="00007CAE"/>
    <w:rsid w:val="00010098"/>
    <w:rsid w:val="00010466"/>
    <w:rsid w:val="000104E1"/>
    <w:rsid w:val="0001067B"/>
    <w:rsid w:val="000107A5"/>
    <w:rsid w:val="00010DB5"/>
    <w:rsid w:val="00012A4C"/>
    <w:rsid w:val="00012DB3"/>
    <w:rsid w:val="00013063"/>
    <w:rsid w:val="00013615"/>
    <w:rsid w:val="00013690"/>
    <w:rsid w:val="0001384A"/>
    <w:rsid w:val="00013C26"/>
    <w:rsid w:val="00013E02"/>
    <w:rsid w:val="00013EC4"/>
    <w:rsid w:val="00014013"/>
    <w:rsid w:val="000143CA"/>
    <w:rsid w:val="00014595"/>
    <w:rsid w:val="000148A2"/>
    <w:rsid w:val="0001495C"/>
    <w:rsid w:val="000150BD"/>
    <w:rsid w:val="000151C6"/>
    <w:rsid w:val="000152A8"/>
    <w:rsid w:val="0001539B"/>
    <w:rsid w:val="0001540B"/>
    <w:rsid w:val="000155C2"/>
    <w:rsid w:val="00015C11"/>
    <w:rsid w:val="00016B27"/>
    <w:rsid w:val="00016B62"/>
    <w:rsid w:val="00016BAF"/>
    <w:rsid w:val="0001706A"/>
    <w:rsid w:val="000170A9"/>
    <w:rsid w:val="00017F29"/>
    <w:rsid w:val="00017F4B"/>
    <w:rsid w:val="000203FE"/>
    <w:rsid w:val="000209C9"/>
    <w:rsid w:val="00020AE9"/>
    <w:rsid w:val="00020DD2"/>
    <w:rsid w:val="00020E7B"/>
    <w:rsid w:val="00020F82"/>
    <w:rsid w:val="00021148"/>
    <w:rsid w:val="00021342"/>
    <w:rsid w:val="00021A58"/>
    <w:rsid w:val="000223BC"/>
    <w:rsid w:val="0002287B"/>
    <w:rsid w:val="00022CE9"/>
    <w:rsid w:val="0002302D"/>
    <w:rsid w:val="0002326F"/>
    <w:rsid w:val="000232F7"/>
    <w:rsid w:val="0002353C"/>
    <w:rsid w:val="00023675"/>
    <w:rsid w:val="00023933"/>
    <w:rsid w:val="0002442B"/>
    <w:rsid w:val="00024457"/>
    <w:rsid w:val="0002473A"/>
    <w:rsid w:val="000247CD"/>
    <w:rsid w:val="00024C72"/>
    <w:rsid w:val="00025075"/>
    <w:rsid w:val="00025187"/>
    <w:rsid w:val="0002571A"/>
    <w:rsid w:val="0002571E"/>
    <w:rsid w:val="00025A21"/>
    <w:rsid w:val="00025BC4"/>
    <w:rsid w:val="00025C0C"/>
    <w:rsid w:val="00025C7D"/>
    <w:rsid w:val="000260FB"/>
    <w:rsid w:val="000262BF"/>
    <w:rsid w:val="000263A9"/>
    <w:rsid w:val="000264FE"/>
    <w:rsid w:val="000267FA"/>
    <w:rsid w:val="00027837"/>
    <w:rsid w:val="00027863"/>
    <w:rsid w:val="00027A49"/>
    <w:rsid w:val="0003004D"/>
    <w:rsid w:val="00030283"/>
    <w:rsid w:val="000302C0"/>
    <w:rsid w:val="00030B1A"/>
    <w:rsid w:val="00030C95"/>
    <w:rsid w:val="00031536"/>
    <w:rsid w:val="00031646"/>
    <w:rsid w:val="0003177A"/>
    <w:rsid w:val="00031F50"/>
    <w:rsid w:val="00032016"/>
    <w:rsid w:val="000320EB"/>
    <w:rsid w:val="000321D5"/>
    <w:rsid w:val="000323EA"/>
    <w:rsid w:val="00032C85"/>
    <w:rsid w:val="0003316F"/>
    <w:rsid w:val="00033185"/>
    <w:rsid w:val="000335CC"/>
    <w:rsid w:val="00033A87"/>
    <w:rsid w:val="00033E47"/>
    <w:rsid w:val="00033E59"/>
    <w:rsid w:val="00034270"/>
    <w:rsid w:val="00034796"/>
    <w:rsid w:val="000353CD"/>
    <w:rsid w:val="000358D7"/>
    <w:rsid w:val="00035DEC"/>
    <w:rsid w:val="0003632B"/>
    <w:rsid w:val="0003635B"/>
    <w:rsid w:val="000363FD"/>
    <w:rsid w:val="00036DF1"/>
    <w:rsid w:val="00036F1E"/>
    <w:rsid w:val="000400F3"/>
    <w:rsid w:val="00040808"/>
    <w:rsid w:val="00040A0A"/>
    <w:rsid w:val="00041150"/>
    <w:rsid w:val="00041167"/>
    <w:rsid w:val="000411C9"/>
    <w:rsid w:val="000413F2"/>
    <w:rsid w:val="00041BC1"/>
    <w:rsid w:val="00041D8F"/>
    <w:rsid w:val="00042364"/>
    <w:rsid w:val="00042372"/>
    <w:rsid w:val="000423B3"/>
    <w:rsid w:val="0004266C"/>
    <w:rsid w:val="00042AFC"/>
    <w:rsid w:val="0004371D"/>
    <w:rsid w:val="000439A7"/>
    <w:rsid w:val="00043A7F"/>
    <w:rsid w:val="00043C20"/>
    <w:rsid w:val="000442CE"/>
    <w:rsid w:val="00044360"/>
    <w:rsid w:val="00044ABB"/>
    <w:rsid w:val="00044F75"/>
    <w:rsid w:val="0004539B"/>
    <w:rsid w:val="0004587C"/>
    <w:rsid w:val="00045992"/>
    <w:rsid w:val="00045AC5"/>
    <w:rsid w:val="00045BA2"/>
    <w:rsid w:val="00045C62"/>
    <w:rsid w:val="00045C63"/>
    <w:rsid w:val="00045DCF"/>
    <w:rsid w:val="00045FCB"/>
    <w:rsid w:val="0004608C"/>
    <w:rsid w:val="000460C4"/>
    <w:rsid w:val="000460E6"/>
    <w:rsid w:val="0004636C"/>
    <w:rsid w:val="0004675A"/>
    <w:rsid w:val="00046B44"/>
    <w:rsid w:val="00047466"/>
    <w:rsid w:val="00047AFA"/>
    <w:rsid w:val="00050A3E"/>
    <w:rsid w:val="00050CA0"/>
    <w:rsid w:val="00050E06"/>
    <w:rsid w:val="00050E71"/>
    <w:rsid w:val="00050EC2"/>
    <w:rsid w:val="00051050"/>
    <w:rsid w:val="0005134F"/>
    <w:rsid w:val="0005135E"/>
    <w:rsid w:val="000519A7"/>
    <w:rsid w:val="00051B2B"/>
    <w:rsid w:val="00052671"/>
    <w:rsid w:val="000527C6"/>
    <w:rsid w:val="000528F2"/>
    <w:rsid w:val="00052B55"/>
    <w:rsid w:val="00053041"/>
    <w:rsid w:val="0005372C"/>
    <w:rsid w:val="00053778"/>
    <w:rsid w:val="000539A3"/>
    <w:rsid w:val="00054130"/>
    <w:rsid w:val="0005420C"/>
    <w:rsid w:val="00054863"/>
    <w:rsid w:val="00054E45"/>
    <w:rsid w:val="00054EB1"/>
    <w:rsid w:val="00055411"/>
    <w:rsid w:val="00055849"/>
    <w:rsid w:val="00055A2C"/>
    <w:rsid w:val="00056023"/>
    <w:rsid w:val="00056164"/>
    <w:rsid w:val="00056466"/>
    <w:rsid w:val="000565C3"/>
    <w:rsid w:val="00056F14"/>
    <w:rsid w:val="00056F8F"/>
    <w:rsid w:val="000570EE"/>
    <w:rsid w:val="0005739B"/>
    <w:rsid w:val="000574D2"/>
    <w:rsid w:val="00057514"/>
    <w:rsid w:val="0006047E"/>
    <w:rsid w:val="0006071E"/>
    <w:rsid w:val="00060962"/>
    <w:rsid w:val="00060A10"/>
    <w:rsid w:val="00060B9B"/>
    <w:rsid w:val="00060D51"/>
    <w:rsid w:val="00061160"/>
    <w:rsid w:val="00061169"/>
    <w:rsid w:val="00061758"/>
    <w:rsid w:val="000619AB"/>
    <w:rsid w:val="00062A8C"/>
    <w:rsid w:val="00062AE2"/>
    <w:rsid w:val="00062EC8"/>
    <w:rsid w:val="00062ECE"/>
    <w:rsid w:val="00062F07"/>
    <w:rsid w:val="0006314A"/>
    <w:rsid w:val="0006323F"/>
    <w:rsid w:val="00063440"/>
    <w:rsid w:val="00063601"/>
    <w:rsid w:val="00063833"/>
    <w:rsid w:val="00063EFC"/>
    <w:rsid w:val="00063FDB"/>
    <w:rsid w:val="00064173"/>
    <w:rsid w:val="000641E1"/>
    <w:rsid w:val="0006430F"/>
    <w:rsid w:val="00064582"/>
    <w:rsid w:val="0006488A"/>
    <w:rsid w:val="00064D83"/>
    <w:rsid w:val="00064FE5"/>
    <w:rsid w:val="000657C5"/>
    <w:rsid w:val="00065CF7"/>
    <w:rsid w:val="00065E61"/>
    <w:rsid w:val="00065E78"/>
    <w:rsid w:val="0006601E"/>
    <w:rsid w:val="0006626D"/>
    <w:rsid w:val="00066448"/>
    <w:rsid w:val="0006662B"/>
    <w:rsid w:val="000701BA"/>
    <w:rsid w:val="000701C3"/>
    <w:rsid w:val="000705E6"/>
    <w:rsid w:val="0007069A"/>
    <w:rsid w:val="000708AE"/>
    <w:rsid w:val="00070FC0"/>
    <w:rsid w:val="00071336"/>
    <w:rsid w:val="00071BC7"/>
    <w:rsid w:val="00071DAB"/>
    <w:rsid w:val="0007209C"/>
    <w:rsid w:val="0007211F"/>
    <w:rsid w:val="000722F8"/>
    <w:rsid w:val="000725CB"/>
    <w:rsid w:val="0007265F"/>
    <w:rsid w:val="00072EA3"/>
    <w:rsid w:val="00073063"/>
    <w:rsid w:val="00073360"/>
    <w:rsid w:val="000735EB"/>
    <w:rsid w:val="0007367B"/>
    <w:rsid w:val="000739F5"/>
    <w:rsid w:val="00073C49"/>
    <w:rsid w:val="00073DB3"/>
    <w:rsid w:val="00073F66"/>
    <w:rsid w:val="000745CE"/>
    <w:rsid w:val="00074C0F"/>
    <w:rsid w:val="00074C56"/>
    <w:rsid w:val="0007558A"/>
    <w:rsid w:val="00075779"/>
    <w:rsid w:val="00075DF6"/>
    <w:rsid w:val="0007608D"/>
    <w:rsid w:val="00076569"/>
    <w:rsid w:val="00076631"/>
    <w:rsid w:val="0007667D"/>
    <w:rsid w:val="00076943"/>
    <w:rsid w:val="00076AC0"/>
    <w:rsid w:val="00076AFF"/>
    <w:rsid w:val="00076F35"/>
    <w:rsid w:val="000774FA"/>
    <w:rsid w:val="000775AE"/>
    <w:rsid w:val="0007792C"/>
    <w:rsid w:val="00077B4B"/>
    <w:rsid w:val="00077B7D"/>
    <w:rsid w:val="00077DF1"/>
    <w:rsid w:val="00077E42"/>
    <w:rsid w:val="00077F0F"/>
    <w:rsid w:val="00080157"/>
    <w:rsid w:val="0008074F"/>
    <w:rsid w:val="000807C3"/>
    <w:rsid w:val="000813E9"/>
    <w:rsid w:val="00081A76"/>
    <w:rsid w:val="00081E4F"/>
    <w:rsid w:val="00081F74"/>
    <w:rsid w:val="000821E0"/>
    <w:rsid w:val="00082507"/>
    <w:rsid w:val="00082852"/>
    <w:rsid w:val="00082D93"/>
    <w:rsid w:val="00082FB7"/>
    <w:rsid w:val="00083289"/>
    <w:rsid w:val="0008343C"/>
    <w:rsid w:val="00083AEA"/>
    <w:rsid w:val="00083BB5"/>
    <w:rsid w:val="00083C1D"/>
    <w:rsid w:val="00083D8A"/>
    <w:rsid w:val="00084000"/>
    <w:rsid w:val="000843C9"/>
    <w:rsid w:val="00084419"/>
    <w:rsid w:val="0008441D"/>
    <w:rsid w:val="00084943"/>
    <w:rsid w:val="00084D8B"/>
    <w:rsid w:val="0008509A"/>
    <w:rsid w:val="00085283"/>
    <w:rsid w:val="00085297"/>
    <w:rsid w:val="00085443"/>
    <w:rsid w:val="00086023"/>
    <w:rsid w:val="00086170"/>
    <w:rsid w:val="000865D7"/>
    <w:rsid w:val="00086ABF"/>
    <w:rsid w:val="00086D58"/>
    <w:rsid w:val="0008752D"/>
    <w:rsid w:val="0008798C"/>
    <w:rsid w:val="00087A3E"/>
    <w:rsid w:val="00087B20"/>
    <w:rsid w:val="00087B3A"/>
    <w:rsid w:val="00087C29"/>
    <w:rsid w:val="00087F39"/>
    <w:rsid w:val="0009017C"/>
    <w:rsid w:val="000902CC"/>
    <w:rsid w:val="000903DB"/>
    <w:rsid w:val="0009054D"/>
    <w:rsid w:val="00090865"/>
    <w:rsid w:val="00090A63"/>
    <w:rsid w:val="00090A73"/>
    <w:rsid w:val="00090C49"/>
    <w:rsid w:val="00090D3F"/>
    <w:rsid w:val="00090F3F"/>
    <w:rsid w:val="00091032"/>
    <w:rsid w:val="00091462"/>
    <w:rsid w:val="000923E9"/>
    <w:rsid w:val="00092596"/>
    <w:rsid w:val="00092A06"/>
    <w:rsid w:val="00093234"/>
    <w:rsid w:val="000932B6"/>
    <w:rsid w:val="000935A8"/>
    <w:rsid w:val="00093655"/>
    <w:rsid w:val="00093953"/>
    <w:rsid w:val="00093BE3"/>
    <w:rsid w:val="00093CE2"/>
    <w:rsid w:val="00093FAE"/>
    <w:rsid w:val="0009429B"/>
    <w:rsid w:val="000946D8"/>
    <w:rsid w:val="00094990"/>
    <w:rsid w:val="000949AA"/>
    <w:rsid w:val="00095193"/>
    <w:rsid w:val="000954D9"/>
    <w:rsid w:val="000958F8"/>
    <w:rsid w:val="00095DC4"/>
    <w:rsid w:val="00095DE2"/>
    <w:rsid w:val="00096035"/>
    <w:rsid w:val="0009606A"/>
    <w:rsid w:val="0009634B"/>
    <w:rsid w:val="000964A2"/>
    <w:rsid w:val="0009687C"/>
    <w:rsid w:val="000969A4"/>
    <w:rsid w:val="00096C37"/>
    <w:rsid w:val="00097392"/>
    <w:rsid w:val="00097454"/>
    <w:rsid w:val="00097E28"/>
    <w:rsid w:val="00097FB0"/>
    <w:rsid w:val="00097FFE"/>
    <w:rsid w:val="000A024C"/>
    <w:rsid w:val="000A0632"/>
    <w:rsid w:val="000A10EB"/>
    <w:rsid w:val="000A115D"/>
    <w:rsid w:val="000A15C5"/>
    <w:rsid w:val="000A1B5C"/>
    <w:rsid w:val="000A1C0E"/>
    <w:rsid w:val="000A1C44"/>
    <w:rsid w:val="000A2287"/>
    <w:rsid w:val="000A263C"/>
    <w:rsid w:val="000A2E77"/>
    <w:rsid w:val="000A2EF8"/>
    <w:rsid w:val="000A2F71"/>
    <w:rsid w:val="000A2F9E"/>
    <w:rsid w:val="000A3282"/>
    <w:rsid w:val="000A344C"/>
    <w:rsid w:val="000A3D13"/>
    <w:rsid w:val="000A3F4D"/>
    <w:rsid w:val="000A4390"/>
    <w:rsid w:val="000A43A4"/>
    <w:rsid w:val="000A4AC6"/>
    <w:rsid w:val="000A551F"/>
    <w:rsid w:val="000A5564"/>
    <w:rsid w:val="000A5AB6"/>
    <w:rsid w:val="000A5BBC"/>
    <w:rsid w:val="000A5CC8"/>
    <w:rsid w:val="000A5F64"/>
    <w:rsid w:val="000A6106"/>
    <w:rsid w:val="000A64E7"/>
    <w:rsid w:val="000A6786"/>
    <w:rsid w:val="000A6819"/>
    <w:rsid w:val="000A6DBA"/>
    <w:rsid w:val="000A6E70"/>
    <w:rsid w:val="000A6FC0"/>
    <w:rsid w:val="000A700C"/>
    <w:rsid w:val="000A71B9"/>
    <w:rsid w:val="000A7800"/>
    <w:rsid w:val="000A79D1"/>
    <w:rsid w:val="000A7F66"/>
    <w:rsid w:val="000B00FB"/>
    <w:rsid w:val="000B0555"/>
    <w:rsid w:val="000B0BFA"/>
    <w:rsid w:val="000B0E29"/>
    <w:rsid w:val="000B1216"/>
    <w:rsid w:val="000B126D"/>
    <w:rsid w:val="000B139F"/>
    <w:rsid w:val="000B194A"/>
    <w:rsid w:val="000B1BC1"/>
    <w:rsid w:val="000B1E8C"/>
    <w:rsid w:val="000B1EC0"/>
    <w:rsid w:val="000B2B5A"/>
    <w:rsid w:val="000B3002"/>
    <w:rsid w:val="000B3529"/>
    <w:rsid w:val="000B36E3"/>
    <w:rsid w:val="000B3773"/>
    <w:rsid w:val="000B380C"/>
    <w:rsid w:val="000B393A"/>
    <w:rsid w:val="000B3DED"/>
    <w:rsid w:val="000B42EC"/>
    <w:rsid w:val="000B4594"/>
    <w:rsid w:val="000B45E5"/>
    <w:rsid w:val="000B48A9"/>
    <w:rsid w:val="000B4DDE"/>
    <w:rsid w:val="000B5060"/>
    <w:rsid w:val="000B572D"/>
    <w:rsid w:val="000B5AC9"/>
    <w:rsid w:val="000B5B53"/>
    <w:rsid w:val="000B5BD6"/>
    <w:rsid w:val="000B5D70"/>
    <w:rsid w:val="000B5DB0"/>
    <w:rsid w:val="000B5F09"/>
    <w:rsid w:val="000B60B3"/>
    <w:rsid w:val="000B6230"/>
    <w:rsid w:val="000B6431"/>
    <w:rsid w:val="000B697D"/>
    <w:rsid w:val="000B6FE1"/>
    <w:rsid w:val="000B7705"/>
    <w:rsid w:val="000B7709"/>
    <w:rsid w:val="000B771B"/>
    <w:rsid w:val="000C0124"/>
    <w:rsid w:val="000C0623"/>
    <w:rsid w:val="000C0E6F"/>
    <w:rsid w:val="000C0EF3"/>
    <w:rsid w:val="000C160D"/>
    <w:rsid w:val="000C1611"/>
    <w:rsid w:val="000C189E"/>
    <w:rsid w:val="000C1CDB"/>
    <w:rsid w:val="000C1D84"/>
    <w:rsid w:val="000C1EB8"/>
    <w:rsid w:val="000C2328"/>
    <w:rsid w:val="000C26D8"/>
    <w:rsid w:val="000C2852"/>
    <w:rsid w:val="000C29B5"/>
    <w:rsid w:val="000C3469"/>
    <w:rsid w:val="000C3490"/>
    <w:rsid w:val="000C3C27"/>
    <w:rsid w:val="000C3C31"/>
    <w:rsid w:val="000C3DA5"/>
    <w:rsid w:val="000C41DD"/>
    <w:rsid w:val="000C4289"/>
    <w:rsid w:val="000C4728"/>
    <w:rsid w:val="000C4C7A"/>
    <w:rsid w:val="000C4D6A"/>
    <w:rsid w:val="000C4F41"/>
    <w:rsid w:val="000C55C9"/>
    <w:rsid w:val="000C571B"/>
    <w:rsid w:val="000C57B4"/>
    <w:rsid w:val="000C62FD"/>
    <w:rsid w:val="000C644A"/>
    <w:rsid w:val="000C6608"/>
    <w:rsid w:val="000C6624"/>
    <w:rsid w:val="000C695F"/>
    <w:rsid w:val="000C7086"/>
    <w:rsid w:val="000C719B"/>
    <w:rsid w:val="000C74FA"/>
    <w:rsid w:val="000C7A5D"/>
    <w:rsid w:val="000C7AAF"/>
    <w:rsid w:val="000C7D37"/>
    <w:rsid w:val="000C7F42"/>
    <w:rsid w:val="000C7FA2"/>
    <w:rsid w:val="000D094E"/>
    <w:rsid w:val="000D099B"/>
    <w:rsid w:val="000D0AB6"/>
    <w:rsid w:val="000D0B09"/>
    <w:rsid w:val="000D0BCC"/>
    <w:rsid w:val="000D12CC"/>
    <w:rsid w:val="000D13B1"/>
    <w:rsid w:val="000D1F94"/>
    <w:rsid w:val="000D24AB"/>
    <w:rsid w:val="000D25BF"/>
    <w:rsid w:val="000D27BB"/>
    <w:rsid w:val="000D29CC"/>
    <w:rsid w:val="000D2C78"/>
    <w:rsid w:val="000D2D7B"/>
    <w:rsid w:val="000D2E0D"/>
    <w:rsid w:val="000D30CA"/>
    <w:rsid w:val="000D32C3"/>
    <w:rsid w:val="000D331B"/>
    <w:rsid w:val="000D337F"/>
    <w:rsid w:val="000D36F4"/>
    <w:rsid w:val="000D3769"/>
    <w:rsid w:val="000D3852"/>
    <w:rsid w:val="000D39E6"/>
    <w:rsid w:val="000D3DC6"/>
    <w:rsid w:val="000D3E90"/>
    <w:rsid w:val="000D44D5"/>
    <w:rsid w:val="000D4682"/>
    <w:rsid w:val="000D47FA"/>
    <w:rsid w:val="000D4DED"/>
    <w:rsid w:val="000D501B"/>
    <w:rsid w:val="000D5033"/>
    <w:rsid w:val="000D5F40"/>
    <w:rsid w:val="000D61F2"/>
    <w:rsid w:val="000D6865"/>
    <w:rsid w:val="000D69A6"/>
    <w:rsid w:val="000D7268"/>
    <w:rsid w:val="000D7464"/>
    <w:rsid w:val="000D7488"/>
    <w:rsid w:val="000D7509"/>
    <w:rsid w:val="000E0524"/>
    <w:rsid w:val="000E0D6C"/>
    <w:rsid w:val="000E0D85"/>
    <w:rsid w:val="000E16D3"/>
    <w:rsid w:val="000E17DE"/>
    <w:rsid w:val="000E1A1B"/>
    <w:rsid w:val="000E1F75"/>
    <w:rsid w:val="000E20DD"/>
    <w:rsid w:val="000E2AD6"/>
    <w:rsid w:val="000E2CB1"/>
    <w:rsid w:val="000E2CF7"/>
    <w:rsid w:val="000E3170"/>
    <w:rsid w:val="000E325E"/>
    <w:rsid w:val="000E3283"/>
    <w:rsid w:val="000E334F"/>
    <w:rsid w:val="000E353A"/>
    <w:rsid w:val="000E35AE"/>
    <w:rsid w:val="000E363C"/>
    <w:rsid w:val="000E3BA3"/>
    <w:rsid w:val="000E3FCB"/>
    <w:rsid w:val="000E41A9"/>
    <w:rsid w:val="000E41CF"/>
    <w:rsid w:val="000E4216"/>
    <w:rsid w:val="000E426D"/>
    <w:rsid w:val="000E4364"/>
    <w:rsid w:val="000E4683"/>
    <w:rsid w:val="000E4DCC"/>
    <w:rsid w:val="000E4E13"/>
    <w:rsid w:val="000E4E92"/>
    <w:rsid w:val="000E52CC"/>
    <w:rsid w:val="000E6110"/>
    <w:rsid w:val="000E61D2"/>
    <w:rsid w:val="000E6697"/>
    <w:rsid w:val="000E6AEE"/>
    <w:rsid w:val="000E6C2F"/>
    <w:rsid w:val="000E713C"/>
    <w:rsid w:val="000E728C"/>
    <w:rsid w:val="000E76A0"/>
    <w:rsid w:val="000E78D3"/>
    <w:rsid w:val="000E7986"/>
    <w:rsid w:val="000F03E0"/>
    <w:rsid w:val="000F05E1"/>
    <w:rsid w:val="000F0C2F"/>
    <w:rsid w:val="000F0C94"/>
    <w:rsid w:val="000F180A"/>
    <w:rsid w:val="000F2154"/>
    <w:rsid w:val="000F22FF"/>
    <w:rsid w:val="000F265A"/>
    <w:rsid w:val="000F26C8"/>
    <w:rsid w:val="000F26E1"/>
    <w:rsid w:val="000F2F49"/>
    <w:rsid w:val="000F3037"/>
    <w:rsid w:val="000F30B6"/>
    <w:rsid w:val="000F3104"/>
    <w:rsid w:val="000F34A9"/>
    <w:rsid w:val="000F3716"/>
    <w:rsid w:val="000F3BDF"/>
    <w:rsid w:val="000F3DF5"/>
    <w:rsid w:val="000F42D4"/>
    <w:rsid w:val="000F45F3"/>
    <w:rsid w:val="000F48E0"/>
    <w:rsid w:val="000F494D"/>
    <w:rsid w:val="000F55D2"/>
    <w:rsid w:val="000F588A"/>
    <w:rsid w:val="000F59B3"/>
    <w:rsid w:val="000F5B4E"/>
    <w:rsid w:val="000F61E7"/>
    <w:rsid w:val="000F6382"/>
    <w:rsid w:val="000F64F4"/>
    <w:rsid w:val="000F65E7"/>
    <w:rsid w:val="000F6E13"/>
    <w:rsid w:val="000F7158"/>
    <w:rsid w:val="000F7279"/>
    <w:rsid w:val="000F7BB7"/>
    <w:rsid w:val="000F7F26"/>
    <w:rsid w:val="001002CF"/>
    <w:rsid w:val="00100AD0"/>
    <w:rsid w:val="00100AD9"/>
    <w:rsid w:val="00100C07"/>
    <w:rsid w:val="00100E68"/>
    <w:rsid w:val="001011E1"/>
    <w:rsid w:val="001011E7"/>
    <w:rsid w:val="0010130B"/>
    <w:rsid w:val="00101519"/>
    <w:rsid w:val="00101534"/>
    <w:rsid w:val="0010169B"/>
    <w:rsid w:val="001017D8"/>
    <w:rsid w:val="00101FD2"/>
    <w:rsid w:val="0010218A"/>
    <w:rsid w:val="00102224"/>
    <w:rsid w:val="00102685"/>
    <w:rsid w:val="00102B65"/>
    <w:rsid w:val="00102D36"/>
    <w:rsid w:val="0010300A"/>
    <w:rsid w:val="001031B3"/>
    <w:rsid w:val="001031B7"/>
    <w:rsid w:val="001035D8"/>
    <w:rsid w:val="001036A6"/>
    <w:rsid w:val="00103A87"/>
    <w:rsid w:val="00103DD6"/>
    <w:rsid w:val="00103E88"/>
    <w:rsid w:val="00103ED3"/>
    <w:rsid w:val="00103EEF"/>
    <w:rsid w:val="001048BA"/>
    <w:rsid w:val="0010497F"/>
    <w:rsid w:val="00104C98"/>
    <w:rsid w:val="00104DE5"/>
    <w:rsid w:val="0010526A"/>
    <w:rsid w:val="001055E6"/>
    <w:rsid w:val="0010587D"/>
    <w:rsid w:val="00105AB1"/>
    <w:rsid w:val="00105C2B"/>
    <w:rsid w:val="00106711"/>
    <w:rsid w:val="00106CCD"/>
    <w:rsid w:val="0010721D"/>
    <w:rsid w:val="001072BE"/>
    <w:rsid w:val="00107852"/>
    <w:rsid w:val="00107FB9"/>
    <w:rsid w:val="0011056D"/>
    <w:rsid w:val="00110674"/>
    <w:rsid w:val="00110AF3"/>
    <w:rsid w:val="00110C75"/>
    <w:rsid w:val="0011113C"/>
    <w:rsid w:val="00111357"/>
    <w:rsid w:val="001116E5"/>
    <w:rsid w:val="00111750"/>
    <w:rsid w:val="001118A8"/>
    <w:rsid w:val="00111D4C"/>
    <w:rsid w:val="00111EF3"/>
    <w:rsid w:val="00111F1F"/>
    <w:rsid w:val="00111FB1"/>
    <w:rsid w:val="001120D7"/>
    <w:rsid w:val="0011227D"/>
    <w:rsid w:val="001126A8"/>
    <w:rsid w:val="0011273B"/>
    <w:rsid w:val="001127A4"/>
    <w:rsid w:val="001128E0"/>
    <w:rsid w:val="001128FC"/>
    <w:rsid w:val="00112987"/>
    <w:rsid w:val="0011302A"/>
    <w:rsid w:val="0011390B"/>
    <w:rsid w:val="00113E4F"/>
    <w:rsid w:val="00113F61"/>
    <w:rsid w:val="0011410D"/>
    <w:rsid w:val="001141DE"/>
    <w:rsid w:val="0011424C"/>
    <w:rsid w:val="00114348"/>
    <w:rsid w:val="001143E9"/>
    <w:rsid w:val="0011467E"/>
    <w:rsid w:val="001146DB"/>
    <w:rsid w:val="00114BD0"/>
    <w:rsid w:val="00114CA2"/>
    <w:rsid w:val="00115037"/>
    <w:rsid w:val="00115723"/>
    <w:rsid w:val="001158A2"/>
    <w:rsid w:val="00115D55"/>
    <w:rsid w:val="001160A0"/>
    <w:rsid w:val="0011628F"/>
    <w:rsid w:val="001168FB"/>
    <w:rsid w:val="00116C60"/>
    <w:rsid w:val="00116CBD"/>
    <w:rsid w:val="00117245"/>
    <w:rsid w:val="0011743F"/>
    <w:rsid w:val="00117A4A"/>
    <w:rsid w:val="00117B56"/>
    <w:rsid w:val="00117B6F"/>
    <w:rsid w:val="00117C54"/>
    <w:rsid w:val="00117F62"/>
    <w:rsid w:val="00117FE1"/>
    <w:rsid w:val="001201FB"/>
    <w:rsid w:val="00120249"/>
    <w:rsid w:val="0012045C"/>
    <w:rsid w:val="001204EE"/>
    <w:rsid w:val="001206FC"/>
    <w:rsid w:val="00120A14"/>
    <w:rsid w:val="00120E8E"/>
    <w:rsid w:val="00120E8F"/>
    <w:rsid w:val="00120EA7"/>
    <w:rsid w:val="00120EDB"/>
    <w:rsid w:val="00120F4B"/>
    <w:rsid w:val="0012136D"/>
    <w:rsid w:val="001216ED"/>
    <w:rsid w:val="001218C0"/>
    <w:rsid w:val="00121D61"/>
    <w:rsid w:val="00122629"/>
    <w:rsid w:val="0012293B"/>
    <w:rsid w:val="001229B1"/>
    <w:rsid w:val="00122AC2"/>
    <w:rsid w:val="00122FBE"/>
    <w:rsid w:val="00123061"/>
    <w:rsid w:val="00123510"/>
    <w:rsid w:val="001235E1"/>
    <w:rsid w:val="001239DC"/>
    <w:rsid w:val="00123BE1"/>
    <w:rsid w:val="00123C45"/>
    <w:rsid w:val="00123D2C"/>
    <w:rsid w:val="00123E03"/>
    <w:rsid w:val="00124221"/>
    <w:rsid w:val="001242B6"/>
    <w:rsid w:val="00124561"/>
    <w:rsid w:val="0012460A"/>
    <w:rsid w:val="0012473C"/>
    <w:rsid w:val="00124865"/>
    <w:rsid w:val="00124B07"/>
    <w:rsid w:val="00124BCC"/>
    <w:rsid w:val="00124DDD"/>
    <w:rsid w:val="001250FD"/>
    <w:rsid w:val="00125331"/>
    <w:rsid w:val="00125551"/>
    <w:rsid w:val="0012558D"/>
    <w:rsid w:val="00125C69"/>
    <w:rsid w:val="00125D80"/>
    <w:rsid w:val="001263EB"/>
    <w:rsid w:val="0012681B"/>
    <w:rsid w:val="00126933"/>
    <w:rsid w:val="00126EFE"/>
    <w:rsid w:val="00127103"/>
    <w:rsid w:val="0012710E"/>
    <w:rsid w:val="001273CB"/>
    <w:rsid w:val="001275F2"/>
    <w:rsid w:val="00127748"/>
    <w:rsid w:val="00127B3D"/>
    <w:rsid w:val="00127B3E"/>
    <w:rsid w:val="00127E59"/>
    <w:rsid w:val="001302AE"/>
    <w:rsid w:val="001306FC"/>
    <w:rsid w:val="00130D51"/>
    <w:rsid w:val="00130EAA"/>
    <w:rsid w:val="00130FC6"/>
    <w:rsid w:val="00131311"/>
    <w:rsid w:val="0013144C"/>
    <w:rsid w:val="0013154C"/>
    <w:rsid w:val="001316F1"/>
    <w:rsid w:val="00131B4E"/>
    <w:rsid w:val="00131FD7"/>
    <w:rsid w:val="0013204A"/>
    <w:rsid w:val="00132875"/>
    <w:rsid w:val="001329D5"/>
    <w:rsid w:val="00132A98"/>
    <w:rsid w:val="00132BAD"/>
    <w:rsid w:val="0013334F"/>
    <w:rsid w:val="00133490"/>
    <w:rsid w:val="0013388B"/>
    <w:rsid w:val="00134B7A"/>
    <w:rsid w:val="001357F8"/>
    <w:rsid w:val="00135CC1"/>
    <w:rsid w:val="00135EF2"/>
    <w:rsid w:val="00135F1B"/>
    <w:rsid w:val="001361E1"/>
    <w:rsid w:val="00136487"/>
    <w:rsid w:val="001365E1"/>
    <w:rsid w:val="0013679B"/>
    <w:rsid w:val="0013687B"/>
    <w:rsid w:val="0013699A"/>
    <w:rsid w:val="00136A61"/>
    <w:rsid w:val="001371BA"/>
    <w:rsid w:val="0013754B"/>
    <w:rsid w:val="00137C26"/>
    <w:rsid w:val="00140307"/>
    <w:rsid w:val="0014059F"/>
    <w:rsid w:val="001407A0"/>
    <w:rsid w:val="00140D45"/>
    <w:rsid w:val="00141037"/>
    <w:rsid w:val="001414A3"/>
    <w:rsid w:val="001415A6"/>
    <w:rsid w:val="001416DF"/>
    <w:rsid w:val="00141768"/>
    <w:rsid w:val="0014183A"/>
    <w:rsid w:val="00142212"/>
    <w:rsid w:val="0014233F"/>
    <w:rsid w:val="00143396"/>
    <w:rsid w:val="00143B6E"/>
    <w:rsid w:val="00143CB4"/>
    <w:rsid w:val="00143D0D"/>
    <w:rsid w:val="00143DEC"/>
    <w:rsid w:val="00143E4D"/>
    <w:rsid w:val="00143E64"/>
    <w:rsid w:val="001449DF"/>
    <w:rsid w:val="00144D5C"/>
    <w:rsid w:val="00145017"/>
    <w:rsid w:val="00145556"/>
    <w:rsid w:val="00145AB1"/>
    <w:rsid w:val="00146202"/>
    <w:rsid w:val="0014688F"/>
    <w:rsid w:val="00146993"/>
    <w:rsid w:val="00146AFC"/>
    <w:rsid w:val="00146C5F"/>
    <w:rsid w:val="00147456"/>
    <w:rsid w:val="00147CA9"/>
    <w:rsid w:val="00147F6D"/>
    <w:rsid w:val="00147F79"/>
    <w:rsid w:val="0015002B"/>
    <w:rsid w:val="00150215"/>
    <w:rsid w:val="001502AE"/>
    <w:rsid w:val="001504CA"/>
    <w:rsid w:val="0015058D"/>
    <w:rsid w:val="001506F9"/>
    <w:rsid w:val="00150B9F"/>
    <w:rsid w:val="00150BC8"/>
    <w:rsid w:val="00150D74"/>
    <w:rsid w:val="00150FB5"/>
    <w:rsid w:val="00151664"/>
    <w:rsid w:val="001524DF"/>
    <w:rsid w:val="0015263D"/>
    <w:rsid w:val="0015279B"/>
    <w:rsid w:val="00152DDD"/>
    <w:rsid w:val="00152F97"/>
    <w:rsid w:val="00153240"/>
    <w:rsid w:val="001535AA"/>
    <w:rsid w:val="00153634"/>
    <w:rsid w:val="001539DF"/>
    <w:rsid w:val="00153A2E"/>
    <w:rsid w:val="00153B22"/>
    <w:rsid w:val="00153CED"/>
    <w:rsid w:val="001540C2"/>
    <w:rsid w:val="00154172"/>
    <w:rsid w:val="0015437A"/>
    <w:rsid w:val="00154A21"/>
    <w:rsid w:val="00154E3D"/>
    <w:rsid w:val="00154F12"/>
    <w:rsid w:val="001555DF"/>
    <w:rsid w:val="00155754"/>
    <w:rsid w:val="001557FE"/>
    <w:rsid w:val="00155915"/>
    <w:rsid w:val="001559A7"/>
    <w:rsid w:val="00155D82"/>
    <w:rsid w:val="001563D4"/>
    <w:rsid w:val="0015683C"/>
    <w:rsid w:val="00156989"/>
    <w:rsid w:val="00156A21"/>
    <w:rsid w:val="00156D10"/>
    <w:rsid w:val="001571FF"/>
    <w:rsid w:val="0015721D"/>
    <w:rsid w:val="00157224"/>
    <w:rsid w:val="0015741E"/>
    <w:rsid w:val="001579E6"/>
    <w:rsid w:val="00157AEB"/>
    <w:rsid w:val="00157F93"/>
    <w:rsid w:val="00160378"/>
    <w:rsid w:val="001603D6"/>
    <w:rsid w:val="0016040C"/>
    <w:rsid w:val="001611C4"/>
    <w:rsid w:val="00161400"/>
    <w:rsid w:val="00161891"/>
    <w:rsid w:val="00161AF9"/>
    <w:rsid w:val="0016213E"/>
    <w:rsid w:val="001621B3"/>
    <w:rsid w:val="00162248"/>
    <w:rsid w:val="001627C9"/>
    <w:rsid w:val="001629CA"/>
    <w:rsid w:val="00162B64"/>
    <w:rsid w:val="0016305C"/>
    <w:rsid w:val="001631E3"/>
    <w:rsid w:val="0016353A"/>
    <w:rsid w:val="00163E82"/>
    <w:rsid w:val="00163FD6"/>
    <w:rsid w:val="0016412E"/>
    <w:rsid w:val="001642C0"/>
    <w:rsid w:val="001642D5"/>
    <w:rsid w:val="00164819"/>
    <w:rsid w:val="00164C0A"/>
    <w:rsid w:val="00164F12"/>
    <w:rsid w:val="0016502B"/>
    <w:rsid w:val="00165085"/>
    <w:rsid w:val="0016598E"/>
    <w:rsid w:val="00165A48"/>
    <w:rsid w:val="00165F35"/>
    <w:rsid w:val="00166027"/>
    <w:rsid w:val="00166260"/>
    <w:rsid w:val="0016681E"/>
    <w:rsid w:val="00167070"/>
    <w:rsid w:val="00167243"/>
    <w:rsid w:val="001672C7"/>
    <w:rsid w:val="00167479"/>
    <w:rsid w:val="001674C0"/>
    <w:rsid w:val="0016750F"/>
    <w:rsid w:val="00167F39"/>
    <w:rsid w:val="001702DD"/>
    <w:rsid w:val="00170494"/>
    <w:rsid w:val="001708EF"/>
    <w:rsid w:val="00170BDE"/>
    <w:rsid w:val="0017102B"/>
    <w:rsid w:val="001711CC"/>
    <w:rsid w:val="0017137C"/>
    <w:rsid w:val="00171503"/>
    <w:rsid w:val="001718D9"/>
    <w:rsid w:val="00171AD6"/>
    <w:rsid w:val="00171E82"/>
    <w:rsid w:val="00171F50"/>
    <w:rsid w:val="001721EC"/>
    <w:rsid w:val="00172414"/>
    <w:rsid w:val="00172746"/>
    <w:rsid w:val="00172979"/>
    <w:rsid w:val="00172D31"/>
    <w:rsid w:val="00172F16"/>
    <w:rsid w:val="001730EB"/>
    <w:rsid w:val="00173337"/>
    <w:rsid w:val="001737E9"/>
    <w:rsid w:val="001738EB"/>
    <w:rsid w:val="00173A1D"/>
    <w:rsid w:val="00173DB2"/>
    <w:rsid w:val="00173DD1"/>
    <w:rsid w:val="00174312"/>
    <w:rsid w:val="001749C7"/>
    <w:rsid w:val="00175220"/>
    <w:rsid w:val="0017535F"/>
    <w:rsid w:val="001753C3"/>
    <w:rsid w:val="001758E1"/>
    <w:rsid w:val="00175A43"/>
    <w:rsid w:val="00175A7E"/>
    <w:rsid w:val="00175E8E"/>
    <w:rsid w:val="00176100"/>
    <w:rsid w:val="00176402"/>
    <w:rsid w:val="00176469"/>
    <w:rsid w:val="001767F3"/>
    <w:rsid w:val="00176B30"/>
    <w:rsid w:val="00176E12"/>
    <w:rsid w:val="0017700F"/>
    <w:rsid w:val="00177780"/>
    <w:rsid w:val="00177B46"/>
    <w:rsid w:val="00177C21"/>
    <w:rsid w:val="00177D4C"/>
    <w:rsid w:val="00177DB2"/>
    <w:rsid w:val="0018002C"/>
    <w:rsid w:val="00180209"/>
    <w:rsid w:val="00180430"/>
    <w:rsid w:val="00180EA4"/>
    <w:rsid w:val="00181451"/>
    <w:rsid w:val="00181BE9"/>
    <w:rsid w:val="00181F73"/>
    <w:rsid w:val="00181F94"/>
    <w:rsid w:val="001820E8"/>
    <w:rsid w:val="00182253"/>
    <w:rsid w:val="001826B1"/>
    <w:rsid w:val="00182860"/>
    <w:rsid w:val="00182930"/>
    <w:rsid w:val="00182E44"/>
    <w:rsid w:val="0018328F"/>
    <w:rsid w:val="00183325"/>
    <w:rsid w:val="00183754"/>
    <w:rsid w:val="00183B36"/>
    <w:rsid w:val="00183B89"/>
    <w:rsid w:val="001840AD"/>
    <w:rsid w:val="00184268"/>
    <w:rsid w:val="00184384"/>
    <w:rsid w:val="001843EA"/>
    <w:rsid w:val="0018443F"/>
    <w:rsid w:val="001845EB"/>
    <w:rsid w:val="0018484A"/>
    <w:rsid w:val="00184BCB"/>
    <w:rsid w:val="00184F7D"/>
    <w:rsid w:val="00184FE0"/>
    <w:rsid w:val="001852A9"/>
    <w:rsid w:val="00185455"/>
    <w:rsid w:val="001857C6"/>
    <w:rsid w:val="00185DF2"/>
    <w:rsid w:val="00186AC5"/>
    <w:rsid w:val="00186F26"/>
    <w:rsid w:val="00186F53"/>
    <w:rsid w:val="00186FCD"/>
    <w:rsid w:val="00187208"/>
    <w:rsid w:val="0018721E"/>
    <w:rsid w:val="00187254"/>
    <w:rsid w:val="0018754D"/>
    <w:rsid w:val="00187564"/>
    <w:rsid w:val="001900B1"/>
    <w:rsid w:val="001905C0"/>
    <w:rsid w:val="00190B67"/>
    <w:rsid w:val="00190BBE"/>
    <w:rsid w:val="00190BDA"/>
    <w:rsid w:val="00191284"/>
    <w:rsid w:val="00191324"/>
    <w:rsid w:val="00191329"/>
    <w:rsid w:val="00191445"/>
    <w:rsid w:val="00191448"/>
    <w:rsid w:val="00191625"/>
    <w:rsid w:val="00191712"/>
    <w:rsid w:val="0019190A"/>
    <w:rsid w:val="00191C4E"/>
    <w:rsid w:val="00192133"/>
    <w:rsid w:val="0019265A"/>
    <w:rsid w:val="00192934"/>
    <w:rsid w:val="00192EB4"/>
    <w:rsid w:val="001931C4"/>
    <w:rsid w:val="00193652"/>
    <w:rsid w:val="001937A3"/>
    <w:rsid w:val="00193A86"/>
    <w:rsid w:val="001945D3"/>
    <w:rsid w:val="001946DE"/>
    <w:rsid w:val="00194AAF"/>
    <w:rsid w:val="00194CCC"/>
    <w:rsid w:val="00195366"/>
    <w:rsid w:val="001957C6"/>
    <w:rsid w:val="001957C8"/>
    <w:rsid w:val="00195920"/>
    <w:rsid w:val="001959D7"/>
    <w:rsid w:val="00195B73"/>
    <w:rsid w:val="00195F15"/>
    <w:rsid w:val="00196256"/>
    <w:rsid w:val="00196B97"/>
    <w:rsid w:val="00196EE5"/>
    <w:rsid w:val="00197000"/>
    <w:rsid w:val="0019721F"/>
    <w:rsid w:val="00197FE9"/>
    <w:rsid w:val="001A088B"/>
    <w:rsid w:val="001A0DD9"/>
    <w:rsid w:val="001A0FF6"/>
    <w:rsid w:val="001A112B"/>
    <w:rsid w:val="001A11E4"/>
    <w:rsid w:val="001A1538"/>
    <w:rsid w:val="001A1942"/>
    <w:rsid w:val="001A2665"/>
    <w:rsid w:val="001A3036"/>
    <w:rsid w:val="001A3250"/>
    <w:rsid w:val="001A332C"/>
    <w:rsid w:val="001A3504"/>
    <w:rsid w:val="001A3D7B"/>
    <w:rsid w:val="001A3F9A"/>
    <w:rsid w:val="001A4082"/>
    <w:rsid w:val="001A408D"/>
    <w:rsid w:val="001A41AC"/>
    <w:rsid w:val="001A45EE"/>
    <w:rsid w:val="001A4F0D"/>
    <w:rsid w:val="001A52B2"/>
    <w:rsid w:val="001A583C"/>
    <w:rsid w:val="001A58A6"/>
    <w:rsid w:val="001A5C66"/>
    <w:rsid w:val="001A5D20"/>
    <w:rsid w:val="001A604A"/>
    <w:rsid w:val="001A73A4"/>
    <w:rsid w:val="001A77F6"/>
    <w:rsid w:val="001A7F94"/>
    <w:rsid w:val="001B0711"/>
    <w:rsid w:val="001B0773"/>
    <w:rsid w:val="001B08DC"/>
    <w:rsid w:val="001B09CA"/>
    <w:rsid w:val="001B0A6E"/>
    <w:rsid w:val="001B0F84"/>
    <w:rsid w:val="001B1497"/>
    <w:rsid w:val="001B14A6"/>
    <w:rsid w:val="001B15F6"/>
    <w:rsid w:val="001B177A"/>
    <w:rsid w:val="001B1969"/>
    <w:rsid w:val="001B1C4A"/>
    <w:rsid w:val="001B1D26"/>
    <w:rsid w:val="001B210F"/>
    <w:rsid w:val="001B22E6"/>
    <w:rsid w:val="001B231B"/>
    <w:rsid w:val="001B26A4"/>
    <w:rsid w:val="001B26CD"/>
    <w:rsid w:val="001B27F5"/>
    <w:rsid w:val="001B28D2"/>
    <w:rsid w:val="001B2F11"/>
    <w:rsid w:val="001B3038"/>
    <w:rsid w:val="001B332A"/>
    <w:rsid w:val="001B3436"/>
    <w:rsid w:val="001B36E3"/>
    <w:rsid w:val="001B3C01"/>
    <w:rsid w:val="001B3D0C"/>
    <w:rsid w:val="001B454B"/>
    <w:rsid w:val="001B4561"/>
    <w:rsid w:val="001B4C5E"/>
    <w:rsid w:val="001B5156"/>
    <w:rsid w:val="001B523A"/>
    <w:rsid w:val="001B54C5"/>
    <w:rsid w:val="001B5ABD"/>
    <w:rsid w:val="001B5CCB"/>
    <w:rsid w:val="001B5E36"/>
    <w:rsid w:val="001B60FB"/>
    <w:rsid w:val="001B6109"/>
    <w:rsid w:val="001B6A1E"/>
    <w:rsid w:val="001B7012"/>
    <w:rsid w:val="001B7677"/>
    <w:rsid w:val="001B7AEB"/>
    <w:rsid w:val="001B7FCD"/>
    <w:rsid w:val="001C08EB"/>
    <w:rsid w:val="001C0F3C"/>
    <w:rsid w:val="001C10C6"/>
    <w:rsid w:val="001C11DD"/>
    <w:rsid w:val="001C1419"/>
    <w:rsid w:val="001C1747"/>
    <w:rsid w:val="001C174D"/>
    <w:rsid w:val="001C176F"/>
    <w:rsid w:val="001C1791"/>
    <w:rsid w:val="001C181C"/>
    <w:rsid w:val="001C1BD5"/>
    <w:rsid w:val="001C1DBB"/>
    <w:rsid w:val="001C2000"/>
    <w:rsid w:val="001C2A4B"/>
    <w:rsid w:val="001C2C4F"/>
    <w:rsid w:val="001C2C99"/>
    <w:rsid w:val="001C3642"/>
    <w:rsid w:val="001C3851"/>
    <w:rsid w:val="001C47A1"/>
    <w:rsid w:val="001C4863"/>
    <w:rsid w:val="001C4B90"/>
    <w:rsid w:val="001C5135"/>
    <w:rsid w:val="001C5898"/>
    <w:rsid w:val="001C59EF"/>
    <w:rsid w:val="001C5C51"/>
    <w:rsid w:val="001C5E87"/>
    <w:rsid w:val="001C6080"/>
    <w:rsid w:val="001C69E1"/>
    <w:rsid w:val="001C6D0F"/>
    <w:rsid w:val="001C7019"/>
    <w:rsid w:val="001C7217"/>
    <w:rsid w:val="001C795F"/>
    <w:rsid w:val="001D00B1"/>
    <w:rsid w:val="001D01DA"/>
    <w:rsid w:val="001D01E0"/>
    <w:rsid w:val="001D04B3"/>
    <w:rsid w:val="001D07EF"/>
    <w:rsid w:val="001D0D8E"/>
    <w:rsid w:val="001D10FB"/>
    <w:rsid w:val="001D11D4"/>
    <w:rsid w:val="001D176C"/>
    <w:rsid w:val="001D1B02"/>
    <w:rsid w:val="001D1D8A"/>
    <w:rsid w:val="001D1E1B"/>
    <w:rsid w:val="001D22F7"/>
    <w:rsid w:val="001D29F0"/>
    <w:rsid w:val="001D2B0E"/>
    <w:rsid w:val="001D2F1E"/>
    <w:rsid w:val="001D370C"/>
    <w:rsid w:val="001D3841"/>
    <w:rsid w:val="001D3A14"/>
    <w:rsid w:val="001D3C26"/>
    <w:rsid w:val="001D3DEB"/>
    <w:rsid w:val="001D3EBA"/>
    <w:rsid w:val="001D4205"/>
    <w:rsid w:val="001D45B7"/>
    <w:rsid w:val="001D469F"/>
    <w:rsid w:val="001D4F2A"/>
    <w:rsid w:val="001D5256"/>
    <w:rsid w:val="001D5284"/>
    <w:rsid w:val="001D52E5"/>
    <w:rsid w:val="001D585D"/>
    <w:rsid w:val="001D5BBA"/>
    <w:rsid w:val="001D6366"/>
    <w:rsid w:val="001D6B91"/>
    <w:rsid w:val="001D6FE4"/>
    <w:rsid w:val="001D735C"/>
    <w:rsid w:val="001D741F"/>
    <w:rsid w:val="001D7B51"/>
    <w:rsid w:val="001E0419"/>
    <w:rsid w:val="001E0457"/>
    <w:rsid w:val="001E056A"/>
    <w:rsid w:val="001E0757"/>
    <w:rsid w:val="001E0DC9"/>
    <w:rsid w:val="001E0E3D"/>
    <w:rsid w:val="001E11F3"/>
    <w:rsid w:val="001E13FB"/>
    <w:rsid w:val="001E1A7D"/>
    <w:rsid w:val="001E1EFA"/>
    <w:rsid w:val="001E26A9"/>
    <w:rsid w:val="001E2A0B"/>
    <w:rsid w:val="001E2CCD"/>
    <w:rsid w:val="001E32C6"/>
    <w:rsid w:val="001E3B25"/>
    <w:rsid w:val="001E4055"/>
    <w:rsid w:val="001E43CC"/>
    <w:rsid w:val="001E4547"/>
    <w:rsid w:val="001E4C7E"/>
    <w:rsid w:val="001E4EBA"/>
    <w:rsid w:val="001E4FCD"/>
    <w:rsid w:val="001E5014"/>
    <w:rsid w:val="001E517B"/>
    <w:rsid w:val="001E5619"/>
    <w:rsid w:val="001E5708"/>
    <w:rsid w:val="001E57FC"/>
    <w:rsid w:val="001E5A5D"/>
    <w:rsid w:val="001E5BA6"/>
    <w:rsid w:val="001E5E54"/>
    <w:rsid w:val="001E643F"/>
    <w:rsid w:val="001E6A84"/>
    <w:rsid w:val="001E6D05"/>
    <w:rsid w:val="001E7059"/>
    <w:rsid w:val="001E7166"/>
    <w:rsid w:val="001E71EC"/>
    <w:rsid w:val="001E730E"/>
    <w:rsid w:val="001E739D"/>
    <w:rsid w:val="001E742E"/>
    <w:rsid w:val="001E7632"/>
    <w:rsid w:val="001E78C1"/>
    <w:rsid w:val="001E7958"/>
    <w:rsid w:val="001E7A1C"/>
    <w:rsid w:val="001E7B8F"/>
    <w:rsid w:val="001E7E8B"/>
    <w:rsid w:val="001E7F63"/>
    <w:rsid w:val="001F0064"/>
    <w:rsid w:val="001F024E"/>
    <w:rsid w:val="001F02F1"/>
    <w:rsid w:val="001F0525"/>
    <w:rsid w:val="001F05AB"/>
    <w:rsid w:val="001F0940"/>
    <w:rsid w:val="001F0996"/>
    <w:rsid w:val="001F09F2"/>
    <w:rsid w:val="001F0BD2"/>
    <w:rsid w:val="001F0D0F"/>
    <w:rsid w:val="001F0F10"/>
    <w:rsid w:val="001F1071"/>
    <w:rsid w:val="001F1358"/>
    <w:rsid w:val="001F17DB"/>
    <w:rsid w:val="001F1B6A"/>
    <w:rsid w:val="001F1DCD"/>
    <w:rsid w:val="001F278D"/>
    <w:rsid w:val="001F2F82"/>
    <w:rsid w:val="001F32E7"/>
    <w:rsid w:val="001F3870"/>
    <w:rsid w:val="001F3B44"/>
    <w:rsid w:val="001F4664"/>
    <w:rsid w:val="001F47FE"/>
    <w:rsid w:val="001F48D2"/>
    <w:rsid w:val="001F495C"/>
    <w:rsid w:val="001F4A51"/>
    <w:rsid w:val="001F4BD7"/>
    <w:rsid w:val="001F5566"/>
    <w:rsid w:val="001F57DC"/>
    <w:rsid w:val="001F597A"/>
    <w:rsid w:val="001F5AA1"/>
    <w:rsid w:val="001F6561"/>
    <w:rsid w:val="001F6597"/>
    <w:rsid w:val="001F6B09"/>
    <w:rsid w:val="001F6FD7"/>
    <w:rsid w:val="001F72C1"/>
    <w:rsid w:val="001F75A8"/>
    <w:rsid w:val="001F7FA4"/>
    <w:rsid w:val="002001B2"/>
    <w:rsid w:val="0020045A"/>
    <w:rsid w:val="00200792"/>
    <w:rsid w:val="00200835"/>
    <w:rsid w:val="00200C9E"/>
    <w:rsid w:val="00200D1D"/>
    <w:rsid w:val="0020130B"/>
    <w:rsid w:val="00201352"/>
    <w:rsid w:val="0020140E"/>
    <w:rsid w:val="0020160A"/>
    <w:rsid w:val="00201ABE"/>
    <w:rsid w:val="00201AF5"/>
    <w:rsid w:val="00201B92"/>
    <w:rsid w:val="0020213C"/>
    <w:rsid w:val="00202244"/>
    <w:rsid w:val="002025B2"/>
    <w:rsid w:val="002025C0"/>
    <w:rsid w:val="002028B9"/>
    <w:rsid w:val="00202E06"/>
    <w:rsid w:val="00202E63"/>
    <w:rsid w:val="00202E7C"/>
    <w:rsid w:val="00202FDF"/>
    <w:rsid w:val="002031E2"/>
    <w:rsid w:val="00203279"/>
    <w:rsid w:val="002034FF"/>
    <w:rsid w:val="00203509"/>
    <w:rsid w:val="002037DD"/>
    <w:rsid w:val="00204316"/>
    <w:rsid w:val="00204534"/>
    <w:rsid w:val="00204628"/>
    <w:rsid w:val="00204699"/>
    <w:rsid w:val="00204DF6"/>
    <w:rsid w:val="0020506A"/>
    <w:rsid w:val="0020578A"/>
    <w:rsid w:val="002057B3"/>
    <w:rsid w:val="00205871"/>
    <w:rsid w:val="00205B0C"/>
    <w:rsid w:val="00205D5C"/>
    <w:rsid w:val="00206350"/>
    <w:rsid w:val="0020647D"/>
    <w:rsid w:val="0020649B"/>
    <w:rsid w:val="002065A6"/>
    <w:rsid w:val="0020676D"/>
    <w:rsid w:val="00206DD3"/>
    <w:rsid w:val="00207CB0"/>
    <w:rsid w:val="002106E1"/>
    <w:rsid w:val="00210801"/>
    <w:rsid w:val="00210A27"/>
    <w:rsid w:val="0021125D"/>
    <w:rsid w:val="002114CA"/>
    <w:rsid w:val="002116A2"/>
    <w:rsid w:val="00212A33"/>
    <w:rsid w:val="00212D3D"/>
    <w:rsid w:val="00212D7A"/>
    <w:rsid w:val="00213061"/>
    <w:rsid w:val="00213609"/>
    <w:rsid w:val="00213686"/>
    <w:rsid w:val="00213BB0"/>
    <w:rsid w:val="00213F54"/>
    <w:rsid w:val="00214B0C"/>
    <w:rsid w:val="00214B22"/>
    <w:rsid w:val="00214B62"/>
    <w:rsid w:val="00214EA5"/>
    <w:rsid w:val="00215026"/>
    <w:rsid w:val="00215250"/>
    <w:rsid w:val="0021540C"/>
    <w:rsid w:val="0021593F"/>
    <w:rsid w:val="0021609C"/>
    <w:rsid w:val="002163F4"/>
    <w:rsid w:val="002168EA"/>
    <w:rsid w:val="00216962"/>
    <w:rsid w:val="00216BEE"/>
    <w:rsid w:val="00216E20"/>
    <w:rsid w:val="00216FB1"/>
    <w:rsid w:val="002176E8"/>
    <w:rsid w:val="00217933"/>
    <w:rsid w:val="00217BA1"/>
    <w:rsid w:val="0022009C"/>
    <w:rsid w:val="002200AD"/>
    <w:rsid w:val="002203AE"/>
    <w:rsid w:val="002204A4"/>
    <w:rsid w:val="002208D4"/>
    <w:rsid w:val="00220976"/>
    <w:rsid w:val="00220BA7"/>
    <w:rsid w:val="00220BE7"/>
    <w:rsid w:val="00220D9B"/>
    <w:rsid w:val="00220DE1"/>
    <w:rsid w:val="00221732"/>
    <w:rsid w:val="00221A92"/>
    <w:rsid w:val="00221BB9"/>
    <w:rsid w:val="00221DCA"/>
    <w:rsid w:val="00221E02"/>
    <w:rsid w:val="002222EE"/>
    <w:rsid w:val="002227B4"/>
    <w:rsid w:val="00222D62"/>
    <w:rsid w:val="00222F81"/>
    <w:rsid w:val="00223036"/>
    <w:rsid w:val="00223AB3"/>
    <w:rsid w:val="00223F9C"/>
    <w:rsid w:val="00224546"/>
    <w:rsid w:val="00225217"/>
    <w:rsid w:val="0022528E"/>
    <w:rsid w:val="002255C6"/>
    <w:rsid w:val="002256F7"/>
    <w:rsid w:val="002261AE"/>
    <w:rsid w:val="00226410"/>
    <w:rsid w:val="002265BE"/>
    <w:rsid w:val="002266BC"/>
    <w:rsid w:val="00226776"/>
    <w:rsid w:val="00226B31"/>
    <w:rsid w:val="002272ED"/>
    <w:rsid w:val="002275C2"/>
    <w:rsid w:val="002276F5"/>
    <w:rsid w:val="002277E4"/>
    <w:rsid w:val="00227C2C"/>
    <w:rsid w:val="00227DAF"/>
    <w:rsid w:val="002302F7"/>
    <w:rsid w:val="002302F9"/>
    <w:rsid w:val="0023051E"/>
    <w:rsid w:val="002305A8"/>
    <w:rsid w:val="0023060D"/>
    <w:rsid w:val="002307B9"/>
    <w:rsid w:val="00231315"/>
    <w:rsid w:val="00231724"/>
    <w:rsid w:val="00231799"/>
    <w:rsid w:val="0023220D"/>
    <w:rsid w:val="002323EA"/>
    <w:rsid w:val="0023241A"/>
    <w:rsid w:val="002324A0"/>
    <w:rsid w:val="0023287D"/>
    <w:rsid w:val="002329C2"/>
    <w:rsid w:val="00232AC5"/>
    <w:rsid w:val="00232BD9"/>
    <w:rsid w:val="00232DE0"/>
    <w:rsid w:val="0023311E"/>
    <w:rsid w:val="002332F2"/>
    <w:rsid w:val="00233346"/>
    <w:rsid w:val="00233A07"/>
    <w:rsid w:val="002342B7"/>
    <w:rsid w:val="00234489"/>
    <w:rsid w:val="00234644"/>
    <w:rsid w:val="002348CB"/>
    <w:rsid w:val="002348DC"/>
    <w:rsid w:val="00234E43"/>
    <w:rsid w:val="00235167"/>
    <w:rsid w:val="00235279"/>
    <w:rsid w:val="0023538B"/>
    <w:rsid w:val="0023539B"/>
    <w:rsid w:val="002355D5"/>
    <w:rsid w:val="00235F07"/>
    <w:rsid w:val="00235F3E"/>
    <w:rsid w:val="00236353"/>
    <w:rsid w:val="00236684"/>
    <w:rsid w:val="002369BE"/>
    <w:rsid w:val="00236B13"/>
    <w:rsid w:val="00236B7D"/>
    <w:rsid w:val="00237235"/>
    <w:rsid w:val="00237660"/>
    <w:rsid w:val="00237742"/>
    <w:rsid w:val="00237896"/>
    <w:rsid w:val="00237A4B"/>
    <w:rsid w:val="002403DB"/>
    <w:rsid w:val="0024050D"/>
    <w:rsid w:val="002406D6"/>
    <w:rsid w:val="00240752"/>
    <w:rsid w:val="002407A0"/>
    <w:rsid w:val="00240D8C"/>
    <w:rsid w:val="00240DAF"/>
    <w:rsid w:val="00240E5A"/>
    <w:rsid w:val="00241255"/>
    <w:rsid w:val="0024164C"/>
    <w:rsid w:val="0024168A"/>
    <w:rsid w:val="0024190F"/>
    <w:rsid w:val="00241AFD"/>
    <w:rsid w:val="00241D5F"/>
    <w:rsid w:val="002420FF"/>
    <w:rsid w:val="00242168"/>
    <w:rsid w:val="002423FD"/>
    <w:rsid w:val="002424FE"/>
    <w:rsid w:val="002426F4"/>
    <w:rsid w:val="00242D65"/>
    <w:rsid w:val="00243105"/>
    <w:rsid w:val="002432E8"/>
    <w:rsid w:val="002436C7"/>
    <w:rsid w:val="00243C72"/>
    <w:rsid w:val="00243F2B"/>
    <w:rsid w:val="002446B5"/>
    <w:rsid w:val="0024533B"/>
    <w:rsid w:val="00245418"/>
    <w:rsid w:val="00245C45"/>
    <w:rsid w:val="00245DAE"/>
    <w:rsid w:val="0024601A"/>
    <w:rsid w:val="0024603D"/>
    <w:rsid w:val="0024630C"/>
    <w:rsid w:val="00246347"/>
    <w:rsid w:val="00246749"/>
    <w:rsid w:val="00246AE5"/>
    <w:rsid w:val="00246BDB"/>
    <w:rsid w:val="00246E10"/>
    <w:rsid w:val="00247FE6"/>
    <w:rsid w:val="00250035"/>
    <w:rsid w:val="002504A7"/>
    <w:rsid w:val="0025072E"/>
    <w:rsid w:val="002507A5"/>
    <w:rsid w:val="002507D5"/>
    <w:rsid w:val="00250D86"/>
    <w:rsid w:val="00251132"/>
    <w:rsid w:val="00251351"/>
    <w:rsid w:val="00251826"/>
    <w:rsid w:val="00251AB4"/>
    <w:rsid w:val="00251B6D"/>
    <w:rsid w:val="00251DAB"/>
    <w:rsid w:val="002522C2"/>
    <w:rsid w:val="00252527"/>
    <w:rsid w:val="00252B5E"/>
    <w:rsid w:val="00252BA5"/>
    <w:rsid w:val="00252BC4"/>
    <w:rsid w:val="0025303C"/>
    <w:rsid w:val="002530EE"/>
    <w:rsid w:val="002532CD"/>
    <w:rsid w:val="002537E4"/>
    <w:rsid w:val="00253A56"/>
    <w:rsid w:val="00253AB7"/>
    <w:rsid w:val="00253EBC"/>
    <w:rsid w:val="0025419D"/>
    <w:rsid w:val="00254286"/>
    <w:rsid w:val="002542F6"/>
    <w:rsid w:val="00254516"/>
    <w:rsid w:val="002546C1"/>
    <w:rsid w:val="00254A92"/>
    <w:rsid w:val="00254BB6"/>
    <w:rsid w:val="00254FF7"/>
    <w:rsid w:val="00255187"/>
    <w:rsid w:val="002552CF"/>
    <w:rsid w:val="002552EA"/>
    <w:rsid w:val="0025532D"/>
    <w:rsid w:val="0025544C"/>
    <w:rsid w:val="002558C1"/>
    <w:rsid w:val="00255ED6"/>
    <w:rsid w:val="0025686C"/>
    <w:rsid w:val="00256BC5"/>
    <w:rsid w:val="002571B8"/>
    <w:rsid w:val="00257805"/>
    <w:rsid w:val="002579A4"/>
    <w:rsid w:val="00257B4D"/>
    <w:rsid w:val="00257B64"/>
    <w:rsid w:val="00257CD1"/>
    <w:rsid w:val="00257CDE"/>
    <w:rsid w:val="00257E22"/>
    <w:rsid w:val="00257F1A"/>
    <w:rsid w:val="002604C3"/>
    <w:rsid w:val="00260EC7"/>
    <w:rsid w:val="0026170D"/>
    <w:rsid w:val="002620B9"/>
    <w:rsid w:val="00262450"/>
    <w:rsid w:val="002625B1"/>
    <w:rsid w:val="0026267C"/>
    <w:rsid w:val="002629D6"/>
    <w:rsid w:val="00262C70"/>
    <w:rsid w:val="00262FB9"/>
    <w:rsid w:val="0026342A"/>
    <w:rsid w:val="00263485"/>
    <w:rsid w:val="002636B7"/>
    <w:rsid w:val="002639F9"/>
    <w:rsid w:val="00263CBC"/>
    <w:rsid w:val="00263F56"/>
    <w:rsid w:val="00263F5E"/>
    <w:rsid w:val="00263FA2"/>
    <w:rsid w:val="002643F7"/>
    <w:rsid w:val="002647C3"/>
    <w:rsid w:val="00264DF5"/>
    <w:rsid w:val="002652D6"/>
    <w:rsid w:val="0026563D"/>
    <w:rsid w:val="002657BA"/>
    <w:rsid w:val="00265AB0"/>
    <w:rsid w:val="00265D85"/>
    <w:rsid w:val="00266013"/>
    <w:rsid w:val="00266100"/>
    <w:rsid w:val="00266176"/>
    <w:rsid w:val="002661CD"/>
    <w:rsid w:val="0026623F"/>
    <w:rsid w:val="00266472"/>
    <w:rsid w:val="002665F3"/>
    <w:rsid w:val="00266A3D"/>
    <w:rsid w:val="00266CB6"/>
    <w:rsid w:val="00267437"/>
    <w:rsid w:val="0027012B"/>
    <w:rsid w:val="0027040D"/>
    <w:rsid w:val="002707DB"/>
    <w:rsid w:val="00270A3D"/>
    <w:rsid w:val="00270FDD"/>
    <w:rsid w:val="00271675"/>
    <w:rsid w:val="00271868"/>
    <w:rsid w:val="00271AC8"/>
    <w:rsid w:val="00271C95"/>
    <w:rsid w:val="0027215F"/>
    <w:rsid w:val="00272594"/>
    <w:rsid w:val="002728AF"/>
    <w:rsid w:val="00273A64"/>
    <w:rsid w:val="00273C8B"/>
    <w:rsid w:val="00273EC6"/>
    <w:rsid w:val="002740C0"/>
    <w:rsid w:val="0027470C"/>
    <w:rsid w:val="00274A86"/>
    <w:rsid w:val="00274BD0"/>
    <w:rsid w:val="00275125"/>
    <w:rsid w:val="002752EE"/>
    <w:rsid w:val="002753DC"/>
    <w:rsid w:val="002755B1"/>
    <w:rsid w:val="002756BE"/>
    <w:rsid w:val="00275819"/>
    <w:rsid w:val="00275A30"/>
    <w:rsid w:val="00275A73"/>
    <w:rsid w:val="00275B90"/>
    <w:rsid w:val="00275E16"/>
    <w:rsid w:val="00276074"/>
    <w:rsid w:val="0027617C"/>
    <w:rsid w:val="002763FC"/>
    <w:rsid w:val="002767D6"/>
    <w:rsid w:val="00276D7B"/>
    <w:rsid w:val="00277145"/>
    <w:rsid w:val="00277A1B"/>
    <w:rsid w:val="00277A8F"/>
    <w:rsid w:val="002800AE"/>
    <w:rsid w:val="00280108"/>
    <w:rsid w:val="002801A0"/>
    <w:rsid w:val="002804FA"/>
    <w:rsid w:val="002809C1"/>
    <w:rsid w:val="00280A5B"/>
    <w:rsid w:val="00280B60"/>
    <w:rsid w:val="00280BBE"/>
    <w:rsid w:val="00280C95"/>
    <w:rsid w:val="00280F23"/>
    <w:rsid w:val="00281262"/>
    <w:rsid w:val="002812AE"/>
    <w:rsid w:val="002812FE"/>
    <w:rsid w:val="00281721"/>
    <w:rsid w:val="00281CE6"/>
    <w:rsid w:val="00281FE6"/>
    <w:rsid w:val="00282C9B"/>
    <w:rsid w:val="00283192"/>
    <w:rsid w:val="00283254"/>
    <w:rsid w:val="00283A2B"/>
    <w:rsid w:val="00283D36"/>
    <w:rsid w:val="00284571"/>
    <w:rsid w:val="0028487F"/>
    <w:rsid w:val="00284B77"/>
    <w:rsid w:val="00284E7D"/>
    <w:rsid w:val="00285144"/>
    <w:rsid w:val="00285331"/>
    <w:rsid w:val="002854DE"/>
    <w:rsid w:val="0028580D"/>
    <w:rsid w:val="00285A0C"/>
    <w:rsid w:val="002862F4"/>
    <w:rsid w:val="00286525"/>
    <w:rsid w:val="00286DC0"/>
    <w:rsid w:val="002872A9"/>
    <w:rsid w:val="0028774C"/>
    <w:rsid w:val="002878B7"/>
    <w:rsid w:val="002900E5"/>
    <w:rsid w:val="00290523"/>
    <w:rsid w:val="00290AE9"/>
    <w:rsid w:val="00290C4F"/>
    <w:rsid w:val="00290EAA"/>
    <w:rsid w:val="002912B8"/>
    <w:rsid w:val="00291C94"/>
    <w:rsid w:val="002921CD"/>
    <w:rsid w:val="00292500"/>
    <w:rsid w:val="00292608"/>
    <w:rsid w:val="002927C6"/>
    <w:rsid w:val="00292993"/>
    <w:rsid w:val="00292C17"/>
    <w:rsid w:val="00292E39"/>
    <w:rsid w:val="00293177"/>
    <w:rsid w:val="00293449"/>
    <w:rsid w:val="00293488"/>
    <w:rsid w:val="0029358D"/>
    <w:rsid w:val="00293661"/>
    <w:rsid w:val="00293EA2"/>
    <w:rsid w:val="00294062"/>
    <w:rsid w:val="0029411C"/>
    <w:rsid w:val="002949F2"/>
    <w:rsid w:val="002951D3"/>
    <w:rsid w:val="002956BD"/>
    <w:rsid w:val="00295878"/>
    <w:rsid w:val="00295DBC"/>
    <w:rsid w:val="00295EB0"/>
    <w:rsid w:val="00295FFC"/>
    <w:rsid w:val="0029603C"/>
    <w:rsid w:val="0029620F"/>
    <w:rsid w:val="002966C1"/>
    <w:rsid w:val="0029712D"/>
    <w:rsid w:val="0029732D"/>
    <w:rsid w:val="0029772C"/>
    <w:rsid w:val="002977A9"/>
    <w:rsid w:val="00297F59"/>
    <w:rsid w:val="00297F73"/>
    <w:rsid w:val="00297FF0"/>
    <w:rsid w:val="002A006D"/>
    <w:rsid w:val="002A014F"/>
    <w:rsid w:val="002A094E"/>
    <w:rsid w:val="002A0D0B"/>
    <w:rsid w:val="002A0DC8"/>
    <w:rsid w:val="002A0F75"/>
    <w:rsid w:val="002A10CB"/>
    <w:rsid w:val="002A127C"/>
    <w:rsid w:val="002A1626"/>
    <w:rsid w:val="002A19ED"/>
    <w:rsid w:val="002A1A21"/>
    <w:rsid w:val="002A1E9F"/>
    <w:rsid w:val="002A20E0"/>
    <w:rsid w:val="002A2123"/>
    <w:rsid w:val="002A216E"/>
    <w:rsid w:val="002A249C"/>
    <w:rsid w:val="002A3299"/>
    <w:rsid w:val="002A351A"/>
    <w:rsid w:val="002A39E7"/>
    <w:rsid w:val="002A40F4"/>
    <w:rsid w:val="002A452D"/>
    <w:rsid w:val="002A477D"/>
    <w:rsid w:val="002A496D"/>
    <w:rsid w:val="002A4AED"/>
    <w:rsid w:val="002A4C62"/>
    <w:rsid w:val="002A538F"/>
    <w:rsid w:val="002A5DA1"/>
    <w:rsid w:val="002A5DA2"/>
    <w:rsid w:val="002A5F66"/>
    <w:rsid w:val="002A5FB0"/>
    <w:rsid w:val="002A60D1"/>
    <w:rsid w:val="002A6236"/>
    <w:rsid w:val="002A6841"/>
    <w:rsid w:val="002A695D"/>
    <w:rsid w:val="002A69BD"/>
    <w:rsid w:val="002A6D09"/>
    <w:rsid w:val="002A7061"/>
    <w:rsid w:val="002A7168"/>
    <w:rsid w:val="002A747D"/>
    <w:rsid w:val="002A76A7"/>
    <w:rsid w:val="002A78D6"/>
    <w:rsid w:val="002A7AB1"/>
    <w:rsid w:val="002A7E8A"/>
    <w:rsid w:val="002A7F9B"/>
    <w:rsid w:val="002B042F"/>
    <w:rsid w:val="002B056F"/>
    <w:rsid w:val="002B0713"/>
    <w:rsid w:val="002B0CBE"/>
    <w:rsid w:val="002B0D30"/>
    <w:rsid w:val="002B13A9"/>
    <w:rsid w:val="002B142B"/>
    <w:rsid w:val="002B1792"/>
    <w:rsid w:val="002B18FC"/>
    <w:rsid w:val="002B1D62"/>
    <w:rsid w:val="002B212D"/>
    <w:rsid w:val="002B26BB"/>
    <w:rsid w:val="002B27A1"/>
    <w:rsid w:val="002B29F2"/>
    <w:rsid w:val="002B2D32"/>
    <w:rsid w:val="002B2E2B"/>
    <w:rsid w:val="002B32EC"/>
    <w:rsid w:val="002B35E5"/>
    <w:rsid w:val="002B3950"/>
    <w:rsid w:val="002B3D59"/>
    <w:rsid w:val="002B4081"/>
    <w:rsid w:val="002B42AB"/>
    <w:rsid w:val="002B42E0"/>
    <w:rsid w:val="002B46FE"/>
    <w:rsid w:val="002B4B99"/>
    <w:rsid w:val="002B4FE1"/>
    <w:rsid w:val="002B5548"/>
    <w:rsid w:val="002B5767"/>
    <w:rsid w:val="002B57A4"/>
    <w:rsid w:val="002B58EC"/>
    <w:rsid w:val="002B5979"/>
    <w:rsid w:val="002B5AF6"/>
    <w:rsid w:val="002B5B51"/>
    <w:rsid w:val="002B5CF8"/>
    <w:rsid w:val="002B5EAB"/>
    <w:rsid w:val="002B5F3D"/>
    <w:rsid w:val="002B6248"/>
    <w:rsid w:val="002B64D4"/>
    <w:rsid w:val="002B6536"/>
    <w:rsid w:val="002B6579"/>
    <w:rsid w:val="002B6A76"/>
    <w:rsid w:val="002B6A96"/>
    <w:rsid w:val="002B6B08"/>
    <w:rsid w:val="002B749B"/>
    <w:rsid w:val="002B7E65"/>
    <w:rsid w:val="002B7EA1"/>
    <w:rsid w:val="002B7F95"/>
    <w:rsid w:val="002C00D4"/>
    <w:rsid w:val="002C0328"/>
    <w:rsid w:val="002C0CA0"/>
    <w:rsid w:val="002C109F"/>
    <w:rsid w:val="002C11EE"/>
    <w:rsid w:val="002C1221"/>
    <w:rsid w:val="002C1DCF"/>
    <w:rsid w:val="002C24E6"/>
    <w:rsid w:val="002C254E"/>
    <w:rsid w:val="002C256F"/>
    <w:rsid w:val="002C284C"/>
    <w:rsid w:val="002C28A4"/>
    <w:rsid w:val="002C30EE"/>
    <w:rsid w:val="002C329E"/>
    <w:rsid w:val="002C336C"/>
    <w:rsid w:val="002C35E4"/>
    <w:rsid w:val="002C37C1"/>
    <w:rsid w:val="002C3C8F"/>
    <w:rsid w:val="002C3F82"/>
    <w:rsid w:val="002C428D"/>
    <w:rsid w:val="002C45D0"/>
    <w:rsid w:val="002C4749"/>
    <w:rsid w:val="002C492B"/>
    <w:rsid w:val="002C4B26"/>
    <w:rsid w:val="002C4CFE"/>
    <w:rsid w:val="002C4DFB"/>
    <w:rsid w:val="002C4E93"/>
    <w:rsid w:val="002C4FD7"/>
    <w:rsid w:val="002C4FE8"/>
    <w:rsid w:val="002C51A3"/>
    <w:rsid w:val="002C520F"/>
    <w:rsid w:val="002C5418"/>
    <w:rsid w:val="002C544D"/>
    <w:rsid w:val="002C5DA3"/>
    <w:rsid w:val="002C61DE"/>
    <w:rsid w:val="002C6EA1"/>
    <w:rsid w:val="002C75F0"/>
    <w:rsid w:val="002C774C"/>
    <w:rsid w:val="002C798C"/>
    <w:rsid w:val="002C7C7E"/>
    <w:rsid w:val="002C7C95"/>
    <w:rsid w:val="002C7E38"/>
    <w:rsid w:val="002D06C7"/>
    <w:rsid w:val="002D0DAD"/>
    <w:rsid w:val="002D0DB5"/>
    <w:rsid w:val="002D1236"/>
    <w:rsid w:val="002D1481"/>
    <w:rsid w:val="002D1D9B"/>
    <w:rsid w:val="002D21AC"/>
    <w:rsid w:val="002D2A78"/>
    <w:rsid w:val="002D2C86"/>
    <w:rsid w:val="002D2F0C"/>
    <w:rsid w:val="002D31E4"/>
    <w:rsid w:val="002D339F"/>
    <w:rsid w:val="002D3F32"/>
    <w:rsid w:val="002D41DE"/>
    <w:rsid w:val="002D423B"/>
    <w:rsid w:val="002D4371"/>
    <w:rsid w:val="002D494C"/>
    <w:rsid w:val="002D55BA"/>
    <w:rsid w:val="002D5CCB"/>
    <w:rsid w:val="002D5E88"/>
    <w:rsid w:val="002D6703"/>
    <w:rsid w:val="002D6D54"/>
    <w:rsid w:val="002D6EAA"/>
    <w:rsid w:val="002D7265"/>
    <w:rsid w:val="002D7ECA"/>
    <w:rsid w:val="002D7F3B"/>
    <w:rsid w:val="002E012E"/>
    <w:rsid w:val="002E0228"/>
    <w:rsid w:val="002E07A2"/>
    <w:rsid w:val="002E08CD"/>
    <w:rsid w:val="002E0E48"/>
    <w:rsid w:val="002E133B"/>
    <w:rsid w:val="002E168E"/>
    <w:rsid w:val="002E1DE0"/>
    <w:rsid w:val="002E1E4B"/>
    <w:rsid w:val="002E22D0"/>
    <w:rsid w:val="002E23F5"/>
    <w:rsid w:val="002E2418"/>
    <w:rsid w:val="002E284A"/>
    <w:rsid w:val="002E2935"/>
    <w:rsid w:val="002E29BD"/>
    <w:rsid w:val="002E2CA9"/>
    <w:rsid w:val="002E2FC5"/>
    <w:rsid w:val="002E3228"/>
    <w:rsid w:val="002E37B1"/>
    <w:rsid w:val="002E3839"/>
    <w:rsid w:val="002E3FA2"/>
    <w:rsid w:val="002E411F"/>
    <w:rsid w:val="002E429F"/>
    <w:rsid w:val="002E43E0"/>
    <w:rsid w:val="002E454F"/>
    <w:rsid w:val="002E50D4"/>
    <w:rsid w:val="002E5174"/>
    <w:rsid w:val="002E52D3"/>
    <w:rsid w:val="002E5983"/>
    <w:rsid w:val="002E5CBD"/>
    <w:rsid w:val="002E6029"/>
    <w:rsid w:val="002E6392"/>
    <w:rsid w:val="002E64C5"/>
    <w:rsid w:val="002E68CF"/>
    <w:rsid w:val="002E6B30"/>
    <w:rsid w:val="002E6DFF"/>
    <w:rsid w:val="002E6F6B"/>
    <w:rsid w:val="002E7086"/>
    <w:rsid w:val="002E784C"/>
    <w:rsid w:val="002E798D"/>
    <w:rsid w:val="002F04F2"/>
    <w:rsid w:val="002F07A8"/>
    <w:rsid w:val="002F07B2"/>
    <w:rsid w:val="002F0AFA"/>
    <w:rsid w:val="002F0F27"/>
    <w:rsid w:val="002F10B7"/>
    <w:rsid w:val="002F11C5"/>
    <w:rsid w:val="002F1EE5"/>
    <w:rsid w:val="002F2165"/>
    <w:rsid w:val="002F2CB7"/>
    <w:rsid w:val="002F2D8B"/>
    <w:rsid w:val="002F2EDC"/>
    <w:rsid w:val="002F2F89"/>
    <w:rsid w:val="002F34A7"/>
    <w:rsid w:val="002F3910"/>
    <w:rsid w:val="002F3D1B"/>
    <w:rsid w:val="002F419A"/>
    <w:rsid w:val="002F42B5"/>
    <w:rsid w:val="002F4678"/>
    <w:rsid w:val="002F472E"/>
    <w:rsid w:val="002F478D"/>
    <w:rsid w:val="002F4A61"/>
    <w:rsid w:val="002F4A73"/>
    <w:rsid w:val="002F513A"/>
    <w:rsid w:val="002F55B8"/>
    <w:rsid w:val="002F5868"/>
    <w:rsid w:val="002F59D3"/>
    <w:rsid w:val="002F5A66"/>
    <w:rsid w:val="002F5E67"/>
    <w:rsid w:val="002F6165"/>
    <w:rsid w:val="002F61F3"/>
    <w:rsid w:val="002F66B2"/>
    <w:rsid w:val="002F6FA4"/>
    <w:rsid w:val="002F720A"/>
    <w:rsid w:val="002F7320"/>
    <w:rsid w:val="002F79A2"/>
    <w:rsid w:val="002F79B0"/>
    <w:rsid w:val="002F7A71"/>
    <w:rsid w:val="002F7D0C"/>
    <w:rsid w:val="002F7EA5"/>
    <w:rsid w:val="003002F1"/>
    <w:rsid w:val="003006D5"/>
    <w:rsid w:val="00300761"/>
    <w:rsid w:val="00300893"/>
    <w:rsid w:val="00300EDB"/>
    <w:rsid w:val="003013CA"/>
    <w:rsid w:val="003013DC"/>
    <w:rsid w:val="00301814"/>
    <w:rsid w:val="00301A21"/>
    <w:rsid w:val="00301FDD"/>
    <w:rsid w:val="00302139"/>
    <w:rsid w:val="003021D8"/>
    <w:rsid w:val="00302582"/>
    <w:rsid w:val="003028EA"/>
    <w:rsid w:val="00302A0B"/>
    <w:rsid w:val="00302A9A"/>
    <w:rsid w:val="00302BC7"/>
    <w:rsid w:val="00302CA8"/>
    <w:rsid w:val="00302E4A"/>
    <w:rsid w:val="00302E6C"/>
    <w:rsid w:val="00303092"/>
    <w:rsid w:val="003034A0"/>
    <w:rsid w:val="00303592"/>
    <w:rsid w:val="003036CF"/>
    <w:rsid w:val="003036E6"/>
    <w:rsid w:val="00303965"/>
    <w:rsid w:val="003039D9"/>
    <w:rsid w:val="00303E1A"/>
    <w:rsid w:val="0030431D"/>
    <w:rsid w:val="003044EE"/>
    <w:rsid w:val="0030485C"/>
    <w:rsid w:val="00304A3F"/>
    <w:rsid w:val="00304A98"/>
    <w:rsid w:val="00304C6D"/>
    <w:rsid w:val="00304F03"/>
    <w:rsid w:val="00304FB2"/>
    <w:rsid w:val="00305567"/>
    <w:rsid w:val="00305689"/>
    <w:rsid w:val="003057D3"/>
    <w:rsid w:val="003058B0"/>
    <w:rsid w:val="00306492"/>
    <w:rsid w:val="003067FF"/>
    <w:rsid w:val="0030684A"/>
    <w:rsid w:val="0030685B"/>
    <w:rsid w:val="0030696C"/>
    <w:rsid w:val="003073E8"/>
    <w:rsid w:val="00307674"/>
    <w:rsid w:val="003076F9"/>
    <w:rsid w:val="00307DC8"/>
    <w:rsid w:val="00307E4A"/>
    <w:rsid w:val="00307FCC"/>
    <w:rsid w:val="003108FD"/>
    <w:rsid w:val="003117AC"/>
    <w:rsid w:val="003117BE"/>
    <w:rsid w:val="003117FE"/>
    <w:rsid w:val="00312187"/>
    <w:rsid w:val="0031298C"/>
    <w:rsid w:val="00312A7A"/>
    <w:rsid w:val="00312C82"/>
    <w:rsid w:val="00312D07"/>
    <w:rsid w:val="00312E2A"/>
    <w:rsid w:val="00313735"/>
    <w:rsid w:val="00313DA5"/>
    <w:rsid w:val="00313EC4"/>
    <w:rsid w:val="00314376"/>
    <w:rsid w:val="0031460F"/>
    <w:rsid w:val="00314C04"/>
    <w:rsid w:val="00314C3A"/>
    <w:rsid w:val="00314D45"/>
    <w:rsid w:val="00315316"/>
    <w:rsid w:val="003155F2"/>
    <w:rsid w:val="00315645"/>
    <w:rsid w:val="00315AAC"/>
    <w:rsid w:val="00315CBF"/>
    <w:rsid w:val="00315E80"/>
    <w:rsid w:val="0031657D"/>
    <w:rsid w:val="00316628"/>
    <w:rsid w:val="00316713"/>
    <w:rsid w:val="00316C5E"/>
    <w:rsid w:val="00317346"/>
    <w:rsid w:val="003174CD"/>
    <w:rsid w:val="003175F8"/>
    <w:rsid w:val="003200BE"/>
    <w:rsid w:val="00320451"/>
    <w:rsid w:val="003206AA"/>
    <w:rsid w:val="00320862"/>
    <w:rsid w:val="00320998"/>
    <w:rsid w:val="00320A42"/>
    <w:rsid w:val="00320B78"/>
    <w:rsid w:val="00320C01"/>
    <w:rsid w:val="0032149E"/>
    <w:rsid w:val="00321512"/>
    <w:rsid w:val="00321DB8"/>
    <w:rsid w:val="00322199"/>
    <w:rsid w:val="003225A7"/>
    <w:rsid w:val="00322EB1"/>
    <w:rsid w:val="00322F6B"/>
    <w:rsid w:val="00323032"/>
    <w:rsid w:val="003231D6"/>
    <w:rsid w:val="00323369"/>
    <w:rsid w:val="00323492"/>
    <w:rsid w:val="00323DE4"/>
    <w:rsid w:val="003245D8"/>
    <w:rsid w:val="0032469B"/>
    <w:rsid w:val="0032478E"/>
    <w:rsid w:val="00324961"/>
    <w:rsid w:val="0032511B"/>
    <w:rsid w:val="003255C6"/>
    <w:rsid w:val="003256DB"/>
    <w:rsid w:val="00325835"/>
    <w:rsid w:val="00325B0D"/>
    <w:rsid w:val="00325EE5"/>
    <w:rsid w:val="003263A9"/>
    <w:rsid w:val="003269EA"/>
    <w:rsid w:val="00326B68"/>
    <w:rsid w:val="00326BF6"/>
    <w:rsid w:val="0032714E"/>
    <w:rsid w:val="00327181"/>
    <w:rsid w:val="003274AC"/>
    <w:rsid w:val="00327A99"/>
    <w:rsid w:val="00327E52"/>
    <w:rsid w:val="003300B2"/>
    <w:rsid w:val="00330134"/>
    <w:rsid w:val="003301C9"/>
    <w:rsid w:val="003301CF"/>
    <w:rsid w:val="003301D9"/>
    <w:rsid w:val="003306B0"/>
    <w:rsid w:val="0033132A"/>
    <w:rsid w:val="003315CD"/>
    <w:rsid w:val="0033193B"/>
    <w:rsid w:val="00331979"/>
    <w:rsid w:val="003320FA"/>
    <w:rsid w:val="00332806"/>
    <w:rsid w:val="00332CAF"/>
    <w:rsid w:val="00332D87"/>
    <w:rsid w:val="00332DCC"/>
    <w:rsid w:val="00333095"/>
    <w:rsid w:val="0033319E"/>
    <w:rsid w:val="00333536"/>
    <w:rsid w:val="0033354E"/>
    <w:rsid w:val="003335B9"/>
    <w:rsid w:val="003336A5"/>
    <w:rsid w:val="00333EDE"/>
    <w:rsid w:val="00334E06"/>
    <w:rsid w:val="00334E32"/>
    <w:rsid w:val="00334E6C"/>
    <w:rsid w:val="00334F5C"/>
    <w:rsid w:val="0033510A"/>
    <w:rsid w:val="003353E9"/>
    <w:rsid w:val="00335B9F"/>
    <w:rsid w:val="00335FED"/>
    <w:rsid w:val="00336030"/>
    <w:rsid w:val="0033603F"/>
    <w:rsid w:val="003360F4"/>
    <w:rsid w:val="00336183"/>
    <w:rsid w:val="003368A5"/>
    <w:rsid w:val="00336A59"/>
    <w:rsid w:val="00336C78"/>
    <w:rsid w:val="00336F21"/>
    <w:rsid w:val="00336F26"/>
    <w:rsid w:val="00336F89"/>
    <w:rsid w:val="0033755D"/>
    <w:rsid w:val="00337B19"/>
    <w:rsid w:val="00337EE3"/>
    <w:rsid w:val="00340286"/>
    <w:rsid w:val="00340754"/>
    <w:rsid w:val="00340CAB"/>
    <w:rsid w:val="00340E0C"/>
    <w:rsid w:val="0034147F"/>
    <w:rsid w:val="0034161F"/>
    <w:rsid w:val="0034197D"/>
    <w:rsid w:val="00341A9C"/>
    <w:rsid w:val="00341BC4"/>
    <w:rsid w:val="00341C38"/>
    <w:rsid w:val="00341DA2"/>
    <w:rsid w:val="00341EFB"/>
    <w:rsid w:val="00341FAC"/>
    <w:rsid w:val="0034274C"/>
    <w:rsid w:val="00342976"/>
    <w:rsid w:val="00342D98"/>
    <w:rsid w:val="00342F2D"/>
    <w:rsid w:val="0034305A"/>
    <w:rsid w:val="003431B7"/>
    <w:rsid w:val="003436FF"/>
    <w:rsid w:val="00343824"/>
    <w:rsid w:val="00343C66"/>
    <w:rsid w:val="003441BC"/>
    <w:rsid w:val="00344797"/>
    <w:rsid w:val="00344AF4"/>
    <w:rsid w:val="00344BA0"/>
    <w:rsid w:val="0034598C"/>
    <w:rsid w:val="003460F6"/>
    <w:rsid w:val="003461CF"/>
    <w:rsid w:val="003462E7"/>
    <w:rsid w:val="00346464"/>
    <w:rsid w:val="0034695C"/>
    <w:rsid w:val="00346B74"/>
    <w:rsid w:val="00346E8A"/>
    <w:rsid w:val="00346F7D"/>
    <w:rsid w:val="00346FF5"/>
    <w:rsid w:val="0034729E"/>
    <w:rsid w:val="0034765D"/>
    <w:rsid w:val="003501D4"/>
    <w:rsid w:val="003501EA"/>
    <w:rsid w:val="00350314"/>
    <w:rsid w:val="00350430"/>
    <w:rsid w:val="0035060B"/>
    <w:rsid w:val="0035084D"/>
    <w:rsid w:val="003509F2"/>
    <w:rsid w:val="00350D2D"/>
    <w:rsid w:val="00350E83"/>
    <w:rsid w:val="00350FAB"/>
    <w:rsid w:val="00351577"/>
    <w:rsid w:val="003518DB"/>
    <w:rsid w:val="0035202F"/>
    <w:rsid w:val="0035212A"/>
    <w:rsid w:val="003521B4"/>
    <w:rsid w:val="00352389"/>
    <w:rsid w:val="003525C9"/>
    <w:rsid w:val="003526AF"/>
    <w:rsid w:val="003527DF"/>
    <w:rsid w:val="00352F95"/>
    <w:rsid w:val="00353572"/>
    <w:rsid w:val="00353E99"/>
    <w:rsid w:val="003540F3"/>
    <w:rsid w:val="00354389"/>
    <w:rsid w:val="00354676"/>
    <w:rsid w:val="00354AC9"/>
    <w:rsid w:val="00354AD5"/>
    <w:rsid w:val="00354CA6"/>
    <w:rsid w:val="003550AA"/>
    <w:rsid w:val="00355664"/>
    <w:rsid w:val="0035574F"/>
    <w:rsid w:val="003557A8"/>
    <w:rsid w:val="003557AC"/>
    <w:rsid w:val="003563EE"/>
    <w:rsid w:val="00357029"/>
    <w:rsid w:val="0035706D"/>
    <w:rsid w:val="00357082"/>
    <w:rsid w:val="00357138"/>
    <w:rsid w:val="00357363"/>
    <w:rsid w:val="0035743C"/>
    <w:rsid w:val="003576E2"/>
    <w:rsid w:val="00357777"/>
    <w:rsid w:val="003578A6"/>
    <w:rsid w:val="00357AC2"/>
    <w:rsid w:val="0036009F"/>
    <w:rsid w:val="0036024B"/>
    <w:rsid w:val="003607B3"/>
    <w:rsid w:val="00360DDE"/>
    <w:rsid w:val="003615A0"/>
    <w:rsid w:val="00361903"/>
    <w:rsid w:val="0036194C"/>
    <w:rsid w:val="00361EE9"/>
    <w:rsid w:val="00361F13"/>
    <w:rsid w:val="00361F3C"/>
    <w:rsid w:val="00362035"/>
    <w:rsid w:val="0036264B"/>
    <w:rsid w:val="00362735"/>
    <w:rsid w:val="003627A5"/>
    <w:rsid w:val="00362925"/>
    <w:rsid w:val="003636A7"/>
    <w:rsid w:val="003636F5"/>
    <w:rsid w:val="00363D94"/>
    <w:rsid w:val="00364520"/>
    <w:rsid w:val="00364930"/>
    <w:rsid w:val="0036502C"/>
    <w:rsid w:val="0036514F"/>
    <w:rsid w:val="003651FD"/>
    <w:rsid w:val="003654DD"/>
    <w:rsid w:val="00365E02"/>
    <w:rsid w:val="00366431"/>
    <w:rsid w:val="00366AB8"/>
    <w:rsid w:val="00366DEC"/>
    <w:rsid w:val="0036705C"/>
    <w:rsid w:val="00367535"/>
    <w:rsid w:val="00367B03"/>
    <w:rsid w:val="00370132"/>
    <w:rsid w:val="003708C7"/>
    <w:rsid w:val="00370C14"/>
    <w:rsid w:val="00370CE3"/>
    <w:rsid w:val="00370E0E"/>
    <w:rsid w:val="00371089"/>
    <w:rsid w:val="00371259"/>
    <w:rsid w:val="0037159A"/>
    <w:rsid w:val="00371AD0"/>
    <w:rsid w:val="00371CA4"/>
    <w:rsid w:val="00371E36"/>
    <w:rsid w:val="00372635"/>
    <w:rsid w:val="003728AB"/>
    <w:rsid w:val="003728FC"/>
    <w:rsid w:val="00372D1F"/>
    <w:rsid w:val="0037352E"/>
    <w:rsid w:val="00373820"/>
    <w:rsid w:val="00373D31"/>
    <w:rsid w:val="00373F22"/>
    <w:rsid w:val="00374161"/>
    <w:rsid w:val="0037467B"/>
    <w:rsid w:val="00374689"/>
    <w:rsid w:val="003749C4"/>
    <w:rsid w:val="003756FA"/>
    <w:rsid w:val="00375BCB"/>
    <w:rsid w:val="00376B13"/>
    <w:rsid w:val="00376F4A"/>
    <w:rsid w:val="003773AC"/>
    <w:rsid w:val="003773C4"/>
    <w:rsid w:val="003774E2"/>
    <w:rsid w:val="00377656"/>
    <w:rsid w:val="00377B26"/>
    <w:rsid w:val="00377BC6"/>
    <w:rsid w:val="00377C78"/>
    <w:rsid w:val="003800A3"/>
    <w:rsid w:val="003802C8"/>
    <w:rsid w:val="00380430"/>
    <w:rsid w:val="0038069C"/>
    <w:rsid w:val="00380755"/>
    <w:rsid w:val="00380E6F"/>
    <w:rsid w:val="003815D5"/>
    <w:rsid w:val="00381878"/>
    <w:rsid w:val="003818DC"/>
    <w:rsid w:val="00381AD6"/>
    <w:rsid w:val="00381CA6"/>
    <w:rsid w:val="00381CC1"/>
    <w:rsid w:val="003821E2"/>
    <w:rsid w:val="003827BD"/>
    <w:rsid w:val="00382886"/>
    <w:rsid w:val="003829B7"/>
    <w:rsid w:val="003829E8"/>
    <w:rsid w:val="00382A05"/>
    <w:rsid w:val="00383012"/>
    <w:rsid w:val="00383080"/>
    <w:rsid w:val="00383433"/>
    <w:rsid w:val="003834BA"/>
    <w:rsid w:val="003835F9"/>
    <w:rsid w:val="003838F2"/>
    <w:rsid w:val="00383C34"/>
    <w:rsid w:val="00384468"/>
    <w:rsid w:val="003846CB"/>
    <w:rsid w:val="00384B85"/>
    <w:rsid w:val="00384C72"/>
    <w:rsid w:val="00384E52"/>
    <w:rsid w:val="00384F25"/>
    <w:rsid w:val="00385448"/>
    <w:rsid w:val="00385714"/>
    <w:rsid w:val="00385741"/>
    <w:rsid w:val="0038585C"/>
    <w:rsid w:val="003858FC"/>
    <w:rsid w:val="00385A78"/>
    <w:rsid w:val="00385C04"/>
    <w:rsid w:val="00385E41"/>
    <w:rsid w:val="00385E4A"/>
    <w:rsid w:val="00385F63"/>
    <w:rsid w:val="00386006"/>
    <w:rsid w:val="0038604F"/>
    <w:rsid w:val="003865B6"/>
    <w:rsid w:val="003868D2"/>
    <w:rsid w:val="00386991"/>
    <w:rsid w:val="00386A3E"/>
    <w:rsid w:val="00386CE1"/>
    <w:rsid w:val="00387033"/>
    <w:rsid w:val="00387114"/>
    <w:rsid w:val="00387367"/>
    <w:rsid w:val="00387748"/>
    <w:rsid w:val="003877A9"/>
    <w:rsid w:val="0039006A"/>
    <w:rsid w:val="00390CE7"/>
    <w:rsid w:val="00391B14"/>
    <w:rsid w:val="00391B76"/>
    <w:rsid w:val="00391EDE"/>
    <w:rsid w:val="0039201C"/>
    <w:rsid w:val="00392123"/>
    <w:rsid w:val="00392BC0"/>
    <w:rsid w:val="00392CA5"/>
    <w:rsid w:val="00392CF9"/>
    <w:rsid w:val="00393040"/>
    <w:rsid w:val="00393203"/>
    <w:rsid w:val="003934D8"/>
    <w:rsid w:val="003939D6"/>
    <w:rsid w:val="00393B17"/>
    <w:rsid w:val="00393BE2"/>
    <w:rsid w:val="00394284"/>
    <w:rsid w:val="003942C3"/>
    <w:rsid w:val="00394673"/>
    <w:rsid w:val="00394839"/>
    <w:rsid w:val="00394A12"/>
    <w:rsid w:val="00395665"/>
    <w:rsid w:val="00395CBD"/>
    <w:rsid w:val="003961BA"/>
    <w:rsid w:val="00396226"/>
    <w:rsid w:val="00396CFF"/>
    <w:rsid w:val="00396D0A"/>
    <w:rsid w:val="00396D6A"/>
    <w:rsid w:val="00396E27"/>
    <w:rsid w:val="00396F5E"/>
    <w:rsid w:val="00396FAB"/>
    <w:rsid w:val="00397CC3"/>
    <w:rsid w:val="00397D10"/>
    <w:rsid w:val="00397EAC"/>
    <w:rsid w:val="00397F26"/>
    <w:rsid w:val="00397F52"/>
    <w:rsid w:val="003A00AA"/>
    <w:rsid w:val="003A06A2"/>
    <w:rsid w:val="003A0767"/>
    <w:rsid w:val="003A0A2B"/>
    <w:rsid w:val="003A0C0C"/>
    <w:rsid w:val="003A0CDE"/>
    <w:rsid w:val="003A1EA2"/>
    <w:rsid w:val="003A24D5"/>
    <w:rsid w:val="003A25D3"/>
    <w:rsid w:val="003A2786"/>
    <w:rsid w:val="003A27B2"/>
    <w:rsid w:val="003A29DC"/>
    <w:rsid w:val="003A2C38"/>
    <w:rsid w:val="003A2C6A"/>
    <w:rsid w:val="003A2D52"/>
    <w:rsid w:val="003A3003"/>
    <w:rsid w:val="003A30CE"/>
    <w:rsid w:val="003A3104"/>
    <w:rsid w:val="003A3111"/>
    <w:rsid w:val="003A3408"/>
    <w:rsid w:val="003A36EB"/>
    <w:rsid w:val="003A3955"/>
    <w:rsid w:val="003A3A9C"/>
    <w:rsid w:val="003A4362"/>
    <w:rsid w:val="003A4660"/>
    <w:rsid w:val="003A4853"/>
    <w:rsid w:val="003A4979"/>
    <w:rsid w:val="003A4A93"/>
    <w:rsid w:val="003A4B94"/>
    <w:rsid w:val="003A4FFE"/>
    <w:rsid w:val="003A54A2"/>
    <w:rsid w:val="003A559E"/>
    <w:rsid w:val="003A56CC"/>
    <w:rsid w:val="003A66C0"/>
    <w:rsid w:val="003A6C61"/>
    <w:rsid w:val="003A7311"/>
    <w:rsid w:val="003A745F"/>
    <w:rsid w:val="003A746B"/>
    <w:rsid w:val="003A76A2"/>
    <w:rsid w:val="003B00EE"/>
    <w:rsid w:val="003B01C0"/>
    <w:rsid w:val="003B0D5D"/>
    <w:rsid w:val="003B1033"/>
    <w:rsid w:val="003B10EC"/>
    <w:rsid w:val="003B11A4"/>
    <w:rsid w:val="003B1291"/>
    <w:rsid w:val="003B1347"/>
    <w:rsid w:val="003B1386"/>
    <w:rsid w:val="003B148D"/>
    <w:rsid w:val="003B1706"/>
    <w:rsid w:val="003B1789"/>
    <w:rsid w:val="003B1977"/>
    <w:rsid w:val="003B1C58"/>
    <w:rsid w:val="003B2738"/>
    <w:rsid w:val="003B2937"/>
    <w:rsid w:val="003B2A11"/>
    <w:rsid w:val="003B2A8F"/>
    <w:rsid w:val="003B2E21"/>
    <w:rsid w:val="003B2E34"/>
    <w:rsid w:val="003B34A9"/>
    <w:rsid w:val="003B3931"/>
    <w:rsid w:val="003B3F95"/>
    <w:rsid w:val="003B42B5"/>
    <w:rsid w:val="003B4B46"/>
    <w:rsid w:val="003B4F61"/>
    <w:rsid w:val="003B5C50"/>
    <w:rsid w:val="003B60A8"/>
    <w:rsid w:val="003B61E5"/>
    <w:rsid w:val="003B6622"/>
    <w:rsid w:val="003B669A"/>
    <w:rsid w:val="003B67FC"/>
    <w:rsid w:val="003B69F5"/>
    <w:rsid w:val="003B6C02"/>
    <w:rsid w:val="003B6E37"/>
    <w:rsid w:val="003B78E3"/>
    <w:rsid w:val="003B7984"/>
    <w:rsid w:val="003B7AC4"/>
    <w:rsid w:val="003B7B8A"/>
    <w:rsid w:val="003B7F2D"/>
    <w:rsid w:val="003C00AD"/>
    <w:rsid w:val="003C02F8"/>
    <w:rsid w:val="003C04CA"/>
    <w:rsid w:val="003C057F"/>
    <w:rsid w:val="003C0A9F"/>
    <w:rsid w:val="003C13A4"/>
    <w:rsid w:val="003C1975"/>
    <w:rsid w:val="003C1C06"/>
    <w:rsid w:val="003C1CCD"/>
    <w:rsid w:val="003C1FB0"/>
    <w:rsid w:val="003C21FA"/>
    <w:rsid w:val="003C2299"/>
    <w:rsid w:val="003C2652"/>
    <w:rsid w:val="003C2B0F"/>
    <w:rsid w:val="003C2C8E"/>
    <w:rsid w:val="003C2E5E"/>
    <w:rsid w:val="003C316A"/>
    <w:rsid w:val="003C32EF"/>
    <w:rsid w:val="003C34F4"/>
    <w:rsid w:val="003C3839"/>
    <w:rsid w:val="003C3BA5"/>
    <w:rsid w:val="003C3C76"/>
    <w:rsid w:val="003C400E"/>
    <w:rsid w:val="003C40F2"/>
    <w:rsid w:val="003C4224"/>
    <w:rsid w:val="003C4435"/>
    <w:rsid w:val="003C49BF"/>
    <w:rsid w:val="003C4ABB"/>
    <w:rsid w:val="003C519C"/>
    <w:rsid w:val="003C584C"/>
    <w:rsid w:val="003C5A1E"/>
    <w:rsid w:val="003C5A32"/>
    <w:rsid w:val="003C6067"/>
    <w:rsid w:val="003C6089"/>
    <w:rsid w:val="003C632F"/>
    <w:rsid w:val="003C63FD"/>
    <w:rsid w:val="003C6495"/>
    <w:rsid w:val="003C6959"/>
    <w:rsid w:val="003C69EF"/>
    <w:rsid w:val="003C6AE4"/>
    <w:rsid w:val="003C6B76"/>
    <w:rsid w:val="003C6D0A"/>
    <w:rsid w:val="003C6DC0"/>
    <w:rsid w:val="003C6F0A"/>
    <w:rsid w:val="003C70D9"/>
    <w:rsid w:val="003C7DCB"/>
    <w:rsid w:val="003C7E30"/>
    <w:rsid w:val="003D049F"/>
    <w:rsid w:val="003D07F9"/>
    <w:rsid w:val="003D08D1"/>
    <w:rsid w:val="003D0BA6"/>
    <w:rsid w:val="003D0C85"/>
    <w:rsid w:val="003D15F7"/>
    <w:rsid w:val="003D178D"/>
    <w:rsid w:val="003D1863"/>
    <w:rsid w:val="003D1977"/>
    <w:rsid w:val="003D1CAD"/>
    <w:rsid w:val="003D1E49"/>
    <w:rsid w:val="003D1F91"/>
    <w:rsid w:val="003D2359"/>
    <w:rsid w:val="003D24A2"/>
    <w:rsid w:val="003D279C"/>
    <w:rsid w:val="003D283B"/>
    <w:rsid w:val="003D28BE"/>
    <w:rsid w:val="003D2BD9"/>
    <w:rsid w:val="003D2FD5"/>
    <w:rsid w:val="003D3074"/>
    <w:rsid w:val="003D3385"/>
    <w:rsid w:val="003D3670"/>
    <w:rsid w:val="003D36B0"/>
    <w:rsid w:val="003D3945"/>
    <w:rsid w:val="003D3AB4"/>
    <w:rsid w:val="003D3B07"/>
    <w:rsid w:val="003D3C09"/>
    <w:rsid w:val="003D4403"/>
    <w:rsid w:val="003D4D4D"/>
    <w:rsid w:val="003D4FD2"/>
    <w:rsid w:val="003D51CB"/>
    <w:rsid w:val="003D5398"/>
    <w:rsid w:val="003D53C3"/>
    <w:rsid w:val="003D5599"/>
    <w:rsid w:val="003D5654"/>
    <w:rsid w:val="003D5E15"/>
    <w:rsid w:val="003D5F05"/>
    <w:rsid w:val="003D61BE"/>
    <w:rsid w:val="003D6258"/>
    <w:rsid w:val="003D6383"/>
    <w:rsid w:val="003D6625"/>
    <w:rsid w:val="003D6731"/>
    <w:rsid w:val="003D682A"/>
    <w:rsid w:val="003D69A1"/>
    <w:rsid w:val="003D7C66"/>
    <w:rsid w:val="003D7F77"/>
    <w:rsid w:val="003E027E"/>
    <w:rsid w:val="003E02DC"/>
    <w:rsid w:val="003E0421"/>
    <w:rsid w:val="003E05AF"/>
    <w:rsid w:val="003E0B80"/>
    <w:rsid w:val="003E0CD2"/>
    <w:rsid w:val="003E0D1B"/>
    <w:rsid w:val="003E0E40"/>
    <w:rsid w:val="003E13C5"/>
    <w:rsid w:val="003E1E71"/>
    <w:rsid w:val="003E209B"/>
    <w:rsid w:val="003E25A3"/>
    <w:rsid w:val="003E25E2"/>
    <w:rsid w:val="003E2A79"/>
    <w:rsid w:val="003E2ADF"/>
    <w:rsid w:val="003E2FA8"/>
    <w:rsid w:val="003E3029"/>
    <w:rsid w:val="003E31D4"/>
    <w:rsid w:val="003E343D"/>
    <w:rsid w:val="003E37A2"/>
    <w:rsid w:val="003E38F6"/>
    <w:rsid w:val="003E3D5C"/>
    <w:rsid w:val="003E3E43"/>
    <w:rsid w:val="003E4088"/>
    <w:rsid w:val="003E44B8"/>
    <w:rsid w:val="003E47D6"/>
    <w:rsid w:val="003E4910"/>
    <w:rsid w:val="003E51BD"/>
    <w:rsid w:val="003E53BB"/>
    <w:rsid w:val="003E55F2"/>
    <w:rsid w:val="003E5890"/>
    <w:rsid w:val="003E598A"/>
    <w:rsid w:val="003E5D5F"/>
    <w:rsid w:val="003E5EE1"/>
    <w:rsid w:val="003E609D"/>
    <w:rsid w:val="003E60F8"/>
    <w:rsid w:val="003E60FC"/>
    <w:rsid w:val="003E637A"/>
    <w:rsid w:val="003E64B8"/>
    <w:rsid w:val="003E65AD"/>
    <w:rsid w:val="003E661E"/>
    <w:rsid w:val="003E668E"/>
    <w:rsid w:val="003E66EA"/>
    <w:rsid w:val="003E6CE9"/>
    <w:rsid w:val="003E73B5"/>
    <w:rsid w:val="003E768F"/>
    <w:rsid w:val="003E7C5E"/>
    <w:rsid w:val="003E7CF7"/>
    <w:rsid w:val="003F02C4"/>
    <w:rsid w:val="003F0457"/>
    <w:rsid w:val="003F0746"/>
    <w:rsid w:val="003F0E64"/>
    <w:rsid w:val="003F104A"/>
    <w:rsid w:val="003F17C8"/>
    <w:rsid w:val="003F17F4"/>
    <w:rsid w:val="003F1B8E"/>
    <w:rsid w:val="003F2208"/>
    <w:rsid w:val="003F22B5"/>
    <w:rsid w:val="003F2643"/>
    <w:rsid w:val="003F2F8B"/>
    <w:rsid w:val="003F3972"/>
    <w:rsid w:val="003F45A4"/>
    <w:rsid w:val="003F4D4C"/>
    <w:rsid w:val="003F505D"/>
    <w:rsid w:val="003F56B8"/>
    <w:rsid w:val="003F5D88"/>
    <w:rsid w:val="003F5DA9"/>
    <w:rsid w:val="003F6130"/>
    <w:rsid w:val="003F63C9"/>
    <w:rsid w:val="003F78B7"/>
    <w:rsid w:val="003F7BB3"/>
    <w:rsid w:val="003F7E2F"/>
    <w:rsid w:val="004003C1"/>
    <w:rsid w:val="00400836"/>
    <w:rsid w:val="00400A6E"/>
    <w:rsid w:val="00400B67"/>
    <w:rsid w:val="00400E81"/>
    <w:rsid w:val="00400FE9"/>
    <w:rsid w:val="0040119B"/>
    <w:rsid w:val="00401E91"/>
    <w:rsid w:val="00402350"/>
    <w:rsid w:val="004028FC"/>
    <w:rsid w:val="00402D19"/>
    <w:rsid w:val="00402DE6"/>
    <w:rsid w:val="00402E8C"/>
    <w:rsid w:val="00402F72"/>
    <w:rsid w:val="004030FC"/>
    <w:rsid w:val="0040329A"/>
    <w:rsid w:val="004033DC"/>
    <w:rsid w:val="00403752"/>
    <w:rsid w:val="004039DF"/>
    <w:rsid w:val="00403D69"/>
    <w:rsid w:val="00403E0A"/>
    <w:rsid w:val="004041CA"/>
    <w:rsid w:val="0040433E"/>
    <w:rsid w:val="004043E3"/>
    <w:rsid w:val="00404542"/>
    <w:rsid w:val="00404B3E"/>
    <w:rsid w:val="00404EC6"/>
    <w:rsid w:val="00405244"/>
    <w:rsid w:val="004052A3"/>
    <w:rsid w:val="0040545B"/>
    <w:rsid w:val="00405499"/>
    <w:rsid w:val="0040564C"/>
    <w:rsid w:val="004056BB"/>
    <w:rsid w:val="00405A0B"/>
    <w:rsid w:val="00405C53"/>
    <w:rsid w:val="0040605D"/>
    <w:rsid w:val="00406883"/>
    <w:rsid w:val="00406B37"/>
    <w:rsid w:val="004071F0"/>
    <w:rsid w:val="0040728D"/>
    <w:rsid w:val="00407346"/>
    <w:rsid w:val="00407934"/>
    <w:rsid w:val="00407998"/>
    <w:rsid w:val="00407E75"/>
    <w:rsid w:val="00407E87"/>
    <w:rsid w:val="00407EA2"/>
    <w:rsid w:val="00410112"/>
    <w:rsid w:val="004105D1"/>
    <w:rsid w:val="00410D24"/>
    <w:rsid w:val="004111B9"/>
    <w:rsid w:val="00411BD1"/>
    <w:rsid w:val="00411D06"/>
    <w:rsid w:val="00412182"/>
    <w:rsid w:val="00412511"/>
    <w:rsid w:val="004128E3"/>
    <w:rsid w:val="004129E2"/>
    <w:rsid w:val="00412BC3"/>
    <w:rsid w:val="0041319E"/>
    <w:rsid w:val="0041397C"/>
    <w:rsid w:val="00414361"/>
    <w:rsid w:val="00414521"/>
    <w:rsid w:val="004145B2"/>
    <w:rsid w:val="004145B6"/>
    <w:rsid w:val="00414640"/>
    <w:rsid w:val="00414DAB"/>
    <w:rsid w:val="00415F0F"/>
    <w:rsid w:val="00415FE3"/>
    <w:rsid w:val="004164D9"/>
    <w:rsid w:val="00416729"/>
    <w:rsid w:val="00416B59"/>
    <w:rsid w:val="00416BC1"/>
    <w:rsid w:val="00416C52"/>
    <w:rsid w:val="00416FA1"/>
    <w:rsid w:val="00416FBB"/>
    <w:rsid w:val="00417396"/>
    <w:rsid w:val="00417557"/>
    <w:rsid w:val="004175E4"/>
    <w:rsid w:val="004177F3"/>
    <w:rsid w:val="00417BEB"/>
    <w:rsid w:val="00417CB2"/>
    <w:rsid w:val="00420024"/>
    <w:rsid w:val="004204F5"/>
    <w:rsid w:val="00420581"/>
    <w:rsid w:val="00420A36"/>
    <w:rsid w:val="00420EE2"/>
    <w:rsid w:val="004210D7"/>
    <w:rsid w:val="0042116F"/>
    <w:rsid w:val="0042172C"/>
    <w:rsid w:val="0042193F"/>
    <w:rsid w:val="004219B0"/>
    <w:rsid w:val="00421ABF"/>
    <w:rsid w:val="00421E23"/>
    <w:rsid w:val="00421EA7"/>
    <w:rsid w:val="00422545"/>
    <w:rsid w:val="004226E0"/>
    <w:rsid w:val="00422752"/>
    <w:rsid w:val="00422B0C"/>
    <w:rsid w:val="00422CD1"/>
    <w:rsid w:val="00422D28"/>
    <w:rsid w:val="00422DAE"/>
    <w:rsid w:val="004236A8"/>
    <w:rsid w:val="004239F6"/>
    <w:rsid w:val="00423A42"/>
    <w:rsid w:val="00423DF6"/>
    <w:rsid w:val="00423EC8"/>
    <w:rsid w:val="00424634"/>
    <w:rsid w:val="004250D8"/>
    <w:rsid w:val="004251AF"/>
    <w:rsid w:val="0042541A"/>
    <w:rsid w:val="004254CB"/>
    <w:rsid w:val="004259E2"/>
    <w:rsid w:val="00425A58"/>
    <w:rsid w:val="00425FB1"/>
    <w:rsid w:val="00426165"/>
    <w:rsid w:val="0042654B"/>
    <w:rsid w:val="00426884"/>
    <w:rsid w:val="004269CA"/>
    <w:rsid w:val="00426AC4"/>
    <w:rsid w:val="00426D1C"/>
    <w:rsid w:val="00426E70"/>
    <w:rsid w:val="00427509"/>
    <w:rsid w:val="0042754E"/>
    <w:rsid w:val="00427A4A"/>
    <w:rsid w:val="00427F7D"/>
    <w:rsid w:val="00427FD8"/>
    <w:rsid w:val="004300C8"/>
    <w:rsid w:val="00430650"/>
    <w:rsid w:val="00430A90"/>
    <w:rsid w:val="00430C5A"/>
    <w:rsid w:val="00431750"/>
    <w:rsid w:val="004318E7"/>
    <w:rsid w:val="00431A3B"/>
    <w:rsid w:val="00431DC9"/>
    <w:rsid w:val="004323C6"/>
    <w:rsid w:val="0043258F"/>
    <w:rsid w:val="00432602"/>
    <w:rsid w:val="00432816"/>
    <w:rsid w:val="00432DEA"/>
    <w:rsid w:val="0043320B"/>
    <w:rsid w:val="0043338F"/>
    <w:rsid w:val="004333F8"/>
    <w:rsid w:val="004337E4"/>
    <w:rsid w:val="004337F0"/>
    <w:rsid w:val="0043399D"/>
    <w:rsid w:val="00433A32"/>
    <w:rsid w:val="00433FD9"/>
    <w:rsid w:val="0043453E"/>
    <w:rsid w:val="004345D5"/>
    <w:rsid w:val="00434DE1"/>
    <w:rsid w:val="00434FB7"/>
    <w:rsid w:val="00435553"/>
    <w:rsid w:val="004359D3"/>
    <w:rsid w:val="00435AFC"/>
    <w:rsid w:val="00435C78"/>
    <w:rsid w:val="00436400"/>
    <w:rsid w:val="00436988"/>
    <w:rsid w:val="00436CA6"/>
    <w:rsid w:val="004378B3"/>
    <w:rsid w:val="00437958"/>
    <w:rsid w:val="004379FC"/>
    <w:rsid w:val="00440786"/>
    <w:rsid w:val="004407B2"/>
    <w:rsid w:val="004408BD"/>
    <w:rsid w:val="00440B47"/>
    <w:rsid w:val="00440D49"/>
    <w:rsid w:val="004410C8"/>
    <w:rsid w:val="00441125"/>
    <w:rsid w:val="00441A8C"/>
    <w:rsid w:val="00441AB6"/>
    <w:rsid w:val="00441AFB"/>
    <w:rsid w:val="00441C05"/>
    <w:rsid w:val="00441C82"/>
    <w:rsid w:val="00442344"/>
    <w:rsid w:val="00442483"/>
    <w:rsid w:val="004425FA"/>
    <w:rsid w:val="00442B7A"/>
    <w:rsid w:val="00443966"/>
    <w:rsid w:val="00443B39"/>
    <w:rsid w:val="00443C29"/>
    <w:rsid w:val="00443CF5"/>
    <w:rsid w:val="004442A0"/>
    <w:rsid w:val="004449A2"/>
    <w:rsid w:val="00445009"/>
    <w:rsid w:val="00445523"/>
    <w:rsid w:val="0044564D"/>
    <w:rsid w:val="00445973"/>
    <w:rsid w:val="00445A76"/>
    <w:rsid w:val="00445DF3"/>
    <w:rsid w:val="00445E0C"/>
    <w:rsid w:val="004462F0"/>
    <w:rsid w:val="0044654D"/>
    <w:rsid w:val="00446565"/>
    <w:rsid w:val="0044672C"/>
    <w:rsid w:val="00446834"/>
    <w:rsid w:val="00446E91"/>
    <w:rsid w:val="00446F74"/>
    <w:rsid w:val="0044749F"/>
    <w:rsid w:val="004474F8"/>
    <w:rsid w:val="00447922"/>
    <w:rsid w:val="004479A4"/>
    <w:rsid w:val="004479AF"/>
    <w:rsid w:val="004500F5"/>
    <w:rsid w:val="00450145"/>
    <w:rsid w:val="004502E7"/>
    <w:rsid w:val="0045050A"/>
    <w:rsid w:val="00450A50"/>
    <w:rsid w:val="00450F87"/>
    <w:rsid w:val="0045101C"/>
    <w:rsid w:val="00451469"/>
    <w:rsid w:val="00452085"/>
    <w:rsid w:val="00452461"/>
    <w:rsid w:val="00452CCF"/>
    <w:rsid w:val="004532D7"/>
    <w:rsid w:val="004533EA"/>
    <w:rsid w:val="0045365B"/>
    <w:rsid w:val="004537FA"/>
    <w:rsid w:val="00453BEE"/>
    <w:rsid w:val="00454911"/>
    <w:rsid w:val="00454A42"/>
    <w:rsid w:val="00454BE7"/>
    <w:rsid w:val="00454EC5"/>
    <w:rsid w:val="004551DA"/>
    <w:rsid w:val="004556FB"/>
    <w:rsid w:val="00455B6B"/>
    <w:rsid w:val="00455F15"/>
    <w:rsid w:val="00456344"/>
    <w:rsid w:val="0045671B"/>
    <w:rsid w:val="00456788"/>
    <w:rsid w:val="0045694B"/>
    <w:rsid w:val="00456969"/>
    <w:rsid w:val="00456E50"/>
    <w:rsid w:val="00456FD7"/>
    <w:rsid w:val="00457500"/>
    <w:rsid w:val="00457612"/>
    <w:rsid w:val="00457AD3"/>
    <w:rsid w:val="00457E47"/>
    <w:rsid w:val="00460860"/>
    <w:rsid w:val="00460A20"/>
    <w:rsid w:val="00460D69"/>
    <w:rsid w:val="004610E9"/>
    <w:rsid w:val="0046111E"/>
    <w:rsid w:val="00461177"/>
    <w:rsid w:val="00461308"/>
    <w:rsid w:val="00461326"/>
    <w:rsid w:val="00461893"/>
    <w:rsid w:val="00461F2A"/>
    <w:rsid w:val="00461F8B"/>
    <w:rsid w:val="00462339"/>
    <w:rsid w:val="0046266B"/>
    <w:rsid w:val="00462B0A"/>
    <w:rsid w:val="0046340E"/>
    <w:rsid w:val="004645BE"/>
    <w:rsid w:val="004648AB"/>
    <w:rsid w:val="00464C91"/>
    <w:rsid w:val="00464E7A"/>
    <w:rsid w:val="00464FFC"/>
    <w:rsid w:val="0046527B"/>
    <w:rsid w:val="00465D91"/>
    <w:rsid w:val="0046630C"/>
    <w:rsid w:val="00466B86"/>
    <w:rsid w:val="00466C21"/>
    <w:rsid w:val="00466D73"/>
    <w:rsid w:val="00467024"/>
    <w:rsid w:val="004672FB"/>
    <w:rsid w:val="00467A8C"/>
    <w:rsid w:val="00467BCD"/>
    <w:rsid w:val="0047068F"/>
    <w:rsid w:val="004707A9"/>
    <w:rsid w:val="004707C2"/>
    <w:rsid w:val="00470D0E"/>
    <w:rsid w:val="00471079"/>
    <w:rsid w:val="00471353"/>
    <w:rsid w:val="004713A8"/>
    <w:rsid w:val="0047153F"/>
    <w:rsid w:val="00471727"/>
    <w:rsid w:val="0047180E"/>
    <w:rsid w:val="004718F8"/>
    <w:rsid w:val="00471959"/>
    <w:rsid w:val="00471B5F"/>
    <w:rsid w:val="00471D30"/>
    <w:rsid w:val="00471FF3"/>
    <w:rsid w:val="00472C38"/>
    <w:rsid w:val="00472EB7"/>
    <w:rsid w:val="00473008"/>
    <w:rsid w:val="004731B8"/>
    <w:rsid w:val="0047329F"/>
    <w:rsid w:val="00473353"/>
    <w:rsid w:val="00473431"/>
    <w:rsid w:val="00473596"/>
    <w:rsid w:val="00473617"/>
    <w:rsid w:val="00473824"/>
    <w:rsid w:val="00473CC9"/>
    <w:rsid w:val="00473F85"/>
    <w:rsid w:val="0047431E"/>
    <w:rsid w:val="00474381"/>
    <w:rsid w:val="00474545"/>
    <w:rsid w:val="00474858"/>
    <w:rsid w:val="00474CBA"/>
    <w:rsid w:val="0047541B"/>
    <w:rsid w:val="004757C0"/>
    <w:rsid w:val="00475823"/>
    <w:rsid w:val="00475FE0"/>
    <w:rsid w:val="004760FF"/>
    <w:rsid w:val="00476148"/>
    <w:rsid w:val="0047617F"/>
    <w:rsid w:val="0047652B"/>
    <w:rsid w:val="00476915"/>
    <w:rsid w:val="00477472"/>
    <w:rsid w:val="00477595"/>
    <w:rsid w:val="00477E14"/>
    <w:rsid w:val="004800C2"/>
    <w:rsid w:val="0048042B"/>
    <w:rsid w:val="00480828"/>
    <w:rsid w:val="0048082C"/>
    <w:rsid w:val="004808DE"/>
    <w:rsid w:val="00481155"/>
    <w:rsid w:val="00481375"/>
    <w:rsid w:val="00481E5E"/>
    <w:rsid w:val="00481EDD"/>
    <w:rsid w:val="004821B1"/>
    <w:rsid w:val="004821C2"/>
    <w:rsid w:val="00482233"/>
    <w:rsid w:val="00482571"/>
    <w:rsid w:val="00482642"/>
    <w:rsid w:val="00482EFA"/>
    <w:rsid w:val="00482F09"/>
    <w:rsid w:val="004832D9"/>
    <w:rsid w:val="004837D8"/>
    <w:rsid w:val="00483B19"/>
    <w:rsid w:val="00483DE5"/>
    <w:rsid w:val="00483E29"/>
    <w:rsid w:val="00483F76"/>
    <w:rsid w:val="00484746"/>
    <w:rsid w:val="0048477B"/>
    <w:rsid w:val="00484C19"/>
    <w:rsid w:val="00484ECA"/>
    <w:rsid w:val="00484F35"/>
    <w:rsid w:val="00485139"/>
    <w:rsid w:val="004852EB"/>
    <w:rsid w:val="004854D4"/>
    <w:rsid w:val="004857EA"/>
    <w:rsid w:val="0048581E"/>
    <w:rsid w:val="00485832"/>
    <w:rsid w:val="004858D1"/>
    <w:rsid w:val="00485CB0"/>
    <w:rsid w:val="004860AE"/>
    <w:rsid w:val="0048662D"/>
    <w:rsid w:val="00486729"/>
    <w:rsid w:val="0048692D"/>
    <w:rsid w:val="00486DBD"/>
    <w:rsid w:val="0048733E"/>
    <w:rsid w:val="0048739B"/>
    <w:rsid w:val="0048739F"/>
    <w:rsid w:val="004877B4"/>
    <w:rsid w:val="00487AC6"/>
    <w:rsid w:val="00487D2C"/>
    <w:rsid w:val="00490589"/>
    <w:rsid w:val="004909A1"/>
    <w:rsid w:val="004913FE"/>
    <w:rsid w:val="0049176E"/>
    <w:rsid w:val="0049184C"/>
    <w:rsid w:val="004918D7"/>
    <w:rsid w:val="00491CDD"/>
    <w:rsid w:val="00491DE0"/>
    <w:rsid w:val="00491E97"/>
    <w:rsid w:val="00492108"/>
    <w:rsid w:val="004921C4"/>
    <w:rsid w:val="00492C8A"/>
    <w:rsid w:val="0049385E"/>
    <w:rsid w:val="0049392F"/>
    <w:rsid w:val="00493A1E"/>
    <w:rsid w:val="00493C80"/>
    <w:rsid w:val="00494029"/>
    <w:rsid w:val="00494813"/>
    <w:rsid w:val="00495722"/>
    <w:rsid w:val="004959E1"/>
    <w:rsid w:val="00495BAC"/>
    <w:rsid w:val="00495F46"/>
    <w:rsid w:val="00495F59"/>
    <w:rsid w:val="004960F5"/>
    <w:rsid w:val="0049614E"/>
    <w:rsid w:val="004961F4"/>
    <w:rsid w:val="0049624D"/>
    <w:rsid w:val="00496BC1"/>
    <w:rsid w:val="00496CEA"/>
    <w:rsid w:val="00496DDF"/>
    <w:rsid w:val="004970DB"/>
    <w:rsid w:val="004970DC"/>
    <w:rsid w:val="004973CF"/>
    <w:rsid w:val="00497CD9"/>
    <w:rsid w:val="00497EB1"/>
    <w:rsid w:val="004A0066"/>
    <w:rsid w:val="004A075E"/>
    <w:rsid w:val="004A0A99"/>
    <w:rsid w:val="004A0CC1"/>
    <w:rsid w:val="004A0E4D"/>
    <w:rsid w:val="004A1FAE"/>
    <w:rsid w:val="004A274D"/>
    <w:rsid w:val="004A30D9"/>
    <w:rsid w:val="004A3226"/>
    <w:rsid w:val="004A36E2"/>
    <w:rsid w:val="004A3DFF"/>
    <w:rsid w:val="004A3E8A"/>
    <w:rsid w:val="004A43F5"/>
    <w:rsid w:val="004A46AC"/>
    <w:rsid w:val="004A4861"/>
    <w:rsid w:val="004A4896"/>
    <w:rsid w:val="004A4973"/>
    <w:rsid w:val="004A49A0"/>
    <w:rsid w:val="004A4EA9"/>
    <w:rsid w:val="004A50B6"/>
    <w:rsid w:val="004A562A"/>
    <w:rsid w:val="004A56B3"/>
    <w:rsid w:val="004A5709"/>
    <w:rsid w:val="004A5E7D"/>
    <w:rsid w:val="004A6623"/>
    <w:rsid w:val="004A67AB"/>
    <w:rsid w:val="004A6802"/>
    <w:rsid w:val="004A69B6"/>
    <w:rsid w:val="004A6EE8"/>
    <w:rsid w:val="004A71EC"/>
    <w:rsid w:val="004A73CC"/>
    <w:rsid w:val="004A7E65"/>
    <w:rsid w:val="004B00CD"/>
    <w:rsid w:val="004B0557"/>
    <w:rsid w:val="004B05FC"/>
    <w:rsid w:val="004B0732"/>
    <w:rsid w:val="004B0768"/>
    <w:rsid w:val="004B0AEE"/>
    <w:rsid w:val="004B0CD5"/>
    <w:rsid w:val="004B0CDF"/>
    <w:rsid w:val="004B10D9"/>
    <w:rsid w:val="004B195F"/>
    <w:rsid w:val="004B19DD"/>
    <w:rsid w:val="004B19FB"/>
    <w:rsid w:val="004B1C4D"/>
    <w:rsid w:val="004B2188"/>
    <w:rsid w:val="004B25F6"/>
    <w:rsid w:val="004B287C"/>
    <w:rsid w:val="004B2E84"/>
    <w:rsid w:val="004B3743"/>
    <w:rsid w:val="004B38F1"/>
    <w:rsid w:val="004B3A33"/>
    <w:rsid w:val="004B3F1A"/>
    <w:rsid w:val="004B3F63"/>
    <w:rsid w:val="004B403D"/>
    <w:rsid w:val="004B41DF"/>
    <w:rsid w:val="004B41F5"/>
    <w:rsid w:val="004B47B4"/>
    <w:rsid w:val="004B4866"/>
    <w:rsid w:val="004B4921"/>
    <w:rsid w:val="004B4ED7"/>
    <w:rsid w:val="004B5048"/>
    <w:rsid w:val="004B53F1"/>
    <w:rsid w:val="004B5834"/>
    <w:rsid w:val="004B596A"/>
    <w:rsid w:val="004B5BD1"/>
    <w:rsid w:val="004B5C0F"/>
    <w:rsid w:val="004B5DC4"/>
    <w:rsid w:val="004B5DD7"/>
    <w:rsid w:val="004B6191"/>
    <w:rsid w:val="004B6B23"/>
    <w:rsid w:val="004B717B"/>
    <w:rsid w:val="004B723D"/>
    <w:rsid w:val="004B729C"/>
    <w:rsid w:val="004B75E0"/>
    <w:rsid w:val="004B7968"/>
    <w:rsid w:val="004B79F5"/>
    <w:rsid w:val="004C0615"/>
    <w:rsid w:val="004C06E9"/>
    <w:rsid w:val="004C0766"/>
    <w:rsid w:val="004C098C"/>
    <w:rsid w:val="004C0EF0"/>
    <w:rsid w:val="004C13F7"/>
    <w:rsid w:val="004C1F31"/>
    <w:rsid w:val="004C213A"/>
    <w:rsid w:val="004C21CC"/>
    <w:rsid w:val="004C2E8C"/>
    <w:rsid w:val="004C3692"/>
    <w:rsid w:val="004C3F58"/>
    <w:rsid w:val="004C4383"/>
    <w:rsid w:val="004C47A3"/>
    <w:rsid w:val="004C5078"/>
    <w:rsid w:val="004C5447"/>
    <w:rsid w:val="004C5AD5"/>
    <w:rsid w:val="004C5FF5"/>
    <w:rsid w:val="004C61C6"/>
    <w:rsid w:val="004C64BB"/>
    <w:rsid w:val="004C664A"/>
    <w:rsid w:val="004C683D"/>
    <w:rsid w:val="004C6C95"/>
    <w:rsid w:val="004C6D21"/>
    <w:rsid w:val="004C6D22"/>
    <w:rsid w:val="004C6EED"/>
    <w:rsid w:val="004C704B"/>
    <w:rsid w:val="004C71B7"/>
    <w:rsid w:val="004C72AE"/>
    <w:rsid w:val="004C73F1"/>
    <w:rsid w:val="004C747F"/>
    <w:rsid w:val="004C762D"/>
    <w:rsid w:val="004C7E06"/>
    <w:rsid w:val="004C7F19"/>
    <w:rsid w:val="004C7F53"/>
    <w:rsid w:val="004D038A"/>
    <w:rsid w:val="004D07CD"/>
    <w:rsid w:val="004D0CFF"/>
    <w:rsid w:val="004D101F"/>
    <w:rsid w:val="004D1122"/>
    <w:rsid w:val="004D113B"/>
    <w:rsid w:val="004D1303"/>
    <w:rsid w:val="004D13EE"/>
    <w:rsid w:val="004D1455"/>
    <w:rsid w:val="004D1712"/>
    <w:rsid w:val="004D1AD5"/>
    <w:rsid w:val="004D1B24"/>
    <w:rsid w:val="004D1E96"/>
    <w:rsid w:val="004D1ED9"/>
    <w:rsid w:val="004D2045"/>
    <w:rsid w:val="004D2855"/>
    <w:rsid w:val="004D2BAE"/>
    <w:rsid w:val="004D3153"/>
    <w:rsid w:val="004D3300"/>
    <w:rsid w:val="004D36D2"/>
    <w:rsid w:val="004D38EE"/>
    <w:rsid w:val="004D3965"/>
    <w:rsid w:val="004D3A1C"/>
    <w:rsid w:val="004D3D4B"/>
    <w:rsid w:val="004D3E47"/>
    <w:rsid w:val="004D3F1C"/>
    <w:rsid w:val="004D440D"/>
    <w:rsid w:val="004D460E"/>
    <w:rsid w:val="004D4F8B"/>
    <w:rsid w:val="004D5238"/>
    <w:rsid w:val="004D54F8"/>
    <w:rsid w:val="004D5589"/>
    <w:rsid w:val="004D56AA"/>
    <w:rsid w:val="004D5A73"/>
    <w:rsid w:val="004D6118"/>
    <w:rsid w:val="004D638F"/>
    <w:rsid w:val="004D6498"/>
    <w:rsid w:val="004D6695"/>
    <w:rsid w:val="004D7779"/>
    <w:rsid w:val="004D7A6B"/>
    <w:rsid w:val="004D7BE9"/>
    <w:rsid w:val="004E0042"/>
    <w:rsid w:val="004E041F"/>
    <w:rsid w:val="004E0476"/>
    <w:rsid w:val="004E0AF9"/>
    <w:rsid w:val="004E0FC2"/>
    <w:rsid w:val="004E136C"/>
    <w:rsid w:val="004E138D"/>
    <w:rsid w:val="004E1694"/>
    <w:rsid w:val="004E1A86"/>
    <w:rsid w:val="004E1FF5"/>
    <w:rsid w:val="004E20E1"/>
    <w:rsid w:val="004E2107"/>
    <w:rsid w:val="004E2853"/>
    <w:rsid w:val="004E3442"/>
    <w:rsid w:val="004E3C01"/>
    <w:rsid w:val="004E3C71"/>
    <w:rsid w:val="004E3D35"/>
    <w:rsid w:val="004E404B"/>
    <w:rsid w:val="004E43BE"/>
    <w:rsid w:val="004E4416"/>
    <w:rsid w:val="004E47BA"/>
    <w:rsid w:val="004E47ED"/>
    <w:rsid w:val="004E4A38"/>
    <w:rsid w:val="004E5006"/>
    <w:rsid w:val="004E53A4"/>
    <w:rsid w:val="004E57C0"/>
    <w:rsid w:val="004E5838"/>
    <w:rsid w:val="004E5BC2"/>
    <w:rsid w:val="004E5BFC"/>
    <w:rsid w:val="004E5C0A"/>
    <w:rsid w:val="004E5C1F"/>
    <w:rsid w:val="004E5D24"/>
    <w:rsid w:val="004E5E3B"/>
    <w:rsid w:val="004E5E98"/>
    <w:rsid w:val="004E64F3"/>
    <w:rsid w:val="004E6704"/>
    <w:rsid w:val="004E6C4A"/>
    <w:rsid w:val="004E6E35"/>
    <w:rsid w:val="004E6FE1"/>
    <w:rsid w:val="004E703B"/>
    <w:rsid w:val="004E73A8"/>
    <w:rsid w:val="004E76A4"/>
    <w:rsid w:val="004E7C85"/>
    <w:rsid w:val="004F0657"/>
    <w:rsid w:val="004F0988"/>
    <w:rsid w:val="004F1304"/>
    <w:rsid w:val="004F1469"/>
    <w:rsid w:val="004F1A14"/>
    <w:rsid w:val="004F24C0"/>
    <w:rsid w:val="004F2953"/>
    <w:rsid w:val="004F2CEA"/>
    <w:rsid w:val="004F30EB"/>
    <w:rsid w:val="004F3227"/>
    <w:rsid w:val="004F3296"/>
    <w:rsid w:val="004F381C"/>
    <w:rsid w:val="004F3C57"/>
    <w:rsid w:val="004F3C9F"/>
    <w:rsid w:val="004F3CAB"/>
    <w:rsid w:val="004F3F46"/>
    <w:rsid w:val="004F404D"/>
    <w:rsid w:val="004F416D"/>
    <w:rsid w:val="004F46AD"/>
    <w:rsid w:val="004F4DE2"/>
    <w:rsid w:val="004F4EDB"/>
    <w:rsid w:val="004F4F3B"/>
    <w:rsid w:val="004F585B"/>
    <w:rsid w:val="004F5AB7"/>
    <w:rsid w:val="004F5BF0"/>
    <w:rsid w:val="004F5C5E"/>
    <w:rsid w:val="004F5F0D"/>
    <w:rsid w:val="004F5FC7"/>
    <w:rsid w:val="004F64C2"/>
    <w:rsid w:val="004F64ED"/>
    <w:rsid w:val="004F6644"/>
    <w:rsid w:val="004F6C7A"/>
    <w:rsid w:val="004F703F"/>
    <w:rsid w:val="004F7174"/>
    <w:rsid w:val="004F7530"/>
    <w:rsid w:val="004F7786"/>
    <w:rsid w:val="004F7BA8"/>
    <w:rsid w:val="004F7C0C"/>
    <w:rsid w:val="004F7C71"/>
    <w:rsid w:val="004F7CCD"/>
    <w:rsid w:val="005002EF"/>
    <w:rsid w:val="005009AF"/>
    <w:rsid w:val="005016BD"/>
    <w:rsid w:val="00501B15"/>
    <w:rsid w:val="00501E0D"/>
    <w:rsid w:val="005020E5"/>
    <w:rsid w:val="00502232"/>
    <w:rsid w:val="0050266A"/>
    <w:rsid w:val="005026E3"/>
    <w:rsid w:val="00502800"/>
    <w:rsid w:val="00502820"/>
    <w:rsid w:val="00502C21"/>
    <w:rsid w:val="00502CE5"/>
    <w:rsid w:val="00502D19"/>
    <w:rsid w:val="0050351D"/>
    <w:rsid w:val="005037B4"/>
    <w:rsid w:val="00503B1A"/>
    <w:rsid w:val="00503B39"/>
    <w:rsid w:val="00503E4D"/>
    <w:rsid w:val="005043DE"/>
    <w:rsid w:val="005043FD"/>
    <w:rsid w:val="0050480C"/>
    <w:rsid w:val="00505206"/>
    <w:rsid w:val="005054AD"/>
    <w:rsid w:val="00505DD5"/>
    <w:rsid w:val="00505E80"/>
    <w:rsid w:val="0050635E"/>
    <w:rsid w:val="005064F7"/>
    <w:rsid w:val="005065F1"/>
    <w:rsid w:val="00506A0A"/>
    <w:rsid w:val="00506AFC"/>
    <w:rsid w:val="00506B13"/>
    <w:rsid w:val="00506C39"/>
    <w:rsid w:val="00506DBF"/>
    <w:rsid w:val="00506DDD"/>
    <w:rsid w:val="00507032"/>
    <w:rsid w:val="005072A6"/>
    <w:rsid w:val="00507629"/>
    <w:rsid w:val="00507B3C"/>
    <w:rsid w:val="00507C18"/>
    <w:rsid w:val="0051020D"/>
    <w:rsid w:val="005105EE"/>
    <w:rsid w:val="0051097A"/>
    <w:rsid w:val="00510ADE"/>
    <w:rsid w:val="00510B76"/>
    <w:rsid w:val="00510C80"/>
    <w:rsid w:val="005110F0"/>
    <w:rsid w:val="005114BC"/>
    <w:rsid w:val="005116D5"/>
    <w:rsid w:val="00511A47"/>
    <w:rsid w:val="00511CA4"/>
    <w:rsid w:val="00511F18"/>
    <w:rsid w:val="005121E3"/>
    <w:rsid w:val="0051229D"/>
    <w:rsid w:val="00512605"/>
    <w:rsid w:val="00512666"/>
    <w:rsid w:val="00512715"/>
    <w:rsid w:val="00512B04"/>
    <w:rsid w:val="00512D0F"/>
    <w:rsid w:val="005133DA"/>
    <w:rsid w:val="00513A11"/>
    <w:rsid w:val="0051426B"/>
    <w:rsid w:val="0051448B"/>
    <w:rsid w:val="00514901"/>
    <w:rsid w:val="00514ABC"/>
    <w:rsid w:val="00514E96"/>
    <w:rsid w:val="00514EF4"/>
    <w:rsid w:val="0051505B"/>
    <w:rsid w:val="00515BB9"/>
    <w:rsid w:val="00515C6F"/>
    <w:rsid w:val="00515F6F"/>
    <w:rsid w:val="0051656A"/>
    <w:rsid w:val="0051656F"/>
    <w:rsid w:val="00516799"/>
    <w:rsid w:val="005171E3"/>
    <w:rsid w:val="005173D2"/>
    <w:rsid w:val="005174D1"/>
    <w:rsid w:val="005179C9"/>
    <w:rsid w:val="005179F6"/>
    <w:rsid w:val="00517C92"/>
    <w:rsid w:val="00517FC4"/>
    <w:rsid w:val="00520076"/>
    <w:rsid w:val="00520B31"/>
    <w:rsid w:val="00521475"/>
    <w:rsid w:val="0052149A"/>
    <w:rsid w:val="005220B2"/>
    <w:rsid w:val="005220F8"/>
    <w:rsid w:val="005221BC"/>
    <w:rsid w:val="0052220F"/>
    <w:rsid w:val="0052287A"/>
    <w:rsid w:val="005228E8"/>
    <w:rsid w:val="005229F9"/>
    <w:rsid w:val="00522D29"/>
    <w:rsid w:val="00522E69"/>
    <w:rsid w:val="00522E81"/>
    <w:rsid w:val="00522F45"/>
    <w:rsid w:val="005232FE"/>
    <w:rsid w:val="0052386F"/>
    <w:rsid w:val="005238BB"/>
    <w:rsid w:val="00523B2D"/>
    <w:rsid w:val="00523E47"/>
    <w:rsid w:val="005243F4"/>
    <w:rsid w:val="00524545"/>
    <w:rsid w:val="005246D4"/>
    <w:rsid w:val="00524928"/>
    <w:rsid w:val="005249F9"/>
    <w:rsid w:val="00524A73"/>
    <w:rsid w:val="00524DAF"/>
    <w:rsid w:val="00524FA6"/>
    <w:rsid w:val="0052500E"/>
    <w:rsid w:val="0052509D"/>
    <w:rsid w:val="0052529B"/>
    <w:rsid w:val="00525395"/>
    <w:rsid w:val="005258BD"/>
    <w:rsid w:val="0052591F"/>
    <w:rsid w:val="00525977"/>
    <w:rsid w:val="00525A5F"/>
    <w:rsid w:val="005261CB"/>
    <w:rsid w:val="00526286"/>
    <w:rsid w:val="005263F8"/>
    <w:rsid w:val="005268E2"/>
    <w:rsid w:val="0052692F"/>
    <w:rsid w:val="005269B3"/>
    <w:rsid w:val="005269B7"/>
    <w:rsid w:val="00526BB8"/>
    <w:rsid w:val="00526E68"/>
    <w:rsid w:val="0052717D"/>
    <w:rsid w:val="00527221"/>
    <w:rsid w:val="0052735B"/>
    <w:rsid w:val="00527382"/>
    <w:rsid w:val="005273C1"/>
    <w:rsid w:val="00527B79"/>
    <w:rsid w:val="00527BF9"/>
    <w:rsid w:val="00527C28"/>
    <w:rsid w:val="00527D66"/>
    <w:rsid w:val="00527EC6"/>
    <w:rsid w:val="00527EE6"/>
    <w:rsid w:val="00527F03"/>
    <w:rsid w:val="00527F13"/>
    <w:rsid w:val="00527F5A"/>
    <w:rsid w:val="00527FD3"/>
    <w:rsid w:val="00530285"/>
    <w:rsid w:val="00530D2D"/>
    <w:rsid w:val="00530D4B"/>
    <w:rsid w:val="00530E44"/>
    <w:rsid w:val="0053176B"/>
    <w:rsid w:val="00531A1E"/>
    <w:rsid w:val="00531AC9"/>
    <w:rsid w:val="00531B91"/>
    <w:rsid w:val="00531F3F"/>
    <w:rsid w:val="00532390"/>
    <w:rsid w:val="0053257C"/>
    <w:rsid w:val="005326A2"/>
    <w:rsid w:val="0053285C"/>
    <w:rsid w:val="00532936"/>
    <w:rsid w:val="00532B4A"/>
    <w:rsid w:val="00532CD3"/>
    <w:rsid w:val="005333B8"/>
    <w:rsid w:val="0053348A"/>
    <w:rsid w:val="00533A58"/>
    <w:rsid w:val="0053457C"/>
    <w:rsid w:val="00534978"/>
    <w:rsid w:val="005349B2"/>
    <w:rsid w:val="005349BD"/>
    <w:rsid w:val="00534A88"/>
    <w:rsid w:val="00534D4A"/>
    <w:rsid w:val="00534DA5"/>
    <w:rsid w:val="0053534C"/>
    <w:rsid w:val="005357BA"/>
    <w:rsid w:val="00535F35"/>
    <w:rsid w:val="005362AD"/>
    <w:rsid w:val="00536921"/>
    <w:rsid w:val="00536950"/>
    <w:rsid w:val="005369BF"/>
    <w:rsid w:val="00536E00"/>
    <w:rsid w:val="00536F80"/>
    <w:rsid w:val="005371F7"/>
    <w:rsid w:val="0053767F"/>
    <w:rsid w:val="005377F2"/>
    <w:rsid w:val="005378C7"/>
    <w:rsid w:val="00537E80"/>
    <w:rsid w:val="00540341"/>
    <w:rsid w:val="005405BF"/>
    <w:rsid w:val="00540610"/>
    <w:rsid w:val="0054082A"/>
    <w:rsid w:val="00540B98"/>
    <w:rsid w:val="00540E9D"/>
    <w:rsid w:val="0054102F"/>
    <w:rsid w:val="0054132A"/>
    <w:rsid w:val="0054162A"/>
    <w:rsid w:val="00541B1F"/>
    <w:rsid w:val="0054244D"/>
    <w:rsid w:val="00542950"/>
    <w:rsid w:val="00542A89"/>
    <w:rsid w:val="005431B3"/>
    <w:rsid w:val="0054354F"/>
    <w:rsid w:val="00543619"/>
    <w:rsid w:val="00543624"/>
    <w:rsid w:val="00543CB5"/>
    <w:rsid w:val="00543FD9"/>
    <w:rsid w:val="00544273"/>
    <w:rsid w:val="0054431B"/>
    <w:rsid w:val="005445E9"/>
    <w:rsid w:val="00544750"/>
    <w:rsid w:val="00544DA9"/>
    <w:rsid w:val="00545091"/>
    <w:rsid w:val="00545281"/>
    <w:rsid w:val="00545310"/>
    <w:rsid w:val="00545471"/>
    <w:rsid w:val="00545CC1"/>
    <w:rsid w:val="00545E71"/>
    <w:rsid w:val="005463BF"/>
    <w:rsid w:val="00546587"/>
    <w:rsid w:val="0054672F"/>
    <w:rsid w:val="0054678C"/>
    <w:rsid w:val="00546B5E"/>
    <w:rsid w:val="00546B7C"/>
    <w:rsid w:val="005472AF"/>
    <w:rsid w:val="005472FC"/>
    <w:rsid w:val="0054734B"/>
    <w:rsid w:val="00547588"/>
    <w:rsid w:val="00547786"/>
    <w:rsid w:val="005478C9"/>
    <w:rsid w:val="005478D9"/>
    <w:rsid w:val="0054793A"/>
    <w:rsid w:val="00547A0D"/>
    <w:rsid w:val="00547B14"/>
    <w:rsid w:val="0055006C"/>
    <w:rsid w:val="0055034E"/>
    <w:rsid w:val="005506D7"/>
    <w:rsid w:val="005508CA"/>
    <w:rsid w:val="00550992"/>
    <w:rsid w:val="00550B6F"/>
    <w:rsid w:val="00550CED"/>
    <w:rsid w:val="005512C7"/>
    <w:rsid w:val="005514B5"/>
    <w:rsid w:val="00551580"/>
    <w:rsid w:val="00551649"/>
    <w:rsid w:val="00551832"/>
    <w:rsid w:val="00552016"/>
    <w:rsid w:val="005526D0"/>
    <w:rsid w:val="005528DC"/>
    <w:rsid w:val="00552C81"/>
    <w:rsid w:val="00552EDD"/>
    <w:rsid w:val="005533D8"/>
    <w:rsid w:val="005535E3"/>
    <w:rsid w:val="00553DA1"/>
    <w:rsid w:val="00553F83"/>
    <w:rsid w:val="00553F90"/>
    <w:rsid w:val="00554026"/>
    <w:rsid w:val="00554A38"/>
    <w:rsid w:val="00555051"/>
    <w:rsid w:val="0055519F"/>
    <w:rsid w:val="005551EE"/>
    <w:rsid w:val="005555EC"/>
    <w:rsid w:val="005557EA"/>
    <w:rsid w:val="00555A1F"/>
    <w:rsid w:val="00556047"/>
    <w:rsid w:val="005561EB"/>
    <w:rsid w:val="00556858"/>
    <w:rsid w:val="00556E36"/>
    <w:rsid w:val="00557409"/>
    <w:rsid w:val="00557B6B"/>
    <w:rsid w:val="00557D18"/>
    <w:rsid w:val="00560485"/>
    <w:rsid w:val="00560560"/>
    <w:rsid w:val="00560568"/>
    <w:rsid w:val="00560595"/>
    <w:rsid w:val="005605A0"/>
    <w:rsid w:val="00560606"/>
    <w:rsid w:val="00560701"/>
    <w:rsid w:val="00560914"/>
    <w:rsid w:val="00560E4B"/>
    <w:rsid w:val="00561378"/>
    <w:rsid w:val="005616FE"/>
    <w:rsid w:val="00561772"/>
    <w:rsid w:val="00561947"/>
    <w:rsid w:val="00561B8A"/>
    <w:rsid w:val="00561E71"/>
    <w:rsid w:val="00561E93"/>
    <w:rsid w:val="00562528"/>
    <w:rsid w:val="00562806"/>
    <w:rsid w:val="00562E55"/>
    <w:rsid w:val="00562F92"/>
    <w:rsid w:val="00563351"/>
    <w:rsid w:val="00563446"/>
    <w:rsid w:val="0056352B"/>
    <w:rsid w:val="00563B5C"/>
    <w:rsid w:val="00564ACF"/>
    <w:rsid w:val="00564DB8"/>
    <w:rsid w:val="00564E17"/>
    <w:rsid w:val="00564E67"/>
    <w:rsid w:val="00565175"/>
    <w:rsid w:val="00565312"/>
    <w:rsid w:val="005654F4"/>
    <w:rsid w:val="00566293"/>
    <w:rsid w:val="00566B9F"/>
    <w:rsid w:val="00566E31"/>
    <w:rsid w:val="00566FCB"/>
    <w:rsid w:val="00567342"/>
    <w:rsid w:val="00567504"/>
    <w:rsid w:val="0056773E"/>
    <w:rsid w:val="00567871"/>
    <w:rsid w:val="00567C87"/>
    <w:rsid w:val="00567DA6"/>
    <w:rsid w:val="00570A0C"/>
    <w:rsid w:val="005711BE"/>
    <w:rsid w:val="005714EE"/>
    <w:rsid w:val="005715D5"/>
    <w:rsid w:val="0057167C"/>
    <w:rsid w:val="00571D58"/>
    <w:rsid w:val="00571E3C"/>
    <w:rsid w:val="00572248"/>
    <w:rsid w:val="00572585"/>
    <w:rsid w:val="0057263C"/>
    <w:rsid w:val="00572AE3"/>
    <w:rsid w:val="00572C0C"/>
    <w:rsid w:val="00572CA4"/>
    <w:rsid w:val="005731F1"/>
    <w:rsid w:val="0057326B"/>
    <w:rsid w:val="005732F0"/>
    <w:rsid w:val="00573E34"/>
    <w:rsid w:val="005740AA"/>
    <w:rsid w:val="005740EE"/>
    <w:rsid w:val="00574163"/>
    <w:rsid w:val="00574271"/>
    <w:rsid w:val="0057430B"/>
    <w:rsid w:val="0057439C"/>
    <w:rsid w:val="0057449A"/>
    <w:rsid w:val="005746D6"/>
    <w:rsid w:val="00574990"/>
    <w:rsid w:val="00574995"/>
    <w:rsid w:val="00574EA9"/>
    <w:rsid w:val="00575954"/>
    <w:rsid w:val="0057599A"/>
    <w:rsid w:val="00575A4C"/>
    <w:rsid w:val="00575AC1"/>
    <w:rsid w:val="0057611F"/>
    <w:rsid w:val="0057634F"/>
    <w:rsid w:val="0057684F"/>
    <w:rsid w:val="0057694D"/>
    <w:rsid w:val="00576CB9"/>
    <w:rsid w:val="0057705C"/>
    <w:rsid w:val="00577321"/>
    <w:rsid w:val="00577651"/>
    <w:rsid w:val="00577653"/>
    <w:rsid w:val="005777AE"/>
    <w:rsid w:val="005777E9"/>
    <w:rsid w:val="005800A6"/>
    <w:rsid w:val="005807EC"/>
    <w:rsid w:val="00580D0D"/>
    <w:rsid w:val="00581066"/>
    <w:rsid w:val="00581454"/>
    <w:rsid w:val="0058156A"/>
    <w:rsid w:val="00581F99"/>
    <w:rsid w:val="0058216F"/>
    <w:rsid w:val="005821CB"/>
    <w:rsid w:val="005826B8"/>
    <w:rsid w:val="00583180"/>
    <w:rsid w:val="00583183"/>
    <w:rsid w:val="00583231"/>
    <w:rsid w:val="00583697"/>
    <w:rsid w:val="00583744"/>
    <w:rsid w:val="00584152"/>
    <w:rsid w:val="00584341"/>
    <w:rsid w:val="00584FB8"/>
    <w:rsid w:val="005850EF"/>
    <w:rsid w:val="00585355"/>
    <w:rsid w:val="00585561"/>
    <w:rsid w:val="005859F0"/>
    <w:rsid w:val="00585B61"/>
    <w:rsid w:val="00586FD6"/>
    <w:rsid w:val="005870BD"/>
    <w:rsid w:val="005870E7"/>
    <w:rsid w:val="0058758F"/>
    <w:rsid w:val="005877BC"/>
    <w:rsid w:val="00587CE9"/>
    <w:rsid w:val="00587EAB"/>
    <w:rsid w:val="0059014C"/>
    <w:rsid w:val="005901E9"/>
    <w:rsid w:val="005902AE"/>
    <w:rsid w:val="005906DD"/>
    <w:rsid w:val="00590BB9"/>
    <w:rsid w:val="00590BBB"/>
    <w:rsid w:val="00590C87"/>
    <w:rsid w:val="00590D53"/>
    <w:rsid w:val="00590DF3"/>
    <w:rsid w:val="00590FB6"/>
    <w:rsid w:val="00591908"/>
    <w:rsid w:val="0059196E"/>
    <w:rsid w:val="00591F55"/>
    <w:rsid w:val="00592028"/>
    <w:rsid w:val="00592036"/>
    <w:rsid w:val="0059261F"/>
    <w:rsid w:val="00592980"/>
    <w:rsid w:val="00592BAD"/>
    <w:rsid w:val="00593096"/>
    <w:rsid w:val="00593208"/>
    <w:rsid w:val="0059365F"/>
    <w:rsid w:val="00593EA3"/>
    <w:rsid w:val="00594872"/>
    <w:rsid w:val="00594A0E"/>
    <w:rsid w:val="00594DC0"/>
    <w:rsid w:val="00595E09"/>
    <w:rsid w:val="005963F7"/>
    <w:rsid w:val="005969DB"/>
    <w:rsid w:val="005969E5"/>
    <w:rsid w:val="00596DFA"/>
    <w:rsid w:val="00596E02"/>
    <w:rsid w:val="005975A2"/>
    <w:rsid w:val="00597628"/>
    <w:rsid w:val="005977CF"/>
    <w:rsid w:val="005A01F7"/>
    <w:rsid w:val="005A0203"/>
    <w:rsid w:val="005A036C"/>
    <w:rsid w:val="005A074A"/>
    <w:rsid w:val="005A08D2"/>
    <w:rsid w:val="005A0AA4"/>
    <w:rsid w:val="005A0DB3"/>
    <w:rsid w:val="005A0F8E"/>
    <w:rsid w:val="005A11EF"/>
    <w:rsid w:val="005A13DE"/>
    <w:rsid w:val="005A179D"/>
    <w:rsid w:val="005A1C03"/>
    <w:rsid w:val="005A1CD6"/>
    <w:rsid w:val="005A1F04"/>
    <w:rsid w:val="005A29A0"/>
    <w:rsid w:val="005A2BFC"/>
    <w:rsid w:val="005A3C81"/>
    <w:rsid w:val="005A3E3C"/>
    <w:rsid w:val="005A4225"/>
    <w:rsid w:val="005A4554"/>
    <w:rsid w:val="005A4E9A"/>
    <w:rsid w:val="005A514A"/>
    <w:rsid w:val="005A5197"/>
    <w:rsid w:val="005A5B79"/>
    <w:rsid w:val="005A5C2B"/>
    <w:rsid w:val="005A5C5C"/>
    <w:rsid w:val="005A6612"/>
    <w:rsid w:val="005A670B"/>
    <w:rsid w:val="005A6716"/>
    <w:rsid w:val="005A6895"/>
    <w:rsid w:val="005A6C56"/>
    <w:rsid w:val="005A75E6"/>
    <w:rsid w:val="005A7732"/>
    <w:rsid w:val="005A7A7A"/>
    <w:rsid w:val="005B0693"/>
    <w:rsid w:val="005B071D"/>
    <w:rsid w:val="005B0C6C"/>
    <w:rsid w:val="005B0D46"/>
    <w:rsid w:val="005B0F11"/>
    <w:rsid w:val="005B0F94"/>
    <w:rsid w:val="005B1816"/>
    <w:rsid w:val="005B1882"/>
    <w:rsid w:val="005B1962"/>
    <w:rsid w:val="005B1AE1"/>
    <w:rsid w:val="005B1C11"/>
    <w:rsid w:val="005B1F35"/>
    <w:rsid w:val="005B1F6E"/>
    <w:rsid w:val="005B1FB7"/>
    <w:rsid w:val="005B2046"/>
    <w:rsid w:val="005B2077"/>
    <w:rsid w:val="005B217E"/>
    <w:rsid w:val="005B24D5"/>
    <w:rsid w:val="005B2597"/>
    <w:rsid w:val="005B2892"/>
    <w:rsid w:val="005B2B36"/>
    <w:rsid w:val="005B2B9F"/>
    <w:rsid w:val="005B313E"/>
    <w:rsid w:val="005B3187"/>
    <w:rsid w:val="005B328B"/>
    <w:rsid w:val="005B35BA"/>
    <w:rsid w:val="005B3A58"/>
    <w:rsid w:val="005B3B75"/>
    <w:rsid w:val="005B3C70"/>
    <w:rsid w:val="005B3D81"/>
    <w:rsid w:val="005B4382"/>
    <w:rsid w:val="005B441D"/>
    <w:rsid w:val="005B4D2B"/>
    <w:rsid w:val="005B5013"/>
    <w:rsid w:val="005B532B"/>
    <w:rsid w:val="005B55EF"/>
    <w:rsid w:val="005B56DD"/>
    <w:rsid w:val="005B5750"/>
    <w:rsid w:val="005B5A36"/>
    <w:rsid w:val="005B5A37"/>
    <w:rsid w:val="005B5A71"/>
    <w:rsid w:val="005B5C3F"/>
    <w:rsid w:val="005B5CC8"/>
    <w:rsid w:val="005B5F01"/>
    <w:rsid w:val="005B5FDA"/>
    <w:rsid w:val="005B6291"/>
    <w:rsid w:val="005B6425"/>
    <w:rsid w:val="005B65F0"/>
    <w:rsid w:val="005B6AB5"/>
    <w:rsid w:val="005B7520"/>
    <w:rsid w:val="005B76F2"/>
    <w:rsid w:val="005B7A0E"/>
    <w:rsid w:val="005B7B3B"/>
    <w:rsid w:val="005B7B41"/>
    <w:rsid w:val="005B7BD2"/>
    <w:rsid w:val="005C0358"/>
    <w:rsid w:val="005C03E7"/>
    <w:rsid w:val="005C0C13"/>
    <w:rsid w:val="005C0E17"/>
    <w:rsid w:val="005C109F"/>
    <w:rsid w:val="005C11E3"/>
    <w:rsid w:val="005C14D2"/>
    <w:rsid w:val="005C1602"/>
    <w:rsid w:val="005C1722"/>
    <w:rsid w:val="005C18D8"/>
    <w:rsid w:val="005C1921"/>
    <w:rsid w:val="005C197B"/>
    <w:rsid w:val="005C1AC2"/>
    <w:rsid w:val="005C1C12"/>
    <w:rsid w:val="005C1DED"/>
    <w:rsid w:val="005C2632"/>
    <w:rsid w:val="005C2766"/>
    <w:rsid w:val="005C29DE"/>
    <w:rsid w:val="005C2CDA"/>
    <w:rsid w:val="005C2EC1"/>
    <w:rsid w:val="005C306B"/>
    <w:rsid w:val="005C32C4"/>
    <w:rsid w:val="005C3887"/>
    <w:rsid w:val="005C38AE"/>
    <w:rsid w:val="005C441E"/>
    <w:rsid w:val="005C4420"/>
    <w:rsid w:val="005C4608"/>
    <w:rsid w:val="005C4930"/>
    <w:rsid w:val="005C4986"/>
    <w:rsid w:val="005C4AC8"/>
    <w:rsid w:val="005C55A0"/>
    <w:rsid w:val="005C55BE"/>
    <w:rsid w:val="005C5750"/>
    <w:rsid w:val="005C5B55"/>
    <w:rsid w:val="005C5C10"/>
    <w:rsid w:val="005C5F45"/>
    <w:rsid w:val="005C5F78"/>
    <w:rsid w:val="005C66E5"/>
    <w:rsid w:val="005C68CB"/>
    <w:rsid w:val="005C69F3"/>
    <w:rsid w:val="005C6A33"/>
    <w:rsid w:val="005C6C9C"/>
    <w:rsid w:val="005C6CB3"/>
    <w:rsid w:val="005C6D91"/>
    <w:rsid w:val="005C704D"/>
    <w:rsid w:val="005C707E"/>
    <w:rsid w:val="005C70F2"/>
    <w:rsid w:val="005C7722"/>
    <w:rsid w:val="005C7D39"/>
    <w:rsid w:val="005D011C"/>
    <w:rsid w:val="005D05CB"/>
    <w:rsid w:val="005D11A2"/>
    <w:rsid w:val="005D16E2"/>
    <w:rsid w:val="005D1ABE"/>
    <w:rsid w:val="005D1F62"/>
    <w:rsid w:val="005D2211"/>
    <w:rsid w:val="005D2367"/>
    <w:rsid w:val="005D23F1"/>
    <w:rsid w:val="005D2567"/>
    <w:rsid w:val="005D287C"/>
    <w:rsid w:val="005D28C4"/>
    <w:rsid w:val="005D33C1"/>
    <w:rsid w:val="005D3F12"/>
    <w:rsid w:val="005D4085"/>
    <w:rsid w:val="005D4305"/>
    <w:rsid w:val="005D4B0D"/>
    <w:rsid w:val="005D4B2A"/>
    <w:rsid w:val="005D4C29"/>
    <w:rsid w:val="005D4C55"/>
    <w:rsid w:val="005D4F00"/>
    <w:rsid w:val="005D53DC"/>
    <w:rsid w:val="005D57EF"/>
    <w:rsid w:val="005D5D8C"/>
    <w:rsid w:val="005D662E"/>
    <w:rsid w:val="005D6C55"/>
    <w:rsid w:val="005D6E5B"/>
    <w:rsid w:val="005D6EBE"/>
    <w:rsid w:val="005D6F26"/>
    <w:rsid w:val="005D6FD3"/>
    <w:rsid w:val="005D791C"/>
    <w:rsid w:val="005D7CB5"/>
    <w:rsid w:val="005D7CD4"/>
    <w:rsid w:val="005E0015"/>
    <w:rsid w:val="005E02AA"/>
    <w:rsid w:val="005E04D2"/>
    <w:rsid w:val="005E09F5"/>
    <w:rsid w:val="005E1592"/>
    <w:rsid w:val="005E15F5"/>
    <w:rsid w:val="005E1B87"/>
    <w:rsid w:val="005E1FDA"/>
    <w:rsid w:val="005E22AC"/>
    <w:rsid w:val="005E249F"/>
    <w:rsid w:val="005E299B"/>
    <w:rsid w:val="005E2C4A"/>
    <w:rsid w:val="005E33C9"/>
    <w:rsid w:val="005E3769"/>
    <w:rsid w:val="005E376E"/>
    <w:rsid w:val="005E37AB"/>
    <w:rsid w:val="005E39B4"/>
    <w:rsid w:val="005E3BB9"/>
    <w:rsid w:val="005E3C01"/>
    <w:rsid w:val="005E3C6F"/>
    <w:rsid w:val="005E3E26"/>
    <w:rsid w:val="005E3E37"/>
    <w:rsid w:val="005E3E56"/>
    <w:rsid w:val="005E404B"/>
    <w:rsid w:val="005E409B"/>
    <w:rsid w:val="005E41C8"/>
    <w:rsid w:val="005E4786"/>
    <w:rsid w:val="005E5103"/>
    <w:rsid w:val="005E5199"/>
    <w:rsid w:val="005E51D7"/>
    <w:rsid w:val="005E559D"/>
    <w:rsid w:val="005E5647"/>
    <w:rsid w:val="005E595C"/>
    <w:rsid w:val="005E59C0"/>
    <w:rsid w:val="005E5BDE"/>
    <w:rsid w:val="005E5EAF"/>
    <w:rsid w:val="005E5F3F"/>
    <w:rsid w:val="005E612E"/>
    <w:rsid w:val="005E616B"/>
    <w:rsid w:val="005E634C"/>
    <w:rsid w:val="005E65FE"/>
    <w:rsid w:val="005E69F5"/>
    <w:rsid w:val="005E6C38"/>
    <w:rsid w:val="005E6D56"/>
    <w:rsid w:val="005E6EA6"/>
    <w:rsid w:val="005E6FD2"/>
    <w:rsid w:val="005E709B"/>
    <w:rsid w:val="005E71B2"/>
    <w:rsid w:val="005E75FF"/>
    <w:rsid w:val="005E7610"/>
    <w:rsid w:val="005E7744"/>
    <w:rsid w:val="005E7CB8"/>
    <w:rsid w:val="005E7EDF"/>
    <w:rsid w:val="005F0023"/>
    <w:rsid w:val="005F015D"/>
    <w:rsid w:val="005F02F3"/>
    <w:rsid w:val="005F099D"/>
    <w:rsid w:val="005F1698"/>
    <w:rsid w:val="005F1773"/>
    <w:rsid w:val="005F1DF7"/>
    <w:rsid w:val="005F1E5F"/>
    <w:rsid w:val="005F20C7"/>
    <w:rsid w:val="005F2146"/>
    <w:rsid w:val="005F24ED"/>
    <w:rsid w:val="005F2B2F"/>
    <w:rsid w:val="005F2C0A"/>
    <w:rsid w:val="005F2CCA"/>
    <w:rsid w:val="005F2DB8"/>
    <w:rsid w:val="005F3065"/>
    <w:rsid w:val="005F30DA"/>
    <w:rsid w:val="005F3562"/>
    <w:rsid w:val="005F36CB"/>
    <w:rsid w:val="005F3775"/>
    <w:rsid w:val="005F37E5"/>
    <w:rsid w:val="005F40BC"/>
    <w:rsid w:val="005F4984"/>
    <w:rsid w:val="005F4BD5"/>
    <w:rsid w:val="005F4C89"/>
    <w:rsid w:val="005F4F50"/>
    <w:rsid w:val="005F508F"/>
    <w:rsid w:val="005F585A"/>
    <w:rsid w:val="005F6058"/>
    <w:rsid w:val="005F64B0"/>
    <w:rsid w:val="005F6550"/>
    <w:rsid w:val="005F6800"/>
    <w:rsid w:val="005F69EA"/>
    <w:rsid w:val="005F729F"/>
    <w:rsid w:val="005F791C"/>
    <w:rsid w:val="005F7D19"/>
    <w:rsid w:val="005F7EC3"/>
    <w:rsid w:val="005F7F46"/>
    <w:rsid w:val="006001C2"/>
    <w:rsid w:val="006001CE"/>
    <w:rsid w:val="006003F3"/>
    <w:rsid w:val="0060086E"/>
    <w:rsid w:val="00600C01"/>
    <w:rsid w:val="00600D31"/>
    <w:rsid w:val="00600FB7"/>
    <w:rsid w:val="006014A0"/>
    <w:rsid w:val="0060188E"/>
    <w:rsid w:val="00601A76"/>
    <w:rsid w:val="00601BB2"/>
    <w:rsid w:val="00601D05"/>
    <w:rsid w:val="00601D07"/>
    <w:rsid w:val="00601DF5"/>
    <w:rsid w:val="00602070"/>
    <w:rsid w:val="006022A8"/>
    <w:rsid w:val="006023A5"/>
    <w:rsid w:val="006023AA"/>
    <w:rsid w:val="00602664"/>
    <w:rsid w:val="00602757"/>
    <w:rsid w:val="00602D01"/>
    <w:rsid w:val="00602F73"/>
    <w:rsid w:val="0060326B"/>
    <w:rsid w:val="00603688"/>
    <w:rsid w:val="00603779"/>
    <w:rsid w:val="0060392C"/>
    <w:rsid w:val="006039AB"/>
    <w:rsid w:val="00603D67"/>
    <w:rsid w:val="00604478"/>
    <w:rsid w:val="00604539"/>
    <w:rsid w:val="00604837"/>
    <w:rsid w:val="00604A77"/>
    <w:rsid w:val="00604BC9"/>
    <w:rsid w:val="006052B9"/>
    <w:rsid w:val="00605319"/>
    <w:rsid w:val="006054E1"/>
    <w:rsid w:val="00605564"/>
    <w:rsid w:val="0060558C"/>
    <w:rsid w:val="006055B6"/>
    <w:rsid w:val="0060597F"/>
    <w:rsid w:val="006069D8"/>
    <w:rsid w:val="00606B72"/>
    <w:rsid w:val="00606E77"/>
    <w:rsid w:val="006073D0"/>
    <w:rsid w:val="00607E59"/>
    <w:rsid w:val="00607E85"/>
    <w:rsid w:val="00610094"/>
    <w:rsid w:val="006103A9"/>
    <w:rsid w:val="00610487"/>
    <w:rsid w:val="0061051E"/>
    <w:rsid w:val="0061152A"/>
    <w:rsid w:val="00611575"/>
    <w:rsid w:val="006118F7"/>
    <w:rsid w:val="00611AA3"/>
    <w:rsid w:val="00611E8C"/>
    <w:rsid w:val="006134F7"/>
    <w:rsid w:val="00613C19"/>
    <w:rsid w:val="00613E59"/>
    <w:rsid w:val="00614114"/>
    <w:rsid w:val="0061442C"/>
    <w:rsid w:val="006144E0"/>
    <w:rsid w:val="006145CA"/>
    <w:rsid w:val="006146E9"/>
    <w:rsid w:val="006149DF"/>
    <w:rsid w:val="00614CED"/>
    <w:rsid w:val="00614E7A"/>
    <w:rsid w:val="00615081"/>
    <w:rsid w:val="00615298"/>
    <w:rsid w:val="00615805"/>
    <w:rsid w:val="00615AB4"/>
    <w:rsid w:val="00615D4D"/>
    <w:rsid w:val="00616060"/>
    <w:rsid w:val="0061644E"/>
    <w:rsid w:val="00616542"/>
    <w:rsid w:val="00616A1C"/>
    <w:rsid w:val="00616F53"/>
    <w:rsid w:val="00617159"/>
    <w:rsid w:val="0062005A"/>
    <w:rsid w:val="00620092"/>
    <w:rsid w:val="00620150"/>
    <w:rsid w:val="0062017B"/>
    <w:rsid w:val="00620307"/>
    <w:rsid w:val="00620366"/>
    <w:rsid w:val="0062046F"/>
    <w:rsid w:val="00620933"/>
    <w:rsid w:val="00620A51"/>
    <w:rsid w:val="00620AA4"/>
    <w:rsid w:val="00620CE4"/>
    <w:rsid w:val="00620DC9"/>
    <w:rsid w:val="006211F5"/>
    <w:rsid w:val="006213A7"/>
    <w:rsid w:val="0062143C"/>
    <w:rsid w:val="006217F3"/>
    <w:rsid w:val="00621A91"/>
    <w:rsid w:val="00621C7A"/>
    <w:rsid w:val="006221C6"/>
    <w:rsid w:val="00622891"/>
    <w:rsid w:val="0062320A"/>
    <w:rsid w:val="006238BB"/>
    <w:rsid w:val="00624545"/>
    <w:rsid w:val="00624830"/>
    <w:rsid w:val="006248E0"/>
    <w:rsid w:val="00624B00"/>
    <w:rsid w:val="00624D3B"/>
    <w:rsid w:val="00624E1F"/>
    <w:rsid w:val="006252DC"/>
    <w:rsid w:val="00625427"/>
    <w:rsid w:val="0062588A"/>
    <w:rsid w:val="00625BA7"/>
    <w:rsid w:val="00625BFA"/>
    <w:rsid w:val="00625EBB"/>
    <w:rsid w:val="00625ED9"/>
    <w:rsid w:val="00626059"/>
    <w:rsid w:val="006270DA"/>
    <w:rsid w:val="00627269"/>
    <w:rsid w:val="00627514"/>
    <w:rsid w:val="00627659"/>
    <w:rsid w:val="00627D80"/>
    <w:rsid w:val="00627FA8"/>
    <w:rsid w:val="0063059B"/>
    <w:rsid w:val="00631105"/>
    <w:rsid w:val="006311A7"/>
    <w:rsid w:val="006316A4"/>
    <w:rsid w:val="00631A8A"/>
    <w:rsid w:val="00631E2D"/>
    <w:rsid w:val="0063210E"/>
    <w:rsid w:val="006321A0"/>
    <w:rsid w:val="006323F5"/>
    <w:rsid w:val="006324D8"/>
    <w:rsid w:val="00632580"/>
    <w:rsid w:val="00632F00"/>
    <w:rsid w:val="00632F04"/>
    <w:rsid w:val="0063301E"/>
    <w:rsid w:val="00633813"/>
    <w:rsid w:val="006338C3"/>
    <w:rsid w:val="00633AF1"/>
    <w:rsid w:val="00633C43"/>
    <w:rsid w:val="006344E5"/>
    <w:rsid w:val="0063497A"/>
    <w:rsid w:val="00634C6E"/>
    <w:rsid w:val="006350E4"/>
    <w:rsid w:val="00635A67"/>
    <w:rsid w:val="00635AA9"/>
    <w:rsid w:val="00635B65"/>
    <w:rsid w:val="00635F72"/>
    <w:rsid w:val="006364B2"/>
    <w:rsid w:val="006368CB"/>
    <w:rsid w:val="006369B3"/>
    <w:rsid w:val="00636ABD"/>
    <w:rsid w:val="00636FC4"/>
    <w:rsid w:val="0063714C"/>
    <w:rsid w:val="00637A6B"/>
    <w:rsid w:val="00637CEB"/>
    <w:rsid w:val="00637D08"/>
    <w:rsid w:val="006400D1"/>
    <w:rsid w:val="006404A2"/>
    <w:rsid w:val="00640C72"/>
    <w:rsid w:val="00640D79"/>
    <w:rsid w:val="006413E7"/>
    <w:rsid w:val="00641421"/>
    <w:rsid w:val="00641545"/>
    <w:rsid w:val="006416AE"/>
    <w:rsid w:val="00641A19"/>
    <w:rsid w:val="00642114"/>
    <w:rsid w:val="00642376"/>
    <w:rsid w:val="0064263D"/>
    <w:rsid w:val="0064307B"/>
    <w:rsid w:val="006433C7"/>
    <w:rsid w:val="00643457"/>
    <w:rsid w:val="006438D5"/>
    <w:rsid w:val="00643971"/>
    <w:rsid w:val="00643A58"/>
    <w:rsid w:val="00643A63"/>
    <w:rsid w:val="0064442B"/>
    <w:rsid w:val="0064497F"/>
    <w:rsid w:val="00644A66"/>
    <w:rsid w:val="00644D3A"/>
    <w:rsid w:val="0064515C"/>
    <w:rsid w:val="0064591E"/>
    <w:rsid w:val="00645B24"/>
    <w:rsid w:val="00645CD9"/>
    <w:rsid w:val="00645DDE"/>
    <w:rsid w:val="00646187"/>
    <w:rsid w:val="006467ED"/>
    <w:rsid w:val="0064722C"/>
    <w:rsid w:val="006477F8"/>
    <w:rsid w:val="00647B34"/>
    <w:rsid w:val="00647CDE"/>
    <w:rsid w:val="00647CF0"/>
    <w:rsid w:val="00647D8B"/>
    <w:rsid w:val="00647EB7"/>
    <w:rsid w:val="00647FFE"/>
    <w:rsid w:val="00650CFF"/>
    <w:rsid w:val="00650DE7"/>
    <w:rsid w:val="00650EB6"/>
    <w:rsid w:val="00651075"/>
    <w:rsid w:val="006510BB"/>
    <w:rsid w:val="006513B2"/>
    <w:rsid w:val="006515AE"/>
    <w:rsid w:val="00651AE2"/>
    <w:rsid w:val="00651B45"/>
    <w:rsid w:val="00651D72"/>
    <w:rsid w:val="00651ED9"/>
    <w:rsid w:val="006520F6"/>
    <w:rsid w:val="006523E9"/>
    <w:rsid w:val="006524A2"/>
    <w:rsid w:val="006525A3"/>
    <w:rsid w:val="00652676"/>
    <w:rsid w:val="00652E25"/>
    <w:rsid w:val="00652F06"/>
    <w:rsid w:val="006531EA"/>
    <w:rsid w:val="00653209"/>
    <w:rsid w:val="00653664"/>
    <w:rsid w:val="006538E3"/>
    <w:rsid w:val="006538E5"/>
    <w:rsid w:val="00653E55"/>
    <w:rsid w:val="00654072"/>
    <w:rsid w:val="00654256"/>
    <w:rsid w:val="0065433E"/>
    <w:rsid w:val="006544FD"/>
    <w:rsid w:val="006547DA"/>
    <w:rsid w:val="00654EC5"/>
    <w:rsid w:val="00655355"/>
    <w:rsid w:val="006553F7"/>
    <w:rsid w:val="0065605F"/>
    <w:rsid w:val="0065649E"/>
    <w:rsid w:val="00656E06"/>
    <w:rsid w:val="00656FFD"/>
    <w:rsid w:val="006572DC"/>
    <w:rsid w:val="00657413"/>
    <w:rsid w:val="00657650"/>
    <w:rsid w:val="00657A30"/>
    <w:rsid w:val="00657EED"/>
    <w:rsid w:val="00657FA9"/>
    <w:rsid w:val="00660478"/>
    <w:rsid w:val="00660B62"/>
    <w:rsid w:val="00660BF0"/>
    <w:rsid w:val="00660C52"/>
    <w:rsid w:val="00660F40"/>
    <w:rsid w:val="00661C22"/>
    <w:rsid w:val="0066224C"/>
    <w:rsid w:val="0066278E"/>
    <w:rsid w:val="00662F99"/>
    <w:rsid w:val="00663011"/>
    <w:rsid w:val="00663695"/>
    <w:rsid w:val="0066395B"/>
    <w:rsid w:val="0066396D"/>
    <w:rsid w:val="00663A5A"/>
    <w:rsid w:val="00663CF6"/>
    <w:rsid w:val="00663ECF"/>
    <w:rsid w:val="00663F07"/>
    <w:rsid w:val="00663F2B"/>
    <w:rsid w:val="00664055"/>
    <w:rsid w:val="00664B5A"/>
    <w:rsid w:val="00664DEB"/>
    <w:rsid w:val="00664E85"/>
    <w:rsid w:val="006655CA"/>
    <w:rsid w:val="006658C6"/>
    <w:rsid w:val="00665ADB"/>
    <w:rsid w:val="006660E1"/>
    <w:rsid w:val="006661FC"/>
    <w:rsid w:val="006665A8"/>
    <w:rsid w:val="006665F1"/>
    <w:rsid w:val="0066686A"/>
    <w:rsid w:val="006672ED"/>
    <w:rsid w:val="006678F3"/>
    <w:rsid w:val="00667994"/>
    <w:rsid w:val="00667B47"/>
    <w:rsid w:val="00667B7C"/>
    <w:rsid w:val="00670171"/>
    <w:rsid w:val="006710B1"/>
    <w:rsid w:val="006710F9"/>
    <w:rsid w:val="00671F3D"/>
    <w:rsid w:val="006721DE"/>
    <w:rsid w:val="0067260F"/>
    <w:rsid w:val="00672648"/>
    <w:rsid w:val="00673979"/>
    <w:rsid w:val="00673BC7"/>
    <w:rsid w:val="00673DDA"/>
    <w:rsid w:val="0067402E"/>
    <w:rsid w:val="00674359"/>
    <w:rsid w:val="00674694"/>
    <w:rsid w:val="006746FD"/>
    <w:rsid w:val="00674826"/>
    <w:rsid w:val="00675B44"/>
    <w:rsid w:val="00675C10"/>
    <w:rsid w:val="00675C90"/>
    <w:rsid w:val="00675D8B"/>
    <w:rsid w:val="006763BD"/>
    <w:rsid w:val="006767A8"/>
    <w:rsid w:val="00676950"/>
    <w:rsid w:val="00676AFC"/>
    <w:rsid w:val="00676BA7"/>
    <w:rsid w:val="00676CB5"/>
    <w:rsid w:val="00677026"/>
    <w:rsid w:val="006776D6"/>
    <w:rsid w:val="00677E72"/>
    <w:rsid w:val="00677F25"/>
    <w:rsid w:val="006802F8"/>
    <w:rsid w:val="00680380"/>
    <w:rsid w:val="00680831"/>
    <w:rsid w:val="00680ABE"/>
    <w:rsid w:val="00680AF2"/>
    <w:rsid w:val="00680ECB"/>
    <w:rsid w:val="00681758"/>
    <w:rsid w:val="0068178A"/>
    <w:rsid w:val="00681CC8"/>
    <w:rsid w:val="00681CD6"/>
    <w:rsid w:val="00681D34"/>
    <w:rsid w:val="00681F1B"/>
    <w:rsid w:val="00682115"/>
    <w:rsid w:val="006821A8"/>
    <w:rsid w:val="00682333"/>
    <w:rsid w:val="006823D2"/>
    <w:rsid w:val="006823ED"/>
    <w:rsid w:val="006823F8"/>
    <w:rsid w:val="006824AD"/>
    <w:rsid w:val="006827AB"/>
    <w:rsid w:val="00682CCB"/>
    <w:rsid w:val="00682F2B"/>
    <w:rsid w:val="00683108"/>
    <w:rsid w:val="00683214"/>
    <w:rsid w:val="006832DE"/>
    <w:rsid w:val="00683479"/>
    <w:rsid w:val="0068369B"/>
    <w:rsid w:val="00683B49"/>
    <w:rsid w:val="00683D41"/>
    <w:rsid w:val="00684135"/>
    <w:rsid w:val="00684570"/>
    <w:rsid w:val="006847A2"/>
    <w:rsid w:val="00684D74"/>
    <w:rsid w:val="006851D6"/>
    <w:rsid w:val="006863DF"/>
    <w:rsid w:val="00686E50"/>
    <w:rsid w:val="00686E98"/>
    <w:rsid w:val="0068765F"/>
    <w:rsid w:val="0068793D"/>
    <w:rsid w:val="006879FC"/>
    <w:rsid w:val="00687CC8"/>
    <w:rsid w:val="00687EEB"/>
    <w:rsid w:val="00690057"/>
    <w:rsid w:val="006900F5"/>
    <w:rsid w:val="006903F6"/>
    <w:rsid w:val="0069071B"/>
    <w:rsid w:val="00690A4A"/>
    <w:rsid w:val="00690A75"/>
    <w:rsid w:val="00690C53"/>
    <w:rsid w:val="00691568"/>
    <w:rsid w:val="00691682"/>
    <w:rsid w:val="00691816"/>
    <w:rsid w:val="00693480"/>
    <w:rsid w:val="006934D4"/>
    <w:rsid w:val="006934D7"/>
    <w:rsid w:val="0069362A"/>
    <w:rsid w:val="006938D2"/>
    <w:rsid w:val="00693A93"/>
    <w:rsid w:val="0069453B"/>
    <w:rsid w:val="0069499B"/>
    <w:rsid w:val="006949D3"/>
    <w:rsid w:val="00694AB8"/>
    <w:rsid w:val="00694CAE"/>
    <w:rsid w:val="00694F08"/>
    <w:rsid w:val="00694F89"/>
    <w:rsid w:val="006950C4"/>
    <w:rsid w:val="00695400"/>
    <w:rsid w:val="00695838"/>
    <w:rsid w:val="0069636C"/>
    <w:rsid w:val="00696370"/>
    <w:rsid w:val="00696582"/>
    <w:rsid w:val="00696703"/>
    <w:rsid w:val="0069682D"/>
    <w:rsid w:val="006969CD"/>
    <w:rsid w:val="00696D73"/>
    <w:rsid w:val="00696E0C"/>
    <w:rsid w:val="00696EC5"/>
    <w:rsid w:val="00697225"/>
    <w:rsid w:val="00697878"/>
    <w:rsid w:val="006A087D"/>
    <w:rsid w:val="006A0B8D"/>
    <w:rsid w:val="006A0EB0"/>
    <w:rsid w:val="006A117B"/>
    <w:rsid w:val="006A11F4"/>
    <w:rsid w:val="006A153D"/>
    <w:rsid w:val="006A16C1"/>
    <w:rsid w:val="006A17E4"/>
    <w:rsid w:val="006A189C"/>
    <w:rsid w:val="006A18A3"/>
    <w:rsid w:val="006A18B8"/>
    <w:rsid w:val="006A1A9C"/>
    <w:rsid w:val="006A1B9F"/>
    <w:rsid w:val="006A1D4A"/>
    <w:rsid w:val="006A24A2"/>
    <w:rsid w:val="006A2B1E"/>
    <w:rsid w:val="006A2E97"/>
    <w:rsid w:val="006A2FAC"/>
    <w:rsid w:val="006A32F8"/>
    <w:rsid w:val="006A3823"/>
    <w:rsid w:val="006A452A"/>
    <w:rsid w:val="006A4887"/>
    <w:rsid w:val="006A49F1"/>
    <w:rsid w:val="006A4B3F"/>
    <w:rsid w:val="006A4D70"/>
    <w:rsid w:val="006A54CF"/>
    <w:rsid w:val="006A551E"/>
    <w:rsid w:val="006A5712"/>
    <w:rsid w:val="006A5A57"/>
    <w:rsid w:val="006A5AF6"/>
    <w:rsid w:val="006A5B9E"/>
    <w:rsid w:val="006A6101"/>
    <w:rsid w:val="006A66DE"/>
    <w:rsid w:val="006A6B66"/>
    <w:rsid w:val="006A708F"/>
    <w:rsid w:val="006A7F33"/>
    <w:rsid w:val="006B0164"/>
    <w:rsid w:val="006B08AD"/>
    <w:rsid w:val="006B0A2A"/>
    <w:rsid w:val="006B0BA6"/>
    <w:rsid w:val="006B13B2"/>
    <w:rsid w:val="006B153B"/>
    <w:rsid w:val="006B1903"/>
    <w:rsid w:val="006B1989"/>
    <w:rsid w:val="006B1AD7"/>
    <w:rsid w:val="006B2004"/>
    <w:rsid w:val="006B26B6"/>
    <w:rsid w:val="006B26C4"/>
    <w:rsid w:val="006B2783"/>
    <w:rsid w:val="006B281E"/>
    <w:rsid w:val="006B2830"/>
    <w:rsid w:val="006B289F"/>
    <w:rsid w:val="006B2C66"/>
    <w:rsid w:val="006B325D"/>
    <w:rsid w:val="006B3552"/>
    <w:rsid w:val="006B391C"/>
    <w:rsid w:val="006B3AFC"/>
    <w:rsid w:val="006B40F4"/>
    <w:rsid w:val="006B44F9"/>
    <w:rsid w:val="006B4607"/>
    <w:rsid w:val="006B4BD9"/>
    <w:rsid w:val="006B4FD9"/>
    <w:rsid w:val="006B54A1"/>
    <w:rsid w:val="006B5B35"/>
    <w:rsid w:val="006B6234"/>
    <w:rsid w:val="006B626C"/>
    <w:rsid w:val="006B62B9"/>
    <w:rsid w:val="006B6D7D"/>
    <w:rsid w:val="006B7495"/>
    <w:rsid w:val="006B7ADE"/>
    <w:rsid w:val="006B7F76"/>
    <w:rsid w:val="006C04E3"/>
    <w:rsid w:val="006C0521"/>
    <w:rsid w:val="006C0CCC"/>
    <w:rsid w:val="006C1380"/>
    <w:rsid w:val="006C1A82"/>
    <w:rsid w:val="006C1AAC"/>
    <w:rsid w:val="006C1F59"/>
    <w:rsid w:val="006C2416"/>
    <w:rsid w:val="006C2515"/>
    <w:rsid w:val="006C3426"/>
    <w:rsid w:val="006C3ED3"/>
    <w:rsid w:val="006C4372"/>
    <w:rsid w:val="006C4508"/>
    <w:rsid w:val="006C45FF"/>
    <w:rsid w:val="006C4B97"/>
    <w:rsid w:val="006C4EC8"/>
    <w:rsid w:val="006C5039"/>
    <w:rsid w:val="006C567E"/>
    <w:rsid w:val="006C59A7"/>
    <w:rsid w:val="006C5B24"/>
    <w:rsid w:val="006C5C74"/>
    <w:rsid w:val="006C643A"/>
    <w:rsid w:val="006C655B"/>
    <w:rsid w:val="006C6C09"/>
    <w:rsid w:val="006C6E74"/>
    <w:rsid w:val="006C71F5"/>
    <w:rsid w:val="006C73BC"/>
    <w:rsid w:val="006C7407"/>
    <w:rsid w:val="006C7447"/>
    <w:rsid w:val="006C74F9"/>
    <w:rsid w:val="006C7652"/>
    <w:rsid w:val="006C780F"/>
    <w:rsid w:val="006C7E46"/>
    <w:rsid w:val="006C7EDE"/>
    <w:rsid w:val="006C7FCE"/>
    <w:rsid w:val="006D1037"/>
    <w:rsid w:val="006D16F5"/>
    <w:rsid w:val="006D1826"/>
    <w:rsid w:val="006D1F96"/>
    <w:rsid w:val="006D2059"/>
    <w:rsid w:val="006D211D"/>
    <w:rsid w:val="006D2492"/>
    <w:rsid w:val="006D2A89"/>
    <w:rsid w:val="006D2C28"/>
    <w:rsid w:val="006D2E8D"/>
    <w:rsid w:val="006D34C9"/>
    <w:rsid w:val="006D363A"/>
    <w:rsid w:val="006D38BE"/>
    <w:rsid w:val="006D38DA"/>
    <w:rsid w:val="006D38E6"/>
    <w:rsid w:val="006D3F6C"/>
    <w:rsid w:val="006D42F4"/>
    <w:rsid w:val="006D4C24"/>
    <w:rsid w:val="006D5136"/>
    <w:rsid w:val="006D5C59"/>
    <w:rsid w:val="006D6358"/>
    <w:rsid w:val="006D6665"/>
    <w:rsid w:val="006D68B9"/>
    <w:rsid w:val="006D69DF"/>
    <w:rsid w:val="006D6FF1"/>
    <w:rsid w:val="006D736A"/>
    <w:rsid w:val="006D765F"/>
    <w:rsid w:val="006D7845"/>
    <w:rsid w:val="006E051B"/>
    <w:rsid w:val="006E05A0"/>
    <w:rsid w:val="006E07DA"/>
    <w:rsid w:val="006E08AE"/>
    <w:rsid w:val="006E0F9A"/>
    <w:rsid w:val="006E1484"/>
    <w:rsid w:val="006E1781"/>
    <w:rsid w:val="006E195D"/>
    <w:rsid w:val="006E1DB3"/>
    <w:rsid w:val="006E1F2D"/>
    <w:rsid w:val="006E2650"/>
    <w:rsid w:val="006E2856"/>
    <w:rsid w:val="006E2E13"/>
    <w:rsid w:val="006E2EEE"/>
    <w:rsid w:val="006E3350"/>
    <w:rsid w:val="006E3379"/>
    <w:rsid w:val="006E33B0"/>
    <w:rsid w:val="006E36DB"/>
    <w:rsid w:val="006E3D11"/>
    <w:rsid w:val="006E405D"/>
    <w:rsid w:val="006E4368"/>
    <w:rsid w:val="006E4369"/>
    <w:rsid w:val="006E4440"/>
    <w:rsid w:val="006E4C15"/>
    <w:rsid w:val="006E4FA8"/>
    <w:rsid w:val="006E5912"/>
    <w:rsid w:val="006E607D"/>
    <w:rsid w:val="006E6102"/>
    <w:rsid w:val="006E632C"/>
    <w:rsid w:val="006E6580"/>
    <w:rsid w:val="006E68DA"/>
    <w:rsid w:val="006E6A31"/>
    <w:rsid w:val="006E6FD2"/>
    <w:rsid w:val="006E7440"/>
    <w:rsid w:val="006E76A6"/>
    <w:rsid w:val="006E7C45"/>
    <w:rsid w:val="006E7F5D"/>
    <w:rsid w:val="006F0092"/>
    <w:rsid w:val="006F0203"/>
    <w:rsid w:val="006F04AE"/>
    <w:rsid w:val="006F07D3"/>
    <w:rsid w:val="006F08C3"/>
    <w:rsid w:val="006F0954"/>
    <w:rsid w:val="006F0B33"/>
    <w:rsid w:val="006F124D"/>
    <w:rsid w:val="006F14B3"/>
    <w:rsid w:val="006F14E8"/>
    <w:rsid w:val="006F16CD"/>
    <w:rsid w:val="006F17E1"/>
    <w:rsid w:val="006F1E5F"/>
    <w:rsid w:val="006F27BA"/>
    <w:rsid w:val="006F27C6"/>
    <w:rsid w:val="006F2810"/>
    <w:rsid w:val="006F37A1"/>
    <w:rsid w:val="006F37EF"/>
    <w:rsid w:val="006F3EC8"/>
    <w:rsid w:val="006F40A8"/>
    <w:rsid w:val="006F4820"/>
    <w:rsid w:val="006F4AE0"/>
    <w:rsid w:val="006F4DA6"/>
    <w:rsid w:val="006F504A"/>
    <w:rsid w:val="006F522F"/>
    <w:rsid w:val="006F5355"/>
    <w:rsid w:val="006F5381"/>
    <w:rsid w:val="006F58F6"/>
    <w:rsid w:val="006F5977"/>
    <w:rsid w:val="006F5ACF"/>
    <w:rsid w:val="006F5D4C"/>
    <w:rsid w:val="006F5DD1"/>
    <w:rsid w:val="006F62FC"/>
    <w:rsid w:val="006F6443"/>
    <w:rsid w:val="006F77AD"/>
    <w:rsid w:val="006F79EE"/>
    <w:rsid w:val="006F7C9B"/>
    <w:rsid w:val="006F7CB9"/>
    <w:rsid w:val="006F7E22"/>
    <w:rsid w:val="006F7FB9"/>
    <w:rsid w:val="007001D5"/>
    <w:rsid w:val="00700303"/>
    <w:rsid w:val="007006F1"/>
    <w:rsid w:val="00700A70"/>
    <w:rsid w:val="00700DD4"/>
    <w:rsid w:val="00700E88"/>
    <w:rsid w:val="0070148B"/>
    <w:rsid w:val="00701A9D"/>
    <w:rsid w:val="00702A93"/>
    <w:rsid w:val="00703226"/>
    <w:rsid w:val="0070398D"/>
    <w:rsid w:val="00703CAF"/>
    <w:rsid w:val="00703E2D"/>
    <w:rsid w:val="0070454C"/>
    <w:rsid w:val="0070474A"/>
    <w:rsid w:val="0070487A"/>
    <w:rsid w:val="00704E1B"/>
    <w:rsid w:val="00704EA6"/>
    <w:rsid w:val="00704FA4"/>
    <w:rsid w:val="0070527E"/>
    <w:rsid w:val="0070540B"/>
    <w:rsid w:val="00705999"/>
    <w:rsid w:val="00705C19"/>
    <w:rsid w:val="00705FEC"/>
    <w:rsid w:val="00706032"/>
    <w:rsid w:val="007062CE"/>
    <w:rsid w:val="00706366"/>
    <w:rsid w:val="00706368"/>
    <w:rsid w:val="00706ACD"/>
    <w:rsid w:val="00706D34"/>
    <w:rsid w:val="00706DCB"/>
    <w:rsid w:val="00707220"/>
    <w:rsid w:val="00711019"/>
    <w:rsid w:val="0071114E"/>
    <w:rsid w:val="0071123B"/>
    <w:rsid w:val="007113B5"/>
    <w:rsid w:val="0071145C"/>
    <w:rsid w:val="0071176E"/>
    <w:rsid w:val="0071193A"/>
    <w:rsid w:val="00711CAF"/>
    <w:rsid w:val="00711E84"/>
    <w:rsid w:val="00711FFC"/>
    <w:rsid w:val="007126A5"/>
    <w:rsid w:val="007127A5"/>
    <w:rsid w:val="007127F4"/>
    <w:rsid w:val="00712866"/>
    <w:rsid w:val="007129CD"/>
    <w:rsid w:val="007134A1"/>
    <w:rsid w:val="007135AD"/>
    <w:rsid w:val="00713968"/>
    <w:rsid w:val="0071457A"/>
    <w:rsid w:val="00714706"/>
    <w:rsid w:val="0071472C"/>
    <w:rsid w:val="00714813"/>
    <w:rsid w:val="00714AE1"/>
    <w:rsid w:val="00714EC6"/>
    <w:rsid w:val="007159AB"/>
    <w:rsid w:val="007159CB"/>
    <w:rsid w:val="007159CC"/>
    <w:rsid w:val="00715B46"/>
    <w:rsid w:val="00715DD7"/>
    <w:rsid w:val="00715F5F"/>
    <w:rsid w:val="00715FCC"/>
    <w:rsid w:val="00716CAC"/>
    <w:rsid w:val="00716F1D"/>
    <w:rsid w:val="0071715E"/>
    <w:rsid w:val="00717688"/>
    <w:rsid w:val="00717B04"/>
    <w:rsid w:val="00717B6E"/>
    <w:rsid w:val="00717BE5"/>
    <w:rsid w:val="00717C78"/>
    <w:rsid w:val="00717C7D"/>
    <w:rsid w:val="00717FE7"/>
    <w:rsid w:val="00720085"/>
    <w:rsid w:val="0072090D"/>
    <w:rsid w:val="00720FDC"/>
    <w:rsid w:val="00721684"/>
    <w:rsid w:val="00721762"/>
    <w:rsid w:val="007219EE"/>
    <w:rsid w:val="00721A36"/>
    <w:rsid w:val="00721A74"/>
    <w:rsid w:val="00721DBC"/>
    <w:rsid w:val="007222BC"/>
    <w:rsid w:val="007229B8"/>
    <w:rsid w:val="00723389"/>
    <w:rsid w:val="007235FB"/>
    <w:rsid w:val="00723670"/>
    <w:rsid w:val="00723C2E"/>
    <w:rsid w:val="00723EF9"/>
    <w:rsid w:val="00724307"/>
    <w:rsid w:val="007247C9"/>
    <w:rsid w:val="0072484F"/>
    <w:rsid w:val="00724A7D"/>
    <w:rsid w:val="007255DF"/>
    <w:rsid w:val="0072567B"/>
    <w:rsid w:val="0072570E"/>
    <w:rsid w:val="00725B83"/>
    <w:rsid w:val="00726172"/>
    <w:rsid w:val="007263D9"/>
    <w:rsid w:val="00726753"/>
    <w:rsid w:val="00726EDA"/>
    <w:rsid w:val="00726F87"/>
    <w:rsid w:val="00727197"/>
    <w:rsid w:val="00727390"/>
    <w:rsid w:val="00727528"/>
    <w:rsid w:val="0072777D"/>
    <w:rsid w:val="0072777F"/>
    <w:rsid w:val="00727AAB"/>
    <w:rsid w:val="00727CD1"/>
    <w:rsid w:val="00727D4D"/>
    <w:rsid w:val="0073012B"/>
    <w:rsid w:val="00730301"/>
    <w:rsid w:val="00730462"/>
    <w:rsid w:val="0073051A"/>
    <w:rsid w:val="00730702"/>
    <w:rsid w:val="00730B7E"/>
    <w:rsid w:val="00730C38"/>
    <w:rsid w:val="00730C5B"/>
    <w:rsid w:val="007315ED"/>
    <w:rsid w:val="00731653"/>
    <w:rsid w:val="007318E5"/>
    <w:rsid w:val="00731923"/>
    <w:rsid w:val="00731AB5"/>
    <w:rsid w:val="0073288C"/>
    <w:rsid w:val="007329DE"/>
    <w:rsid w:val="00732BA4"/>
    <w:rsid w:val="00732FC2"/>
    <w:rsid w:val="007337C5"/>
    <w:rsid w:val="00733A59"/>
    <w:rsid w:val="0073400F"/>
    <w:rsid w:val="00734265"/>
    <w:rsid w:val="0073427E"/>
    <w:rsid w:val="007342C9"/>
    <w:rsid w:val="007343D8"/>
    <w:rsid w:val="00735103"/>
    <w:rsid w:val="0073556E"/>
    <w:rsid w:val="0073558C"/>
    <w:rsid w:val="0073584C"/>
    <w:rsid w:val="00736498"/>
    <w:rsid w:val="00736587"/>
    <w:rsid w:val="007366F1"/>
    <w:rsid w:val="0073685A"/>
    <w:rsid w:val="00736AC2"/>
    <w:rsid w:val="00736DA1"/>
    <w:rsid w:val="00737B5A"/>
    <w:rsid w:val="00737BFA"/>
    <w:rsid w:val="00737ED0"/>
    <w:rsid w:val="0074095D"/>
    <w:rsid w:val="00740A52"/>
    <w:rsid w:val="00740D0A"/>
    <w:rsid w:val="00740D86"/>
    <w:rsid w:val="00741091"/>
    <w:rsid w:val="007416D9"/>
    <w:rsid w:val="00741D9F"/>
    <w:rsid w:val="00741FFD"/>
    <w:rsid w:val="007420F9"/>
    <w:rsid w:val="0074242A"/>
    <w:rsid w:val="0074248D"/>
    <w:rsid w:val="00742E08"/>
    <w:rsid w:val="00742E7C"/>
    <w:rsid w:val="00742FD6"/>
    <w:rsid w:val="0074337C"/>
    <w:rsid w:val="007441D6"/>
    <w:rsid w:val="00744274"/>
    <w:rsid w:val="0074461B"/>
    <w:rsid w:val="007448FB"/>
    <w:rsid w:val="0074490E"/>
    <w:rsid w:val="00744930"/>
    <w:rsid w:val="00744E0E"/>
    <w:rsid w:val="00745008"/>
    <w:rsid w:val="00745108"/>
    <w:rsid w:val="0074540B"/>
    <w:rsid w:val="007454FE"/>
    <w:rsid w:val="00745BE7"/>
    <w:rsid w:val="00745C76"/>
    <w:rsid w:val="00745C9B"/>
    <w:rsid w:val="00745E7A"/>
    <w:rsid w:val="0074692B"/>
    <w:rsid w:val="00746AD3"/>
    <w:rsid w:val="00746EE0"/>
    <w:rsid w:val="00746FD4"/>
    <w:rsid w:val="00747761"/>
    <w:rsid w:val="007478FE"/>
    <w:rsid w:val="00747CB1"/>
    <w:rsid w:val="00747D41"/>
    <w:rsid w:val="007502D1"/>
    <w:rsid w:val="00750495"/>
    <w:rsid w:val="00750679"/>
    <w:rsid w:val="0075073C"/>
    <w:rsid w:val="007507D4"/>
    <w:rsid w:val="007507FE"/>
    <w:rsid w:val="00750828"/>
    <w:rsid w:val="00750AEA"/>
    <w:rsid w:val="00750E67"/>
    <w:rsid w:val="00750EDC"/>
    <w:rsid w:val="00751951"/>
    <w:rsid w:val="00751B7F"/>
    <w:rsid w:val="00751D35"/>
    <w:rsid w:val="007520ED"/>
    <w:rsid w:val="007523D5"/>
    <w:rsid w:val="007525EA"/>
    <w:rsid w:val="007528AF"/>
    <w:rsid w:val="00752B49"/>
    <w:rsid w:val="00752D2C"/>
    <w:rsid w:val="00752DAB"/>
    <w:rsid w:val="00752EFE"/>
    <w:rsid w:val="00753B13"/>
    <w:rsid w:val="00753EF7"/>
    <w:rsid w:val="007544F4"/>
    <w:rsid w:val="00755022"/>
    <w:rsid w:val="00755183"/>
    <w:rsid w:val="0075571C"/>
    <w:rsid w:val="007559B0"/>
    <w:rsid w:val="00755B2D"/>
    <w:rsid w:val="007562A9"/>
    <w:rsid w:val="007562E9"/>
    <w:rsid w:val="00756491"/>
    <w:rsid w:val="00756698"/>
    <w:rsid w:val="00756ABC"/>
    <w:rsid w:val="007577F5"/>
    <w:rsid w:val="00757A5E"/>
    <w:rsid w:val="0076011B"/>
    <w:rsid w:val="00760D2F"/>
    <w:rsid w:val="00761999"/>
    <w:rsid w:val="00761A7B"/>
    <w:rsid w:val="00761C0D"/>
    <w:rsid w:val="00761CCC"/>
    <w:rsid w:val="00761D13"/>
    <w:rsid w:val="00762220"/>
    <w:rsid w:val="00762490"/>
    <w:rsid w:val="00762768"/>
    <w:rsid w:val="007629A8"/>
    <w:rsid w:val="00762B2D"/>
    <w:rsid w:val="00762B5F"/>
    <w:rsid w:val="00763010"/>
    <w:rsid w:val="0076369D"/>
    <w:rsid w:val="00763814"/>
    <w:rsid w:val="0076476E"/>
    <w:rsid w:val="007648D0"/>
    <w:rsid w:val="007652ED"/>
    <w:rsid w:val="0076533F"/>
    <w:rsid w:val="00765470"/>
    <w:rsid w:val="00765689"/>
    <w:rsid w:val="00765739"/>
    <w:rsid w:val="00765A1A"/>
    <w:rsid w:val="00765CF4"/>
    <w:rsid w:val="00765D51"/>
    <w:rsid w:val="00765F6E"/>
    <w:rsid w:val="007662A6"/>
    <w:rsid w:val="00766B81"/>
    <w:rsid w:val="00766BC4"/>
    <w:rsid w:val="00767231"/>
    <w:rsid w:val="00767329"/>
    <w:rsid w:val="007674FB"/>
    <w:rsid w:val="00767925"/>
    <w:rsid w:val="00767BD1"/>
    <w:rsid w:val="007707C5"/>
    <w:rsid w:val="00770A92"/>
    <w:rsid w:val="00770DC0"/>
    <w:rsid w:val="00770F0B"/>
    <w:rsid w:val="00770F3C"/>
    <w:rsid w:val="007712E7"/>
    <w:rsid w:val="00771331"/>
    <w:rsid w:val="00771917"/>
    <w:rsid w:val="00771D25"/>
    <w:rsid w:val="007722F4"/>
    <w:rsid w:val="0077299C"/>
    <w:rsid w:val="00772AC2"/>
    <w:rsid w:val="00772FDF"/>
    <w:rsid w:val="00773817"/>
    <w:rsid w:val="00773856"/>
    <w:rsid w:val="00773E69"/>
    <w:rsid w:val="00773FFD"/>
    <w:rsid w:val="0077417F"/>
    <w:rsid w:val="0077434A"/>
    <w:rsid w:val="00774532"/>
    <w:rsid w:val="00774802"/>
    <w:rsid w:val="00774869"/>
    <w:rsid w:val="00775A4F"/>
    <w:rsid w:val="00775B45"/>
    <w:rsid w:val="00775B51"/>
    <w:rsid w:val="00775E12"/>
    <w:rsid w:val="00776037"/>
    <w:rsid w:val="007762A6"/>
    <w:rsid w:val="007767A1"/>
    <w:rsid w:val="007768D1"/>
    <w:rsid w:val="00777040"/>
    <w:rsid w:val="007771BD"/>
    <w:rsid w:val="007772AA"/>
    <w:rsid w:val="0077744C"/>
    <w:rsid w:val="00777C6E"/>
    <w:rsid w:val="00777EA9"/>
    <w:rsid w:val="0078021A"/>
    <w:rsid w:val="0078049E"/>
    <w:rsid w:val="00780BE8"/>
    <w:rsid w:val="00780C72"/>
    <w:rsid w:val="00781015"/>
    <w:rsid w:val="007816DD"/>
    <w:rsid w:val="00781EB9"/>
    <w:rsid w:val="0078218C"/>
    <w:rsid w:val="0078251C"/>
    <w:rsid w:val="0078284E"/>
    <w:rsid w:val="00782D13"/>
    <w:rsid w:val="00782F6C"/>
    <w:rsid w:val="00783065"/>
    <w:rsid w:val="0078326A"/>
    <w:rsid w:val="00783488"/>
    <w:rsid w:val="007834A4"/>
    <w:rsid w:val="007838A3"/>
    <w:rsid w:val="00783A58"/>
    <w:rsid w:val="00783E4E"/>
    <w:rsid w:val="0078400A"/>
    <w:rsid w:val="0078427A"/>
    <w:rsid w:val="0078435F"/>
    <w:rsid w:val="007843E7"/>
    <w:rsid w:val="00784CEE"/>
    <w:rsid w:val="00784D65"/>
    <w:rsid w:val="00784EB4"/>
    <w:rsid w:val="007850B1"/>
    <w:rsid w:val="007854B9"/>
    <w:rsid w:val="00785567"/>
    <w:rsid w:val="00785673"/>
    <w:rsid w:val="007857A3"/>
    <w:rsid w:val="00785909"/>
    <w:rsid w:val="0078593B"/>
    <w:rsid w:val="00785CCB"/>
    <w:rsid w:val="00785D7F"/>
    <w:rsid w:val="00785F06"/>
    <w:rsid w:val="007861E1"/>
    <w:rsid w:val="007862DD"/>
    <w:rsid w:val="007868E9"/>
    <w:rsid w:val="007870C8"/>
    <w:rsid w:val="007871AB"/>
    <w:rsid w:val="00787431"/>
    <w:rsid w:val="007875D0"/>
    <w:rsid w:val="00787A42"/>
    <w:rsid w:val="00787B6C"/>
    <w:rsid w:val="00787E16"/>
    <w:rsid w:val="00790169"/>
    <w:rsid w:val="0079020B"/>
    <w:rsid w:val="007908A3"/>
    <w:rsid w:val="00790B7A"/>
    <w:rsid w:val="00790EA6"/>
    <w:rsid w:val="00790F8F"/>
    <w:rsid w:val="00791076"/>
    <w:rsid w:val="007911BA"/>
    <w:rsid w:val="007914A3"/>
    <w:rsid w:val="007914E0"/>
    <w:rsid w:val="00791549"/>
    <w:rsid w:val="00791729"/>
    <w:rsid w:val="00791A94"/>
    <w:rsid w:val="00791B62"/>
    <w:rsid w:val="007921EA"/>
    <w:rsid w:val="007922C7"/>
    <w:rsid w:val="007922EE"/>
    <w:rsid w:val="00792591"/>
    <w:rsid w:val="0079266A"/>
    <w:rsid w:val="007928A6"/>
    <w:rsid w:val="007928B4"/>
    <w:rsid w:val="00792B5B"/>
    <w:rsid w:val="00792CC3"/>
    <w:rsid w:val="00792E5B"/>
    <w:rsid w:val="00793280"/>
    <w:rsid w:val="00793575"/>
    <w:rsid w:val="007939DB"/>
    <w:rsid w:val="00793A09"/>
    <w:rsid w:val="00793BB5"/>
    <w:rsid w:val="007940F3"/>
    <w:rsid w:val="007940F7"/>
    <w:rsid w:val="007943B5"/>
    <w:rsid w:val="007945F9"/>
    <w:rsid w:val="00794AED"/>
    <w:rsid w:val="00794D4E"/>
    <w:rsid w:val="0079521F"/>
    <w:rsid w:val="0079526E"/>
    <w:rsid w:val="00795348"/>
    <w:rsid w:val="00795C54"/>
    <w:rsid w:val="00795CC2"/>
    <w:rsid w:val="00795D58"/>
    <w:rsid w:val="007962B6"/>
    <w:rsid w:val="00796848"/>
    <w:rsid w:val="007968FD"/>
    <w:rsid w:val="00796E33"/>
    <w:rsid w:val="0079706D"/>
    <w:rsid w:val="0079739C"/>
    <w:rsid w:val="007973A8"/>
    <w:rsid w:val="007975D2"/>
    <w:rsid w:val="00797C17"/>
    <w:rsid w:val="00797C49"/>
    <w:rsid w:val="00797C87"/>
    <w:rsid w:val="00797DE5"/>
    <w:rsid w:val="00797FD7"/>
    <w:rsid w:val="007A0224"/>
    <w:rsid w:val="007A0264"/>
    <w:rsid w:val="007A030C"/>
    <w:rsid w:val="007A04BE"/>
    <w:rsid w:val="007A05B9"/>
    <w:rsid w:val="007A0C72"/>
    <w:rsid w:val="007A16C4"/>
    <w:rsid w:val="007A1B12"/>
    <w:rsid w:val="007A1E1B"/>
    <w:rsid w:val="007A1E52"/>
    <w:rsid w:val="007A1E98"/>
    <w:rsid w:val="007A1EF9"/>
    <w:rsid w:val="007A1F63"/>
    <w:rsid w:val="007A20F9"/>
    <w:rsid w:val="007A22A7"/>
    <w:rsid w:val="007A2358"/>
    <w:rsid w:val="007A23BF"/>
    <w:rsid w:val="007A2462"/>
    <w:rsid w:val="007A25B2"/>
    <w:rsid w:val="007A274B"/>
    <w:rsid w:val="007A2D1A"/>
    <w:rsid w:val="007A330C"/>
    <w:rsid w:val="007A332C"/>
    <w:rsid w:val="007A33E0"/>
    <w:rsid w:val="007A35D5"/>
    <w:rsid w:val="007A35E0"/>
    <w:rsid w:val="007A3A2E"/>
    <w:rsid w:val="007A3A6A"/>
    <w:rsid w:val="007A3CEA"/>
    <w:rsid w:val="007A3D46"/>
    <w:rsid w:val="007A3F48"/>
    <w:rsid w:val="007A43C0"/>
    <w:rsid w:val="007A45A5"/>
    <w:rsid w:val="007A50E1"/>
    <w:rsid w:val="007A5126"/>
    <w:rsid w:val="007A52C2"/>
    <w:rsid w:val="007A53D8"/>
    <w:rsid w:val="007A53E9"/>
    <w:rsid w:val="007A572E"/>
    <w:rsid w:val="007A5E1A"/>
    <w:rsid w:val="007A62C9"/>
    <w:rsid w:val="007A64A2"/>
    <w:rsid w:val="007A64B3"/>
    <w:rsid w:val="007A65B3"/>
    <w:rsid w:val="007A6BA3"/>
    <w:rsid w:val="007A6C8D"/>
    <w:rsid w:val="007A6CB2"/>
    <w:rsid w:val="007A7C17"/>
    <w:rsid w:val="007A7EDE"/>
    <w:rsid w:val="007A7FCD"/>
    <w:rsid w:val="007B038D"/>
    <w:rsid w:val="007B0A94"/>
    <w:rsid w:val="007B0B28"/>
    <w:rsid w:val="007B0D07"/>
    <w:rsid w:val="007B0FB0"/>
    <w:rsid w:val="007B0FEB"/>
    <w:rsid w:val="007B141B"/>
    <w:rsid w:val="007B144A"/>
    <w:rsid w:val="007B196B"/>
    <w:rsid w:val="007B1CB3"/>
    <w:rsid w:val="007B2008"/>
    <w:rsid w:val="007B20CC"/>
    <w:rsid w:val="007B2316"/>
    <w:rsid w:val="007B25B2"/>
    <w:rsid w:val="007B2FA5"/>
    <w:rsid w:val="007B3311"/>
    <w:rsid w:val="007B338C"/>
    <w:rsid w:val="007B33B3"/>
    <w:rsid w:val="007B352B"/>
    <w:rsid w:val="007B39DB"/>
    <w:rsid w:val="007B3B39"/>
    <w:rsid w:val="007B3B61"/>
    <w:rsid w:val="007B3B9E"/>
    <w:rsid w:val="007B3E04"/>
    <w:rsid w:val="007B3EBC"/>
    <w:rsid w:val="007B3F68"/>
    <w:rsid w:val="007B413E"/>
    <w:rsid w:val="007B44B4"/>
    <w:rsid w:val="007B4682"/>
    <w:rsid w:val="007B4785"/>
    <w:rsid w:val="007B4837"/>
    <w:rsid w:val="007B4C4F"/>
    <w:rsid w:val="007B4E07"/>
    <w:rsid w:val="007B525E"/>
    <w:rsid w:val="007B55BC"/>
    <w:rsid w:val="007B58D0"/>
    <w:rsid w:val="007B5F41"/>
    <w:rsid w:val="007B61B8"/>
    <w:rsid w:val="007B61EE"/>
    <w:rsid w:val="007B6331"/>
    <w:rsid w:val="007B669A"/>
    <w:rsid w:val="007B69D4"/>
    <w:rsid w:val="007B6A27"/>
    <w:rsid w:val="007B6AC3"/>
    <w:rsid w:val="007B6B69"/>
    <w:rsid w:val="007B7145"/>
    <w:rsid w:val="007B73F9"/>
    <w:rsid w:val="007B7588"/>
    <w:rsid w:val="007B77F8"/>
    <w:rsid w:val="007B78D4"/>
    <w:rsid w:val="007B7BE9"/>
    <w:rsid w:val="007C00F2"/>
    <w:rsid w:val="007C0440"/>
    <w:rsid w:val="007C045B"/>
    <w:rsid w:val="007C0518"/>
    <w:rsid w:val="007C074E"/>
    <w:rsid w:val="007C08EF"/>
    <w:rsid w:val="007C0A00"/>
    <w:rsid w:val="007C0D5A"/>
    <w:rsid w:val="007C100E"/>
    <w:rsid w:val="007C11A3"/>
    <w:rsid w:val="007C1332"/>
    <w:rsid w:val="007C1398"/>
    <w:rsid w:val="007C161F"/>
    <w:rsid w:val="007C166F"/>
    <w:rsid w:val="007C1D05"/>
    <w:rsid w:val="007C2207"/>
    <w:rsid w:val="007C22F1"/>
    <w:rsid w:val="007C2AB4"/>
    <w:rsid w:val="007C2F19"/>
    <w:rsid w:val="007C3395"/>
    <w:rsid w:val="007C3B64"/>
    <w:rsid w:val="007C40F2"/>
    <w:rsid w:val="007C45A5"/>
    <w:rsid w:val="007C49BB"/>
    <w:rsid w:val="007C4C0C"/>
    <w:rsid w:val="007C4C39"/>
    <w:rsid w:val="007C4EA6"/>
    <w:rsid w:val="007C5623"/>
    <w:rsid w:val="007C65FE"/>
    <w:rsid w:val="007C6828"/>
    <w:rsid w:val="007C6854"/>
    <w:rsid w:val="007C6CD4"/>
    <w:rsid w:val="007C7148"/>
    <w:rsid w:val="007D039D"/>
    <w:rsid w:val="007D0B01"/>
    <w:rsid w:val="007D0B11"/>
    <w:rsid w:val="007D0E66"/>
    <w:rsid w:val="007D120D"/>
    <w:rsid w:val="007D1531"/>
    <w:rsid w:val="007D153F"/>
    <w:rsid w:val="007D1CAC"/>
    <w:rsid w:val="007D1D04"/>
    <w:rsid w:val="007D2083"/>
    <w:rsid w:val="007D2271"/>
    <w:rsid w:val="007D2366"/>
    <w:rsid w:val="007D2BE5"/>
    <w:rsid w:val="007D2C3D"/>
    <w:rsid w:val="007D2F34"/>
    <w:rsid w:val="007D3637"/>
    <w:rsid w:val="007D382F"/>
    <w:rsid w:val="007D3847"/>
    <w:rsid w:val="007D4EDB"/>
    <w:rsid w:val="007D5364"/>
    <w:rsid w:val="007D53A9"/>
    <w:rsid w:val="007D54DA"/>
    <w:rsid w:val="007D5596"/>
    <w:rsid w:val="007D560E"/>
    <w:rsid w:val="007D56CB"/>
    <w:rsid w:val="007D5C60"/>
    <w:rsid w:val="007D6C82"/>
    <w:rsid w:val="007D6D4D"/>
    <w:rsid w:val="007D7525"/>
    <w:rsid w:val="007E00AA"/>
    <w:rsid w:val="007E06D5"/>
    <w:rsid w:val="007E0B27"/>
    <w:rsid w:val="007E0B49"/>
    <w:rsid w:val="007E12D5"/>
    <w:rsid w:val="007E13D1"/>
    <w:rsid w:val="007E1719"/>
    <w:rsid w:val="007E184C"/>
    <w:rsid w:val="007E187F"/>
    <w:rsid w:val="007E1A71"/>
    <w:rsid w:val="007E1C51"/>
    <w:rsid w:val="007E1E5F"/>
    <w:rsid w:val="007E21B0"/>
    <w:rsid w:val="007E2258"/>
    <w:rsid w:val="007E2762"/>
    <w:rsid w:val="007E2FA5"/>
    <w:rsid w:val="007E319A"/>
    <w:rsid w:val="007E3252"/>
    <w:rsid w:val="007E3774"/>
    <w:rsid w:val="007E3929"/>
    <w:rsid w:val="007E40B3"/>
    <w:rsid w:val="007E4317"/>
    <w:rsid w:val="007E46A8"/>
    <w:rsid w:val="007E475A"/>
    <w:rsid w:val="007E5AE8"/>
    <w:rsid w:val="007E5C7E"/>
    <w:rsid w:val="007E604B"/>
    <w:rsid w:val="007E62B0"/>
    <w:rsid w:val="007E6394"/>
    <w:rsid w:val="007E6851"/>
    <w:rsid w:val="007E68B4"/>
    <w:rsid w:val="007E6E0D"/>
    <w:rsid w:val="007E6E13"/>
    <w:rsid w:val="007E70DB"/>
    <w:rsid w:val="007E7249"/>
    <w:rsid w:val="007E7366"/>
    <w:rsid w:val="007E73F6"/>
    <w:rsid w:val="007E7418"/>
    <w:rsid w:val="007E7783"/>
    <w:rsid w:val="007E79BC"/>
    <w:rsid w:val="007F0011"/>
    <w:rsid w:val="007F0702"/>
    <w:rsid w:val="007F09C1"/>
    <w:rsid w:val="007F0D0D"/>
    <w:rsid w:val="007F1365"/>
    <w:rsid w:val="007F168A"/>
    <w:rsid w:val="007F176C"/>
    <w:rsid w:val="007F19DE"/>
    <w:rsid w:val="007F20DF"/>
    <w:rsid w:val="007F23EA"/>
    <w:rsid w:val="007F25A5"/>
    <w:rsid w:val="007F27ED"/>
    <w:rsid w:val="007F2A4A"/>
    <w:rsid w:val="007F2A7C"/>
    <w:rsid w:val="007F3124"/>
    <w:rsid w:val="007F34BC"/>
    <w:rsid w:val="007F365E"/>
    <w:rsid w:val="007F3BF6"/>
    <w:rsid w:val="007F4119"/>
    <w:rsid w:val="007F4473"/>
    <w:rsid w:val="007F46A1"/>
    <w:rsid w:val="007F48D6"/>
    <w:rsid w:val="007F4ADC"/>
    <w:rsid w:val="007F4B78"/>
    <w:rsid w:val="007F5693"/>
    <w:rsid w:val="007F585B"/>
    <w:rsid w:val="007F58F1"/>
    <w:rsid w:val="007F5CCF"/>
    <w:rsid w:val="007F600F"/>
    <w:rsid w:val="007F6217"/>
    <w:rsid w:val="007F62C3"/>
    <w:rsid w:val="007F65FB"/>
    <w:rsid w:val="007F673E"/>
    <w:rsid w:val="007F676B"/>
    <w:rsid w:val="007F6848"/>
    <w:rsid w:val="007F6C11"/>
    <w:rsid w:val="007F6D4B"/>
    <w:rsid w:val="007F6FA6"/>
    <w:rsid w:val="007F723B"/>
    <w:rsid w:val="007F78DF"/>
    <w:rsid w:val="007F7ACF"/>
    <w:rsid w:val="007F7B1F"/>
    <w:rsid w:val="00800305"/>
    <w:rsid w:val="008006F9"/>
    <w:rsid w:val="00800A70"/>
    <w:rsid w:val="00801036"/>
    <w:rsid w:val="00801243"/>
    <w:rsid w:val="0080151B"/>
    <w:rsid w:val="00801738"/>
    <w:rsid w:val="00801B70"/>
    <w:rsid w:val="00801BAA"/>
    <w:rsid w:val="00801E41"/>
    <w:rsid w:val="00802DAC"/>
    <w:rsid w:val="0080350A"/>
    <w:rsid w:val="00803680"/>
    <w:rsid w:val="00803683"/>
    <w:rsid w:val="00803FFA"/>
    <w:rsid w:val="0080449C"/>
    <w:rsid w:val="0080485B"/>
    <w:rsid w:val="0080489D"/>
    <w:rsid w:val="00804C85"/>
    <w:rsid w:val="00804D16"/>
    <w:rsid w:val="00804E31"/>
    <w:rsid w:val="00805120"/>
    <w:rsid w:val="00805203"/>
    <w:rsid w:val="0080540F"/>
    <w:rsid w:val="00805448"/>
    <w:rsid w:val="00805481"/>
    <w:rsid w:val="00805812"/>
    <w:rsid w:val="00805893"/>
    <w:rsid w:val="00805D43"/>
    <w:rsid w:val="0080602D"/>
    <w:rsid w:val="008063BA"/>
    <w:rsid w:val="00806823"/>
    <w:rsid w:val="0080697B"/>
    <w:rsid w:val="008069D9"/>
    <w:rsid w:val="00806A6C"/>
    <w:rsid w:val="00806B99"/>
    <w:rsid w:val="00806C74"/>
    <w:rsid w:val="00807029"/>
    <w:rsid w:val="008073FF"/>
    <w:rsid w:val="00807646"/>
    <w:rsid w:val="00810424"/>
    <w:rsid w:val="0081049F"/>
    <w:rsid w:val="00810624"/>
    <w:rsid w:val="00810766"/>
    <w:rsid w:val="008107C9"/>
    <w:rsid w:val="00810E49"/>
    <w:rsid w:val="00811531"/>
    <w:rsid w:val="00811580"/>
    <w:rsid w:val="008115B7"/>
    <w:rsid w:val="00811715"/>
    <w:rsid w:val="008117D3"/>
    <w:rsid w:val="00811821"/>
    <w:rsid w:val="0081188A"/>
    <w:rsid w:val="00811A7E"/>
    <w:rsid w:val="00811ECF"/>
    <w:rsid w:val="0081205A"/>
    <w:rsid w:val="00812195"/>
    <w:rsid w:val="00812A33"/>
    <w:rsid w:val="00812B35"/>
    <w:rsid w:val="00812B9A"/>
    <w:rsid w:val="00812BCB"/>
    <w:rsid w:val="00812CA3"/>
    <w:rsid w:val="00812D0F"/>
    <w:rsid w:val="00813165"/>
    <w:rsid w:val="0081321A"/>
    <w:rsid w:val="00813380"/>
    <w:rsid w:val="00813484"/>
    <w:rsid w:val="00813619"/>
    <w:rsid w:val="00813BFC"/>
    <w:rsid w:val="008145BA"/>
    <w:rsid w:val="00814D65"/>
    <w:rsid w:val="00814E36"/>
    <w:rsid w:val="00814E8B"/>
    <w:rsid w:val="008154D6"/>
    <w:rsid w:val="008154E5"/>
    <w:rsid w:val="008155F0"/>
    <w:rsid w:val="00815E22"/>
    <w:rsid w:val="0081633F"/>
    <w:rsid w:val="008164D4"/>
    <w:rsid w:val="008168B7"/>
    <w:rsid w:val="008168C7"/>
    <w:rsid w:val="00816EE6"/>
    <w:rsid w:val="008170E3"/>
    <w:rsid w:val="008170EC"/>
    <w:rsid w:val="0081729C"/>
    <w:rsid w:val="00817476"/>
    <w:rsid w:val="00817C73"/>
    <w:rsid w:val="00817CC8"/>
    <w:rsid w:val="00817E6C"/>
    <w:rsid w:val="008205E1"/>
    <w:rsid w:val="00820749"/>
    <w:rsid w:val="00820D8C"/>
    <w:rsid w:val="00821458"/>
    <w:rsid w:val="0082178B"/>
    <w:rsid w:val="00821C07"/>
    <w:rsid w:val="00821F60"/>
    <w:rsid w:val="00822994"/>
    <w:rsid w:val="00822B54"/>
    <w:rsid w:val="00822B71"/>
    <w:rsid w:val="00822BC0"/>
    <w:rsid w:val="008236E5"/>
    <w:rsid w:val="008239CC"/>
    <w:rsid w:val="008248B0"/>
    <w:rsid w:val="00824A74"/>
    <w:rsid w:val="00825234"/>
    <w:rsid w:val="00825475"/>
    <w:rsid w:val="00825A26"/>
    <w:rsid w:val="00825BE2"/>
    <w:rsid w:val="00825D92"/>
    <w:rsid w:val="00825E83"/>
    <w:rsid w:val="00826456"/>
    <w:rsid w:val="008265A6"/>
    <w:rsid w:val="00826FBD"/>
    <w:rsid w:val="0082732F"/>
    <w:rsid w:val="008277DF"/>
    <w:rsid w:val="00827899"/>
    <w:rsid w:val="008278D4"/>
    <w:rsid w:val="00827A08"/>
    <w:rsid w:val="00827BA1"/>
    <w:rsid w:val="00827D03"/>
    <w:rsid w:val="00827D28"/>
    <w:rsid w:val="00827E76"/>
    <w:rsid w:val="008301C1"/>
    <w:rsid w:val="008301DB"/>
    <w:rsid w:val="0083024A"/>
    <w:rsid w:val="008308C4"/>
    <w:rsid w:val="008321AA"/>
    <w:rsid w:val="0083229F"/>
    <w:rsid w:val="008325B6"/>
    <w:rsid w:val="00832690"/>
    <w:rsid w:val="008328B8"/>
    <w:rsid w:val="00833220"/>
    <w:rsid w:val="00833361"/>
    <w:rsid w:val="00833809"/>
    <w:rsid w:val="00833BE6"/>
    <w:rsid w:val="00833F13"/>
    <w:rsid w:val="008341D9"/>
    <w:rsid w:val="008348D0"/>
    <w:rsid w:val="00834BB7"/>
    <w:rsid w:val="00834BF3"/>
    <w:rsid w:val="00834C6A"/>
    <w:rsid w:val="00835228"/>
    <w:rsid w:val="00835586"/>
    <w:rsid w:val="008355A8"/>
    <w:rsid w:val="0083566A"/>
    <w:rsid w:val="00835921"/>
    <w:rsid w:val="00835BF2"/>
    <w:rsid w:val="00835C93"/>
    <w:rsid w:val="00835DC2"/>
    <w:rsid w:val="008361FD"/>
    <w:rsid w:val="00836578"/>
    <w:rsid w:val="00836CC1"/>
    <w:rsid w:val="00836CD7"/>
    <w:rsid w:val="00837429"/>
    <w:rsid w:val="00837A2A"/>
    <w:rsid w:val="00837A87"/>
    <w:rsid w:val="00837CEE"/>
    <w:rsid w:val="00837F32"/>
    <w:rsid w:val="00840160"/>
    <w:rsid w:val="008405BB"/>
    <w:rsid w:val="0084083E"/>
    <w:rsid w:val="00840A0D"/>
    <w:rsid w:val="00840AAD"/>
    <w:rsid w:val="00840C3B"/>
    <w:rsid w:val="00840E3E"/>
    <w:rsid w:val="00841330"/>
    <w:rsid w:val="00841482"/>
    <w:rsid w:val="008417EC"/>
    <w:rsid w:val="00841922"/>
    <w:rsid w:val="00841C3D"/>
    <w:rsid w:val="00841CBB"/>
    <w:rsid w:val="008420A7"/>
    <w:rsid w:val="00843058"/>
    <w:rsid w:val="0084329E"/>
    <w:rsid w:val="008435B1"/>
    <w:rsid w:val="008435EC"/>
    <w:rsid w:val="008438A7"/>
    <w:rsid w:val="00843C37"/>
    <w:rsid w:val="00843D14"/>
    <w:rsid w:val="00844258"/>
    <w:rsid w:val="0084426A"/>
    <w:rsid w:val="00844897"/>
    <w:rsid w:val="00844AAA"/>
    <w:rsid w:val="00844BE8"/>
    <w:rsid w:val="00844FAA"/>
    <w:rsid w:val="0084523B"/>
    <w:rsid w:val="0084555D"/>
    <w:rsid w:val="008457A6"/>
    <w:rsid w:val="00845CB5"/>
    <w:rsid w:val="00846266"/>
    <w:rsid w:val="008462BA"/>
    <w:rsid w:val="0084646F"/>
    <w:rsid w:val="00846A09"/>
    <w:rsid w:val="00847056"/>
    <w:rsid w:val="0084720E"/>
    <w:rsid w:val="00847649"/>
    <w:rsid w:val="00847807"/>
    <w:rsid w:val="00847D60"/>
    <w:rsid w:val="00850264"/>
    <w:rsid w:val="00850648"/>
    <w:rsid w:val="008506F9"/>
    <w:rsid w:val="00850C11"/>
    <w:rsid w:val="00850F8A"/>
    <w:rsid w:val="00850FF1"/>
    <w:rsid w:val="008512EE"/>
    <w:rsid w:val="008517EF"/>
    <w:rsid w:val="008518B0"/>
    <w:rsid w:val="008519C5"/>
    <w:rsid w:val="00851BDA"/>
    <w:rsid w:val="00851D0D"/>
    <w:rsid w:val="00851E28"/>
    <w:rsid w:val="00852782"/>
    <w:rsid w:val="00853002"/>
    <w:rsid w:val="00853716"/>
    <w:rsid w:val="00853961"/>
    <w:rsid w:val="008539E6"/>
    <w:rsid w:val="008539F4"/>
    <w:rsid w:val="00853C94"/>
    <w:rsid w:val="00853CCA"/>
    <w:rsid w:val="00853D66"/>
    <w:rsid w:val="00853EB4"/>
    <w:rsid w:val="00853EF4"/>
    <w:rsid w:val="0085432E"/>
    <w:rsid w:val="008543E8"/>
    <w:rsid w:val="00854DBC"/>
    <w:rsid w:val="00855067"/>
    <w:rsid w:val="00855254"/>
    <w:rsid w:val="008556A8"/>
    <w:rsid w:val="008558D1"/>
    <w:rsid w:val="00855C1B"/>
    <w:rsid w:val="00855F32"/>
    <w:rsid w:val="00856398"/>
    <w:rsid w:val="00856441"/>
    <w:rsid w:val="00856570"/>
    <w:rsid w:val="00856CB6"/>
    <w:rsid w:val="00856E07"/>
    <w:rsid w:val="00856EB8"/>
    <w:rsid w:val="00856F57"/>
    <w:rsid w:val="00857758"/>
    <w:rsid w:val="00857CB7"/>
    <w:rsid w:val="00860496"/>
    <w:rsid w:val="0086055D"/>
    <w:rsid w:val="0086097E"/>
    <w:rsid w:val="008609D2"/>
    <w:rsid w:val="00860D5A"/>
    <w:rsid w:val="00860FF7"/>
    <w:rsid w:val="00861153"/>
    <w:rsid w:val="008620D8"/>
    <w:rsid w:val="00863552"/>
    <w:rsid w:val="008635C4"/>
    <w:rsid w:val="008638CF"/>
    <w:rsid w:val="00863C73"/>
    <w:rsid w:val="00863D08"/>
    <w:rsid w:val="00863DF4"/>
    <w:rsid w:val="00863E21"/>
    <w:rsid w:val="008641C7"/>
    <w:rsid w:val="00864467"/>
    <w:rsid w:val="00864789"/>
    <w:rsid w:val="008647A6"/>
    <w:rsid w:val="00864AE3"/>
    <w:rsid w:val="00864C5B"/>
    <w:rsid w:val="0086611F"/>
    <w:rsid w:val="0086649B"/>
    <w:rsid w:val="00866680"/>
    <w:rsid w:val="00866A5B"/>
    <w:rsid w:val="008672A8"/>
    <w:rsid w:val="00867A16"/>
    <w:rsid w:val="00867C00"/>
    <w:rsid w:val="00867F1A"/>
    <w:rsid w:val="008702C8"/>
    <w:rsid w:val="0087045C"/>
    <w:rsid w:val="008704AE"/>
    <w:rsid w:val="00870516"/>
    <w:rsid w:val="008705C5"/>
    <w:rsid w:val="00870ED8"/>
    <w:rsid w:val="0087141A"/>
    <w:rsid w:val="00871E17"/>
    <w:rsid w:val="00871F2E"/>
    <w:rsid w:val="00872095"/>
    <w:rsid w:val="008720D3"/>
    <w:rsid w:val="00872C02"/>
    <w:rsid w:val="00872C1B"/>
    <w:rsid w:val="00873151"/>
    <w:rsid w:val="008733E6"/>
    <w:rsid w:val="00873C4B"/>
    <w:rsid w:val="008741C3"/>
    <w:rsid w:val="0087471D"/>
    <w:rsid w:val="00874796"/>
    <w:rsid w:val="008747D7"/>
    <w:rsid w:val="008747EC"/>
    <w:rsid w:val="00874991"/>
    <w:rsid w:val="00874D73"/>
    <w:rsid w:val="0087501F"/>
    <w:rsid w:val="00875200"/>
    <w:rsid w:val="00875F93"/>
    <w:rsid w:val="00876291"/>
    <w:rsid w:val="0087637D"/>
    <w:rsid w:val="008768A4"/>
    <w:rsid w:val="00876917"/>
    <w:rsid w:val="00876C7F"/>
    <w:rsid w:val="00876D61"/>
    <w:rsid w:val="00876F7E"/>
    <w:rsid w:val="0087708A"/>
    <w:rsid w:val="00877384"/>
    <w:rsid w:val="00877443"/>
    <w:rsid w:val="008779CA"/>
    <w:rsid w:val="008779FC"/>
    <w:rsid w:val="00877A88"/>
    <w:rsid w:val="00877EFB"/>
    <w:rsid w:val="0088008C"/>
    <w:rsid w:val="0088078C"/>
    <w:rsid w:val="00880A70"/>
    <w:rsid w:val="00880B1C"/>
    <w:rsid w:val="00880EA2"/>
    <w:rsid w:val="00882012"/>
    <w:rsid w:val="00882136"/>
    <w:rsid w:val="00882343"/>
    <w:rsid w:val="008828BD"/>
    <w:rsid w:val="00882D51"/>
    <w:rsid w:val="00882DA6"/>
    <w:rsid w:val="00883816"/>
    <w:rsid w:val="00883990"/>
    <w:rsid w:val="00883CE1"/>
    <w:rsid w:val="00883FEF"/>
    <w:rsid w:val="008840D4"/>
    <w:rsid w:val="0088424B"/>
    <w:rsid w:val="0088444B"/>
    <w:rsid w:val="00884627"/>
    <w:rsid w:val="008848C7"/>
    <w:rsid w:val="00884A23"/>
    <w:rsid w:val="00884C5B"/>
    <w:rsid w:val="00884E2C"/>
    <w:rsid w:val="008856FC"/>
    <w:rsid w:val="00885781"/>
    <w:rsid w:val="00885A4A"/>
    <w:rsid w:val="00885AE0"/>
    <w:rsid w:val="00885B39"/>
    <w:rsid w:val="00885D27"/>
    <w:rsid w:val="00885FCF"/>
    <w:rsid w:val="00886064"/>
    <w:rsid w:val="008862A5"/>
    <w:rsid w:val="0088648E"/>
    <w:rsid w:val="00886542"/>
    <w:rsid w:val="008867DC"/>
    <w:rsid w:val="008867DF"/>
    <w:rsid w:val="008868CA"/>
    <w:rsid w:val="008869FA"/>
    <w:rsid w:val="00886C43"/>
    <w:rsid w:val="00886D8A"/>
    <w:rsid w:val="0088721D"/>
    <w:rsid w:val="008873E2"/>
    <w:rsid w:val="00887429"/>
    <w:rsid w:val="0088761C"/>
    <w:rsid w:val="00887B80"/>
    <w:rsid w:val="00887BDB"/>
    <w:rsid w:val="00887FEB"/>
    <w:rsid w:val="008901DA"/>
    <w:rsid w:val="008906ED"/>
    <w:rsid w:val="008910E0"/>
    <w:rsid w:val="0089123E"/>
    <w:rsid w:val="008917EA"/>
    <w:rsid w:val="00891D37"/>
    <w:rsid w:val="0089281D"/>
    <w:rsid w:val="00892A84"/>
    <w:rsid w:val="00892C9A"/>
    <w:rsid w:val="00893914"/>
    <w:rsid w:val="0089424A"/>
    <w:rsid w:val="008942BC"/>
    <w:rsid w:val="008943CD"/>
    <w:rsid w:val="00894759"/>
    <w:rsid w:val="00894B32"/>
    <w:rsid w:val="00894BFE"/>
    <w:rsid w:val="00894E5B"/>
    <w:rsid w:val="008951E1"/>
    <w:rsid w:val="008954B2"/>
    <w:rsid w:val="00895977"/>
    <w:rsid w:val="00895B24"/>
    <w:rsid w:val="00895B30"/>
    <w:rsid w:val="00895DEA"/>
    <w:rsid w:val="00895F3B"/>
    <w:rsid w:val="0089648F"/>
    <w:rsid w:val="0089671B"/>
    <w:rsid w:val="00896C68"/>
    <w:rsid w:val="008A0308"/>
    <w:rsid w:val="008A048D"/>
    <w:rsid w:val="008A08AD"/>
    <w:rsid w:val="008A0B0A"/>
    <w:rsid w:val="008A0EAA"/>
    <w:rsid w:val="008A0EDF"/>
    <w:rsid w:val="008A0FC6"/>
    <w:rsid w:val="008A1200"/>
    <w:rsid w:val="008A1B2E"/>
    <w:rsid w:val="008A229A"/>
    <w:rsid w:val="008A23F4"/>
    <w:rsid w:val="008A24D8"/>
    <w:rsid w:val="008A2556"/>
    <w:rsid w:val="008A25F0"/>
    <w:rsid w:val="008A2887"/>
    <w:rsid w:val="008A2C14"/>
    <w:rsid w:val="008A2F0A"/>
    <w:rsid w:val="008A316B"/>
    <w:rsid w:val="008A31B0"/>
    <w:rsid w:val="008A328B"/>
    <w:rsid w:val="008A3C56"/>
    <w:rsid w:val="008A4461"/>
    <w:rsid w:val="008A4AD4"/>
    <w:rsid w:val="008A4D34"/>
    <w:rsid w:val="008A4DCD"/>
    <w:rsid w:val="008A4DFC"/>
    <w:rsid w:val="008A5271"/>
    <w:rsid w:val="008A528A"/>
    <w:rsid w:val="008A5647"/>
    <w:rsid w:val="008A5A9E"/>
    <w:rsid w:val="008A5EA8"/>
    <w:rsid w:val="008A61E6"/>
    <w:rsid w:val="008A68B0"/>
    <w:rsid w:val="008A6964"/>
    <w:rsid w:val="008A6AA0"/>
    <w:rsid w:val="008A6C60"/>
    <w:rsid w:val="008A6EC1"/>
    <w:rsid w:val="008A7852"/>
    <w:rsid w:val="008A7A7F"/>
    <w:rsid w:val="008A7D2A"/>
    <w:rsid w:val="008B014B"/>
    <w:rsid w:val="008B0331"/>
    <w:rsid w:val="008B03BA"/>
    <w:rsid w:val="008B0568"/>
    <w:rsid w:val="008B05A7"/>
    <w:rsid w:val="008B0B7D"/>
    <w:rsid w:val="008B0D97"/>
    <w:rsid w:val="008B0E4F"/>
    <w:rsid w:val="008B153A"/>
    <w:rsid w:val="008B1989"/>
    <w:rsid w:val="008B277D"/>
    <w:rsid w:val="008B2827"/>
    <w:rsid w:val="008B29D0"/>
    <w:rsid w:val="008B2B9E"/>
    <w:rsid w:val="008B2DC1"/>
    <w:rsid w:val="008B2DFB"/>
    <w:rsid w:val="008B2EC5"/>
    <w:rsid w:val="008B305B"/>
    <w:rsid w:val="008B33A5"/>
    <w:rsid w:val="008B35EC"/>
    <w:rsid w:val="008B3602"/>
    <w:rsid w:val="008B3807"/>
    <w:rsid w:val="008B3C30"/>
    <w:rsid w:val="008B4033"/>
    <w:rsid w:val="008B4051"/>
    <w:rsid w:val="008B42D3"/>
    <w:rsid w:val="008B4530"/>
    <w:rsid w:val="008B4888"/>
    <w:rsid w:val="008B48B5"/>
    <w:rsid w:val="008B48EF"/>
    <w:rsid w:val="008B4C0D"/>
    <w:rsid w:val="008B525F"/>
    <w:rsid w:val="008B5FF9"/>
    <w:rsid w:val="008B6206"/>
    <w:rsid w:val="008B6838"/>
    <w:rsid w:val="008B692B"/>
    <w:rsid w:val="008B6A19"/>
    <w:rsid w:val="008B6D1E"/>
    <w:rsid w:val="008B743E"/>
    <w:rsid w:val="008B75B2"/>
    <w:rsid w:val="008B7E4C"/>
    <w:rsid w:val="008B7FC2"/>
    <w:rsid w:val="008C0045"/>
    <w:rsid w:val="008C05B1"/>
    <w:rsid w:val="008C08B2"/>
    <w:rsid w:val="008C0BE7"/>
    <w:rsid w:val="008C0C6B"/>
    <w:rsid w:val="008C10E6"/>
    <w:rsid w:val="008C1484"/>
    <w:rsid w:val="008C1B95"/>
    <w:rsid w:val="008C1C7B"/>
    <w:rsid w:val="008C1D1C"/>
    <w:rsid w:val="008C2107"/>
    <w:rsid w:val="008C254A"/>
    <w:rsid w:val="008C26B1"/>
    <w:rsid w:val="008C2AB9"/>
    <w:rsid w:val="008C2B22"/>
    <w:rsid w:val="008C3414"/>
    <w:rsid w:val="008C3726"/>
    <w:rsid w:val="008C3F47"/>
    <w:rsid w:val="008C42D1"/>
    <w:rsid w:val="008C4479"/>
    <w:rsid w:val="008C466B"/>
    <w:rsid w:val="008C4ABA"/>
    <w:rsid w:val="008C4B91"/>
    <w:rsid w:val="008C4C1E"/>
    <w:rsid w:val="008C4D1C"/>
    <w:rsid w:val="008C4F91"/>
    <w:rsid w:val="008C4F9A"/>
    <w:rsid w:val="008C54D1"/>
    <w:rsid w:val="008C567A"/>
    <w:rsid w:val="008C5A2F"/>
    <w:rsid w:val="008C5F24"/>
    <w:rsid w:val="008C605C"/>
    <w:rsid w:val="008C6693"/>
    <w:rsid w:val="008C699A"/>
    <w:rsid w:val="008C6B82"/>
    <w:rsid w:val="008C6F2F"/>
    <w:rsid w:val="008C6F5B"/>
    <w:rsid w:val="008C70F4"/>
    <w:rsid w:val="008C735E"/>
    <w:rsid w:val="008C7909"/>
    <w:rsid w:val="008C7968"/>
    <w:rsid w:val="008C7A7F"/>
    <w:rsid w:val="008C7AB1"/>
    <w:rsid w:val="008C7F63"/>
    <w:rsid w:val="008D0A63"/>
    <w:rsid w:val="008D0EFE"/>
    <w:rsid w:val="008D1056"/>
    <w:rsid w:val="008D11B7"/>
    <w:rsid w:val="008D142B"/>
    <w:rsid w:val="008D18E6"/>
    <w:rsid w:val="008D1A5C"/>
    <w:rsid w:val="008D1D9A"/>
    <w:rsid w:val="008D1E1D"/>
    <w:rsid w:val="008D2212"/>
    <w:rsid w:val="008D25A6"/>
    <w:rsid w:val="008D2AF1"/>
    <w:rsid w:val="008D2C95"/>
    <w:rsid w:val="008D32BE"/>
    <w:rsid w:val="008D32F6"/>
    <w:rsid w:val="008D34C2"/>
    <w:rsid w:val="008D3A9E"/>
    <w:rsid w:val="008D3C0E"/>
    <w:rsid w:val="008D3E15"/>
    <w:rsid w:val="008D3E7B"/>
    <w:rsid w:val="008D3E99"/>
    <w:rsid w:val="008D411C"/>
    <w:rsid w:val="008D450A"/>
    <w:rsid w:val="008D4656"/>
    <w:rsid w:val="008D487E"/>
    <w:rsid w:val="008D48AC"/>
    <w:rsid w:val="008D4A87"/>
    <w:rsid w:val="008D4AE7"/>
    <w:rsid w:val="008D4C96"/>
    <w:rsid w:val="008D4E6C"/>
    <w:rsid w:val="008D4F01"/>
    <w:rsid w:val="008D4F1A"/>
    <w:rsid w:val="008D5203"/>
    <w:rsid w:val="008D54BE"/>
    <w:rsid w:val="008D58C8"/>
    <w:rsid w:val="008D5EE5"/>
    <w:rsid w:val="008D60C7"/>
    <w:rsid w:val="008D6267"/>
    <w:rsid w:val="008D6471"/>
    <w:rsid w:val="008D777A"/>
    <w:rsid w:val="008D7B69"/>
    <w:rsid w:val="008D7E14"/>
    <w:rsid w:val="008D7ED7"/>
    <w:rsid w:val="008E063F"/>
    <w:rsid w:val="008E0781"/>
    <w:rsid w:val="008E08FB"/>
    <w:rsid w:val="008E098E"/>
    <w:rsid w:val="008E0995"/>
    <w:rsid w:val="008E0BAF"/>
    <w:rsid w:val="008E0BF4"/>
    <w:rsid w:val="008E0C7A"/>
    <w:rsid w:val="008E0CFD"/>
    <w:rsid w:val="008E1105"/>
    <w:rsid w:val="008E160D"/>
    <w:rsid w:val="008E1B41"/>
    <w:rsid w:val="008E1BA8"/>
    <w:rsid w:val="008E1BD8"/>
    <w:rsid w:val="008E2E59"/>
    <w:rsid w:val="008E2FD8"/>
    <w:rsid w:val="008E3204"/>
    <w:rsid w:val="008E34CE"/>
    <w:rsid w:val="008E3518"/>
    <w:rsid w:val="008E3BC5"/>
    <w:rsid w:val="008E4153"/>
    <w:rsid w:val="008E52EA"/>
    <w:rsid w:val="008E5331"/>
    <w:rsid w:val="008E55E9"/>
    <w:rsid w:val="008E56F2"/>
    <w:rsid w:val="008E57E9"/>
    <w:rsid w:val="008E595B"/>
    <w:rsid w:val="008E619B"/>
    <w:rsid w:val="008E61C9"/>
    <w:rsid w:val="008E6253"/>
    <w:rsid w:val="008E6601"/>
    <w:rsid w:val="008E66E5"/>
    <w:rsid w:val="008E6BCF"/>
    <w:rsid w:val="008E6ED1"/>
    <w:rsid w:val="008E711E"/>
    <w:rsid w:val="008E7D7B"/>
    <w:rsid w:val="008F016F"/>
    <w:rsid w:val="008F09A8"/>
    <w:rsid w:val="008F0E1A"/>
    <w:rsid w:val="008F0FD4"/>
    <w:rsid w:val="008F113A"/>
    <w:rsid w:val="008F12D8"/>
    <w:rsid w:val="008F12E3"/>
    <w:rsid w:val="008F164B"/>
    <w:rsid w:val="008F1A6E"/>
    <w:rsid w:val="008F1D9F"/>
    <w:rsid w:val="008F2333"/>
    <w:rsid w:val="008F234F"/>
    <w:rsid w:val="008F24CD"/>
    <w:rsid w:val="008F2644"/>
    <w:rsid w:val="008F2813"/>
    <w:rsid w:val="008F292E"/>
    <w:rsid w:val="008F2935"/>
    <w:rsid w:val="008F2D0B"/>
    <w:rsid w:val="008F2E5A"/>
    <w:rsid w:val="008F2E5B"/>
    <w:rsid w:val="008F2EA9"/>
    <w:rsid w:val="008F310F"/>
    <w:rsid w:val="008F3904"/>
    <w:rsid w:val="008F3AB8"/>
    <w:rsid w:val="008F3E52"/>
    <w:rsid w:val="008F47A3"/>
    <w:rsid w:val="008F4D08"/>
    <w:rsid w:val="008F504C"/>
    <w:rsid w:val="008F5313"/>
    <w:rsid w:val="008F54DE"/>
    <w:rsid w:val="008F5638"/>
    <w:rsid w:val="008F56CB"/>
    <w:rsid w:val="008F5779"/>
    <w:rsid w:val="008F5B2C"/>
    <w:rsid w:val="008F5CA2"/>
    <w:rsid w:val="008F5E45"/>
    <w:rsid w:val="008F5E92"/>
    <w:rsid w:val="008F60AA"/>
    <w:rsid w:val="008F60E4"/>
    <w:rsid w:val="008F635E"/>
    <w:rsid w:val="008F67CA"/>
    <w:rsid w:val="008F685D"/>
    <w:rsid w:val="008F6A1B"/>
    <w:rsid w:val="008F6A39"/>
    <w:rsid w:val="008F6EB6"/>
    <w:rsid w:val="008F722F"/>
    <w:rsid w:val="008F7B8D"/>
    <w:rsid w:val="008F7D30"/>
    <w:rsid w:val="009002EC"/>
    <w:rsid w:val="009003CA"/>
    <w:rsid w:val="009006DC"/>
    <w:rsid w:val="009007B8"/>
    <w:rsid w:val="009008AE"/>
    <w:rsid w:val="00900913"/>
    <w:rsid w:val="00900A8E"/>
    <w:rsid w:val="00900C39"/>
    <w:rsid w:val="0090155D"/>
    <w:rsid w:val="0090169C"/>
    <w:rsid w:val="00901945"/>
    <w:rsid w:val="009019C3"/>
    <w:rsid w:val="00901A1D"/>
    <w:rsid w:val="00901A4D"/>
    <w:rsid w:val="00901D16"/>
    <w:rsid w:val="0090258A"/>
    <w:rsid w:val="009025AF"/>
    <w:rsid w:val="00902696"/>
    <w:rsid w:val="00902B08"/>
    <w:rsid w:val="00902C90"/>
    <w:rsid w:val="009034F0"/>
    <w:rsid w:val="00903520"/>
    <w:rsid w:val="00903537"/>
    <w:rsid w:val="00903784"/>
    <w:rsid w:val="00903827"/>
    <w:rsid w:val="00903974"/>
    <w:rsid w:val="00903A0B"/>
    <w:rsid w:val="00903B49"/>
    <w:rsid w:val="00904101"/>
    <w:rsid w:val="00904910"/>
    <w:rsid w:val="00904AF7"/>
    <w:rsid w:val="00904BBC"/>
    <w:rsid w:val="00904CF0"/>
    <w:rsid w:val="00904DCD"/>
    <w:rsid w:val="00905146"/>
    <w:rsid w:val="00905C0F"/>
    <w:rsid w:val="00905C1E"/>
    <w:rsid w:val="00905C28"/>
    <w:rsid w:val="009060C9"/>
    <w:rsid w:val="0090634D"/>
    <w:rsid w:val="009069F6"/>
    <w:rsid w:val="00906B25"/>
    <w:rsid w:val="00906FBE"/>
    <w:rsid w:val="0090701A"/>
    <w:rsid w:val="009070F3"/>
    <w:rsid w:val="009072DD"/>
    <w:rsid w:val="0090782C"/>
    <w:rsid w:val="00907985"/>
    <w:rsid w:val="00910107"/>
    <w:rsid w:val="0091034A"/>
    <w:rsid w:val="0091089B"/>
    <w:rsid w:val="00910988"/>
    <w:rsid w:val="009109C6"/>
    <w:rsid w:val="00910F4E"/>
    <w:rsid w:val="00911192"/>
    <w:rsid w:val="0091143C"/>
    <w:rsid w:val="00911576"/>
    <w:rsid w:val="009115AF"/>
    <w:rsid w:val="009115C4"/>
    <w:rsid w:val="009115DD"/>
    <w:rsid w:val="0091197C"/>
    <w:rsid w:val="009121AF"/>
    <w:rsid w:val="00912B35"/>
    <w:rsid w:val="00912DAE"/>
    <w:rsid w:val="009138AB"/>
    <w:rsid w:val="00913C58"/>
    <w:rsid w:val="00914197"/>
    <w:rsid w:val="009142F1"/>
    <w:rsid w:val="009151D3"/>
    <w:rsid w:val="009155CE"/>
    <w:rsid w:val="00915866"/>
    <w:rsid w:val="0091597B"/>
    <w:rsid w:val="00915AC0"/>
    <w:rsid w:val="00916031"/>
    <w:rsid w:val="009163AD"/>
    <w:rsid w:val="009169FB"/>
    <w:rsid w:val="00916B68"/>
    <w:rsid w:val="00916DA1"/>
    <w:rsid w:val="00917351"/>
    <w:rsid w:val="00917941"/>
    <w:rsid w:val="00917F35"/>
    <w:rsid w:val="00917FFC"/>
    <w:rsid w:val="0092007C"/>
    <w:rsid w:val="00920217"/>
    <w:rsid w:val="00920284"/>
    <w:rsid w:val="009202DD"/>
    <w:rsid w:val="00920734"/>
    <w:rsid w:val="00920BD8"/>
    <w:rsid w:val="00920C00"/>
    <w:rsid w:val="00920ED7"/>
    <w:rsid w:val="00921097"/>
    <w:rsid w:val="0092109D"/>
    <w:rsid w:val="00921394"/>
    <w:rsid w:val="00921432"/>
    <w:rsid w:val="00921946"/>
    <w:rsid w:val="00921A9E"/>
    <w:rsid w:val="00921CED"/>
    <w:rsid w:val="00921D4C"/>
    <w:rsid w:val="0092225E"/>
    <w:rsid w:val="00922ADD"/>
    <w:rsid w:val="00922BB7"/>
    <w:rsid w:val="00922EE2"/>
    <w:rsid w:val="0092300B"/>
    <w:rsid w:val="0092314A"/>
    <w:rsid w:val="0092372A"/>
    <w:rsid w:val="00923DFA"/>
    <w:rsid w:val="00923E80"/>
    <w:rsid w:val="00923F62"/>
    <w:rsid w:val="00924384"/>
    <w:rsid w:val="009244BA"/>
    <w:rsid w:val="00924A16"/>
    <w:rsid w:val="00924B50"/>
    <w:rsid w:val="00924F9C"/>
    <w:rsid w:val="00925488"/>
    <w:rsid w:val="009255A4"/>
    <w:rsid w:val="00925936"/>
    <w:rsid w:val="009259EC"/>
    <w:rsid w:val="00925B3F"/>
    <w:rsid w:val="00925D8E"/>
    <w:rsid w:val="009260F9"/>
    <w:rsid w:val="009262C6"/>
    <w:rsid w:val="009262CC"/>
    <w:rsid w:val="00926354"/>
    <w:rsid w:val="00926557"/>
    <w:rsid w:val="009265BB"/>
    <w:rsid w:val="00926E65"/>
    <w:rsid w:val="00926F25"/>
    <w:rsid w:val="00926F4F"/>
    <w:rsid w:val="0092719F"/>
    <w:rsid w:val="00927BE0"/>
    <w:rsid w:val="00927FD1"/>
    <w:rsid w:val="00930497"/>
    <w:rsid w:val="00930629"/>
    <w:rsid w:val="00930E3E"/>
    <w:rsid w:val="009312C3"/>
    <w:rsid w:val="009313E3"/>
    <w:rsid w:val="00931AF9"/>
    <w:rsid w:val="00932800"/>
    <w:rsid w:val="00932876"/>
    <w:rsid w:val="00932BA8"/>
    <w:rsid w:val="009337C1"/>
    <w:rsid w:val="009339E5"/>
    <w:rsid w:val="00933BB6"/>
    <w:rsid w:val="00933DEB"/>
    <w:rsid w:val="00933DFA"/>
    <w:rsid w:val="00933F29"/>
    <w:rsid w:val="0093445F"/>
    <w:rsid w:val="0093460D"/>
    <w:rsid w:val="0093471F"/>
    <w:rsid w:val="009347F4"/>
    <w:rsid w:val="00934B6A"/>
    <w:rsid w:val="00934C7B"/>
    <w:rsid w:val="00935026"/>
    <w:rsid w:val="0093535C"/>
    <w:rsid w:val="009356DD"/>
    <w:rsid w:val="00935892"/>
    <w:rsid w:val="00935F7A"/>
    <w:rsid w:val="009361C3"/>
    <w:rsid w:val="009364EB"/>
    <w:rsid w:val="009365BC"/>
    <w:rsid w:val="009374F0"/>
    <w:rsid w:val="009377EB"/>
    <w:rsid w:val="0093786C"/>
    <w:rsid w:val="00937B51"/>
    <w:rsid w:val="00937CC0"/>
    <w:rsid w:val="00940022"/>
    <w:rsid w:val="009406C7"/>
    <w:rsid w:val="009407FD"/>
    <w:rsid w:val="00940C0D"/>
    <w:rsid w:val="00940D56"/>
    <w:rsid w:val="00941962"/>
    <w:rsid w:val="00941B33"/>
    <w:rsid w:val="00941C3F"/>
    <w:rsid w:val="00941EF0"/>
    <w:rsid w:val="00942482"/>
    <w:rsid w:val="009424FB"/>
    <w:rsid w:val="009426F3"/>
    <w:rsid w:val="00942A62"/>
    <w:rsid w:val="00942AD4"/>
    <w:rsid w:val="00942FDF"/>
    <w:rsid w:val="00943181"/>
    <w:rsid w:val="00943601"/>
    <w:rsid w:val="009437FA"/>
    <w:rsid w:val="0094382E"/>
    <w:rsid w:val="009438EE"/>
    <w:rsid w:val="0094390F"/>
    <w:rsid w:val="00943ADB"/>
    <w:rsid w:val="00943C73"/>
    <w:rsid w:val="00943C9F"/>
    <w:rsid w:val="00943EDA"/>
    <w:rsid w:val="00944723"/>
    <w:rsid w:val="0094487E"/>
    <w:rsid w:val="00944AB1"/>
    <w:rsid w:val="00944E95"/>
    <w:rsid w:val="00945086"/>
    <w:rsid w:val="009450B2"/>
    <w:rsid w:val="00945107"/>
    <w:rsid w:val="0094555B"/>
    <w:rsid w:val="00945B3F"/>
    <w:rsid w:val="00945C25"/>
    <w:rsid w:val="00945F80"/>
    <w:rsid w:val="00946355"/>
    <w:rsid w:val="009465C9"/>
    <w:rsid w:val="00946A3B"/>
    <w:rsid w:val="00946B9D"/>
    <w:rsid w:val="009470DF"/>
    <w:rsid w:val="00947571"/>
    <w:rsid w:val="009477AC"/>
    <w:rsid w:val="009479F7"/>
    <w:rsid w:val="00947A9D"/>
    <w:rsid w:val="009501D6"/>
    <w:rsid w:val="00950963"/>
    <w:rsid w:val="00950C9B"/>
    <w:rsid w:val="00950CD5"/>
    <w:rsid w:val="00951388"/>
    <w:rsid w:val="00951472"/>
    <w:rsid w:val="00951D7D"/>
    <w:rsid w:val="0095216D"/>
    <w:rsid w:val="00952896"/>
    <w:rsid w:val="009529D7"/>
    <w:rsid w:val="00952A71"/>
    <w:rsid w:val="00953F45"/>
    <w:rsid w:val="009540A3"/>
    <w:rsid w:val="009542D6"/>
    <w:rsid w:val="009547EC"/>
    <w:rsid w:val="00954957"/>
    <w:rsid w:val="00954A4F"/>
    <w:rsid w:val="00954F1A"/>
    <w:rsid w:val="009552CC"/>
    <w:rsid w:val="009556C0"/>
    <w:rsid w:val="009559C8"/>
    <w:rsid w:val="00955C3B"/>
    <w:rsid w:val="00955CBA"/>
    <w:rsid w:val="009561C5"/>
    <w:rsid w:val="0095656E"/>
    <w:rsid w:val="009565FA"/>
    <w:rsid w:val="009569F6"/>
    <w:rsid w:val="00956CBA"/>
    <w:rsid w:val="0095733D"/>
    <w:rsid w:val="009573E6"/>
    <w:rsid w:val="009574C8"/>
    <w:rsid w:val="009578AD"/>
    <w:rsid w:val="00957AE8"/>
    <w:rsid w:val="00957F2A"/>
    <w:rsid w:val="00957F3C"/>
    <w:rsid w:val="00960012"/>
    <w:rsid w:val="0096023D"/>
    <w:rsid w:val="0096040F"/>
    <w:rsid w:val="00960A76"/>
    <w:rsid w:val="00960C6A"/>
    <w:rsid w:val="00960EB0"/>
    <w:rsid w:val="00960F3F"/>
    <w:rsid w:val="009611CD"/>
    <w:rsid w:val="009612E9"/>
    <w:rsid w:val="00961378"/>
    <w:rsid w:val="009615E3"/>
    <w:rsid w:val="009618FE"/>
    <w:rsid w:val="00961FDA"/>
    <w:rsid w:val="009622A6"/>
    <w:rsid w:val="00962520"/>
    <w:rsid w:val="009629A7"/>
    <w:rsid w:val="00962CA5"/>
    <w:rsid w:val="00962E12"/>
    <w:rsid w:val="00963207"/>
    <w:rsid w:val="00963AF0"/>
    <w:rsid w:val="00963C7C"/>
    <w:rsid w:val="00963E6A"/>
    <w:rsid w:val="00964D70"/>
    <w:rsid w:val="00965204"/>
    <w:rsid w:val="009657C2"/>
    <w:rsid w:val="009667FE"/>
    <w:rsid w:val="009669C2"/>
    <w:rsid w:val="00966D8C"/>
    <w:rsid w:val="00966FF0"/>
    <w:rsid w:val="009672E5"/>
    <w:rsid w:val="009673B9"/>
    <w:rsid w:val="00967BE7"/>
    <w:rsid w:val="00967D70"/>
    <w:rsid w:val="00967F30"/>
    <w:rsid w:val="00967F73"/>
    <w:rsid w:val="00967FE3"/>
    <w:rsid w:val="0097018E"/>
    <w:rsid w:val="0097047A"/>
    <w:rsid w:val="00970766"/>
    <w:rsid w:val="00970B58"/>
    <w:rsid w:val="0097111B"/>
    <w:rsid w:val="00971435"/>
    <w:rsid w:val="0097179D"/>
    <w:rsid w:val="00971B5A"/>
    <w:rsid w:val="00972368"/>
    <w:rsid w:val="009723C6"/>
    <w:rsid w:val="00972CD9"/>
    <w:rsid w:val="00972F57"/>
    <w:rsid w:val="0097306E"/>
    <w:rsid w:val="0097306F"/>
    <w:rsid w:val="0097308F"/>
    <w:rsid w:val="0097355E"/>
    <w:rsid w:val="0097390C"/>
    <w:rsid w:val="0097391C"/>
    <w:rsid w:val="00973AE0"/>
    <w:rsid w:val="00973D06"/>
    <w:rsid w:val="00973DE9"/>
    <w:rsid w:val="0097409A"/>
    <w:rsid w:val="0097492B"/>
    <w:rsid w:val="00974B1E"/>
    <w:rsid w:val="00974DF7"/>
    <w:rsid w:val="00974E68"/>
    <w:rsid w:val="0097531A"/>
    <w:rsid w:val="009755CF"/>
    <w:rsid w:val="009756D1"/>
    <w:rsid w:val="00975741"/>
    <w:rsid w:val="009757B8"/>
    <w:rsid w:val="00975976"/>
    <w:rsid w:val="0097630E"/>
    <w:rsid w:val="00976BF6"/>
    <w:rsid w:val="00976C76"/>
    <w:rsid w:val="00976F90"/>
    <w:rsid w:val="009775F6"/>
    <w:rsid w:val="00977710"/>
    <w:rsid w:val="00977BF2"/>
    <w:rsid w:val="00980747"/>
    <w:rsid w:val="00980D7C"/>
    <w:rsid w:val="009812F7"/>
    <w:rsid w:val="009818C5"/>
    <w:rsid w:val="009818EB"/>
    <w:rsid w:val="0098196E"/>
    <w:rsid w:val="00981C4D"/>
    <w:rsid w:val="0098237A"/>
    <w:rsid w:val="009823E2"/>
    <w:rsid w:val="00982615"/>
    <w:rsid w:val="00982634"/>
    <w:rsid w:val="009826FF"/>
    <w:rsid w:val="00982BCC"/>
    <w:rsid w:val="00982C61"/>
    <w:rsid w:val="0098368A"/>
    <w:rsid w:val="0098478A"/>
    <w:rsid w:val="009848AA"/>
    <w:rsid w:val="00984C54"/>
    <w:rsid w:val="00984F29"/>
    <w:rsid w:val="00985270"/>
    <w:rsid w:val="00985377"/>
    <w:rsid w:val="009853D7"/>
    <w:rsid w:val="009858FF"/>
    <w:rsid w:val="0098592E"/>
    <w:rsid w:val="00985A33"/>
    <w:rsid w:val="00985D9E"/>
    <w:rsid w:val="00985DA9"/>
    <w:rsid w:val="009861C4"/>
    <w:rsid w:val="0098623F"/>
    <w:rsid w:val="009866CB"/>
    <w:rsid w:val="00986B73"/>
    <w:rsid w:val="00986FF0"/>
    <w:rsid w:val="009872FE"/>
    <w:rsid w:val="009874E5"/>
    <w:rsid w:val="0098777F"/>
    <w:rsid w:val="0098786B"/>
    <w:rsid w:val="00987881"/>
    <w:rsid w:val="00987AEE"/>
    <w:rsid w:val="00987CAD"/>
    <w:rsid w:val="00990121"/>
    <w:rsid w:val="009904CC"/>
    <w:rsid w:val="0099063B"/>
    <w:rsid w:val="00990B32"/>
    <w:rsid w:val="0099102F"/>
    <w:rsid w:val="0099126E"/>
    <w:rsid w:val="0099188D"/>
    <w:rsid w:val="009918D1"/>
    <w:rsid w:val="00991BF6"/>
    <w:rsid w:val="00992273"/>
    <w:rsid w:val="00992ACA"/>
    <w:rsid w:val="00992F4A"/>
    <w:rsid w:val="0099301C"/>
    <w:rsid w:val="0099367F"/>
    <w:rsid w:val="009936F4"/>
    <w:rsid w:val="009937F3"/>
    <w:rsid w:val="00993C18"/>
    <w:rsid w:val="00993CEA"/>
    <w:rsid w:val="00993D33"/>
    <w:rsid w:val="00994761"/>
    <w:rsid w:val="00994968"/>
    <w:rsid w:val="00994A15"/>
    <w:rsid w:val="00994AD0"/>
    <w:rsid w:val="00994EFB"/>
    <w:rsid w:val="009951F0"/>
    <w:rsid w:val="009952E5"/>
    <w:rsid w:val="009954FD"/>
    <w:rsid w:val="00995B43"/>
    <w:rsid w:val="00995D4B"/>
    <w:rsid w:val="0099611E"/>
    <w:rsid w:val="0099612A"/>
    <w:rsid w:val="009964D7"/>
    <w:rsid w:val="009967CF"/>
    <w:rsid w:val="0099682D"/>
    <w:rsid w:val="009971C4"/>
    <w:rsid w:val="0099787E"/>
    <w:rsid w:val="00997BF7"/>
    <w:rsid w:val="00997C6B"/>
    <w:rsid w:val="00997C92"/>
    <w:rsid w:val="00997DC4"/>
    <w:rsid w:val="00997FE1"/>
    <w:rsid w:val="009A0012"/>
    <w:rsid w:val="009A02B4"/>
    <w:rsid w:val="009A0368"/>
    <w:rsid w:val="009A05E8"/>
    <w:rsid w:val="009A090D"/>
    <w:rsid w:val="009A0D3C"/>
    <w:rsid w:val="009A15C9"/>
    <w:rsid w:val="009A1CF9"/>
    <w:rsid w:val="009A2401"/>
    <w:rsid w:val="009A25E1"/>
    <w:rsid w:val="009A26E2"/>
    <w:rsid w:val="009A274F"/>
    <w:rsid w:val="009A280B"/>
    <w:rsid w:val="009A30FA"/>
    <w:rsid w:val="009A3227"/>
    <w:rsid w:val="009A3250"/>
    <w:rsid w:val="009A366D"/>
    <w:rsid w:val="009A367E"/>
    <w:rsid w:val="009A3FFD"/>
    <w:rsid w:val="009A41D3"/>
    <w:rsid w:val="009A479F"/>
    <w:rsid w:val="009A4C1D"/>
    <w:rsid w:val="009A4DB0"/>
    <w:rsid w:val="009A4DD8"/>
    <w:rsid w:val="009A4E28"/>
    <w:rsid w:val="009A4E46"/>
    <w:rsid w:val="009A5AD2"/>
    <w:rsid w:val="009A5B50"/>
    <w:rsid w:val="009A5CAC"/>
    <w:rsid w:val="009A60E5"/>
    <w:rsid w:val="009A663B"/>
    <w:rsid w:val="009A6647"/>
    <w:rsid w:val="009A6A46"/>
    <w:rsid w:val="009A6B54"/>
    <w:rsid w:val="009A6B91"/>
    <w:rsid w:val="009A6D72"/>
    <w:rsid w:val="009A70E8"/>
    <w:rsid w:val="009A7138"/>
    <w:rsid w:val="009A7257"/>
    <w:rsid w:val="009A7306"/>
    <w:rsid w:val="009A7838"/>
    <w:rsid w:val="009A7A0D"/>
    <w:rsid w:val="009A7BE1"/>
    <w:rsid w:val="009B03FB"/>
    <w:rsid w:val="009B055A"/>
    <w:rsid w:val="009B0743"/>
    <w:rsid w:val="009B0814"/>
    <w:rsid w:val="009B106F"/>
    <w:rsid w:val="009B142D"/>
    <w:rsid w:val="009B1B3F"/>
    <w:rsid w:val="009B1D08"/>
    <w:rsid w:val="009B2364"/>
    <w:rsid w:val="009B2BEA"/>
    <w:rsid w:val="009B2E54"/>
    <w:rsid w:val="009B356F"/>
    <w:rsid w:val="009B4453"/>
    <w:rsid w:val="009B49FC"/>
    <w:rsid w:val="009B4B03"/>
    <w:rsid w:val="009B4DC5"/>
    <w:rsid w:val="009B4F08"/>
    <w:rsid w:val="009B5FAF"/>
    <w:rsid w:val="009B6152"/>
    <w:rsid w:val="009B618F"/>
    <w:rsid w:val="009B67D1"/>
    <w:rsid w:val="009B681A"/>
    <w:rsid w:val="009B70C0"/>
    <w:rsid w:val="009B75F0"/>
    <w:rsid w:val="009B7CF5"/>
    <w:rsid w:val="009C0180"/>
    <w:rsid w:val="009C026B"/>
    <w:rsid w:val="009C0387"/>
    <w:rsid w:val="009C0630"/>
    <w:rsid w:val="009C0915"/>
    <w:rsid w:val="009C0A07"/>
    <w:rsid w:val="009C0AA3"/>
    <w:rsid w:val="009C10ED"/>
    <w:rsid w:val="009C142F"/>
    <w:rsid w:val="009C16DA"/>
    <w:rsid w:val="009C1707"/>
    <w:rsid w:val="009C18B9"/>
    <w:rsid w:val="009C1C05"/>
    <w:rsid w:val="009C20AB"/>
    <w:rsid w:val="009C2A83"/>
    <w:rsid w:val="009C2B93"/>
    <w:rsid w:val="009C2D17"/>
    <w:rsid w:val="009C31BA"/>
    <w:rsid w:val="009C34C8"/>
    <w:rsid w:val="009C36D7"/>
    <w:rsid w:val="009C3722"/>
    <w:rsid w:val="009C4EC5"/>
    <w:rsid w:val="009C4F39"/>
    <w:rsid w:val="009C5061"/>
    <w:rsid w:val="009C5AD3"/>
    <w:rsid w:val="009C5B27"/>
    <w:rsid w:val="009C5EFF"/>
    <w:rsid w:val="009C611F"/>
    <w:rsid w:val="009C640F"/>
    <w:rsid w:val="009C6F6E"/>
    <w:rsid w:val="009C7477"/>
    <w:rsid w:val="009C7E1A"/>
    <w:rsid w:val="009D05EB"/>
    <w:rsid w:val="009D06B4"/>
    <w:rsid w:val="009D0836"/>
    <w:rsid w:val="009D08C8"/>
    <w:rsid w:val="009D0F27"/>
    <w:rsid w:val="009D0F31"/>
    <w:rsid w:val="009D102B"/>
    <w:rsid w:val="009D139B"/>
    <w:rsid w:val="009D14E8"/>
    <w:rsid w:val="009D1633"/>
    <w:rsid w:val="009D1818"/>
    <w:rsid w:val="009D19BB"/>
    <w:rsid w:val="009D19F8"/>
    <w:rsid w:val="009D1A98"/>
    <w:rsid w:val="009D1FC7"/>
    <w:rsid w:val="009D205B"/>
    <w:rsid w:val="009D2947"/>
    <w:rsid w:val="009D2A60"/>
    <w:rsid w:val="009D2CB7"/>
    <w:rsid w:val="009D2EBA"/>
    <w:rsid w:val="009D3411"/>
    <w:rsid w:val="009D35D3"/>
    <w:rsid w:val="009D4524"/>
    <w:rsid w:val="009D46D5"/>
    <w:rsid w:val="009D4AD8"/>
    <w:rsid w:val="009D4FFD"/>
    <w:rsid w:val="009D5817"/>
    <w:rsid w:val="009D5A8F"/>
    <w:rsid w:val="009D5BFD"/>
    <w:rsid w:val="009D66A1"/>
    <w:rsid w:val="009D6830"/>
    <w:rsid w:val="009D6B05"/>
    <w:rsid w:val="009D6FA1"/>
    <w:rsid w:val="009D7414"/>
    <w:rsid w:val="009D7836"/>
    <w:rsid w:val="009D7E34"/>
    <w:rsid w:val="009E03B4"/>
    <w:rsid w:val="009E07B8"/>
    <w:rsid w:val="009E18CC"/>
    <w:rsid w:val="009E1B0A"/>
    <w:rsid w:val="009E1E3C"/>
    <w:rsid w:val="009E24F0"/>
    <w:rsid w:val="009E252F"/>
    <w:rsid w:val="009E2A37"/>
    <w:rsid w:val="009E2C93"/>
    <w:rsid w:val="009E2CF8"/>
    <w:rsid w:val="009E2FD2"/>
    <w:rsid w:val="009E32C2"/>
    <w:rsid w:val="009E358C"/>
    <w:rsid w:val="009E3A7D"/>
    <w:rsid w:val="009E3AD1"/>
    <w:rsid w:val="009E3B49"/>
    <w:rsid w:val="009E3E34"/>
    <w:rsid w:val="009E3FDA"/>
    <w:rsid w:val="009E4146"/>
    <w:rsid w:val="009E4626"/>
    <w:rsid w:val="009E4845"/>
    <w:rsid w:val="009E4AE3"/>
    <w:rsid w:val="009E4B5C"/>
    <w:rsid w:val="009E4E38"/>
    <w:rsid w:val="009E516A"/>
    <w:rsid w:val="009E57B9"/>
    <w:rsid w:val="009E5B2F"/>
    <w:rsid w:val="009E5C74"/>
    <w:rsid w:val="009E65AB"/>
    <w:rsid w:val="009E6653"/>
    <w:rsid w:val="009E6887"/>
    <w:rsid w:val="009E69FC"/>
    <w:rsid w:val="009E6EEE"/>
    <w:rsid w:val="009E7049"/>
    <w:rsid w:val="009E7A62"/>
    <w:rsid w:val="009E7F7F"/>
    <w:rsid w:val="009F008B"/>
    <w:rsid w:val="009F03DD"/>
    <w:rsid w:val="009F072F"/>
    <w:rsid w:val="009F0786"/>
    <w:rsid w:val="009F1CBA"/>
    <w:rsid w:val="009F1CDF"/>
    <w:rsid w:val="009F267C"/>
    <w:rsid w:val="009F28D6"/>
    <w:rsid w:val="009F2B11"/>
    <w:rsid w:val="009F2BFE"/>
    <w:rsid w:val="009F2C0B"/>
    <w:rsid w:val="009F2CDD"/>
    <w:rsid w:val="009F2E3F"/>
    <w:rsid w:val="009F2E8D"/>
    <w:rsid w:val="009F3122"/>
    <w:rsid w:val="009F3124"/>
    <w:rsid w:val="009F3D3D"/>
    <w:rsid w:val="009F4549"/>
    <w:rsid w:val="009F47CD"/>
    <w:rsid w:val="009F48DE"/>
    <w:rsid w:val="009F4A80"/>
    <w:rsid w:val="009F4B20"/>
    <w:rsid w:val="009F4CA6"/>
    <w:rsid w:val="009F4EB9"/>
    <w:rsid w:val="009F5339"/>
    <w:rsid w:val="009F54C7"/>
    <w:rsid w:val="009F560B"/>
    <w:rsid w:val="009F5A4E"/>
    <w:rsid w:val="009F5AC5"/>
    <w:rsid w:val="009F5BC8"/>
    <w:rsid w:val="009F60DC"/>
    <w:rsid w:val="009F6209"/>
    <w:rsid w:val="009F62A6"/>
    <w:rsid w:val="009F65F3"/>
    <w:rsid w:val="009F73AA"/>
    <w:rsid w:val="009F7AEE"/>
    <w:rsid w:val="009F7E65"/>
    <w:rsid w:val="00A00035"/>
    <w:rsid w:val="00A00265"/>
    <w:rsid w:val="00A0081B"/>
    <w:rsid w:val="00A00A3E"/>
    <w:rsid w:val="00A00B72"/>
    <w:rsid w:val="00A00FDA"/>
    <w:rsid w:val="00A01FF6"/>
    <w:rsid w:val="00A020C4"/>
    <w:rsid w:val="00A0228C"/>
    <w:rsid w:val="00A02C85"/>
    <w:rsid w:val="00A02D0F"/>
    <w:rsid w:val="00A02E32"/>
    <w:rsid w:val="00A03090"/>
    <w:rsid w:val="00A03260"/>
    <w:rsid w:val="00A033DF"/>
    <w:rsid w:val="00A039B9"/>
    <w:rsid w:val="00A03D5D"/>
    <w:rsid w:val="00A041D8"/>
    <w:rsid w:val="00A04303"/>
    <w:rsid w:val="00A0448C"/>
    <w:rsid w:val="00A0461F"/>
    <w:rsid w:val="00A04776"/>
    <w:rsid w:val="00A0486E"/>
    <w:rsid w:val="00A04FB2"/>
    <w:rsid w:val="00A04FD3"/>
    <w:rsid w:val="00A05239"/>
    <w:rsid w:val="00A055DD"/>
    <w:rsid w:val="00A05E42"/>
    <w:rsid w:val="00A05E61"/>
    <w:rsid w:val="00A060E1"/>
    <w:rsid w:val="00A0619C"/>
    <w:rsid w:val="00A0628D"/>
    <w:rsid w:val="00A06475"/>
    <w:rsid w:val="00A064AC"/>
    <w:rsid w:val="00A06B4F"/>
    <w:rsid w:val="00A06D06"/>
    <w:rsid w:val="00A0750F"/>
    <w:rsid w:val="00A077C5"/>
    <w:rsid w:val="00A077CA"/>
    <w:rsid w:val="00A07D52"/>
    <w:rsid w:val="00A07E5A"/>
    <w:rsid w:val="00A10396"/>
    <w:rsid w:val="00A10418"/>
    <w:rsid w:val="00A106E3"/>
    <w:rsid w:val="00A107FF"/>
    <w:rsid w:val="00A10ACC"/>
    <w:rsid w:val="00A10CC3"/>
    <w:rsid w:val="00A10CCB"/>
    <w:rsid w:val="00A11055"/>
    <w:rsid w:val="00A11170"/>
    <w:rsid w:val="00A114F3"/>
    <w:rsid w:val="00A1166E"/>
    <w:rsid w:val="00A11693"/>
    <w:rsid w:val="00A11930"/>
    <w:rsid w:val="00A11A69"/>
    <w:rsid w:val="00A11D82"/>
    <w:rsid w:val="00A123F8"/>
    <w:rsid w:val="00A12A47"/>
    <w:rsid w:val="00A12D9B"/>
    <w:rsid w:val="00A12DA4"/>
    <w:rsid w:val="00A12E02"/>
    <w:rsid w:val="00A12E7E"/>
    <w:rsid w:val="00A12EE5"/>
    <w:rsid w:val="00A1304A"/>
    <w:rsid w:val="00A13124"/>
    <w:rsid w:val="00A13148"/>
    <w:rsid w:val="00A13193"/>
    <w:rsid w:val="00A13381"/>
    <w:rsid w:val="00A1338F"/>
    <w:rsid w:val="00A13566"/>
    <w:rsid w:val="00A13E15"/>
    <w:rsid w:val="00A13FC8"/>
    <w:rsid w:val="00A14173"/>
    <w:rsid w:val="00A14187"/>
    <w:rsid w:val="00A14347"/>
    <w:rsid w:val="00A145C9"/>
    <w:rsid w:val="00A14748"/>
    <w:rsid w:val="00A1480F"/>
    <w:rsid w:val="00A14892"/>
    <w:rsid w:val="00A14F14"/>
    <w:rsid w:val="00A15B67"/>
    <w:rsid w:val="00A15E12"/>
    <w:rsid w:val="00A15F2E"/>
    <w:rsid w:val="00A16119"/>
    <w:rsid w:val="00A16135"/>
    <w:rsid w:val="00A17099"/>
    <w:rsid w:val="00A171BD"/>
    <w:rsid w:val="00A174C2"/>
    <w:rsid w:val="00A17572"/>
    <w:rsid w:val="00A17826"/>
    <w:rsid w:val="00A179CD"/>
    <w:rsid w:val="00A17E98"/>
    <w:rsid w:val="00A20048"/>
    <w:rsid w:val="00A2053E"/>
    <w:rsid w:val="00A20D95"/>
    <w:rsid w:val="00A222B2"/>
    <w:rsid w:val="00A22349"/>
    <w:rsid w:val="00A225D4"/>
    <w:rsid w:val="00A22D09"/>
    <w:rsid w:val="00A23031"/>
    <w:rsid w:val="00A23377"/>
    <w:rsid w:val="00A2362C"/>
    <w:rsid w:val="00A23732"/>
    <w:rsid w:val="00A23BF7"/>
    <w:rsid w:val="00A23F79"/>
    <w:rsid w:val="00A2423A"/>
    <w:rsid w:val="00A24972"/>
    <w:rsid w:val="00A254A0"/>
    <w:rsid w:val="00A254E9"/>
    <w:rsid w:val="00A25554"/>
    <w:rsid w:val="00A258C2"/>
    <w:rsid w:val="00A25B5A"/>
    <w:rsid w:val="00A25D2C"/>
    <w:rsid w:val="00A25E83"/>
    <w:rsid w:val="00A261B3"/>
    <w:rsid w:val="00A26CA2"/>
    <w:rsid w:val="00A26F02"/>
    <w:rsid w:val="00A2701E"/>
    <w:rsid w:val="00A272E8"/>
    <w:rsid w:val="00A30028"/>
    <w:rsid w:val="00A3018E"/>
    <w:rsid w:val="00A30302"/>
    <w:rsid w:val="00A3033D"/>
    <w:rsid w:val="00A30444"/>
    <w:rsid w:val="00A306DE"/>
    <w:rsid w:val="00A307E4"/>
    <w:rsid w:val="00A30CE5"/>
    <w:rsid w:val="00A30D83"/>
    <w:rsid w:val="00A30E64"/>
    <w:rsid w:val="00A31193"/>
    <w:rsid w:val="00A31321"/>
    <w:rsid w:val="00A314F2"/>
    <w:rsid w:val="00A31522"/>
    <w:rsid w:val="00A3159F"/>
    <w:rsid w:val="00A31E85"/>
    <w:rsid w:val="00A31F9E"/>
    <w:rsid w:val="00A32199"/>
    <w:rsid w:val="00A323E8"/>
    <w:rsid w:val="00A324BD"/>
    <w:rsid w:val="00A32562"/>
    <w:rsid w:val="00A32AF1"/>
    <w:rsid w:val="00A32E09"/>
    <w:rsid w:val="00A32F64"/>
    <w:rsid w:val="00A3352B"/>
    <w:rsid w:val="00A33FE5"/>
    <w:rsid w:val="00A34416"/>
    <w:rsid w:val="00A34598"/>
    <w:rsid w:val="00A34A3A"/>
    <w:rsid w:val="00A34ECD"/>
    <w:rsid w:val="00A351BB"/>
    <w:rsid w:val="00A35374"/>
    <w:rsid w:val="00A3557E"/>
    <w:rsid w:val="00A355EF"/>
    <w:rsid w:val="00A358B3"/>
    <w:rsid w:val="00A35A8B"/>
    <w:rsid w:val="00A35D46"/>
    <w:rsid w:val="00A35DDC"/>
    <w:rsid w:val="00A35EF9"/>
    <w:rsid w:val="00A35F63"/>
    <w:rsid w:val="00A36078"/>
    <w:rsid w:val="00A3609B"/>
    <w:rsid w:val="00A36486"/>
    <w:rsid w:val="00A364B8"/>
    <w:rsid w:val="00A36875"/>
    <w:rsid w:val="00A36B05"/>
    <w:rsid w:val="00A36C9D"/>
    <w:rsid w:val="00A36D2E"/>
    <w:rsid w:val="00A37132"/>
    <w:rsid w:val="00A377EA"/>
    <w:rsid w:val="00A37A28"/>
    <w:rsid w:val="00A37B80"/>
    <w:rsid w:val="00A37BF5"/>
    <w:rsid w:val="00A37CCE"/>
    <w:rsid w:val="00A37F6F"/>
    <w:rsid w:val="00A40346"/>
    <w:rsid w:val="00A40377"/>
    <w:rsid w:val="00A403E0"/>
    <w:rsid w:val="00A406A3"/>
    <w:rsid w:val="00A40A9B"/>
    <w:rsid w:val="00A40C92"/>
    <w:rsid w:val="00A40D65"/>
    <w:rsid w:val="00A41AE7"/>
    <w:rsid w:val="00A41C82"/>
    <w:rsid w:val="00A420D8"/>
    <w:rsid w:val="00A42A2F"/>
    <w:rsid w:val="00A42A42"/>
    <w:rsid w:val="00A42BD7"/>
    <w:rsid w:val="00A42DE0"/>
    <w:rsid w:val="00A42E16"/>
    <w:rsid w:val="00A43131"/>
    <w:rsid w:val="00A4346C"/>
    <w:rsid w:val="00A43895"/>
    <w:rsid w:val="00A43898"/>
    <w:rsid w:val="00A43BAA"/>
    <w:rsid w:val="00A44123"/>
    <w:rsid w:val="00A448D3"/>
    <w:rsid w:val="00A44AAE"/>
    <w:rsid w:val="00A44F2D"/>
    <w:rsid w:val="00A453E0"/>
    <w:rsid w:val="00A458CF"/>
    <w:rsid w:val="00A45AD1"/>
    <w:rsid w:val="00A45AD3"/>
    <w:rsid w:val="00A46252"/>
    <w:rsid w:val="00A462B9"/>
    <w:rsid w:val="00A46604"/>
    <w:rsid w:val="00A46799"/>
    <w:rsid w:val="00A46C4C"/>
    <w:rsid w:val="00A47866"/>
    <w:rsid w:val="00A47BD8"/>
    <w:rsid w:val="00A47D03"/>
    <w:rsid w:val="00A50356"/>
    <w:rsid w:val="00A50556"/>
    <w:rsid w:val="00A505AE"/>
    <w:rsid w:val="00A506E6"/>
    <w:rsid w:val="00A50912"/>
    <w:rsid w:val="00A509DC"/>
    <w:rsid w:val="00A50BE3"/>
    <w:rsid w:val="00A50DE1"/>
    <w:rsid w:val="00A50F0F"/>
    <w:rsid w:val="00A51064"/>
    <w:rsid w:val="00A51173"/>
    <w:rsid w:val="00A5146E"/>
    <w:rsid w:val="00A5152B"/>
    <w:rsid w:val="00A51FF4"/>
    <w:rsid w:val="00A52121"/>
    <w:rsid w:val="00A5220B"/>
    <w:rsid w:val="00A5298C"/>
    <w:rsid w:val="00A52BEA"/>
    <w:rsid w:val="00A52C09"/>
    <w:rsid w:val="00A52CB3"/>
    <w:rsid w:val="00A52FC2"/>
    <w:rsid w:val="00A5328C"/>
    <w:rsid w:val="00A538C9"/>
    <w:rsid w:val="00A539C4"/>
    <w:rsid w:val="00A53A4D"/>
    <w:rsid w:val="00A53CBA"/>
    <w:rsid w:val="00A53E3D"/>
    <w:rsid w:val="00A543A1"/>
    <w:rsid w:val="00A54640"/>
    <w:rsid w:val="00A54A81"/>
    <w:rsid w:val="00A54CAE"/>
    <w:rsid w:val="00A54D9A"/>
    <w:rsid w:val="00A554A9"/>
    <w:rsid w:val="00A5586C"/>
    <w:rsid w:val="00A55A6A"/>
    <w:rsid w:val="00A55AEB"/>
    <w:rsid w:val="00A560A5"/>
    <w:rsid w:val="00A569FA"/>
    <w:rsid w:val="00A56D0E"/>
    <w:rsid w:val="00A56EDB"/>
    <w:rsid w:val="00A572FE"/>
    <w:rsid w:val="00A57817"/>
    <w:rsid w:val="00A60268"/>
    <w:rsid w:val="00A602C9"/>
    <w:rsid w:val="00A60701"/>
    <w:rsid w:val="00A60BDE"/>
    <w:rsid w:val="00A61006"/>
    <w:rsid w:val="00A61337"/>
    <w:rsid w:val="00A6139A"/>
    <w:rsid w:val="00A617A9"/>
    <w:rsid w:val="00A6196E"/>
    <w:rsid w:val="00A61AD2"/>
    <w:rsid w:val="00A61BD7"/>
    <w:rsid w:val="00A61CD5"/>
    <w:rsid w:val="00A621F0"/>
    <w:rsid w:val="00A6239D"/>
    <w:rsid w:val="00A6255C"/>
    <w:rsid w:val="00A625EB"/>
    <w:rsid w:val="00A626BA"/>
    <w:rsid w:val="00A6278E"/>
    <w:rsid w:val="00A62EFC"/>
    <w:rsid w:val="00A62F38"/>
    <w:rsid w:val="00A63096"/>
    <w:rsid w:val="00A630E2"/>
    <w:rsid w:val="00A633B8"/>
    <w:rsid w:val="00A63529"/>
    <w:rsid w:val="00A63AD2"/>
    <w:rsid w:val="00A64343"/>
    <w:rsid w:val="00A6464B"/>
    <w:rsid w:val="00A6470E"/>
    <w:rsid w:val="00A649DB"/>
    <w:rsid w:val="00A64ADC"/>
    <w:rsid w:val="00A64C8E"/>
    <w:rsid w:val="00A64CAC"/>
    <w:rsid w:val="00A651AB"/>
    <w:rsid w:val="00A652CD"/>
    <w:rsid w:val="00A65436"/>
    <w:rsid w:val="00A65794"/>
    <w:rsid w:val="00A6594A"/>
    <w:rsid w:val="00A65BC9"/>
    <w:rsid w:val="00A6603F"/>
    <w:rsid w:val="00A6616D"/>
    <w:rsid w:val="00A66577"/>
    <w:rsid w:val="00A665F2"/>
    <w:rsid w:val="00A667D7"/>
    <w:rsid w:val="00A6725D"/>
    <w:rsid w:val="00A67C23"/>
    <w:rsid w:val="00A67CC1"/>
    <w:rsid w:val="00A67D52"/>
    <w:rsid w:val="00A67F9A"/>
    <w:rsid w:val="00A7090B"/>
    <w:rsid w:val="00A70A58"/>
    <w:rsid w:val="00A70AF6"/>
    <w:rsid w:val="00A70D48"/>
    <w:rsid w:val="00A714C0"/>
    <w:rsid w:val="00A71D26"/>
    <w:rsid w:val="00A71E5F"/>
    <w:rsid w:val="00A72430"/>
    <w:rsid w:val="00A729BF"/>
    <w:rsid w:val="00A72AA6"/>
    <w:rsid w:val="00A72AE0"/>
    <w:rsid w:val="00A7341D"/>
    <w:rsid w:val="00A73852"/>
    <w:rsid w:val="00A73EB1"/>
    <w:rsid w:val="00A74653"/>
    <w:rsid w:val="00A748D8"/>
    <w:rsid w:val="00A74C46"/>
    <w:rsid w:val="00A74C7F"/>
    <w:rsid w:val="00A74F09"/>
    <w:rsid w:val="00A750BA"/>
    <w:rsid w:val="00A752CE"/>
    <w:rsid w:val="00A756F6"/>
    <w:rsid w:val="00A757C5"/>
    <w:rsid w:val="00A75A8B"/>
    <w:rsid w:val="00A7637F"/>
    <w:rsid w:val="00A766C4"/>
    <w:rsid w:val="00A7690B"/>
    <w:rsid w:val="00A76941"/>
    <w:rsid w:val="00A76D29"/>
    <w:rsid w:val="00A76D80"/>
    <w:rsid w:val="00A76DF1"/>
    <w:rsid w:val="00A778A1"/>
    <w:rsid w:val="00A779D0"/>
    <w:rsid w:val="00A77A83"/>
    <w:rsid w:val="00A80747"/>
    <w:rsid w:val="00A807F2"/>
    <w:rsid w:val="00A80990"/>
    <w:rsid w:val="00A81232"/>
    <w:rsid w:val="00A8135A"/>
    <w:rsid w:val="00A81980"/>
    <w:rsid w:val="00A81C03"/>
    <w:rsid w:val="00A8241C"/>
    <w:rsid w:val="00A824C5"/>
    <w:rsid w:val="00A827B7"/>
    <w:rsid w:val="00A8299E"/>
    <w:rsid w:val="00A829D5"/>
    <w:rsid w:val="00A82A0C"/>
    <w:rsid w:val="00A82CA2"/>
    <w:rsid w:val="00A82D4A"/>
    <w:rsid w:val="00A82F5C"/>
    <w:rsid w:val="00A8319E"/>
    <w:rsid w:val="00A83524"/>
    <w:rsid w:val="00A838FB"/>
    <w:rsid w:val="00A83A54"/>
    <w:rsid w:val="00A83A98"/>
    <w:rsid w:val="00A83C1F"/>
    <w:rsid w:val="00A83E0A"/>
    <w:rsid w:val="00A84290"/>
    <w:rsid w:val="00A84B26"/>
    <w:rsid w:val="00A84DA0"/>
    <w:rsid w:val="00A85486"/>
    <w:rsid w:val="00A854D3"/>
    <w:rsid w:val="00A8559A"/>
    <w:rsid w:val="00A85719"/>
    <w:rsid w:val="00A85854"/>
    <w:rsid w:val="00A86702"/>
    <w:rsid w:val="00A86BF5"/>
    <w:rsid w:val="00A86EC0"/>
    <w:rsid w:val="00A87720"/>
    <w:rsid w:val="00A87856"/>
    <w:rsid w:val="00A87E2B"/>
    <w:rsid w:val="00A90448"/>
    <w:rsid w:val="00A905B6"/>
    <w:rsid w:val="00A9096C"/>
    <w:rsid w:val="00A90AF3"/>
    <w:rsid w:val="00A90F95"/>
    <w:rsid w:val="00A912B5"/>
    <w:rsid w:val="00A913EB"/>
    <w:rsid w:val="00A914F8"/>
    <w:rsid w:val="00A917C5"/>
    <w:rsid w:val="00A91826"/>
    <w:rsid w:val="00A919D8"/>
    <w:rsid w:val="00A91A0D"/>
    <w:rsid w:val="00A92499"/>
    <w:rsid w:val="00A925E9"/>
    <w:rsid w:val="00A93797"/>
    <w:rsid w:val="00A93889"/>
    <w:rsid w:val="00A94114"/>
    <w:rsid w:val="00A9440E"/>
    <w:rsid w:val="00A947C9"/>
    <w:rsid w:val="00A948B2"/>
    <w:rsid w:val="00A94B57"/>
    <w:rsid w:val="00A94DE1"/>
    <w:rsid w:val="00A94FC4"/>
    <w:rsid w:val="00A95647"/>
    <w:rsid w:val="00A95818"/>
    <w:rsid w:val="00A95991"/>
    <w:rsid w:val="00A95C65"/>
    <w:rsid w:val="00A96685"/>
    <w:rsid w:val="00A967BA"/>
    <w:rsid w:val="00A969FB"/>
    <w:rsid w:val="00A97615"/>
    <w:rsid w:val="00A97A96"/>
    <w:rsid w:val="00A97BEB"/>
    <w:rsid w:val="00A97E70"/>
    <w:rsid w:val="00A97FBD"/>
    <w:rsid w:val="00AA0B2A"/>
    <w:rsid w:val="00AA0C81"/>
    <w:rsid w:val="00AA0DBD"/>
    <w:rsid w:val="00AA0F1C"/>
    <w:rsid w:val="00AA1149"/>
    <w:rsid w:val="00AA14D3"/>
    <w:rsid w:val="00AA1A63"/>
    <w:rsid w:val="00AA1F14"/>
    <w:rsid w:val="00AA2041"/>
    <w:rsid w:val="00AA2407"/>
    <w:rsid w:val="00AA2EC8"/>
    <w:rsid w:val="00AA3457"/>
    <w:rsid w:val="00AA39D8"/>
    <w:rsid w:val="00AA3B8F"/>
    <w:rsid w:val="00AA3D05"/>
    <w:rsid w:val="00AA3EBA"/>
    <w:rsid w:val="00AA3F85"/>
    <w:rsid w:val="00AA403E"/>
    <w:rsid w:val="00AA45BF"/>
    <w:rsid w:val="00AA4748"/>
    <w:rsid w:val="00AA4ACC"/>
    <w:rsid w:val="00AA5074"/>
    <w:rsid w:val="00AA512C"/>
    <w:rsid w:val="00AA5342"/>
    <w:rsid w:val="00AA54F5"/>
    <w:rsid w:val="00AA550A"/>
    <w:rsid w:val="00AA5626"/>
    <w:rsid w:val="00AA5972"/>
    <w:rsid w:val="00AA5C99"/>
    <w:rsid w:val="00AA5D97"/>
    <w:rsid w:val="00AA63DF"/>
    <w:rsid w:val="00AA65E3"/>
    <w:rsid w:val="00AA66F1"/>
    <w:rsid w:val="00AA6771"/>
    <w:rsid w:val="00AA67A0"/>
    <w:rsid w:val="00AA6803"/>
    <w:rsid w:val="00AA6A25"/>
    <w:rsid w:val="00AA6BD2"/>
    <w:rsid w:val="00AA6CC3"/>
    <w:rsid w:val="00AA6E65"/>
    <w:rsid w:val="00AA7201"/>
    <w:rsid w:val="00AA7848"/>
    <w:rsid w:val="00AA79E6"/>
    <w:rsid w:val="00AA7A75"/>
    <w:rsid w:val="00AA7BB0"/>
    <w:rsid w:val="00AA7ECA"/>
    <w:rsid w:val="00AB00B4"/>
    <w:rsid w:val="00AB0384"/>
    <w:rsid w:val="00AB07FB"/>
    <w:rsid w:val="00AB0E1C"/>
    <w:rsid w:val="00AB0E50"/>
    <w:rsid w:val="00AB1027"/>
    <w:rsid w:val="00AB1262"/>
    <w:rsid w:val="00AB174F"/>
    <w:rsid w:val="00AB18FE"/>
    <w:rsid w:val="00AB1C78"/>
    <w:rsid w:val="00AB2C4D"/>
    <w:rsid w:val="00AB2F1E"/>
    <w:rsid w:val="00AB30E3"/>
    <w:rsid w:val="00AB3522"/>
    <w:rsid w:val="00AB35D0"/>
    <w:rsid w:val="00AB36AE"/>
    <w:rsid w:val="00AB372B"/>
    <w:rsid w:val="00AB3BF4"/>
    <w:rsid w:val="00AB3C46"/>
    <w:rsid w:val="00AB3C4E"/>
    <w:rsid w:val="00AB3CBA"/>
    <w:rsid w:val="00AB4F52"/>
    <w:rsid w:val="00AB538C"/>
    <w:rsid w:val="00AB53D7"/>
    <w:rsid w:val="00AB5445"/>
    <w:rsid w:val="00AB5614"/>
    <w:rsid w:val="00AB56D7"/>
    <w:rsid w:val="00AB5854"/>
    <w:rsid w:val="00AB5972"/>
    <w:rsid w:val="00AB5A67"/>
    <w:rsid w:val="00AB61C3"/>
    <w:rsid w:val="00AB65AD"/>
    <w:rsid w:val="00AB6C88"/>
    <w:rsid w:val="00AB6D47"/>
    <w:rsid w:val="00AB70EE"/>
    <w:rsid w:val="00AB7110"/>
    <w:rsid w:val="00AB7942"/>
    <w:rsid w:val="00AB7B3B"/>
    <w:rsid w:val="00AB7E4C"/>
    <w:rsid w:val="00AC00F6"/>
    <w:rsid w:val="00AC0260"/>
    <w:rsid w:val="00AC061A"/>
    <w:rsid w:val="00AC0866"/>
    <w:rsid w:val="00AC0D50"/>
    <w:rsid w:val="00AC0F8A"/>
    <w:rsid w:val="00AC13BB"/>
    <w:rsid w:val="00AC13D3"/>
    <w:rsid w:val="00AC1829"/>
    <w:rsid w:val="00AC1AC4"/>
    <w:rsid w:val="00AC1D7F"/>
    <w:rsid w:val="00AC1EC3"/>
    <w:rsid w:val="00AC237C"/>
    <w:rsid w:val="00AC26D3"/>
    <w:rsid w:val="00AC28CC"/>
    <w:rsid w:val="00AC2D68"/>
    <w:rsid w:val="00AC30A1"/>
    <w:rsid w:val="00AC3174"/>
    <w:rsid w:val="00AC317C"/>
    <w:rsid w:val="00AC350E"/>
    <w:rsid w:val="00AC3891"/>
    <w:rsid w:val="00AC3900"/>
    <w:rsid w:val="00AC3AAE"/>
    <w:rsid w:val="00AC3C21"/>
    <w:rsid w:val="00AC45B0"/>
    <w:rsid w:val="00AC4903"/>
    <w:rsid w:val="00AC4A22"/>
    <w:rsid w:val="00AC4A9F"/>
    <w:rsid w:val="00AC4AD3"/>
    <w:rsid w:val="00AC4BBF"/>
    <w:rsid w:val="00AC4DBF"/>
    <w:rsid w:val="00AC52BC"/>
    <w:rsid w:val="00AC54BF"/>
    <w:rsid w:val="00AC596F"/>
    <w:rsid w:val="00AC5ADC"/>
    <w:rsid w:val="00AC5D86"/>
    <w:rsid w:val="00AC5F8D"/>
    <w:rsid w:val="00AC6209"/>
    <w:rsid w:val="00AC64D6"/>
    <w:rsid w:val="00AC6513"/>
    <w:rsid w:val="00AC6645"/>
    <w:rsid w:val="00AC66A1"/>
    <w:rsid w:val="00AC6AD1"/>
    <w:rsid w:val="00AC6E15"/>
    <w:rsid w:val="00AC6F9A"/>
    <w:rsid w:val="00AC706E"/>
    <w:rsid w:val="00AC70FB"/>
    <w:rsid w:val="00AC7142"/>
    <w:rsid w:val="00AC7660"/>
    <w:rsid w:val="00AC78E6"/>
    <w:rsid w:val="00AC7F1B"/>
    <w:rsid w:val="00AD014D"/>
    <w:rsid w:val="00AD0323"/>
    <w:rsid w:val="00AD102F"/>
    <w:rsid w:val="00AD12E8"/>
    <w:rsid w:val="00AD151B"/>
    <w:rsid w:val="00AD193B"/>
    <w:rsid w:val="00AD1B13"/>
    <w:rsid w:val="00AD20DF"/>
    <w:rsid w:val="00AD224A"/>
    <w:rsid w:val="00AD2296"/>
    <w:rsid w:val="00AD2B5A"/>
    <w:rsid w:val="00AD3D58"/>
    <w:rsid w:val="00AD3DAF"/>
    <w:rsid w:val="00AD3FD1"/>
    <w:rsid w:val="00AD40C5"/>
    <w:rsid w:val="00AD47D8"/>
    <w:rsid w:val="00AD4D82"/>
    <w:rsid w:val="00AD4DBE"/>
    <w:rsid w:val="00AD4EDF"/>
    <w:rsid w:val="00AD519B"/>
    <w:rsid w:val="00AD5294"/>
    <w:rsid w:val="00AD56E2"/>
    <w:rsid w:val="00AD5890"/>
    <w:rsid w:val="00AD5A9D"/>
    <w:rsid w:val="00AD5BC5"/>
    <w:rsid w:val="00AD5D74"/>
    <w:rsid w:val="00AD5D8B"/>
    <w:rsid w:val="00AD5DB8"/>
    <w:rsid w:val="00AD6196"/>
    <w:rsid w:val="00AD63D0"/>
    <w:rsid w:val="00AD6418"/>
    <w:rsid w:val="00AD688F"/>
    <w:rsid w:val="00AD693C"/>
    <w:rsid w:val="00AD69F4"/>
    <w:rsid w:val="00AD6E13"/>
    <w:rsid w:val="00AD76CA"/>
    <w:rsid w:val="00AD7E95"/>
    <w:rsid w:val="00AD7EEC"/>
    <w:rsid w:val="00AE01EC"/>
    <w:rsid w:val="00AE03CC"/>
    <w:rsid w:val="00AE065C"/>
    <w:rsid w:val="00AE0CC9"/>
    <w:rsid w:val="00AE1B26"/>
    <w:rsid w:val="00AE1B40"/>
    <w:rsid w:val="00AE1C9F"/>
    <w:rsid w:val="00AE2327"/>
    <w:rsid w:val="00AE2348"/>
    <w:rsid w:val="00AE24D8"/>
    <w:rsid w:val="00AE2715"/>
    <w:rsid w:val="00AE2760"/>
    <w:rsid w:val="00AE2BEE"/>
    <w:rsid w:val="00AE2E18"/>
    <w:rsid w:val="00AE305F"/>
    <w:rsid w:val="00AE3873"/>
    <w:rsid w:val="00AE3C40"/>
    <w:rsid w:val="00AE3D24"/>
    <w:rsid w:val="00AE3F2A"/>
    <w:rsid w:val="00AE42E1"/>
    <w:rsid w:val="00AE4417"/>
    <w:rsid w:val="00AE4421"/>
    <w:rsid w:val="00AE51B8"/>
    <w:rsid w:val="00AE5355"/>
    <w:rsid w:val="00AE547F"/>
    <w:rsid w:val="00AE5573"/>
    <w:rsid w:val="00AE569D"/>
    <w:rsid w:val="00AE572F"/>
    <w:rsid w:val="00AE5748"/>
    <w:rsid w:val="00AE577A"/>
    <w:rsid w:val="00AE5C4E"/>
    <w:rsid w:val="00AE5E5B"/>
    <w:rsid w:val="00AE641B"/>
    <w:rsid w:val="00AE667D"/>
    <w:rsid w:val="00AE67EC"/>
    <w:rsid w:val="00AE6B4A"/>
    <w:rsid w:val="00AE6BD2"/>
    <w:rsid w:val="00AE7DDA"/>
    <w:rsid w:val="00AE7F8F"/>
    <w:rsid w:val="00AF02AA"/>
    <w:rsid w:val="00AF034F"/>
    <w:rsid w:val="00AF064C"/>
    <w:rsid w:val="00AF076A"/>
    <w:rsid w:val="00AF0CE7"/>
    <w:rsid w:val="00AF0F34"/>
    <w:rsid w:val="00AF13F9"/>
    <w:rsid w:val="00AF146F"/>
    <w:rsid w:val="00AF1889"/>
    <w:rsid w:val="00AF1CD2"/>
    <w:rsid w:val="00AF1E7A"/>
    <w:rsid w:val="00AF1F91"/>
    <w:rsid w:val="00AF2437"/>
    <w:rsid w:val="00AF2492"/>
    <w:rsid w:val="00AF2969"/>
    <w:rsid w:val="00AF2A92"/>
    <w:rsid w:val="00AF2AC4"/>
    <w:rsid w:val="00AF2C01"/>
    <w:rsid w:val="00AF2F71"/>
    <w:rsid w:val="00AF3116"/>
    <w:rsid w:val="00AF3479"/>
    <w:rsid w:val="00AF347F"/>
    <w:rsid w:val="00AF37B6"/>
    <w:rsid w:val="00AF3CA2"/>
    <w:rsid w:val="00AF3EFE"/>
    <w:rsid w:val="00AF4007"/>
    <w:rsid w:val="00AF406E"/>
    <w:rsid w:val="00AF4274"/>
    <w:rsid w:val="00AF46A2"/>
    <w:rsid w:val="00AF50EF"/>
    <w:rsid w:val="00AF5550"/>
    <w:rsid w:val="00AF5755"/>
    <w:rsid w:val="00AF5B68"/>
    <w:rsid w:val="00AF5E48"/>
    <w:rsid w:val="00AF714C"/>
    <w:rsid w:val="00AF735A"/>
    <w:rsid w:val="00AF788F"/>
    <w:rsid w:val="00AF795C"/>
    <w:rsid w:val="00AF7F51"/>
    <w:rsid w:val="00B00134"/>
    <w:rsid w:val="00B002F3"/>
    <w:rsid w:val="00B00F7B"/>
    <w:rsid w:val="00B010F3"/>
    <w:rsid w:val="00B01C42"/>
    <w:rsid w:val="00B01C90"/>
    <w:rsid w:val="00B01D31"/>
    <w:rsid w:val="00B02021"/>
    <w:rsid w:val="00B02311"/>
    <w:rsid w:val="00B0281D"/>
    <w:rsid w:val="00B02BC3"/>
    <w:rsid w:val="00B02DBF"/>
    <w:rsid w:val="00B02E35"/>
    <w:rsid w:val="00B02F5B"/>
    <w:rsid w:val="00B02F71"/>
    <w:rsid w:val="00B03234"/>
    <w:rsid w:val="00B0344E"/>
    <w:rsid w:val="00B035E8"/>
    <w:rsid w:val="00B03B8C"/>
    <w:rsid w:val="00B03C88"/>
    <w:rsid w:val="00B04115"/>
    <w:rsid w:val="00B04421"/>
    <w:rsid w:val="00B045B4"/>
    <w:rsid w:val="00B046B4"/>
    <w:rsid w:val="00B04A7A"/>
    <w:rsid w:val="00B04EFB"/>
    <w:rsid w:val="00B04FF9"/>
    <w:rsid w:val="00B0539B"/>
    <w:rsid w:val="00B0553D"/>
    <w:rsid w:val="00B05577"/>
    <w:rsid w:val="00B059DA"/>
    <w:rsid w:val="00B059F7"/>
    <w:rsid w:val="00B05C9D"/>
    <w:rsid w:val="00B05DB5"/>
    <w:rsid w:val="00B06D49"/>
    <w:rsid w:val="00B06F4A"/>
    <w:rsid w:val="00B0710D"/>
    <w:rsid w:val="00B07261"/>
    <w:rsid w:val="00B07467"/>
    <w:rsid w:val="00B10427"/>
    <w:rsid w:val="00B106E6"/>
    <w:rsid w:val="00B10AF3"/>
    <w:rsid w:val="00B1146B"/>
    <w:rsid w:val="00B11D3F"/>
    <w:rsid w:val="00B126F7"/>
    <w:rsid w:val="00B140CE"/>
    <w:rsid w:val="00B143A4"/>
    <w:rsid w:val="00B14550"/>
    <w:rsid w:val="00B147C3"/>
    <w:rsid w:val="00B155F4"/>
    <w:rsid w:val="00B15876"/>
    <w:rsid w:val="00B15A06"/>
    <w:rsid w:val="00B1616D"/>
    <w:rsid w:val="00B161CA"/>
    <w:rsid w:val="00B16211"/>
    <w:rsid w:val="00B1659A"/>
    <w:rsid w:val="00B16996"/>
    <w:rsid w:val="00B16A9B"/>
    <w:rsid w:val="00B16B17"/>
    <w:rsid w:val="00B171B1"/>
    <w:rsid w:val="00B172A3"/>
    <w:rsid w:val="00B1733A"/>
    <w:rsid w:val="00B1759E"/>
    <w:rsid w:val="00B176B8"/>
    <w:rsid w:val="00B1784C"/>
    <w:rsid w:val="00B179AF"/>
    <w:rsid w:val="00B17A8A"/>
    <w:rsid w:val="00B17BA2"/>
    <w:rsid w:val="00B17CF4"/>
    <w:rsid w:val="00B17DF6"/>
    <w:rsid w:val="00B17E7F"/>
    <w:rsid w:val="00B201DA"/>
    <w:rsid w:val="00B20BE0"/>
    <w:rsid w:val="00B21067"/>
    <w:rsid w:val="00B21262"/>
    <w:rsid w:val="00B21320"/>
    <w:rsid w:val="00B21A35"/>
    <w:rsid w:val="00B21DA9"/>
    <w:rsid w:val="00B21E45"/>
    <w:rsid w:val="00B21F22"/>
    <w:rsid w:val="00B226C2"/>
    <w:rsid w:val="00B2270A"/>
    <w:rsid w:val="00B233BE"/>
    <w:rsid w:val="00B233E6"/>
    <w:rsid w:val="00B23617"/>
    <w:rsid w:val="00B237E5"/>
    <w:rsid w:val="00B23D55"/>
    <w:rsid w:val="00B23FD6"/>
    <w:rsid w:val="00B24C4A"/>
    <w:rsid w:val="00B25162"/>
    <w:rsid w:val="00B25426"/>
    <w:rsid w:val="00B25AA2"/>
    <w:rsid w:val="00B25B82"/>
    <w:rsid w:val="00B25C9D"/>
    <w:rsid w:val="00B25CEE"/>
    <w:rsid w:val="00B2612E"/>
    <w:rsid w:val="00B26427"/>
    <w:rsid w:val="00B26556"/>
    <w:rsid w:val="00B26B0D"/>
    <w:rsid w:val="00B26C8C"/>
    <w:rsid w:val="00B26E65"/>
    <w:rsid w:val="00B27308"/>
    <w:rsid w:val="00B27352"/>
    <w:rsid w:val="00B274C2"/>
    <w:rsid w:val="00B2768F"/>
    <w:rsid w:val="00B27AFF"/>
    <w:rsid w:val="00B27DD6"/>
    <w:rsid w:val="00B304DA"/>
    <w:rsid w:val="00B304E2"/>
    <w:rsid w:val="00B305C7"/>
    <w:rsid w:val="00B30861"/>
    <w:rsid w:val="00B30AF2"/>
    <w:rsid w:val="00B311AF"/>
    <w:rsid w:val="00B31340"/>
    <w:rsid w:val="00B31754"/>
    <w:rsid w:val="00B319C9"/>
    <w:rsid w:val="00B31FC9"/>
    <w:rsid w:val="00B32235"/>
    <w:rsid w:val="00B3260B"/>
    <w:rsid w:val="00B328A1"/>
    <w:rsid w:val="00B32AEA"/>
    <w:rsid w:val="00B3318F"/>
    <w:rsid w:val="00B3328F"/>
    <w:rsid w:val="00B3387E"/>
    <w:rsid w:val="00B3415C"/>
    <w:rsid w:val="00B3455B"/>
    <w:rsid w:val="00B347B3"/>
    <w:rsid w:val="00B34845"/>
    <w:rsid w:val="00B34B19"/>
    <w:rsid w:val="00B34EF4"/>
    <w:rsid w:val="00B351C7"/>
    <w:rsid w:val="00B35501"/>
    <w:rsid w:val="00B359AD"/>
    <w:rsid w:val="00B35BE5"/>
    <w:rsid w:val="00B35F1D"/>
    <w:rsid w:val="00B36710"/>
    <w:rsid w:val="00B37104"/>
    <w:rsid w:val="00B3790F"/>
    <w:rsid w:val="00B37950"/>
    <w:rsid w:val="00B37951"/>
    <w:rsid w:val="00B37B58"/>
    <w:rsid w:val="00B37E14"/>
    <w:rsid w:val="00B37F29"/>
    <w:rsid w:val="00B400DF"/>
    <w:rsid w:val="00B4013E"/>
    <w:rsid w:val="00B4026E"/>
    <w:rsid w:val="00B40F37"/>
    <w:rsid w:val="00B4124B"/>
    <w:rsid w:val="00B41B04"/>
    <w:rsid w:val="00B41BD2"/>
    <w:rsid w:val="00B41C3B"/>
    <w:rsid w:val="00B41DFB"/>
    <w:rsid w:val="00B4203C"/>
    <w:rsid w:val="00B420BB"/>
    <w:rsid w:val="00B423C0"/>
    <w:rsid w:val="00B42BD9"/>
    <w:rsid w:val="00B43111"/>
    <w:rsid w:val="00B4362D"/>
    <w:rsid w:val="00B43686"/>
    <w:rsid w:val="00B43B84"/>
    <w:rsid w:val="00B43D5F"/>
    <w:rsid w:val="00B44690"/>
    <w:rsid w:val="00B448E8"/>
    <w:rsid w:val="00B44C49"/>
    <w:rsid w:val="00B44C79"/>
    <w:rsid w:val="00B44CC4"/>
    <w:rsid w:val="00B44DCD"/>
    <w:rsid w:val="00B44F4A"/>
    <w:rsid w:val="00B45A78"/>
    <w:rsid w:val="00B45A7C"/>
    <w:rsid w:val="00B45B16"/>
    <w:rsid w:val="00B45E14"/>
    <w:rsid w:val="00B46349"/>
    <w:rsid w:val="00B46415"/>
    <w:rsid w:val="00B46424"/>
    <w:rsid w:val="00B464AF"/>
    <w:rsid w:val="00B465A4"/>
    <w:rsid w:val="00B46A48"/>
    <w:rsid w:val="00B46BCE"/>
    <w:rsid w:val="00B46D5B"/>
    <w:rsid w:val="00B46F88"/>
    <w:rsid w:val="00B46FC6"/>
    <w:rsid w:val="00B4705D"/>
    <w:rsid w:val="00B478D7"/>
    <w:rsid w:val="00B47BD8"/>
    <w:rsid w:val="00B500CE"/>
    <w:rsid w:val="00B5026B"/>
    <w:rsid w:val="00B50380"/>
    <w:rsid w:val="00B51305"/>
    <w:rsid w:val="00B51BE5"/>
    <w:rsid w:val="00B51DE9"/>
    <w:rsid w:val="00B51E5E"/>
    <w:rsid w:val="00B51F48"/>
    <w:rsid w:val="00B520BD"/>
    <w:rsid w:val="00B524B6"/>
    <w:rsid w:val="00B52503"/>
    <w:rsid w:val="00B5287C"/>
    <w:rsid w:val="00B52A45"/>
    <w:rsid w:val="00B52C93"/>
    <w:rsid w:val="00B5334A"/>
    <w:rsid w:val="00B53BF7"/>
    <w:rsid w:val="00B53EBD"/>
    <w:rsid w:val="00B53F13"/>
    <w:rsid w:val="00B5401D"/>
    <w:rsid w:val="00B54024"/>
    <w:rsid w:val="00B54151"/>
    <w:rsid w:val="00B541B9"/>
    <w:rsid w:val="00B547B3"/>
    <w:rsid w:val="00B54902"/>
    <w:rsid w:val="00B54C28"/>
    <w:rsid w:val="00B54DC8"/>
    <w:rsid w:val="00B54E6E"/>
    <w:rsid w:val="00B55821"/>
    <w:rsid w:val="00B55A9D"/>
    <w:rsid w:val="00B55D75"/>
    <w:rsid w:val="00B55DBF"/>
    <w:rsid w:val="00B56259"/>
    <w:rsid w:val="00B56B2A"/>
    <w:rsid w:val="00B5719A"/>
    <w:rsid w:val="00B5728B"/>
    <w:rsid w:val="00B57479"/>
    <w:rsid w:val="00B57CE2"/>
    <w:rsid w:val="00B57CF0"/>
    <w:rsid w:val="00B57E79"/>
    <w:rsid w:val="00B57F84"/>
    <w:rsid w:val="00B57FEA"/>
    <w:rsid w:val="00B6061D"/>
    <w:rsid w:val="00B60E99"/>
    <w:rsid w:val="00B60F32"/>
    <w:rsid w:val="00B615B5"/>
    <w:rsid w:val="00B616D6"/>
    <w:rsid w:val="00B61842"/>
    <w:rsid w:val="00B61EB1"/>
    <w:rsid w:val="00B62153"/>
    <w:rsid w:val="00B62654"/>
    <w:rsid w:val="00B629E1"/>
    <w:rsid w:val="00B63089"/>
    <w:rsid w:val="00B63212"/>
    <w:rsid w:val="00B633EC"/>
    <w:rsid w:val="00B6390D"/>
    <w:rsid w:val="00B63CF2"/>
    <w:rsid w:val="00B63ED8"/>
    <w:rsid w:val="00B641EB"/>
    <w:rsid w:val="00B64870"/>
    <w:rsid w:val="00B6487A"/>
    <w:rsid w:val="00B64A51"/>
    <w:rsid w:val="00B64B92"/>
    <w:rsid w:val="00B64CDC"/>
    <w:rsid w:val="00B653D9"/>
    <w:rsid w:val="00B654C1"/>
    <w:rsid w:val="00B654C3"/>
    <w:rsid w:val="00B655B4"/>
    <w:rsid w:val="00B66073"/>
    <w:rsid w:val="00B660B2"/>
    <w:rsid w:val="00B6640B"/>
    <w:rsid w:val="00B6646B"/>
    <w:rsid w:val="00B66643"/>
    <w:rsid w:val="00B66A9C"/>
    <w:rsid w:val="00B66BCD"/>
    <w:rsid w:val="00B66C39"/>
    <w:rsid w:val="00B675F2"/>
    <w:rsid w:val="00B6765D"/>
    <w:rsid w:val="00B6797E"/>
    <w:rsid w:val="00B679EC"/>
    <w:rsid w:val="00B67BA1"/>
    <w:rsid w:val="00B67DA1"/>
    <w:rsid w:val="00B67E7D"/>
    <w:rsid w:val="00B703EF"/>
    <w:rsid w:val="00B70411"/>
    <w:rsid w:val="00B7045F"/>
    <w:rsid w:val="00B705A4"/>
    <w:rsid w:val="00B70AEC"/>
    <w:rsid w:val="00B70B59"/>
    <w:rsid w:val="00B70D13"/>
    <w:rsid w:val="00B70EF5"/>
    <w:rsid w:val="00B71309"/>
    <w:rsid w:val="00B7171D"/>
    <w:rsid w:val="00B71782"/>
    <w:rsid w:val="00B71DE5"/>
    <w:rsid w:val="00B71FD7"/>
    <w:rsid w:val="00B721AF"/>
    <w:rsid w:val="00B72305"/>
    <w:rsid w:val="00B726B9"/>
    <w:rsid w:val="00B72994"/>
    <w:rsid w:val="00B72E37"/>
    <w:rsid w:val="00B72F3B"/>
    <w:rsid w:val="00B7326B"/>
    <w:rsid w:val="00B73A31"/>
    <w:rsid w:val="00B73A7F"/>
    <w:rsid w:val="00B73E86"/>
    <w:rsid w:val="00B740C1"/>
    <w:rsid w:val="00B742B6"/>
    <w:rsid w:val="00B743E6"/>
    <w:rsid w:val="00B750D9"/>
    <w:rsid w:val="00B7516E"/>
    <w:rsid w:val="00B7529B"/>
    <w:rsid w:val="00B75440"/>
    <w:rsid w:val="00B7552D"/>
    <w:rsid w:val="00B75542"/>
    <w:rsid w:val="00B75750"/>
    <w:rsid w:val="00B758DB"/>
    <w:rsid w:val="00B7591D"/>
    <w:rsid w:val="00B75959"/>
    <w:rsid w:val="00B75ACC"/>
    <w:rsid w:val="00B7607C"/>
    <w:rsid w:val="00B765D2"/>
    <w:rsid w:val="00B76764"/>
    <w:rsid w:val="00B76C39"/>
    <w:rsid w:val="00B77076"/>
    <w:rsid w:val="00B77319"/>
    <w:rsid w:val="00B774A4"/>
    <w:rsid w:val="00B77ABA"/>
    <w:rsid w:val="00B77B8C"/>
    <w:rsid w:val="00B77BEC"/>
    <w:rsid w:val="00B80502"/>
    <w:rsid w:val="00B806C3"/>
    <w:rsid w:val="00B80C34"/>
    <w:rsid w:val="00B80C36"/>
    <w:rsid w:val="00B80C45"/>
    <w:rsid w:val="00B80E9D"/>
    <w:rsid w:val="00B80EBF"/>
    <w:rsid w:val="00B811A4"/>
    <w:rsid w:val="00B81580"/>
    <w:rsid w:val="00B817BF"/>
    <w:rsid w:val="00B81C84"/>
    <w:rsid w:val="00B81C9C"/>
    <w:rsid w:val="00B81D4B"/>
    <w:rsid w:val="00B820EB"/>
    <w:rsid w:val="00B82202"/>
    <w:rsid w:val="00B82451"/>
    <w:rsid w:val="00B825EC"/>
    <w:rsid w:val="00B82A0F"/>
    <w:rsid w:val="00B82FEE"/>
    <w:rsid w:val="00B831C4"/>
    <w:rsid w:val="00B833A2"/>
    <w:rsid w:val="00B83402"/>
    <w:rsid w:val="00B834A3"/>
    <w:rsid w:val="00B8384A"/>
    <w:rsid w:val="00B839C8"/>
    <w:rsid w:val="00B83D14"/>
    <w:rsid w:val="00B83DC2"/>
    <w:rsid w:val="00B84360"/>
    <w:rsid w:val="00B84583"/>
    <w:rsid w:val="00B845B8"/>
    <w:rsid w:val="00B84659"/>
    <w:rsid w:val="00B84714"/>
    <w:rsid w:val="00B8484F"/>
    <w:rsid w:val="00B84B45"/>
    <w:rsid w:val="00B84F44"/>
    <w:rsid w:val="00B850E1"/>
    <w:rsid w:val="00B85AA4"/>
    <w:rsid w:val="00B85E43"/>
    <w:rsid w:val="00B85E58"/>
    <w:rsid w:val="00B8636E"/>
    <w:rsid w:val="00B863EE"/>
    <w:rsid w:val="00B86505"/>
    <w:rsid w:val="00B868B1"/>
    <w:rsid w:val="00B8697E"/>
    <w:rsid w:val="00B86B46"/>
    <w:rsid w:val="00B86E4C"/>
    <w:rsid w:val="00B86F47"/>
    <w:rsid w:val="00B87129"/>
    <w:rsid w:val="00B8719B"/>
    <w:rsid w:val="00B87333"/>
    <w:rsid w:val="00B875C2"/>
    <w:rsid w:val="00B8777B"/>
    <w:rsid w:val="00B87F7D"/>
    <w:rsid w:val="00B902FC"/>
    <w:rsid w:val="00B90C87"/>
    <w:rsid w:val="00B9114E"/>
    <w:rsid w:val="00B912E2"/>
    <w:rsid w:val="00B9131E"/>
    <w:rsid w:val="00B9133C"/>
    <w:rsid w:val="00B91D63"/>
    <w:rsid w:val="00B920A3"/>
    <w:rsid w:val="00B922D1"/>
    <w:rsid w:val="00B9234D"/>
    <w:rsid w:val="00B92F3A"/>
    <w:rsid w:val="00B9306A"/>
    <w:rsid w:val="00B930ED"/>
    <w:rsid w:val="00B93199"/>
    <w:rsid w:val="00B931E1"/>
    <w:rsid w:val="00B932D4"/>
    <w:rsid w:val="00B93952"/>
    <w:rsid w:val="00B93A00"/>
    <w:rsid w:val="00B93E2B"/>
    <w:rsid w:val="00B94232"/>
    <w:rsid w:val="00B94739"/>
    <w:rsid w:val="00B947B7"/>
    <w:rsid w:val="00B947E5"/>
    <w:rsid w:val="00B94D63"/>
    <w:rsid w:val="00B9505C"/>
    <w:rsid w:val="00B9511A"/>
    <w:rsid w:val="00B9521D"/>
    <w:rsid w:val="00B953C9"/>
    <w:rsid w:val="00B95E64"/>
    <w:rsid w:val="00B96484"/>
    <w:rsid w:val="00B965CF"/>
    <w:rsid w:val="00B96F3A"/>
    <w:rsid w:val="00B97448"/>
    <w:rsid w:val="00B976D7"/>
    <w:rsid w:val="00B97AB8"/>
    <w:rsid w:val="00BA0048"/>
    <w:rsid w:val="00BA0275"/>
    <w:rsid w:val="00BA0296"/>
    <w:rsid w:val="00BA0AB0"/>
    <w:rsid w:val="00BA0E2A"/>
    <w:rsid w:val="00BA1990"/>
    <w:rsid w:val="00BA1DB2"/>
    <w:rsid w:val="00BA1FFF"/>
    <w:rsid w:val="00BA218C"/>
    <w:rsid w:val="00BA2360"/>
    <w:rsid w:val="00BA2792"/>
    <w:rsid w:val="00BA289C"/>
    <w:rsid w:val="00BA2A50"/>
    <w:rsid w:val="00BA2CF4"/>
    <w:rsid w:val="00BA307F"/>
    <w:rsid w:val="00BA3B30"/>
    <w:rsid w:val="00BA3B3F"/>
    <w:rsid w:val="00BA3C1A"/>
    <w:rsid w:val="00BA3F93"/>
    <w:rsid w:val="00BA49ED"/>
    <w:rsid w:val="00BA4BFF"/>
    <w:rsid w:val="00BA4C89"/>
    <w:rsid w:val="00BA4DB2"/>
    <w:rsid w:val="00BA5444"/>
    <w:rsid w:val="00BA54B5"/>
    <w:rsid w:val="00BA5741"/>
    <w:rsid w:val="00BA5890"/>
    <w:rsid w:val="00BA5AEC"/>
    <w:rsid w:val="00BA5CF6"/>
    <w:rsid w:val="00BA6144"/>
    <w:rsid w:val="00BA61B0"/>
    <w:rsid w:val="00BA6887"/>
    <w:rsid w:val="00BA6C9E"/>
    <w:rsid w:val="00BA6D32"/>
    <w:rsid w:val="00BA6EF7"/>
    <w:rsid w:val="00BA6F01"/>
    <w:rsid w:val="00BA77BD"/>
    <w:rsid w:val="00BA7A72"/>
    <w:rsid w:val="00BB0521"/>
    <w:rsid w:val="00BB077B"/>
    <w:rsid w:val="00BB089A"/>
    <w:rsid w:val="00BB092C"/>
    <w:rsid w:val="00BB0995"/>
    <w:rsid w:val="00BB0DF2"/>
    <w:rsid w:val="00BB0FF0"/>
    <w:rsid w:val="00BB13AB"/>
    <w:rsid w:val="00BB1E77"/>
    <w:rsid w:val="00BB3075"/>
    <w:rsid w:val="00BB3146"/>
    <w:rsid w:val="00BB34E9"/>
    <w:rsid w:val="00BB37A1"/>
    <w:rsid w:val="00BB3E9F"/>
    <w:rsid w:val="00BB4205"/>
    <w:rsid w:val="00BB42FE"/>
    <w:rsid w:val="00BB45F0"/>
    <w:rsid w:val="00BB4639"/>
    <w:rsid w:val="00BB4720"/>
    <w:rsid w:val="00BB4DB9"/>
    <w:rsid w:val="00BB505A"/>
    <w:rsid w:val="00BB52DF"/>
    <w:rsid w:val="00BB5AC0"/>
    <w:rsid w:val="00BB5DE0"/>
    <w:rsid w:val="00BB600E"/>
    <w:rsid w:val="00BB64AD"/>
    <w:rsid w:val="00BB659C"/>
    <w:rsid w:val="00BB65EF"/>
    <w:rsid w:val="00BB6697"/>
    <w:rsid w:val="00BB67AC"/>
    <w:rsid w:val="00BB6985"/>
    <w:rsid w:val="00BB6B05"/>
    <w:rsid w:val="00BB7A0B"/>
    <w:rsid w:val="00BC0091"/>
    <w:rsid w:val="00BC00E7"/>
    <w:rsid w:val="00BC0312"/>
    <w:rsid w:val="00BC0378"/>
    <w:rsid w:val="00BC0B50"/>
    <w:rsid w:val="00BC0CF7"/>
    <w:rsid w:val="00BC0EC4"/>
    <w:rsid w:val="00BC1110"/>
    <w:rsid w:val="00BC1A46"/>
    <w:rsid w:val="00BC209D"/>
    <w:rsid w:val="00BC2930"/>
    <w:rsid w:val="00BC2B8B"/>
    <w:rsid w:val="00BC2BC7"/>
    <w:rsid w:val="00BC2E06"/>
    <w:rsid w:val="00BC300F"/>
    <w:rsid w:val="00BC37C0"/>
    <w:rsid w:val="00BC3CF4"/>
    <w:rsid w:val="00BC4149"/>
    <w:rsid w:val="00BC429F"/>
    <w:rsid w:val="00BC44A5"/>
    <w:rsid w:val="00BC4576"/>
    <w:rsid w:val="00BC46B5"/>
    <w:rsid w:val="00BC47F6"/>
    <w:rsid w:val="00BC4B6F"/>
    <w:rsid w:val="00BC4EF6"/>
    <w:rsid w:val="00BC5092"/>
    <w:rsid w:val="00BC5493"/>
    <w:rsid w:val="00BC597A"/>
    <w:rsid w:val="00BC611D"/>
    <w:rsid w:val="00BC6274"/>
    <w:rsid w:val="00BC629B"/>
    <w:rsid w:val="00BC6806"/>
    <w:rsid w:val="00BC6D07"/>
    <w:rsid w:val="00BC72BA"/>
    <w:rsid w:val="00BC759A"/>
    <w:rsid w:val="00BC764C"/>
    <w:rsid w:val="00BC78EC"/>
    <w:rsid w:val="00BC7996"/>
    <w:rsid w:val="00BC7A07"/>
    <w:rsid w:val="00BC7C9A"/>
    <w:rsid w:val="00BC7D56"/>
    <w:rsid w:val="00BD024A"/>
    <w:rsid w:val="00BD09B8"/>
    <w:rsid w:val="00BD0FE7"/>
    <w:rsid w:val="00BD105C"/>
    <w:rsid w:val="00BD1216"/>
    <w:rsid w:val="00BD1570"/>
    <w:rsid w:val="00BD17A5"/>
    <w:rsid w:val="00BD1E53"/>
    <w:rsid w:val="00BD2142"/>
    <w:rsid w:val="00BD2270"/>
    <w:rsid w:val="00BD23F5"/>
    <w:rsid w:val="00BD2873"/>
    <w:rsid w:val="00BD2892"/>
    <w:rsid w:val="00BD2B77"/>
    <w:rsid w:val="00BD2C79"/>
    <w:rsid w:val="00BD2EE7"/>
    <w:rsid w:val="00BD3675"/>
    <w:rsid w:val="00BD3729"/>
    <w:rsid w:val="00BD3A1C"/>
    <w:rsid w:val="00BD4730"/>
    <w:rsid w:val="00BD485E"/>
    <w:rsid w:val="00BD4C06"/>
    <w:rsid w:val="00BD534F"/>
    <w:rsid w:val="00BD5491"/>
    <w:rsid w:val="00BD562C"/>
    <w:rsid w:val="00BD56C8"/>
    <w:rsid w:val="00BD56D1"/>
    <w:rsid w:val="00BD57D3"/>
    <w:rsid w:val="00BD5D2E"/>
    <w:rsid w:val="00BD6CDA"/>
    <w:rsid w:val="00BD6F70"/>
    <w:rsid w:val="00BD748C"/>
    <w:rsid w:val="00BD75A8"/>
    <w:rsid w:val="00BD782D"/>
    <w:rsid w:val="00BD7876"/>
    <w:rsid w:val="00BD7995"/>
    <w:rsid w:val="00BD7C53"/>
    <w:rsid w:val="00BE0084"/>
    <w:rsid w:val="00BE01E0"/>
    <w:rsid w:val="00BE0371"/>
    <w:rsid w:val="00BE04D3"/>
    <w:rsid w:val="00BE0B5E"/>
    <w:rsid w:val="00BE0CC2"/>
    <w:rsid w:val="00BE0E48"/>
    <w:rsid w:val="00BE103E"/>
    <w:rsid w:val="00BE171D"/>
    <w:rsid w:val="00BE1CD9"/>
    <w:rsid w:val="00BE1D6E"/>
    <w:rsid w:val="00BE2759"/>
    <w:rsid w:val="00BE2EDE"/>
    <w:rsid w:val="00BE3091"/>
    <w:rsid w:val="00BE33C6"/>
    <w:rsid w:val="00BE362C"/>
    <w:rsid w:val="00BE364C"/>
    <w:rsid w:val="00BE38AA"/>
    <w:rsid w:val="00BE3B6C"/>
    <w:rsid w:val="00BE3F1E"/>
    <w:rsid w:val="00BE46E0"/>
    <w:rsid w:val="00BE4740"/>
    <w:rsid w:val="00BE4C64"/>
    <w:rsid w:val="00BE4E16"/>
    <w:rsid w:val="00BE4E64"/>
    <w:rsid w:val="00BE540A"/>
    <w:rsid w:val="00BE5466"/>
    <w:rsid w:val="00BE5AA2"/>
    <w:rsid w:val="00BE5AF0"/>
    <w:rsid w:val="00BE5C7F"/>
    <w:rsid w:val="00BE6350"/>
    <w:rsid w:val="00BE67C2"/>
    <w:rsid w:val="00BE68EB"/>
    <w:rsid w:val="00BE69C5"/>
    <w:rsid w:val="00BE6AC8"/>
    <w:rsid w:val="00BE6FE8"/>
    <w:rsid w:val="00BE73D1"/>
    <w:rsid w:val="00BE78E3"/>
    <w:rsid w:val="00BE793C"/>
    <w:rsid w:val="00BE7AA6"/>
    <w:rsid w:val="00BE7FA3"/>
    <w:rsid w:val="00BF00C8"/>
    <w:rsid w:val="00BF0379"/>
    <w:rsid w:val="00BF0435"/>
    <w:rsid w:val="00BF0B5E"/>
    <w:rsid w:val="00BF0B91"/>
    <w:rsid w:val="00BF0F57"/>
    <w:rsid w:val="00BF1182"/>
    <w:rsid w:val="00BF1502"/>
    <w:rsid w:val="00BF15CE"/>
    <w:rsid w:val="00BF17AA"/>
    <w:rsid w:val="00BF1F0C"/>
    <w:rsid w:val="00BF20AA"/>
    <w:rsid w:val="00BF2197"/>
    <w:rsid w:val="00BF2334"/>
    <w:rsid w:val="00BF2842"/>
    <w:rsid w:val="00BF2925"/>
    <w:rsid w:val="00BF349C"/>
    <w:rsid w:val="00BF3E21"/>
    <w:rsid w:val="00BF3EEF"/>
    <w:rsid w:val="00BF3EF6"/>
    <w:rsid w:val="00BF44E8"/>
    <w:rsid w:val="00BF45D7"/>
    <w:rsid w:val="00BF464C"/>
    <w:rsid w:val="00BF4852"/>
    <w:rsid w:val="00BF4903"/>
    <w:rsid w:val="00BF4AA1"/>
    <w:rsid w:val="00BF5C59"/>
    <w:rsid w:val="00BF5F44"/>
    <w:rsid w:val="00BF603B"/>
    <w:rsid w:val="00BF64F6"/>
    <w:rsid w:val="00BF6819"/>
    <w:rsid w:val="00BF6A77"/>
    <w:rsid w:val="00BF6CDF"/>
    <w:rsid w:val="00BF6E64"/>
    <w:rsid w:val="00BF70C1"/>
    <w:rsid w:val="00BF7197"/>
    <w:rsid w:val="00BF72A8"/>
    <w:rsid w:val="00BF72CB"/>
    <w:rsid w:val="00BF7A62"/>
    <w:rsid w:val="00C00FEE"/>
    <w:rsid w:val="00C015A0"/>
    <w:rsid w:val="00C016CC"/>
    <w:rsid w:val="00C017AE"/>
    <w:rsid w:val="00C021DE"/>
    <w:rsid w:val="00C02379"/>
    <w:rsid w:val="00C023DA"/>
    <w:rsid w:val="00C0262D"/>
    <w:rsid w:val="00C0290E"/>
    <w:rsid w:val="00C02C88"/>
    <w:rsid w:val="00C02FC8"/>
    <w:rsid w:val="00C02FE2"/>
    <w:rsid w:val="00C03211"/>
    <w:rsid w:val="00C0363D"/>
    <w:rsid w:val="00C0389F"/>
    <w:rsid w:val="00C0407D"/>
    <w:rsid w:val="00C045C1"/>
    <w:rsid w:val="00C045C9"/>
    <w:rsid w:val="00C04A89"/>
    <w:rsid w:val="00C04C22"/>
    <w:rsid w:val="00C04C98"/>
    <w:rsid w:val="00C04D48"/>
    <w:rsid w:val="00C05477"/>
    <w:rsid w:val="00C05573"/>
    <w:rsid w:val="00C05661"/>
    <w:rsid w:val="00C05758"/>
    <w:rsid w:val="00C05C0E"/>
    <w:rsid w:val="00C05C62"/>
    <w:rsid w:val="00C060E8"/>
    <w:rsid w:val="00C06160"/>
    <w:rsid w:val="00C06286"/>
    <w:rsid w:val="00C06543"/>
    <w:rsid w:val="00C06B28"/>
    <w:rsid w:val="00C06D84"/>
    <w:rsid w:val="00C06E43"/>
    <w:rsid w:val="00C07133"/>
    <w:rsid w:val="00C077DC"/>
    <w:rsid w:val="00C07BFF"/>
    <w:rsid w:val="00C07D73"/>
    <w:rsid w:val="00C1059A"/>
    <w:rsid w:val="00C105B8"/>
    <w:rsid w:val="00C105CE"/>
    <w:rsid w:val="00C109CA"/>
    <w:rsid w:val="00C10C2D"/>
    <w:rsid w:val="00C11444"/>
    <w:rsid w:val="00C1195A"/>
    <w:rsid w:val="00C11C72"/>
    <w:rsid w:val="00C12134"/>
    <w:rsid w:val="00C123DD"/>
    <w:rsid w:val="00C1240F"/>
    <w:rsid w:val="00C1277A"/>
    <w:rsid w:val="00C12A41"/>
    <w:rsid w:val="00C12F78"/>
    <w:rsid w:val="00C13016"/>
    <w:rsid w:val="00C13236"/>
    <w:rsid w:val="00C1399C"/>
    <w:rsid w:val="00C139F1"/>
    <w:rsid w:val="00C13F37"/>
    <w:rsid w:val="00C1429E"/>
    <w:rsid w:val="00C1443F"/>
    <w:rsid w:val="00C1488C"/>
    <w:rsid w:val="00C1495C"/>
    <w:rsid w:val="00C14D22"/>
    <w:rsid w:val="00C15267"/>
    <w:rsid w:val="00C153CE"/>
    <w:rsid w:val="00C15596"/>
    <w:rsid w:val="00C156FE"/>
    <w:rsid w:val="00C157A3"/>
    <w:rsid w:val="00C1583F"/>
    <w:rsid w:val="00C16260"/>
    <w:rsid w:val="00C163AD"/>
    <w:rsid w:val="00C1672E"/>
    <w:rsid w:val="00C170B1"/>
    <w:rsid w:val="00C171E0"/>
    <w:rsid w:val="00C171FE"/>
    <w:rsid w:val="00C172D3"/>
    <w:rsid w:val="00C172E5"/>
    <w:rsid w:val="00C174F0"/>
    <w:rsid w:val="00C176ED"/>
    <w:rsid w:val="00C17DB5"/>
    <w:rsid w:val="00C17E0A"/>
    <w:rsid w:val="00C17E4D"/>
    <w:rsid w:val="00C200BD"/>
    <w:rsid w:val="00C20128"/>
    <w:rsid w:val="00C20133"/>
    <w:rsid w:val="00C20B05"/>
    <w:rsid w:val="00C20EF2"/>
    <w:rsid w:val="00C213F7"/>
    <w:rsid w:val="00C21A79"/>
    <w:rsid w:val="00C22027"/>
    <w:rsid w:val="00C2233E"/>
    <w:rsid w:val="00C22388"/>
    <w:rsid w:val="00C22841"/>
    <w:rsid w:val="00C23021"/>
    <w:rsid w:val="00C233A9"/>
    <w:rsid w:val="00C2363E"/>
    <w:rsid w:val="00C2385F"/>
    <w:rsid w:val="00C238AC"/>
    <w:rsid w:val="00C23A12"/>
    <w:rsid w:val="00C23CAC"/>
    <w:rsid w:val="00C24356"/>
    <w:rsid w:val="00C24694"/>
    <w:rsid w:val="00C24B43"/>
    <w:rsid w:val="00C24B97"/>
    <w:rsid w:val="00C255E7"/>
    <w:rsid w:val="00C258A1"/>
    <w:rsid w:val="00C25AAF"/>
    <w:rsid w:val="00C25CA1"/>
    <w:rsid w:val="00C25DA7"/>
    <w:rsid w:val="00C25DB4"/>
    <w:rsid w:val="00C26B8F"/>
    <w:rsid w:val="00C26EE6"/>
    <w:rsid w:val="00C26F45"/>
    <w:rsid w:val="00C27311"/>
    <w:rsid w:val="00C27317"/>
    <w:rsid w:val="00C27542"/>
    <w:rsid w:val="00C2794C"/>
    <w:rsid w:val="00C27BBA"/>
    <w:rsid w:val="00C27FE7"/>
    <w:rsid w:val="00C30211"/>
    <w:rsid w:val="00C305C1"/>
    <w:rsid w:val="00C30B0F"/>
    <w:rsid w:val="00C30D25"/>
    <w:rsid w:val="00C30D32"/>
    <w:rsid w:val="00C30DF3"/>
    <w:rsid w:val="00C30F98"/>
    <w:rsid w:val="00C3135C"/>
    <w:rsid w:val="00C31B32"/>
    <w:rsid w:val="00C327FD"/>
    <w:rsid w:val="00C32B00"/>
    <w:rsid w:val="00C32FD1"/>
    <w:rsid w:val="00C32FF8"/>
    <w:rsid w:val="00C332A3"/>
    <w:rsid w:val="00C33526"/>
    <w:rsid w:val="00C335DF"/>
    <w:rsid w:val="00C33699"/>
    <w:rsid w:val="00C33E0C"/>
    <w:rsid w:val="00C33EA3"/>
    <w:rsid w:val="00C34C23"/>
    <w:rsid w:val="00C353F7"/>
    <w:rsid w:val="00C355F6"/>
    <w:rsid w:val="00C358FD"/>
    <w:rsid w:val="00C35BFE"/>
    <w:rsid w:val="00C36356"/>
    <w:rsid w:val="00C369B5"/>
    <w:rsid w:val="00C36DC0"/>
    <w:rsid w:val="00C3705C"/>
    <w:rsid w:val="00C373D6"/>
    <w:rsid w:val="00C376BD"/>
    <w:rsid w:val="00C37AFE"/>
    <w:rsid w:val="00C37D8D"/>
    <w:rsid w:val="00C37EB2"/>
    <w:rsid w:val="00C37F5A"/>
    <w:rsid w:val="00C401B2"/>
    <w:rsid w:val="00C40269"/>
    <w:rsid w:val="00C406F3"/>
    <w:rsid w:val="00C407D1"/>
    <w:rsid w:val="00C410B6"/>
    <w:rsid w:val="00C41117"/>
    <w:rsid w:val="00C4119D"/>
    <w:rsid w:val="00C4122A"/>
    <w:rsid w:val="00C41378"/>
    <w:rsid w:val="00C41B65"/>
    <w:rsid w:val="00C41F98"/>
    <w:rsid w:val="00C4201E"/>
    <w:rsid w:val="00C42A9F"/>
    <w:rsid w:val="00C42B8C"/>
    <w:rsid w:val="00C42C21"/>
    <w:rsid w:val="00C43112"/>
    <w:rsid w:val="00C431F5"/>
    <w:rsid w:val="00C432A4"/>
    <w:rsid w:val="00C4362C"/>
    <w:rsid w:val="00C43BE3"/>
    <w:rsid w:val="00C43CE6"/>
    <w:rsid w:val="00C44863"/>
    <w:rsid w:val="00C44CEC"/>
    <w:rsid w:val="00C45201"/>
    <w:rsid w:val="00C4526D"/>
    <w:rsid w:val="00C4545D"/>
    <w:rsid w:val="00C45896"/>
    <w:rsid w:val="00C459A8"/>
    <w:rsid w:val="00C45B1A"/>
    <w:rsid w:val="00C46280"/>
    <w:rsid w:val="00C46289"/>
    <w:rsid w:val="00C46532"/>
    <w:rsid w:val="00C467A0"/>
    <w:rsid w:val="00C46879"/>
    <w:rsid w:val="00C469D5"/>
    <w:rsid w:val="00C46C40"/>
    <w:rsid w:val="00C46F8D"/>
    <w:rsid w:val="00C471B1"/>
    <w:rsid w:val="00C47D02"/>
    <w:rsid w:val="00C47D1B"/>
    <w:rsid w:val="00C50162"/>
    <w:rsid w:val="00C50236"/>
    <w:rsid w:val="00C508FC"/>
    <w:rsid w:val="00C519DF"/>
    <w:rsid w:val="00C51AF1"/>
    <w:rsid w:val="00C51D12"/>
    <w:rsid w:val="00C51DEE"/>
    <w:rsid w:val="00C521E2"/>
    <w:rsid w:val="00C521E3"/>
    <w:rsid w:val="00C52422"/>
    <w:rsid w:val="00C52776"/>
    <w:rsid w:val="00C53418"/>
    <w:rsid w:val="00C53C60"/>
    <w:rsid w:val="00C54127"/>
    <w:rsid w:val="00C543BD"/>
    <w:rsid w:val="00C54412"/>
    <w:rsid w:val="00C54422"/>
    <w:rsid w:val="00C548D8"/>
    <w:rsid w:val="00C54A56"/>
    <w:rsid w:val="00C54CB9"/>
    <w:rsid w:val="00C550FC"/>
    <w:rsid w:val="00C552DF"/>
    <w:rsid w:val="00C552FF"/>
    <w:rsid w:val="00C5558C"/>
    <w:rsid w:val="00C558D2"/>
    <w:rsid w:val="00C567F2"/>
    <w:rsid w:val="00C56A1F"/>
    <w:rsid w:val="00C56CEC"/>
    <w:rsid w:val="00C56CF1"/>
    <w:rsid w:val="00C56D81"/>
    <w:rsid w:val="00C56E5E"/>
    <w:rsid w:val="00C56FC0"/>
    <w:rsid w:val="00C575C0"/>
    <w:rsid w:val="00C5772C"/>
    <w:rsid w:val="00C60175"/>
    <w:rsid w:val="00C6059F"/>
    <w:rsid w:val="00C6113E"/>
    <w:rsid w:val="00C61251"/>
    <w:rsid w:val="00C61390"/>
    <w:rsid w:val="00C6186F"/>
    <w:rsid w:val="00C61876"/>
    <w:rsid w:val="00C61936"/>
    <w:rsid w:val="00C61956"/>
    <w:rsid w:val="00C61A15"/>
    <w:rsid w:val="00C61A9C"/>
    <w:rsid w:val="00C61D4A"/>
    <w:rsid w:val="00C61E82"/>
    <w:rsid w:val="00C6209C"/>
    <w:rsid w:val="00C622D5"/>
    <w:rsid w:val="00C6249C"/>
    <w:rsid w:val="00C62536"/>
    <w:rsid w:val="00C625D4"/>
    <w:rsid w:val="00C62A62"/>
    <w:rsid w:val="00C62D6E"/>
    <w:rsid w:val="00C62E57"/>
    <w:rsid w:val="00C62EE4"/>
    <w:rsid w:val="00C63508"/>
    <w:rsid w:val="00C63945"/>
    <w:rsid w:val="00C6499D"/>
    <w:rsid w:val="00C649C3"/>
    <w:rsid w:val="00C64A58"/>
    <w:rsid w:val="00C64AD0"/>
    <w:rsid w:val="00C64B59"/>
    <w:rsid w:val="00C651FF"/>
    <w:rsid w:val="00C6529F"/>
    <w:rsid w:val="00C65D72"/>
    <w:rsid w:val="00C65F0E"/>
    <w:rsid w:val="00C65F4B"/>
    <w:rsid w:val="00C65F8A"/>
    <w:rsid w:val="00C6601B"/>
    <w:rsid w:val="00C66202"/>
    <w:rsid w:val="00C664F9"/>
    <w:rsid w:val="00C6667B"/>
    <w:rsid w:val="00C6668E"/>
    <w:rsid w:val="00C667BC"/>
    <w:rsid w:val="00C66849"/>
    <w:rsid w:val="00C66FE0"/>
    <w:rsid w:val="00C675FB"/>
    <w:rsid w:val="00C67648"/>
    <w:rsid w:val="00C67740"/>
    <w:rsid w:val="00C67C03"/>
    <w:rsid w:val="00C67D59"/>
    <w:rsid w:val="00C704F4"/>
    <w:rsid w:val="00C709A4"/>
    <w:rsid w:val="00C70C9D"/>
    <w:rsid w:val="00C70EA8"/>
    <w:rsid w:val="00C7107A"/>
    <w:rsid w:val="00C71128"/>
    <w:rsid w:val="00C715F0"/>
    <w:rsid w:val="00C71714"/>
    <w:rsid w:val="00C717A1"/>
    <w:rsid w:val="00C719DF"/>
    <w:rsid w:val="00C72423"/>
    <w:rsid w:val="00C7256E"/>
    <w:rsid w:val="00C728A0"/>
    <w:rsid w:val="00C72910"/>
    <w:rsid w:val="00C72A55"/>
    <w:rsid w:val="00C72C1A"/>
    <w:rsid w:val="00C73353"/>
    <w:rsid w:val="00C7355D"/>
    <w:rsid w:val="00C739B9"/>
    <w:rsid w:val="00C73C87"/>
    <w:rsid w:val="00C7441B"/>
    <w:rsid w:val="00C74B22"/>
    <w:rsid w:val="00C75319"/>
    <w:rsid w:val="00C755CF"/>
    <w:rsid w:val="00C7569E"/>
    <w:rsid w:val="00C7611A"/>
    <w:rsid w:val="00C7651D"/>
    <w:rsid w:val="00C776B6"/>
    <w:rsid w:val="00C776E8"/>
    <w:rsid w:val="00C77886"/>
    <w:rsid w:val="00C77AE9"/>
    <w:rsid w:val="00C77C5F"/>
    <w:rsid w:val="00C8016B"/>
    <w:rsid w:val="00C807DD"/>
    <w:rsid w:val="00C80C3F"/>
    <w:rsid w:val="00C80C44"/>
    <w:rsid w:val="00C80D13"/>
    <w:rsid w:val="00C80DAE"/>
    <w:rsid w:val="00C80FF8"/>
    <w:rsid w:val="00C810AB"/>
    <w:rsid w:val="00C818DA"/>
    <w:rsid w:val="00C81C86"/>
    <w:rsid w:val="00C81F08"/>
    <w:rsid w:val="00C826FE"/>
    <w:rsid w:val="00C8342C"/>
    <w:rsid w:val="00C8347F"/>
    <w:rsid w:val="00C83D14"/>
    <w:rsid w:val="00C84061"/>
    <w:rsid w:val="00C8432B"/>
    <w:rsid w:val="00C845ED"/>
    <w:rsid w:val="00C84D90"/>
    <w:rsid w:val="00C850E1"/>
    <w:rsid w:val="00C8524F"/>
    <w:rsid w:val="00C85395"/>
    <w:rsid w:val="00C853B1"/>
    <w:rsid w:val="00C854AB"/>
    <w:rsid w:val="00C8558C"/>
    <w:rsid w:val="00C85BE5"/>
    <w:rsid w:val="00C8608C"/>
    <w:rsid w:val="00C86543"/>
    <w:rsid w:val="00C86844"/>
    <w:rsid w:val="00C86AFA"/>
    <w:rsid w:val="00C86BAC"/>
    <w:rsid w:val="00C86FA7"/>
    <w:rsid w:val="00C874B4"/>
    <w:rsid w:val="00C8781B"/>
    <w:rsid w:val="00C87887"/>
    <w:rsid w:val="00C87E5D"/>
    <w:rsid w:val="00C902A2"/>
    <w:rsid w:val="00C90332"/>
    <w:rsid w:val="00C90583"/>
    <w:rsid w:val="00C905B9"/>
    <w:rsid w:val="00C906B5"/>
    <w:rsid w:val="00C90C3E"/>
    <w:rsid w:val="00C91C0F"/>
    <w:rsid w:val="00C920A2"/>
    <w:rsid w:val="00C924F0"/>
    <w:rsid w:val="00C924F2"/>
    <w:rsid w:val="00C9336F"/>
    <w:rsid w:val="00C93DFD"/>
    <w:rsid w:val="00C940F8"/>
    <w:rsid w:val="00C94172"/>
    <w:rsid w:val="00C941AF"/>
    <w:rsid w:val="00C945C7"/>
    <w:rsid w:val="00C94C1D"/>
    <w:rsid w:val="00C94CE6"/>
    <w:rsid w:val="00C94CF4"/>
    <w:rsid w:val="00C9509B"/>
    <w:rsid w:val="00C951CC"/>
    <w:rsid w:val="00C9568F"/>
    <w:rsid w:val="00C95BB6"/>
    <w:rsid w:val="00C95DB1"/>
    <w:rsid w:val="00C95F1E"/>
    <w:rsid w:val="00C95F45"/>
    <w:rsid w:val="00C9626A"/>
    <w:rsid w:val="00C96836"/>
    <w:rsid w:val="00C969E0"/>
    <w:rsid w:val="00C96B56"/>
    <w:rsid w:val="00C96B5E"/>
    <w:rsid w:val="00C96C6A"/>
    <w:rsid w:val="00C96EF5"/>
    <w:rsid w:val="00C971B9"/>
    <w:rsid w:val="00C9721A"/>
    <w:rsid w:val="00C97AE8"/>
    <w:rsid w:val="00CA00D2"/>
    <w:rsid w:val="00CA0956"/>
    <w:rsid w:val="00CA09CD"/>
    <w:rsid w:val="00CA0BB8"/>
    <w:rsid w:val="00CA0CF7"/>
    <w:rsid w:val="00CA10BB"/>
    <w:rsid w:val="00CA1C2A"/>
    <w:rsid w:val="00CA1EB0"/>
    <w:rsid w:val="00CA1F0B"/>
    <w:rsid w:val="00CA2196"/>
    <w:rsid w:val="00CA2227"/>
    <w:rsid w:val="00CA2580"/>
    <w:rsid w:val="00CA2F00"/>
    <w:rsid w:val="00CA3381"/>
    <w:rsid w:val="00CA3469"/>
    <w:rsid w:val="00CA380B"/>
    <w:rsid w:val="00CA3E4C"/>
    <w:rsid w:val="00CA4181"/>
    <w:rsid w:val="00CA44F6"/>
    <w:rsid w:val="00CA462B"/>
    <w:rsid w:val="00CA48EA"/>
    <w:rsid w:val="00CA4B5B"/>
    <w:rsid w:val="00CA4CC0"/>
    <w:rsid w:val="00CA4DFF"/>
    <w:rsid w:val="00CA505D"/>
    <w:rsid w:val="00CA5188"/>
    <w:rsid w:val="00CA5487"/>
    <w:rsid w:val="00CA560D"/>
    <w:rsid w:val="00CA5B3B"/>
    <w:rsid w:val="00CA5E3B"/>
    <w:rsid w:val="00CA6044"/>
    <w:rsid w:val="00CA6A5A"/>
    <w:rsid w:val="00CA70F8"/>
    <w:rsid w:val="00CA7654"/>
    <w:rsid w:val="00CA7A16"/>
    <w:rsid w:val="00CA7A52"/>
    <w:rsid w:val="00CA7DC1"/>
    <w:rsid w:val="00CB02BC"/>
    <w:rsid w:val="00CB0A90"/>
    <w:rsid w:val="00CB1001"/>
    <w:rsid w:val="00CB1066"/>
    <w:rsid w:val="00CB111A"/>
    <w:rsid w:val="00CB15FD"/>
    <w:rsid w:val="00CB2251"/>
    <w:rsid w:val="00CB2794"/>
    <w:rsid w:val="00CB2C7B"/>
    <w:rsid w:val="00CB3478"/>
    <w:rsid w:val="00CB3708"/>
    <w:rsid w:val="00CB370D"/>
    <w:rsid w:val="00CB3C41"/>
    <w:rsid w:val="00CB3C74"/>
    <w:rsid w:val="00CB3DFA"/>
    <w:rsid w:val="00CB42A2"/>
    <w:rsid w:val="00CB43BD"/>
    <w:rsid w:val="00CB48ED"/>
    <w:rsid w:val="00CB4E07"/>
    <w:rsid w:val="00CB4F0E"/>
    <w:rsid w:val="00CB4F9F"/>
    <w:rsid w:val="00CB5348"/>
    <w:rsid w:val="00CB5807"/>
    <w:rsid w:val="00CB5E7A"/>
    <w:rsid w:val="00CB636E"/>
    <w:rsid w:val="00CB6523"/>
    <w:rsid w:val="00CB6638"/>
    <w:rsid w:val="00CB67B4"/>
    <w:rsid w:val="00CB6E1D"/>
    <w:rsid w:val="00CB6F60"/>
    <w:rsid w:val="00CB7169"/>
    <w:rsid w:val="00CC013C"/>
    <w:rsid w:val="00CC080B"/>
    <w:rsid w:val="00CC0855"/>
    <w:rsid w:val="00CC0F02"/>
    <w:rsid w:val="00CC16D9"/>
    <w:rsid w:val="00CC19FA"/>
    <w:rsid w:val="00CC1EFA"/>
    <w:rsid w:val="00CC1EFB"/>
    <w:rsid w:val="00CC2116"/>
    <w:rsid w:val="00CC2127"/>
    <w:rsid w:val="00CC2563"/>
    <w:rsid w:val="00CC2D1C"/>
    <w:rsid w:val="00CC30E8"/>
    <w:rsid w:val="00CC3625"/>
    <w:rsid w:val="00CC3933"/>
    <w:rsid w:val="00CC3AE2"/>
    <w:rsid w:val="00CC3C4B"/>
    <w:rsid w:val="00CC3D6E"/>
    <w:rsid w:val="00CC3F6F"/>
    <w:rsid w:val="00CC4760"/>
    <w:rsid w:val="00CC4910"/>
    <w:rsid w:val="00CC4B8A"/>
    <w:rsid w:val="00CC510B"/>
    <w:rsid w:val="00CC53EF"/>
    <w:rsid w:val="00CC5486"/>
    <w:rsid w:val="00CC566F"/>
    <w:rsid w:val="00CC5F0E"/>
    <w:rsid w:val="00CC6072"/>
    <w:rsid w:val="00CC64E7"/>
    <w:rsid w:val="00CC676D"/>
    <w:rsid w:val="00CC6901"/>
    <w:rsid w:val="00CC6C05"/>
    <w:rsid w:val="00CC7162"/>
    <w:rsid w:val="00CC72CE"/>
    <w:rsid w:val="00CC74EB"/>
    <w:rsid w:val="00CC76E3"/>
    <w:rsid w:val="00CC7A01"/>
    <w:rsid w:val="00CC7A5F"/>
    <w:rsid w:val="00CC7DEB"/>
    <w:rsid w:val="00CD07B8"/>
    <w:rsid w:val="00CD0823"/>
    <w:rsid w:val="00CD0932"/>
    <w:rsid w:val="00CD1359"/>
    <w:rsid w:val="00CD13E3"/>
    <w:rsid w:val="00CD1708"/>
    <w:rsid w:val="00CD1892"/>
    <w:rsid w:val="00CD1A62"/>
    <w:rsid w:val="00CD1F03"/>
    <w:rsid w:val="00CD200A"/>
    <w:rsid w:val="00CD256B"/>
    <w:rsid w:val="00CD2724"/>
    <w:rsid w:val="00CD27CC"/>
    <w:rsid w:val="00CD292E"/>
    <w:rsid w:val="00CD2BAF"/>
    <w:rsid w:val="00CD2FE9"/>
    <w:rsid w:val="00CD336C"/>
    <w:rsid w:val="00CD4030"/>
    <w:rsid w:val="00CD419C"/>
    <w:rsid w:val="00CD461C"/>
    <w:rsid w:val="00CD4680"/>
    <w:rsid w:val="00CD4798"/>
    <w:rsid w:val="00CD47EA"/>
    <w:rsid w:val="00CD49AC"/>
    <w:rsid w:val="00CD4ABF"/>
    <w:rsid w:val="00CD4B41"/>
    <w:rsid w:val="00CD4F4C"/>
    <w:rsid w:val="00CD52FB"/>
    <w:rsid w:val="00CD5693"/>
    <w:rsid w:val="00CD576C"/>
    <w:rsid w:val="00CD5B28"/>
    <w:rsid w:val="00CD5F12"/>
    <w:rsid w:val="00CD5F66"/>
    <w:rsid w:val="00CD6154"/>
    <w:rsid w:val="00CD620F"/>
    <w:rsid w:val="00CD6721"/>
    <w:rsid w:val="00CD69A2"/>
    <w:rsid w:val="00CD69C8"/>
    <w:rsid w:val="00CD6AEC"/>
    <w:rsid w:val="00CD6CFD"/>
    <w:rsid w:val="00CD6D0A"/>
    <w:rsid w:val="00CD7050"/>
    <w:rsid w:val="00CD7D57"/>
    <w:rsid w:val="00CD7D62"/>
    <w:rsid w:val="00CD7F20"/>
    <w:rsid w:val="00CE1600"/>
    <w:rsid w:val="00CE1711"/>
    <w:rsid w:val="00CE1F6C"/>
    <w:rsid w:val="00CE215D"/>
    <w:rsid w:val="00CE26D9"/>
    <w:rsid w:val="00CE2757"/>
    <w:rsid w:val="00CE279E"/>
    <w:rsid w:val="00CE28D6"/>
    <w:rsid w:val="00CE2A05"/>
    <w:rsid w:val="00CE2A56"/>
    <w:rsid w:val="00CE2E61"/>
    <w:rsid w:val="00CE2FC3"/>
    <w:rsid w:val="00CE378B"/>
    <w:rsid w:val="00CE393F"/>
    <w:rsid w:val="00CE3A70"/>
    <w:rsid w:val="00CE3D31"/>
    <w:rsid w:val="00CE3F9A"/>
    <w:rsid w:val="00CE403B"/>
    <w:rsid w:val="00CE45BA"/>
    <w:rsid w:val="00CE4E74"/>
    <w:rsid w:val="00CE53C4"/>
    <w:rsid w:val="00CE54E0"/>
    <w:rsid w:val="00CE54E1"/>
    <w:rsid w:val="00CE5782"/>
    <w:rsid w:val="00CE58FA"/>
    <w:rsid w:val="00CE59CD"/>
    <w:rsid w:val="00CE5F51"/>
    <w:rsid w:val="00CE5FDA"/>
    <w:rsid w:val="00CE6083"/>
    <w:rsid w:val="00CE6693"/>
    <w:rsid w:val="00CE66C8"/>
    <w:rsid w:val="00CE6D6F"/>
    <w:rsid w:val="00CE76FA"/>
    <w:rsid w:val="00CE7847"/>
    <w:rsid w:val="00CE7889"/>
    <w:rsid w:val="00CE789F"/>
    <w:rsid w:val="00CE7EAC"/>
    <w:rsid w:val="00CF0047"/>
    <w:rsid w:val="00CF0303"/>
    <w:rsid w:val="00CF0312"/>
    <w:rsid w:val="00CF046D"/>
    <w:rsid w:val="00CF0633"/>
    <w:rsid w:val="00CF0675"/>
    <w:rsid w:val="00CF06B3"/>
    <w:rsid w:val="00CF101F"/>
    <w:rsid w:val="00CF11BE"/>
    <w:rsid w:val="00CF1310"/>
    <w:rsid w:val="00CF16F5"/>
    <w:rsid w:val="00CF1943"/>
    <w:rsid w:val="00CF2238"/>
    <w:rsid w:val="00CF2298"/>
    <w:rsid w:val="00CF27D5"/>
    <w:rsid w:val="00CF2B2B"/>
    <w:rsid w:val="00CF2C7D"/>
    <w:rsid w:val="00CF3030"/>
    <w:rsid w:val="00CF3124"/>
    <w:rsid w:val="00CF31DA"/>
    <w:rsid w:val="00CF3B2E"/>
    <w:rsid w:val="00CF3DEB"/>
    <w:rsid w:val="00CF4043"/>
    <w:rsid w:val="00CF42B4"/>
    <w:rsid w:val="00CF4384"/>
    <w:rsid w:val="00CF4478"/>
    <w:rsid w:val="00CF44F9"/>
    <w:rsid w:val="00CF48D8"/>
    <w:rsid w:val="00CF4B33"/>
    <w:rsid w:val="00CF4BD5"/>
    <w:rsid w:val="00CF4D34"/>
    <w:rsid w:val="00CF56BC"/>
    <w:rsid w:val="00CF5D76"/>
    <w:rsid w:val="00CF5DE2"/>
    <w:rsid w:val="00CF5FA0"/>
    <w:rsid w:val="00CF65F3"/>
    <w:rsid w:val="00CF6B59"/>
    <w:rsid w:val="00CF6C5B"/>
    <w:rsid w:val="00CF70B6"/>
    <w:rsid w:val="00CF728E"/>
    <w:rsid w:val="00CF76FD"/>
    <w:rsid w:val="00CF7BB1"/>
    <w:rsid w:val="00CF7E2C"/>
    <w:rsid w:val="00D001C4"/>
    <w:rsid w:val="00D0045E"/>
    <w:rsid w:val="00D00478"/>
    <w:rsid w:val="00D005C3"/>
    <w:rsid w:val="00D00911"/>
    <w:rsid w:val="00D00A78"/>
    <w:rsid w:val="00D01151"/>
    <w:rsid w:val="00D012B4"/>
    <w:rsid w:val="00D01476"/>
    <w:rsid w:val="00D014C2"/>
    <w:rsid w:val="00D01627"/>
    <w:rsid w:val="00D01665"/>
    <w:rsid w:val="00D01738"/>
    <w:rsid w:val="00D01B51"/>
    <w:rsid w:val="00D01C27"/>
    <w:rsid w:val="00D01F56"/>
    <w:rsid w:val="00D021DA"/>
    <w:rsid w:val="00D02898"/>
    <w:rsid w:val="00D02C74"/>
    <w:rsid w:val="00D03359"/>
    <w:rsid w:val="00D03C09"/>
    <w:rsid w:val="00D03D3D"/>
    <w:rsid w:val="00D03DE8"/>
    <w:rsid w:val="00D03F6D"/>
    <w:rsid w:val="00D046C3"/>
    <w:rsid w:val="00D05434"/>
    <w:rsid w:val="00D055F7"/>
    <w:rsid w:val="00D05855"/>
    <w:rsid w:val="00D05AEF"/>
    <w:rsid w:val="00D05B72"/>
    <w:rsid w:val="00D06201"/>
    <w:rsid w:val="00D063AC"/>
    <w:rsid w:val="00D0645D"/>
    <w:rsid w:val="00D06746"/>
    <w:rsid w:val="00D06A78"/>
    <w:rsid w:val="00D06A91"/>
    <w:rsid w:val="00D06FC3"/>
    <w:rsid w:val="00D07138"/>
    <w:rsid w:val="00D071B2"/>
    <w:rsid w:val="00D07561"/>
    <w:rsid w:val="00D078F9"/>
    <w:rsid w:val="00D07DB4"/>
    <w:rsid w:val="00D07ED3"/>
    <w:rsid w:val="00D10258"/>
    <w:rsid w:val="00D103C9"/>
    <w:rsid w:val="00D104E0"/>
    <w:rsid w:val="00D10530"/>
    <w:rsid w:val="00D10562"/>
    <w:rsid w:val="00D10A24"/>
    <w:rsid w:val="00D10D1B"/>
    <w:rsid w:val="00D117DA"/>
    <w:rsid w:val="00D119CF"/>
    <w:rsid w:val="00D11A2C"/>
    <w:rsid w:val="00D11B39"/>
    <w:rsid w:val="00D11C4E"/>
    <w:rsid w:val="00D11C84"/>
    <w:rsid w:val="00D12059"/>
    <w:rsid w:val="00D1209D"/>
    <w:rsid w:val="00D125E5"/>
    <w:rsid w:val="00D12C2C"/>
    <w:rsid w:val="00D1308D"/>
    <w:rsid w:val="00D137FD"/>
    <w:rsid w:val="00D1408D"/>
    <w:rsid w:val="00D14239"/>
    <w:rsid w:val="00D148D4"/>
    <w:rsid w:val="00D14E0D"/>
    <w:rsid w:val="00D152B5"/>
    <w:rsid w:val="00D15D58"/>
    <w:rsid w:val="00D15F59"/>
    <w:rsid w:val="00D15FCB"/>
    <w:rsid w:val="00D165F4"/>
    <w:rsid w:val="00D16940"/>
    <w:rsid w:val="00D176F6"/>
    <w:rsid w:val="00D178D3"/>
    <w:rsid w:val="00D17B48"/>
    <w:rsid w:val="00D17DED"/>
    <w:rsid w:val="00D17E93"/>
    <w:rsid w:val="00D202A8"/>
    <w:rsid w:val="00D205DE"/>
    <w:rsid w:val="00D206FC"/>
    <w:rsid w:val="00D2092D"/>
    <w:rsid w:val="00D20CC4"/>
    <w:rsid w:val="00D20DE3"/>
    <w:rsid w:val="00D210C6"/>
    <w:rsid w:val="00D2125C"/>
    <w:rsid w:val="00D21630"/>
    <w:rsid w:val="00D21845"/>
    <w:rsid w:val="00D21D02"/>
    <w:rsid w:val="00D21D1F"/>
    <w:rsid w:val="00D2248D"/>
    <w:rsid w:val="00D22F0C"/>
    <w:rsid w:val="00D23163"/>
    <w:rsid w:val="00D233FD"/>
    <w:rsid w:val="00D235D3"/>
    <w:rsid w:val="00D240BC"/>
    <w:rsid w:val="00D245BB"/>
    <w:rsid w:val="00D247B7"/>
    <w:rsid w:val="00D24A11"/>
    <w:rsid w:val="00D24A46"/>
    <w:rsid w:val="00D24ADA"/>
    <w:rsid w:val="00D24CCD"/>
    <w:rsid w:val="00D2506C"/>
    <w:rsid w:val="00D2534B"/>
    <w:rsid w:val="00D25462"/>
    <w:rsid w:val="00D25AB1"/>
    <w:rsid w:val="00D25B08"/>
    <w:rsid w:val="00D25FE0"/>
    <w:rsid w:val="00D2611B"/>
    <w:rsid w:val="00D26AFB"/>
    <w:rsid w:val="00D26C56"/>
    <w:rsid w:val="00D26EB7"/>
    <w:rsid w:val="00D275F3"/>
    <w:rsid w:val="00D276E8"/>
    <w:rsid w:val="00D2787E"/>
    <w:rsid w:val="00D27BB0"/>
    <w:rsid w:val="00D27D5D"/>
    <w:rsid w:val="00D302C2"/>
    <w:rsid w:val="00D3031D"/>
    <w:rsid w:val="00D30407"/>
    <w:rsid w:val="00D305DC"/>
    <w:rsid w:val="00D30C3C"/>
    <w:rsid w:val="00D30E08"/>
    <w:rsid w:val="00D30FBC"/>
    <w:rsid w:val="00D31283"/>
    <w:rsid w:val="00D318AB"/>
    <w:rsid w:val="00D31DA6"/>
    <w:rsid w:val="00D322AB"/>
    <w:rsid w:val="00D322DF"/>
    <w:rsid w:val="00D327E7"/>
    <w:rsid w:val="00D3288A"/>
    <w:rsid w:val="00D3299A"/>
    <w:rsid w:val="00D32D41"/>
    <w:rsid w:val="00D32F99"/>
    <w:rsid w:val="00D33234"/>
    <w:rsid w:val="00D336DB"/>
    <w:rsid w:val="00D339F2"/>
    <w:rsid w:val="00D33E6C"/>
    <w:rsid w:val="00D34301"/>
    <w:rsid w:val="00D34338"/>
    <w:rsid w:val="00D3477B"/>
    <w:rsid w:val="00D34C61"/>
    <w:rsid w:val="00D35476"/>
    <w:rsid w:val="00D355E3"/>
    <w:rsid w:val="00D35BB7"/>
    <w:rsid w:val="00D35C54"/>
    <w:rsid w:val="00D35F41"/>
    <w:rsid w:val="00D360A8"/>
    <w:rsid w:val="00D360AC"/>
    <w:rsid w:val="00D3620E"/>
    <w:rsid w:val="00D36247"/>
    <w:rsid w:val="00D363DE"/>
    <w:rsid w:val="00D3653D"/>
    <w:rsid w:val="00D36E6C"/>
    <w:rsid w:val="00D37083"/>
    <w:rsid w:val="00D371DF"/>
    <w:rsid w:val="00D37365"/>
    <w:rsid w:val="00D37616"/>
    <w:rsid w:val="00D37741"/>
    <w:rsid w:val="00D37D42"/>
    <w:rsid w:val="00D4011A"/>
    <w:rsid w:val="00D404CD"/>
    <w:rsid w:val="00D40855"/>
    <w:rsid w:val="00D4101C"/>
    <w:rsid w:val="00D41218"/>
    <w:rsid w:val="00D414E8"/>
    <w:rsid w:val="00D419DB"/>
    <w:rsid w:val="00D41B85"/>
    <w:rsid w:val="00D41EBD"/>
    <w:rsid w:val="00D422D3"/>
    <w:rsid w:val="00D42D79"/>
    <w:rsid w:val="00D42E25"/>
    <w:rsid w:val="00D42F40"/>
    <w:rsid w:val="00D43162"/>
    <w:rsid w:val="00D4343B"/>
    <w:rsid w:val="00D43617"/>
    <w:rsid w:val="00D43652"/>
    <w:rsid w:val="00D436A4"/>
    <w:rsid w:val="00D43935"/>
    <w:rsid w:val="00D43AE4"/>
    <w:rsid w:val="00D44056"/>
    <w:rsid w:val="00D440B4"/>
    <w:rsid w:val="00D44137"/>
    <w:rsid w:val="00D44207"/>
    <w:rsid w:val="00D445ED"/>
    <w:rsid w:val="00D44948"/>
    <w:rsid w:val="00D44B87"/>
    <w:rsid w:val="00D45019"/>
    <w:rsid w:val="00D4522C"/>
    <w:rsid w:val="00D45595"/>
    <w:rsid w:val="00D4562D"/>
    <w:rsid w:val="00D45945"/>
    <w:rsid w:val="00D45ABC"/>
    <w:rsid w:val="00D45B0F"/>
    <w:rsid w:val="00D45B65"/>
    <w:rsid w:val="00D461BC"/>
    <w:rsid w:val="00D46289"/>
    <w:rsid w:val="00D46743"/>
    <w:rsid w:val="00D46AA4"/>
    <w:rsid w:val="00D46D99"/>
    <w:rsid w:val="00D46EEB"/>
    <w:rsid w:val="00D472BB"/>
    <w:rsid w:val="00D47562"/>
    <w:rsid w:val="00D4761B"/>
    <w:rsid w:val="00D47A37"/>
    <w:rsid w:val="00D50535"/>
    <w:rsid w:val="00D50682"/>
    <w:rsid w:val="00D50970"/>
    <w:rsid w:val="00D509DE"/>
    <w:rsid w:val="00D50A49"/>
    <w:rsid w:val="00D51256"/>
    <w:rsid w:val="00D51386"/>
    <w:rsid w:val="00D51749"/>
    <w:rsid w:val="00D5184E"/>
    <w:rsid w:val="00D51906"/>
    <w:rsid w:val="00D51ABC"/>
    <w:rsid w:val="00D51E0B"/>
    <w:rsid w:val="00D522A8"/>
    <w:rsid w:val="00D52632"/>
    <w:rsid w:val="00D52987"/>
    <w:rsid w:val="00D52D41"/>
    <w:rsid w:val="00D52FE5"/>
    <w:rsid w:val="00D53410"/>
    <w:rsid w:val="00D53CDB"/>
    <w:rsid w:val="00D53DA3"/>
    <w:rsid w:val="00D53F1B"/>
    <w:rsid w:val="00D53F42"/>
    <w:rsid w:val="00D54136"/>
    <w:rsid w:val="00D54835"/>
    <w:rsid w:val="00D54BD4"/>
    <w:rsid w:val="00D54F20"/>
    <w:rsid w:val="00D550F9"/>
    <w:rsid w:val="00D55D06"/>
    <w:rsid w:val="00D56298"/>
    <w:rsid w:val="00D563A2"/>
    <w:rsid w:val="00D5649D"/>
    <w:rsid w:val="00D56892"/>
    <w:rsid w:val="00D5697D"/>
    <w:rsid w:val="00D56C61"/>
    <w:rsid w:val="00D577DF"/>
    <w:rsid w:val="00D57D66"/>
    <w:rsid w:val="00D607B7"/>
    <w:rsid w:val="00D60AA7"/>
    <w:rsid w:val="00D60B38"/>
    <w:rsid w:val="00D60BAA"/>
    <w:rsid w:val="00D61385"/>
    <w:rsid w:val="00D61462"/>
    <w:rsid w:val="00D61640"/>
    <w:rsid w:val="00D61715"/>
    <w:rsid w:val="00D61788"/>
    <w:rsid w:val="00D61865"/>
    <w:rsid w:val="00D61896"/>
    <w:rsid w:val="00D61CBC"/>
    <w:rsid w:val="00D61E24"/>
    <w:rsid w:val="00D623A4"/>
    <w:rsid w:val="00D62C09"/>
    <w:rsid w:val="00D634CB"/>
    <w:rsid w:val="00D63FD6"/>
    <w:rsid w:val="00D6417B"/>
    <w:rsid w:val="00D641E6"/>
    <w:rsid w:val="00D6465C"/>
    <w:rsid w:val="00D64922"/>
    <w:rsid w:val="00D64D84"/>
    <w:rsid w:val="00D64E6D"/>
    <w:rsid w:val="00D651A9"/>
    <w:rsid w:val="00D65406"/>
    <w:rsid w:val="00D65A6E"/>
    <w:rsid w:val="00D65BDF"/>
    <w:rsid w:val="00D6606D"/>
    <w:rsid w:val="00D667AD"/>
    <w:rsid w:val="00D66BE9"/>
    <w:rsid w:val="00D67045"/>
    <w:rsid w:val="00D6723E"/>
    <w:rsid w:val="00D6723F"/>
    <w:rsid w:val="00D672F0"/>
    <w:rsid w:val="00D673CE"/>
    <w:rsid w:val="00D67590"/>
    <w:rsid w:val="00D6786E"/>
    <w:rsid w:val="00D67ADD"/>
    <w:rsid w:val="00D67DE1"/>
    <w:rsid w:val="00D67ED9"/>
    <w:rsid w:val="00D704CB"/>
    <w:rsid w:val="00D70853"/>
    <w:rsid w:val="00D708D0"/>
    <w:rsid w:val="00D70C5D"/>
    <w:rsid w:val="00D71401"/>
    <w:rsid w:val="00D716C7"/>
    <w:rsid w:val="00D71990"/>
    <w:rsid w:val="00D71AAB"/>
    <w:rsid w:val="00D71AE5"/>
    <w:rsid w:val="00D71CBC"/>
    <w:rsid w:val="00D71DCE"/>
    <w:rsid w:val="00D72008"/>
    <w:rsid w:val="00D7211D"/>
    <w:rsid w:val="00D72256"/>
    <w:rsid w:val="00D72315"/>
    <w:rsid w:val="00D72533"/>
    <w:rsid w:val="00D72ABD"/>
    <w:rsid w:val="00D72BED"/>
    <w:rsid w:val="00D72C2C"/>
    <w:rsid w:val="00D72FAD"/>
    <w:rsid w:val="00D73102"/>
    <w:rsid w:val="00D732FE"/>
    <w:rsid w:val="00D73570"/>
    <w:rsid w:val="00D73E50"/>
    <w:rsid w:val="00D7418D"/>
    <w:rsid w:val="00D7425F"/>
    <w:rsid w:val="00D7426E"/>
    <w:rsid w:val="00D7442C"/>
    <w:rsid w:val="00D74776"/>
    <w:rsid w:val="00D74834"/>
    <w:rsid w:val="00D74DF0"/>
    <w:rsid w:val="00D74E1A"/>
    <w:rsid w:val="00D7502B"/>
    <w:rsid w:val="00D75292"/>
    <w:rsid w:val="00D7552B"/>
    <w:rsid w:val="00D75582"/>
    <w:rsid w:val="00D756ED"/>
    <w:rsid w:val="00D7589B"/>
    <w:rsid w:val="00D75AC2"/>
    <w:rsid w:val="00D75E37"/>
    <w:rsid w:val="00D76116"/>
    <w:rsid w:val="00D76285"/>
    <w:rsid w:val="00D76432"/>
    <w:rsid w:val="00D766A4"/>
    <w:rsid w:val="00D7671E"/>
    <w:rsid w:val="00D76A3E"/>
    <w:rsid w:val="00D77337"/>
    <w:rsid w:val="00D775EF"/>
    <w:rsid w:val="00D804A5"/>
    <w:rsid w:val="00D80F17"/>
    <w:rsid w:val="00D80FB9"/>
    <w:rsid w:val="00D8115A"/>
    <w:rsid w:val="00D811FB"/>
    <w:rsid w:val="00D81276"/>
    <w:rsid w:val="00D8136A"/>
    <w:rsid w:val="00D81449"/>
    <w:rsid w:val="00D81579"/>
    <w:rsid w:val="00D81807"/>
    <w:rsid w:val="00D81D81"/>
    <w:rsid w:val="00D81DA1"/>
    <w:rsid w:val="00D81EFA"/>
    <w:rsid w:val="00D82486"/>
    <w:rsid w:val="00D82818"/>
    <w:rsid w:val="00D82BBE"/>
    <w:rsid w:val="00D83148"/>
    <w:rsid w:val="00D833DE"/>
    <w:rsid w:val="00D83725"/>
    <w:rsid w:val="00D8398F"/>
    <w:rsid w:val="00D83DAE"/>
    <w:rsid w:val="00D83FF9"/>
    <w:rsid w:val="00D84432"/>
    <w:rsid w:val="00D84B72"/>
    <w:rsid w:val="00D84D60"/>
    <w:rsid w:val="00D85337"/>
    <w:rsid w:val="00D853ED"/>
    <w:rsid w:val="00D85E16"/>
    <w:rsid w:val="00D862A2"/>
    <w:rsid w:val="00D86386"/>
    <w:rsid w:val="00D864A6"/>
    <w:rsid w:val="00D86AC9"/>
    <w:rsid w:val="00D86C93"/>
    <w:rsid w:val="00D8702A"/>
    <w:rsid w:val="00D87078"/>
    <w:rsid w:val="00D87088"/>
    <w:rsid w:val="00D87459"/>
    <w:rsid w:val="00D8769A"/>
    <w:rsid w:val="00D876CD"/>
    <w:rsid w:val="00D87934"/>
    <w:rsid w:val="00D87B9E"/>
    <w:rsid w:val="00D90494"/>
    <w:rsid w:val="00D90567"/>
    <w:rsid w:val="00D906C4"/>
    <w:rsid w:val="00D907EF"/>
    <w:rsid w:val="00D90834"/>
    <w:rsid w:val="00D90C09"/>
    <w:rsid w:val="00D90C29"/>
    <w:rsid w:val="00D90CE7"/>
    <w:rsid w:val="00D90DD9"/>
    <w:rsid w:val="00D90EAA"/>
    <w:rsid w:val="00D91189"/>
    <w:rsid w:val="00D91C4D"/>
    <w:rsid w:val="00D923D1"/>
    <w:rsid w:val="00D925AA"/>
    <w:rsid w:val="00D92AA2"/>
    <w:rsid w:val="00D92DB9"/>
    <w:rsid w:val="00D92F1A"/>
    <w:rsid w:val="00D92F40"/>
    <w:rsid w:val="00D93179"/>
    <w:rsid w:val="00D93442"/>
    <w:rsid w:val="00D93BD8"/>
    <w:rsid w:val="00D93D7D"/>
    <w:rsid w:val="00D941F0"/>
    <w:rsid w:val="00D943A4"/>
    <w:rsid w:val="00D94587"/>
    <w:rsid w:val="00D94C0B"/>
    <w:rsid w:val="00D94C3C"/>
    <w:rsid w:val="00D95034"/>
    <w:rsid w:val="00D952A6"/>
    <w:rsid w:val="00D953F3"/>
    <w:rsid w:val="00D955D9"/>
    <w:rsid w:val="00D9568F"/>
    <w:rsid w:val="00D95ADE"/>
    <w:rsid w:val="00D95B23"/>
    <w:rsid w:val="00D95B78"/>
    <w:rsid w:val="00D97394"/>
    <w:rsid w:val="00D973ED"/>
    <w:rsid w:val="00D977DE"/>
    <w:rsid w:val="00D97B9D"/>
    <w:rsid w:val="00DA0016"/>
    <w:rsid w:val="00DA0293"/>
    <w:rsid w:val="00DA08B5"/>
    <w:rsid w:val="00DA0CC8"/>
    <w:rsid w:val="00DA0CF9"/>
    <w:rsid w:val="00DA1C9A"/>
    <w:rsid w:val="00DA1F03"/>
    <w:rsid w:val="00DA1F7D"/>
    <w:rsid w:val="00DA207D"/>
    <w:rsid w:val="00DA2471"/>
    <w:rsid w:val="00DA25D3"/>
    <w:rsid w:val="00DA2AB1"/>
    <w:rsid w:val="00DA3495"/>
    <w:rsid w:val="00DA3D5F"/>
    <w:rsid w:val="00DA3F55"/>
    <w:rsid w:val="00DA4013"/>
    <w:rsid w:val="00DA405F"/>
    <w:rsid w:val="00DA437F"/>
    <w:rsid w:val="00DA4400"/>
    <w:rsid w:val="00DA4F35"/>
    <w:rsid w:val="00DA4F55"/>
    <w:rsid w:val="00DA4F7E"/>
    <w:rsid w:val="00DA5276"/>
    <w:rsid w:val="00DA53A8"/>
    <w:rsid w:val="00DA543E"/>
    <w:rsid w:val="00DA568E"/>
    <w:rsid w:val="00DA5699"/>
    <w:rsid w:val="00DA5AB6"/>
    <w:rsid w:val="00DA5B39"/>
    <w:rsid w:val="00DA5CDE"/>
    <w:rsid w:val="00DA5EEC"/>
    <w:rsid w:val="00DA653E"/>
    <w:rsid w:val="00DA6564"/>
    <w:rsid w:val="00DA6659"/>
    <w:rsid w:val="00DA6E96"/>
    <w:rsid w:val="00DA7530"/>
    <w:rsid w:val="00DA758D"/>
    <w:rsid w:val="00DA7754"/>
    <w:rsid w:val="00DA7979"/>
    <w:rsid w:val="00DA7ED2"/>
    <w:rsid w:val="00DB015D"/>
    <w:rsid w:val="00DB030A"/>
    <w:rsid w:val="00DB083C"/>
    <w:rsid w:val="00DB0A6B"/>
    <w:rsid w:val="00DB0B04"/>
    <w:rsid w:val="00DB0D45"/>
    <w:rsid w:val="00DB0F5E"/>
    <w:rsid w:val="00DB141E"/>
    <w:rsid w:val="00DB1A74"/>
    <w:rsid w:val="00DB1AE7"/>
    <w:rsid w:val="00DB1E3C"/>
    <w:rsid w:val="00DB1E93"/>
    <w:rsid w:val="00DB2098"/>
    <w:rsid w:val="00DB2154"/>
    <w:rsid w:val="00DB256A"/>
    <w:rsid w:val="00DB27AE"/>
    <w:rsid w:val="00DB2A33"/>
    <w:rsid w:val="00DB2C9A"/>
    <w:rsid w:val="00DB2E06"/>
    <w:rsid w:val="00DB2FB5"/>
    <w:rsid w:val="00DB2FCD"/>
    <w:rsid w:val="00DB35BB"/>
    <w:rsid w:val="00DB37C6"/>
    <w:rsid w:val="00DB3C15"/>
    <w:rsid w:val="00DB3C1C"/>
    <w:rsid w:val="00DB3D89"/>
    <w:rsid w:val="00DB40D0"/>
    <w:rsid w:val="00DB44E9"/>
    <w:rsid w:val="00DB4D94"/>
    <w:rsid w:val="00DB50AC"/>
    <w:rsid w:val="00DB54DF"/>
    <w:rsid w:val="00DB560F"/>
    <w:rsid w:val="00DB5E97"/>
    <w:rsid w:val="00DB5F72"/>
    <w:rsid w:val="00DB6019"/>
    <w:rsid w:val="00DB617F"/>
    <w:rsid w:val="00DB63D6"/>
    <w:rsid w:val="00DB65E4"/>
    <w:rsid w:val="00DB7537"/>
    <w:rsid w:val="00DB78BD"/>
    <w:rsid w:val="00DB793A"/>
    <w:rsid w:val="00DC049D"/>
    <w:rsid w:val="00DC0933"/>
    <w:rsid w:val="00DC0A97"/>
    <w:rsid w:val="00DC0B94"/>
    <w:rsid w:val="00DC14DC"/>
    <w:rsid w:val="00DC1726"/>
    <w:rsid w:val="00DC1858"/>
    <w:rsid w:val="00DC2515"/>
    <w:rsid w:val="00DC2528"/>
    <w:rsid w:val="00DC26B4"/>
    <w:rsid w:val="00DC2BC6"/>
    <w:rsid w:val="00DC2EB9"/>
    <w:rsid w:val="00DC2FA5"/>
    <w:rsid w:val="00DC3205"/>
    <w:rsid w:val="00DC3235"/>
    <w:rsid w:val="00DC3346"/>
    <w:rsid w:val="00DC3377"/>
    <w:rsid w:val="00DC34AF"/>
    <w:rsid w:val="00DC3519"/>
    <w:rsid w:val="00DC371E"/>
    <w:rsid w:val="00DC385D"/>
    <w:rsid w:val="00DC3A6B"/>
    <w:rsid w:val="00DC3DA6"/>
    <w:rsid w:val="00DC403D"/>
    <w:rsid w:val="00DC4458"/>
    <w:rsid w:val="00DC4882"/>
    <w:rsid w:val="00DC5324"/>
    <w:rsid w:val="00DC5626"/>
    <w:rsid w:val="00DC5743"/>
    <w:rsid w:val="00DC575B"/>
    <w:rsid w:val="00DC5892"/>
    <w:rsid w:val="00DC5897"/>
    <w:rsid w:val="00DC5AD6"/>
    <w:rsid w:val="00DC6072"/>
    <w:rsid w:val="00DC61A4"/>
    <w:rsid w:val="00DC641E"/>
    <w:rsid w:val="00DC6C2C"/>
    <w:rsid w:val="00DC6D48"/>
    <w:rsid w:val="00DD00A3"/>
    <w:rsid w:val="00DD064B"/>
    <w:rsid w:val="00DD070A"/>
    <w:rsid w:val="00DD086F"/>
    <w:rsid w:val="00DD13F7"/>
    <w:rsid w:val="00DD1500"/>
    <w:rsid w:val="00DD1F00"/>
    <w:rsid w:val="00DD214C"/>
    <w:rsid w:val="00DD2232"/>
    <w:rsid w:val="00DD2377"/>
    <w:rsid w:val="00DD2969"/>
    <w:rsid w:val="00DD2A87"/>
    <w:rsid w:val="00DD2B15"/>
    <w:rsid w:val="00DD2B4D"/>
    <w:rsid w:val="00DD2D30"/>
    <w:rsid w:val="00DD2EBC"/>
    <w:rsid w:val="00DD2F37"/>
    <w:rsid w:val="00DD3144"/>
    <w:rsid w:val="00DD3895"/>
    <w:rsid w:val="00DD3C51"/>
    <w:rsid w:val="00DD3D85"/>
    <w:rsid w:val="00DD3E54"/>
    <w:rsid w:val="00DD42B7"/>
    <w:rsid w:val="00DD4F20"/>
    <w:rsid w:val="00DD550A"/>
    <w:rsid w:val="00DD560C"/>
    <w:rsid w:val="00DD5F9B"/>
    <w:rsid w:val="00DD5FF5"/>
    <w:rsid w:val="00DD60ED"/>
    <w:rsid w:val="00DD693C"/>
    <w:rsid w:val="00DD6B36"/>
    <w:rsid w:val="00DD723B"/>
    <w:rsid w:val="00DD72AC"/>
    <w:rsid w:val="00DD7335"/>
    <w:rsid w:val="00DD7E7E"/>
    <w:rsid w:val="00DE081B"/>
    <w:rsid w:val="00DE0B15"/>
    <w:rsid w:val="00DE0BE8"/>
    <w:rsid w:val="00DE0CAD"/>
    <w:rsid w:val="00DE108C"/>
    <w:rsid w:val="00DE119E"/>
    <w:rsid w:val="00DE1411"/>
    <w:rsid w:val="00DE181C"/>
    <w:rsid w:val="00DE1BF2"/>
    <w:rsid w:val="00DE27C1"/>
    <w:rsid w:val="00DE287B"/>
    <w:rsid w:val="00DE2CAE"/>
    <w:rsid w:val="00DE2D15"/>
    <w:rsid w:val="00DE318B"/>
    <w:rsid w:val="00DE31B4"/>
    <w:rsid w:val="00DE3502"/>
    <w:rsid w:val="00DE3878"/>
    <w:rsid w:val="00DE3E88"/>
    <w:rsid w:val="00DE3F88"/>
    <w:rsid w:val="00DE3FE7"/>
    <w:rsid w:val="00DE42B2"/>
    <w:rsid w:val="00DE46EC"/>
    <w:rsid w:val="00DE4951"/>
    <w:rsid w:val="00DE4B7C"/>
    <w:rsid w:val="00DE521F"/>
    <w:rsid w:val="00DE53E1"/>
    <w:rsid w:val="00DE544D"/>
    <w:rsid w:val="00DE59B3"/>
    <w:rsid w:val="00DE5B48"/>
    <w:rsid w:val="00DE7058"/>
    <w:rsid w:val="00DE70B7"/>
    <w:rsid w:val="00DE76BE"/>
    <w:rsid w:val="00DE7AD8"/>
    <w:rsid w:val="00DE7CFB"/>
    <w:rsid w:val="00DF02A6"/>
    <w:rsid w:val="00DF0788"/>
    <w:rsid w:val="00DF08E4"/>
    <w:rsid w:val="00DF09F9"/>
    <w:rsid w:val="00DF0CF2"/>
    <w:rsid w:val="00DF0D46"/>
    <w:rsid w:val="00DF11C1"/>
    <w:rsid w:val="00DF1365"/>
    <w:rsid w:val="00DF16E7"/>
    <w:rsid w:val="00DF185E"/>
    <w:rsid w:val="00DF2193"/>
    <w:rsid w:val="00DF2492"/>
    <w:rsid w:val="00DF2B16"/>
    <w:rsid w:val="00DF2B9E"/>
    <w:rsid w:val="00DF2D10"/>
    <w:rsid w:val="00DF2E47"/>
    <w:rsid w:val="00DF3006"/>
    <w:rsid w:val="00DF31AF"/>
    <w:rsid w:val="00DF35BD"/>
    <w:rsid w:val="00DF4031"/>
    <w:rsid w:val="00DF40B5"/>
    <w:rsid w:val="00DF424A"/>
    <w:rsid w:val="00DF458F"/>
    <w:rsid w:val="00DF45BD"/>
    <w:rsid w:val="00DF4F51"/>
    <w:rsid w:val="00DF5780"/>
    <w:rsid w:val="00DF6A3E"/>
    <w:rsid w:val="00DF6AE8"/>
    <w:rsid w:val="00DF6BD5"/>
    <w:rsid w:val="00DF6CE0"/>
    <w:rsid w:val="00DF6E80"/>
    <w:rsid w:val="00DF7CDA"/>
    <w:rsid w:val="00E00517"/>
    <w:rsid w:val="00E00AAD"/>
    <w:rsid w:val="00E00E90"/>
    <w:rsid w:val="00E01743"/>
    <w:rsid w:val="00E01B74"/>
    <w:rsid w:val="00E020C0"/>
    <w:rsid w:val="00E021CF"/>
    <w:rsid w:val="00E024F1"/>
    <w:rsid w:val="00E02BC7"/>
    <w:rsid w:val="00E02D0E"/>
    <w:rsid w:val="00E0345B"/>
    <w:rsid w:val="00E034E3"/>
    <w:rsid w:val="00E037F5"/>
    <w:rsid w:val="00E03E71"/>
    <w:rsid w:val="00E040C1"/>
    <w:rsid w:val="00E04144"/>
    <w:rsid w:val="00E046DE"/>
    <w:rsid w:val="00E04B6C"/>
    <w:rsid w:val="00E04BE8"/>
    <w:rsid w:val="00E04D00"/>
    <w:rsid w:val="00E04DD6"/>
    <w:rsid w:val="00E05181"/>
    <w:rsid w:val="00E051C2"/>
    <w:rsid w:val="00E056CD"/>
    <w:rsid w:val="00E057C8"/>
    <w:rsid w:val="00E05EA3"/>
    <w:rsid w:val="00E0623F"/>
    <w:rsid w:val="00E06358"/>
    <w:rsid w:val="00E06381"/>
    <w:rsid w:val="00E0683B"/>
    <w:rsid w:val="00E068AD"/>
    <w:rsid w:val="00E06C03"/>
    <w:rsid w:val="00E06C1E"/>
    <w:rsid w:val="00E06E5B"/>
    <w:rsid w:val="00E06E75"/>
    <w:rsid w:val="00E06EAC"/>
    <w:rsid w:val="00E06EFF"/>
    <w:rsid w:val="00E0706F"/>
    <w:rsid w:val="00E073BD"/>
    <w:rsid w:val="00E07A4A"/>
    <w:rsid w:val="00E07AF6"/>
    <w:rsid w:val="00E07D1C"/>
    <w:rsid w:val="00E07F71"/>
    <w:rsid w:val="00E100E3"/>
    <w:rsid w:val="00E10100"/>
    <w:rsid w:val="00E10167"/>
    <w:rsid w:val="00E101F3"/>
    <w:rsid w:val="00E10394"/>
    <w:rsid w:val="00E10B40"/>
    <w:rsid w:val="00E10F44"/>
    <w:rsid w:val="00E10FBA"/>
    <w:rsid w:val="00E11007"/>
    <w:rsid w:val="00E11055"/>
    <w:rsid w:val="00E112F7"/>
    <w:rsid w:val="00E1141C"/>
    <w:rsid w:val="00E11493"/>
    <w:rsid w:val="00E117EB"/>
    <w:rsid w:val="00E119E1"/>
    <w:rsid w:val="00E11A33"/>
    <w:rsid w:val="00E1228A"/>
    <w:rsid w:val="00E123F0"/>
    <w:rsid w:val="00E12FAB"/>
    <w:rsid w:val="00E1395F"/>
    <w:rsid w:val="00E13B2F"/>
    <w:rsid w:val="00E13E5F"/>
    <w:rsid w:val="00E14129"/>
    <w:rsid w:val="00E14476"/>
    <w:rsid w:val="00E14586"/>
    <w:rsid w:val="00E14794"/>
    <w:rsid w:val="00E152B0"/>
    <w:rsid w:val="00E156A0"/>
    <w:rsid w:val="00E15D1E"/>
    <w:rsid w:val="00E1601D"/>
    <w:rsid w:val="00E16378"/>
    <w:rsid w:val="00E16538"/>
    <w:rsid w:val="00E165DE"/>
    <w:rsid w:val="00E16CB1"/>
    <w:rsid w:val="00E177C8"/>
    <w:rsid w:val="00E177E0"/>
    <w:rsid w:val="00E179D8"/>
    <w:rsid w:val="00E17BAF"/>
    <w:rsid w:val="00E17D49"/>
    <w:rsid w:val="00E2028F"/>
    <w:rsid w:val="00E2035F"/>
    <w:rsid w:val="00E206F5"/>
    <w:rsid w:val="00E20850"/>
    <w:rsid w:val="00E20ABE"/>
    <w:rsid w:val="00E20C99"/>
    <w:rsid w:val="00E20D8A"/>
    <w:rsid w:val="00E20E19"/>
    <w:rsid w:val="00E20E79"/>
    <w:rsid w:val="00E211A4"/>
    <w:rsid w:val="00E215D8"/>
    <w:rsid w:val="00E218CA"/>
    <w:rsid w:val="00E21A13"/>
    <w:rsid w:val="00E21C1C"/>
    <w:rsid w:val="00E220FF"/>
    <w:rsid w:val="00E2211A"/>
    <w:rsid w:val="00E22527"/>
    <w:rsid w:val="00E22747"/>
    <w:rsid w:val="00E22900"/>
    <w:rsid w:val="00E23508"/>
    <w:rsid w:val="00E2364F"/>
    <w:rsid w:val="00E236C4"/>
    <w:rsid w:val="00E23B48"/>
    <w:rsid w:val="00E23CA9"/>
    <w:rsid w:val="00E24157"/>
    <w:rsid w:val="00E24226"/>
    <w:rsid w:val="00E2479E"/>
    <w:rsid w:val="00E24F0F"/>
    <w:rsid w:val="00E25586"/>
    <w:rsid w:val="00E259C5"/>
    <w:rsid w:val="00E25B48"/>
    <w:rsid w:val="00E25C54"/>
    <w:rsid w:val="00E25FAA"/>
    <w:rsid w:val="00E2646A"/>
    <w:rsid w:val="00E26ACE"/>
    <w:rsid w:val="00E26BAE"/>
    <w:rsid w:val="00E26C3D"/>
    <w:rsid w:val="00E26C57"/>
    <w:rsid w:val="00E27368"/>
    <w:rsid w:val="00E27498"/>
    <w:rsid w:val="00E27608"/>
    <w:rsid w:val="00E27753"/>
    <w:rsid w:val="00E27898"/>
    <w:rsid w:val="00E27A87"/>
    <w:rsid w:val="00E27CCA"/>
    <w:rsid w:val="00E3006A"/>
    <w:rsid w:val="00E300AD"/>
    <w:rsid w:val="00E302BB"/>
    <w:rsid w:val="00E30587"/>
    <w:rsid w:val="00E307C7"/>
    <w:rsid w:val="00E30D6E"/>
    <w:rsid w:val="00E30E09"/>
    <w:rsid w:val="00E317FB"/>
    <w:rsid w:val="00E31A21"/>
    <w:rsid w:val="00E31EBB"/>
    <w:rsid w:val="00E323E2"/>
    <w:rsid w:val="00E3287D"/>
    <w:rsid w:val="00E32AD2"/>
    <w:rsid w:val="00E32C35"/>
    <w:rsid w:val="00E33045"/>
    <w:rsid w:val="00E33373"/>
    <w:rsid w:val="00E336F7"/>
    <w:rsid w:val="00E33973"/>
    <w:rsid w:val="00E33A83"/>
    <w:rsid w:val="00E33E42"/>
    <w:rsid w:val="00E3413B"/>
    <w:rsid w:val="00E34639"/>
    <w:rsid w:val="00E3471B"/>
    <w:rsid w:val="00E3491A"/>
    <w:rsid w:val="00E34AED"/>
    <w:rsid w:val="00E34C5B"/>
    <w:rsid w:val="00E35615"/>
    <w:rsid w:val="00E359BE"/>
    <w:rsid w:val="00E35BB6"/>
    <w:rsid w:val="00E36512"/>
    <w:rsid w:val="00E36658"/>
    <w:rsid w:val="00E36663"/>
    <w:rsid w:val="00E36BBC"/>
    <w:rsid w:val="00E36C4B"/>
    <w:rsid w:val="00E3705B"/>
    <w:rsid w:val="00E3710B"/>
    <w:rsid w:val="00E371BB"/>
    <w:rsid w:val="00E37594"/>
    <w:rsid w:val="00E375A5"/>
    <w:rsid w:val="00E37792"/>
    <w:rsid w:val="00E37867"/>
    <w:rsid w:val="00E37F26"/>
    <w:rsid w:val="00E37F9A"/>
    <w:rsid w:val="00E4062B"/>
    <w:rsid w:val="00E406A3"/>
    <w:rsid w:val="00E4087C"/>
    <w:rsid w:val="00E4093D"/>
    <w:rsid w:val="00E40E31"/>
    <w:rsid w:val="00E40EEE"/>
    <w:rsid w:val="00E4166F"/>
    <w:rsid w:val="00E417BA"/>
    <w:rsid w:val="00E41DE5"/>
    <w:rsid w:val="00E4299E"/>
    <w:rsid w:val="00E42C70"/>
    <w:rsid w:val="00E430D1"/>
    <w:rsid w:val="00E4322A"/>
    <w:rsid w:val="00E4385F"/>
    <w:rsid w:val="00E44544"/>
    <w:rsid w:val="00E44DA6"/>
    <w:rsid w:val="00E44F0C"/>
    <w:rsid w:val="00E44FDC"/>
    <w:rsid w:val="00E45325"/>
    <w:rsid w:val="00E4592D"/>
    <w:rsid w:val="00E45C87"/>
    <w:rsid w:val="00E4612B"/>
    <w:rsid w:val="00E46213"/>
    <w:rsid w:val="00E46700"/>
    <w:rsid w:val="00E46712"/>
    <w:rsid w:val="00E4688F"/>
    <w:rsid w:val="00E46DD5"/>
    <w:rsid w:val="00E477FD"/>
    <w:rsid w:val="00E4796E"/>
    <w:rsid w:val="00E479A8"/>
    <w:rsid w:val="00E47DD3"/>
    <w:rsid w:val="00E5008F"/>
    <w:rsid w:val="00E50557"/>
    <w:rsid w:val="00E5066D"/>
    <w:rsid w:val="00E50AFC"/>
    <w:rsid w:val="00E51370"/>
    <w:rsid w:val="00E513C9"/>
    <w:rsid w:val="00E51CF6"/>
    <w:rsid w:val="00E51E1B"/>
    <w:rsid w:val="00E51EED"/>
    <w:rsid w:val="00E522AC"/>
    <w:rsid w:val="00E5296F"/>
    <w:rsid w:val="00E533F6"/>
    <w:rsid w:val="00E53545"/>
    <w:rsid w:val="00E5414A"/>
    <w:rsid w:val="00E54450"/>
    <w:rsid w:val="00E549E0"/>
    <w:rsid w:val="00E54FE9"/>
    <w:rsid w:val="00E550ED"/>
    <w:rsid w:val="00E5513B"/>
    <w:rsid w:val="00E5521E"/>
    <w:rsid w:val="00E55431"/>
    <w:rsid w:val="00E55444"/>
    <w:rsid w:val="00E55803"/>
    <w:rsid w:val="00E55A21"/>
    <w:rsid w:val="00E55D2D"/>
    <w:rsid w:val="00E562B6"/>
    <w:rsid w:val="00E566F4"/>
    <w:rsid w:val="00E566FD"/>
    <w:rsid w:val="00E568BF"/>
    <w:rsid w:val="00E569C8"/>
    <w:rsid w:val="00E56F77"/>
    <w:rsid w:val="00E56FFE"/>
    <w:rsid w:val="00E5705F"/>
    <w:rsid w:val="00E5706F"/>
    <w:rsid w:val="00E57389"/>
    <w:rsid w:val="00E576C6"/>
    <w:rsid w:val="00E57DEB"/>
    <w:rsid w:val="00E60461"/>
    <w:rsid w:val="00E60487"/>
    <w:rsid w:val="00E6064F"/>
    <w:rsid w:val="00E60854"/>
    <w:rsid w:val="00E60858"/>
    <w:rsid w:val="00E608E5"/>
    <w:rsid w:val="00E60F6F"/>
    <w:rsid w:val="00E61BB2"/>
    <w:rsid w:val="00E61BC7"/>
    <w:rsid w:val="00E62142"/>
    <w:rsid w:val="00E6222F"/>
    <w:rsid w:val="00E622C7"/>
    <w:rsid w:val="00E625DE"/>
    <w:rsid w:val="00E6268C"/>
    <w:rsid w:val="00E632C0"/>
    <w:rsid w:val="00E635C6"/>
    <w:rsid w:val="00E635C9"/>
    <w:rsid w:val="00E63E80"/>
    <w:rsid w:val="00E640F3"/>
    <w:rsid w:val="00E64255"/>
    <w:rsid w:val="00E643ED"/>
    <w:rsid w:val="00E64588"/>
    <w:rsid w:val="00E64D99"/>
    <w:rsid w:val="00E64FC2"/>
    <w:rsid w:val="00E651A8"/>
    <w:rsid w:val="00E654F0"/>
    <w:rsid w:val="00E655C5"/>
    <w:rsid w:val="00E65AEB"/>
    <w:rsid w:val="00E65D30"/>
    <w:rsid w:val="00E65DB0"/>
    <w:rsid w:val="00E65EB4"/>
    <w:rsid w:val="00E661C5"/>
    <w:rsid w:val="00E66299"/>
    <w:rsid w:val="00E66673"/>
    <w:rsid w:val="00E67280"/>
    <w:rsid w:val="00E67570"/>
    <w:rsid w:val="00E678C9"/>
    <w:rsid w:val="00E6792A"/>
    <w:rsid w:val="00E67B35"/>
    <w:rsid w:val="00E70030"/>
    <w:rsid w:val="00E70484"/>
    <w:rsid w:val="00E7091E"/>
    <w:rsid w:val="00E710F5"/>
    <w:rsid w:val="00E71131"/>
    <w:rsid w:val="00E714FD"/>
    <w:rsid w:val="00E717F8"/>
    <w:rsid w:val="00E718E0"/>
    <w:rsid w:val="00E71F35"/>
    <w:rsid w:val="00E7236A"/>
    <w:rsid w:val="00E72566"/>
    <w:rsid w:val="00E72584"/>
    <w:rsid w:val="00E728C4"/>
    <w:rsid w:val="00E72E02"/>
    <w:rsid w:val="00E730A9"/>
    <w:rsid w:val="00E73832"/>
    <w:rsid w:val="00E7398E"/>
    <w:rsid w:val="00E73DEA"/>
    <w:rsid w:val="00E73E14"/>
    <w:rsid w:val="00E73F52"/>
    <w:rsid w:val="00E74526"/>
    <w:rsid w:val="00E74818"/>
    <w:rsid w:val="00E7521C"/>
    <w:rsid w:val="00E75283"/>
    <w:rsid w:val="00E752C9"/>
    <w:rsid w:val="00E7531A"/>
    <w:rsid w:val="00E7557C"/>
    <w:rsid w:val="00E755F5"/>
    <w:rsid w:val="00E75909"/>
    <w:rsid w:val="00E759BE"/>
    <w:rsid w:val="00E75E82"/>
    <w:rsid w:val="00E75FEB"/>
    <w:rsid w:val="00E76146"/>
    <w:rsid w:val="00E76553"/>
    <w:rsid w:val="00E76615"/>
    <w:rsid w:val="00E77A8B"/>
    <w:rsid w:val="00E8039D"/>
    <w:rsid w:val="00E804C6"/>
    <w:rsid w:val="00E8061F"/>
    <w:rsid w:val="00E80957"/>
    <w:rsid w:val="00E8149C"/>
    <w:rsid w:val="00E8161D"/>
    <w:rsid w:val="00E81A6B"/>
    <w:rsid w:val="00E821BB"/>
    <w:rsid w:val="00E8227B"/>
    <w:rsid w:val="00E827B5"/>
    <w:rsid w:val="00E833BB"/>
    <w:rsid w:val="00E8348B"/>
    <w:rsid w:val="00E8369D"/>
    <w:rsid w:val="00E83B39"/>
    <w:rsid w:val="00E83EB7"/>
    <w:rsid w:val="00E8408B"/>
    <w:rsid w:val="00E84152"/>
    <w:rsid w:val="00E84F5C"/>
    <w:rsid w:val="00E84FE1"/>
    <w:rsid w:val="00E8504A"/>
    <w:rsid w:val="00E850F6"/>
    <w:rsid w:val="00E857BF"/>
    <w:rsid w:val="00E85BF2"/>
    <w:rsid w:val="00E85EC3"/>
    <w:rsid w:val="00E862D7"/>
    <w:rsid w:val="00E863A9"/>
    <w:rsid w:val="00E86E9C"/>
    <w:rsid w:val="00E86F81"/>
    <w:rsid w:val="00E87025"/>
    <w:rsid w:val="00E87111"/>
    <w:rsid w:val="00E87356"/>
    <w:rsid w:val="00E8751A"/>
    <w:rsid w:val="00E875E6"/>
    <w:rsid w:val="00E87794"/>
    <w:rsid w:val="00E8782F"/>
    <w:rsid w:val="00E87BA5"/>
    <w:rsid w:val="00E87FAE"/>
    <w:rsid w:val="00E90115"/>
    <w:rsid w:val="00E90234"/>
    <w:rsid w:val="00E90537"/>
    <w:rsid w:val="00E90730"/>
    <w:rsid w:val="00E90981"/>
    <w:rsid w:val="00E915FD"/>
    <w:rsid w:val="00E91945"/>
    <w:rsid w:val="00E91D83"/>
    <w:rsid w:val="00E921E7"/>
    <w:rsid w:val="00E9260B"/>
    <w:rsid w:val="00E928A7"/>
    <w:rsid w:val="00E92D40"/>
    <w:rsid w:val="00E92FB4"/>
    <w:rsid w:val="00E9353C"/>
    <w:rsid w:val="00E936F5"/>
    <w:rsid w:val="00E939A0"/>
    <w:rsid w:val="00E93D8F"/>
    <w:rsid w:val="00E93FA0"/>
    <w:rsid w:val="00E9418D"/>
    <w:rsid w:val="00E94469"/>
    <w:rsid w:val="00E946C3"/>
    <w:rsid w:val="00E94B00"/>
    <w:rsid w:val="00E94F4E"/>
    <w:rsid w:val="00E956A1"/>
    <w:rsid w:val="00E95A5F"/>
    <w:rsid w:val="00E95DD2"/>
    <w:rsid w:val="00E96569"/>
    <w:rsid w:val="00E966F5"/>
    <w:rsid w:val="00E96ACF"/>
    <w:rsid w:val="00E9722C"/>
    <w:rsid w:val="00E97D54"/>
    <w:rsid w:val="00EA038B"/>
    <w:rsid w:val="00EA0A6D"/>
    <w:rsid w:val="00EA0EB1"/>
    <w:rsid w:val="00EA148C"/>
    <w:rsid w:val="00EA1640"/>
    <w:rsid w:val="00EA19C4"/>
    <w:rsid w:val="00EA1F23"/>
    <w:rsid w:val="00EA214D"/>
    <w:rsid w:val="00EA229C"/>
    <w:rsid w:val="00EA24BE"/>
    <w:rsid w:val="00EA2611"/>
    <w:rsid w:val="00EA2817"/>
    <w:rsid w:val="00EA285A"/>
    <w:rsid w:val="00EA29FD"/>
    <w:rsid w:val="00EA2A08"/>
    <w:rsid w:val="00EA2F02"/>
    <w:rsid w:val="00EA3113"/>
    <w:rsid w:val="00EA33E0"/>
    <w:rsid w:val="00EA33F5"/>
    <w:rsid w:val="00EA363B"/>
    <w:rsid w:val="00EA3960"/>
    <w:rsid w:val="00EA3A5A"/>
    <w:rsid w:val="00EA3AE8"/>
    <w:rsid w:val="00EA4226"/>
    <w:rsid w:val="00EA4236"/>
    <w:rsid w:val="00EA4ADC"/>
    <w:rsid w:val="00EA4B61"/>
    <w:rsid w:val="00EA4B84"/>
    <w:rsid w:val="00EA4FA9"/>
    <w:rsid w:val="00EA501B"/>
    <w:rsid w:val="00EA5153"/>
    <w:rsid w:val="00EA52C7"/>
    <w:rsid w:val="00EA538B"/>
    <w:rsid w:val="00EA570A"/>
    <w:rsid w:val="00EA5882"/>
    <w:rsid w:val="00EA5953"/>
    <w:rsid w:val="00EA6463"/>
    <w:rsid w:val="00EA68D8"/>
    <w:rsid w:val="00EA6A98"/>
    <w:rsid w:val="00EA6C09"/>
    <w:rsid w:val="00EA7DC9"/>
    <w:rsid w:val="00EA7FBE"/>
    <w:rsid w:val="00EB0334"/>
    <w:rsid w:val="00EB059C"/>
    <w:rsid w:val="00EB11A6"/>
    <w:rsid w:val="00EB1443"/>
    <w:rsid w:val="00EB1ACE"/>
    <w:rsid w:val="00EB1B3E"/>
    <w:rsid w:val="00EB1E66"/>
    <w:rsid w:val="00EB20F5"/>
    <w:rsid w:val="00EB24C5"/>
    <w:rsid w:val="00EB2710"/>
    <w:rsid w:val="00EB2BE7"/>
    <w:rsid w:val="00EB2C46"/>
    <w:rsid w:val="00EB2EEC"/>
    <w:rsid w:val="00EB35F4"/>
    <w:rsid w:val="00EB3B5C"/>
    <w:rsid w:val="00EB3DC9"/>
    <w:rsid w:val="00EB448B"/>
    <w:rsid w:val="00EB4510"/>
    <w:rsid w:val="00EB5972"/>
    <w:rsid w:val="00EB5D4C"/>
    <w:rsid w:val="00EB61FF"/>
    <w:rsid w:val="00EB7034"/>
    <w:rsid w:val="00EB7162"/>
    <w:rsid w:val="00EB736A"/>
    <w:rsid w:val="00EB79F2"/>
    <w:rsid w:val="00EC0C4A"/>
    <w:rsid w:val="00EC0E87"/>
    <w:rsid w:val="00EC0EA7"/>
    <w:rsid w:val="00EC0F2B"/>
    <w:rsid w:val="00EC123C"/>
    <w:rsid w:val="00EC187C"/>
    <w:rsid w:val="00EC1C62"/>
    <w:rsid w:val="00EC1F2F"/>
    <w:rsid w:val="00EC226E"/>
    <w:rsid w:val="00EC26FC"/>
    <w:rsid w:val="00EC294E"/>
    <w:rsid w:val="00EC3479"/>
    <w:rsid w:val="00EC367B"/>
    <w:rsid w:val="00EC36AC"/>
    <w:rsid w:val="00EC37E2"/>
    <w:rsid w:val="00EC382A"/>
    <w:rsid w:val="00EC39A6"/>
    <w:rsid w:val="00EC3A0F"/>
    <w:rsid w:val="00EC3D85"/>
    <w:rsid w:val="00EC4168"/>
    <w:rsid w:val="00EC4212"/>
    <w:rsid w:val="00EC43C5"/>
    <w:rsid w:val="00EC45F7"/>
    <w:rsid w:val="00EC4986"/>
    <w:rsid w:val="00EC4A2C"/>
    <w:rsid w:val="00EC4DEB"/>
    <w:rsid w:val="00EC4F17"/>
    <w:rsid w:val="00EC504A"/>
    <w:rsid w:val="00EC5083"/>
    <w:rsid w:val="00EC60DD"/>
    <w:rsid w:val="00EC6276"/>
    <w:rsid w:val="00EC6AEA"/>
    <w:rsid w:val="00EC70C7"/>
    <w:rsid w:val="00EC729E"/>
    <w:rsid w:val="00EC72B4"/>
    <w:rsid w:val="00EC72E4"/>
    <w:rsid w:val="00EC75B4"/>
    <w:rsid w:val="00EC771E"/>
    <w:rsid w:val="00EC7953"/>
    <w:rsid w:val="00ED0160"/>
    <w:rsid w:val="00ED03AF"/>
    <w:rsid w:val="00ED03BB"/>
    <w:rsid w:val="00ED05B8"/>
    <w:rsid w:val="00ED06D7"/>
    <w:rsid w:val="00ED08EE"/>
    <w:rsid w:val="00ED08EF"/>
    <w:rsid w:val="00ED0E1D"/>
    <w:rsid w:val="00ED13A5"/>
    <w:rsid w:val="00ED13AC"/>
    <w:rsid w:val="00ED13FC"/>
    <w:rsid w:val="00ED1571"/>
    <w:rsid w:val="00ED164D"/>
    <w:rsid w:val="00ED1A31"/>
    <w:rsid w:val="00ED1C06"/>
    <w:rsid w:val="00ED1D82"/>
    <w:rsid w:val="00ED1D86"/>
    <w:rsid w:val="00ED1DF3"/>
    <w:rsid w:val="00ED229B"/>
    <w:rsid w:val="00ED24BD"/>
    <w:rsid w:val="00ED26C1"/>
    <w:rsid w:val="00ED2BFA"/>
    <w:rsid w:val="00ED2FDA"/>
    <w:rsid w:val="00ED3AD9"/>
    <w:rsid w:val="00ED3C21"/>
    <w:rsid w:val="00ED3D80"/>
    <w:rsid w:val="00ED3EDA"/>
    <w:rsid w:val="00ED4051"/>
    <w:rsid w:val="00ED414F"/>
    <w:rsid w:val="00ED433B"/>
    <w:rsid w:val="00ED465D"/>
    <w:rsid w:val="00ED4699"/>
    <w:rsid w:val="00ED4F33"/>
    <w:rsid w:val="00ED5008"/>
    <w:rsid w:val="00ED5021"/>
    <w:rsid w:val="00ED52CA"/>
    <w:rsid w:val="00ED5391"/>
    <w:rsid w:val="00ED552B"/>
    <w:rsid w:val="00ED5723"/>
    <w:rsid w:val="00ED5ABE"/>
    <w:rsid w:val="00ED5C2C"/>
    <w:rsid w:val="00ED5FB4"/>
    <w:rsid w:val="00ED66BB"/>
    <w:rsid w:val="00ED68FD"/>
    <w:rsid w:val="00ED6957"/>
    <w:rsid w:val="00ED69E3"/>
    <w:rsid w:val="00ED6BEF"/>
    <w:rsid w:val="00ED6D3F"/>
    <w:rsid w:val="00ED7518"/>
    <w:rsid w:val="00ED776E"/>
    <w:rsid w:val="00ED77A2"/>
    <w:rsid w:val="00EE02C7"/>
    <w:rsid w:val="00EE051F"/>
    <w:rsid w:val="00EE0C65"/>
    <w:rsid w:val="00EE0C88"/>
    <w:rsid w:val="00EE0CAA"/>
    <w:rsid w:val="00EE1096"/>
    <w:rsid w:val="00EE14D8"/>
    <w:rsid w:val="00EE16D3"/>
    <w:rsid w:val="00EE20F3"/>
    <w:rsid w:val="00EE26EF"/>
    <w:rsid w:val="00EE2B7E"/>
    <w:rsid w:val="00EE2C4F"/>
    <w:rsid w:val="00EE368E"/>
    <w:rsid w:val="00EE38A0"/>
    <w:rsid w:val="00EE3AB2"/>
    <w:rsid w:val="00EE4344"/>
    <w:rsid w:val="00EE457B"/>
    <w:rsid w:val="00EE491E"/>
    <w:rsid w:val="00EE492D"/>
    <w:rsid w:val="00EE4EFD"/>
    <w:rsid w:val="00EE4F79"/>
    <w:rsid w:val="00EE509E"/>
    <w:rsid w:val="00EE5194"/>
    <w:rsid w:val="00EE5424"/>
    <w:rsid w:val="00EE5652"/>
    <w:rsid w:val="00EE5A01"/>
    <w:rsid w:val="00EE5FBB"/>
    <w:rsid w:val="00EE6122"/>
    <w:rsid w:val="00EE63FD"/>
    <w:rsid w:val="00EE6461"/>
    <w:rsid w:val="00EE651A"/>
    <w:rsid w:val="00EE66BA"/>
    <w:rsid w:val="00EE6CCA"/>
    <w:rsid w:val="00EE6DC1"/>
    <w:rsid w:val="00EE703A"/>
    <w:rsid w:val="00EE754F"/>
    <w:rsid w:val="00EE7675"/>
    <w:rsid w:val="00EE7C05"/>
    <w:rsid w:val="00EE7F14"/>
    <w:rsid w:val="00EF0138"/>
    <w:rsid w:val="00EF017A"/>
    <w:rsid w:val="00EF0198"/>
    <w:rsid w:val="00EF04DF"/>
    <w:rsid w:val="00EF0801"/>
    <w:rsid w:val="00EF0E69"/>
    <w:rsid w:val="00EF149D"/>
    <w:rsid w:val="00EF14A4"/>
    <w:rsid w:val="00EF15AD"/>
    <w:rsid w:val="00EF17A5"/>
    <w:rsid w:val="00EF1B16"/>
    <w:rsid w:val="00EF1B22"/>
    <w:rsid w:val="00EF1F43"/>
    <w:rsid w:val="00EF32AB"/>
    <w:rsid w:val="00EF34A8"/>
    <w:rsid w:val="00EF35AA"/>
    <w:rsid w:val="00EF35BA"/>
    <w:rsid w:val="00EF39AB"/>
    <w:rsid w:val="00EF3D8B"/>
    <w:rsid w:val="00EF3DBE"/>
    <w:rsid w:val="00EF40EE"/>
    <w:rsid w:val="00EF425B"/>
    <w:rsid w:val="00EF43C5"/>
    <w:rsid w:val="00EF4751"/>
    <w:rsid w:val="00EF47F3"/>
    <w:rsid w:val="00EF49D6"/>
    <w:rsid w:val="00EF4C02"/>
    <w:rsid w:val="00EF50EF"/>
    <w:rsid w:val="00EF5281"/>
    <w:rsid w:val="00EF5640"/>
    <w:rsid w:val="00EF5BD3"/>
    <w:rsid w:val="00EF6B09"/>
    <w:rsid w:val="00EF6B94"/>
    <w:rsid w:val="00EF7318"/>
    <w:rsid w:val="00EF7344"/>
    <w:rsid w:val="00EF740C"/>
    <w:rsid w:val="00EF7472"/>
    <w:rsid w:val="00EF7D3F"/>
    <w:rsid w:val="00EF7F59"/>
    <w:rsid w:val="00F0011A"/>
    <w:rsid w:val="00F0028F"/>
    <w:rsid w:val="00F00469"/>
    <w:rsid w:val="00F006C6"/>
    <w:rsid w:val="00F00732"/>
    <w:rsid w:val="00F00A7F"/>
    <w:rsid w:val="00F00B55"/>
    <w:rsid w:val="00F00C50"/>
    <w:rsid w:val="00F00D63"/>
    <w:rsid w:val="00F0138F"/>
    <w:rsid w:val="00F013FD"/>
    <w:rsid w:val="00F017AA"/>
    <w:rsid w:val="00F0181F"/>
    <w:rsid w:val="00F0183B"/>
    <w:rsid w:val="00F019AD"/>
    <w:rsid w:val="00F019E6"/>
    <w:rsid w:val="00F01D8C"/>
    <w:rsid w:val="00F01E81"/>
    <w:rsid w:val="00F020AB"/>
    <w:rsid w:val="00F027C1"/>
    <w:rsid w:val="00F02B0C"/>
    <w:rsid w:val="00F02BDB"/>
    <w:rsid w:val="00F02C36"/>
    <w:rsid w:val="00F02D08"/>
    <w:rsid w:val="00F03153"/>
    <w:rsid w:val="00F033E5"/>
    <w:rsid w:val="00F03528"/>
    <w:rsid w:val="00F0358D"/>
    <w:rsid w:val="00F03793"/>
    <w:rsid w:val="00F03CC3"/>
    <w:rsid w:val="00F03DC2"/>
    <w:rsid w:val="00F042D3"/>
    <w:rsid w:val="00F0440E"/>
    <w:rsid w:val="00F04777"/>
    <w:rsid w:val="00F04AC0"/>
    <w:rsid w:val="00F04BDF"/>
    <w:rsid w:val="00F050CE"/>
    <w:rsid w:val="00F0537B"/>
    <w:rsid w:val="00F0537E"/>
    <w:rsid w:val="00F05860"/>
    <w:rsid w:val="00F06148"/>
    <w:rsid w:val="00F064D2"/>
    <w:rsid w:val="00F06557"/>
    <w:rsid w:val="00F06733"/>
    <w:rsid w:val="00F06BDE"/>
    <w:rsid w:val="00F06E54"/>
    <w:rsid w:val="00F0748C"/>
    <w:rsid w:val="00F075C0"/>
    <w:rsid w:val="00F07B71"/>
    <w:rsid w:val="00F07D2B"/>
    <w:rsid w:val="00F07E24"/>
    <w:rsid w:val="00F07E4E"/>
    <w:rsid w:val="00F07E68"/>
    <w:rsid w:val="00F100BC"/>
    <w:rsid w:val="00F10421"/>
    <w:rsid w:val="00F105AD"/>
    <w:rsid w:val="00F106A9"/>
    <w:rsid w:val="00F10920"/>
    <w:rsid w:val="00F10E82"/>
    <w:rsid w:val="00F10F16"/>
    <w:rsid w:val="00F112C3"/>
    <w:rsid w:val="00F11F08"/>
    <w:rsid w:val="00F12140"/>
    <w:rsid w:val="00F12230"/>
    <w:rsid w:val="00F12304"/>
    <w:rsid w:val="00F125A4"/>
    <w:rsid w:val="00F126E2"/>
    <w:rsid w:val="00F12724"/>
    <w:rsid w:val="00F1276E"/>
    <w:rsid w:val="00F127C6"/>
    <w:rsid w:val="00F130A4"/>
    <w:rsid w:val="00F133B3"/>
    <w:rsid w:val="00F133CD"/>
    <w:rsid w:val="00F1350D"/>
    <w:rsid w:val="00F13892"/>
    <w:rsid w:val="00F1391E"/>
    <w:rsid w:val="00F13974"/>
    <w:rsid w:val="00F13A73"/>
    <w:rsid w:val="00F13C84"/>
    <w:rsid w:val="00F1409C"/>
    <w:rsid w:val="00F14966"/>
    <w:rsid w:val="00F14D29"/>
    <w:rsid w:val="00F1524D"/>
    <w:rsid w:val="00F1588C"/>
    <w:rsid w:val="00F159F2"/>
    <w:rsid w:val="00F15D91"/>
    <w:rsid w:val="00F15DBF"/>
    <w:rsid w:val="00F15FE0"/>
    <w:rsid w:val="00F160F3"/>
    <w:rsid w:val="00F16231"/>
    <w:rsid w:val="00F1633E"/>
    <w:rsid w:val="00F163C4"/>
    <w:rsid w:val="00F16740"/>
    <w:rsid w:val="00F16AF8"/>
    <w:rsid w:val="00F16CBC"/>
    <w:rsid w:val="00F17792"/>
    <w:rsid w:val="00F17A93"/>
    <w:rsid w:val="00F17B2E"/>
    <w:rsid w:val="00F17CD8"/>
    <w:rsid w:val="00F17D5C"/>
    <w:rsid w:val="00F17D87"/>
    <w:rsid w:val="00F17F85"/>
    <w:rsid w:val="00F202D1"/>
    <w:rsid w:val="00F20760"/>
    <w:rsid w:val="00F2082B"/>
    <w:rsid w:val="00F20860"/>
    <w:rsid w:val="00F20BE3"/>
    <w:rsid w:val="00F20C1B"/>
    <w:rsid w:val="00F21177"/>
    <w:rsid w:val="00F212BB"/>
    <w:rsid w:val="00F21484"/>
    <w:rsid w:val="00F21667"/>
    <w:rsid w:val="00F216BA"/>
    <w:rsid w:val="00F21BD6"/>
    <w:rsid w:val="00F21CFE"/>
    <w:rsid w:val="00F21D7B"/>
    <w:rsid w:val="00F2220C"/>
    <w:rsid w:val="00F227B1"/>
    <w:rsid w:val="00F22874"/>
    <w:rsid w:val="00F22D17"/>
    <w:rsid w:val="00F22D48"/>
    <w:rsid w:val="00F235BA"/>
    <w:rsid w:val="00F2376B"/>
    <w:rsid w:val="00F23AFB"/>
    <w:rsid w:val="00F23D20"/>
    <w:rsid w:val="00F24105"/>
    <w:rsid w:val="00F247A1"/>
    <w:rsid w:val="00F24A0B"/>
    <w:rsid w:val="00F24C92"/>
    <w:rsid w:val="00F24D02"/>
    <w:rsid w:val="00F24E6A"/>
    <w:rsid w:val="00F25772"/>
    <w:rsid w:val="00F25AAA"/>
    <w:rsid w:val="00F25C04"/>
    <w:rsid w:val="00F25EFD"/>
    <w:rsid w:val="00F26482"/>
    <w:rsid w:val="00F26681"/>
    <w:rsid w:val="00F26830"/>
    <w:rsid w:val="00F26DE6"/>
    <w:rsid w:val="00F27068"/>
    <w:rsid w:val="00F270A0"/>
    <w:rsid w:val="00F271CC"/>
    <w:rsid w:val="00F27562"/>
    <w:rsid w:val="00F276CB"/>
    <w:rsid w:val="00F27936"/>
    <w:rsid w:val="00F27F36"/>
    <w:rsid w:val="00F303E0"/>
    <w:rsid w:val="00F30437"/>
    <w:rsid w:val="00F304C8"/>
    <w:rsid w:val="00F311BF"/>
    <w:rsid w:val="00F314AE"/>
    <w:rsid w:val="00F31596"/>
    <w:rsid w:val="00F316E4"/>
    <w:rsid w:val="00F31D39"/>
    <w:rsid w:val="00F31F35"/>
    <w:rsid w:val="00F320B2"/>
    <w:rsid w:val="00F3214C"/>
    <w:rsid w:val="00F3295C"/>
    <w:rsid w:val="00F32A10"/>
    <w:rsid w:val="00F32C88"/>
    <w:rsid w:val="00F32ED0"/>
    <w:rsid w:val="00F331ED"/>
    <w:rsid w:val="00F3330A"/>
    <w:rsid w:val="00F3349F"/>
    <w:rsid w:val="00F336CC"/>
    <w:rsid w:val="00F3388E"/>
    <w:rsid w:val="00F33A70"/>
    <w:rsid w:val="00F33DAB"/>
    <w:rsid w:val="00F33EBE"/>
    <w:rsid w:val="00F3441F"/>
    <w:rsid w:val="00F3448A"/>
    <w:rsid w:val="00F346AC"/>
    <w:rsid w:val="00F3489D"/>
    <w:rsid w:val="00F34DCB"/>
    <w:rsid w:val="00F350B2"/>
    <w:rsid w:val="00F3517E"/>
    <w:rsid w:val="00F35330"/>
    <w:rsid w:val="00F356E9"/>
    <w:rsid w:val="00F35810"/>
    <w:rsid w:val="00F3656B"/>
    <w:rsid w:val="00F365AE"/>
    <w:rsid w:val="00F367C4"/>
    <w:rsid w:val="00F36A64"/>
    <w:rsid w:val="00F36AC1"/>
    <w:rsid w:val="00F36CF8"/>
    <w:rsid w:val="00F370AF"/>
    <w:rsid w:val="00F370F0"/>
    <w:rsid w:val="00F3720F"/>
    <w:rsid w:val="00F372CE"/>
    <w:rsid w:val="00F37490"/>
    <w:rsid w:val="00F3764A"/>
    <w:rsid w:val="00F377CB"/>
    <w:rsid w:val="00F37915"/>
    <w:rsid w:val="00F3791B"/>
    <w:rsid w:val="00F404F0"/>
    <w:rsid w:val="00F4086D"/>
    <w:rsid w:val="00F40A82"/>
    <w:rsid w:val="00F40DEA"/>
    <w:rsid w:val="00F40EEA"/>
    <w:rsid w:val="00F40F57"/>
    <w:rsid w:val="00F410D0"/>
    <w:rsid w:val="00F41935"/>
    <w:rsid w:val="00F41F98"/>
    <w:rsid w:val="00F42111"/>
    <w:rsid w:val="00F4278D"/>
    <w:rsid w:val="00F4293C"/>
    <w:rsid w:val="00F437B5"/>
    <w:rsid w:val="00F43902"/>
    <w:rsid w:val="00F43908"/>
    <w:rsid w:val="00F43A2F"/>
    <w:rsid w:val="00F43A74"/>
    <w:rsid w:val="00F43CCC"/>
    <w:rsid w:val="00F44032"/>
    <w:rsid w:val="00F44623"/>
    <w:rsid w:val="00F44CCB"/>
    <w:rsid w:val="00F452CC"/>
    <w:rsid w:val="00F455B6"/>
    <w:rsid w:val="00F45B67"/>
    <w:rsid w:val="00F45E63"/>
    <w:rsid w:val="00F45EB8"/>
    <w:rsid w:val="00F460BC"/>
    <w:rsid w:val="00F461C3"/>
    <w:rsid w:val="00F46B24"/>
    <w:rsid w:val="00F4727F"/>
    <w:rsid w:val="00F47C1E"/>
    <w:rsid w:val="00F47CB8"/>
    <w:rsid w:val="00F47EA4"/>
    <w:rsid w:val="00F50042"/>
    <w:rsid w:val="00F5041A"/>
    <w:rsid w:val="00F50461"/>
    <w:rsid w:val="00F5087A"/>
    <w:rsid w:val="00F50D0C"/>
    <w:rsid w:val="00F50F0B"/>
    <w:rsid w:val="00F51372"/>
    <w:rsid w:val="00F51ABB"/>
    <w:rsid w:val="00F51B41"/>
    <w:rsid w:val="00F51D8E"/>
    <w:rsid w:val="00F5263D"/>
    <w:rsid w:val="00F52A53"/>
    <w:rsid w:val="00F5300D"/>
    <w:rsid w:val="00F53188"/>
    <w:rsid w:val="00F533BE"/>
    <w:rsid w:val="00F53424"/>
    <w:rsid w:val="00F53523"/>
    <w:rsid w:val="00F5352D"/>
    <w:rsid w:val="00F535A7"/>
    <w:rsid w:val="00F53623"/>
    <w:rsid w:val="00F539BF"/>
    <w:rsid w:val="00F53CD4"/>
    <w:rsid w:val="00F53D8C"/>
    <w:rsid w:val="00F53E65"/>
    <w:rsid w:val="00F53FED"/>
    <w:rsid w:val="00F5455E"/>
    <w:rsid w:val="00F545D5"/>
    <w:rsid w:val="00F5477F"/>
    <w:rsid w:val="00F556DB"/>
    <w:rsid w:val="00F55E0B"/>
    <w:rsid w:val="00F560FD"/>
    <w:rsid w:val="00F5645B"/>
    <w:rsid w:val="00F5672A"/>
    <w:rsid w:val="00F568A1"/>
    <w:rsid w:val="00F56BF1"/>
    <w:rsid w:val="00F56C72"/>
    <w:rsid w:val="00F57323"/>
    <w:rsid w:val="00F57787"/>
    <w:rsid w:val="00F5782F"/>
    <w:rsid w:val="00F57CAA"/>
    <w:rsid w:val="00F605ED"/>
    <w:rsid w:val="00F608C6"/>
    <w:rsid w:val="00F60EA8"/>
    <w:rsid w:val="00F60FEB"/>
    <w:rsid w:val="00F616C1"/>
    <w:rsid w:val="00F618AC"/>
    <w:rsid w:val="00F61F4C"/>
    <w:rsid w:val="00F62076"/>
    <w:rsid w:val="00F622A1"/>
    <w:rsid w:val="00F622DF"/>
    <w:rsid w:val="00F62432"/>
    <w:rsid w:val="00F6253D"/>
    <w:rsid w:val="00F6275A"/>
    <w:rsid w:val="00F6299C"/>
    <w:rsid w:val="00F629E5"/>
    <w:rsid w:val="00F62A9B"/>
    <w:rsid w:val="00F62CED"/>
    <w:rsid w:val="00F6324B"/>
    <w:rsid w:val="00F63BC6"/>
    <w:rsid w:val="00F64138"/>
    <w:rsid w:val="00F64C30"/>
    <w:rsid w:val="00F64DDC"/>
    <w:rsid w:val="00F650DF"/>
    <w:rsid w:val="00F65244"/>
    <w:rsid w:val="00F653F2"/>
    <w:rsid w:val="00F65597"/>
    <w:rsid w:val="00F65612"/>
    <w:rsid w:val="00F657AC"/>
    <w:rsid w:val="00F65A6F"/>
    <w:rsid w:val="00F65BAF"/>
    <w:rsid w:val="00F65EFC"/>
    <w:rsid w:val="00F66497"/>
    <w:rsid w:val="00F665CB"/>
    <w:rsid w:val="00F66979"/>
    <w:rsid w:val="00F66A85"/>
    <w:rsid w:val="00F66B64"/>
    <w:rsid w:val="00F66F21"/>
    <w:rsid w:val="00F67419"/>
    <w:rsid w:val="00F67997"/>
    <w:rsid w:val="00F679F9"/>
    <w:rsid w:val="00F67CB0"/>
    <w:rsid w:val="00F67E03"/>
    <w:rsid w:val="00F67E48"/>
    <w:rsid w:val="00F70252"/>
    <w:rsid w:val="00F702E5"/>
    <w:rsid w:val="00F7083B"/>
    <w:rsid w:val="00F7085A"/>
    <w:rsid w:val="00F70AB5"/>
    <w:rsid w:val="00F70B1D"/>
    <w:rsid w:val="00F7117C"/>
    <w:rsid w:val="00F71487"/>
    <w:rsid w:val="00F72007"/>
    <w:rsid w:val="00F72021"/>
    <w:rsid w:val="00F72534"/>
    <w:rsid w:val="00F72CF3"/>
    <w:rsid w:val="00F72E18"/>
    <w:rsid w:val="00F73538"/>
    <w:rsid w:val="00F735E1"/>
    <w:rsid w:val="00F73AF8"/>
    <w:rsid w:val="00F73E3D"/>
    <w:rsid w:val="00F73EFB"/>
    <w:rsid w:val="00F73F7C"/>
    <w:rsid w:val="00F7404D"/>
    <w:rsid w:val="00F740D2"/>
    <w:rsid w:val="00F7424B"/>
    <w:rsid w:val="00F7425C"/>
    <w:rsid w:val="00F74577"/>
    <w:rsid w:val="00F74696"/>
    <w:rsid w:val="00F74F31"/>
    <w:rsid w:val="00F74F73"/>
    <w:rsid w:val="00F75052"/>
    <w:rsid w:val="00F754BD"/>
    <w:rsid w:val="00F76319"/>
    <w:rsid w:val="00F76357"/>
    <w:rsid w:val="00F766F1"/>
    <w:rsid w:val="00F7684E"/>
    <w:rsid w:val="00F76C6A"/>
    <w:rsid w:val="00F76F69"/>
    <w:rsid w:val="00F773C8"/>
    <w:rsid w:val="00F774B1"/>
    <w:rsid w:val="00F779C8"/>
    <w:rsid w:val="00F77A8A"/>
    <w:rsid w:val="00F77DCC"/>
    <w:rsid w:val="00F80CB8"/>
    <w:rsid w:val="00F80CF2"/>
    <w:rsid w:val="00F80D7F"/>
    <w:rsid w:val="00F80FEA"/>
    <w:rsid w:val="00F810DD"/>
    <w:rsid w:val="00F813EB"/>
    <w:rsid w:val="00F8153A"/>
    <w:rsid w:val="00F81556"/>
    <w:rsid w:val="00F81EB2"/>
    <w:rsid w:val="00F81EEE"/>
    <w:rsid w:val="00F82E49"/>
    <w:rsid w:val="00F82F8C"/>
    <w:rsid w:val="00F832F1"/>
    <w:rsid w:val="00F836D1"/>
    <w:rsid w:val="00F837AD"/>
    <w:rsid w:val="00F83956"/>
    <w:rsid w:val="00F83C8D"/>
    <w:rsid w:val="00F84576"/>
    <w:rsid w:val="00F84B86"/>
    <w:rsid w:val="00F84FA4"/>
    <w:rsid w:val="00F8520D"/>
    <w:rsid w:val="00F855A8"/>
    <w:rsid w:val="00F85977"/>
    <w:rsid w:val="00F85D97"/>
    <w:rsid w:val="00F86316"/>
    <w:rsid w:val="00F8684A"/>
    <w:rsid w:val="00F86884"/>
    <w:rsid w:val="00F868AF"/>
    <w:rsid w:val="00F86C23"/>
    <w:rsid w:val="00F86CD5"/>
    <w:rsid w:val="00F87022"/>
    <w:rsid w:val="00F87343"/>
    <w:rsid w:val="00F87383"/>
    <w:rsid w:val="00F873DC"/>
    <w:rsid w:val="00F87612"/>
    <w:rsid w:val="00F87875"/>
    <w:rsid w:val="00F87B53"/>
    <w:rsid w:val="00F87C61"/>
    <w:rsid w:val="00F901AB"/>
    <w:rsid w:val="00F90790"/>
    <w:rsid w:val="00F90BF5"/>
    <w:rsid w:val="00F90F19"/>
    <w:rsid w:val="00F91051"/>
    <w:rsid w:val="00F91B00"/>
    <w:rsid w:val="00F91E45"/>
    <w:rsid w:val="00F92084"/>
    <w:rsid w:val="00F923B7"/>
    <w:rsid w:val="00F9256F"/>
    <w:rsid w:val="00F92BD6"/>
    <w:rsid w:val="00F92E6B"/>
    <w:rsid w:val="00F9393D"/>
    <w:rsid w:val="00F93B15"/>
    <w:rsid w:val="00F93B26"/>
    <w:rsid w:val="00F93B6D"/>
    <w:rsid w:val="00F9436D"/>
    <w:rsid w:val="00F943F8"/>
    <w:rsid w:val="00F9477C"/>
    <w:rsid w:val="00F9493E"/>
    <w:rsid w:val="00F949E7"/>
    <w:rsid w:val="00F94F23"/>
    <w:rsid w:val="00F95131"/>
    <w:rsid w:val="00F9527D"/>
    <w:rsid w:val="00F95428"/>
    <w:rsid w:val="00F954B0"/>
    <w:rsid w:val="00F95753"/>
    <w:rsid w:val="00F95905"/>
    <w:rsid w:val="00F95CC7"/>
    <w:rsid w:val="00F961D3"/>
    <w:rsid w:val="00F962E8"/>
    <w:rsid w:val="00F96559"/>
    <w:rsid w:val="00F968C8"/>
    <w:rsid w:val="00F96959"/>
    <w:rsid w:val="00F97029"/>
    <w:rsid w:val="00F970D8"/>
    <w:rsid w:val="00F971DB"/>
    <w:rsid w:val="00F971E0"/>
    <w:rsid w:val="00F9723E"/>
    <w:rsid w:val="00F9788F"/>
    <w:rsid w:val="00F97DD3"/>
    <w:rsid w:val="00F97DEF"/>
    <w:rsid w:val="00F97E23"/>
    <w:rsid w:val="00F97E2F"/>
    <w:rsid w:val="00F97F79"/>
    <w:rsid w:val="00FA07DF"/>
    <w:rsid w:val="00FA0870"/>
    <w:rsid w:val="00FA0AAA"/>
    <w:rsid w:val="00FA0B13"/>
    <w:rsid w:val="00FA0FB1"/>
    <w:rsid w:val="00FA0FF4"/>
    <w:rsid w:val="00FA183E"/>
    <w:rsid w:val="00FA1C42"/>
    <w:rsid w:val="00FA1C68"/>
    <w:rsid w:val="00FA1CE9"/>
    <w:rsid w:val="00FA1E79"/>
    <w:rsid w:val="00FA20C8"/>
    <w:rsid w:val="00FA223B"/>
    <w:rsid w:val="00FA2497"/>
    <w:rsid w:val="00FA24CE"/>
    <w:rsid w:val="00FA2556"/>
    <w:rsid w:val="00FA2625"/>
    <w:rsid w:val="00FA288C"/>
    <w:rsid w:val="00FA2A08"/>
    <w:rsid w:val="00FA2EC7"/>
    <w:rsid w:val="00FA303C"/>
    <w:rsid w:val="00FA3445"/>
    <w:rsid w:val="00FA36BA"/>
    <w:rsid w:val="00FA3FB6"/>
    <w:rsid w:val="00FA4048"/>
    <w:rsid w:val="00FA4231"/>
    <w:rsid w:val="00FA5011"/>
    <w:rsid w:val="00FA50A8"/>
    <w:rsid w:val="00FA545F"/>
    <w:rsid w:val="00FA56A2"/>
    <w:rsid w:val="00FA57B9"/>
    <w:rsid w:val="00FA587B"/>
    <w:rsid w:val="00FA5A5D"/>
    <w:rsid w:val="00FA5B5A"/>
    <w:rsid w:val="00FA5F69"/>
    <w:rsid w:val="00FA616C"/>
    <w:rsid w:val="00FA66BD"/>
    <w:rsid w:val="00FA66F1"/>
    <w:rsid w:val="00FA6EC9"/>
    <w:rsid w:val="00FA6EE8"/>
    <w:rsid w:val="00FA6FA5"/>
    <w:rsid w:val="00FA727B"/>
    <w:rsid w:val="00FA72BF"/>
    <w:rsid w:val="00FA77BD"/>
    <w:rsid w:val="00FA7C43"/>
    <w:rsid w:val="00FA7FDB"/>
    <w:rsid w:val="00FB040D"/>
    <w:rsid w:val="00FB0549"/>
    <w:rsid w:val="00FB05AE"/>
    <w:rsid w:val="00FB073A"/>
    <w:rsid w:val="00FB08F3"/>
    <w:rsid w:val="00FB095D"/>
    <w:rsid w:val="00FB0D60"/>
    <w:rsid w:val="00FB1191"/>
    <w:rsid w:val="00FB127E"/>
    <w:rsid w:val="00FB18CA"/>
    <w:rsid w:val="00FB1A9B"/>
    <w:rsid w:val="00FB1D17"/>
    <w:rsid w:val="00FB20DC"/>
    <w:rsid w:val="00FB20F4"/>
    <w:rsid w:val="00FB23C7"/>
    <w:rsid w:val="00FB23EA"/>
    <w:rsid w:val="00FB2E10"/>
    <w:rsid w:val="00FB31B3"/>
    <w:rsid w:val="00FB336A"/>
    <w:rsid w:val="00FB3520"/>
    <w:rsid w:val="00FB3DAE"/>
    <w:rsid w:val="00FB3DB2"/>
    <w:rsid w:val="00FB4187"/>
    <w:rsid w:val="00FB4240"/>
    <w:rsid w:val="00FB48F3"/>
    <w:rsid w:val="00FB4B10"/>
    <w:rsid w:val="00FB4C64"/>
    <w:rsid w:val="00FB4D57"/>
    <w:rsid w:val="00FB4DC5"/>
    <w:rsid w:val="00FB4E50"/>
    <w:rsid w:val="00FB5003"/>
    <w:rsid w:val="00FB53C9"/>
    <w:rsid w:val="00FB5841"/>
    <w:rsid w:val="00FB5B40"/>
    <w:rsid w:val="00FB6952"/>
    <w:rsid w:val="00FB699F"/>
    <w:rsid w:val="00FB6AD8"/>
    <w:rsid w:val="00FB70DB"/>
    <w:rsid w:val="00FB73E5"/>
    <w:rsid w:val="00FB7445"/>
    <w:rsid w:val="00FB7447"/>
    <w:rsid w:val="00FB75BC"/>
    <w:rsid w:val="00FB7AAF"/>
    <w:rsid w:val="00FB7EDC"/>
    <w:rsid w:val="00FC1205"/>
    <w:rsid w:val="00FC1928"/>
    <w:rsid w:val="00FC192D"/>
    <w:rsid w:val="00FC1C91"/>
    <w:rsid w:val="00FC2817"/>
    <w:rsid w:val="00FC2EE7"/>
    <w:rsid w:val="00FC3574"/>
    <w:rsid w:val="00FC3ADF"/>
    <w:rsid w:val="00FC3D85"/>
    <w:rsid w:val="00FC3E97"/>
    <w:rsid w:val="00FC3F76"/>
    <w:rsid w:val="00FC3FBF"/>
    <w:rsid w:val="00FC4D3E"/>
    <w:rsid w:val="00FC4DDA"/>
    <w:rsid w:val="00FC534C"/>
    <w:rsid w:val="00FC586B"/>
    <w:rsid w:val="00FC5C11"/>
    <w:rsid w:val="00FC5DA4"/>
    <w:rsid w:val="00FC5EFB"/>
    <w:rsid w:val="00FC603D"/>
    <w:rsid w:val="00FC64E1"/>
    <w:rsid w:val="00FC6E28"/>
    <w:rsid w:val="00FC7178"/>
    <w:rsid w:val="00FC75F8"/>
    <w:rsid w:val="00FC7867"/>
    <w:rsid w:val="00FC7C03"/>
    <w:rsid w:val="00FC7CC1"/>
    <w:rsid w:val="00FC7DD9"/>
    <w:rsid w:val="00FC7E2A"/>
    <w:rsid w:val="00FC7F88"/>
    <w:rsid w:val="00FD0148"/>
    <w:rsid w:val="00FD0168"/>
    <w:rsid w:val="00FD0598"/>
    <w:rsid w:val="00FD062D"/>
    <w:rsid w:val="00FD08C2"/>
    <w:rsid w:val="00FD0A3A"/>
    <w:rsid w:val="00FD0B27"/>
    <w:rsid w:val="00FD0E1C"/>
    <w:rsid w:val="00FD11E5"/>
    <w:rsid w:val="00FD14B4"/>
    <w:rsid w:val="00FD15F4"/>
    <w:rsid w:val="00FD1BCB"/>
    <w:rsid w:val="00FD1CD9"/>
    <w:rsid w:val="00FD1E8D"/>
    <w:rsid w:val="00FD249A"/>
    <w:rsid w:val="00FD2537"/>
    <w:rsid w:val="00FD25F6"/>
    <w:rsid w:val="00FD2CC7"/>
    <w:rsid w:val="00FD3133"/>
    <w:rsid w:val="00FD324B"/>
    <w:rsid w:val="00FD33F1"/>
    <w:rsid w:val="00FD3455"/>
    <w:rsid w:val="00FD3858"/>
    <w:rsid w:val="00FD3A95"/>
    <w:rsid w:val="00FD3D46"/>
    <w:rsid w:val="00FD3DDB"/>
    <w:rsid w:val="00FD3F2C"/>
    <w:rsid w:val="00FD4223"/>
    <w:rsid w:val="00FD44FB"/>
    <w:rsid w:val="00FD478D"/>
    <w:rsid w:val="00FD47A4"/>
    <w:rsid w:val="00FD5088"/>
    <w:rsid w:val="00FD50B8"/>
    <w:rsid w:val="00FD568E"/>
    <w:rsid w:val="00FD5B49"/>
    <w:rsid w:val="00FD5C9B"/>
    <w:rsid w:val="00FD6AD6"/>
    <w:rsid w:val="00FD6D41"/>
    <w:rsid w:val="00FD6E92"/>
    <w:rsid w:val="00FD7189"/>
    <w:rsid w:val="00FD72EE"/>
    <w:rsid w:val="00FD76C4"/>
    <w:rsid w:val="00FD7C79"/>
    <w:rsid w:val="00FE0103"/>
    <w:rsid w:val="00FE027B"/>
    <w:rsid w:val="00FE03FD"/>
    <w:rsid w:val="00FE05A7"/>
    <w:rsid w:val="00FE078B"/>
    <w:rsid w:val="00FE07C1"/>
    <w:rsid w:val="00FE0C8A"/>
    <w:rsid w:val="00FE17F0"/>
    <w:rsid w:val="00FE20F2"/>
    <w:rsid w:val="00FE22D4"/>
    <w:rsid w:val="00FE22E6"/>
    <w:rsid w:val="00FE2BAB"/>
    <w:rsid w:val="00FE2DFE"/>
    <w:rsid w:val="00FE3128"/>
    <w:rsid w:val="00FE36E6"/>
    <w:rsid w:val="00FE3C33"/>
    <w:rsid w:val="00FE3E93"/>
    <w:rsid w:val="00FE40C3"/>
    <w:rsid w:val="00FE42DF"/>
    <w:rsid w:val="00FE490F"/>
    <w:rsid w:val="00FE494F"/>
    <w:rsid w:val="00FE4E45"/>
    <w:rsid w:val="00FE5761"/>
    <w:rsid w:val="00FE5EA8"/>
    <w:rsid w:val="00FE6103"/>
    <w:rsid w:val="00FE618D"/>
    <w:rsid w:val="00FE63BA"/>
    <w:rsid w:val="00FE648A"/>
    <w:rsid w:val="00FE64F0"/>
    <w:rsid w:val="00FE6757"/>
    <w:rsid w:val="00FE698D"/>
    <w:rsid w:val="00FE6CA7"/>
    <w:rsid w:val="00FE6CC8"/>
    <w:rsid w:val="00FE6D16"/>
    <w:rsid w:val="00FE737F"/>
    <w:rsid w:val="00FE7FAA"/>
    <w:rsid w:val="00FF068E"/>
    <w:rsid w:val="00FF0BE2"/>
    <w:rsid w:val="00FF0C0B"/>
    <w:rsid w:val="00FF0F68"/>
    <w:rsid w:val="00FF131E"/>
    <w:rsid w:val="00FF14B2"/>
    <w:rsid w:val="00FF15EF"/>
    <w:rsid w:val="00FF1634"/>
    <w:rsid w:val="00FF1985"/>
    <w:rsid w:val="00FF1E67"/>
    <w:rsid w:val="00FF1F63"/>
    <w:rsid w:val="00FF276D"/>
    <w:rsid w:val="00FF27DC"/>
    <w:rsid w:val="00FF27E5"/>
    <w:rsid w:val="00FF2E07"/>
    <w:rsid w:val="00FF2EFB"/>
    <w:rsid w:val="00FF3250"/>
    <w:rsid w:val="00FF3328"/>
    <w:rsid w:val="00FF33AB"/>
    <w:rsid w:val="00FF3426"/>
    <w:rsid w:val="00FF34C4"/>
    <w:rsid w:val="00FF3820"/>
    <w:rsid w:val="00FF3AA9"/>
    <w:rsid w:val="00FF3C30"/>
    <w:rsid w:val="00FF3F99"/>
    <w:rsid w:val="00FF474C"/>
    <w:rsid w:val="00FF48EE"/>
    <w:rsid w:val="00FF49E1"/>
    <w:rsid w:val="00FF49F4"/>
    <w:rsid w:val="00FF4C3A"/>
    <w:rsid w:val="00FF4E9A"/>
    <w:rsid w:val="00FF4F61"/>
    <w:rsid w:val="00FF50DF"/>
    <w:rsid w:val="00FF5232"/>
    <w:rsid w:val="00FF5369"/>
    <w:rsid w:val="00FF550D"/>
    <w:rsid w:val="00FF5542"/>
    <w:rsid w:val="00FF573E"/>
    <w:rsid w:val="00FF5A26"/>
    <w:rsid w:val="00FF5AD7"/>
    <w:rsid w:val="00FF603C"/>
    <w:rsid w:val="00FF652A"/>
    <w:rsid w:val="00FF659D"/>
    <w:rsid w:val="00FF66F1"/>
    <w:rsid w:val="00FF6ABB"/>
    <w:rsid w:val="00FF6B04"/>
    <w:rsid w:val="00FF6E1E"/>
    <w:rsid w:val="00FF7208"/>
    <w:rsid w:val="00FF7440"/>
    <w:rsid w:val="00FF76F4"/>
    <w:rsid w:val="00FF7979"/>
    <w:rsid w:val="00FF79EA"/>
    <w:rsid w:val="00FF7AD8"/>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81346F"/>
  <w15:docId w15:val="{077EAB6B-F717-40A3-8784-90EF235F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93A"/>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uiPriority w:val="99"/>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uiPriority w:val="99"/>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uiPriority w:val="99"/>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rsid w:val="00C85395"/>
    <w:pPr>
      <w:tabs>
        <w:tab w:val="center" w:pos="4252"/>
        <w:tab w:val="right" w:pos="8504"/>
      </w:tabs>
    </w:pPr>
    <w:rPr>
      <w:szCs w:val="20"/>
    </w:rPr>
  </w:style>
  <w:style w:type="character" w:customStyle="1" w:styleId="PiedepginaCar">
    <w:name w:val="Pie de página Car"/>
    <w:link w:val="Piedepgina"/>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uiPriority w:val="99"/>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semiHidden/>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customStyle="1" w:styleId="Puesto1">
    <w:name w:val="Puesto1"/>
    <w:basedOn w:val="Normal"/>
    <w:link w:val="PuestoCar"/>
    <w:qFormat/>
    <w:rsid w:val="00D210C6"/>
    <w:pPr>
      <w:spacing w:line="240" w:lineRule="auto"/>
      <w:jc w:val="center"/>
    </w:pPr>
    <w:rPr>
      <w:rFonts w:eastAsia="Batang" w:cs="Arial"/>
      <w:b/>
      <w:bCs/>
      <w:sz w:val="22"/>
      <w:lang w:val="es-ES_tradnl"/>
    </w:rPr>
  </w:style>
  <w:style w:type="character" w:customStyle="1" w:styleId="PuestoCar">
    <w:name w:val="Puesto Car"/>
    <w:link w:val="Puesto1"/>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styleId="Lista2">
    <w:name w:val="List 2"/>
    <w:basedOn w:val="Normal"/>
    <w:uiPriority w:val="99"/>
    <w:unhideWhenUsed/>
    <w:rsid w:val="00E759BE"/>
    <w:pPr>
      <w:ind w:left="566" w:hanging="283"/>
      <w:contextualSpacing/>
    </w:pPr>
  </w:style>
  <w:style w:type="paragraph" w:styleId="Lista3">
    <w:name w:val="List 3"/>
    <w:basedOn w:val="Normal"/>
    <w:uiPriority w:val="99"/>
    <w:unhideWhenUsed/>
    <w:rsid w:val="00E759BE"/>
    <w:pPr>
      <w:ind w:left="849" w:hanging="283"/>
      <w:contextualSpacing/>
    </w:pPr>
  </w:style>
  <w:style w:type="paragraph" w:styleId="Lista4">
    <w:name w:val="List 4"/>
    <w:basedOn w:val="Normal"/>
    <w:uiPriority w:val="99"/>
    <w:unhideWhenUsed/>
    <w:rsid w:val="00E759BE"/>
    <w:pPr>
      <w:ind w:left="1132" w:hanging="283"/>
      <w:contextualSpacing/>
    </w:pPr>
  </w:style>
  <w:style w:type="paragraph" w:styleId="Lista5">
    <w:name w:val="List 5"/>
    <w:basedOn w:val="Normal"/>
    <w:uiPriority w:val="99"/>
    <w:unhideWhenUsed/>
    <w:rsid w:val="00E759BE"/>
    <w:pPr>
      <w:ind w:left="1415" w:hanging="283"/>
      <w:contextualSpacing/>
    </w:pPr>
  </w:style>
  <w:style w:type="paragraph" w:styleId="Saludo">
    <w:name w:val="Salutation"/>
    <w:basedOn w:val="Normal"/>
    <w:next w:val="Normal"/>
    <w:link w:val="SaludoCar"/>
    <w:uiPriority w:val="99"/>
    <w:unhideWhenUsed/>
    <w:rsid w:val="00E759BE"/>
  </w:style>
  <w:style w:type="character" w:customStyle="1" w:styleId="SaludoCar">
    <w:name w:val="Saludo Car"/>
    <w:link w:val="Saludo"/>
    <w:uiPriority w:val="99"/>
    <w:rsid w:val="00E759BE"/>
    <w:rPr>
      <w:rFonts w:ascii="Arial" w:hAnsi="Arial" w:cs="Times New Roman"/>
      <w:sz w:val="24"/>
      <w:szCs w:val="24"/>
    </w:rPr>
  </w:style>
  <w:style w:type="paragraph" w:styleId="Continuarlista2">
    <w:name w:val="List Continue 2"/>
    <w:basedOn w:val="Normal"/>
    <w:uiPriority w:val="99"/>
    <w:unhideWhenUsed/>
    <w:rsid w:val="00E759BE"/>
    <w:pPr>
      <w:spacing w:after="120"/>
      <w:ind w:left="566"/>
      <w:contextualSpacing/>
    </w:pPr>
  </w:style>
  <w:style w:type="paragraph" w:styleId="Continuarlista3">
    <w:name w:val="List Continue 3"/>
    <w:basedOn w:val="Normal"/>
    <w:uiPriority w:val="99"/>
    <w:unhideWhenUsed/>
    <w:rsid w:val="00E759BE"/>
    <w:pPr>
      <w:spacing w:after="120"/>
      <w:ind w:left="849"/>
      <w:contextualSpacing/>
    </w:pPr>
  </w:style>
  <w:style w:type="paragraph" w:styleId="Textoindependienteprimerasangra2">
    <w:name w:val="Body Text First Indent 2"/>
    <w:basedOn w:val="Sangradetextonormal"/>
    <w:link w:val="Textoindependienteprimerasangra2Car"/>
    <w:uiPriority w:val="99"/>
    <w:unhideWhenUsed/>
    <w:rsid w:val="00E759BE"/>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E759BE"/>
    <w:rPr>
      <w:rFonts w:ascii="Arial" w:hAnsi="Arial" w:cs="Times New Roman"/>
      <w:sz w:val="24"/>
      <w:szCs w:val="24"/>
      <w:lang w:eastAsia="es-ES"/>
    </w:rPr>
  </w:style>
  <w:style w:type="paragraph" w:customStyle="1" w:styleId="Cuadrculamedia1-nfasis21">
    <w:name w:val="Cuadrícula media 1 - Énfasis 21"/>
    <w:basedOn w:val="Normal"/>
    <w:qFormat/>
    <w:rsid w:val="00A307E4"/>
    <w:pPr>
      <w:spacing w:line="240" w:lineRule="auto"/>
      <w:ind w:left="851" w:right="851"/>
      <w:contextualSpacing/>
    </w:pPr>
    <w:rPr>
      <w:rFonts w:ascii="Century Gothic" w:eastAsia="Calibri" w:hAnsi="Century Gothic"/>
      <w:sz w:val="22"/>
      <w:szCs w:val="22"/>
      <w:lang w:val="es-ES_tradnl" w:eastAsia="en-US"/>
    </w:rPr>
  </w:style>
  <w:style w:type="paragraph" w:customStyle="1" w:styleId="western">
    <w:name w:val="western"/>
    <w:basedOn w:val="Normal"/>
    <w:rsid w:val="006A1D4A"/>
    <w:pPr>
      <w:spacing w:before="100" w:beforeAutospacing="1" w:after="100" w:afterAutospacing="1" w:line="240" w:lineRule="auto"/>
      <w:jc w:val="left"/>
    </w:pPr>
    <w:rPr>
      <w:rFonts w:ascii="Times New Roman" w:hAnsi="Times New Roman"/>
    </w:rPr>
  </w:style>
  <w:style w:type="character" w:styleId="Refdenotaalfinal">
    <w:name w:val="endnote reference"/>
    <w:uiPriority w:val="99"/>
    <w:semiHidden/>
    <w:unhideWhenUsed/>
    <w:rsid w:val="00AE2715"/>
    <w:rPr>
      <w:vertAlign w:val="superscript"/>
    </w:rPr>
  </w:style>
  <w:style w:type="character" w:styleId="nfasis">
    <w:name w:val="Emphasis"/>
    <w:uiPriority w:val="20"/>
    <w:qFormat/>
    <w:rsid w:val="00AF1F91"/>
    <w:rPr>
      <w:i/>
      <w:iCs/>
    </w:rPr>
  </w:style>
  <w:style w:type="character" w:customStyle="1" w:styleId="auto-style27">
    <w:name w:val="auto-style27"/>
    <w:basedOn w:val="Fuentedeprrafopredeter"/>
    <w:rsid w:val="00C72910"/>
  </w:style>
  <w:style w:type="paragraph" w:customStyle="1" w:styleId="BodyText23">
    <w:name w:val="Body Text 23"/>
    <w:basedOn w:val="Normal"/>
    <w:rsid w:val="00CF5D76"/>
    <w:pPr>
      <w:overflowPunct w:val="0"/>
      <w:autoSpaceDE w:val="0"/>
      <w:autoSpaceDN w:val="0"/>
      <w:adjustRightInd w:val="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6344">
      <w:bodyDiv w:val="1"/>
      <w:marLeft w:val="0"/>
      <w:marRight w:val="0"/>
      <w:marTop w:val="0"/>
      <w:marBottom w:val="0"/>
      <w:divBdr>
        <w:top w:val="none" w:sz="0" w:space="0" w:color="auto"/>
        <w:left w:val="none" w:sz="0" w:space="0" w:color="auto"/>
        <w:bottom w:val="none" w:sz="0" w:space="0" w:color="auto"/>
        <w:right w:val="none" w:sz="0" w:space="0" w:color="auto"/>
      </w:divBdr>
      <w:divsChild>
        <w:div w:id="353653285">
          <w:marLeft w:val="0"/>
          <w:marRight w:val="0"/>
          <w:marTop w:val="0"/>
          <w:marBottom w:val="0"/>
          <w:divBdr>
            <w:top w:val="none" w:sz="0" w:space="0" w:color="auto"/>
            <w:left w:val="none" w:sz="0" w:space="0" w:color="auto"/>
            <w:bottom w:val="none" w:sz="0" w:space="0" w:color="auto"/>
            <w:right w:val="none" w:sz="0" w:space="0" w:color="auto"/>
          </w:divBdr>
          <w:divsChild>
            <w:div w:id="5176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4001">
      <w:bodyDiv w:val="1"/>
      <w:marLeft w:val="0"/>
      <w:marRight w:val="0"/>
      <w:marTop w:val="0"/>
      <w:marBottom w:val="0"/>
      <w:divBdr>
        <w:top w:val="none" w:sz="0" w:space="0" w:color="auto"/>
        <w:left w:val="none" w:sz="0" w:space="0" w:color="auto"/>
        <w:bottom w:val="none" w:sz="0" w:space="0" w:color="auto"/>
        <w:right w:val="none" w:sz="0" w:space="0" w:color="auto"/>
      </w:divBdr>
    </w:div>
    <w:div w:id="124932864">
      <w:bodyDiv w:val="1"/>
      <w:marLeft w:val="0"/>
      <w:marRight w:val="0"/>
      <w:marTop w:val="0"/>
      <w:marBottom w:val="0"/>
      <w:divBdr>
        <w:top w:val="none" w:sz="0" w:space="0" w:color="auto"/>
        <w:left w:val="none" w:sz="0" w:space="0" w:color="auto"/>
        <w:bottom w:val="none" w:sz="0" w:space="0" w:color="auto"/>
        <w:right w:val="none" w:sz="0" w:space="0" w:color="auto"/>
      </w:divBdr>
    </w:div>
    <w:div w:id="150223386">
      <w:bodyDiv w:val="1"/>
      <w:marLeft w:val="0"/>
      <w:marRight w:val="0"/>
      <w:marTop w:val="0"/>
      <w:marBottom w:val="0"/>
      <w:divBdr>
        <w:top w:val="none" w:sz="0" w:space="0" w:color="auto"/>
        <w:left w:val="none" w:sz="0" w:space="0" w:color="auto"/>
        <w:bottom w:val="none" w:sz="0" w:space="0" w:color="auto"/>
        <w:right w:val="none" w:sz="0" w:space="0" w:color="auto"/>
      </w:divBdr>
    </w:div>
    <w:div w:id="155649971">
      <w:bodyDiv w:val="1"/>
      <w:marLeft w:val="0"/>
      <w:marRight w:val="0"/>
      <w:marTop w:val="0"/>
      <w:marBottom w:val="0"/>
      <w:divBdr>
        <w:top w:val="none" w:sz="0" w:space="0" w:color="auto"/>
        <w:left w:val="none" w:sz="0" w:space="0" w:color="auto"/>
        <w:bottom w:val="none" w:sz="0" w:space="0" w:color="auto"/>
        <w:right w:val="none" w:sz="0" w:space="0" w:color="auto"/>
      </w:divBdr>
    </w:div>
    <w:div w:id="238834487">
      <w:bodyDiv w:val="1"/>
      <w:marLeft w:val="0"/>
      <w:marRight w:val="0"/>
      <w:marTop w:val="0"/>
      <w:marBottom w:val="0"/>
      <w:divBdr>
        <w:top w:val="none" w:sz="0" w:space="0" w:color="auto"/>
        <w:left w:val="none" w:sz="0" w:space="0" w:color="auto"/>
        <w:bottom w:val="none" w:sz="0" w:space="0" w:color="auto"/>
        <w:right w:val="none" w:sz="0" w:space="0" w:color="auto"/>
      </w:divBdr>
    </w:div>
    <w:div w:id="262806578">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352539975">
      <w:bodyDiv w:val="1"/>
      <w:marLeft w:val="0"/>
      <w:marRight w:val="0"/>
      <w:marTop w:val="0"/>
      <w:marBottom w:val="0"/>
      <w:divBdr>
        <w:top w:val="none" w:sz="0" w:space="0" w:color="auto"/>
        <w:left w:val="none" w:sz="0" w:space="0" w:color="auto"/>
        <w:bottom w:val="none" w:sz="0" w:space="0" w:color="auto"/>
        <w:right w:val="none" w:sz="0" w:space="0" w:color="auto"/>
      </w:divBdr>
    </w:div>
    <w:div w:id="353195991">
      <w:bodyDiv w:val="1"/>
      <w:marLeft w:val="0"/>
      <w:marRight w:val="0"/>
      <w:marTop w:val="0"/>
      <w:marBottom w:val="0"/>
      <w:divBdr>
        <w:top w:val="none" w:sz="0" w:space="0" w:color="auto"/>
        <w:left w:val="none" w:sz="0" w:space="0" w:color="auto"/>
        <w:bottom w:val="none" w:sz="0" w:space="0" w:color="auto"/>
        <w:right w:val="none" w:sz="0" w:space="0" w:color="auto"/>
      </w:divBdr>
      <w:divsChild>
        <w:div w:id="637879158">
          <w:marLeft w:val="0"/>
          <w:marRight w:val="0"/>
          <w:marTop w:val="0"/>
          <w:marBottom w:val="0"/>
          <w:divBdr>
            <w:top w:val="none" w:sz="0" w:space="0" w:color="auto"/>
            <w:left w:val="none" w:sz="0" w:space="0" w:color="auto"/>
            <w:bottom w:val="none" w:sz="0" w:space="0" w:color="auto"/>
            <w:right w:val="none" w:sz="0" w:space="0" w:color="auto"/>
          </w:divBdr>
          <w:divsChild>
            <w:div w:id="979075062">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922761311">
          <w:marLeft w:val="0"/>
          <w:marRight w:val="0"/>
          <w:marTop w:val="0"/>
          <w:marBottom w:val="0"/>
          <w:divBdr>
            <w:top w:val="none" w:sz="0" w:space="0" w:color="auto"/>
            <w:left w:val="none" w:sz="0" w:space="0" w:color="auto"/>
            <w:bottom w:val="none" w:sz="0" w:space="0" w:color="auto"/>
            <w:right w:val="none" w:sz="0" w:space="0" w:color="auto"/>
          </w:divBdr>
          <w:divsChild>
            <w:div w:id="5631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0573">
      <w:bodyDiv w:val="1"/>
      <w:marLeft w:val="0"/>
      <w:marRight w:val="0"/>
      <w:marTop w:val="0"/>
      <w:marBottom w:val="0"/>
      <w:divBdr>
        <w:top w:val="none" w:sz="0" w:space="0" w:color="auto"/>
        <w:left w:val="none" w:sz="0" w:space="0" w:color="auto"/>
        <w:bottom w:val="none" w:sz="0" w:space="0" w:color="auto"/>
        <w:right w:val="none" w:sz="0" w:space="0" w:color="auto"/>
      </w:divBdr>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3916312">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499657965">
      <w:bodyDiv w:val="1"/>
      <w:marLeft w:val="0"/>
      <w:marRight w:val="0"/>
      <w:marTop w:val="0"/>
      <w:marBottom w:val="0"/>
      <w:divBdr>
        <w:top w:val="none" w:sz="0" w:space="0" w:color="auto"/>
        <w:left w:val="none" w:sz="0" w:space="0" w:color="auto"/>
        <w:bottom w:val="none" w:sz="0" w:space="0" w:color="auto"/>
        <w:right w:val="none" w:sz="0" w:space="0" w:color="auto"/>
      </w:divBdr>
    </w:div>
    <w:div w:id="506096148">
      <w:bodyDiv w:val="1"/>
      <w:marLeft w:val="0"/>
      <w:marRight w:val="0"/>
      <w:marTop w:val="0"/>
      <w:marBottom w:val="0"/>
      <w:divBdr>
        <w:top w:val="none" w:sz="0" w:space="0" w:color="auto"/>
        <w:left w:val="none" w:sz="0" w:space="0" w:color="auto"/>
        <w:bottom w:val="none" w:sz="0" w:space="0" w:color="auto"/>
        <w:right w:val="none" w:sz="0" w:space="0" w:color="auto"/>
      </w:divBdr>
    </w:div>
    <w:div w:id="530609917">
      <w:bodyDiv w:val="1"/>
      <w:marLeft w:val="0"/>
      <w:marRight w:val="0"/>
      <w:marTop w:val="0"/>
      <w:marBottom w:val="0"/>
      <w:divBdr>
        <w:top w:val="none" w:sz="0" w:space="0" w:color="auto"/>
        <w:left w:val="none" w:sz="0" w:space="0" w:color="auto"/>
        <w:bottom w:val="none" w:sz="0" w:space="0" w:color="auto"/>
        <w:right w:val="none" w:sz="0" w:space="0" w:color="auto"/>
      </w:divBdr>
      <w:divsChild>
        <w:div w:id="2045863400">
          <w:marLeft w:val="0"/>
          <w:marRight w:val="0"/>
          <w:marTop w:val="0"/>
          <w:marBottom w:val="0"/>
          <w:divBdr>
            <w:top w:val="none" w:sz="0" w:space="0" w:color="auto"/>
            <w:left w:val="none" w:sz="0" w:space="0" w:color="auto"/>
            <w:bottom w:val="none" w:sz="0" w:space="0" w:color="auto"/>
            <w:right w:val="none" w:sz="0" w:space="0" w:color="auto"/>
          </w:divBdr>
          <w:divsChild>
            <w:div w:id="10902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5098">
      <w:bodyDiv w:val="1"/>
      <w:marLeft w:val="0"/>
      <w:marRight w:val="0"/>
      <w:marTop w:val="0"/>
      <w:marBottom w:val="0"/>
      <w:divBdr>
        <w:top w:val="none" w:sz="0" w:space="0" w:color="auto"/>
        <w:left w:val="none" w:sz="0" w:space="0" w:color="auto"/>
        <w:bottom w:val="none" w:sz="0" w:space="0" w:color="auto"/>
        <w:right w:val="none" w:sz="0" w:space="0" w:color="auto"/>
      </w:divBdr>
    </w:div>
    <w:div w:id="673531706">
      <w:bodyDiv w:val="1"/>
      <w:marLeft w:val="0"/>
      <w:marRight w:val="0"/>
      <w:marTop w:val="0"/>
      <w:marBottom w:val="0"/>
      <w:divBdr>
        <w:top w:val="none" w:sz="0" w:space="0" w:color="auto"/>
        <w:left w:val="none" w:sz="0" w:space="0" w:color="auto"/>
        <w:bottom w:val="none" w:sz="0" w:space="0" w:color="auto"/>
        <w:right w:val="none" w:sz="0" w:space="0" w:color="auto"/>
      </w:divBdr>
    </w:div>
    <w:div w:id="721712255">
      <w:bodyDiv w:val="1"/>
      <w:marLeft w:val="0"/>
      <w:marRight w:val="0"/>
      <w:marTop w:val="0"/>
      <w:marBottom w:val="0"/>
      <w:divBdr>
        <w:top w:val="none" w:sz="0" w:space="0" w:color="auto"/>
        <w:left w:val="none" w:sz="0" w:space="0" w:color="auto"/>
        <w:bottom w:val="none" w:sz="0" w:space="0" w:color="auto"/>
        <w:right w:val="none" w:sz="0" w:space="0" w:color="auto"/>
      </w:divBdr>
    </w:div>
    <w:div w:id="805052469">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20849136">
      <w:bodyDiv w:val="1"/>
      <w:marLeft w:val="0"/>
      <w:marRight w:val="0"/>
      <w:marTop w:val="0"/>
      <w:marBottom w:val="0"/>
      <w:divBdr>
        <w:top w:val="none" w:sz="0" w:space="0" w:color="auto"/>
        <w:left w:val="none" w:sz="0" w:space="0" w:color="auto"/>
        <w:bottom w:val="none" w:sz="0" w:space="0" w:color="auto"/>
        <w:right w:val="none" w:sz="0" w:space="0" w:color="auto"/>
      </w:divBdr>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872692377">
      <w:bodyDiv w:val="1"/>
      <w:marLeft w:val="0"/>
      <w:marRight w:val="0"/>
      <w:marTop w:val="0"/>
      <w:marBottom w:val="0"/>
      <w:divBdr>
        <w:top w:val="none" w:sz="0" w:space="0" w:color="auto"/>
        <w:left w:val="none" w:sz="0" w:space="0" w:color="auto"/>
        <w:bottom w:val="none" w:sz="0" w:space="0" w:color="auto"/>
        <w:right w:val="none" w:sz="0" w:space="0" w:color="auto"/>
      </w:divBdr>
    </w:div>
    <w:div w:id="929582115">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0113645">
      <w:bodyDiv w:val="1"/>
      <w:marLeft w:val="0"/>
      <w:marRight w:val="0"/>
      <w:marTop w:val="0"/>
      <w:marBottom w:val="0"/>
      <w:divBdr>
        <w:top w:val="none" w:sz="0" w:space="0" w:color="auto"/>
        <w:left w:val="none" w:sz="0" w:space="0" w:color="auto"/>
        <w:bottom w:val="none" w:sz="0" w:space="0" w:color="auto"/>
        <w:right w:val="none" w:sz="0" w:space="0" w:color="auto"/>
      </w:divBdr>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70615219">
      <w:bodyDiv w:val="1"/>
      <w:marLeft w:val="0"/>
      <w:marRight w:val="0"/>
      <w:marTop w:val="0"/>
      <w:marBottom w:val="0"/>
      <w:divBdr>
        <w:top w:val="none" w:sz="0" w:space="0" w:color="auto"/>
        <w:left w:val="none" w:sz="0" w:space="0" w:color="auto"/>
        <w:bottom w:val="none" w:sz="0" w:space="0" w:color="auto"/>
        <w:right w:val="none" w:sz="0" w:space="0" w:color="auto"/>
      </w:divBdr>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232160553">
      <w:bodyDiv w:val="1"/>
      <w:marLeft w:val="0"/>
      <w:marRight w:val="0"/>
      <w:marTop w:val="0"/>
      <w:marBottom w:val="0"/>
      <w:divBdr>
        <w:top w:val="none" w:sz="0" w:space="0" w:color="auto"/>
        <w:left w:val="none" w:sz="0" w:space="0" w:color="auto"/>
        <w:bottom w:val="none" w:sz="0" w:space="0" w:color="auto"/>
        <w:right w:val="none" w:sz="0" w:space="0" w:color="auto"/>
      </w:divBdr>
    </w:div>
    <w:div w:id="1280726366">
      <w:bodyDiv w:val="1"/>
      <w:marLeft w:val="0"/>
      <w:marRight w:val="0"/>
      <w:marTop w:val="0"/>
      <w:marBottom w:val="0"/>
      <w:divBdr>
        <w:top w:val="none" w:sz="0" w:space="0" w:color="auto"/>
        <w:left w:val="none" w:sz="0" w:space="0" w:color="auto"/>
        <w:bottom w:val="none" w:sz="0" w:space="0" w:color="auto"/>
        <w:right w:val="none" w:sz="0" w:space="0" w:color="auto"/>
      </w:divBdr>
    </w:div>
    <w:div w:id="1294284962">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9934891">
      <w:bodyDiv w:val="1"/>
      <w:marLeft w:val="0"/>
      <w:marRight w:val="0"/>
      <w:marTop w:val="0"/>
      <w:marBottom w:val="0"/>
      <w:divBdr>
        <w:top w:val="none" w:sz="0" w:space="0" w:color="auto"/>
        <w:left w:val="none" w:sz="0" w:space="0" w:color="auto"/>
        <w:bottom w:val="none" w:sz="0" w:space="0" w:color="auto"/>
        <w:right w:val="none" w:sz="0" w:space="0" w:color="auto"/>
      </w:divBdr>
    </w:div>
    <w:div w:id="1431701508">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80820845">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04996715">
      <w:bodyDiv w:val="1"/>
      <w:marLeft w:val="0"/>
      <w:marRight w:val="0"/>
      <w:marTop w:val="0"/>
      <w:marBottom w:val="0"/>
      <w:divBdr>
        <w:top w:val="none" w:sz="0" w:space="0" w:color="auto"/>
        <w:left w:val="none" w:sz="0" w:space="0" w:color="auto"/>
        <w:bottom w:val="none" w:sz="0" w:space="0" w:color="auto"/>
        <w:right w:val="none" w:sz="0" w:space="0" w:color="auto"/>
      </w:divBdr>
    </w:div>
    <w:div w:id="1655337248">
      <w:bodyDiv w:val="1"/>
      <w:marLeft w:val="0"/>
      <w:marRight w:val="0"/>
      <w:marTop w:val="0"/>
      <w:marBottom w:val="0"/>
      <w:divBdr>
        <w:top w:val="none" w:sz="0" w:space="0" w:color="auto"/>
        <w:left w:val="none" w:sz="0" w:space="0" w:color="auto"/>
        <w:bottom w:val="none" w:sz="0" w:space="0" w:color="auto"/>
        <w:right w:val="none" w:sz="0" w:space="0" w:color="auto"/>
      </w:divBdr>
    </w:div>
    <w:div w:id="1658800986">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19089455">
      <w:bodyDiv w:val="1"/>
      <w:marLeft w:val="0"/>
      <w:marRight w:val="0"/>
      <w:marTop w:val="0"/>
      <w:marBottom w:val="0"/>
      <w:divBdr>
        <w:top w:val="none" w:sz="0" w:space="0" w:color="auto"/>
        <w:left w:val="none" w:sz="0" w:space="0" w:color="auto"/>
        <w:bottom w:val="none" w:sz="0" w:space="0" w:color="auto"/>
        <w:right w:val="none" w:sz="0" w:space="0" w:color="auto"/>
      </w:divBdr>
    </w:div>
    <w:div w:id="1720322706">
      <w:bodyDiv w:val="1"/>
      <w:marLeft w:val="0"/>
      <w:marRight w:val="0"/>
      <w:marTop w:val="0"/>
      <w:marBottom w:val="0"/>
      <w:divBdr>
        <w:top w:val="none" w:sz="0" w:space="0" w:color="auto"/>
        <w:left w:val="none" w:sz="0" w:space="0" w:color="auto"/>
        <w:bottom w:val="none" w:sz="0" w:space="0" w:color="auto"/>
        <w:right w:val="none" w:sz="0" w:space="0" w:color="auto"/>
      </w:divBdr>
    </w:div>
    <w:div w:id="1766878599">
      <w:bodyDiv w:val="1"/>
      <w:marLeft w:val="0"/>
      <w:marRight w:val="0"/>
      <w:marTop w:val="0"/>
      <w:marBottom w:val="0"/>
      <w:divBdr>
        <w:top w:val="none" w:sz="0" w:space="0" w:color="auto"/>
        <w:left w:val="none" w:sz="0" w:space="0" w:color="auto"/>
        <w:bottom w:val="none" w:sz="0" w:space="0" w:color="auto"/>
        <w:right w:val="none" w:sz="0" w:space="0" w:color="auto"/>
      </w:divBdr>
    </w:div>
    <w:div w:id="1780832622">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83134409">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37784725">
      <w:bodyDiv w:val="1"/>
      <w:marLeft w:val="0"/>
      <w:marRight w:val="0"/>
      <w:marTop w:val="0"/>
      <w:marBottom w:val="0"/>
      <w:divBdr>
        <w:top w:val="none" w:sz="0" w:space="0" w:color="auto"/>
        <w:left w:val="none" w:sz="0" w:space="0" w:color="auto"/>
        <w:bottom w:val="none" w:sz="0" w:space="0" w:color="auto"/>
        <w:right w:val="none" w:sz="0" w:space="0" w:color="auto"/>
      </w:divBdr>
    </w:div>
    <w:div w:id="1955863043">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111851986">
      <w:bodyDiv w:val="1"/>
      <w:marLeft w:val="0"/>
      <w:marRight w:val="0"/>
      <w:marTop w:val="0"/>
      <w:marBottom w:val="0"/>
      <w:divBdr>
        <w:top w:val="none" w:sz="0" w:space="0" w:color="auto"/>
        <w:left w:val="none" w:sz="0" w:space="0" w:color="auto"/>
        <w:bottom w:val="none" w:sz="0" w:space="0" w:color="auto"/>
        <w:right w:val="none" w:sz="0" w:space="0" w:color="auto"/>
      </w:divBdr>
    </w:div>
    <w:div w:id="2118132632">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33C8A-7C40-B948-BEFC-C44BC26C0AE7}">
  <ds:schemaRefs>
    <ds:schemaRef ds:uri="http://schemas.openxmlformats.org/officeDocument/2006/bibliography"/>
  </ds:schemaRefs>
</ds:datastoreItem>
</file>

<file path=customXml/itemProps2.xml><?xml version="1.0" encoding="utf-8"?>
<ds:datastoreItem xmlns:ds="http://schemas.openxmlformats.org/officeDocument/2006/customXml" ds:itemID="{D35EF58B-0257-434E-8717-5FD48F6D75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2F7992-A391-423D-B033-7402D0023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92655-D7F0-4E8E-81A4-082A8757A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14627</Words>
  <Characters>80452</Characters>
  <Application>Microsoft Office Word</Application>
  <DocSecurity>0</DocSecurity>
  <Lines>670</Lines>
  <Paragraphs>189</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94890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Carlos Mario Castrillón Endo</cp:lastModifiedBy>
  <cp:revision>2</cp:revision>
  <cp:lastPrinted>2017-09-04T21:27:00Z</cp:lastPrinted>
  <dcterms:created xsi:type="dcterms:W3CDTF">2020-06-30T17:16:00Z</dcterms:created>
  <dcterms:modified xsi:type="dcterms:W3CDTF">2020-06-30T17:16:00Z</dcterms:modified>
</cp:coreProperties>
</file>