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5B" w:rsidRPr="002E02F6" w:rsidRDefault="00D72F9F" w:rsidP="009F745B">
      <w:pPr>
        <w:jc w:val="both"/>
        <w:rPr>
          <w:rFonts w:ascii="Arial" w:hAnsi="Arial" w:cs="Arial"/>
        </w:rPr>
      </w:pPr>
      <w:r w:rsidRPr="002E02F6">
        <w:rPr>
          <w:rFonts w:ascii="Arial" w:hAnsi="Arial" w:cs="Arial"/>
          <w:b/>
        </w:rPr>
        <w:t xml:space="preserve">BIENES DE USO PÚBLICO – Características – Artículo 63 Constitución Política </w:t>
      </w:r>
    </w:p>
    <w:p w:rsidR="009F745B" w:rsidRPr="002E02F6" w:rsidRDefault="009F745B" w:rsidP="009F745B">
      <w:pPr>
        <w:jc w:val="both"/>
        <w:rPr>
          <w:rFonts w:ascii="Arial" w:hAnsi="Arial" w:cs="Arial"/>
        </w:rPr>
      </w:pPr>
    </w:p>
    <w:p w:rsidR="009F745B" w:rsidRPr="002E02F6" w:rsidRDefault="009F745B" w:rsidP="009F745B">
      <w:pPr>
        <w:jc w:val="both"/>
        <w:rPr>
          <w:rFonts w:ascii="Arial" w:hAnsi="Arial" w:cs="Arial"/>
        </w:rPr>
      </w:pPr>
      <w:r w:rsidRPr="002E02F6">
        <w:rPr>
          <w:rFonts w:ascii="Arial" w:hAnsi="Arial" w:cs="Arial"/>
        </w:rPr>
        <w:t>El artículo 63 de la Constitución Política consagra que “los bienes de uso público, los parques naturales, las tierras comunales de grupos étnicos, las tierras de resguardo, el patrimonio arqueológico de la Nación y los demás bienes que determine la ley, son inalienables, imprescriptibles e inembargables” (…) Los bienes de uso público son aquellos que están destinados al uso y goce de todos los habitantes, y por lo tanto tienen las características de ser inalienables, imprescriptibles e inembargables, tal como lo consagra la Constitución y la Ley.</w:t>
      </w:r>
    </w:p>
    <w:p w:rsidR="009F745B" w:rsidRPr="002E02F6" w:rsidRDefault="009F745B" w:rsidP="009F745B">
      <w:pPr>
        <w:jc w:val="both"/>
        <w:rPr>
          <w:rFonts w:ascii="Arial" w:hAnsi="Arial" w:cs="Arial"/>
        </w:rPr>
      </w:pPr>
    </w:p>
    <w:p w:rsidR="009F745B" w:rsidRPr="002E02F6" w:rsidRDefault="00D72F9F" w:rsidP="009F745B">
      <w:pPr>
        <w:jc w:val="both"/>
        <w:rPr>
          <w:rFonts w:ascii="Arial" w:hAnsi="Arial" w:cs="Arial"/>
        </w:rPr>
      </w:pPr>
      <w:r w:rsidRPr="002E02F6">
        <w:rPr>
          <w:rFonts w:ascii="Arial" w:hAnsi="Arial" w:cs="Arial"/>
          <w:b/>
        </w:rPr>
        <w:t>ENAJENACIÓ</w:t>
      </w:r>
      <w:r w:rsidR="009F745B" w:rsidRPr="002E02F6">
        <w:rPr>
          <w:rFonts w:ascii="Arial" w:hAnsi="Arial" w:cs="Arial"/>
          <w:b/>
        </w:rPr>
        <w:t>N DE BIENES FISCALES –</w:t>
      </w:r>
      <w:r w:rsidR="009F745B" w:rsidRPr="002E02F6">
        <w:rPr>
          <w:rFonts w:ascii="Arial" w:hAnsi="Arial" w:cs="Arial"/>
        </w:rPr>
        <w:t xml:space="preserve"> </w:t>
      </w:r>
      <w:r w:rsidR="009F745B" w:rsidRPr="002E02F6">
        <w:rPr>
          <w:rFonts w:ascii="Arial" w:hAnsi="Arial" w:cs="Arial"/>
          <w:b/>
        </w:rPr>
        <w:t>Definición – Características</w:t>
      </w:r>
      <w:r w:rsidRPr="002E02F6">
        <w:rPr>
          <w:rFonts w:ascii="Arial" w:hAnsi="Arial" w:cs="Arial"/>
          <w:b/>
        </w:rPr>
        <w:t xml:space="preserve"> – Autorización de alcalde </w:t>
      </w:r>
    </w:p>
    <w:p w:rsidR="009F745B" w:rsidRPr="002E02F6" w:rsidRDefault="009F745B" w:rsidP="009F745B">
      <w:pPr>
        <w:jc w:val="both"/>
        <w:rPr>
          <w:rFonts w:ascii="Arial" w:hAnsi="Arial" w:cs="Arial"/>
        </w:rPr>
      </w:pPr>
    </w:p>
    <w:p w:rsidR="00D72F9F" w:rsidRPr="002E02F6" w:rsidRDefault="009F745B" w:rsidP="009F745B">
      <w:pPr>
        <w:jc w:val="both"/>
        <w:rPr>
          <w:rFonts w:ascii="Arial" w:hAnsi="Arial" w:cs="Arial"/>
        </w:rPr>
      </w:pPr>
      <w:r w:rsidRPr="002E02F6">
        <w:rPr>
          <w:rFonts w:ascii="Arial" w:hAnsi="Arial" w:cs="Arial"/>
        </w:rPr>
        <w:t xml:space="preserve">Sobre la posibilidad de enajenar los bienes fiscales, el Consejo de Estado, Sección Primera, en sentencia de 12 de octubre de 1980 (Rad. 958) dijo: “…Lo primero que debe decirse en relación al acuerdo demandado es que se dictó, sin lugar a dudas, en ejercicio de las facultades expresas que el artículo 197 de la Constitución Nacional le otorga a los concejos municipales para dar autorizaciones a los alcaldes en orden a enajenar bienes municipales, facultad esta que fue reproducida en el numeral 7 del artículo 92 del actual Código de Régimen Municipal (Dcto. 1333 de 1986). Por manera que, en principio, tratándose como se trata en el caso sub examine de un bien inmueble municipal, el cabildo de Cali tenía la atribución constitucional y legal de conferir la autorización al alcalde para vender el lote al cual se refiere la demanda”. </w:t>
      </w:r>
    </w:p>
    <w:p w:rsidR="00D72F9F" w:rsidRPr="002E02F6" w:rsidRDefault="00D72F9F" w:rsidP="009F745B">
      <w:pPr>
        <w:jc w:val="both"/>
        <w:rPr>
          <w:rFonts w:ascii="Arial" w:hAnsi="Arial" w:cs="Arial"/>
        </w:rPr>
      </w:pPr>
    </w:p>
    <w:p w:rsidR="00D72F9F" w:rsidRPr="002E02F6" w:rsidRDefault="00D72F9F" w:rsidP="009F745B">
      <w:pPr>
        <w:jc w:val="both"/>
        <w:rPr>
          <w:rFonts w:ascii="Arial" w:hAnsi="Arial" w:cs="Arial"/>
          <w:b/>
        </w:rPr>
      </w:pPr>
      <w:r w:rsidRPr="002E02F6">
        <w:rPr>
          <w:rFonts w:ascii="Arial" w:hAnsi="Arial" w:cs="Arial"/>
          <w:b/>
        </w:rPr>
        <w:t>BIENES FISCALES – Caracterización – Enajenables</w:t>
      </w:r>
    </w:p>
    <w:p w:rsidR="00D72F9F" w:rsidRPr="002E02F6" w:rsidRDefault="00D72F9F" w:rsidP="009F745B">
      <w:pPr>
        <w:jc w:val="both"/>
        <w:rPr>
          <w:rFonts w:ascii="Arial" w:hAnsi="Arial" w:cs="Arial"/>
        </w:rPr>
      </w:pPr>
    </w:p>
    <w:p w:rsidR="009F745B" w:rsidRPr="002E02F6" w:rsidRDefault="009F745B" w:rsidP="009F745B">
      <w:pPr>
        <w:jc w:val="both"/>
        <w:rPr>
          <w:rFonts w:ascii="Arial" w:hAnsi="Arial" w:cs="Arial"/>
        </w:rPr>
      </w:pPr>
      <w:r w:rsidRPr="002E02F6">
        <w:rPr>
          <w:rFonts w:ascii="Arial" w:hAnsi="Arial" w:cs="Arial"/>
        </w:rPr>
        <w:t>(…) una caracterización de los bienes fiscales o patrimoniales del Estado pasaría por afirmar que se trata de bienes que (i) pertenecen a una persona jurídica de derecho público; (ii) están destinados a servir como instrumentos materiales para el ejercicio de funciones públicas o para la prestación de servicios a cargo de las entidades estatales; (iii) el Estado los administra de conformidad con el régimen jurídico que al tipo de bien del cual se trate proporciona el derecho común y (iv) son embargables, enajenables e imprescriptibles. Tales características permiten diferenciarlos con claridad de los bienes de uso público, tal como igualmente lo han hecho en otras ocasiones tanto esta Sala como la jurisprudencia de la Corte Suprema de Justicia. (…) de otro lado se sitúan los denominados bienes fiscales, cuya titularidad recae sobre la Nación, un Departamento o un Municipio, es decir, una persona jurídica de derecho público, según el caso. Los cuales son negociables y enajenables, pues son de aquellos que conforman el patrimonio de quien ostente si titularidad y en consecuencia se encuentran dentro del comercio.</w:t>
      </w:r>
    </w:p>
    <w:p w:rsidR="009F745B" w:rsidRPr="002E02F6" w:rsidRDefault="009F745B" w:rsidP="009F745B">
      <w:pPr>
        <w:jc w:val="both"/>
        <w:rPr>
          <w:rFonts w:ascii="Arial" w:hAnsi="Arial" w:cs="Arial"/>
        </w:rPr>
      </w:pPr>
    </w:p>
    <w:p w:rsidR="009F745B" w:rsidRPr="002E02F6" w:rsidRDefault="00D72F9F" w:rsidP="009F745B">
      <w:pPr>
        <w:jc w:val="both"/>
        <w:rPr>
          <w:rFonts w:ascii="Arial" w:hAnsi="Arial" w:cs="Arial"/>
        </w:rPr>
      </w:pPr>
      <w:r w:rsidRPr="002E02F6">
        <w:rPr>
          <w:rFonts w:ascii="Arial" w:hAnsi="Arial" w:cs="Arial"/>
          <w:b/>
        </w:rPr>
        <w:t>CADUCIDAD DE LA ACCIÓ</w:t>
      </w:r>
      <w:r w:rsidR="009F745B" w:rsidRPr="002E02F6">
        <w:rPr>
          <w:rFonts w:ascii="Arial" w:hAnsi="Arial" w:cs="Arial"/>
          <w:b/>
        </w:rPr>
        <w:t>N –</w:t>
      </w:r>
      <w:r w:rsidR="009F745B" w:rsidRPr="002E02F6">
        <w:rPr>
          <w:rFonts w:ascii="Arial" w:hAnsi="Arial" w:cs="Arial"/>
        </w:rPr>
        <w:t xml:space="preserve"> </w:t>
      </w:r>
      <w:r w:rsidRPr="002E02F6">
        <w:rPr>
          <w:rFonts w:ascii="Arial" w:hAnsi="Arial" w:cs="Arial"/>
          <w:b/>
        </w:rPr>
        <w:t>Opera de p</w:t>
      </w:r>
      <w:r w:rsidR="009F745B" w:rsidRPr="002E02F6">
        <w:rPr>
          <w:rFonts w:ascii="Arial" w:hAnsi="Arial" w:cs="Arial"/>
          <w:b/>
        </w:rPr>
        <w:t xml:space="preserve">leno derecho </w:t>
      </w:r>
      <w:r w:rsidRPr="002E02F6">
        <w:rPr>
          <w:rFonts w:ascii="Arial" w:hAnsi="Arial" w:cs="Arial"/>
          <w:b/>
        </w:rPr>
        <w:t xml:space="preserve">– Seguridad jurídica – Ejercicio de la acción – Límite temporal – Principios que la justifican </w:t>
      </w:r>
    </w:p>
    <w:p w:rsidR="00D72F9F" w:rsidRPr="002E02F6" w:rsidRDefault="00D72F9F" w:rsidP="009F745B">
      <w:pPr>
        <w:jc w:val="both"/>
        <w:rPr>
          <w:rFonts w:ascii="Arial" w:hAnsi="Arial" w:cs="Arial"/>
        </w:rPr>
      </w:pPr>
    </w:p>
    <w:p w:rsidR="00D72F9F" w:rsidRPr="002E02F6" w:rsidRDefault="00D72F9F" w:rsidP="009F745B">
      <w:pPr>
        <w:jc w:val="both"/>
        <w:rPr>
          <w:rFonts w:ascii="Arial" w:hAnsi="Arial" w:cs="Arial"/>
        </w:rPr>
      </w:pPr>
      <w:r w:rsidRPr="002E02F6">
        <w:rPr>
          <w:rFonts w:ascii="Arial" w:hAnsi="Arial" w:cs="Arial"/>
        </w:rPr>
        <w:t>S</w:t>
      </w:r>
      <w:r w:rsidR="009F745B" w:rsidRPr="002E02F6">
        <w:rPr>
          <w:rFonts w:ascii="Arial" w:hAnsi="Arial" w:cs="Arial"/>
        </w:rPr>
        <w:t xml:space="preserve">e sabe que éste es un fenómeno jurídico que implica la imposibilidad de formular ante la jurisdicción unas determinadas pretensiones habida cuenta de que ha transcurrido el término que perentoriamente ha señalado la ley para ejercitar la correspondiente acción. La seguridad jurídica y la paz social son las razones que fundamentalmente justifican que el legislador limite desde el punto de vista temporal la posibilidad de aducir ante el juez unas concretas pretensiones y por ello se dice que la caducidad protege intereses de orden general. Los términos para que opere la caducidad están siempre señalados en la ley y las normas que los contienen son de orden público, razones por las cuales son taxativos y las partes no pueden crear término alguno de caducidad. La caducidad opera de pleno derecho, es decir que se estructura con el solo hecho de transcurrir el tiempo prefijado para ello, y por lo tanto el juez puede y debe decretarla aún de oficio cuando aparezca que ella ha operado. (…) 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 </w:t>
      </w:r>
    </w:p>
    <w:p w:rsidR="00D72F9F" w:rsidRPr="002E02F6" w:rsidRDefault="00D72F9F" w:rsidP="009F745B">
      <w:pPr>
        <w:jc w:val="both"/>
        <w:rPr>
          <w:rFonts w:ascii="Arial" w:hAnsi="Arial" w:cs="Arial"/>
        </w:rPr>
      </w:pPr>
    </w:p>
    <w:p w:rsidR="009F745B" w:rsidRPr="002E02F6" w:rsidRDefault="009F745B" w:rsidP="00D14DA1">
      <w:pPr>
        <w:suppressAutoHyphens/>
        <w:jc w:val="center"/>
        <w:rPr>
          <w:rFonts w:ascii="Arial" w:eastAsia="Times New Roman" w:hAnsi="Arial" w:cs="Arial"/>
          <w:b/>
          <w:bCs/>
          <w:lang w:val="es-CO" w:eastAsia="es-ES"/>
        </w:rPr>
      </w:pPr>
      <w:bookmarkStart w:id="0" w:name="_GoBack"/>
      <w:bookmarkEnd w:id="0"/>
    </w:p>
    <w:p w:rsidR="00B16903" w:rsidRDefault="00B16903" w:rsidP="00D14DA1">
      <w:pPr>
        <w:suppressAutoHyphens/>
        <w:jc w:val="center"/>
        <w:rPr>
          <w:rFonts w:ascii="Arial" w:eastAsia="Times New Roman" w:hAnsi="Arial" w:cs="Arial"/>
          <w:b/>
          <w:bCs/>
          <w:sz w:val="24"/>
          <w:szCs w:val="24"/>
          <w:lang w:val="es-CO" w:eastAsia="es-ES"/>
        </w:rPr>
      </w:pPr>
    </w:p>
    <w:p w:rsidR="00073747" w:rsidRPr="00073747" w:rsidRDefault="00073747" w:rsidP="00D14DA1">
      <w:pPr>
        <w:suppressAutoHyphens/>
        <w:jc w:val="center"/>
        <w:rPr>
          <w:rFonts w:ascii="Arial" w:eastAsia="Times New Roman" w:hAnsi="Arial" w:cs="Arial"/>
          <w:b/>
          <w:bCs/>
          <w:sz w:val="24"/>
          <w:szCs w:val="24"/>
          <w:lang w:val="es-CO" w:eastAsia="es-ES"/>
        </w:rPr>
      </w:pPr>
      <w:r w:rsidRPr="00073747">
        <w:rPr>
          <w:rFonts w:ascii="Arial" w:eastAsia="Times New Roman" w:hAnsi="Arial" w:cs="Arial"/>
          <w:b/>
          <w:bCs/>
          <w:sz w:val="24"/>
          <w:szCs w:val="24"/>
          <w:lang w:val="es-CO" w:eastAsia="es-ES"/>
        </w:rPr>
        <w:t>CONSEJO DE ESTADO</w:t>
      </w:r>
    </w:p>
    <w:p w:rsidR="00073747" w:rsidRPr="00073747" w:rsidRDefault="00073747" w:rsidP="00D14DA1">
      <w:pPr>
        <w:suppressAutoHyphens/>
        <w:jc w:val="center"/>
        <w:rPr>
          <w:rFonts w:ascii="Arial" w:eastAsia="Times New Roman" w:hAnsi="Arial" w:cs="Arial"/>
          <w:b/>
          <w:bCs/>
          <w:sz w:val="24"/>
          <w:szCs w:val="24"/>
          <w:lang w:eastAsia="es-ES"/>
        </w:rPr>
      </w:pPr>
    </w:p>
    <w:p w:rsidR="00073747" w:rsidRPr="00073747" w:rsidRDefault="00073747" w:rsidP="00D14DA1">
      <w:pPr>
        <w:suppressAutoHyphens/>
        <w:jc w:val="center"/>
        <w:rPr>
          <w:rFonts w:ascii="Arial" w:eastAsia="Times New Roman" w:hAnsi="Arial" w:cs="Arial"/>
          <w:b/>
          <w:bCs/>
          <w:sz w:val="24"/>
          <w:szCs w:val="24"/>
          <w:lang w:eastAsia="es-ES"/>
        </w:rPr>
      </w:pPr>
      <w:r w:rsidRPr="00073747">
        <w:rPr>
          <w:rFonts w:ascii="Arial" w:eastAsia="Times New Roman" w:hAnsi="Arial" w:cs="Arial"/>
          <w:b/>
          <w:bCs/>
          <w:sz w:val="24"/>
          <w:szCs w:val="24"/>
          <w:lang w:eastAsia="es-ES"/>
        </w:rPr>
        <w:t>SALA DE LO CONTENCIOSO ADMINISTRATIVO</w:t>
      </w:r>
    </w:p>
    <w:p w:rsidR="00073747" w:rsidRPr="00073747" w:rsidRDefault="00073747" w:rsidP="00D14DA1">
      <w:pPr>
        <w:suppressAutoHyphens/>
        <w:jc w:val="center"/>
        <w:rPr>
          <w:rFonts w:ascii="Arial" w:eastAsia="Times New Roman" w:hAnsi="Arial" w:cs="Arial"/>
          <w:b/>
          <w:bCs/>
          <w:sz w:val="24"/>
          <w:szCs w:val="24"/>
          <w:lang w:eastAsia="es-ES"/>
        </w:rPr>
      </w:pPr>
    </w:p>
    <w:p w:rsidR="00073747" w:rsidRPr="00073747" w:rsidRDefault="00073747" w:rsidP="00D14DA1">
      <w:pPr>
        <w:suppressAutoHyphens/>
        <w:jc w:val="center"/>
        <w:rPr>
          <w:rFonts w:ascii="Arial" w:eastAsia="Times New Roman" w:hAnsi="Arial" w:cs="Arial"/>
          <w:b/>
          <w:bCs/>
          <w:sz w:val="24"/>
          <w:szCs w:val="24"/>
          <w:lang w:eastAsia="es-ES"/>
        </w:rPr>
      </w:pPr>
      <w:r w:rsidRPr="00073747">
        <w:rPr>
          <w:rFonts w:ascii="Arial" w:eastAsia="Times New Roman" w:hAnsi="Arial" w:cs="Arial"/>
          <w:b/>
          <w:bCs/>
          <w:sz w:val="24"/>
          <w:szCs w:val="24"/>
          <w:lang w:eastAsia="es-ES"/>
        </w:rPr>
        <w:t>SECCIÓN TERCERA</w:t>
      </w:r>
    </w:p>
    <w:p w:rsidR="00073747" w:rsidRPr="00073747" w:rsidRDefault="00073747" w:rsidP="00D14DA1">
      <w:pPr>
        <w:suppressAutoHyphens/>
        <w:jc w:val="center"/>
        <w:rPr>
          <w:rFonts w:ascii="Arial" w:eastAsia="Times New Roman" w:hAnsi="Arial" w:cs="Arial"/>
          <w:b/>
          <w:sz w:val="24"/>
          <w:szCs w:val="24"/>
          <w:lang w:eastAsia="es-ES"/>
        </w:rPr>
      </w:pPr>
    </w:p>
    <w:p w:rsidR="00073747" w:rsidRPr="00073747" w:rsidRDefault="00073747" w:rsidP="00D14DA1">
      <w:pPr>
        <w:suppressAutoHyphens/>
        <w:jc w:val="center"/>
        <w:rPr>
          <w:rFonts w:ascii="Arial" w:eastAsia="Times New Roman" w:hAnsi="Arial" w:cs="Arial"/>
          <w:b/>
          <w:sz w:val="24"/>
          <w:szCs w:val="24"/>
          <w:lang w:eastAsia="es-ES"/>
        </w:rPr>
      </w:pPr>
      <w:r w:rsidRPr="00073747">
        <w:rPr>
          <w:rFonts w:ascii="Arial" w:eastAsia="Times New Roman" w:hAnsi="Arial" w:cs="Arial"/>
          <w:b/>
          <w:sz w:val="24"/>
          <w:szCs w:val="24"/>
          <w:lang w:eastAsia="es-ES"/>
        </w:rPr>
        <w:t>SUBSECCION C</w:t>
      </w:r>
    </w:p>
    <w:p w:rsidR="00073747" w:rsidRPr="00073747" w:rsidRDefault="00073747" w:rsidP="00D14DA1">
      <w:pPr>
        <w:suppressAutoHyphens/>
        <w:ind w:hanging="426"/>
        <w:jc w:val="center"/>
        <w:rPr>
          <w:rFonts w:ascii="Arial" w:eastAsia="Times New Roman" w:hAnsi="Arial" w:cs="Arial"/>
          <w:b/>
          <w:sz w:val="24"/>
          <w:szCs w:val="24"/>
          <w:lang w:eastAsia="es-ES"/>
        </w:rPr>
      </w:pPr>
    </w:p>
    <w:p w:rsidR="00073747" w:rsidRPr="00073747" w:rsidRDefault="00073747" w:rsidP="00D14DA1">
      <w:pPr>
        <w:suppressAutoHyphens/>
        <w:ind w:hanging="426"/>
        <w:jc w:val="center"/>
        <w:rPr>
          <w:rFonts w:ascii="Arial" w:eastAsia="Times New Roman" w:hAnsi="Arial" w:cs="Arial"/>
          <w:sz w:val="24"/>
          <w:szCs w:val="24"/>
          <w:lang w:val="es-CO" w:eastAsia="es-ES"/>
        </w:rPr>
      </w:pPr>
      <w:r w:rsidRPr="00073747">
        <w:rPr>
          <w:rFonts w:ascii="Arial" w:eastAsia="Times New Roman" w:hAnsi="Arial" w:cs="Arial"/>
          <w:b/>
          <w:sz w:val="24"/>
          <w:szCs w:val="24"/>
          <w:lang w:eastAsia="es-ES"/>
        </w:rPr>
        <w:t>Consejero ponente:</w:t>
      </w:r>
      <w:r w:rsidRPr="00073747">
        <w:rPr>
          <w:rFonts w:ascii="Arial" w:eastAsia="Times New Roman" w:hAnsi="Arial" w:cs="Arial"/>
          <w:sz w:val="24"/>
          <w:szCs w:val="24"/>
          <w:lang w:eastAsia="es-ES"/>
        </w:rPr>
        <w:t xml:space="preserve"> </w:t>
      </w:r>
      <w:r w:rsidRPr="00073747">
        <w:rPr>
          <w:rFonts w:ascii="Arial" w:eastAsia="Times New Roman" w:hAnsi="Arial" w:cs="Arial"/>
          <w:b/>
          <w:bCs/>
          <w:spacing w:val="-3"/>
          <w:sz w:val="24"/>
          <w:szCs w:val="24"/>
          <w:lang w:eastAsia="es-ES"/>
        </w:rPr>
        <w:t>JAIME ORLANDO SANTOFIMIO GAMBOA</w:t>
      </w:r>
    </w:p>
    <w:p w:rsidR="0033547F" w:rsidRPr="00073747" w:rsidRDefault="0033547F" w:rsidP="00D14DA1">
      <w:pPr>
        <w:jc w:val="both"/>
        <w:rPr>
          <w:rFonts w:ascii="Arial" w:eastAsia="Times New Roman" w:hAnsi="Arial" w:cs="Arial"/>
          <w:sz w:val="24"/>
          <w:szCs w:val="24"/>
          <w:lang w:eastAsia="es-ES"/>
        </w:rPr>
      </w:pPr>
    </w:p>
    <w:p w:rsidR="0033547F" w:rsidRPr="00073747" w:rsidRDefault="0033547F" w:rsidP="00D14DA1">
      <w:pPr>
        <w:jc w:val="both"/>
        <w:rPr>
          <w:rFonts w:ascii="Arial" w:eastAsia="Times New Roman" w:hAnsi="Arial" w:cs="Arial"/>
          <w:sz w:val="24"/>
          <w:szCs w:val="24"/>
          <w:lang w:eastAsia="es-ES"/>
        </w:rPr>
      </w:pPr>
      <w:r w:rsidRPr="00073747">
        <w:rPr>
          <w:rFonts w:ascii="Arial" w:eastAsia="Times New Roman" w:hAnsi="Arial" w:cs="Arial"/>
          <w:sz w:val="24"/>
          <w:szCs w:val="24"/>
          <w:lang w:eastAsia="es-ES"/>
        </w:rPr>
        <w:t>Bogotá D.C</w:t>
      </w:r>
      <w:r w:rsidR="00073747">
        <w:rPr>
          <w:rFonts w:ascii="Arial" w:eastAsia="Times New Roman" w:hAnsi="Arial" w:cs="Arial"/>
          <w:sz w:val="24"/>
          <w:szCs w:val="24"/>
          <w:lang w:eastAsia="es-ES"/>
        </w:rPr>
        <w:t>.</w:t>
      </w:r>
      <w:r w:rsidRPr="00073747">
        <w:rPr>
          <w:rFonts w:ascii="Arial" w:eastAsia="Times New Roman" w:hAnsi="Arial" w:cs="Arial"/>
          <w:sz w:val="24"/>
          <w:szCs w:val="24"/>
          <w:lang w:eastAsia="es-ES"/>
        </w:rPr>
        <w:t xml:space="preserve">, </w:t>
      </w:r>
      <w:r w:rsidR="004D03A4" w:rsidRPr="00073747">
        <w:rPr>
          <w:rFonts w:ascii="Arial" w:eastAsia="Times New Roman" w:hAnsi="Arial" w:cs="Arial"/>
          <w:sz w:val="24"/>
          <w:szCs w:val="24"/>
          <w:lang w:eastAsia="es-ES"/>
        </w:rPr>
        <w:t>veintisiete (27) de enero de dos mil dieciséis (2016)</w:t>
      </w:r>
      <w:r w:rsidR="00073747">
        <w:rPr>
          <w:rFonts w:ascii="Arial" w:eastAsia="Times New Roman" w:hAnsi="Arial" w:cs="Arial"/>
          <w:sz w:val="24"/>
          <w:szCs w:val="24"/>
          <w:lang w:eastAsia="es-ES"/>
        </w:rPr>
        <w:t>.</w:t>
      </w:r>
    </w:p>
    <w:p w:rsidR="0033547F" w:rsidRPr="00073747" w:rsidRDefault="0033547F" w:rsidP="00D14DA1">
      <w:pPr>
        <w:jc w:val="both"/>
        <w:rPr>
          <w:rFonts w:ascii="Arial" w:eastAsia="Times New Roman" w:hAnsi="Arial" w:cs="Arial"/>
          <w:b/>
          <w:sz w:val="24"/>
          <w:szCs w:val="24"/>
          <w:lang w:eastAsia="es-ES"/>
        </w:rPr>
      </w:pPr>
    </w:p>
    <w:p w:rsidR="0033547F" w:rsidRPr="00073747" w:rsidRDefault="0033547F" w:rsidP="00D14DA1">
      <w:pPr>
        <w:jc w:val="both"/>
        <w:rPr>
          <w:rFonts w:ascii="Arial" w:hAnsi="Arial" w:cs="Arial"/>
          <w:b/>
          <w:sz w:val="24"/>
          <w:szCs w:val="24"/>
          <w:lang w:val="es-ES_tradnl"/>
        </w:rPr>
      </w:pPr>
      <w:r w:rsidRPr="00073747">
        <w:rPr>
          <w:rFonts w:ascii="Arial" w:hAnsi="Arial" w:cs="Arial"/>
          <w:b/>
          <w:sz w:val="24"/>
          <w:szCs w:val="24"/>
          <w:lang w:val="es-ES_tradnl"/>
        </w:rPr>
        <w:t>Radicación</w:t>
      </w:r>
      <w:r w:rsidR="00073747">
        <w:rPr>
          <w:rFonts w:ascii="Arial" w:hAnsi="Arial" w:cs="Arial"/>
          <w:b/>
          <w:sz w:val="24"/>
          <w:szCs w:val="24"/>
          <w:lang w:val="es-ES_tradnl"/>
        </w:rPr>
        <w:t xml:space="preserve"> número</w:t>
      </w:r>
      <w:r w:rsidRPr="00073747">
        <w:rPr>
          <w:rFonts w:ascii="Arial" w:hAnsi="Arial" w:cs="Arial"/>
          <w:b/>
          <w:sz w:val="24"/>
          <w:szCs w:val="24"/>
          <w:lang w:val="es-ES_tradnl"/>
        </w:rPr>
        <w:t>:</w:t>
      </w:r>
      <w:r w:rsidR="00073747">
        <w:rPr>
          <w:rFonts w:ascii="Arial" w:hAnsi="Arial" w:cs="Arial"/>
          <w:b/>
          <w:sz w:val="24"/>
          <w:szCs w:val="24"/>
          <w:lang w:val="es-ES_tradnl"/>
        </w:rPr>
        <w:t xml:space="preserve"> </w:t>
      </w:r>
      <w:r w:rsidRPr="00073747">
        <w:rPr>
          <w:rFonts w:ascii="Arial" w:hAnsi="Arial" w:cs="Arial"/>
          <w:b/>
          <w:sz w:val="24"/>
          <w:szCs w:val="24"/>
          <w:lang w:val="es-ES_tradnl"/>
        </w:rPr>
        <w:t>25000-23-26-000-2004-01120-01</w:t>
      </w:r>
      <w:r w:rsidRPr="00073747">
        <w:rPr>
          <w:rFonts w:ascii="Arial" w:hAnsi="Arial" w:cs="Arial"/>
          <w:b/>
          <w:sz w:val="24"/>
          <w:szCs w:val="24"/>
        </w:rPr>
        <w:t>(49304)</w:t>
      </w:r>
    </w:p>
    <w:p w:rsidR="00073747" w:rsidRDefault="00073747" w:rsidP="00D14DA1">
      <w:pPr>
        <w:jc w:val="both"/>
        <w:rPr>
          <w:rFonts w:ascii="Arial" w:hAnsi="Arial" w:cs="Arial"/>
          <w:b/>
          <w:sz w:val="24"/>
          <w:szCs w:val="24"/>
          <w:lang w:val="es-ES_tradnl"/>
        </w:rPr>
      </w:pPr>
    </w:p>
    <w:p w:rsidR="0033547F" w:rsidRPr="00073747" w:rsidRDefault="0033547F" w:rsidP="00D14DA1">
      <w:pPr>
        <w:jc w:val="both"/>
        <w:rPr>
          <w:rFonts w:ascii="Arial" w:hAnsi="Arial" w:cs="Arial"/>
          <w:b/>
          <w:sz w:val="24"/>
          <w:szCs w:val="24"/>
          <w:lang w:val="es-ES_tradnl"/>
        </w:rPr>
      </w:pPr>
      <w:r w:rsidRPr="00073747">
        <w:rPr>
          <w:rFonts w:ascii="Arial" w:hAnsi="Arial" w:cs="Arial"/>
          <w:b/>
          <w:sz w:val="24"/>
          <w:szCs w:val="24"/>
          <w:lang w:val="es-ES_tradnl"/>
        </w:rPr>
        <w:t xml:space="preserve">Actor: </w:t>
      </w:r>
      <w:r w:rsidR="00073747" w:rsidRPr="00073747">
        <w:rPr>
          <w:rFonts w:ascii="Arial" w:hAnsi="Arial" w:cs="Arial"/>
          <w:b/>
          <w:sz w:val="24"/>
          <w:szCs w:val="24"/>
          <w:lang w:val="es-ES_tradnl"/>
        </w:rPr>
        <w:t xml:space="preserve">MUNICIPIO DE EL COCUY </w:t>
      </w:r>
      <w:r w:rsidR="00073747">
        <w:rPr>
          <w:rFonts w:ascii="Arial" w:hAnsi="Arial" w:cs="Arial"/>
          <w:b/>
          <w:sz w:val="24"/>
          <w:szCs w:val="24"/>
          <w:lang w:val="es-ES_tradnl"/>
        </w:rPr>
        <w:t>- BOYACÁ</w:t>
      </w:r>
    </w:p>
    <w:p w:rsidR="00073747" w:rsidRDefault="00073747" w:rsidP="00D14DA1">
      <w:pPr>
        <w:jc w:val="both"/>
        <w:rPr>
          <w:rFonts w:ascii="Arial" w:hAnsi="Arial" w:cs="Arial"/>
          <w:b/>
          <w:sz w:val="24"/>
          <w:szCs w:val="24"/>
          <w:lang w:val="es-ES_tradnl"/>
        </w:rPr>
      </w:pPr>
    </w:p>
    <w:p w:rsidR="0033547F" w:rsidRDefault="0033547F" w:rsidP="00D14DA1">
      <w:pPr>
        <w:jc w:val="both"/>
        <w:rPr>
          <w:rFonts w:ascii="Arial" w:hAnsi="Arial" w:cs="Arial"/>
          <w:b/>
          <w:sz w:val="24"/>
          <w:szCs w:val="24"/>
          <w:lang w:val="es-ES_tradnl"/>
        </w:rPr>
      </w:pPr>
      <w:r w:rsidRPr="00073747">
        <w:rPr>
          <w:rFonts w:ascii="Arial" w:hAnsi="Arial" w:cs="Arial"/>
          <w:b/>
          <w:sz w:val="24"/>
          <w:szCs w:val="24"/>
          <w:lang w:val="es-ES_tradnl"/>
        </w:rPr>
        <w:t xml:space="preserve">Demandado: </w:t>
      </w:r>
      <w:r w:rsidR="00073747" w:rsidRPr="00073747">
        <w:rPr>
          <w:rFonts w:ascii="Arial" w:hAnsi="Arial" w:cs="Arial"/>
          <w:b/>
          <w:sz w:val="24"/>
          <w:szCs w:val="24"/>
          <w:lang w:val="es-ES_tradnl"/>
        </w:rPr>
        <w:t>FLOR MARINA ACERO A</w:t>
      </w:r>
      <w:r w:rsidR="00073747">
        <w:rPr>
          <w:rFonts w:ascii="Arial" w:hAnsi="Arial" w:cs="Arial"/>
          <w:b/>
          <w:sz w:val="24"/>
          <w:szCs w:val="24"/>
          <w:lang w:val="es-ES_tradnl"/>
        </w:rPr>
        <w:t>RÉVALO Y OTROS</w:t>
      </w:r>
    </w:p>
    <w:p w:rsidR="00073747" w:rsidRDefault="00073747" w:rsidP="00D14DA1">
      <w:pPr>
        <w:jc w:val="both"/>
        <w:rPr>
          <w:rFonts w:ascii="Arial" w:hAnsi="Arial" w:cs="Arial"/>
          <w:b/>
          <w:sz w:val="24"/>
          <w:szCs w:val="24"/>
          <w:lang w:val="es-ES_tradnl"/>
        </w:rPr>
      </w:pPr>
    </w:p>
    <w:p w:rsidR="00073747" w:rsidRPr="00073747" w:rsidRDefault="00073747" w:rsidP="00D14DA1">
      <w:pPr>
        <w:jc w:val="both"/>
        <w:rPr>
          <w:rFonts w:ascii="Arial" w:hAnsi="Arial" w:cs="Arial"/>
          <w:b/>
          <w:sz w:val="24"/>
          <w:szCs w:val="24"/>
          <w:lang w:val="es-ES_tradnl"/>
        </w:rPr>
      </w:pPr>
    </w:p>
    <w:p w:rsidR="0033547F" w:rsidRDefault="00073747" w:rsidP="00D14DA1">
      <w:pPr>
        <w:jc w:val="both"/>
        <w:rPr>
          <w:rFonts w:ascii="Arial" w:hAnsi="Arial" w:cs="Arial"/>
          <w:b/>
          <w:sz w:val="24"/>
          <w:szCs w:val="24"/>
          <w:lang w:val="es-ES_tradnl"/>
        </w:rPr>
      </w:pPr>
      <w:r>
        <w:rPr>
          <w:rFonts w:ascii="Arial" w:hAnsi="Arial" w:cs="Arial"/>
          <w:b/>
          <w:sz w:val="24"/>
          <w:szCs w:val="24"/>
          <w:lang w:val="es-ES_tradnl"/>
        </w:rPr>
        <w:t xml:space="preserve">Referencia: </w:t>
      </w:r>
      <w:r w:rsidRPr="00073747">
        <w:rPr>
          <w:rFonts w:ascii="Arial" w:hAnsi="Arial" w:cs="Arial"/>
          <w:b/>
          <w:sz w:val="24"/>
          <w:szCs w:val="24"/>
          <w:lang w:val="es-ES_tradnl"/>
        </w:rPr>
        <w:t>ACCIÓN DE CONTROVERSIAS CONTRACTUALES</w:t>
      </w:r>
      <w:r>
        <w:rPr>
          <w:rFonts w:ascii="Arial" w:hAnsi="Arial" w:cs="Arial"/>
          <w:b/>
          <w:sz w:val="24"/>
          <w:szCs w:val="24"/>
          <w:lang w:val="es-ES_tradnl"/>
        </w:rPr>
        <w:t xml:space="preserve"> (APELACIÓN SENTENCIA)</w:t>
      </w:r>
    </w:p>
    <w:p w:rsidR="00B525F9" w:rsidRDefault="00B525F9" w:rsidP="00D14DA1">
      <w:pPr>
        <w:jc w:val="both"/>
        <w:rPr>
          <w:rFonts w:ascii="Arial" w:hAnsi="Arial" w:cs="Arial"/>
          <w:b/>
          <w:sz w:val="24"/>
          <w:szCs w:val="24"/>
          <w:lang w:val="es-ES_tradnl"/>
        </w:rPr>
      </w:pPr>
    </w:p>
    <w:p w:rsidR="00B525F9" w:rsidRPr="00073747" w:rsidRDefault="00B525F9" w:rsidP="00D14DA1">
      <w:pPr>
        <w:jc w:val="both"/>
        <w:rPr>
          <w:rFonts w:ascii="Arial" w:hAnsi="Arial" w:cs="Arial"/>
          <w:b/>
          <w:sz w:val="24"/>
          <w:szCs w:val="24"/>
          <w:lang w:val="es-ES_tradnl"/>
        </w:rPr>
      </w:pPr>
    </w:p>
    <w:p w:rsidR="0033547F" w:rsidRPr="00073747" w:rsidRDefault="0033547F" w:rsidP="00D14DA1">
      <w:pPr>
        <w:jc w:val="both"/>
        <w:rPr>
          <w:rFonts w:ascii="Arial" w:eastAsia="Times New Roman" w:hAnsi="Arial" w:cs="Arial"/>
          <w:b/>
          <w:sz w:val="24"/>
          <w:szCs w:val="24"/>
          <w:lang w:eastAsia="es-ES"/>
        </w:rPr>
      </w:pPr>
    </w:p>
    <w:p w:rsidR="0033547F" w:rsidRDefault="009F77A7" w:rsidP="0033547F">
      <w:pPr>
        <w:jc w:val="both"/>
        <w:rPr>
          <w:rFonts w:ascii="Arial" w:hAnsi="Arial" w:cs="Arial"/>
        </w:rPr>
      </w:pPr>
      <w:r>
        <w:rPr>
          <w:rFonts w:ascii="Arial" w:hAnsi="Arial" w:cs="Arial"/>
        </w:rPr>
        <w:t xml:space="preserve">Temas: </w:t>
      </w:r>
      <w:r w:rsidR="00995238">
        <w:rPr>
          <w:rFonts w:ascii="Arial" w:hAnsi="Arial" w:cs="Arial"/>
        </w:rPr>
        <w:t>Distinción entre bienes de uso público y bienes fiscales - caducidad de la acción</w:t>
      </w:r>
    </w:p>
    <w:p w:rsidR="0033547F" w:rsidRPr="0093449E" w:rsidRDefault="0033547F" w:rsidP="0033547F">
      <w:pPr>
        <w:jc w:val="both"/>
        <w:rPr>
          <w:rFonts w:ascii="Arial" w:hAnsi="Arial" w:cs="Arial"/>
        </w:rPr>
      </w:pPr>
    </w:p>
    <w:p w:rsidR="0033547F" w:rsidRPr="0093449E" w:rsidRDefault="0033547F" w:rsidP="0033547F">
      <w:pPr>
        <w:spacing w:line="360" w:lineRule="auto"/>
        <w:jc w:val="both"/>
        <w:rPr>
          <w:rFonts w:ascii="Arial" w:eastAsia="Times New Roman" w:hAnsi="Arial" w:cs="Arial"/>
          <w:sz w:val="18"/>
          <w:szCs w:val="24"/>
          <w:lang w:eastAsia="es-ES"/>
        </w:rPr>
      </w:pPr>
    </w:p>
    <w:p w:rsidR="0033547F" w:rsidRPr="001D21BB" w:rsidRDefault="0033547F" w:rsidP="0033547F">
      <w:pPr>
        <w:spacing w:line="360" w:lineRule="auto"/>
        <w:jc w:val="both"/>
        <w:rPr>
          <w:rFonts w:ascii="Arial" w:eastAsia="Times New Roman" w:hAnsi="Arial" w:cs="Arial"/>
          <w:sz w:val="24"/>
          <w:szCs w:val="24"/>
          <w:lang w:eastAsia="es-ES"/>
        </w:rPr>
      </w:pPr>
      <w:r w:rsidRPr="001D21BB">
        <w:rPr>
          <w:rFonts w:ascii="Arial" w:eastAsia="Times New Roman" w:hAnsi="Arial" w:cs="Arial"/>
          <w:sz w:val="24"/>
          <w:szCs w:val="24"/>
          <w:lang w:eastAsia="es-ES"/>
        </w:rPr>
        <w:t xml:space="preserve">Decide la Sala el recurso de apelación interpuesto por la parte actora contra la sentencia de </w:t>
      </w:r>
      <w:r w:rsidR="006F0AFE">
        <w:rPr>
          <w:rFonts w:ascii="Arial" w:eastAsia="Times New Roman" w:hAnsi="Arial" w:cs="Arial"/>
          <w:sz w:val="24"/>
          <w:szCs w:val="24"/>
          <w:lang w:eastAsia="es-ES"/>
        </w:rPr>
        <w:t xml:space="preserve">fecha </w:t>
      </w:r>
      <w:r>
        <w:rPr>
          <w:rFonts w:ascii="Arial" w:eastAsia="Times New Roman" w:hAnsi="Arial" w:cs="Arial"/>
          <w:sz w:val="24"/>
          <w:szCs w:val="24"/>
          <w:lang w:eastAsia="es-ES"/>
        </w:rPr>
        <w:t xml:space="preserve">13 de </w:t>
      </w:r>
      <w:r w:rsidR="00EA0D1E">
        <w:rPr>
          <w:rFonts w:ascii="Arial" w:eastAsia="Times New Roman" w:hAnsi="Arial" w:cs="Arial"/>
          <w:sz w:val="24"/>
          <w:szCs w:val="24"/>
          <w:lang w:eastAsia="es-ES"/>
        </w:rPr>
        <w:t>septiembre</w:t>
      </w:r>
      <w:r>
        <w:rPr>
          <w:rFonts w:ascii="Arial" w:eastAsia="Times New Roman" w:hAnsi="Arial" w:cs="Arial"/>
          <w:sz w:val="24"/>
          <w:szCs w:val="24"/>
          <w:lang w:eastAsia="es-ES"/>
        </w:rPr>
        <w:t xml:space="preserve"> de 201</w:t>
      </w:r>
      <w:r w:rsidR="00EA0D1E">
        <w:rPr>
          <w:rFonts w:ascii="Arial" w:eastAsia="Times New Roman" w:hAnsi="Arial" w:cs="Arial"/>
          <w:sz w:val="24"/>
          <w:szCs w:val="24"/>
          <w:lang w:eastAsia="es-ES"/>
        </w:rPr>
        <w:t>3</w:t>
      </w:r>
      <w:r>
        <w:rPr>
          <w:rFonts w:ascii="Arial" w:eastAsia="Times New Roman" w:hAnsi="Arial" w:cs="Arial"/>
          <w:sz w:val="24"/>
          <w:szCs w:val="24"/>
          <w:lang w:eastAsia="es-ES"/>
        </w:rPr>
        <w:t xml:space="preserve">, </w:t>
      </w:r>
      <w:r w:rsidRPr="001D21BB">
        <w:rPr>
          <w:rFonts w:ascii="Arial" w:eastAsia="Times New Roman" w:hAnsi="Arial" w:cs="Arial"/>
          <w:sz w:val="24"/>
          <w:szCs w:val="24"/>
          <w:lang w:eastAsia="es-ES"/>
        </w:rPr>
        <w:t xml:space="preserve">proferida por </w:t>
      </w:r>
      <w:r>
        <w:rPr>
          <w:rFonts w:ascii="Arial" w:eastAsia="Times New Roman" w:hAnsi="Arial" w:cs="Arial"/>
          <w:sz w:val="24"/>
          <w:szCs w:val="24"/>
          <w:lang w:eastAsia="es-ES"/>
        </w:rPr>
        <w:t xml:space="preserve">el Tribunal Administrativo </w:t>
      </w:r>
      <w:r w:rsidR="00EA0D1E">
        <w:rPr>
          <w:rFonts w:ascii="Arial" w:eastAsia="Times New Roman" w:hAnsi="Arial" w:cs="Arial"/>
          <w:sz w:val="24"/>
          <w:szCs w:val="24"/>
          <w:lang w:eastAsia="es-ES"/>
        </w:rPr>
        <w:t>Cundinamar</w:t>
      </w:r>
      <w:r w:rsidR="00100BBA">
        <w:rPr>
          <w:rFonts w:ascii="Arial" w:eastAsia="Times New Roman" w:hAnsi="Arial" w:cs="Arial"/>
          <w:sz w:val="24"/>
          <w:szCs w:val="24"/>
          <w:lang w:eastAsia="es-ES"/>
        </w:rPr>
        <w:t xml:space="preserve">ca, </w:t>
      </w:r>
      <w:r w:rsidR="00EA0D1E">
        <w:rPr>
          <w:rFonts w:ascii="Arial" w:eastAsia="Times New Roman" w:hAnsi="Arial" w:cs="Arial"/>
          <w:sz w:val="24"/>
          <w:szCs w:val="24"/>
          <w:lang w:eastAsia="es-ES"/>
        </w:rPr>
        <w:t>Sección Tercera, Subsección C de Descongestión</w:t>
      </w:r>
      <w:r w:rsidRPr="001D21BB">
        <w:rPr>
          <w:rFonts w:ascii="Arial" w:eastAsia="Times New Roman" w:hAnsi="Arial" w:cs="Arial"/>
          <w:sz w:val="24"/>
          <w:szCs w:val="24"/>
          <w:lang w:eastAsia="es-ES"/>
        </w:rPr>
        <w:t xml:space="preserve">, que resolvió: </w:t>
      </w:r>
    </w:p>
    <w:p w:rsidR="0033547F" w:rsidRPr="00D20234" w:rsidRDefault="0033547F" w:rsidP="0033547F">
      <w:pPr>
        <w:spacing w:line="360" w:lineRule="auto"/>
        <w:jc w:val="both"/>
        <w:rPr>
          <w:rFonts w:ascii="Arial" w:eastAsia="Times New Roman" w:hAnsi="Arial" w:cs="Arial"/>
          <w:i/>
          <w:sz w:val="18"/>
          <w:szCs w:val="24"/>
          <w:lang w:eastAsia="es-ES"/>
        </w:rPr>
      </w:pPr>
    </w:p>
    <w:p w:rsidR="0033547F" w:rsidRPr="00D20234" w:rsidRDefault="0033547F" w:rsidP="0033547F">
      <w:pPr>
        <w:ind w:left="851"/>
        <w:jc w:val="both"/>
        <w:rPr>
          <w:rFonts w:ascii="Arial" w:eastAsia="Times New Roman" w:hAnsi="Arial" w:cs="Arial"/>
          <w:i/>
          <w:lang w:eastAsia="es-ES"/>
        </w:rPr>
      </w:pPr>
      <w:r w:rsidRPr="00D20234">
        <w:rPr>
          <w:rFonts w:ascii="Arial" w:eastAsia="Times New Roman" w:hAnsi="Arial" w:cs="Arial"/>
          <w:i/>
          <w:lang w:eastAsia="es-ES"/>
        </w:rPr>
        <w:t>“</w:t>
      </w:r>
      <w:r w:rsidRPr="00D20234">
        <w:rPr>
          <w:rFonts w:ascii="Arial" w:eastAsia="Times New Roman" w:hAnsi="Arial" w:cs="Arial"/>
          <w:b/>
          <w:i/>
          <w:lang w:eastAsia="es-ES"/>
        </w:rPr>
        <w:t xml:space="preserve">PRIMERO: </w:t>
      </w:r>
      <w:r w:rsidR="00EA0D1E" w:rsidRPr="00D20234">
        <w:rPr>
          <w:rFonts w:ascii="Arial" w:eastAsia="Times New Roman" w:hAnsi="Arial" w:cs="Arial"/>
          <w:b/>
          <w:i/>
          <w:lang w:eastAsia="es-ES"/>
        </w:rPr>
        <w:t>DECLARAR</w:t>
      </w:r>
      <w:r w:rsidRPr="00D20234">
        <w:rPr>
          <w:rFonts w:ascii="Arial" w:eastAsia="Times New Roman" w:hAnsi="Arial" w:cs="Arial"/>
          <w:i/>
          <w:lang w:eastAsia="es-ES"/>
        </w:rPr>
        <w:t xml:space="preserve"> probada la excepción de </w:t>
      </w:r>
      <w:r w:rsidR="00EA0D1E" w:rsidRPr="00D20234">
        <w:rPr>
          <w:rFonts w:ascii="Arial" w:eastAsia="Times New Roman" w:hAnsi="Arial" w:cs="Arial"/>
          <w:i/>
          <w:lang w:eastAsia="es-ES"/>
        </w:rPr>
        <w:t>caducidad de la acción.</w:t>
      </w:r>
    </w:p>
    <w:p w:rsidR="0033547F" w:rsidRPr="00D20234" w:rsidRDefault="0033547F" w:rsidP="0033547F">
      <w:pPr>
        <w:ind w:left="851"/>
        <w:jc w:val="both"/>
        <w:rPr>
          <w:rFonts w:ascii="Arial" w:eastAsia="Times New Roman" w:hAnsi="Arial" w:cs="Arial"/>
          <w:i/>
          <w:lang w:eastAsia="es-ES"/>
        </w:rPr>
      </w:pPr>
    </w:p>
    <w:p w:rsidR="0033547F" w:rsidRPr="00D20234" w:rsidRDefault="0033547F" w:rsidP="00EA0D1E">
      <w:pPr>
        <w:ind w:left="851"/>
        <w:jc w:val="both"/>
        <w:rPr>
          <w:rFonts w:ascii="Arial" w:eastAsia="Times New Roman" w:hAnsi="Arial" w:cs="Arial"/>
          <w:i/>
          <w:lang w:eastAsia="es-ES"/>
        </w:rPr>
      </w:pPr>
      <w:r w:rsidRPr="00D20234">
        <w:rPr>
          <w:rFonts w:ascii="Arial" w:eastAsia="Times New Roman" w:hAnsi="Arial" w:cs="Arial"/>
          <w:b/>
          <w:i/>
          <w:lang w:eastAsia="es-ES"/>
        </w:rPr>
        <w:t xml:space="preserve">SEGUNDO: </w:t>
      </w:r>
      <w:r w:rsidR="00EA0D1E" w:rsidRPr="00D20234">
        <w:rPr>
          <w:rFonts w:ascii="Arial" w:eastAsia="Times New Roman" w:hAnsi="Arial" w:cs="Arial"/>
          <w:i/>
          <w:lang w:eastAsia="es-ES"/>
        </w:rPr>
        <w:t>Sin condena en costas.</w:t>
      </w:r>
    </w:p>
    <w:p w:rsidR="00EA0D1E" w:rsidRPr="00D20234" w:rsidRDefault="00EA0D1E" w:rsidP="00EA0D1E">
      <w:pPr>
        <w:ind w:left="851"/>
        <w:jc w:val="both"/>
        <w:rPr>
          <w:rFonts w:ascii="Arial" w:eastAsia="Times New Roman" w:hAnsi="Arial" w:cs="Arial"/>
          <w:i/>
          <w:lang w:eastAsia="es-ES"/>
        </w:rPr>
      </w:pPr>
    </w:p>
    <w:p w:rsidR="0033547F" w:rsidRPr="00D20234" w:rsidRDefault="0033547F" w:rsidP="00EA0D1E">
      <w:pPr>
        <w:ind w:left="851"/>
        <w:jc w:val="both"/>
        <w:rPr>
          <w:rFonts w:ascii="Arial" w:eastAsia="Times New Roman" w:hAnsi="Arial" w:cs="Arial"/>
          <w:i/>
          <w:lang w:eastAsia="es-ES"/>
        </w:rPr>
      </w:pPr>
      <w:r w:rsidRPr="00D20234">
        <w:rPr>
          <w:rFonts w:ascii="Arial" w:eastAsia="Times New Roman" w:hAnsi="Arial" w:cs="Arial"/>
          <w:b/>
          <w:i/>
          <w:lang w:eastAsia="es-ES"/>
        </w:rPr>
        <w:t>TERCERO:</w:t>
      </w:r>
      <w:r w:rsidRPr="00D20234">
        <w:rPr>
          <w:rFonts w:ascii="Arial" w:eastAsia="Times New Roman" w:hAnsi="Arial" w:cs="Arial"/>
          <w:i/>
          <w:lang w:eastAsia="es-ES"/>
        </w:rPr>
        <w:t xml:space="preserve"> </w:t>
      </w:r>
      <w:r w:rsidR="00EA0D1E" w:rsidRPr="00D20234">
        <w:rPr>
          <w:rFonts w:ascii="Arial" w:eastAsia="Times New Roman" w:hAnsi="Arial" w:cs="Arial"/>
          <w:i/>
          <w:lang w:eastAsia="es-ES"/>
        </w:rPr>
        <w:t xml:space="preserve">Ejecutoriada la presente providencia, por Secretaría liquídense los gastos del proceso y devuélvanse los remanentes al interesado. Pasados 2 años </w:t>
      </w:r>
      <w:r w:rsidR="00342862" w:rsidRPr="00D20234">
        <w:rPr>
          <w:rFonts w:ascii="Arial" w:eastAsia="Times New Roman" w:hAnsi="Arial" w:cs="Arial"/>
          <w:i/>
          <w:lang w:eastAsia="es-ES"/>
        </w:rPr>
        <w:t>sin que hubieran sido reclamados dichos remanentes, se considerarán prescritos a favor de la Rama Judicial.”</w:t>
      </w:r>
    </w:p>
    <w:p w:rsidR="0033547F" w:rsidRDefault="0033547F" w:rsidP="0033547F">
      <w:pPr>
        <w:ind w:left="851"/>
        <w:jc w:val="both"/>
        <w:rPr>
          <w:rFonts w:ascii="Arial" w:eastAsia="Times New Roman" w:hAnsi="Arial" w:cs="Arial"/>
          <w:b/>
          <w:lang w:eastAsia="es-ES"/>
        </w:rPr>
      </w:pPr>
    </w:p>
    <w:p w:rsidR="0033547F" w:rsidRPr="001D21BB" w:rsidRDefault="0033547F" w:rsidP="0033547F">
      <w:pPr>
        <w:spacing w:line="360" w:lineRule="auto"/>
        <w:jc w:val="both"/>
        <w:rPr>
          <w:rFonts w:ascii="Arial" w:eastAsia="Times New Roman" w:hAnsi="Arial" w:cs="Arial"/>
          <w:sz w:val="14"/>
          <w:lang w:eastAsia="es-ES"/>
        </w:rPr>
      </w:pPr>
    </w:p>
    <w:p w:rsidR="0033547F" w:rsidRPr="001D21BB" w:rsidRDefault="0033547F" w:rsidP="0033547F">
      <w:pPr>
        <w:spacing w:line="360" w:lineRule="auto"/>
        <w:jc w:val="center"/>
        <w:rPr>
          <w:rFonts w:ascii="Arial" w:eastAsia="Times New Roman" w:hAnsi="Arial" w:cs="Arial"/>
          <w:b/>
          <w:sz w:val="24"/>
          <w:szCs w:val="24"/>
          <w:lang w:eastAsia="es-ES"/>
        </w:rPr>
      </w:pPr>
      <w:r w:rsidRPr="001D21BB">
        <w:rPr>
          <w:rFonts w:ascii="Arial" w:eastAsia="Times New Roman" w:hAnsi="Arial" w:cs="Arial"/>
          <w:b/>
          <w:sz w:val="24"/>
          <w:szCs w:val="24"/>
          <w:lang w:eastAsia="es-ES"/>
        </w:rPr>
        <w:t>ANTECEDENTES</w:t>
      </w:r>
    </w:p>
    <w:p w:rsidR="0033547F" w:rsidRPr="000157E1" w:rsidRDefault="0033547F" w:rsidP="0033547F">
      <w:pPr>
        <w:spacing w:line="360" w:lineRule="auto"/>
        <w:jc w:val="both"/>
        <w:rPr>
          <w:rFonts w:ascii="Arial" w:eastAsia="Times New Roman" w:hAnsi="Arial" w:cs="Arial"/>
          <w:b/>
          <w:sz w:val="12"/>
          <w:szCs w:val="12"/>
          <w:lang w:eastAsia="es-ES"/>
        </w:rPr>
      </w:pPr>
    </w:p>
    <w:p w:rsidR="0033547F" w:rsidRPr="001D21BB" w:rsidRDefault="0033547F" w:rsidP="0033547F">
      <w:pPr>
        <w:spacing w:line="360" w:lineRule="auto"/>
        <w:jc w:val="both"/>
        <w:rPr>
          <w:rFonts w:ascii="Arial" w:eastAsia="Times New Roman" w:hAnsi="Arial" w:cs="Arial"/>
          <w:b/>
          <w:sz w:val="24"/>
          <w:szCs w:val="24"/>
          <w:lang w:eastAsia="es-ES"/>
        </w:rPr>
      </w:pPr>
      <w:r w:rsidRPr="001D21BB">
        <w:rPr>
          <w:rFonts w:ascii="Arial" w:eastAsia="Times New Roman" w:hAnsi="Arial" w:cs="Arial"/>
          <w:b/>
          <w:sz w:val="24"/>
          <w:szCs w:val="24"/>
          <w:lang w:eastAsia="es-ES"/>
        </w:rPr>
        <w:t>1. Lo pretendido</w:t>
      </w:r>
    </w:p>
    <w:p w:rsidR="0033547F" w:rsidRPr="001D21BB" w:rsidRDefault="0033547F" w:rsidP="0033547F">
      <w:pPr>
        <w:spacing w:line="360" w:lineRule="auto"/>
        <w:jc w:val="both"/>
        <w:rPr>
          <w:rFonts w:ascii="Arial" w:eastAsia="Times New Roman" w:hAnsi="Arial" w:cs="Arial"/>
          <w:b/>
          <w:sz w:val="18"/>
          <w:lang w:eastAsia="es-ES"/>
        </w:rPr>
      </w:pPr>
    </w:p>
    <w:p w:rsidR="009002E6" w:rsidRDefault="009002E6" w:rsidP="009002E6">
      <w:pPr>
        <w:pStyle w:val="Estilo"/>
        <w:spacing w:line="360" w:lineRule="auto"/>
        <w:jc w:val="both"/>
        <w:rPr>
          <w:lang w:bidi="he-IL"/>
        </w:rPr>
      </w:pPr>
      <w:r>
        <w:rPr>
          <w:bCs/>
        </w:rPr>
        <w:t>E</w:t>
      </w:r>
      <w:r w:rsidR="0033547F">
        <w:rPr>
          <w:bCs/>
        </w:rPr>
        <w:t xml:space="preserve">l 28 de </w:t>
      </w:r>
      <w:r w:rsidR="00246A0E">
        <w:rPr>
          <w:bCs/>
        </w:rPr>
        <w:t>may</w:t>
      </w:r>
      <w:r w:rsidR="0033547F">
        <w:rPr>
          <w:bCs/>
        </w:rPr>
        <w:t xml:space="preserve">o </w:t>
      </w:r>
      <w:r w:rsidR="00246A0E">
        <w:rPr>
          <w:bCs/>
        </w:rPr>
        <w:t>de 2004</w:t>
      </w:r>
      <w:r w:rsidR="0033547F">
        <w:rPr>
          <w:bCs/>
        </w:rPr>
        <w:t xml:space="preserve"> (fls</w:t>
      </w:r>
      <w:r>
        <w:rPr>
          <w:bCs/>
        </w:rPr>
        <w:t>. 1-15 y 19 a 21</w:t>
      </w:r>
      <w:r w:rsidR="0033547F">
        <w:rPr>
          <w:bCs/>
        </w:rPr>
        <w:t xml:space="preserve"> cuaderno principal</w:t>
      </w:r>
      <w:r w:rsidR="003928B8">
        <w:rPr>
          <w:bCs/>
        </w:rPr>
        <w:t xml:space="preserve">), </w:t>
      </w:r>
      <w:r w:rsidR="00B86DD3">
        <w:rPr>
          <w:bCs/>
        </w:rPr>
        <w:t>el Municipio de El Cocuy (Boyacá)</w:t>
      </w:r>
      <w:r w:rsidR="0033547F">
        <w:rPr>
          <w:bCs/>
        </w:rPr>
        <w:t xml:space="preserve"> a través de apoderado</w:t>
      </w:r>
      <w:r w:rsidR="003928B8">
        <w:rPr>
          <w:bCs/>
        </w:rPr>
        <w:t>,</w:t>
      </w:r>
      <w:r w:rsidR="0033547F">
        <w:rPr>
          <w:bCs/>
        </w:rPr>
        <w:t xml:space="preserve"> </w:t>
      </w:r>
      <w:r>
        <w:rPr>
          <w:bCs/>
        </w:rPr>
        <w:t xml:space="preserve">presentó demanda </w:t>
      </w:r>
      <w:r w:rsidRPr="009002E6">
        <w:t xml:space="preserve">contra </w:t>
      </w:r>
      <w:r>
        <w:t xml:space="preserve">Flor Marina Acero Arévalo y otros </w:t>
      </w:r>
      <w:r w:rsidRPr="007D7296">
        <w:t>con el fin de obtener las siguientes declaraciones y condenas</w:t>
      </w:r>
      <w:r w:rsidRPr="007D7296">
        <w:rPr>
          <w:lang w:bidi="he-IL"/>
        </w:rPr>
        <w:t>:</w:t>
      </w:r>
    </w:p>
    <w:p w:rsidR="00194E59" w:rsidRDefault="00194E59" w:rsidP="009002E6">
      <w:pPr>
        <w:pStyle w:val="Estilo"/>
        <w:spacing w:line="360" w:lineRule="auto"/>
        <w:jc w:val="both"/>
        <w:rPr>
          <w:lang w:bidi="he-IL"/>
        </w:rPr>
      </w:pPr>
    </w:p>
    <w:p w:rsidR="00194E59" w:rsidRDefault="00194E59" w:rsidP="001873BF">
      <w:pPr>
        <w:pStyle w:val="Estilo"/>
        <w:jc w:val="both"/>
        <w:rPr>
          <w:i/>
          <w:sz w:val="22"/>
          <w:lang w:bidi="he-IL"/>
        </w:rPr>
      </w:pPr>
      <w:r w:rsidRPr="00832937">
        <w:rPr>
          <w:sz w:val="22"/>
          <w:lang w:bidi="he-IL"/>
        </w:rPr>
        <w:lastRenderedPageBreak/>
        <w:t>“</w:t>
      </w:r>
      <w:r w:rsidRPr="00832937">
        <w:rPr>
          <w:b/>
          <w:i/>
          <w:sz w:val="22"/>
          <w:lang w:bidi="he-IL"/>
        </w:rPr>
        <w:t xml:space="preserve">PRIMERA.- </w:t>
      </w:r>
      <w:r w:rsidR="005B5D58" w:rsidRPr="00832937">
        <w:rPr>
          <w:i/>
          <w:sz w:val="22"/>
          <w:lang w:bidi="he-IL"/>
        </w:rPr>
        <w:t xml:space="preserve"> Que se declare nulo absolutamente el contrato contenido en la escritura pública número 1099</w:t>
      </w:r>
      <w:r w:rsidR="00192BA7" w:rsidRPr="00832937">
        <w:rPr>
          <w:i/>
          <w:sz w:val="22"/>
          <w:lang w:bidi="he-IL"/>
        </w:rPr>
        <w:t>, fechada 19 de Noviembre de 1988</w:t>
      </w:r>
      <w:r w:rsidR="000D371D" w:rsidRPr="00832937">
        <w:rPr>
          <w:i/>
          <w:sz w:val="22"/>
          <w:lang w:bidi="he-IL"/>
        </w:rPr>
        <w:t>, otorgada en la notaría primera del círculo de Ubaté –Cundinamarca-, por medio de la cual MARCO ANTONIO GAMBA GARCÍA, obrando como REPRESENTANTE LEGAL del municipio de El.</w:t>
      </w:r>
      <w:r w:rsidR="000D371D" w:rsidRPr="00832937">
        <w:rPr>
          <w:sz w:val="22"/>
          <w:lang w:bidi="he-IL"/>
        </w:rPr>
        <w:t xml:space="preserve"> (sic)</w:t>
      </w:r>
      <w:r w:rsidR="000D371D" w:rsidRPr="00832937">
        <w:rPr>
          <w:i/>
          <w:sz w:val="22"/>
          <w:lang w:bidi="he-IL"/>
        </w:rPr>
        <w:t xml:space="preserve"> Cocuy</w:t>
      </w:r>
      <w:r w:rsidR="008E58BD" w:rsidRPr="00832937">
        <w:rPr>
          <w:i/>
          <w:sz w:val="22"/>
          <w:lang w:bidi="he-IL"/>
        </w:rPr>
        <w:t xml:space="preserve"> -Boyac</w:t>
      </w:r>
      <w:r w:rsidR="00364857" w:rsidRPr="00832937">
        <w:rPr>
          <w:i/>
          <w:sz w:val="22"/>
          <w:lang w:bidi="he-IL"/>
        </w:rPr>
        <w:t>á-, en calidad de ALCALDE MUNICIPA</w:t>
      </w:r>
      <w:r w:rsidR="00340BA4" w:rsidRPr="00832937">
        <w:rPr>
          <w:i/>
          <w:sz w:val="22"/>
          <w:lang w:bidi="he-IL"/>
        </w:rPr>
        <w:t xml:space="preserve">L, y GILDARDO QUINTERO MARTINEZ, obrando en calidad </w:t>
      </w:r>
      <w:r w:rsidR="002D379E" w:rsidRPr="00832937">
        <w:rPr>
          <w:i/>
          <w:sz w:val="22"/>
          <w:lang w:bidi="he-IL"/>
        </w:rPr>
        <w:t>de PRESIDENTE de la JUNTA ADMINISTRADORA DE LOS BIENES DE</w:t>
      </w:r>
      <w:r w:rsidR="00100BBA">
        <w:rPr>
          <w:i/>
          <w:sz w:val="22"/>
          <w:lang w:bidi="he-IL"/>
        </w:rPr>
        <w:t>L</w:t>
      </w:r>
      <w:r w:rsidR="002D379E" w:rsidRPr="00832937">
        <w:rPr>
          <w:i/>
          <w:sz w:val="22"/>
          <w:lang w:bidi="he-IL"/>
        </w:rPr>
        <w:t xml:space="preserve"> LEGADO “BAUDILIO ACERO”, municipio de El Cocuy –Boyacá- </w:t>
      </w:r>
      <w:r w:rsidR="00F62245" w:rsidRPr="00832937">
        <w:rPr>
          <w:i/>
          <w:sz w:val="22"/>
          <w:lang w:bidi="he-IL"/>
        </w:rPr>
        <w:t xml:space="preserve">según escritura, vendieron a la demandada FLOR MARINA ACERO AREVALO, el inmueble que allí se describe y que en la demanda determinaré en más detalle, el cual se encuentra con matrículas inmobiliarias números 172-27559 y 172-27570, segregado del folio de matrícula </w:t>
      </w:r>
      <w:r w:rsidR="00832937" w:rsidRPr="00832937">
        <w:rPr>
          <w:i/>
          <w:sz w:val="22"/>
          <w:lang w:bidi="he-IL"/>
        </w:rPr>
        <w:t>inmobiliaria</w:t>
      </w:r>
      <w:r w:rsidR="00F62245" w:rsidRPr="00832937">
        <w:rPr>
          <w:i/>
          <w:sz w:val="22"/>
          <w:lang w:bidi="he-IL"/>
        </w:rPr>
        <w:t xml:space="preserve"> número 172-26287, oficina de Registro Instrumentos Públicos de Ubaté –Cundinamarca-.  </w:t>
      </w:r>
    </w:p>
    <w:p w:rsidR="00832937" w:rsidRDefault="00832937" w:rsidP="001873BF">
      <w:pPr>
        <w:pStyle w:val="Estilo"/>
        <w:jc w:val="both"/>
        <w:rPr>
          <w:i/>
          <w:sz w:val="22"/>
          <w:lang w:bidi="he-IL"/>
        </w:rPr>
      </w:pPr>
    </w:p>
    <w:p w:rsidR="00832937" w:rsidRDefault="00832937" w:rsidP="001873BF">
      <w:pPr>
        <w:pStyle w:val="Estilo"/>
        <w:jc w:val="both"/>
        <w:rPr>
          <w:i/>
          <w:sz w:val="22"/>
          <w:lang w:bidi="he-IL"/>
        </w:rPr>
      </w:pPr>
      <w:r>
        <w:rPr>
          <w:b/>
          <w:i/>
          <w:sz w:val="22"/>
          <w:lang w:bidi="he-IL"/>
        </w:rPr>
        <w:t xml:space="preserve">SEGUNDA.- </w:t>
      </w:r>
      <w:r>
        <w:rPr>
          <w:i/>
          <w:sz w:val="22"/>
          <w:lang w:bidi="he-IL"/>
        </w:rPr>
        <w:t xml:space="preserve"> Que como consecuencia </w:t>
      </w:r>
      <w:r w:rsidR="002E4745">
        <w:rPr>
          <w:i/>
          <w:sz w:val="22"/>
          <w:lang w:bidi="he-IL"/>
        </w:rPr>
        <w:t xml:space="preserve">de lo anterior se ordene la cancelación de dicho instrumento y de su registro, como también de las posteriores transferencias de propiedad que se hayan hecho </w:t>
      </w:r>
      <w:r w:rsidR="009F7C78">
        <w:rPr>
          <w:i/>
          <w:sz w:val="22"/>
          <w:lang w:bidi="he-IL"/>
        </w:rPr>
        <w:t>en el mencionado inmueble y conforme aparece en certificados de tradición aludidos, respecto al registro</w:t>
      </w:r>
      <w:r w:rsidR="003F4F00">
        <w:rPr>
          <w:i/>
          <w:sz w:val="22"/>
          <w:lang w:bidi="he-IL"/>
        </w:rPr>
        <w:t xml:space="preserve"> de las escrituras públicas: 1103, del 21 de noviembre de 1988, otorgada en la notaría primera del Círculo de Ubaté</w:t>
      </w:r>
      <w:r w:rsidR="000E37AF">
        <w:rPr>
          <w:i/>
          <w:sz w:val="22"/>
          <w:lang w:bidi="he-IL"/>
        </w:rPr>
        <w:t xml:space="preserve"> –Cundinamarca-, por la cual la señora FLOR MARIA ACERO AREVALO, transfiere a título de venta real y efectiva</w:t>
      </w:r>
      <w:r w:rsidR="00F91C0A">
        <w:rPr>
          <w:i/>
          <w:sz w:val="22"/>
          <w:lang w:bidi="he-IL"/>
        </w:rPr>
        <w:t xml:space="preserve"> a favor de JORGE HERNANDO RODRIGUEZ, parte del bien objeto de </w:t>
      </w:r>
      <w:r w:rsidR="00F91C0A">
        <w:rPr>
          <w:sz w:val="22"/>
          <w:lang w:bidi="he-IL"/>
        </w:rPr>
        <w:t>(sic)</w:t>
      </w:r>
      <w:r w:rsidR="00F91C0A">
        <w:rPr>
          <w:i/>
          <w:sz w:val="22"/>
          <w:lang w:bidi="he-IL"/>
        </w:rPr>
        <w:t xml:space="preserve"> contrato demandado en este proceso, lote “CARACOLI”, y la 1265 del 30 de diciembre de 1988, otorgada en el </w:t>
      </w:r>
      <w:r w:rsidR="00F91C0A" w:rsidRPr="00A92D69">
        <w:rPr>
          <w:sz w:val="22"/>
          <w:lang w:bidi="he-IL"/>
        </w:rPr>
        <w:t>(sic)</w:t>
      </w:r>
      <w:r w:rsidR="00F91C0A">
        <w:rPr>
          <w:sz w:val="22"/>
          <w:lang w:bidi="he-IL"/>
        </w:rPr>
        <w:t xml:space="preserve"> </w:t>
      </w:r>
      <w:r w:rsidR="00F91C0A" w:rsidRPr="00A92D69">
        <w:rPr>
          <w:i/>
          <w:sz w:val="22"/>
          <w:lang w:bidi="he-IL"/>
        </w:rPr>
        <w:t>notaría primera del círculo de Ubaté –Cundinamarca-</w:t>
      </w:r>
      <w:r w:rsidR="00A1044F">
        <w:rPr>
          <w:i/>
          <w:sz w:val="22"/>
          <w:lang w:bidi="he-IL"/>
        </w:rPr>
        <w:t>, por la cual la señora FLOR MARIA ACERO AR</w:t>
      </w:r>
      <w:r w:rsidR="00774BEA">
        <w:rPr>
          <w:i/>
          <w:sz w:val="22"/>
          <w:lang w:bidi="he-IL"/>
        </w:rPr>
        <w:t>É</w:t>
      </w:r>
      <w:r w:rsidR="00A1044F">
        <w:rPr>
          <w:i/>
          <w:sz w:val="22"/>
          <w:lang w:bidi="he-IL"/>
        </w:rPr>
        <w:t>VALO</w:t>
      </w:r>
      <w:r w:rsidR="00774BEA">
        <w:rPr>
          <w:i/>
          <w:sz w:val="22"/>
          <w:lang w:bidi="he-IL"/>
        </w:rPr>
        <w:t xml:space="preserve"> y JORGE HERNANDO RODRIGUEZ, transfieren a título de</w:t>
      </w:r>
      <w:r w:rsidR="002F5CB8">
        <w:rPr>
          <w:i/>
          <w:sz w:val="22"/>
          <w:lang w:bidi="he-IL"/>
        </w:rPr>
        <w:t xml:space="preserve"> venta real y efectiva, a favor de JOSE IGNACIO BRICEÑO CAÑON, el bien objeto de </w:t>
      </w:r>
      <w:r w:rsidR="002F5CB8">
        <w:rPr>
          <w:sz w:val="22"/>
          <w:lang w:bidi="he-IL"/>
        </w:rPr>
        <w:t>(sic)</w:t>
      </w:r>
      <w:r w:rsidR="002F5CB8">
        <w:rPr>
          <w:i/>
          <w:sz w:val="22"/>
          <w:lang w:bidi="he-IL"/>
        </w:rPr>
        <w:t xml:space="preserve"> contrato demandado en este proceso, como también los registros que aparezcan en lo sucesivo y como consecuencia de la sucesión intestada de JOSE IGNACIO BRICEÑO CAÑON que se tramita en el Juzgado de Familia de Ubaté –Cundinamarca-.</w:t>
      </w:r>
      <w:r w:rsidR="00774BEA">
        <w:rPr>
          <w:i/>
          <w:sz w:val="22"/>
          <w:lang w:bidi="he-IL"/>
        </w:rPr>
        <w:t xml:space="preserve"> </w:t>
      </w:r>
      <w:r w:rsidR="00A1044F">
        <w:rPr>
          <w:i/>
          <w:sz w:val="22"/>
          <w:lang w:bidi="he-IL"/>
        </w:rPr>
        <w:t xml:space="preserve"> </w:t>
      </w:r>
      <w:r w:rsidR="00F91C0A" w:rsidRPr="00A92D69">
        <w:rPr>
          <w:i/>
          <w:sz w:val="22"/>
          <w:lang w:bidi="he-IL"/>
        </w:rPr>
        <w:t xml:space="preserve">  </w:t>
      </w:r>
      <w:r w:rsidR="000E37AF" w:rsidRPr="00A92D69">
        <w:rPr>
          <w:i/>
          <w:sz w:val="22"/>
          <w:lang w:bidi="he-IL"/>
        </w:rPr>
        <w:t xml:space="preserve"> </w:t>
      </w:r>
      <w:r w:rsidR="003F4F00" w:rsidRPr="00A92D69">
        <w:rPr>
          <w:i/>
          <w:sz w:val="22"/>
          <w:lang w:bidi="he-IL"/>
        </w:rPr>
        <w:t xml:space="preserve"> </w:t>
      </w:r>
      <w:r w:rsidR="009F7C78" w:rsidRPr="00A92D69">
        <w:rPr>
          <w:i/>
          <w:sz w:val="22"/>
          <w:lang w:bidi="he-IL"/>
        </w:rPr>
        <w:t xml:space="preserve"> </w:t>
      </w:r>
    </w:p>
    <w:p w:rsidR="00E403A6" w:rsidRDefault="00E403A6" w:rsidP="001873BF">
      <w:pPr>
        <w:pStyle w:val="Estilo"/>
        <w:jc w:val="both"/>
        <w:rPr>
          <w:i/>
          <w:sz w:val="22"/>
          <w:lang w:bidi="he-IL"/>
        </w:rPr>
      </w:pPr>
    </w:p>
    <w:p w:rsidR="00E403A6" w:rsidRDefault="00E403A6" w:rsidP="001873BF">
      <w:pPr>
        <w:pStyle w:val="Estilo"/>
        <w:jc w:val="both"/>
        <w:rPr>
          <w:i/>
          <w:sz w:val="22"/>
          <w:lang w:bidi="he-IL"/>
        </w:rPr>
      </w:pPr>
      <w:r>
        <w:rPr>
          <w:b/>
          <w:i/>
          <w:sz w:val="22"/>
          <w:lang w:bidi="he-IL"/>
        </w:rPr>
        <w:t xml:space="preserve">TERCERA- </w:t>
      </w:r>
      <w:r w:rsidR="00FA2800">
        <w:rPr>
          <w:i/>
          <w:sz w:val="22"/>
          <w:lang w:bidi="he-IL"/>
        </w:rPr>
        <w:t xml:space="preserve">Que como consecuencia de los anteriores pronunciamientos, se ordene a los HEREDEROS DETERMINADOS de JOSE IGNACIO BRICEÑO CAÑON, demandados, poseedores del bien materia de acción, la RESTITUCIÓN a favor del MUNICIPIO DE EL COCUY –BOYACÁ-, </w:t>
      </w:r>
      <w:r w:rsidR="004C3BB8">
        <w:rPr>
          <w:i/>
          <w:sz w:val="22"/>
          <w:lang w:bidi="he-IL"/>
        </w:rPr>
        <w:t xml:space="preserve">del inmueble determinado </w:t>
      </w:r>
      <w:r w:rsidR="00234B2A">
        <w:rPr>
          <w:i/>
          <w:sz w:val="22"/>
          <w:lang w:bidi="he-IL"/>
        </w:rPr>
        <w:t>en instrumento público materia de acción y en el hecho primero de esta demanda, junto con sus frutos civiles y naturales percibidos con mediana inteligencia desde que se realizó la venta materia de acción, hasta que se verifique su entrega.</w:t>
      </w:r>
    </w:p>
    <w:p w:rsidR="006E3A19" w:rsidRDefault="006E3A19" w:rsidP="001873BF">
      <w:pPr>
        <w:pStyle w:val="Estilo"/>
        <w:jc w:val="both"/>
        <w:rPr>
          <w:i/>
          <w:sz w:val="22"/>
          <w:lang w:bidi="he-IL"/>
        </w:rPr>
      </w:pPr>
    </w:p>
    <w:p w:rsidR="006E3A19" w:rsidRPr="006E3A19" w:rsidRDefault="006E3A19" w:rsidP="001873BF">
      <w:pPr>
        <w:pStyle w:val="Estilo"/>
        <w:jc w:val="both"/>
        <w:rPr>
          <w:i/>
          <w:sz w:val="22"/>
          <w:lang w:bidi="he-IL"/>
        </w:rPr>
      </w:pPr>
      <w:r>
        <w:rPr>
          <w:b/>
          <w:i/>
          <w:sz w:val="22"/>
          <w:lang w:bidi="he-IL"/>
        </w:rPr>
        <w:t xml:space="preserve">CUARTA.- </w:t>
      </w:r>
      <w:r>
        <w:rPr>
          <w:i/>
          <w:sz w:val="22"/>
          <w:lang w:bidi="he-IL"/>
        </w:rPr>
        <w:t>Que se condene en costas y perjuicios causados a los DEMANDADOS.</w:t>
      </w:r>
      <w:r w:rsidR="001E37DD">
        <w:rPr>
          <w:i/>
          <w:sz w:val="22"/>
          <w:lang w:bidi="he-IL"/>
        </w:rPr>
        <w:t>”</w:t>
      </w:r>
    </w:p>
    <w:p w:rsidR="0033547F" w:rsidRPr="009002E6" w:rsidRDefault="001873BF" w:rsidP="001873BF">
      <w:pPr>
        <w:tabs>
          <w:tab w:val="left" w:pos="3060"/>
        </w:tabs>
        <w:jc w:val="both"/>
        <w:rPr>
          <w:rFonts w:ascii="Arial" w:eastAsia="Times New Roman" w:hAnsi="Arial" w:cs="Arial"/>
          <w:bCs/>
          <w:sz w:val="28"/>
          <w:szCs w:val="24"/>
          <w:lang w:eastAsia="es-ES"/>
        </w:rPr>
      </w:pPr>
      <w:r>
        <w:rPr>
          <w:rFonts w:ascii="Arial" w:eastAsia="Times New Roman" w:hAnsi="Arial" w:cs="Arial"/>
          <w:bCs/>
          <w:sz w:val="28"/>
          <w:szCs w:val="24"/>
          <w:lang w:eastAsia="es-ES"/>
        </w:rPr>
        <w:tab/>
      </w:r>
    </w:p>
    <w:p w:rsidR="0033547F" w:rsidRPr="001D21BB" w:rsidRDefault="0033547F" w:rsidP="0033547F">
      <w:pPr>
        <w:spacing w:line="360" w:lineRule="auto"/>
        <w:jc w:val="both"/>
        <w:rPr>
          <w:rFonts w:ascii="Arial" w:eastAsia="Times New Roman" w:hAnsi="Arial" w:cs="Arial"/>
          <w:bCs/>
          <w:sz w:val="16"/>
          <w:lang w:eastAsia="es-ES"/>
        </w:rPr>
      </w:pPr>
    </w:p>
    <w:p w:rsidR="0033547F" w:rsidRPr="001D21BB" w:rsidRDefault="0033547F" w:rsidP="0033547F">
      <w:pPr>
        <w:spacing w:line="360" w:lineRule="auto"/>
        <w:jc w:val="both"/>
        <w:rPr>
          <w:rFonts w:ascii="Arial" w:eastAsia="Times New Roman" w:hAnsi="Arial" w:cs="Arial"/>
          <w:b/>
          <w:bCs/>
          <w:sz w:val="24"/>
          <w:szCs w:val="24"/>
          <w:lang w:eastAsia="es-ES"/>
        </w:rPr>
      </w:pPr>
      <w:r w:rsidRPr="001D21BB">
        <w:rPr>
          <w:rFonts w:ascii="Arial" w:eastAsia="Times New Roman" w:hAnsi="Arial" w:cs="Arial"/>
          <w:b/>
          <w:bCs/>
          <w:sz w:val="24"/>
          <w:szCs w:val="24"/>
          <w:lang w:eastAsia="es-ES"/>
        </w:rPr>
        <w:t>2. Los hechos en que s</w:t>
      </w:r>
      <w:r>
        <w:rPr>
          <w:rFonts w:ascii="Arial" w:eastAsia="Times New Roman" w:hAnsi="Arial" w:cs="Arial"/>
          <w:b/>
          <w:bCs/>
          <w:sz w:val="24"/>
          <w:szCs w:val="24"/>
          <w:lang w:eastAsia="es-ES"/>
        </w:rPr>
        <w:t>e fundamentan las pretensiones</w:t>
      </w:r>
    </w:p>
    <w:p w:rsidR="0033547F" w:rsidRDefault="0033547F" w:rsidP="0033547F">
      <w:pPr>
        <w:spacing w:line="360" w:lineRule="auto"/>
        <w:jc w:val="both"/>
        <w:rPr>
          <w:rFonts w:ascii="Arial" w:eastAsia="Times New Roman" w:hAnsi="Arial" w:cs="Arial"/>
          <w:b/>
          <w:bCs/>
          <w:sz w:val="16"/>
          <w:szCs w:val="24"/>
          <w:lang w:eastAsia="es-ES"/>
        </w:rPr>
      </w:pPr>
    </w:p>
    <w:p w:rsidR="0033547F" w:rsidRPr="0086550C" w:rsidRDefault="0033547F" w:rsidP="0033547F">
      <w:pPr>
        <w:spacing w:line="360" w:lineRule="auto"/>
        <w:ind w:right="227"/>
        <w:jc w:val="both"/>
        <w:rPr>
          <w:rFonts w:ascii="Arial" w:hAnsi="Arial" w:cs="Arial"/>
          <w:sz w:val="24"/>
          <w:szCs w:val="24"/>
        </w:rPr>
      </w:pPr>
      <w:r w:rsidRPr="00AD482C">
        <w:rPr>
          <w:rFonts w:ascii="Arial" w:hAnsi="Arial" w:cs="Arial"/>
          <w:sz w:val="24"/>
          <w:szCs w:val="24"/>
        </w:rPr>
        <w:t>Los hechos que sirvieron de fundamento a las pretensiones</w:t>
      </w:r>
      <w:r w:rsidRPr="001D21BB">
        <w:rPr>
          <w:rFonts w:ascii="Arial" w:eastAsia="Times New Roman" w:hAnsi="Arial" w:cs="Arial"/>
          <w:sz w:val="24"/>
          <w:szCs w:val="24"/>
          <w:vertAlign w:val="superscript"/>
          <w:lang w:eastAsia="es-ES"/>
        </w:rPr>
        <w:footnoteReference w:id="1"/>
      </w:r>
      <w:r>
        <w:rPr>
          <w:rFonts w:ascii="Arial" w:hAnsi="Arial" w:cs="Arial"/>
          <w:sz w:val="24"/>
          <w:szCs w:val="24"/>
        </w:rPr>
        <w:t xml:space="preserve"> </w:t>
      </w:r>
      <w:r w:rsidRPr="00AD482C">
        <w:rPr>
          <w:rFonts w:ascii="Arial" w:hAnsi="Arial" w:cs="Arial"/>
          <w:sz w:val="24"/>
          <w:szCs w:val="24"/>
        </w:rPr>
        <w:t>s</w:t>
      </w:r>
      <w:r>
        <w:rPr>
          <w:rFonts w:ascii="Arial" w:hAnsi="Arial" w:cs="Arial"/>
          <w:sz w:val="24"/>
          <w:szCs w:val="24"/>
        </w:rPr>
        <w:t>on en síntesis, los siguientes:</w:t>
      </w:r>
    </w:p>
    <w:p w:rsidR="0033547F" w:rsidRPr="001D21BB" w:rsidRDefault="0033547F" w:rsidP="0033547F">
      <w:pPr>
        <w:spacing w:line="360" w:lineRule="auto"/>
        <w:jc w:val="both"/>
        <w:rPr>
          <w:rFonts w:ascii="Arial" w:eastAsia="Times New Roman" w:hAnsi="Arial" w:cs="Arial"/>
          <w:b/>
          <w:bCs/>
          <w:sz w:val="16"/>
          <w:szCs w:val="24"/>
          <w:lang w:eastAsia="es-ES"/>
        </w:rPr>
      </w:pPr>
    </w:p>
    <w:p w:rsidR="0033547F" w:rsidRPr="00411E82" w:rsidRDefault="002233CE"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escritura pública No. 1099, de 19 de noviembre de 1988 otorgada en la Notaría Primera del Círculo de Ubaté, los señores Marco Antonio Gamba García en calidad de Alcalde municipal de El Cocuy y Gildardo Quintero Martínez en calidad de presidente de la junta administradora de los bienes del legado “Baudilio Acero”, transfirieron en venta real y efectiva a la señora Flor Marina Acero Arévalo el derecho de dominio y posesión que tenía el Municipio </w:t>
      </w:r>
      <w:r w:rsidR="00EB153D">
        <w:rPr>
          <w:rFonts w:ascii="Arial" w:eastAsia="Times New Roman" w:hAnsi="Arial" w:cs="Arial"/>
          <w:bCs/>
          <w:sz w:val="24"/>
          <w:szCs w:val="24"/>
          <w:lang w:eastAsia="es-ES"/>
        </w:rPr>
        <w:t>-</w:t>
      </w:r>
      <w:r>
        <w:rPr>
          <w:rFonts w:ascii="Arial" w:eastAsia="Times New Roman" w:hAnsi="Arial" w:cs="Arial"/>
          <w:bCs/>
          <w:sz w:val="24"/>
          <w:szCs w:val="24"/>
          <w:lang w:eastAsia="es-ES"/>
        </w:rPr>
        <w:t>de El Cocuy</w:t>
      </w:r>
      <w:r w:rsidR="00EB153D">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sobre un lote de terreno que se </w:t>
      </w:r>
      <w:r w:rsidR="00081E0E">
        <w:rPr>
          <w:rFonts w:ascii="Arial" w:eastAsia="Times New Roman" w:hAnsi="Arial" w:cs="Arial"/>
          <w:bCs/>
          <w:sz w:val="24"/>
          <w:szCs w:val="24"/>
          <w:lang w:eastAsia="es-ES"/>
        </w:rPr>
        <w:t>denomina</w:t>
      </w:r>
      <w:r>
        <w:rPr>
          <w:rFonts w:ascii="Arial" w:eastAsia="Times New Roman" w:hAnsi="Arial" w:cs="Arial"/>
          <w:bCs/>
          <w:sz w:val="24"/>
          <w:szCs w:val="24"/>
          <w:lang w:eastAsia="es-ES"/>
        </w:rPr>
        <w:t xml:space="preserve"> “IPACARAI”, el cual era administrado por la junta </w:t>
      </w:r>
      <w:r>
        <w:rPr>
          <w:rFonts w:ascii="Arial" w:eastAsia="Times New Roman" w:hAnsi="Arial" w:cs="Arial"/>
          <w:bCs/>
          <w:sz w:val="24"/>
          <w:szCs w:val="24"/>
          <w:lang w:eastAsia="es-ES"/>
        </w:rPr>
        <w:lastRenderedPageBreak/>
        <w:t>directiva</w:t>
      </w:r>
      <w:r w:rsidR="00EB153D">
        <w:rPr>
          <w:rFonts w:ascii="Arial" w:eastAsia="Times New Roman" w:hAnsi="Arial" w:cs="Arial"/>
          <w:bCs/>
          <w:sz w:val="24"/>
          <w:szCs w:val="24"/>
          <w:lang w:eastAsia="es-ES"/>
        </w:rPr>
        <w:t xml:space="preserve"> del legado Baudilio Acero</w:t>
      </w:r>
      <w:r w:rsidR="00653D1B">
        <w:rPr>
          <w:rFonts w:ascii="Arial" w:eastAsia="Times New Roman" w:hAnsi="Arial" w:cs="Arial"/>
          <w:bCs/>
          <w:sz w:val="24"/>
          <w:szCs w:val="24"/>
          <w:lang w:eastAsia="es-ES"/>
        </w:rPr>
        <w:t xml:space="preserve">, con una extensión aproximada de nueve hectáreas </w:t>
      </w:r>
      <w:r w:rsidR="00EB153D">
        <w:rPr>
          <w:rFonts w:ascii="Arial" w:eastAsia="Times New Roman" w:hAnsi="Arial" w:cs="Arial"/>
          <w:bCs/>
          <w:sz w:val="24"/>
          <w:szCs w:val="24"/>
          <w:lang w:eastAsia="es-ES"/>
        </w:rPr>
        <w:t>seis mil metros cuadrados</w:t>
      </w:r>
      <w:r w:rsidR="00653D1B">
        <w:rPr>
          <w:rFonts w:ascii="Arial" w:eastAsia="Times New Roman" w:hAnsi="Arial" w:cs="Arial"/>
          <w:bCs/>
          <w:sz w:val="24"/>
          <w:szCs w:val="24"/>
          <w:lang w:eastAsia="es-ES"/>
        </w:rPr>
        <w:t>, que hizo parte del terreno denominado “EL TRIANGULO Y ANDALUCIA”</w:t>
      </w:r>
      <w:r w:rsidR="006A11D6">
        <w:rPr>
          <w:rFonts w:ascii="Arial" w:eastAsia="Times New Roman" w:hAnsi="Arial" w:cs="Arial"/>
          <w:bCs/>
          <w:sz w:val="24"/>
          <w:szCs w:val="24"/>
          <w:lang w:eastAsia="es-ES"/>
        </w:rPr>
        <w:t>.</w:t>
      </w:r>
    </w:p>
    <w:p w:rsidR="00C51F61" w:rsidRDefault="00C51F61" w:rsidP="0033547F">
      <w:pPr>
        <w:spacing w:line="360" w:lineRule="auto"/>
        <w:jc w:val="both"/>
        <w:rPr>
          <w:rFonts w:ascii="Arial" w:eastAsia="Times New Roman" w:hAnsi="Arial" w:cs="Arial"/>
          <w:bCs/>
          <w:sz w:val="18"/>
          <w:szCs w:val="24"/>
          <w:lang w:eastAsia="es-ES"/>
        </w:rPr>
      </w:pPr>
    </w:p>
    <w:p w:rsidR="0033547F" w:rsidRDefault="0033547F"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Manifestó la parte demandante que, </w:t>
      </w:r>
      <w:r w:rsidR="00D16C11">
        <w:rPr>
          <w:rFonts w:ascii="Arial" w:eastAsia="Times New Roman" w:hAnsi="Arial" w:cs="Arial"/>
          <w:bCs/>
          <w:sz w:val="24"/>
          <w:szCs w:val="24"/>
          <w:lang w:eastAsia="es-ES"/>
        </w:rPr>
        <w:t xml:space="preserve">la señora Flor Marina Acero transfirió a título de venta al señor Jorge Hernando Rodríguez, el derecho de dominio y posesión </w:t>
      </w:r>
      <w:r w:rsidR="00A86075">
        <w:rPr>
          <w:rFonts w:ascii="Arial" w:eastAsia="Times New Roman" w:hAnsi="Arial" w:cs="Arial"/>
          <w:bCs/>
          <w:sz w:val="24"/>
          <w:szCs w:val="24"/>
          <w:lang w:eastAsia="es-ES"/>
        </w:rPr>
        <w:t>que tenía en un lote de terreno denominado “CARACOLI”, con una extensión aproximada de cuatro hectáreas</w:t>
      </w:r>
      <w:r w:rsidR="004415FC">
        <w:rPr>
          <w:rFonts w:ascii="Arial" w:eastAsia="Times New Roman" w:hAnsi="Arial" w:cs="Arial"/>
          <w:bCs/>
          <w:sz w:val="24"/>
          <w:szCs w:val="24"/>
          <w:lang w:eastAsia="es-ES"/>
        </w:rPr>
        <w:t xml:space="preserve"> ocho mil metros cuadrados, que hizo parte del terreno de mayor extensión denominado “IPACARAI”</w:t>
      </w:r>
      <w:r w:rsidR="00B953E9">
        <w:rPr>
          <w:rFonts w:ascii="Arial" w:eastAsia="Times New Roman" w:hAnsi="Arial" w:cs="Arial"/>
          <w:bCs/>
          <w:sz w:val="24"/>
          <w:szCs w:val="24"/>
          <w:lang w:eastAsia="es-ES"/>
        </w:rPr>
        <w:t>.</w:t>
      </w:r>
      <w:r w:rsidR="00A86075">
        <w:rPr>
          <w:rFonts w:ascii="Arial" w:eastAsia="Times New Roman" w:hAnsi="Arial" w:cs="Arial"/>
          <w:bCs/>
          <w:sz w:val="24"/>
          <w:szCs w:val="24"/>
          <w:lang w:eastAsia="es-ES"/>
        </w:rPr>
        <w:t xml:space="preserve"> </w:t>
      </w:r>
    </w:p>
    <w:p w:rsidR="0033547F" w:rsidRDefault="0033547F" w:rsidP="0033547F">
      <w:pPr>
        <w:spacing w:line="360" w:lineRule="auto"/>
        <w:jc w:val="both"/>
        <w:rPr>
          <w:rFonts w:ascii="Arial" w:eastAsia="Times New Roman" w:hAnsi="Arial" w:cs="Arial"/>
          <w:bCs/>
          <w:sz w:val="18"/>
          <w:szCs w:val="24"/>
          <w:lang w:eastAsia="es-ES"/>
        </w:rPr>
      </w:pPr>
    </w:p>
    <w:p w:rsidR="0033547F" w:rsidRDefault="0033547F"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Señaló, </w:t>
      </w:r>
      <w:r w:rsidR="00D04EE0">
        <w:rPr>
          <w:rFonts w:ascii="Arial" w:eastAsia="Times New Roman" w:hAnsi="Arial" w:cs="Arial"/>
          <w:bCs/>
          <w:sz w:val="24"/>
          <w:szCs w:val="24"/>
          <w:lang w:eastAsia="es-ES"/>
        </w:rPr>
        <w:t>que la señora Flor Marina Acero y el señor Jorge Hernando Rodríguez</w:t>
      </w:r>
      <w:r w:rsidR="006021FD">
        <w:rPr>
          <w:rFonts w:ascii="Arial" w:eastAsia="Times New Roman" w:hAnsi="Arial" w:cs="Arial"/>
          <w:bCs/>
          <w:sz w:val="24"/>
          <w:szCs w:val="24"/>
          <w:lang w:eastAsia="es-ES"/>
        </w:rPr>
        <w:t>, transfirieron a título de venta a favor del señor José Ignacio Briceño Cañón</w:t>
      </w:r>
      <w:r w:rsidR="00D04EE0">
        <w:rPr>
          <w:rFonts w:ascii="Arial" w:eastAsia="Times New Roman" w:hAnsi="Arial" w:cs="Arial"/>
          <w:bCs/>
          <w:sz w:val="24"/>
          <w:szCs w:val="24"/>
          <w:lang w:eastAsia="es-ES"/>
        </w:rPr>
        <w:t xml:space="preserve"> </w:t>
      </w:r>
      <w:r w:rsidR="00BD76EF">
        <w:rPr>
          <w:rFonts w:ascii="Arial" w:eastAsia="Times New Roman" w:hAnsi="Arial" w:cs="Arial"/>
          <w:bCs/>
          <w:sz w:val="24"/>
          <w:szCs w:val="24"/>
          <w:lang w:eastAsia="es-ES"/>
        </w:rPr>
        <w:t xml:space="preserve">por medio de escritura pública No. 1265 de 30 de diciembre de 1988, otorgada en la notaría Primera del Círculo de Ubaté, </w:t>
      </w:r>
      <w:r w:rsidR="006021FD">
        <w:rPr>
          <w:rFonts w:ascii="Arial" w:eastAsia="Times New Roman" w:hAnsi="Arial" w:cs="Arial"/>
          <w:bCs/>
          <w:sz w:val="24"/>
          <w:szCs w:val="24"/>
          <w:lang w:eastAsia="es-ES"/>
        </w:rPr>
        <w:t>lo</w:t>
      </w:r>
      <w:r w:rsidR="00BD76EF">
        <w:rPr>
          <w:rFonts w:ascii="Arial" w:eastAsia="Times New Roman" w:hAnsi="Arial" w:cs="Arial"/>
          <w:bCs/>
          <w:sz w:val="24"/>
          <w:szCs w:val="24"/>
          <w:lang w:eastAsia="es-ES"/>
        </w:rPr>
        <w:t>s</w:t>
      </w:r>
      <w:r w:rsidR="006021FD">
        <w:rPr>
          <w:rFonts w:ascii="Arial" w:eastAsia="Times New Roman" w:hAnsi="Arial" w:cs="Arial"/>
          <w:bCs/>
          <w:sz w:val="24"/>
          <w:szCs w:val="24"/>
          <w:lang w:eastAsia="es-ES"/>
        </w:rPr>
        <w:t xml:space="preserve"> siguiente</w:t>
      </w:r>
      <w:r w:rsidR="00BD76EF">
        <w:rPr>
          <w:rFonts w:ascii="Arial" w:eastAsia="Times New Roman" w:hAnsi="Arial" w:cs="Arial"/>
          <w:bCs/>
          <w:sz w:val="24"/>
          <w:szCs w:val="24"/>
          <w:lang w:eastAsia="es-ES"/>
        </w:rPr>
        <w:t>s predios</w:t>
      </w:r>
      <w:r w:rsidR="006021FD">
        <w:rPr>
          <w:rFonts w:ascii="Arial" w:eastAsia="Times New Roman" w:hAnsi="Arial" w:cs="Arial"/>
          <w:bCs/>
          <w:sz w:val="24"/>
          <w:szCs w:val="24"/>
          <w:lang w:eastAsia="es-ES"/>
        </w:rPr>
        <w:t>: la primera –Flor Marina- el derecho de dominio y la posesión del terreno denominado “IPACARAI”, con una extensión aproximada de cuatro hectáreas ocho mil metros cuadrados, ubicado en la vereda de Tagua del Municipio de Guachetá, inscrito en catastro bajo el número 00-1-002-218.</w:t>
      </w:r>
      <w:r w:rsidR="007D1CC7">
        <w:rPr>
          <w:rFonts w:ascii="Arial" w:eastAsia="Times New Roman" w:hAnsi="Arial" w:cs="Arial"/>
          <w:bCs/>
          <w:sz w:val="24"/>
          <w:szCs w:val="24"/>
          <w:lang w:eastAsia="es-ES"/>
        </w:rPr>
        <w:t xml:space="preserve"> Por su parte el señor Jorge Hernando Rodríguez transfirió el derecho de dominio y posesión del terreno denominado “CARACOLI”</w:t>
      </w:r>
      <w:r w:rsidR="002765C3">
        <w:rPr>
          <w:rFonts w:ascii="Arial" w:eastAsia="Times New Roman" w:hAnsi="Arial" w:cs="Arial"/>
          <w:bCs/>
          <w:sz w:val="24"/>
          <w:szCs w:val="24"/>
          <w:lang w:eastAsia="es-ES"/>
        </w:rPr>
        <w:t xml:space="preserve">, </w:t>
      </w:r>
      <w:r w:rsidR="00837F2C">
        <w:rPr>
          <w:rFonts w:ascii="Arial" w:eastAsia="Times New Roman" w:hAnsi="Arial" w:cs="Arial"/>
          <w:bCs/>
          <w:sz w:val="24"/>
          <w:szCs w:val="24"/>
          <w:lang w:eastAsia="es-ES"/>
        </w:rPr>
        <w:t>con una extensión aproximada</w:t>
      </w:r>
      <w:r w:rsidR="006703F7">
        <w:rPr>
          <w:rFonts w:ascii="Arial" w:eastAsia="Times New Roman" w:hAnsi="Arial" w:cs="Arial"/>
          <w:bCs/>
          <w:sz w:val="24"/>
          <w:szCs w:val="24"/>
          <w:lang w:eastAsia="es-ES"/>
        </w:rPr>
        <w:t xml:space="preserve"> de cuatro hectáreas ocho mil metros cuadrado ubicado en la vereda de Tagua.</w:t>
      </w:r>
      <w:r w:rsidR="00837F2C">
        <w:rPr>
          <w:rFonts w:ascii="Arial" w:eastAsia="Times New Roman" w:hAnsi="Arial" w:cs="Arial"/>
          <w:bCs/>
          <w:sz w:val="24"/>
          <w:szCs w:val="24"/>
          <w:lang w:eastAsia="es-ES"/>
        </w:rPr>
        <w:t xml:space="preserve"> </w:t>
      </w:r>
    </w:p>
    <w:p w:rsidR="00981B0E" w:rsidRDefault="00981B0E" w:rsidP="0033547F">
      <w:pPr>
        <w:spacing w:line="360" w:lineRule="auto"/>
        <w:jc w:val="both"/>
        <w:rPr>
          <w:rFonts w:ascii="Arial" w:eastAsia="Times New Roman" w:hAnsi="Arial" w:cs="Arial"/>
          <w:bCs/>
          <w:sz w:val="24"/>
          <w:szCs w:val="24"/>
          <w:lang w:eastAsia="es-ES"/>
        </w:rPr>
      </w:pPr>
    </w:p>
    <w:p w:rsidR="0033547F" w:rsidRPr="00A11F5B" w:rsidRDefault="00204568"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Argumentó la parte actora</w:t>
      </w:r>
      <w:r w:rsidR="00D915C8">
        <w:rPr>
          <w:rFonts w:ascii="Arial" w:eastAsia="Times New Roman" w:hAnsi="Arial" w:cs="Arial"/>
          <w:bCs/>
          <w:sz w:val="24"/>
          <w:szCs w:val="24"/>
          <w:lang w:eastAsia="es-ES"/>
        </w:rPr>
        <w:t>, que el lote de mayor extensión denominado “EL TRIANGULO Y ANDALUCIA”</w:t>
      </w:r>
      <w:r w:rsidR="002B5635">
        <w:rPr>
          <w:rFonts w:ascii="Arial" w:eastAsia="Times New Roman" w:hAnsi="Arial" w:cs="Arial"/>
          <w:bCs/>
          <w:sz w:val="24"/>
          <w:szCs w:val="24"/>
          <w:lang w:eastAsia="es-ES"/>
        </w:rPr>
        <w:t>, fue adjudicado al Municipio de El Cocuy, en un juicio divisorio adelantado por éste, en contra de los municipios de Tunja, Sogamoso y Turmequé –Boyacá-, el cual se tramitó y terminó en el Juzgado Primero Civil del Circuito de Sogamoso y protocolizado por medio de escritura pública No. 1002 de 11 de agosto de 1947</w:t>
      </w:r>
      <w:r w:rsidR="00A8013F">
        <w:rPr>
          <w:rFonts w:ascii="Arial" w:eastAsia="Times New Roman" w:hAnsi="Arial" w:cs="Arial"/>
          <w:bCs/>
          <w:sz w:val="24"/>
          <w:szCs w:val="24"/>
          <w:lang w:eastAsia="es-ES"/>
        </w:rPr>
        <w:t>,</w:t>
      </w:r>
      <w:r w:rsidR="002B5635">
        <w:rPr>
          <w:rFonts w:ascii="Arial" w:eastAsia="Times New Roman" w:hAnsi="Arial" w:cs="Arial"/>
          <w:bCs/>
          <w:sz w:val="24"/>
          <w:szCs w:val="24"/>
          <w:lang w:eastAsia="es-ES"/>
        </w:rPr>
        <w:t xml:space="preserve"> en la Notaría Segunda de Sogamoso, y posteriormente registrada con el folio de matrícula No. 172-0026-287.  </w:t>
      </w:r>
      <w:r w:rsidR="00924FAB">
        <w:rPr>
          <w:rFonts w:ascii="Arial" w:eastAsia="Times New Roman" w:hAnsi="Arial" w:cs="Arial"/>
          <w:bCs/>
          <w:sz w:val="24"/>
          <w:szCs w:val="24"/>
          <w:lang w:eastAsia="es-ES"/>
        </w:rPr>
        <w:t>Así las cosas, se constituyó una entidad denominada “LEGADO BAUDILIO ACERO DE EL COCUY BOYACA” con autonomía testamentaria, estatutaria y con personería jurídica, la cual entre otras funciones, tenía la de manejar los bienes y valores del legado.</w:t>
      </w:r>
      <w:r w:rsidR="00F40152">
        <w:rPr>
          <w:rFonts w:ascii="Arial" w:eastAsia="Times New Roman" w:hAnsi="Arial" w:cs="Arial"/>
          <w:bCs/>
          <w:sz w:val="24"/>
          <w:szCs w:val="24"/>
          <w:lang w:eastAsia="es-ES"/>
        </w:rPr>
        <w:t xml:space="preserve"> A su turno, los estatutos de dicha entidad </w:t>
      </w:r>
      <w:r w:rsidR="00F40152" w:rsidRPr="00A11F5B">
        <w:rPr>
          <w:rFonts w:ascii="Arial" w:eastAsia="Times New Roman" w:hAnsi="Arial" w:cs="Arial"/>
          <w:bCs/>
          <w:sz w:val="24"/>
          <w:szCs w:val="24"/>
          <w:lang w:eastAsia="es-ES"/>
        </w:rPr>
        <w:t>señalaban que había una junta directiva constituida por un presidente,</w:t>
      </w:r>
      <w:r w:rsidR="00B918A4" w:rsidRPr="00A11F5B">
        <w:rPr>
          <w:rFonts w:ascii="Arial" w:eastAsia="Times New Roman" w:hAnsi="Arial" w:cs="Arial"/>
          <w:bCs/>
          <w:sz w:val="24"/>
          <w:szCs w:val="24"/>
          <w:lang w:eastAsia="es-ES"/>
        </w:rPr>
        <w:t xml:space="preserve"> secretario, tesorero y fiscal; y que entre las funciones de dicha junta directiva estaba la de “aprobar las operaciones de compra o venta de </w:t>
      </w:r>
      <w:r w:rsidR="00542A43" w:rsidRPr="00A11F5B">
        <w:rPr>
          <w:rFonts w:ascii="Arial" w:eastAsia="Times New Roman" w:hAnsi="Arial" w:cs="Arial"/>
          <w:bCs/>
          <w:sz w:val="24"/>
          <w:szCs w:val="24"/>
          <w:lang w:eastAsia="es-ES"/>
        </w:rPr>
        <w:t>e</w:t>
      </w:r>
      <w:r w:rsidR="00B918A4" w:rsidRPr="00A11F5B">
        <w:rPr>
          <w:rFonts w:ascii="Arial" w:eastAsia="Times New Roman" w:hAnsi="Arial" w:cs="Arial"/>
          <w:bCs/>
          <w:sz w:val="24"/>
          <w:szCs w:val="24"/>
          <w:lang w:eastAsia="es-ES"/>
        </w:rPr>
        <w:t>fectos y elementos superiores a cincuenta mil pesos mcte”.</w:t>
      </w:r>
    </w:p>
    <w:p w:rsidR="00A11F5B" w:rsidRDefault="00A11F5B" w:rsidP="0033547F">
      <w:pPr>
        <w:spacing w:line="360" w:lineRule="auto"/>
        <w:jc w:val="both"/>
        <w:rPr>
          <w:rFonts w:ascii="Arial" w:eastAsia="Times New Roman" w:hAnsi="Arial" w:cs="Arial"/>
          <w:bCs/>
          <w:sz w:val="24"/>
          <w:szCs w:val="24"/>
          <w:lang w:eastAsia="es-ES"/>
        </w:rPr>
      </w:pPr>
    </w:p>
    <w:p w:rsidR="00A11F5B" w:rsidRPr="00A11F5B" w:rsidRDefault="00660315"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Resaltó</w:t>
      </w:r>
      <w:r w:rsidR="00B219CD">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que el contrato por medio del cual se realizó la compraventa entre el municipio de El Cocuy y la señora Flor Marina Acero Arévalo</w:t>
      </w:r>
      <w:r w:rsidR="00B219CD">
        <w:rPr>
          <w:rFonts w:ascii="Arial" w:eastAsia="Times New Roman" w:hAnsi="Arial" w:cs="Arial"/>
          <w:bCs/>
          <w:sz w:val="24"/>
          <w:szCs w:val="24"/>
          <w:lang w:eastAsia="es-ES"/>
        </w:rPr>
        <w:t>, careció</w:t>
      </w:r>
      <w:r>
        <w:rPr>
          <w:rFonts w:ascii="Arial" w:eastAsia="Times New Roman" w:hAnsi="Arial" w:cs="Arial"/>
          <w:bCs/>
          <w:sz w:val="24"/>
          <w:szCs w:val="24"/>
          <w:lang w:eastAsia="es-ES"/>
        </w:rPr>
        <w:t xml:space="preserve"> de los comprobantes de representación</w:t>
      </w:r>
      <w:r w:rsidR="00B219CD">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por una parte de quien fungía como alcalde de El Cocuy y por otra de quien actuaba como presidente del Legado Baudilio Acero</w:t>
      </w:r>
      <w:r w:rsidR="00B219CD">
        <w:rPr>
          <w:rFonts w:ascii="Arial" w:eastAsia="Times New Roman" w:hAnsi="Arial" w:cs="Arial"/>
          <w:bCs/>
          <w:sz w:val="24"/>
          <w:szCs w:val="24"/>
          <w:lang w:eastAsia="es-ES"/>
        </w:rPr>
        <w:t xml:space="preserve">, como tampoco obraban las actas de posesión, certificados de vigencia de los cargos aludidos ni las autorizaciones legalmente otorgadas para vender el bien materia de contrato, omitiéndose las formalidades de la escritura pública y violándose los numerales 4 y 28 de artículo 99 del Decreto 960 de 1970, los artículos 13 y 26 del Decreto 2148 de 1983, lo que permite deducir que existe una nulidad absoluta del precitado contrato a las luces del artículo 1741 del Código Civil. </w:t>
      </w:r>
    </w:p>
    <w:p w:rsidR="0033547F" w:rsidRPr="00A11F5B" w:rsidRDefault="0033547F" w:rsidP="0033547F">
      <w:pPr>
        <w:spacing w:line="360" w:lineRule="auto"/>
        <w:ind w:left="360"/>
        <w:jc w:val="both"/>
        <w:rPr>
          <w:rFonts w:ascii="Arial" w:eastAsia="Times New Roman" w:hAnsi="Arial" w:cs="Arial"/>
          <w:bCs/>
          <w:sz w:val="24"/>
          <w:szCs w:val="24"/>
          <w:lang w:eastAsia="es-ES"/>
        </w:rPr>
      </w:pPr>
    </w:p>
    <w:p w:rsidR="0033547F" w:rsidRPr="001D21BB" w:rsidRDefault="0033547F" w:rsidP="0033547F">
      <w:pPr>
        <w:spacing w:line="360" w:lineRule="auto"/>
        <w:jc w:val="both"/>
        <w:rPr>
          <w:rFonts w:ascii="Arial" w:eastAsia="Times New Roman" w:hAnsi="Arial" w:cs="Arial"/>
          <w:b/>
          <w:bCs/>
          <w:sz w:val="24"/>
          <w:szCs w:val="24"/>
          <w:lang w:eastAsia="es-ES"/>
        </w:rPr>
      </w:pPr>
      <w:r w:rsidRPr="001D21BB">
        <w:rPr>
          <w:rFonts w:ascii="Arial" w:eastAsia="Times New Roman" w:hAnsi="Arial" w:cs="Arial"/>
          <w:b/>
          <w:bCs/>
          <w:sz w:val="24"/>
          <w:szCs w:val="24"/>
          <w:lang w:eastAsia="es-ES"/>
        </w:rPr>
        <w:t>3. El trámite procesal</w:t>
      </w:r>
    </w:p>
    <w:p w:rsidR="0033547F" w:rsidRPr="001D21BB" w:rsidRDefault="0033547F" w:rsidP="0033547F">
      <w:pPr>
        <w:spacing w:line="360" w:lineRule="auto"/>
        <w:jc w:val="both"/>
        <w:rPr>
          <w:rFonts w:ascii="Arial" w:eastAsia="Times New Roman" w:hAnsi="Arial" w:cs="Arial"/>
          <w:bCs/>
          <w:sz w:val="16"/>
          <w:szCs w:val="24"/>
          <w:lang w:eastAsia="es-ES"/>
        </w:rPr>
      </w:pPr>
    </w:p>
    <w:p w:rsidR="0033547F" w:rsidRDefault="000E1C21"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3.1. </w:t>
      </w:r>
      <w:r w:rsidR="0033547F" w:rsidRPr="001D21BB">
        <w:rPr>
          <w:rFonts w:ascii="Arial" w:eastAsia="Times New Roman" w:hAnsi="Arial" w:cs="Arial"/>
          <w:bCs/>
          <w:sz w:val="24"/>
          <w:szCs w:val="24"/>
          <w:lang w:eastAsia="es-ES"/>
        </w:rPr>
        <w:t>A</w:t>
      </w:r>
      <w:r w:rsidR="00391EE9">
        <w:rPr>
          <w:rFonts w:ascii="Arial" w:eastAsia="Times New Roman" w:hAnsi="Arial" w:cs="Arial"/>
          <w:bCs/>
          <w:sz w:val="24"/>
          <w:szCs w:val="24"/>
          <w:lang w:eastAsia="es-ES"/>
        </w:rPr>
        <w:t xml:space="preserve">dmitida la demanda y noticiado </w:t>
      </w:r>
      <w:r w:rsidR="0033547F" w:rsidRPr="001D21BB">
        <w:rPr>
          <w:rFonts w:ascii="Arial" w:eastAsia="Times New Roman" w:hAnsi="Arial" w:cs="Arial"/>
          <w:bCs/>
          <w:sz w:val="24"/>
          <w:szCs w:val="24"/>
          <w:lang w:eastAsia="es-ES"/>
        </w:rPr>
        <w:t>l</w:t>
      </w:r>
      <w:r w:rsidR="00391EE9">
        <w:rPr>
          <w:rFonts w:ascii="Arial" w:eastAsia="Times New Roman" w:hAnsi="Arial" w:cs="Arial"/>
          <w:bCs/>
          <w:sz w:val="24"/>
          <w:szCs w:val="24"/>
          <w:lang w:eastAsia="es-ES"/>
        </w:rPr>
        <w:t>os</w:t>
      </w:r>
      <w:r w:rsidR="0033547F" w:rsidRPr="001D21BB">
        <w:rPr>
          <w:rFonts w:ascii="Arial" w:eastAsia="Times New Roman" w:hAnsi="Arial" w:cs="Arial"/>
          <w:bCs/>
          <w:sz w:val="24"/>
          <w:szCs w:val="24"/>
          <w:lang w:eastAsia="es-ES"/>
        </w:rPr>
        <w:t xml:space="preserve"> demandado</w:t>
      </w:r>
      <w:r w:rsidR="00391EE9">
        <w:rPr>
          <w:rFonts w:ascii="Arial" w:eastAsia="Times New Roman" w:hAnsi="Arial" w:cs="Arial"/>
          <w:bCs/>
          <w:sz w:val="24"/>
          <w:szCs w:val="24"/>
          <w:lang w:eastAsia="es-ES"/>
        </w:rPr>
        <w:t>s</w:t>
      </w:r>
      <w:r w:rsidR="0033547F" w:rsidRPr="001D21BB">
        <w:rPr>
          <w:rFonts w:ascii="Arial" w:eastAsia="Times New Roman" w:hAnsi="Arial" w:cs="Arial"/>
          <w:bCs/>
          <w:sz w:val="24"/>
          <w:szCs w:val="24"/>
          <w:lang w:eastAsia="es-ES"/>
        </w:rPr>
        <w:t xml:space="preserve"> del auto admisorio</w:t>
      </w:r>
      <w:r w:rsidR="0033547F">
        <w:rPr>
          <w:rStyle w:val="Refdenotaalpie"/>
          <w:rFonts w:ascii="Arial" w:eastAsia="Times New Roman" w:hAnsi="Arial" w:cs="Arial"/>
          <w:bCs/>
          <w:sz w:val="24"/>
          <w:szCs w:val="24"/>
          <w:lang w:eastAsia="es-ES"/>
        </w:rPr>
        <w:footnoteReference w:id="2"/>
      </w:r>
      <w:r w:rsidR="006D2B40">
        <w:rPr>
          <w:rFonts w:ascii="Arial" w:eastAsia="Times New Roman" w:hAnsi="Arial" w:cs="Arial"/>
          <w:bCs/>
          <w:sz w:val="24"/>
          <w:szCs w:val="24"/>
          <w:lang w:eastAsia="es-ES"/>
        </w:rPr>
        <w:t>, el asunto se fijó en lista, por medio de memorial de 10 de marzo de 2008, el curador ad-litem de los herederos indeterminados del demandado José Ignacio Briceño Cañón, contestó la demanda</w:t>
      </w:r>
      <w:r w:rsidR="00BC27EC">
        <w:rPr>
          <w:rStyle w:val="Refdenotaalpie"/>
          <w:rFonts w:ascii="Arial" w:eastAsia="Times New Roman" w:hAnsi="Arial" w:cs="Arial"/>
          <w:bCs/>
          <w:sz w:val="24"/>
          <w:szCs w:val="24"/>
          <w:lang w:eastAsia="es-ES"/>
        </w:rPr>
        <w:footnoteReference w:id="3"/>
      </w:r>
      <w:r w:rsidR="006D2B40">
        <w:rPr>
          <w:rFonts w:ascii="Arial" w:eastAsia="Times New Roman" w:hAnsi="Arial" w:cs="Arial"/>
          <w:bCs/>
          <w:sz w:val="24"/>
          <w:szCs w:val="24"/>
          <w:lang w:eastAsia="es-ES"/>
        </w:rPr>
        <w:t xml:space="preserve"> manifestando que no se oponía ni aceptaba las pretensiones en espera de una razón fáctica y jurídica para todas y cada una de ellas por parte del Tribunal. </w:t>
      </w:r>
    </w:p>
    <w:p w:rsidR="00BC27EC" w:rsidRDefault="00BC27EC" w:rsidP="0033547F">
      <w:pPr>
        <w:spacing w:line="360" w:lineRule="auto"/>
        <w:jc w:val="both"/>
        <w:rPr>
          <w:rFonts w:ascii="Arial" w:eastAsia="Times New Roman" w:hAnsi="Arial" w:cs="Arial"/>
          <w:bCs/>
          <w:sz w:val="24"/>
          <w:szCs w:val="24"/>
          <w:lang w:eastAsia="es-ES"/>
        </w:rPr>
      </w:pPr>
    </w:p>
    <w:p w:rsidR="00F72BC4" w:rsidRDefault="00BC27EC"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su parte, </w:t>
      </w:r>
      <w:r w:rsidR="00C9468D">
        <w:rPr>
          <w:rFonts w:ascii="Arial" w:eastAsia="Times New Roman" w:hAnsi="Arial" w:cs="Arial"/>
          <w:bCs/>
          <w:sz w:val="24"/>
          <w:szCs w:val="24"/>
          <w:lang w:eastAsia="es-ES"/>
        </w:rPr>
        <w:t>Gildardo Quintero Martínez obrando en nombre propio, presentó por medio de memorial de 23 de octubre de 2008, contestación de la demanda en la que se opuso a todas y cada una de las pretensiones, por considerar que el contrato de compraventa no adolecía de ninguna nulidad, toda vez que se enunciaron las representaciones a las que estaban sujetos cada uno de los comparecientes y se anexó la autorización dada por el Concejo Municipal de El Cocuy</w:t>
      </w:r>
      <w:r w:rsidR="00B501F0">
        <w:rPr>
          <w:rFonts w:ascii="Arial" w:eastAsia="Times New Roman" w:hAnsi="Arial" w:cs="Arial"/>
          <w:bCs/>
          <w:sz w:val="24"/>
          <w:szCs w:val="24"/>
          <w:lang w:eastAsia="es-ES"/>
        </w:rPr>
        <w:t xml:space="preserve"> </w:t>
      </w:r>
      <w:r w:rsidR="00C9468D">
        <w:rPr>
          <w:rFonts w:ascii="Arial" w:eastAsia="Times New Roman" w:hAnsi="Arial" w:cs="Arial"/>
          <w:bCs/>
          <w:sz w:val="24"/>
          <w:szCs w:val="24"/>
          <w:lang w:eastAsia="es-ES"/>
        </w:rPr>
        <w:t>para cada uno de ellos</w:t>
      </w:r>
      <w:r w:rsidR="00F72BC4">
        <w:rPr>
          <w:rFonts w:ascii="Arial" w:eastAsia="Times New Roman" w:hAnsi="Arial" w:cs="Arial"/>
          <w:bCs/>
          <w:sz w:val="24"/>
          <w:szCs w:val="24"/>
          <w:lang w:eastAsia="es-ES"/>
        </w:rPr>
        <w:t xml:space="preserve">, además, </w:t>
      </w:r>
      <w:r w:rsidR="00C77152">
        <w:rPr>
          <w:rFonts w:ascii="Arial" w:eastAsia="Times New Roman" w:hAnsi="Arial" w:cs="Arial"/>
          <w:bCs/>
          <w:sz w:val="24"/>
          <w:szCs w:val="24"/>
          <w:lang w:eastAsia="es-ES"/>
        </w:rPr>
        <w:t>señaló que no era</w:t>
      </w:r>
      <w:r w:rsidR="00F72BC4">
        <w:rPr>
          <w:rFonts w:ascii="Arial" w:eastAsia="Times New Roman" w:hAnsi="Arial" w:cs="Arial"/>
          <w:bCs/>
          <w:sz w:val="24"/>
          <w:szCs w:val="24"/>
          <w:lang w:eastAsia="es-ES"/>
        </w:rPr>
        <w:t xml:space="preserve"> procede</w:t>
      </w:r>
      <w:r w:rsidR="00C77152">
        <w:rPr>
          <w:rFonts w:ascii="Arial" w:eastAsia="Times New Roman" w:hAnsi="Arial" w:cs="Arial"/>
          <w:bCs/>
          <w:sz w:val="24"/>
          <w:szCs w:val="24"/>
          <w:lang w:eastAsia="es-ES"/>
        </w:rPr>
        <w:t>nte que la administración alegara</w:t>
      </w:r>
      <w:r w:rsidR="00F72BC4">
        <w:rPr>
          <w:rFonts w:ascii="Arial" w:eastAsia="Times New Roman" w:hAnsi="Arial" w:cs="Arial"/>
          <w:bCs/>
          <w:sz w:val="24"/>
          <w:szCs w:val="24"/>
          <w:lang w:eastAsia="es-ES"/>
        </w:rPr>
        <w:t xml:space="preserve"> su propia culpa para generar perjuicios a terceros y buscar una indemnización.</w:t>
      </w:r>
    </w:p>
    <w:p w:rsidR="00F72BC4" w:rsidRDefault="00F72BC4" w:rsidP="0033547F">
      <w:pPr>
        <w:spacing w:line="360" w:lineRule="auto"/>
        <w:jc w:val="both"/>
        <w:rPr>
          <w:rFonts w:ascii="Arial" w:eastAsia="Times New Roman" w:hAnsi="Arial" w:cs="Arial"/>
          <w:bCs/>
          <w:sz w:val="24"/>
          <w:szCs w:val="24"/>
          <w:lang w:eastAsia="es-ES"/>
        </w:rPr>
      </w:pPr>
    </w:p>
    <w:p w:rsidR="00F72BC4" w:rsidRDefault="00F72BC4" w:rsidP="0033547F">
      <w:pPr>
        <w:spacing w:line="360" w:lineRule="auto"/>
        <w:jc w:val="both"/>
        <w:rPr>
          <w:rFonts w:ascii="Arial" w:eastAsia="Times New Roman" w:hAnsi="Arial" w:cs="Arial"/>
          <w:bCs/>
          <w:sz w:val="24"/>
          <w:szCs w:val="24"/>
          <w:lang w:eastAsia="es-ES"/>
        </w:rPr>
      </w:pPr>
      <w:r w:rsidRPr="007D486D">
        <w:rPr>
          <w:rFonts w:ascii="Arial" w:eastAsia="Times New Roman" w:hAnsi="Arial" w:cs="Arial"/>
          <w:bCs/>
          <w:sz w:val="24"/>
          <w:szCs w:val="24"/>
          <w:lang w:eastAsia="es-ES"/>
        </w:rPr>
        <w:t>Finalmente, propuso las excepciones de  (i) falta de jurisdicción y competencia, (ii) caducidad de la acción, (iii) inepta demanda y (iv) falta del requisito de procedibilidad.</w:t>
      </w:r>
    </w:p>
    <w:p w:rsidR="006D2B40" w:rsidRDefault="006D2B40" w:rsidP="0033547F">
      <w:pPr>
        <w:spacing w:line="360" w:lineRule="auto"/>
        <w:jc w:val="both"/>
        <w:rPr>
          <w:rFonts w:ascii="Arial" w:eastAsia="Times New Roman" w:hAnsi="Arial" w:cs="Arial"/>
          <w:bCs/>
          <w:sz w:val="24"/>
          <w:szCs w:val="24"/>
          <w:lang w:eastAsia="es-ES"/>
        </w:rPr>
      </w:pPr>
    </w:p>
    <w:p w:rsidR="00346617" w:rsidRDefault="00C77152"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otro lado, </w:t>
      </w:r>
      <w:r w:rsidR="00DB0518">
        <w:rPr>
          <w:rFonts w:ascii="Arial" w:eastAsia="Times New Roman" w:hAnsi="Arial" w:cs="Arial"/>
          <w:bCs/>
          <w:sz w:val="24"/>
          <w:szCs w:val="24"/>
          <w:lang w:eastAsia="es-ES"/>
        </w:rPr>
        <w:t xml:space="preserve">el curador ad-litem del señor Jorge Hernando Rodríguez –parte demandada-, presentó contestación de la demanda el 5 de junio de 2008, </w:t>
      </w:r>
      <w:r w:rsidR="00DB0518">
        <w:rPr>
          <w:rFonts w:ascii="Arial" w:eastAsia="Times New Roman" w:hAnsi="Arial" w:cs="Arial"/>
          <w:bCs/>
          <w:sz w:val="24"/>
          <w:szCs w:val="24"/>
          <w:lang w:eastAsia="es-ES"/>
        </w:rPr>
        <w:lastRenderedPageBreak/>
        <w:t>manifestando que desconocía el paradero de su representado y que además no observaba elementos fácticos ni jurídicos necesarios para formular excepciones</w:t>
      </w:r>
      <w:r w:rsidR="003000E2">
        <w:rPr>
          <w:rFonts w:ascii="Arial" w:eastAsia="Times New Roman" w:hAnsi="Arial" w:cs="Arial"/>
          <w:bCs/>
          <w:sz w:val="24"/>
          <w:szCs w:val="24"/>
          <w:lang w:eastAsia="es-ES"/>
        </w:rPr>
        <w:t xml:space="preserve"> de mérito en oposición a las pretensiones.</w:t>
      </w:r>
    </w:p>
    <w:p w:rsidR="00100BBA" w:rsidRDefault="00100BBA" w:rsidP="0033547F">
      <w:pPr>
        <w:spacing w:line="360" w:lineRule="auto"/>
        <w:jc w:val="both"/>
        <w:rPr>
          <w:rFonts w:ascii="Arial" w:eastAsia="Times New Roman" w:hAnsi="Arial" w:cs="Arial"/>
          <w:bCs/>
          <w:sz w:val="24"/>
          <w:szCs w:val="24"/>
          <w:lang w:eastAsia="es-ES"/>
        </w:rPr>
      </w:pPr>
    </w:p>
    <w:p w:rsidR="00FF4DBA" w:rsidRDefault="00B355B7"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Luego, la curadora ad-litem de Adda Jennifer Briceño Acero y Douglas Ignacio Briceño Acero –partes demandadas-, presentó contestación de la demanda el 16 de septiembre de 2011, en la cual no se opuso a las pretensiones.</w:t>
      </w:r>
    </w:p>
    <w:p w:rsidR="00FF4DBA" w:rsidRDefault="00FF4DBA" w:rsidP="0033547F">
      <w:pPr>
        <w:spacing w:line="360" w:lineRule="auto"/>
        <w:jc w:val="both"/>
        <w:rPr>
          <w:rFonts w:ascii="Arial" w:eastAsia="Times New Roman" w:hAnsi="Arial" w:cs="Arial"/>
          <w:bCs/>
          <w:sz w:val="24"/>
          <w:szCs w:val="24"/>
          <w:lang w:eastAsia="es-ES"/>
        </w:rPr>
      </w:pPr>
    </w:p>
    <w:p w:rsidR="006D2B40" w:rsidRDefault="00FF4DBA"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Sin embargo, por medio de memorial presentado el 20 de marzo de 2011, el apoderado de los señores: Flor María Acero Arévalo, Adda Jennifer Briceño Acero y Douglas Ignacio Briceño Acero</w:t>
      </w:r>
      <w:r>
        <w:rPr>
          <w:rStyle w:val="Refdenotaalpie"/>
          <w:rFonts w:ascii="Arial" w:eastAsia="Times New Roman" w:hAnsi="Arial" w:cs="Arial"/>
          <w:bCs/>
          <w:sz w:val="24"/>
          <w:szCs w:val="24"/>
          <w:lang w:eastAsia="es-ES"/>
        </w:rPr>
        <w:footnoteReference w:id="4"/>
      </w:r>
      <w:r w:rsidR="002F78CC">
        <w:rPr>
          <w:rFonts w:ascii="Arial" w:eastAsia="Times New Roman" w:hAnsi="Arial" w:cs="Arial"/>
          <w:bCs/>
          <w:sz w:val="24"/>
          <w:szCs w:val="24"/>
          <w:lang w:eastAsia="es-ES"/>
        </w:rPr>
        <w:t xml:space="preserve">, presentó contestación de la demanda, oponiéndose a todas y cada una de </w:t>
      </w:r>
      <w:r w:rsidR="00565F5A">
        <w:rPr>
          <w:rFonts w:ascii="Arial" w:eastAsia="Times New Roman" w:hAnsi="Arial" w:cs="Arial"/>
          <w:bCs/>
          <w:sz w:val="24"/>
          <w:szCs w:val="24"/>
          <w:lang w:eastAsia="es-ES"/>
        </w:rPr>
        <w:t xml:space="preserve">las pretensiones, manifestando, que la celebración del contrato de compraventa elevado a escritura pública No. 1099 de 19 de noviembre de 1988 y sus subsiguientes, no adolecía de nulidad absoluta </w:t>
      </w:r>
      <w:r w:rsidR="004067E5">
        <w:rPr>
          <w:rFonts w:ascii="Arial" w:eastAsia="Times New Roman" w:hAnsi="Arial" w:cs="Arial"/>
          <w:bCs/>
          <w:sz w:val="24"/>
          <w:szCs w:val="24"/>
          <w:lang w:eastAsia="es-ES"/>
        </w:rPr>
        <w:t>puesto que</w:t>
      </w:r>
      <w:r w:rsidR="00565F5A">
        <w:rPr>
          <w:rFonts w:ascii="Arial" w:eastAsia="Times New Roman" w:hAnsi="Arial" w:cs="Arial"/>
          <w:bCs/>
          <w:sz w:val="24"/>
          <w:szCs w:val="24"/>
          <w:lang w:eastAsia="es-ES"/>
        </w:rPr>
        <w:t xml:space="preserve"> ninguna de las situaciones contempladas en el artículo 1741 del Código Civil</w:t>
      </w:r>
      <w:r w:rsidR="004067E5">
        <w:rPr>
          <w:rFonts w:ascii="Arial" w:eastAsia="Times New Roman" w:hAnsi="Arial" w:cs="Arial"/>
          <w:bCs/>
          <w:sz w:val="24"/>
          <w:szCs w:val="24"/>
          <w:lang w:eastAsia="es-ES"/>
        </w:rPr>
        <w:t xml:space="preserve"> se configuraba</w:t>
      </w:r>
      <w:r w:rsidR="00565F5A">
        <w:rPr>
          <w:rFonts w:ascii="Arial" w:eastAsia="Times New Roman" w:hAnsi="Arial" w:cs="Arial"/>
          <w:bCs/>
          <w:sz w:val="24"/>
          <w:szCs w:val="24"/>
          <w:lang w:eastAsia="es-ES"/>
        </w:rPr>
        <w:t>.</w:t>
      </w:r>
      <w:r w:rsidR="003B2712">
        <w:rPr>
          <w:rFonts w:ascii="Arial" w:eastAsia="Times New Roman" w:hAnsi="Arial" w:cs="Arial"/>
          <w:bCs/>
          <w:sz w:val="24"/>
          <w:szCs w:val="24"/>
          <w:lang w:eastAsia="es-ES"/>
        </w:rPr>
        <w:t xml:space="preserve"> Por otra parte, adujo</w:t>
      </w:r>
      <w:r w:rsidR="004067E5">
        <w:rPr>
          <w:rFonts w:ascii="Arial" w:eastAsia="Times New Roman" w:hAnsi="Arial" w:cs="Arial"/>
          <w:bCs/>
          <w:sz w:val="24"/>
          <w:szCs w:val="24"/>
          <w:lang w:eastAsia="es-ES"/>
        </w:rPr>
        <w:t>,</w:t>
      </w:r>
      <w:r w:rsidR="003B2712">
        <w:rPr>
          <w:rFonts w:ascii="Arial" w:eastAsia="Times New Roman" w:hAnsi="Arial" w:cs="Arial"/>
          <w:bCs/>
          <w:sz w:val="24"/>
          <w:szCs w:val="24"/>
          <w:lang w:eastAsia="es-ES"/>
        </w:rPr>
        <w:t xml:space="preserve"> que el contrato cumplió todas las formalidades que la ley prescrib</w:t>
      </w:r>
      <w:r w:rsidR="004067E5">
        <w:rPr>
          <w:rFonts w:ascii="Arial" w:eastAsia="Times New Roman" w:hAnsi="Arial" w:cs="Arial"/>
          <w:bCs/>
          <w:sz w:val="24"/>
          <w:szCs w:val="24"/>
          <w:lang w:eastAsia="es-ES"/>
        </w:rPr>
        <w:t>ía para ese tipo d</w:t>
      </w:r>
      <w:r w:rsidR="003B2712">
        <w:rPr>
          <w:rFonts w:ascii="Arial" w:eastAsia="Times New Roman" w:hAnsi="Arial" w:cs="Arial"/>
          <w:bCs/>
          <w:sz w:val="24"/>
          <w:szCs w:val="24"/>
          <w:lang w:eastAsia="es-ES"/>
        </w:rPr>
        <w:t>e</w:t>
      </w:r>
      <w:r w:rsidR="004067E5">
        <w:rPr>
          <w:rFonts w:ascii="Arial" w:eastAsia="Times New Roman" w:hAnsi="Arial" w:cs="Arial"/>
          <w:bCs/>
          <w:sz w:val="24"/>
          <w:szCs w:val="24"/>
          <w:lang w:eastAsia="es-ES"/>
        </w:rPr>
        <w:t xml:space="preserve"> </w:t>
      </w:r>
      <w:r w:rsidR="003B2712">
        <w:rPr>
          <w:rFonts w:ascii="Arial" w:eastAsia="Times New Roman" w:hAnsi="Arial" w:cs="Arial"/>
          <w:bCs/>
          <w:sz w:val="24"/>
          <w:szCs w:val="24"/>
          <w:lang w:eastAsia="es-ES"/>
        </w:rPr>
        <w:t>negocio jur</w:t>
      </w:r>
      <w:r w:rsidR="004067E5">
        <w:rPr>
          <w:rFonts w:ascii="Arial" w:eastAsia="Times New Roman" w:hAnsi="Arial" w:cs="Arial"/>
          <w:bCs/>
          <w:sz w:val="24"/>
          <w:szCs w:val="24"/>
          <w:lang w:eastAsia="es-ES"/>
        </w:rPr>
        <w:t>ídico toda v</w:t>
      </w:r>
      <w:r w:rsidR="003B2712">
        <w:rPr>
          <w:rFonts w:ascii="Arial" w:eastAsia="Times New Roman" w:hAnsi="Arial" w:cs="Arial"/>
          <w:bCs/>
          <w:sz w:val="24"/>
          <w:szCs w:val="24"/>
          <w:lang w:eastAsia="es-ES"/>
        </w:rPr>
        <w:t>ez que se</w:t>
      </w:r>
      <w:r w:rsidR="004067E5">
        <w:rPr>
          <w:rFonts w:ascii="Arial" w:eastAsia="Times New Roman" w:hAnsi="Arial" w:cs="Arial"/>
          <w:bCs/>
          <w:sz w:val="24"/>
          <w:szCs w:val="24"/>
          <w:lang w:eastAsia="es-ES"/>
        </w:rPr>
        <w:t xml:space="preserve"> contaba con autorización del concejo municipal, se</w:t>
      </w:r>
      <w:r w:rsidR="003B2712">
        <w:rPr>
          <w:rFonts w:ascii="Arial" w:eastAsia="Times New Roman" w:hAnsi="Arial" w:cs="Arial"/>
          <w:bCs/>
          <w:sz w:val="24"/>
          <w:szCs w:val="24"/>
          <w:lang w:eastAsia="es-ES"/>
        </w:rPr>
        <w:t xml:space="preserve"> elevó a escritura pública y se efectuó su </w:t>
      </w:r>
      <w:r w:rsidR="004067E5">
        <w:rPr>
          <w:rFonts w:ascii="Arial" w:eastAsia="Times New Roman" w:hAnsi="Arial" w:cs="Arial"/>
          <w:bCs/>
          <w:sz w:val="24"/>
          <w:szCs w:val="24"/>
          <w:lang w:eastAsia="es-ES"/>
        </w:rPr>
        <w:t>inscripción</w:t>
      </w:r>
      <w:r w:rsidR="003B2712">
        <w:rPr>
          <w:rFonts w:ascii="Arial" w:eastAsia="Times New Roman" w:hAnsi="Arial" w:cs="Arial"/>
          <w:bCs/>
          <w:sz w:val="24"/>
          <w:szCs w:val="24"/>
          <w:lang w:eastAsia="es-ES"/>
        </w:rPr>
        <w:t xml:space="preserve"> en el folio de </w:t>
      </w:r>
      <w:r w:rsidR="004067E5">
        <w:rPr>
          <w:rFonts w:ascii="Arial" w:eastAsia="Times New Roman" w:hAnsi="Arial" w:cs="Arial"/>
          <w:bCs/>
          <w:sz w:val="24"/>
          <w:szCs w:val="24"/>
          <w:lang w:eastAsia="es-ES"/>
        </w:rPr>
        <w:t>matrícula</w:t>
      </w:r>
      <w:r w:rsidR="003B2712">
        <w:rPr>
          <w:rFonts w:ascii="Arial" w:eastAsia="Times New Roman" w:hAnsi="Arial" w:cs="Arial"/>
          <w:bCs/>
          <w:sz w:val="24"/>
          <w:szCs w:val="24"/>
          <w:lang w:eastAsia="es-ES"/>
        </w:rPr>
        <w:t xml:space="preserve"> inmobiliaria de</w:t>
      </w:r>
      <w:r w:rsidR="004067E5">
        <w:rPr>
          <w:rFonts w:ascii="Arial" w:eastAsia="Times New Roman" w:hAnsi="Arial" w:cs="Arial"/>
          <w:bCs/>
          <w:sz w:val="24"/>
          <w:szCs w:val="24"/>
          <w:lang w:eastAsia="es-ES"/>
        </w:rPr>
        <w:t>l Registro de In</w:t>
      </w:r>
      <w:r w:rsidR="00C72FB4">
        <w:rPr>
          <w:rFonts w:ascii="Arial" w:eastAsia="Times New Roman" w:hAnsi="Arial" w:cs="Arial"/>
          <w:bCs/>
          <w:sz w:val="24"/>
          <w:szCs w:val="24"/>
          <w:lang w:eastAsia="es-ES"/>
        </w:rPr>
        <w:t>strumentos Públicos correspondiente.</w:t>
      </w:r>
      <w:r w:rsidR="00565F5A">
        <w:rPr>
          <w:rFonts w:ascii="Arial" w:eastAsia="Times New Roman" w:hAnsi="Arial" w:cs="Arial"/>
          <w:bCs/>
          <w:sz w:val="24"/>
          <w:szCs w:val="24"/>
          <w:lang w:eastAsia="es-ES"/>
        </w:rPr>
        <w:t xml:space="preserve"> </w:t>
      </w:r>
    </w:p>
    <w:p w:rsidR="005078D2" w:rsidRDefault="005078D2" w:rsidP="0033547F">
      <w:pPr>
        <w:spacing w:line="360" w:lineRule="auto"/>
        <w:jc w:val="both"/>
        <w:rPr>
          <w:rFonts w:ascii="Arial" w:eastAsia="Times New Roman" w:hAnsi="Arial" w:cs="Arial"/>
          <w:bCs/>
          <w:sz w:val="24"/>
          <w:szCs w:val="24"/>
          <w:lang w:eastAsia="es-ES"/>
        </w:rPr>
      </w:pPr>
    </w:p>
    <w:p w:rsidR="005078D2" w:rsidRDefault="005078D2" w:rsidP="0033547F">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Finalmente, propuso las excepciones de (i) falta de legitimación en la causa por activa y (ii) falta de legitimación en la causa por pasiva.</w:t>
      </w:r>
    </w:p>
    <w:p w:rsidR="007D486D" w:rsidRDefault="007D486D" w:rsidP="0033547F">
      <w:pPr>
        <w:spacing w:line="360" w:lineRule="auto"/>
        <w:jc w:val="both"/>
        <w:rPr>
          <w:rFonts w:ascii="Arial" w:eastAsia="Times New Roman" w:hAnsi="Arial" w:cs="Arial"/>
          <w:bCs/>
          <w:sz w:val="24"/>
          <w:szCs w:val="24"/>
          <w:lang w:eastAsia="es-ES"/>
        </w:rPr>
      </w:pPr>
    </w:p>
    <w:p w:rsidR="000E1C21" w:rsidRPr="000E1C21" w:rsidRDefault="000E1C21" w:rsidP="000E1C21">
      <w:pPr>
        <w:spacing w:line="360" w:lineRule="auto"/>
        <w:ind w:right="227"/>
        <w:contextualSpacing/>
        <w:jc w:val="both"/>
        <w:rPr>
          <w:rFonts w:ascii="Arial" w:hAnsi="Arial" w:cs="Arial"/>
          <w:sz w:val="24"/>
          <w:szCs w:val="24"/>
          <w:lang w:val="es-CO"/>
        </w:rPr>
      </w:pPr>
      <w:r>
        <w:rPr>
          <w:rFonts w:ascii="Arial" w:hAnsi="Arial" w:cs="Arial"/>
          <w:sz w:val="24"/>
          <w:szCs w:val="24"/>
          <w:lang w:val="es-CO"/>
        </w:rPr>
        <w:t>3.2. Por auto de 17</w:t>
      </w:r>
      <w:r w:rsidRPr="000E1C21">
        <w:rPr>
          <w:rFonts w:ascii="Arial" w:hAnsi="Arial" w:cs="Arial"/>
          <w:sz w:val="24"/>
          <w:szCs w:val="24"/>
          <w:lang w:val="es-CO"/>
        </w:rPr>
        <w:t xml:space="preserve"> de </w:t>
      </w:r>
      <w:r>
        <w:rPr>
          <w:rFonts w:ascii="Arial" w:hAnsi="Arial" w:cs="Arial"/>
          <w:sz w:val="24"/>
          <w:szCs w:val="24"/>
          <w:lang w:val="es-CO"/>
        </w:rPr>
        <w:t>mayo de 2012</w:t>
      </w:r>
      <w:r w:rsidRPr="000E1C21">
        <w:rPr>
          <w:rFonts w:ascii="Arial" w:hAnsi="Arial" w:cs="Arial"/>
          <w:sz w:val="24"/>
          <w:szCs w:val="24"/>
          <w:lang w:val="es-CO"/>
        </w:rPr>
        <w:t xml:space="preserve">, se abrió a pruebas el </w:t>
      </w:r>
      <w:r>
        <w:rPr>
          <w:rFonts w:ascii="Arial" w:hAnsi="Arial" w:cs="Arial"/>
          <w:sz w:val="24"/>
          <w:szCs w:val="24"/>
          <w:lang w:val="es-CO"/>
        </w:rPr>
        <w:t>proceso de la referencia, y por proveído de 5</w:t>
      </w:r>
      <w:r w:rsidRPr="000E1C21">
        <w:rPr>
          <w:rFonts w:ascii="Arial" w:hAnsi="Arial" w:cs="Arial"/>
          <w:sz w:val="24"/>
          <w:szCs w:val="24"/>
          <w:lang w:val="es-CO"/>
        </w:rPr>
        <w:t xml:space="preserve"> de </w:t>
      </w:r>
      <w:r>
        <w:rPr>
          <w:rFonts w:ascii="Arial" w:hAnsi="Arial" w:cs="Arial"/>
          <w:sz w:val="24"/>
          <w:szCs w:val="24"/>
          <w:lang w:val="es-CO"/>
        </w:rPr>
        <w:t>marzo de 2013</w:t>
      </w:r>
      <w:r w:rsidRPr="000E1C21">
        <w:rPr>
          <w:rFonts w:ascii="Arial" w:hAnsi="Arial" w:cs="Arial"/>
          <w:sz w:val="24"/>
          <w:szCs w:val="24"/>
          <w:lang w:val="es-CO"/>
        </w:rPr>
        <w:t>, se dispuso correr traslado a las partes y al Ministerio Público por el término de diez (10) días, para alegar de conclusión.</w:t>
      </w:r>
    </w:p>
    <w:p w:rsidR="000E1C21" w:rsidRPr="000E1C21" w:rsidRDefault="000E1C21" w:rsidP="000E1C21">
      <w:pPr>
        <w:spacing w:after="160" w:line="259" w:lineRule="auto"/>
        <w:ind w:left="720"/>
        <w:contextualSpacing/>
        <w:rPr>
          <w:rFonts w:ascii="Arial" w:hAnsi="Arial" w:cs="Arial"/>
          <w:b/>
          <w:sz w:val="24"/>
          <w:szCs w:val="24"/>
          <w:lang w:val="es-CO"/>
        </w:rPr>
      </w:pPr>
    </w:p>
    <w:p w:rsidR="007D486D" w:rsidRPr="00B94742" w:rsidRDefault="00E701A2" w:rsidP="00B94742">
      <w:pPr>
        <w:spacing w:line="360" w:lineRule="auto"/>
        <w:ind w:right="227"/>
        <w:contextualSpacing/>
        <w:jc w:val="both"/>
        <w:rPr>
          <w:rFonts w:ascii="Arial" w:hAnsi="Arial" w:cs="Arial"/>
          <w:b/>
          <w:sz w:val="24"/>
          <w:szCs w:val="24"/>
          <w:lang w:val="es-CO"/>
        </w:rPr>
      </w:pPr>
      <w:r>
        <w:rPr>
          <w:rFonts w:ascii="Arial" w:hAnsi="Arial" w:cs="Arial"/>
          <w:sz w:val="24"/>
          <w:szCs w:val="24"/>
          <w:lang w:val="es-CO"/>
        </w:rPr>
        <w:t xml:space="preserve">3.3. </w:t>
      </w:r>
      <w:r w:rsidR="000E1C21" w:rsidRPr="000E1C21">
        <w:rPr>
          <w:rFonts w:ascii="Arial" w:hAnsi="Arial" w:cs="Arial"/>
          <w:sz w:val="24"/>
          <w:szCs w:val="24"/>
          <w:lang w:val="es-CO"/>
        </w:rPr>
        <w:t>Me</w:t>
      </w:r>
      <w:r w:rsidR="003C387D">
        <w:rPr>
          <w:rFonts w:ascii="Arial" w:hAnsi="Arial" w:cs="Arial"/>
          <w:sz w:val="24"/>
          <w:szCs w:val="24"/>
          <w:lang w:val="es-CO"/>
        </w:rPr>
        <w:t>diante escritos presentados el 12</w:t>
      </w:r>
      <w:r w:rsidR="000E1C21" w:rsidRPr="000E1C21">
        <w:rPr>
          <w:rFonts w:ascii="Arial" w:hAnsi="Arial" w:cs="Arial"/>
          <w:sz w:val="24"/>
          <w:szCs w:val="24"/>
          <w:lang w:val="es-CO"/>
        </w:rPr>
        <w:t xml:space="preserve"> de </w:t>
      </w:r>
      <w:r w:rsidR="003C387D">
        <w:rPr>
          <w:rFonts w:ascii="Arial" w:hAnsi="Arial" w:cs="Arial"/>
          <w:sz w:val="24"/>
          <w:szCs w:val="24"/>
          <w:lang w:val="es-CO"/>
        </w:rPr>
        <w:t>marzo de 2013 y 21 de marzo de la misma anualidad</w:t>
      </w:r>
      <w:r w:rsidR="000E1C21" w:rsidRPr="000E1C21">
        <w:rPr>
          <w:rFonts w:ascii="Arial" w:hAnsi="Arial" w:cs="Arial"/>
          <w:sz w:val="24"/>
          <w:szCs w:val="24"/>
          <w:lang w:val="es-CO"/>
        </w:rPr>
        <w:t>, las partes demandada y demandante, por medio de sus apoderados presentaron escritos de alegatos de conclusión reiterando los argumentos expuestos en la contestación de la demanda y en la demanda, respectivamente.</w:t>
      </w:r>
    </w:p>
    <w:p w:rsidR="0033547F" w:rsidRPr="00785DCB" w:rsidRDefault="0033547F" w:rsidP="0033547F">
      <w:pPr>
        <w:jc w:val="both"/>
        <w:rPr>
          <w:rFonts w:ascii="Arial" w:eastAsia="Times New Roman" w:hAnsi="Arial" w:cs="Arial"/>
          <w:bCs/>
          <w:sz w:val="18"/>
          <w:szCs w:val="24"/>
          <w:lang w:eastAsia="es-ES"/>
        </w:rPr>
      </w:pPr>
    </w:p>
    <w:p w:rsidR="0033547F" w:rsidRPr="001D21BB" w:rsidRDefault="0033547F" w:rsidP="0033547F">
      <w:pPr>
        <w:jc w:val="center"/>
        <w:rPr>
          <w:rFonts w:ascii="Arial" w:eastAsia="Times New Roman" w:hAnsi="Arial" w:cs="Arial"/>
          <w:b/>
          <w:bCs/>
          <w:sz w:val="10"/>
          <w:szCs w:val="24"/>
          <w:lang w:eastAsia="es-ES"/>
        </w:rPr>
      </w:pPr>
    </w:p>
    <w:p w:rsidR="0033547F" w:rsidRPr="001D21BB" w:rsidRDefault="0033547F" w:rsidP="0033547F">
      <w:pPr>
        <w:rPr>
          <w:rFonts w:ascii="Arial" w:eastAsia="Times New Roman" w:hAnsi="Arial" w:cs="Arial"/>
          <w:b/>
          <w:bCs/>
          <w:sz w:val="24"/>
          <w:szCs w:val="24"/>
          <w:lang w:eastAsia="es-ES"/>
        </w:rPr>
      </w:pPr>
      <w:r w:rsidRPr="00D557C3">
        <w:rPr>
          <w:rFonts w:ascii="Arial" w:eastAsia="Times New Roman" w:hAnsi="Arial" w:cs="Arial"/>
          <w:b/>
          <w:bCs/>
          <w:sz w:val="24"/>
          <w:szCs w:val="24"/>
          <w:lang w:eastAsia="es-ES"/>
        </w:rPr>
        <w:t>4. Sentencia del Tribunal</w:t>
      </w:r>
    </w:p>
    <w:p w:rsidR="0033547F" w:rsidRDefault="0033547F" w:rsidP="0033547F">
      <w:pPr>
        <w:spacing w:line="360" w:lineRule="auto"/>
        <w:jc w:val="both"/>
        <w:rPr>
          <w:rFonts w:ascii="Arial" w:hAnsi="Arial" w:cs="Arial"/>
          <w:sz w:val="14"/>
          <w:szCs w:val="24"/>
        </w:rPr>
      </w:pPr>
    </w:p>
    <w:p w:rsidR="0033547F" w:rsidRPr="0093449E" w:rsidRDefault="0033547F" w:rsidP="0033547F">
      <w:pPr>
        <w:spacing w:line="360" w:lineRule="auto"/>
        <w:jc w:val="both"/>
        <w:rPr>
          <w:rFonts w:ascii="Arial" w:hAnsi="Arial" w:cs="Arial"/>
          <w:sz w:val="14"/>
          <w:szCs w:val="24"/>
        </w:rPr>
      </w:pPr>
    </w:p>
    <w:p w:rsidR="0033547F" w:rsidRPr="00B23B94" w:rsidRDefault="0033547F" w:rsidP="0033547F">
      <w:pPr>
        <w:spacing w:line="360" w:lineRule="auto"/>
        <w:jc w:val="both"/>
        <w:rPr>
          <w:rFonts w:ascii="Arial" w:hAnsi="Arial" w:cs="Arial"/>
          <w:sz w:val="24"/>
          <w:szCs w:val="24"/>
        </w:rPr>
      </w:pPr>
      <w:r w:rsidRPr="00B23B94">
        <w:rPr>
          <w:rFonts w:ascii="Arial" w:hAnsi="Arial" w:cs="Arial"/>
          <w:sz w:val="24"/>
          <w:szCs w:val="24"/>
        </w:rPr>
        <w:t xml:space="preserve">El 13 de </w:t>
      </w:r>
      <w:r w:rsidR="00FA1092">
        <w:rPr>
          <w:rFonts w:ascii="Arial" w:hAnsi="Arial" w:cs="Arial"/>
          <w:sz w:val="24"/>
          <w:szCs w:val="24"/>
        </w:rPr>
        <w:t>septiembre de 2013</w:t>
      </w:r>
      <w:r w:rsidRPr="00B23B94">
        <w:rPr>
          <w:rFonts w:ascii="Arial" w:hAnsi="Arial" w:cs="Arial"/>
          <w:sz w:val="24"/>
          <w:szCs w:val="24"/>
        </w:rPr>
        <w:t xml:space="preserve">, el Tribunal Administrativo de </w:t>
      </w:r>
      <w:r w:rsidR="00FA1092">
        <w:rPr>
          <w:rFonts w:ascii="Arial" w:eastAsia="Times New Roman" w:hAnsi="Arial" w:cs="Arial"/>
          <w:sz w:val="24"/>
          <w:szCs w:val="24"/>
          <w:lang w:eastAsia="es-ES"/>
        </w:rPr>
        <w:t>Cundinamarca Sección Tercera, Subsección C de Descongestión,</w:t>
      </w:r>
      <w:r w:rsidRPr="00B23B94">
        <w:rPr>
          <w:rFonts w:ascii="Arial" w:hAnsi="Arial" w:cs="Arial"/>
          <w:sz w:val="24"/>
          <w:szCs w:val="24"/>
        </w:rPr>
        <w:t xml:space="preserve"> </w:t>
      </w:r>
      <w:r w:rsidR="00FA1092">
        <w:rPr>
          <w:rFonts w:ascii="Arial" w:hAnsi="Arial" w:cs="Arial"/>
          <w:sz w:val="24"/>
          <w:szCs w:val="24"/>
        </w:rPr>
        <w:t>declaró probada la excepción de caducidad de la acción</w:t>
      </w:r>
      <w:r w:rsidRPr="00B23B94">
        <w:rPr>
          <w:rFonts w:ascii="Arial" w:hAnsi="Arial" w:cs="Arial"/>
          <w:sz w:val="24"/>
          <w:szCs w:val="24"/>
        </w:rPr>
        <w:t xml:space="preserve"> con fundamento en las siguientes consideraciones:</w:t>
      </w:r>
    </w:p>
    <w:p w:rsidR="0033547F" w:rsidRPr="0093449E" w:rsidRDefault="0033547F" w:rsidP="0033547F">
      <w:pPr>
        <w:spacing w:line="360" w:lineRule="auto"/>
        <w:jc w:val="both"/>
        <w:rPr>
          <w:rFonts w:ascii="Arial" w:hAnsi="Arial" w:cs="Arial"/>
          <w:sz w:val="14"/>
          <w:szCs w:val="24"/>
        </w:rPr>
      </w:pPr>
    </w:p>
    <w:p w:rsidR="003B3AFC" w:rsidRDefault="00FA1092" w:rsidP="0033547F">
      <w:pPr>
        <w:spacing w:line="360" w:lineRule="auto"/>
        <w:jc w:val="both"/>
        <w:rPr>
          <w:rFonts w:ascii="Arial" w:hAnsi="Arial" w:cs="Arial"/>
          <w:bCs/>
          <w:sz w:val="24"/>
          <w:szCs w:val="24"/>
        </w:rPr>
      </w:pPr>
      <w:r>
        <w:rPr>
          <w:rFonts w:ascii="Arial" w:hAnsi="Arial" w:cs="Arial"/>
          <w:bCs/>
          <w:sz w:val="24"/>
          <w:szCs w:val="24"/>
        </w:rPr>
        <w:t xml:space="preserve">Sobre la nulidad absoluta del contrato, resaltó lo dispuesto por el literal e) del numeral 10 del artículo 136 del C.C.A., que consagra </w:t>
      </w:r>
      <w:r w:rsidR="003B3AFC">
        <w:rPr>
          <w:rFonts w:ascii="Arial" w:hAnsi="Arial" w:cs="Arial"/>
          <w:bCs/>
          <w:sz w:val="24"/>
          <w:szCs w:val="24"/>
        </w:rPr>
        <w:t xml:space="preserve">que </w:t>
      </w:r>
      <w:r>
        <w:rPr>
          <w:rFonts w:ascii="Arial" w:hAnsi="Arial" w:cs="Arial"/>
          <w:bCs/>
          <w:sz w:val="24"/>
          <w:szCs w:val="24"/>
        </w:rPr>
        <w:t>la acción</w:t>
      </w:r>
      <w:r w:rsidR="00A775D5">
        <w:rPr>
          <w:rFonts w:ascii="Arial" w:hAnsi="Arial" w:cs="Arial"/>
          <w:bCs/>
          <w:sz w:val="24"/>
          <w:szCs w:val="24"/>
        </w:rPr>
        <w:t xml:space="preserve"> contractual</w:t>
      </w:r>
      <w:r>
        <w:rPr>
          <w:rFonts w:ascii="Arial" w:hAnsi="Arial" w:cs="Arial"/>
          <w:bCs/>
          <w:sz w:val="24"/>
          <w:szCs w:val="24"/>
        </w:rPr>
        <w:t xml:space="preserve"> podrá ser incoada “por las partes contratantes, el Ministerio Público o cualquier persona interesada, dentro de los dos (2) años siguientes a su perfeccionamiento”</w:t>
      </w:r>
      <w:r w:rsidR="003B3AFC">
        <w:rPr>
          <w:rFonts w:ascii="Arial" w:hAnsi="Arial" w:cs="Arial"/>
          <w:bCs/>
          <w:sz w:val="24"/>
          <w:szCs w:val="24"/>
        </w:rPr>
        <w:t xml:space="preserve">. </w:t>
      </w:r>
    </w:p>
    <w:p w:rsidR="003B3AFC" w:rsidRDefault="003B3AFC" w:rsidP="0033547F">
      <w:pPr>
        <w:spacing w:line="360" w:lineRule="auto"/>
        <w:jc w:val="both"/>
        <w:rPr>
          <w:rFonts w:ascii="Arial" w:hAnsi="Arial" w:cs="Arial"/>
          <w:bCs/>
          <w:sz w:val="24"/>
          <w:szCs w:val="24"/>
        </w:rPr>
      </w:pPr>
    </w:p>
    <w:p w:rsidR="0033547F" w:rsidRPr="005A009F" w:rsidRDefault="003B3AFC" w:rsidP="0033547F">
      <w:pPr>
        <w:spacing w:line="360" w:lineRule="auto"/>
        <w:jc w:val="both"/>
        <w:rPr>
          <w:rFonts w:ascii="Arial" w:hAnsi="Arial" w:cs="Arial"/>
          <w:bCs/>
          <w:sz w:val="24"/>
          <w:szCs w:val="24"/>
        </w:rPr>
      </w:pPr>
      <w:r>
        <w:rPr>
          <w:rFonts w:ascii="Arial" w:hAnsi="Arial" w:cs="Arial"/>
          <w:bCs/>
          <w:sz w:val="24"/>
          <w:szCs w:val="24"/>
        </w:rPr>
        <w:t xml:space="preserve">Y que en ese orden, se encontraba </w:t>
      </w:r>
      <w:r w:rsidR="00937FD0">
        <w:rPr>
          <w:rFonts w:ascii="Arial" w:hAnsi="Arial" w:cs="Arial"/>
          <w:bCs/>
          <w:sz w:val="24"/>
          <w:szCs w:val="24"/>
        </w:rPr>
        <w:t xml:space="preserve">demostrado </w:t>
      </w:r>
      <w:r>
        <w:rPr>
          <w:rFonts w:ascii="Arial" w:hAnsi="Arial" w:cs="Arial"/>
          <w:bCs/>
          <w:sz w:val="24"/>
          <w:szCs w:val="24"/>
        </w:rPr>
        <w:t xml:space="preserve">que el contrato de compraventa del lote denominado “IPACARAI” </w:t>
      </w:r>
      <w:r w:rsidR="00937FD0">
        <w:rPr>
          <w:rFonts w:ascii="Arial" w:hAnsi="Arial" w:cs="Arial"/>
          <w:bCs/>
          <w:sz w:val="24"/>
          <w:szCs w:val="24"/>
        </w:rPr>
        <w:t>se elevó a</w:t>
      </w:r>
      <w:r>
        <w:rPr>
          <w:rFonts w:ascii="Arial" w:hAnsi="Arial" w:cs="Arial"/>
          <w:bCs/>
          <w:sz w:val="24"/>
          <w:szCs w:val="24"/>
        </w:rPr>
        <w:t xml:space="preserve"> escritura pública </w:t>
      </w:r>
      <w:r w:rsidR="00937FD0">
        <w:rPr>
          <w:rFonts w:ascii="Arial" w:hAnsi="Arial" w:cs="Arial"/>
          <w:bCs/>
          <w:sz w:val="24"/>
          <w:szCs w:val="24"/>
        </w:rPr>
        <w:t xml:space="preserve">el </w:t>
      </w:r>
      <w:r>
        <w:rPr>
          <w:rFonts w:ascii="Arial" w:hAnsi="Arial" w:cs="Arial"/>
          <w:bCs/>
          <w:sz w:val="24"/>
          <w:szCs w:val="24"/>
        </w:rPr>
        <w:t>19 de noviembre de 1988</w:t>
      </w:r>
      <w:r w:rsidR="00937FD0">
        <w:rPr>
          <w:rFonts w:ascii="Arial" w:hAnsi="Arial" w:cs="Arial"/>
          <w:bCs/>
          <w:sz w:val="24"/>
          <w:szCs w:val="24"/>
        </w:rPr>
        <w:t xml:space="preserve"> bajo el No. 1099</w:t>
      </w:r>
      <w:r>
        <w:rPr>
          <w:rFonts w:ascii="Arial" w:hAnsi="Arial" w:cs="Arial"/>
          <w:bCs/>
          <w:sz w:val="24"/>
          <w:szCs w:val="24"/>
        </w:rPr>
        <w:t xml:space="preserve">, </w:t>
      </w:r>
      <w:r w:rsidR="00937FD0">
        <w:rPr>
          <w:rFonts w:ascii="Arial" w:hAnsi="Arial" w:cs="Arial"/>
          <w:bCs/>
          <w:sz w:val="24"/>
          <w:szCs w:val="24"/>
        </w:rPr>
        <w:t xml:space="preserve">y se registró el 21 </w:t>
      </w:r>
      <w:r>
        <w:rPr>
          <w:rFonts w:ascii="Arial" w:hAnsi="Arial" w:cs="Arial"/>
          <w:bCs/>
          <w:sz w:val="24"/>
          <w:szCs w:val="24"/>
        </w:rPr>
        <w:t>del mismo mes y año</w:t>
      </w:r>
      <w:r w:rsidR="00937FD0">
        <w:rPr>
          <w:rFonts w:ascii="Arial" w:hAnsi="Arial" w:cs="Arial"/>
          <w:bCs/>
          <w:sz w:val="24"/>
          <w:szCs w:val="24"/>
        </w:rPr>
        <w:t>, en consecuencia, la caducidad de la acción contractual transcurrió entre el 22 de noviembre de 1988 y el 22 de noviembre de 1990, y la demanda se interpuso el 28 de mayo de 2004, es decir, luego del vencimiento a que hace referencia el artículo precitado.</w:t>
      </w:r>
    </w:p>
    <w:p w:rsidR="00A35EEB" w:rsidRPr="00A35EEB" w:rsidRDefault="00A35EEB" w:rsidP="0033547F">
      <w:pPr>
        <w:spacing w:line="360" w:lineRule="auto"/>
        <w:jc w:val="both"/>
        <w:rPr>
          <w:rFonts w:ascii="Arial" w:hAnsi="Arial" w:cs="Arial"/>
          <w:bCs/>
          <w:sz w:val="24"/>
          <w:szCs w:val="24"/>
        </w:rPr>
      </w:pPr>
    </w:p>
    <w:p w:rsidR="0033547F" w:rsidRPr="00A35EEB" w:rsidRDefault="0033547F" w:rsidP="0033547F">
      <w:pPr>
        <w:spacing w:line="360" w:lineRule="auto"/>
        <w:jc w:val="both"/>
        <w:rPr>
          <w:rFonts w:ascii="Arial" w:hAnsi="Arial" w:cs="Arial"/>
          <w:b/>
          <w:bCs/>
          <w:sz w:val="24"/>
          <w:szCs w:val="24"/>
        </w:rPr>
      </w:pPr>
      <w:r w:rsidRPr="00A35EEB">
        <w:rPr>
          <w:rFonts w:ascii="Arial" w:hAnsi="Arial" w:cs="Arial"/>
          <w:b/>
          <w:bCs/>
          <w:sz w:val="24"/>
          <w:szCs w:val="24"/>
        </w:rPr>
        <w:t>5. Recurso de apelación</w:t>
      </w:r>
    </w:p>
    <w:p w:rsidR="0033547F" w:rsidRPr="00A35EEB" w:rsidRDefault="0033547F" w:rsidP="0033547F">
      <w:pPr>
        <w:spacing w:line="360" w:lineRule="auto"/>
        <w:jc w:val="both"/>
        <w:rPr>
          <w:rFonts w:ascii="Arial" w:hAnsi="Arial" w:cs="Arial"/>
          <w:bCs/>
          <w:sz w:val="24"/>
          <w:szCs w:val="24"/>
        </w:rPr>
      </w:pPr>
    </w:p>
    <w:p w:rsidR="0033547F" w:rsidRPr="00A35EEB" w:rsidRDefault="0033547F" w:rsidP="0033547F">
      <w:pPr>
        <w:spacing w:line="360" w:lineRule="auto"/>
        <w:jc w:val="both"/>
        <w:rPr>
          <w:rFonts w:ascii="Arial" w:hAnsi="Arial" w:cs="Arial"/>
          <w:bCs/>
          <w:sz w:val="24"/>
          <w:szCs w:val="24"/>
        </w:rPr>
      </w:pPr>
      <w:r w:rsidRPr="00A35EEB">
        <w:rPr>
          <w:rFonts w:ascii="Arial" w:hAnsi="Arial" w:cs="Arial"/>
          <w:bCs/>
          <w:sz w:val="24"/>
          <w:szCs w:val="24"/>
        </w:rPr>
        <w:t>El</w:t>
      </w:r>
      <w:r w:rsidR="0032439C">
        <w:rPr>
          <w:rFonts w:ascii="Arial" w:hAnsi="Arial" w:cs="Arial"/>
          <w:bCs/>
          <w:sz w:val="24"/>
          <w:szCs w:val="24"/>
        </w:rPr>
        <w:t xml:space="preserve"> 23</w:t>
      </w:r>
      <w:r w:rsidRPr="00A35EEB">
        <w:rPr>
          <w:rFonts w:ascii="Arial" w:hAnsi="Arial" w:cs="Arial"/>
          <w:bCs/>
          <w:sz w:val="24"/>
          <w:szCs w:val="24"/>
        </w:rPr>
        <w:t xml:space="preserve"> de </w:t>
      </w:r>
      <w:r w:rsidR="0032439C">
        <w:rPr>
          <w:rFonts w:ascii="Arial" w:hAnsi="Arial" w:cs="Arial"/>
          <w:bCs/>
          <w:sz w:val="24"/>
          <w:szCs w:val="24"/>
        </w:rPr>
        <w:t>septiembre de 2013</w:t>
      </w:r>
      <w:r w:rsidRPr="00A35EEB">
        <w:rPr>
          <w:rFonts w:ascii="Arial" w:hAnsi="Arial" w:cs="Arial"/>
          <w:bCs/>
          <w:sz w:val="24"/>
          <w:szCs w:val="24"/>
        </w:rPr>
        <w:t xml:space="preserve">, la parte demandante interpuso recurso de apelación (fls. </w:t>
      </w:r>
      <w:r w:rsidR="0032439C">
        <w:rPr>
          <w:rFonts w:ascii="Arial" w:hAnsi="Arial" w:cs="Arial"/>
          <w:bCs/>
          <w:sz w:val="24"/>
          <w:szCs w:val="24"/>
        </w:rPr>
        <w:t>610 y 611</w:t>
      </w:r>
      <w:r w:rsidRPr="00A35EEB">
        <w:rPr>
          <w:rFonts w:ascii="Arial" w:hAnsi="Arial" w:cs="Arial"/>
          <w:bCs/>
          <w:sz w:val="24"/>
          <w:szCs w:val="24"/>
        </w:rPr>
        <w:t xml:space="preserve">, c. ppal.), </w:t>
      </w:r>
      <w:r w:rsidR="0032439C">
        <w:rPr>
          <w:rFonts w:ascii="Arial" w:hAnsi="Arial" w:cs="Arial"/>
          <w:bCs/>
          <w:sz w:val="24"/>
          <w:szCs w:val="24"/>
        </w:rPr>
        <w:t>el cual sustentó por medio de escrito presentado el 7 de octubre de la misma anualidad</w:t>
      </w:r>
      <w:r w:rsidR="0032439C" w:rsidRPr="00A35EEB">
        <w:rPr>
          <w:rFonts w:ascii="Arial" w:hAnsi="Arial" w:cs="Arial"/>
          <w:bCs/>
          <w:sz w:val="24"/>
          <w:szCs w:val="24"/>
        </w:rPr>
        <w:t xml:space="preserve"> </w:t>
      </w:r>
      <w:r w:rsidR="0032439C">
        <w:rPr>
          <w:rFonts w:ascii="Arial" w:hAnsi="Arial" w:cs="Arial"/>
          <w:bCs/>
          <w:sz w:val="24"/>
          <w:szCs w:val="24"/>
        </w:rPr>
        <w:t xml:space="preserve">(fls. 612 a 628 Ib.) </w:t>
      </w:r>
      <w:r w:rsidR="0032439C" w:rsidRPr="00A35EEB">
        <w:rPr>
          <w:rFonts w:ascii="Arial" w:hAnsi="Arial" w:cs="Arial"/>
          <w:bCs/>
          <w:sz w:val="24"/>
          <w:szCs w:val="24"/>
        </w:rPr>
        <w:t>en</w:t>
      </w:r>
      <w:r w:rsidRPr="00A35EEB">
        <w:rPr>
          <w:rFonts w:ascii="Arial" w:hAnsi="Arial" w:cs="Arial"/>
          <w:bCs/>
          <w:sz w:val="24"/>
          <w:szCs w:val="24"/>
        </w:rPr>
        <w:t xml:space="preserve"> el que solicitó que se revoque la sentencia de primer grado y se acceda a lo pretendido. </w:t>
      </w:r>
    </w:p>
    <w:p w:rsidR="0033547F" w:rsidRPr="00A35EEB" w:rsidRDefault="0033547F" w:rsidP="0033547F">
      <w:pPr>
        <w:spacing w:line="360" w:lineRule="auto"/>
        <w:jc w:val="both"/>
        <w:rPr>
          <w:rFonts w:ascii="Arial" w:hAnsi="Arial" w:cs="Arial"/>
          <w:bCs/>
          <w:sz w:val="24"/>
          <w:szCs w:val="24"/>
        </w:rPr>
      </w:pPr>
    </w:p>
    <w:p w:rsidR="0033547F" w:rsidRPr="000A6CC3" w:rsidRDefault="0033547F" w:rsidP="0033547F">
      <w:pPr>
        <w:spacing w:line="360" w:lineRule="auto"/>
        <w:jc w:val="both"/>
        <w:rPr>
          <w:rFonts w:ascii="Arial" w:hAnsi="Arial" w:cs="Arial"/>
          <w:bCs/>
          <w:sz w:val="24"/>
          <w:szCs w:val="24"/>
        </w:rPr>
      </w:pPr>
      <w:r w:rsidRPr="00A35EEB">
        <w:rPr>
          <w:rFonts w:ascii="Arial" w:hAnsi="Arial" w:cs="Arial"/>
          <w:bCs/>
          <w:sz w:val="24"/>
          <w:szCs w:val="24"/>
        </w:rPr>
        <w:t xml:space="preserve">En la alzada, </w:t>
      </w:r>
      <w:r w:rsidR="000A6CC3">
        <w:rPr>
          <w:rFonts w:ascii="Arial" w:hAnsi="Arial" w:cs="Arial"/>
          <w:bCs/>
          <w:sz w:val="24"/>
          <w:szCs w:val="24"/>
        </w:rPr>
        <w:t xml:space="preserve">insistió en que los bienes materia del litigio </w:t>
      </w:r>
      <w:r w:rsidR="00B6619F" w:rsidRPr="00B6619F">
        <w:rPr>
          <w:rFonts w:ascii="Arial" w:hAnsi="Arial" w:cs="Arial"/>
          <w:bCs/>
          <w:i/>
          <w:sz w:val="24"/>
          <w:szCs w:val="24"/>
        </w:rPr>
        <w:t>“</w:t>
      </w:r>
      <w:r w:rsidR="000A6CC3" w:rsidRPr="00B6619F">
        <w:rPr>
          <w:rFonts w:ascii="Arial" w:hAnsi="Arial" w:cs="Arial"/>
          <w:bCs/>
          <w:i/>
          <w:sz w:val="24"/>
          <w:szCs w:val="24"/>
        </w:rPr>
        <w:t xml:space="preserve">son de naturaleza estatal </w:t>
      </w:r>
      <w:r w:rsidR="00B6619F" w:rsidRPr="00B6619F">
        <w:rPr>
          <w:rFonts w:ascii="Arial" w:hAnsi="Arial" w:cs="Arial"/>
          <w:bCs/>
          <w:i/>
          <w:sz w:val="24"/>
          <w:szCs w:val="24"/>
        </w:rPr>
        <w:t>-</w:t>
      </w:r>
      <w:r w:rsidR="000A6CC3" w:rsidRPr="00B6619F">
        <w:rPr>
          <w:rFonts w:ascii="Arial" w:hAnsi="Arial" w:cs="Arial"/>
          <w:bCs/>
          <w:i/>
          <w:sz w:val="24"/>
          <w:szCs w:val="24"/>
        </w:rPr>
        <w:t>bienes fiscales</w:t>
      </w:r>
      <w:r w:rsidR="00B6619F" w:rsidRPr="00B6619F">
        <w:rPr>
          <w:rFonts w:ascii="Arial" w:hAnsi="Arial" w:cs="Arial"/>
          <w:bCs/>
          <w:i/>
          <w:sz w:val="24"/>
          <w:szCs w:val="24"/>
        </w:rPr>
        <w:t>-</w:t>
      </w:r>
      <w:r w:rsidR="000A6CC3" w:rsidRPr="00B6619F">
        <w:rPr>
          <w:rFonts w:ascii="Arial" w:hAnsi="Arial" w:cs="Arial"/>
          <w:bCs/>
          <w:i/>
          <w:sz w:val="24"/>
          <w:szCs w:val="24"/>
        </w:rPr>
        <w:t xml:space="preserve"> del Municipio de El Cocuy</w:t>
      </w:r>
      <w:r w:rsidR="00B6619F" w:rsidRPr="00B6619F">
        <w:rPr>
          <w:rFonts w:ascii="Arial" w:hAnsi="Arial" w:cs="Arial"/>
          <w:bCs/>
          <w:i/>
          <w:sz w:val="24"/>
          <w:szCs w:val="24"/>
        </w:rPr>
        <w:t>”</w:t>
      </w:r>
      <w:r w:rsidR="000A6CC3" w:rsidRPr="00B6619F">
        <w:rPr>
          <w:rFonts w:ascii="Arial" w:hAnsi="Arial" w:cs="Arial"/>
          <w:bCs/>
          <w:i/>
          <w:sz w:val="24"/>
          <w:szCs w:val="24"/>
        </w:rPr>
        <w:t xml:space="preserve">, </w:t>
      </w:r>
      <w:r w:rsidR="000A6CC3">
        <w:rPr>
          <w:rFonts w:ascii="Arial" w:hAnsi="Arial" w:cs="Arial"/>
          <w:bCs/>
          <w:sz w:val="24"/>
          <w:szCs w:val="24"/>
        </w:rPr>
        <w:t>los cuales son</w:t>
      </w:r>
      <w:r w:rsidR="005254B1">
        <w:rPr>
          <w:rFonts w:ascii="Arial" w:hAnsi="Arial" w:cs="Arial"/>
          <w:bCs/>
          <w:sz w:val="24"/>
          <w:szCs w:val="24"/>
        </w:rPr>
        <w:t xml:space="preserve"> imprescriptibles e i</w:t>
      </w:r>
      <w:r w:rsidR="000A6CC3">
        <w:rPr>
          <w:rFonts w:ascii="Arial" w:hAnsi="Arial" w:cs="Arial"/>
          <w:bCs/>
          <w:sz w:val="24"/>
          <w:szCs w:val="24"/>
        </w:rPr>
        <w:t>najenables y por lo tanto la acción no caduca.</w:t>
      </w:r>
    </w:p>
    <w:p w:rsidR="0033547F" w:rsidRPr="00A35EEB" w:rsidRDefault="0033547F" w:rsidP="0033547F">
      <w:pPr>
        <w:spacing w:line="360" w:lineRule="auto"/>
        <w:jc w:val="both"/>
        <w:rPr>
          <w:rFonts w:ascii="Arial" w:hAnsi="Arial" w:cs="Arial"/>
          <w:bCs/>
          <w:sz w:val="24"/>
          <w:szCs w:val="24"/>
        </w:rPr>
      </w:pPr>
    </w:p>
    <w:p w:rsidR="0033547F" w:rsidRPr="006379A9" w:rsidRDefault="0033547F" w:rsidP="0033547F">
      <w:pPr>
        <w:spacing w:line="360" w:lineRule="auto"/>
        <w:jc w:val="both"/>
        <w:rPr>
          <w:rFonts w:ascii="Arial" w:hAnsi="Arial" w:cs="Arial"/>
          <w:bCs/>
          <w:sz w:val="24"/>
          <w:szCs w:val="24"/>
        </w:rPr>
      </w:pPr>
      <w:r w:rsidRPr="00A35EEB">
        <w:rPr>
          <w:rFonts w:ascii="Arial" w:hAnsi="Arial" w:cs="Arial"/>
          <w:bCs/>
          <w:sz w:val="24"/>
          <w:szCs w:val="24"/>
        </w:rPr>
        <w:t xml:space="preserve">Reprochó </w:t>
      </w:r>
      <w:r w:rsidR="006379A9">
        <w:rPr>
          <w:rFonts w:ascii="Arial" w:hAnsi="Arial" w:cs="Arial"/>
          <w:bCs/>
          <w:sz w:val="24"/>
          <w:szCs w:val="24"/>
        </w:rPr>
        <w:t xml:space="preserve">que el Tribunal </w:t>
      </w:r>
      <w:r w:rsidR="006379A9">
        <w:rPr>
          <w:rFonts w:ascii="Arial" w:hAnsi="Arial" w:cs="Arial"/>
          <w:bCs/>
          <w:i/>
          <w:sz w:val="24"/>
          <w:szCs w:val="24"/>
        </w:rPr>
        <w:t>a-quo</w:t>
      </w:r>
      <w:r w:rsidR="006379A9">
        <w:rPr>
          <w:rFonts w:ascii="Arial" w:hAnsi="Arial" w:cs="Arial"/>
          <w:bCs/>
          <w:sz w:val="24"/>
          <w:szCs w:val="24"/>
        </w:rPr>
        <w:t xml:space="preserve"> no valoró en forma integral lo consignado en los hechos y las pruebas de la demanda, y que además dio trámite a una excepción que no fue formulada en debida forma.</w:t>
      </w:r>
    </w:p>
    <w:p w:rsidR="0033547F" w:rsidRDefault="0033547F" w:rsidP="0033547F">
      <w:pPr>
        <w:spacing w:line="360" w:lineRule="auto"/>
        <w:jc w:val="both"/>
        <w:rPr>
          <w:rFonts w:ascii="Arial" w:hAnsi="Arial" w:cs="Arial"/>
          <w:bCs/>
          <w:sz w:val="24"/>
          <w:szCs w:val="24"/>
        </w:rPr>
      </w:pPr>
    </w:p>
    <w:p w:rsidR="0033547F" w:rsidRDefault="0033547F" w:rsidP="0033547F">
      <w:pPr>
        <w:spacing w:line="360" w:lineRule="auto"/>
        <w:jc w:val="both"/>
        <w:rPr>
          <w:rFonts w:ascii="Arial" w:hAnsi="Arial" w:cs="Arial"/>
          <w:b/>
          <w:bCs/>
          <w:sz w:val="24"/>
          <w:szCs w:val="24"/>
        </w:rPr>
      </w:pPr>
      <w:r>
        <w:rPr>
          <w:rFonts w:ascii="Arial" w:hAnsi="Arial" w:cs="Arial"/>
          <w:b/>
          <w:bCs/>
          <w:sz w:val="24"/>
          <w:szCs w:val="24"/>
        </w:rPr>
        <w:t>6. Concepto del Ministerio público</w:t>
      </w:r>
    </w:p>
    <w:p w:rsidR="0033547F" w:rsidRDefault="0033547F" w:rsidP="0033547F">
      <w:pPr>
        <w:spacing w:line="360" w:lineRule="auto"/>
        <w:jc w:val="both"/>
        <w:rPr>
          <w:rFonts w:ascii="Arial" w:hAnsi="Arial" w:cs="Arial"/>
          <w:b/>
          <w:bCs/>
          <w:sz w:val="24"/>
          <w:szCs w:val="24"/>
        </w:rPr>
      </w:pPr>
    </w:p>
    <w:p w:rsidR="0033547F" w:rsidRDefault="0033547F" w:rsidP="0033547F">
      <w:pPr>
        <w:spacing w:line="360" w:lineRule="auto"/>
        <w:jc w:val="both"/>
        <w:rPr>
          <w:rFonts w:ascii="Arial" w:eastAsia="Times New Roman" w:hAnsi="Arial" w:cs="Arial"/>
          <w:bCs/>
          <w:sz w:val="24"/>
          <w:lang w:eastAsia="es-ES"/>
        </w:rPr>
      </w:pPr>
      <w:r w:rsidRPr="00F4595F">
        <w:rPr>
          <w:rFonts w:ascii="Arial" w:eastAsia="Times New Roman" w:hAnsi="Arial" w:cs="Arial"/>
          <w:bCs/>
          <w:sz w:val="24"/>
          <w:lang w:eastAsia="es-ES"/>
        </w:rPr>
        <w:t xml:space="preserve">El señor Agente del Ministerio Público </w:t>
      </w:r>
      <w:r w:rsidR="00715C2E">
        <w:rPr>
          <w:rFonts w:ascii="Arial" w:eastAsia="Times New Roman" w:hAnsi="Arial" w:cs="Arial"/>
          <w:bCs/>
          <w:sz w:val="24"/>
          <w:lang w:eastAsia="es-ES"/>
        </w:rPr>
        <w:t>presentó concepto No. 049 el día 21</w:t>
      </w:r>
      <w:r>
        <w:rPr>
          <w:rFonts w:ascii="Arial" w:eastAsia="Times New Roman" w:hAnsi="Arial" w:cs="Arial"/>
          <w:bCs/>
          <w:sz w:val="24"/>
          <w:lang w:eastAsia="es-ES"/>
        </w:rPr>
        <w:t xml:space="preserve"> de </w:t>
      </w:r>
      <w:r w:rsidR="00715C2E">
        <w:rPr>
          <w:rFonts w:ascii="Arial" w:eastAsia="Times New Roman" w:hAnsi="Arial" w:cs="Arial"/>
          <w:bCs/>
          <w:sz w:val="24"/>
          <w:lang w:eastAsia="es-ES"/>
        </w:rPr>
        <w:t>marzo</w:t>
      </w:r>
      <w:r>
        <w:rPr>
          <w:rFonts w:ascii="Arial" w:eastAsia="Times New Roman" w:hAnsi="Arial" w:cs="Arial"/>
          <w:bCs/>
          <w:sz w:val="24"/>
          <w:lang w:eastAsia="es-ES"/>
        </w:rPr>
        <w:t xml:space="preserve"> de 201</w:t>
      </w:r>
      <w:r w:rsidR="00715C2E">
        <w:rPr>
          <w:rFonts w:ascii="Arial" w:eastAsia="Times New Roman" w:hAnsi="Arial" w:cs="Arial"/>
          <w:bCs/>
          <w:sz w:val="24"/>
          <w:lang w:eastAsia="es-ES"/>
        </w:rPr>
        <w:t>4</w:t>
      </w:r>
      <w:r w:rsidRPr="00F4595F">
        <w:rPr>
          <w:rFonts w:ascii="Arial" w:eastAsia="Times New Roman" w:hAnsi="Arial" w:cs="Arial"/>
          <w:bCs/>
          <w:sz w:val="24"/>
          <w:vertAlign w:val="superscript"/>
          <w:lang w:eastAsia="es-ES"/>
        </w:rPr>
        <w:footnoteReference w:id="5"/>
      </w:r>
      <w:r>
        <w:rPr>
          <w:rFonts w:ascii="Arial" w:eastAsia="Times New Roman" w:hAnsi="Arial" w:cs="Arial"/>
          <w:bCs/>
          <w:sz w:val="24"/>
          <w:lang w:eastAsia="es-ES"/>
        </w:rPr>
        <w:t xml:space="preserve">, </w:t>
      </w:r>
      <w:r w:rsidRPr="00F4595F">
        <w:rPr>
          <w:rFonts w:ascii="Arial" w:eastAsia="Times New Roman" w:hAnsi="Arial" w:cs="Arial"/>
          <w:bCs/>
          <w:sz w:val="24"/>
          <w:lang w:eastAsia="es-ES"/>
        </w:rPr>
        <w:t xml:space="preserve">solicitando que se confirme la sentencia de primera instancia por cuanto </w:t>
      </w:r>
      <w:r w:rsidRPr="00F4595F">
        <w:rPr>
          <w:rFonts w:ascii="Arial" w:eastAsia="Times New Roman" w:hAnsi="Arial" w:cs="Arial"/>
          <w:bCs/>
          <w:sz w:val="24"/>
          <w:lang w:eastAsia="es-ES"/>
        </w:rPr>
        <w:lastRenderedPageBreak/>
        <w:t xml:space="preserve">consideró que </w:t>
      </w:r>
      <w:r w:rsidR="00482F1D">
        <w:rPr>
          <w:rFonts w:ascii="Arial" w:eastAsia="Times New Roman" w:hAnsi="Arial" w:cs="Arial"/>
          <w:bCs/>
          <w:sz w:val="24"/>
          <w:lang w:eastAsia="es-ES"/>
        </w:rPr>
        <w:t xml:space="preserve">la acción interpuesta por la parte actora se encontraba caducada, toda vez que el contrato de compraventa cuya nulidad depreca el Municipio de El Cocuy se suscribió mediante escritura pública No. 1099 de 19 de noviembre de 1988 e inscrita el 21 del mismo mes y año, y que además </w:t>
      </w:r>
      <w:r w:rsidR="007A5734">
        <w:rPr>
          <w:rFonts w:ascii="Arial" w:eastAsia="Times New Roman" w:hAnsi="Arial" w:cs="Arial"/>
          <w:bCs/>
          <w:sz w:val="24"/>
          <w:lang w:eastAsia="es-ES"/>
        </w:rPr>
        <w:t xml:space="preserve">el inmueble </w:t>
      </w:r>
      <w:r w:rsidR="00482F1D">
        <w:rPr>
          <w:rFonts w:ascii="Arial" w:eastAsia="Times New Roman" w:hAnsi="Arial" w:cs="Arial"/>
          <w:bCs/>
          <w:sz w:val="24"/>
          <w:lang w:eastAsia="es-ES"/>
        </w:rPr>
        <w:t>no tenía la naturaleza de bien de uso público sino que se trataba de un bien fiscal embargable y enajenable de propiedad privada del ente territorial, y por consiguiente la caducidad seguía la regla prevista en el</w:t>
      </w:r>
      <w:r w:rsidR="00482F1D" w:rsidRPr="00482F1D">
        <w:rPr>
          <w:rFonts w:ascii="Arial" w:hAnsi="Arial" w:cs="Arial"/>
          <w:bCs/>
          <w:sz w:val="24"/>
          <w:szCs w:val="24"/>
        </w:rPr>
        <w:t xml:space="preserve"> </w:t>
      </w:r>
      <w:r w:rsidR="00482F1D">
        <w:rPr>
          <w:rFonts w:ascii="Arial" w:hAnsi="Arial" w:cs="Arial"/>
          <w:bCs/>
          <w:sz w:val="24"/>
          <w:szCs w:val="24"/>
        </w:rPr>
        <w:t>literal e) del numeral 10 del artículo 136 del C.C.A.</w:t>
      </w:r>
      <w:r w:rsidR="00AE5516">
        <w:rPr>
          <w:rFonts w:ascii="Arial" w:hAnsi="Arial" w:cs="Arial"/>
          <w:bCs/>
          <w:sz w:val="24"/>
          <w:szCs w:val="24"/>
        </w:rPr>
        <w:t xml:space="preserve">, y como la demanda se </w:t>
      </w:r>
      <w:r w:rsidR="001B1E47">
        <w:rPr>
          <w:rFonts w:ascii="Arial" w:hAnsi="Arial" w:cs="Arial"/>
          <w:bCs/>
          <w:sz w:val="24"/>
          <w:szCs w:val="24"/>
        </w:rPr>
        <w:t>presentó</w:t>
      </w:r>
      <w:r w:rsidR="00AE5516">
        <w:rPr>
          <w:rFonts w:ascii="Arial" w:hAnsi="Arial" w:cs="Arial"/>
          <w:bCs/>
          <w:sz w:val="24"/>
          <w:szCs w:val="24"/>
        </w:rPr>
        <w:t xml:space="preserve"> el 28 de mayo de 2004, se había </w:t>
      </w:r>
      <w:r w:rsidR="001B1E47">
        <w:rPr>
          <w:rFonts w:ascii="Arial" w:hAnsi="Arial" w:cs="Arial"/>
          <w:bCs/>
          <w:sz w:val="24"/>
          <w:szCs w:val="24"/>
        </w:rPr>
        <w:t>configurado</w:t>
      </w:r>
      <w:r w:rsidR="00AE5516">
        <w:rPr>
          <w:rFonts w:ascii="Arial" w:hAnsi="Arial" w:cs="Arial"/>
          <w:bCs/>
          <w:sz w:val="24"/>
          <w:szCs w:val="24"/>
        </w:rPr>
        <w:t xml:space="preserve"> el fenómeno de la caducidad.</w:t>
      </w:r>
    </w:p>
    <w:p w:rsidR="0033547F" w:rsidRPr="001B1E47" w:rsidRDefault="0033547F" w:rsidP="0033547F">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 xml:space="preserve"> </w:t>
      </w:r>
    </w:p>
    <w:p w:rsidR="0033547F" w:rsidRDefault="0033547F" w:rsidP="0033547F">
      <w:pPr>
        <w:spacing w:line="360" w:lineRule="auto"/>
        <w:jc w:val="both"/>
        <w:rPr>
          <w:rFonts w:ascii="Arial" w:hAnsi="Arial" w:cs="Arial"/>
          <w:bCs/>
          <w:sz w:val="24"/>
          <w:lang w:val="es-CO"/>
        </w:rPr>
      </w:pPr>
      <w:r w:rsidRPr="00F4595F">
        <w:rPr>
          <w:rFonts w:ascii="Arial" w:hAnsi="Arial" w:cs="Arial"/>
          <w:bCs/>
          <w:sz w:val="24"/>
          <w:lang w:val="es-CO"/>
        </w:rPr>
        <w:t>En consideración a que el expediente se encuentra al despacho del Consejero Ponente para elaboración del fallo y no advirtiéndose causal de nulidad que pueda invalidar lo actuado, la Sala de Subsección C procede a desatar la alzada, previas las siguientes:</w:t>
      </w:r>
    </w:p>
    <w:p w:rsidR="00756FD6" w:rsidRPr="00D802F8" w:rsidRDefault="00756FD6" w:rsidP="0033547F">
      <w:pPr>
        <w:spacing w:line="360" w:lineRule="auto"/>
        <w:jc w:val="both"/>
        <w:rPr>
          <w:rFonts w:ascii="Arial" w:hAnsi="Arial" w:cs="Arial"/>
          <w:sz w:val="24"/>
          <w:lang w:val="es-CO"/>
        </w:rPr>
      </w:pPr>
    </w:p>
    <w:p w:rsidR="0033547F" w:rsidRDefault="0033547F" w:rsidP="0033547F">
      <w:pPr>
        <w:spacing w:line="360" w:lineRule="auto"/>
        <w:jc w:val="center"/>
        <w:rPr>
          <w:rFonts w:ascii="Arial" w:hAnsi="Arial" w:cs="Arial"/>
          <w:b/>
          <w:bCs/>
          <w:sz w:val="24"/>
          <w:szCs w:val="24"/>
        </w:rPr>
      </w:pPr>
      <w:r w:rsidRPr="003237DA">
        <w:rPr>
          <w:rFonts w:ascii="Arial" w:hAnsi="Arial" w:cs="Arial"/>
          <w:b/>
          <w:bCs/>
          <w:sz w:val="24"/>
          <w:szCs w:val="24"/>
        </w:rPr>
        <w:t>CONSIDERACIONES</w:t>
      </w:r>
    </w:p>
    <w:p w:rsidR="0033547F" w:rsidRPr="00997471" w:rsidRDefault="0033547F" w:rsidP="0033547F">
      <w:pPr>
        <w:spacing w:line="360" w:lineRule="auto"/>
        <w:jc w:val="both"/>
        <w:rPr>
          <w:rFonts w:ascii="Arial" w:hAnsi="Arial" w:cs="Arial"/>
          <w:bCs/>
          <w:sz w:val="24"/>
          <w:szCs w:val="24"/>
        </w:rPr>
      </w:pPr>
    </w:p>
    <w:p w:rsidR="00027EA5" w:rsidRDefault="0033547F" w:rsidP="0033547F">
      <w:pPr>
        <w:spacing w:line="360" w:lineRule="auto"/>
        <w:jc w:val="both"/>
        <w:rPr>
          <w:rFonts w:ascii="Arial" w:hAnsi="Arial" w:cs="Arial"/>
          <w:bCs/>
          <w:sz w:val="24"/>
          <w:szCs w:val="24"/>
        </w:rPr>
      </w:pPr>
      <w:r w:rsidRPr="00303ABA">
        <w:rPr>
          <w:rFonts w:ascii="Arial" w:hAnsi="Arial" w:cs="Arial"/>
          <w:bCs/>
          <w:sz w:val="24"/>
          <w:szCs w:val="24"/>
        </w:rPr>
        <w:t xml:space="preserve">Para resolver lo pertinente, la Sala, retomando la problemática jurídica propuesta por los actores, precisará el alcance de los conceptos adoptados como </w:t>
      </w:r>
      <w:r w:rsidRPr="00303ABA">
        <w:rPr>
          <w:rFonts w:ascii="Arial" w:hAnsi="Arial" w:cs="Arial"/>
          <w:bCs/>
          <w:i/>
          <w:sz w:val="24"/>
          <w:szCs w:val="24"/>
        </w:rPr>
        <w:t xml:space="preserve">ratio decidendi </w:t>
      </w:r>
      <w:r w:rsidRPr="00303ABA">
        <w:rPr>
          <w:rFonts w:ascii="Arial" w:hAnsi="Arial" w:cs="Arial"/>
          <w:bCs/>
          <w:sz w:val="24"/>
          <w:szCs w:val="24"/>
        </w:rPr>
        <w:t xml:space="preserve">para sustentar su decisión: </w:t>
      </w:r>
      <w:r w:rsidRPr="00303ABA">
        <w:rPr>
          <w:rFonts w:ascii="Arial" w:hAnsi="Arial" w:cs="Arial"/>
          <w:b/>
          <w:bCs/>
          <w:sz w:val="24"/>
          <w:szCs w:val="24"/>
        </w:rPr>
        <w:t>1.</w:t>
      </w:r>
      <w:r w:rsidRPr="00303ABA">
        <w:rPr>
          <w:rFonts w:ascii="Arial" w:hAnsi="Arial" w:cs="Arial"/>
          <w:bCs/>
          <w:sz w:val="24"/>
          <w:szCs w:val="24"/>
        </w:rPr>
        <w:t xml:space="preserve"> </w:t>
      </w:r>
      <w:r w:rsidR="00370F79">
        <w:rPr>
          <w:rFonts w:ascii="Arial" w:hAnsi="Arial" w:cs="Arial"/>
          <w:bCs/>
          <w:sz w:val="24"/>
          <w:szCs w:val="24"/>
        </w:rPr>
        <w:t>Distinción entre bienes de uso público y bienes fiscales</w:t>
      </w:r>
      <w:r w:rsidRPr="00303ABA">
        <w:rPr>
          <w:rFonts w:ascii="Arial" w:hAnsi="Arial" w:cs="Arial"/>
          <w:bCs/>
          <w:sz w:val="24"/>
          <w:szCs w:val="24"/>
        </w:rPr>
        <w:t xml:space="preserve">; </w:t>
      </w:r>
      <w:r w:rsidR="00370F79">
        <w:rPr>
          <w:rFonts w:ascii="Arial" w:hAnsi="Arial" w:cs="Arial"/>
          <w:b/>
          <w:bCs/>
          <w:sz w:val="24"/>
          <w:szCs w:val="24"/>
        </w:rPr>
        <w:t>2</w:t>
      </w:r>
      <w:r w:rsidRPr="00303ABA">
        <w:rPr>
          <w:rFonts w:ascii="Arial" w:hAnsi="Arial" w:cs="Arial"/>
          <w:b/>
          <w:bCs/>
          <w:sz w:val="24"/>
          <w:szCs w:val="24"/>
        </w:rPr>
        <w:t xml:space="preserve">. </w:t>
      </w:r>
      <w:r w:rsidR="00027EA5">
        <w:rPr>
          <w:rFonts w:ascii="Arial" w:hAnsi="Arial" w:cs="Arial"/>
          <w:bCs/>
          <w:sz w:val="24"/>
          <w:szCs w:val="24"/>
        </w:rPr>
        <w:t xml:space="preserve">Caducidad de la acción y </w:t>
      </w:r>
      <w:r w:rsidR="00027EA5">
        <w:rPr>
          <w:rFonts w:ascii="Arial" w:hAnsi="Arial" w:cs="Arial"/>
          <w:b/>
          <w:bCs/>
          <w:sz w:val="24"/>
          <w:szCs w:val="24"/>
        </w:rPr>
        <w:t xml:space="preserve">3. </w:t>
      </w:r>
      <w:r w:rsidR="00027EA5">
        <w:rPr>
          <w:rFonts w:ascii="Arial" w:hAnsi="Arial" w:cs="Arial"/>
          <w:bCs/>
          <w:sz w:val="24"/>
          <w:szCs w:val="24"/>
        </w:rPr>
        <w:t>Análisis del caso concreto.</w:t>
      </w:r>
    </w:p>
    <w:p w:rsidR="00027EA5" w:rsidRPr="00331952" w:rsidRDefault="00027EA5" w:rsidP="00027EA5">
      <w:pPr>
        <w:spacing w:line="360" w:lineRule="auto"/>
        <w:ind w:firstLine="708"/>
        <w:jc w:val="both"/>
        <w:rPr>
          <w:rFonts w:ascii="Arial" w:hAnsi="Arial" w:cs="Arial"/>
          <w:bCs/>
          <w:sz w:val="24"/>
          <w:szCs w:val="24"/>
        </w:rPr>
      </w:pPr>
    </w:p>
    <w:p w:rsidR="00027EA5" w:rsidRPr="00331952" w:rsidRDefault="00027EA5" w:rsidP="00027EA5">
      <w:pPr>
        <w:spacing w:line="360" w:lineRule="auto"/>
        <w:jc w:val="both"/>
        <w:rPr>
          <w:rFonts w:ascii="Arial" w:hAnsi="Arial" w:cs="Arial"/>
          <w:b/>
          <w:bCs/>
          <w:sz w:val="24"/>
          <w:szCs w:val="24"/>
        </w:rPr>
      </w:pPr>
      <w:r w:rsidRPr="00B93047">
        <w:rPr>
          <w:rFonts w:ascii="Arial" w:hAnsi="Arial" w:cs="Arial"/>
          <w:b/>
          <w:bCs/>
          <w:sz w:val="24"/>
          <w:szCs w:val="24"/>
        </w:rPr>
        <w:t xml:space="preserve">1. </w:t>
      </w:r>
      <w:r w:rsidR="00193B16" w:rsidRPr="00B93047">
        <w:rPr>
          <w:rFonts w:ascii="Arial" w:hAnsi="Arial" w:cs="Arial"/>
          <w:b/>
          <w:bCs/>
          <w:sz w:val="24"/>
          <w:szCs w:val="24"/>
        </w:rPr>
        <w:t>Distinción entre bienes de uso público y bienes fiscales</w:t>
      </w:r>
    </w:p>
    <w:p w:rsidR="00027EA5" w:rsidRPr="00331952" w:rsidRDefault="00027EA5" w:rsidP="00027EA5">
      <w:pPr>
        <w:spacing w:line="360" w:lineRule="auto"/>
        <w:jc w:val="both"/>
        <w:rPr>
          <w:rFonts w:ascii="Arial" w:hAnsi="Arial" w:cs="Arial"/>
          <w:b/>
          <w:bCs/>
          <w:sz w:val="24"/>
          <w:szCs w:val="24"/>
        </w:rPr>
      </w:pPr>
    </w:p>
    <w:p w:rsidR="00027EA5" w:rsidRPr="00331952" w:rsidRDefault="00AD1028" w:rsidP="00027EA5">
      <w:pPr>
        <w:spacing w:line="360" w:lineRule="auto"/>
        <w:jc w:val="both"/>
        <w:rPr>
          <w:rFonts w:ascii="Arial" w:hAnsi="Arial" w:cs="Arial"/>
          <w:bCs/>
          <w:sz w:val="24"/>
          <w:szCs w:val="24"/>
        </w:rPr>
      </w:pPr>
      <w:bookmarkStart w:id="1" w:name="_Hlk28011498"/>
      <w:r>
        <w:rPr>
          <w:rFonts w:ascii="Arial" w:hAnsi="Arial" w:cs="Arial"/>
          <w:bCs/>
          <w:sz w:val="24"/>
          <w:szCs w:val="24"/>
        </w:rPr>
        <w:t>E</w:t>
      </w:r>
      <w:r w:rsidR="00E75DBC">
        <w:rPr>
          <w:rFonts w:ascii="Arial" w:hAnsi="Arial" w:cs="Arial"/>
          <w:bCs/>
          <w:sz w:val="24"/>
          <w:szCs w:val="24"/>
        </w:rPr>
        <w:t>l artículo 63</w:t>
      </w:r>
      <w:r w:rsidR="00027EA5" w:rsidRPr="00331952">
        <w:rPr>
          <w:rFonts w:ascii="Arial" w:hAnsi="Arial" w:cs="Arial"/>
          <w:bCs/>
          <w:sz w:val="24"/>
          <w:szCs w:val="24"/>
        </w:rPr>
        <w:t xml:space="preserve"> de la </w:t>
      </w:r>
      <w:r w:rsidR="00E75DBC">
        <w:rPr>
          <w:rFonts w:ascii="Arial" w:hAnsi="Arial" w:cs="Arial"/>
          <w:bCs/>
          <w:sz w:val="24"/>
          <w:szCs w:val="24"/>
        </w:rPr>
        <w:t xml:space="preserve">Constitución Política </w:t>
      </w:r>
      <w:r w:rsidR="001E68F5">
        <w:rPr>
          <w:rFonts w:ascii="Arial" w:hAnsi="Arial" w:cs="Arial"/>
          <w:bCs/>
          <w:sz w:val="24"/>
          <w:szCs w:val="24"/>
        </w:rPr>
        <w:t>consagra</w:t>
      </w:r>
      <w:r w:rsidR="00027EA5" w:rsidRPr="00331952">
        <w:rPr>
          <w:rFonts w:ascii="Arial" w:hAnsi="Arial" w:cs="Arial"/>
          <w:bCs/>
          <w:sz w:val="24"/>
          <w:szCs w:val="24"/>
        </w:rPr>
        <w:t xml:space="preserve"> que </w:t>
      </w:r>
      <w:r w:rsidR="00027EA5" w:rsidRPr="00331952">
        <w:rPr>
          <w:rFonts w:ascii="Arial" w:hAnsi="Arial" w:cs="Arial"/>
          <w:bCs/>
          <w:i/>
          <w:sz w:val="24"/>
          <w:szCs w:val="24"/>
        </w:rPr>
        <w:t>“</w:t>
      </w:r>
      <w:r w:rsidR="00E75DBC">
        <w:rPr>
          <w:rFonts w:ascii="Arial" w:hAnsi="Arial" w:cs="Arial"/>
          <w:bCs/>
          <w:i/>
          <w:sz w:val="24"/>
          <w:szCs w:val="24"/>
        </w:rPr>
        <w:t>los bienes de uso público, los parques naturales, las tierras comunales de grupos étnicos, las tierras de resguardo, el patrimonio arqueológico de la Nación y los demás bienes que determine la ley, son inalienables, imprescriptibles e inembargables</w:t>
      </w:r>
      <w:r w:rsidR="00027EA5" w:rsidRPr="00331952">
        <w:rPr>
          <w:rFonts w:ascii="Arial" w:hAnsi="Arial" w:cs="Arial"/>
          <w:bCs/>
          <w:i/>
          <w:sz w:val="24"/>
          <w:szCs w:val="24"/>
        </w:rPr>
        <w:t>”</w:t>
      </w:r>
    </w:p>
    <w:bookmarkEnd w:id="1"/>
    <w:p w:rsidR="00027EA5" w:rsidRPr="00331952" w:rsidRDefault="00027EA5" w:rsidP="00027EA5">
      <w:pPr>
        <w:spacing w:line="360" w:lineRule="auto"/>
        <w:jc w:val="both"/>
        <w:rPr>
          <w:rFonts w:ascii="Arial" w:hAnsi="Arial" w:cs="Arial"/>
          <w:bCs/>
          <w:sz w:val="24"/>
          <w:szCs w:val="24"/>
        </w:rPr>
      </w:pPr>
    </w:p>
    <w:p w:rsidR="00027EA5" w:rsidRDefault="00027EA5" w:rsidP="00027EA5">
      <w:pPr>
        <w:spacing w:line="360" w:lineRule="auto"/>
        <w:jc w:val="both"/>
        <w:rPr>
          <w:rFonts w:ascii="Arial" w:hAnsi="Arial" w:cs="Arial"/>
          <w:bCs/>
          <w:sz w:val="24"/>
          <w:szCs w:val="24"/>
        </w:rPr>
      </w:pPr>
      <w:r w:rsidRPr="00331952">
        <w:rPr>
          <w:rFonts w:ascii="Arial" w:hAnsi="Arial" w:cs="Arial"/>
          <w:bCs/>
          <w:sz w:val="24"/>
          <w:szCs w:val="24"/>
        </w:rPr>
        <w:t>Por su parte,</w:t>
      </w:r>
      <w:r w:rsidR="002848E2">
        <w:rPr>
          <w:rFonts w:ascii="Arial" w:hAnsi="Arial" w:cs="Arial"/>
          <w:bCs/>
          <w:sz w:val="24"/>
          <w:szCs w:val="24"/>
        </w:rPr>
        <w:t xml:space="preserve"> los</w:t>
      </w:r>
      <w:r w:rsidRPr="00331952">
        <w:rPr>
          <w:rFonts w:ascii="Arial" w:hAnsi="Arial" w:cs="Arial"/>
          <w:bCs/>
          <w:sz w:val="24"/>
          <w:szCs w:val="24"/>
        </w:rPr>
        <w:t xml:space="preserve"> artículo</w:t>
      </w:r>
      <w:r w:rsidR="002848E2">
        <w:rPr>
          <w:rFonts w:ascii="Arial" w:hAnsi="Arial" w:cs="Arial"/>
          <w:bCs/>
          <w:sz w:val="24"/>
          <w:szCs w:val="24"/>
        </w:rPr>
        <w:t>s</w:t>
      </w:r>
      <w:r w:rsidRPr="00331952">
        <w:rPr>
          <w:rFonts w:ascii="Arial" w:hAnsi="Arial" w:cs="Arial"/>
          <w:bCs/>
          <w:sz w:val="24"/>
          <w:szCs w:val="24"/>
        </w:rPr>
        <w:t xml:space="preserve"> </w:t>
      </w:r>
      <w:r w:rsidR="002848E2">
        <w:rPr>
          <w:rFonts w:ascii="Arial" w:hAnsi="Arial" w:cs="Arial"/>
          <w:bCs/>
          <w:sz w:val="24"/>
          <w:szCs w:val="24"/>
        </w:rPr>
        <w:t>674 y 2519</w:t>
      </w:r>
      <w:r w:rsidRPr="00331952">
        <w:rPr>
          <w:rFonts w:ascii="Arial" w:hAnsi="Arial" w:cs="Arial"/>
          <w:bCs/>
          <w:sz w:val="24"/>
          <w:szCs w:val="24"/>
        </w:rPr>
        <w:t xml:space="preserve"> del Código </w:t>
      </w:r>
      <w:r w:rsidR="002848E2">
        <w:rPr>
          <w:rFonts w:ascii="Arial" w:hAnsi="Arial" w:cs="Arial"/>
          <w:bCs/>
          <w:sz w:val="24"/>
          <w:szCs w:val="24"/>
        </w:rPr>
        <w:t>Civil señalan</w:t>
      </w:r>
      <w:r w:rsidRPr="00331952">
        <w:rPr>
          <w:rFonts w:ascii="Arial" w:hAnsi="Arial" w:cs="Arial"/>
          <w:bCs/>
          <w:sz w:val="24"/>
          <w:szCs w:val="24"/>
        </w:rPr>
        <w:t xml:space="preserve"> </w:t>
      </w:r>
      <w:r w:rsidR="002848E2">
        <w:rPr>
          <w:rFonts w:ascii="Arial" w:hAnsi="Arial" w:cs="Arial"/>
          <w:bCs/>
          <w:sz w:val="24"/>
          <w:szCs w:val="24"/>
        </w:rPr>
        <w:t>lo siguiente:</w:t>
      </w:r>
    </w:p>
    <w:p w:rsidR="002848E2" w:rsidRPr="00294B2B" w:rsidRDefault="002848E2" w:rsidP="00027EA5">
      <w:pPr>
        <w:spacing w:line="360" w:lineRule="auto"/>
        <w:jc w:val="both"/>
        <w:rPr>
          <w:rFonts w:ascii="Arial" w:hAnsi="Arial" w:cs="Arial"/>
          <w:bCs/>
          <w:i/>
        </w:rPr>
      </w:pPr>
    </w:p>
    <w:p w:rsidR="00294B2B" w:rsidRPr="00653EA8" w:rsidRDefault="002848E2" w:rsidP="00653EA8">
      <w:pPr>
        <w:pStyle w:val="NormalWeb"/>
        <w:shd w:val="clear" w:color="auto" w:fill="FFFFFF"/>
        <w:spacing w:before="2" w:after="2"/>
        <w:jc w:val="both"/>
        <w:rPr>
          <w:rFonts w:ascii="Arial" w:hAnsi="Arial" w:cs="Arial"/>
          <w:i/>
          <w:color w:val="000000"/>
          <w:sz w:val="22"/>
          <w:szCs w:val="22"/>
          <w:lang w:val="es-ES" w:eastAsia="es-ES"/>
        </w:rPr>
      </w:pPr>
      <w:r w:rsidRPr="00653EA8">
        <w:rPr>
          <w:rFonts w:ascii="Arial" w:hAnsi="Arial" w:cs="Arial"/>
          <w:bCs/>
          <w:i/>
          <w:sz w:val="22"/>
          <w:szCs w:val="22"/>
        </w:rPr>
        <w:t xml:space="preserve">“Artículo 674. </w:t>
      </w:r>
      <w:r w:rsidRPr="00653EA8">
        <w:rPr>
          <w:rFonts w:ascii="Arial" w:hAnsi="Arial" w:cs="Arial"/>
          <w:b/>
          <w:bCs/>
          <w:i/>
          <w:sz w:val="22"/>
          <w:szCs w:val="22"/>
        </w:rPr>
        <w:t>BIENES PÚBLICOS Y DE USO PÚBLICO</w:t>
      </w:r>
      <w:r w:rsidRPr="00653EA8">
        <w:rPr>
          <w:rFonts w:ascii="Arial" w:hAnsi="Arial" w:cs="Arial"/>
          <w:bCs/>
          <w:i/>
          <w:sz w:val="22"/>
          <w:szCs w:val="22"/>
        </w:rPr>
        <w:t>:</w:t>
      </w:r>
      <w:r w:rsidR="00294B2B" w:rsidRPr="00653EA8">
        <w:rPr>
          <w:rFonts w:ascii="Arial" w:hAnsi="Arial" w:cs="Arial"/>
          <w:bCs/>
          <w:i/>
          <w:sz w:val="22"/>
          <w:szCs w:val="22"/>
        </w:rPr>
        <w:t xml:space="preserve"> </w:t>
      </w:r>
      <w:r w:rsidR="00294B2B" w:rsidRPr="00653EA8">
        <w:rPr>
          <w:rFonts w:ascii="Arial" w:hAnsi="Arial" w:cs="Arial"/>
          <w:i/>
          <w:color w:val="000000"/>
          <w:sz w:val="22"/>
          <w:szCs w:val="22"/>
          <w:lang w:val="es-ES" w:eastAsia="es-ES"/>
        </w:rPr>
        <w:t>Se llaman bienes de la Unión aquéllos cuyo dominio pertenece a la República.</w:t>
      </w:r>
    </w:p>
    <w:p w:rsidR="00294B2B" w:rsidRPr="00294B2B" w:rsidRDefault="00294B2B" w:rsidP="00653EA8">
      <w:pPr>
        <w:shd w:val="clear" w:color="auto" w:fill="FFFFFF"/>
        <w:spacing w:before="100" w:beforeAutospacing="1" w:after="100" w:afterAutospacing="1"/>
        <w:jc w:val="both"/>
        <w:rPr>
          <w:rFonts w:ascii="Arial" w:eastAsia="Times New Roman" w:hAnsi="Arial" w:cs="Arial"/>
          <w:i/>
          <w:color w:val="000000"/>
          <w:lang w:eastAsia="es-ES"/>
        </w:rPr>
      </w:pPr>
      <w:r w:rsidRPr="00294B2B">
        <w:rPr>
          <w:rFonts w:ascii="Arial" w:eastAsia="Times New Roman" w:hAnsi="Arial" w:cs="Arial"/>
          <w:i/>
          <w:color w:val="000000"/>
          <w:u w:val="single"/>
          <w:lang w:eastAsia="es-ES"/>
        </w:rPr>
        <w:t>Si además su uso pertenece a todos los habitantes de un territorio, como el de calles, plazas, puentes y caminos, se llaman bienes de la Unión de uso público o bienes públicos del territorio</w:t>
      </w:r>
      <w:r w:rsidRPr="00294B2B">
        <w:rPr>
          <w:rFonts w:ascii="Arial" w:eastAsia="Times New Roman" w:hAnsi="Arial" w:cs="Arial"/>
          <w:i/>
          <w:color w:val="000000"/>
          <w:lang w:eastAsia="es-ES"/>
        </w:rPr>
        <w:t>.</w:t>
      </w:r>
    </w:p>
    <w:p w:rsidR="00294B2B" w:rsidRPr="00653EA8" w:rsidRDefault="00294B2B" w:rsidP="00653EA8">
      <w:pPr>
        <w:shd w:val="clear" w:color="auto" w:fill="FFFFFF"/>
        <w:spacing w:before="100" w:beforeAutospacing="1" w:after="100" w:afterAutospacing="1"/>
        <w:jc w:val="both"/>
        <w:rPr>
          <w:rFonts w:ascii="Arial" w:eastAsia="Times New Roman" w:hAnsi="Arial" w:cs="Arial"/>
          <w:i/>
          <w:color w:val="000000"/>
          <w:lang w:eastAsia="es-ES"/>
        </w:rPr>
      </w:pPr>
      <w:r w:rsidRPr="00294B2B">
        <w:rPr>
          <w:rFonts w:ascii="Arial" w:eastAsia="Times New Roman" w:hAnsi="Arial" w:cs="Arial"/>
          <w:i/>
          <w:color w:val="000000"/>
          <w:u w:val="single"/>
          <w:lang w:eastAsia="es-ES"/>
        </w:rPr>
        <w:t>Los bienes de la Unión cuyo uso no pertenece generalmente a los habitantes, se llaman bienes de la Unión o bienes fiscales</w:t>
      </w:r>
      <w:r w:rsidRPr="00294B2B">
        <w:rPr>
          <w:rFonts w:ascii="Arial" w:eastAsia="Times New Roman" w:hAnsi="Arial" w:cs="Arial"/>
          <w:i/>
          <w:color w:val="000000"/>
          <w:lang w:eastAsia="es-ES"/>
        </w:rPr>
        <w:t>.</w:t>
      </w:r>
      <w:r w:rsidRPr="00653EA8">
        <w:rPr>
          <w:rFonts w:ascii="Arial" w:eastAsia="Times New Roman" w:hAnsi="Arial" w:cs="Arial"/>
          <w:i/>
          <w:color w:val="000000"/>
          <w:lang w:eastAsia="es-ES"/>
        </w:rPr>
        <w:t>” Subrayado fuera del texto original</w:t>
      </w:r>
    </w:p>
    <w:p w:rsidR="00294B2B" w:rsidRDefault="00294B2B" w:rsidP="00653EA8">
      <w:pPr>
        <w:shd w:val="clear" w:color="auto" w:fill="FFFFFF"/>
        <w:spacing w:before="100" w:beforeAutospacing="1" w:after="100" w:afterAutospacing="1"/>
        <w:jc w:val="both"/>
        <w:rPr>
          <w:rFonts w:ascii="Arial" w:hAnsi="Arial" w:cs="Arial"/>
          <w:color w:val="000000"/>
          <w:shd w:val="clear" w:color="auto" w:fill="FFFFFF"/>
        </w:rPr>
      </w:pPr>
      <w:r w:rsidRPr="00653EA8">
        <w:rPr>
          <w:rFonts w:ascii="Arial" w:eastAsia="Times New Roman" w:hAnsi="Arial" w:cs="Arial"/>
          <w:i/>
          <w:color w:val="000000"/>
          <w:lang w:eastAsia="es-ES"/>
        </w:rPr>
        <w:lastRenderedPageBreak/>
        <w:t xml:space="preserve">“Artículo 2519. </w:t>
      </w:r>
      <w:r w:rsidR="00653EA8" w:rsidRPr="00653EA8">
        <w:rPr>
          <w:rFonts w:ascii="Arial" w:hAnsi="Arial" w:cs="Arial"/>
          <w:b/>
          <w:bCs/>
          <w:i/>
          <w:color w:val="000000"/>
          <w:shd w:val="clear" w:color="auto" w:fill="FFFFFF"/>
        </w:rPr>
        <w:t>IMPRESCRIPTIBILIDAD DE LOS BIENES DE USO PÚBLICO.</w:t>
      </w:r>
      <w:r w:rsidR="00653EA8" w:rsidRPr="00653EA8">
        <w:rPr>
          <w:rStyle w:val="apple-converted-space"/>
          <w:rFonts w:ascii="Arial" w:hAnsi="Arial" w:cs="Arial"/>
          <w:i/>
          <w:color w:val="000000"/>
          <w:shd w:val="clear" w:color="auto" w:fill="FFFFFF"/>
        </w:rPr>
        <w:t> </w:t>
      </w:r>
      <w:r w:rsidR="00653EA8" w:rsidRPr="00653EA8">
        <w:rPr>
          <w:rFonts w:ascii="Arial" w:hAnsi="Arial" w:cs="Arial"/>
          <w:i/>
          <w:color w:val="000000"/>
          <w:shd w:val="clear" w:color="auto" w:fill="FFFFFF"/>
        </w:rPr>
        <w:t>Los bienes de uso público no se prescriben en ningún caso.</w:t>
      </w:r>
      <w:r w:rsidR="00653EA8">
        <w:rPr>
          <w:rFonts w:ascii="Arial" w:hAnsi="Arial" w:cs="Arial"/>
          <w:i/>
          <w:color w:val="000000"/>
          <w:shd w:val="clear" w:color="auto" w:fill="FFFFFF"/>
        </w:rPr>
        <w:t>”</w:t>
      </w:r>
    </w:p>
    <w:p w:rsidR="00027EA5" w:rsidRPr="00331952" w:rsidRDefault="00027EA5" w:rsidP="005946BB">
      <w:pPr>
        <w:spacing w:line="360" w:lineRule="auto"/>
        <w:jc w:val="both"/>
        <w:rPr>
          <w:rFonts w:ascii="Arial" w:hAnsi="Arial" w:cs="Arial"/>
          <w:bCs/>
          <w:sz w:val="24"/>
          <w:szCs w:val="24"/>
        </w:rPr>
      </w:pPr>
    </w:p>
    <w:p w:rsidR="006D3698" w:rsidRPr="00297C79" w:rsidRDefault="006D3698" w:rsidP="00027EA5">
      <w:pPr>
        <w:spacing w:line="360" w:lineRule="auto"/>
        <w:jc w:val="both"/>
        <w:rPr>
          <w:rFonts w:ascii="Arial" w:hAnsi="Arial" w:cs="Arial"/>
          <w:bCs/>
          <w:i/>
          <w:sz w:val="24"/>
          <w:szCs w:val="24"/>
        </w:rPr>
      </w:pPr>
      <w:r w:rsidRPr="00297C79">
        <w:rPr>
          <w:rFonts w:ascii="Arial" w:hAnsi="Arial" w:cs="Arial"/>
          <w:bCs/>
          <w:sz w:val="24"/>
          <w:szCs w:val="24"/>
        </w:rPr>
        <w:t>Po</w:t>
      </w:r>
      <w:r w:rsidR="002516E1" w:rsidRPr="00297C79">
        <w:rPr>
          <w:rFonts w:ascii="Arial" w:hAnsi="Arial" w:cs="Arial"/>
          <w:bCs/>
          <w:sz w:val="24"/>
          <w:szCs w:val="24"/>
        </w:rPr>
        <w:t>r su parte, la Corte Constitucional</w:t>
      </w:r>
      <w:r w:rsidR="0078396F" w:rsidRPr="00297C79">
        <w:rPr>
          <w:rStyle w:val="Refdenotaalpie"/>
          <w:rFonts w:ascii="Arial" w:hAnsi="Arial" w:cs="Arial"/>
          <w:bCs/>
          <w:sz w:val="24"/>
          <w:szCs w:val="24"/>
        </w:rPr>
        <w:footnoteReference w:id="6"/>
      </w:r>
      <w:r w:rsidR="000F42DC" w:rsidRPr="00297C79">
        <w:rPr>
          <w:rFonts w:ascii="Arial" w:hAnsi="Arial" w:cs="Arial"/>
          <w:bCs/>
          <w:sz w:val="24"/>
          <w:szCs w:val="24"/>
        </w:rPr>
        <w:t>, ha dicho</w:t>
      </w:r>
      <w:r w:rsidR="000B2629" w:rsidRPr="00297C79">
        <w:rPr>
          <w:rFonts w:ascii="Arial" w:hAnsi="Arial" w:cs="Arial"/>
          <w:bCs/>
          <w:sz w:val="24"/>
          <w:szCs w:val="24"/>
        </w:rPr>
        <w:t xml:space="preserve"> sobre </w:t>
      </w:r>
      <w:r w:rsidR="0037380E" w:rsidRPr="00297C79">
        <w:rPr>
          <w:rFonts w:ascii="Arial" w:hAnsi="Arial" w:cs="Arial"/>
          <w:bCs/>
          <w:sz w:val="24"/>
          <w:szCs w:val="24"/>
        </w:rPr>
        <w:t xml:space="preserve">las características de </w:t>
      </w:r>
      <w:r w:rsidR="000B2629" w:rsidRPr="00297C79">
        <w:rPr>
          <w:rFonts w:ascii="Arial" w:hAnsi="Arial" w:cs="Arial"/>
          <w:bCs/>
          <w:sz w:val="24"/>
          <w:szCs w:val="24"/>
        </w:rPr>
        <w:t>los bienes de uso público</w:t>
      </w:r>
      <w:r w:rsidR="0037380E" w:rsidRPr="00297C79">
        <w:rPr>
          <w:rFonts w:ascii="Arial" w:hAnsi="Arial" w:cs="Arial"/>
          <w:bCs/>
          <w:sz w:val="24"/>
          <w:szCs w:val="24"/>
        </w:rPr>
        <w:t xml:space="preserve"> lo siguiente:</w:t>
      </w:r>
      <w:r w:rsidR="009611F7" w:rsidRPr="00297C79">
        <w:rPr>
          <w:rFonts w:ascii="Arial" w:hAnsi="Arial" w:cs="Arial"/>
          <w:bCs/>
          <w:sz w:val="24"/>
          <w:szCs w:val="24"/>
        </w:rPr>
        <w:t xml:space="preserve"> </w:t>
      </w:r>
      <w:r w:rsidR="009611F7" w:rsidRPr="00297C79">
        <w:rPr>
          <w:rFonts w:ascii="Arial" w:hAnsi="Arial" w:cs="Arial"/>
          <w:bCs/>
          <w:i/>
          <w:sz w:val="24"/>
          <w:szCs w:val="24"/>
        </w:rPr>
        <w:t xml:space="preserve">“La Nación es titular de los bienes de uso público por ministerio de la ley y mandato de la Constitución. Ese derecho real institucional </w:t>
      </w:r>
      <w:r w:rsidR="00C61985" w:rsidRPr="00297C79">
        <w:rPr>
          <w:rFonts w:ascii="Arial" w:hAnsi="Arial" w:cs="Arial"/>
          <w:bCs/>
          <w:i/>
          <w:sz w:val="24"/>
          <w:szCs w:val="24"/>
        </w:rPr>
        <w:t xml:space="preserve">no se ubica dentro de la propiedad privada </w:t>
      </w:r>
      <w:r w:rsidR="00121E06" w:rsidRPr="00297C79">
        <w:rPr>
          <w:rFonts w:ascii="Arial" w:hAnsi="Arial" w:cs="Arial"/>
          <w:bCs/>
          <w:i/>
          <w:sz w:val="24"/>
          <w:szCs w:val="24"/>
        </w:rPr>
        <w:t>respaldada en el artículo 58 de la Constitución</w:t>
      </w:r>
      <w:r w:rsidR="00D42BEA" w:rsidRPr="00297C79">
        <w:rPr>
          <w:rFonts w:ascii="Arial" w:hAnsi="Arial" w:cs="Arial"/>
          <w:bCs/>
          <w:i/>
          <w:sz w:val="24"/>
          <w:szCs w:val="24"/>
        </w:rPr>
        <w:t>, sino</w:t>
      </w:r>
      <w:r w:rsidR="00055A26" w:rsidRPr="00297C79">
        <w:rPr>
          <w:rFonts w:ascii="Arial" w:hAnsi="Arial" w:cs="Arial"/>
          <w:bCs/>
          <w:i/>
          <w:sz w:val="24"/>
          <w:szCs w:val="24"/>
        </w:rPr>
        <w:t xml:space="preserve"> que es otra forma de propiedad, un dominio público fundamentado en el artículo 63 de la Carta…</w:t>
      </w:r>
      <w:r w:rsidR="00FA306F" w:rsidRPr="00297C79">
        <w:rPr>
          <w:rFonts w:ascii="Arial" w:hAnsi="Arial" w:cs="Arial"/>
          <w:bCs/>
          <w:i/>
          <w:sz w:val="24"/>
          <w:szCs w:val="24"/>
        </w:rPr>
        <w:t>”</w:t>
      </w:r>
    </w:p>
    <w:p w:rsidR="00FA306F" w:rsidRPr="00297C79" w:rsidRDefault="00FA306F" w:rsidP="00027EA5">
      <w:pPr>
        <w:spacing w:line="360" w:lineRule="auto"/>
        <w:jc w:val="both"/>
        <w:rPr>
          <w:rFonts w:ascii="Arial" w:hAnsi="Arial" w:cs="Arial"/>
          <w:bCs/>
          <w:i/>
          <w:sz w:val="24"/>
          <w:szCs w:val="24"/>
        </w:rPr>
      </w:pPr>
    </w:p>
    <w:p w:rsidR="009611F7" w:rsidRPr="00297C79" w:rsidRDefault="00FA306F" w:rsidP="00027EA5">
      <w:pPr>
        <w:spacing w:line="360" w:lineRule="auto"/>
        <w:jc w:val="both"/>
        <w:rPr>
          <w:rFonts w:ascii="Arial" w:hAnsi="Arial" w:cs="Arial"/>
          <w:bCs/>
          <w:i/>
          <w:sz w:val="24"/>
          <w:szCs w:val="24"/>
        </w:rPr>
      </w:pPr>
      <w:r w:rsidRPr="00297C79">
        <w:rPr>
          <w:rFonts w:ascii="Arial" w:hAnsi="Arial" w:cs="Arial"/>
          <w:bCs/>
          <w:i/>
          <w:sz w:val="24"/>
          <w:szCs w:val="24"/>
        </w:rPr>
        <w:t>(…)</w:t>
      </w:r>
      <w:r w:rsidR="000A019E" w:rsidRPr="00297C79">
        <w:rPr>
          <w:rFonts w:ascii="Arial" w:hAnsi="Arial" w:cs="Arial"/>
          <w:bCs/>
          <w:i/>
          <w:sz w:val="24"/>
          <w:szCs w:val="24"/>
        </w:rPr>
        <w:t xml:space="preserve">Según la Corte, los bienes de dominio público </w:t>
      </w:r>
      <w:r w:rsidR="003D5FD8" w:rsidRPr="00297C79">
        <w:rPr>
          <w:rFonts w:ascii="Arial" w:hAnsi="Arial" w:cs="Arial"/>
          <w:bCs/>
          <w:i/>
          <w:sz w:val="24"/>
          <w:szCs w:val="24"/>
        </w:rPr>
        <w:t xml:space="preserve">se distinguen </w:t>
      </w:r>
      <w:r w:rsidR="0007423A" w:rsidRPr="00297C79">
        <w:rPr>
          <w:rFonts w:ascii="Arial" w:hAnsi="Arial" w:cs="Arial"/>
          <w:bCs/>
          <w:i/>
          <w:sz w:val="24"/>
          <w:szCs w:val="24"/>
        </w:rPr>
        <w:t>[</w:t>
      </w:r>
      <w:r w:rsidR="003D5FD8" w:rsidRPr="00297C79">
        <w:rPr>
          <w:rFonts w:ascii="Arial" w:hAnsi="Arial" w:cs="Arial"/>
          <w:bCs/>
          <w:i/>
          <w:sz w:val="24"/>
          <w:szCs w:val="24"/>
        </w:rPr>
        <w:t>por su afectación al dominio p</w:t>
      </w:r>
      <w:r w:rsidR="0079101B" w:rsidRPr="00297C79">
        <w:rPr>
          <w:rFonts w:ascii="Arial" w:hAnsi="Arial" w:cs="Arial"/>
          <w:bCs/>
          <w:i/>
          <w:sz w:val="24"/>
          <w:szCs w:val="24"/>
        </w:rPr>
        <w:t>úblico</w:t>
      </w:r>
      <w:r w:rsidR="003D5FD8" w:rsidRPr="00297C79">
        <w:rPr>
          <w:rFonts w:ascii="Arial" w:hAnsi="Arial" w:cs="Arial"/>
          <w:bCs/>
          <w:i/>
          <w:sz w:val="24"/>
          <w:szCs w:val="24"/>
        </w:rPr>
        <w:t xml:space="preserve">, por motivos de interés general </w:t>
      </w:r>
      <w:r w:rsidR="002034DF" w:rsidRPr="00297C79">
        <w:rPr>
          <w:rFonts w:ascii="Arial" w:hAnsi="Arial" w:cs="Arial"/>
          <w:bCs/>
          <w:i/>
          <w:sz w:val="24"/>
          <w:szCs w:val="24"/>
        </w:rPr>
        <w:t>(art. 1. C.P.)</w:t>
      </w:r>
      <w:r w:rsidR="00F85D8D" w:rsidRPr="00297C79">
        <w:rPr>
          <w:rFonts w:ascii="Arial" w:hAnsi="Arial" w:cs="Arial"/>
          <w:bCs/>
          <w:i/>
          <w:sz w:val="24"/>
          <w:szCs w:val="24"/>
        </w:rPr>
        <w:t xml:space="preserve">, relacionados con la riqueza </w:t>
      </w:r>
      <w:r w:rsidR="00A516E9" w:rsidRPr="00297C79">
        <w:rPr>
          <w:rFonts w:ascii="Arial" w:hAnsi="Arial" w:cs="Arial"/>
          <w:bCs/>
          <w:i/>
          <w:sz w:val="24"/>
          <w:szCs w:val="24"/>
        </w:rPr>
        <w:t>cultural nacional, el uso público y el espacio público</w:t>
      </w:r>
      <w:r w:rsidR="0007423A" w:rsidRPr="00297C79">
        <w:rPr>
          <w:rFonts w:ascii="Arial" w:hAnsi="Arial" w:cs="Arial"/>
          <w:bCs/>
          <w:i/>
          <w:sz w:val="24"/>
          <w:szCs w:val="24"/>
        </w:rPr>
        <w:t>]</w:t>
      </w:r>
      <w:r w:rsidR="00A516E9" w:rsidRPr="00297C79">
        <w:rPr>
          <w:rFonts w:ascii="Arial" w:hAnsi="Arial" w:cs="Arial"/>
          <w:bCs/>
          <w:i/>
          <w:sz w:val="24"/>
          <w:szCs w:val="24"/>
        </w:rPr>
        <w:t>.</w:t>
      </w:r>
      <w:r w:rsidR="0007423A" w:rsidRPr="00297C79">
        <w:rPr>
          <w:rFonts w:ascii="Arial" w:hAnsi="Arial" w:cs="Arial"/>
          <w:bCs/>
          <w:i/>
          <w:sz w:val="24"/>
          <w:szCs w:val="24"/>
        </w:rPr>
        <w:t xml:space="preserve"> En particular</w:t>
      </w:r>
      <w:r w:rsidR="009F4A55" w:rsidRPr="00297C79">
        <w:rPr>
          <w:rFonts w:ascii="Arial" w:hAnsi="Arial" w:cs="Arial"/>
          <w:bCs/>
          <w:i/>
          <w:sz w:val="24"/>
          <w:szCs w:val="24"/>
        </w:rPr>
        <w:t xml:space="preserve">, sobre los bienes de uso público, la Corte señaló en esa misma sentencia </w:t>
      </w:r>
      <w:r w:rsidR="00F26D1A" w:rsidRPr="00297C79">
        <w:rPr>
          <w:rFonts w:ascii="Arial" w:hAnsi="Arial" w:cs="Arial"/>
          <w:bCs/>
          <w:i/>
          <w:sz w:val="24"/>
          <w:szCs w:val="24"/>
        </w:rPr>
        <w:t xml:space="preserve">que estos son: </w:t>
      </w:r>
    </w:p>
    <w:p w:rsidR="009310EC" w:rsidRPr="00297C79" w:rsidRDefault="009310EC" w:rsidP="00027EA5">
      <w:pPr>
        <w:spacing w:line="360" w:lineRule="auto"/>
        <w:jc w:val="both"/>
        <w:rPr>
          <w:rFonts w:ascii="Arial" w:hAnsi="Arial" w:cs="Arial"/>
          <w:bCs/>
          <w:i/>
          <w:sz w:val="24"/>
          <w:szCs w:val="24"/>
        </w:rPr>
      </w:pPr>
    </w:p>
    <w:p w:rsidR="00F26D1A" w:rsidRPr="00297C79" w:rsidRDefault="00F26D1A" w:rsidP="00027EA5">
      <w:pPr>
        <w:spacing w:line="360" w:lineRule="auto"/>
        <w:jc w:val="both"/>
        <w:rPr>
          <w:rFonts w:ascii="Arial" w:hAnsi="Arial" w:cs="Arial"/>
          <w:bCs/>
          <w:i/>
          <w:sz w:val="24"/>
          <w:szCs w:val="24"/>
        </w:rPr>
      </w:pPr>
      <w:r w:rsidRPr="00297C79">
        <w:rPr>
          <w:rFonts w:ascii="Arial" w:hAnsi="Arial" w:cs="Arial"/>
          <w:bCs/>
          <w:i/>
          <w:sz w:val="24"/>
          <w:szCs w:val="24"/>
        </w:rPr>
        <w:t>[</w:t>
      </w:r>
      <w:r w:rsidR="009310EC" w:rsidRPr="00297C79">
        <w:rPr>
          <w:rFonts w:ascii="Arial" w:hAnsi="Arial" w:cs="Arial"/>
          <w:bCs/>
          <w:i/>
          <w:sz w:val="24"/>
          <w:szCs w:val="24"/>
        </w:rPr>
        <w:t xml:space="preserve">a. </w:t>
      </w:r>
      <w:r w:rsidRPr="00297C79">
        <w:rPr>
          <w:rFonts w:ascii="Arial" w:hAnsi="Arial" w:cs="Arial"/>
          <w:bCs/>
          <w:i/>
          <w:sz w:val="24"/>
          <w:szCs w:val="24"/>
        </w:rPr>
        <w:t>Inalienables: significa que no se pueden negociar, esto es, vender, donar, permutar, etc.</w:t>
      </w:r>
    </w:p>
    <w:p w:rsidR="009310EC" w:rsidRPr="00297C79" w:rsidRDefault="009310EC" w:rsidP="00027EA5">
      <w:pPr>
        <w:spacing w:line="360" w:lineRule="auto"/>
        <w:jc w:val="both"/>
        <w:rPr>
          <w:rFonts w:ascii="Arial" w:hAnsi="Arial" w:cs="Arial"/>
          <w:bCs/>
          <w:i/>
          <w:sz w:val="24"/>
          <w:szCs w:val="24"/>
        </w:rPr>
      </w:pPr>
      <w:r w:rsidRPr="00297C79">
        <w:rPr>
          <w:rFonts w:ascii="Arial" w:hAnsi="Arial" w:cs="Arial"/>
          <w:bCs/>
          <w:i/>
          <w:sz w:val="24"/>
          <w:szCs w:val="24"/>
        </w:rPr>
        <w:t xml:space="preserve">b. </w:t>
      </w:r>
      <w:r w:rsidR="00B77300" w:rsidRPr="00297C79">
        <w:rPr>
          <w:rFonts w:ascii="Arial" w:hAnsi="Arial" w:cs="Arial"/>
          <w:bCs/>
          <w:i/>
          <w:sz w:val="24"/>
          <w:szCs w:val="24"/>
        </w:rPr>
        <w:t xml:space="preserve">Inembargables: esta característica se desprende de la anterior, pues los bienes de las entidades administrativas no pueden ser objeto </w:t>
      </w:r>
      <w:r w:rsidR="00D12FB9" w:rsidRPr="00297C79">
        <w:rPr>
          <w:rFonts w:ascii="Arial" w:hAnsi="Arial" w:cs="Arial"/>
          <w:bCs/>
          <w:i/>
          <w:sz w:val="24"/>
          <w:szCs w:val="24"/>
        </w:rPr>
        <w:t>de gravámenes hipotecarios, embargos o apremios.</w:t>
      </w:r>
    </w:p>
    <w:p w:rsidR="00554675" w:rsidRPr="00297C79" w:rsidRDefault="00554675" w:rsidP="00027EA5">
      <w:pPr>
        <w:spacing w:line="360" w:lineRule="auto"/>
        <w:jc w:val="both"/>
        <w:rPr>
          <w:rFonts w:ascii="Arial" w:hAnsi="Arial" w:cs="Arial"/>
          <w:bCs/>
          <w:i/>
          <w:sz w:val="24"/>
          <w:szCs w:val="24"/>
        </w:rPr>
      </w:pPr>
      <w:r w:rsidRPr="00297C79">
        <w:rPr>
          <w:rFonts w:ascii="Arial" w:hAnsi="Arial" w:cs="Arial"/>
          <w:bCs/>
          <w:i/>
          <w:sz w:val="24"/>
          <w:szCs w:val="24"/>
        </w:rPr>
        <w:t xml:space="preserve">c. imprescriptibles: la defensa de la integridad del dominio público </w:t>
      </w:r>
      <w:r w:rsidR="00BF6AA0" w:rsidRPr="00297C79">
        <w:rPr>
          <w:rFonts w:ascii="Arial" w:hAnsi="Arial" w:cs="Arial"/>
          <w:bCs/>
          <w:i/>
          <w:sz w:val="24"/>
          <w:szCs w:val="24"/>
        </w:rPr>
        <w:t>frente a usurpaciones de los particulares, que, aplicándoles el régimen com</w:t>
      </w:r>
      <w:r w:rsidR="005E3057" w:rsidRPr="00297C79">
        <w:rPr>
          <w:rFonts w:ascii="Arial" w:hAnsi="Arial" w:cs="Arial"/>
          <w:bCs/>
          <w:i/>
          <w:sz w:val="24"/>
          <w:szCs w:val="24"/>
        </w:rPr>
        <w:t>ún</w:t>
      </w:r>
      <w:r w:rsidR="00BF6AA0" w:rsidRPr="00297C79">
        <w:rPr>
          <w:rFonts w:ascii="Arial" w:hAnsi="Arial" w:cs="Arial"/>
          <w:bCs/>
          <w:i/>
          <w:sz w:val="24"/>
          <w:szCs w:val="24"/>
        </w:rPr>
        <w:t>, terminarían por imponer</w:t>
      </w:r>
      <w:r w:rsidR="00622D2D" w:rsidRPr="00297C79">
        <w:rPr>
          <w:rFonts w:ascii="Arial" w:hAnsi="Arial" w:cs="Arial"/>
          <w:bCs/>
          <w:i/>
          <w:sz w:val="24"/>
          <w:szCs w:val="24"/>
        </w:rPr>
        <w:t>se por el transcurso del tiempo, se ha intentado encontrar, en todas las épocas, con la formulación del dogma de la impr</w:t>
      </w:r>
      <w:r w:rsidR="005E3057" w:rsidRPr="00297C79">
        <w:rPr>
          <w:rFonts w:ascii="Arial" w:hAnsi="Arial" w:cs="Arial"/>
          <w:bCs/>
          <w:i/>
          <w:sz w:val="24"/>
          <w:szCs w:val="24"/>
        </w:rPr>
        <w:t>escriptibilidad de tales bienes</w:t>
      </w:r>
      <w:r w:rsidR="00334A6F" w:rsidRPr="00297C79">
        <w:rPr>
          <w:rFonts w:ascii="Arial" w:hAnsi="Arial" w:cs="Arial"/>
          <w:bCs/>
          <w:i/>
          <w:sz w:val="24"/>
          <w:szCs w:val="24"/>
        </w:rPr>
        <w:t xml:space="preserve">. Es contrario a la lógica que bienes que están destinados al uso público de los habitantes puedan ser asiento </w:t>
      </w:r>
      <w:r w:rsidR="00865242" w:rsidRPr="00297C79">
        <w:rPr>
          <w:rFonts w:ascii="Arial" w:hAnsi="Arial" w:cs="Arial"/>
          <w:bCs/>
          <w:i/>
          <w:sz w:val="24"/>
          <w:szCs w:val="24"/>
        </w:rPr>
        <w:t>de derechos privados, es decir, que al lado del uso público pueda prosperar la propiedad particular de alguno o algunos de los asociados.”</w:t>
      </w:r>
    </w:p>
    <w:p w:rsidR="00CB3BAD" w:rsidRPr="00297C79" w:rsidRDefault="00CB3BAD" w:rsidP="00027EA5">
      <w:pPr>
        <w:spacing w:line="360" w:lineRule="auto"/>
        <w:jc w:val="both"/>
        <w:rPr>
          <w:rFonts w:ascii="Arial" w:hAnsi="Arial" w:cs="Arial"/>
          <w:bCs/>
          <w:i/>
          <w:sz w:val="24"/>
          <w:szCs w:val="24"/>
        </w:rPr>
      </w:pPr>
    </w:p>
    <w:p w:rsidR="000927E0" w:rsidRPr="00297C79" w:rsidRDefault="00D34AAF" w:rsidP="000927E0">
      <w:pPr>
        <w:spacing w:line="360" w:lineRule="auto"/>
        <w:jc w:val="both"/>
        <w:rPr>
          <w:rFonts w:ascii="Arial" w:hAnsi="Arial" w:cs="Arial"/>
          <w:bCs/>
          <w:sz w:val="24"/>
          <w:szCs w:val="24"/>
        </w:rPr>
      </w:pPr>
      <w:r w:rsidRPr="00297C79">
        <w:rPr>
          <w:rFonts w:ascii="Arial" w:hAnsi="Arial" w:cs="Arial"/>
          <w:bCs/>
          <w:sz w:val="24"/>
          <w:szCs w:val="24"/>
        </w:rPr>
        <w:t>A su turno, El Consejo de Estado</w:t>
      </w:r>
      <w:r w:rsidR="00D567BC" w:rsidRPr="00297C79">
        <w:rPr>
          <w:rStyle w:val="Refdenotaalpie"/>
          <w:rFonts w:ascii="Arial" w:hAnsi="Arial" w:cs="Arial"/>
          <w:bCs/>
          <w:sz w:val="24"/>
          <w:szCs w:val="24"/>
        </w:rPr>
        <w:footnoteReference w:id="7"/>
      </w:r>
      <w:r w:rsidR="004610D0" w:rsidRPr="00297C79">
        <w:rPr>
          <w:rFonts w:ascii="Arial" w:hAnsi="Arial" w:cs="Arial"/>
          <w:bCs/>
          <w:sz w:val="24"/>
          <w:szCs w:val="24"/>
        </w:rPr>
        <w:t>, se encargó de clasificar</w:t>
      </w:r>
      <w:r w:rsidR="009E7515" w:rsidRPr="00297C79">
        <w:rPr>
          <w:rFonts w:ascii="Arial" w:hAnsi="Arial" w:cs="Arial"/>
          <w:bCs/>
          <w:sz w:val="24"/>
          <w:szCs w:val="24"/>
        </w:rPr>
        <w:t xml:space="preserve"> los bienes del Estado de la siguiente manera:</w:t>
      </w:r>
      <w:r w:rsidR="000927E0" w:rsidRPr="00297C79">
        <w:rPr>
          <w:rFonts w:ascii="Arial" w:hAnsi="Arial" w:cs="Arial"/>
          <w:bCs/>
          <w:sz w:val="24"/>
          <w:szCs w:val="24"/>
        </w:rPr>
        <w:t xml:space="preserve"> </w:t>
      </w:r>
    </w:p>
    <w:p w:rsidR="000927E0" w:rsidRPr="00297C79" w:rsidRDefault="000927E0" w:rsidP="000927E0">
      <w:pPr>
        <w:spacing w:line="360" w:lineRule="auto"/>
        <w:jc w:val="both"/>
        <w:rPr>
          <w:rFonts w:ascii="Arial" w:hAnsi="Arial" w:cs="Arial"/>
          <w:bCs/>
          <w:sz w:val="24"/>
          <w:szCs w:val="24"/>
        </w:rPr>
      </w:pPr>
    </w:p>
    <w:p w:rsidR="000927E0" w:rsidRPr="00297C79" w:rsidRDefault="000927E0" w:rsidP="000927E0">
      <w:pPr>
        <w:jc w:val="both"/>
        <w:rPr>
          <w:rFonts w:ascii="Arial" w:hAnsi="Arial" w:cs="Arial"/>
          <w:bCs/>
          <w:sz w:val="24"/>
          <w:szCs w:val="24"/>
        </w:rPr>
      </w:pPr>
      <w:r w:rsidRPr="00297C79">
        <w:rPr>
          <w:rFonts w:ascii="Arial" w:hAnsi="Arial" w:cs="Arial"/>
          <w:bCs/>
          <w:sz w:val="24"/>
          <w:szCs w:val="24"/>
        </w:rPr>
        <w:t>“</w:t>
      </w:r>
      <w:r w:rsidRPr="00297C79">
        <w:rPr>
          <w:rFonts w:ascii="Arial" w:eastAsia="Times New Roman" w:hAnsi="Arial" w:cs="Arial"/>
          <w:i/>
          <w:color w:val="000000"/>
          <w:lang w:val="es-CO" w:eastAsia="es-CO"/>
        </w:rPr>
        <w:t>Atendiendo a la doctrina en el área del derecho público, se tiene que los bienes del Estado, se consideran clasificados en bienes patrimoniales o fiscales del Estado y bienes de uso público.</w:t>
      </w:r>
    </w:p>
    <w:p w:rsidR="000927E0" w:rsidRPr="00297C79" w:rsidRDefault="000927E0" w:rsidP="000927E0">
      <w:pPr>
        <w:shd w:val="clear" w:color="auto" w:fill="FFFFFF"/>
        <w:jc w:val="both"/>
        <w:rPr>
          <w:rFonts w:ascii="Arial" w:eastAsia="Times New Roman" w:hAnsi="Arial" w:cs="Arial"/>
          <w:i/>
          <w:color w:val="000000"/>
          <w:lang w:val="es-CO" w:eastAsia="es-CO"/>
        </w:rPr>
      </w:pPr>
      <w:r w:rsidRPr="00297C79">
        <w:rPr>
          <w:rFonts w:ascii="Arial" w:eastAsia="Times New Roman" w:hAnsi="Arial" w:cs="Arial"/>
          <w:i/>
          <w:color w:val="000000"/>
          <w:lang w:val="es-CO" w:eastAsia="es-CO"/>
        </w:rPr>
        <w:lastRenderedPageBreak/>
        <w:t>Integran la categoría de "</w:t>
      </w:r>
      <w:r w:rsidRPr="00297C79">
        <w:rPr>
          <w:rFonts w:ascii="Arial" w:eastAsia="Times New Roman" w:hAnsi="Arial" w:cs="Arial"/>
          <w:i/>
          <w:iCs/>
          <w:color w:val="000000"/>
          <w:lang w:val="es-CO" w:eastAsia="es-CO"/>
        </w:rPr>
        <w:t>Bienes patrimoniales o fiscales del Estado", </w:t>
      </w:r>
      <w:r w:rsidRPr="00297C79">
        <w:rPr>
          <w:rFonts w:ascii="Arial" w:eastAsia="Times New Roman" w:hAnsi="Arial" w:cs="Arial"/>
          <w:i/>
          <w:color w:val="000000"/>
          <w:lang w:val="es-CO" w:eastAsia="es-CO"/>
        </w:rPr>
        <w:t>aquellos cuya titularidad corresponde siempre a una persona jurídica de derecho público de carácter nacional, departamental o municipal, y que sirven como medios necesarios para la prestación de las funciones y los servicios públicos.</w:t>
      </w:r>
    </w:p>
    <w:p w:rsidR="000927E0" w:rsidRPr="00297C79" w:rsidRDefault="000927E0" w:rsidP="000927E0">
      <w:pPr>
        <w:shd w:val="clear" w:color="auto" w:fill="FFFFFF"/>
        <w:jc w:val="both"/>
        <w:rPr>
          <w:rFonts w:ascii="Arial" w:eastAsia="Times New Roman" w:hAnsi="Arial" w:cs="Arial"/>
          <w:i/>
          <w:color w:val="000000"/>
          <w:lang w:val="es-CO" w:eastAsia="es-CO"/>
        </w:rPr>
      </w:pPr>
      <w:r w:rsidRPr="00297C79">
        <w:rPr>
          <w:rFonts w:ascii="Arial" w:eastAsia="Times New Roman" w:hAnsi="Arial" w:cs="Arial"/>
          <w:i/>
          <w:color w:val="000000"/>
          <w:lang w:val="es-CO" w:eastAsia="es-CO"/>
        </w:rPr>
        <w:t>Por su parte, los</w:t>
      </w:r>
      <w:r w:rsidRPr="00297C79">
        <w:rPr>
          <w:rFonts w:ascii="Arial" w:eastAsia="Times New Roman" w:hAnsi="Arial" w:cs="Arial"/>
          <w:i/>
          <w:iCs/>
          <w:color w:val="000000"/>
          <w:lang w:val="es-CO" w:eastAsia="es-CO"/>
        </w:rPr>
        <w:t> </w:t>
      </w:r>
      <w:r w:rsidRPr="00297C79">
        <w:rPr>
          <w:rFonts w:ascii="Arial" w:eastAsia="Times New Roman" w:hAnsi="Arial" w:cs="Arial"/>
          <w:i/>
          <w:color w:val="000000"/>
          <w:lang w:val="es-CO" w:eastAsia="es-CO"/>
        </w:rPr>
        <w:t>llamados</w:t>
      </w:r>
      <w:r w:rsidRPr="00297C79">
        <w:rPr>
          <w:rFonts w:ascii="Arial" w:eastAsia="Times New Roman" w:hAnsi="Arial" w:cs="Arial"/>
          <w:i/>
          <w:iCs/>
          <w:color w:val="000000"/>
          <w:lang w:val="es-CO" w:eastAsia="es-CO"/>
        </w:rPr>
        <w:t> "Bienes de uso público</w:t>
      </w:r>
      <w:r w:rsidRPr="00297C79">
        <w:rPr>
          <w:rFonts w:ascii="Arial" w:eastAsia="Times New Roman" w:hAnsi="Arial" w:cs="Arial"/>
          <w:i/>
          <w:color w:val="000000"/>
          <w:lang w:val="es-CO" w:eastAsia="es-CO"/>
        </w:rPr>
        <w:t>", cuyo</w:t>
      </w:r>
      <w:r w:rsidRPr="00297C79">
        <w:rPr>
          <w:rFonts w:ascii="Arial" w:eastAsia="Times New Roman" w:hAnsi="Arial" w:cs="Arial"/>
          <w:i/>
          <w:iCs/>
          <w:color w:val="000000"/>
          <w:lang w:val="es-CO" w:eastAsia="es-CO"/>
        </w:rPr>
        <w:t> </w:t>
      </w:r>
      <w:r w:rsidRPr="00297C79">
        <w:rPr>
          <w:rFonts w:ascii="Arial" w:eastAsia="Times New Roman" w:hAnsi="Arial" w:cs="Arial"/>
          <w:i/>
          <w:color w:val="000000"/>
          <w:lang w:val="es-CO" w:eastAsia="es-CO"/>
        </w:rPr>
        <w:t>soporte se encuentra en los artículos 63 y 72 de la Constitución Política, son aquellos cuya titularidad no radica en agencia estatal alguna, puesto que están destinados al uso y goce de todos los habitantes, son inalienables, imprescriptibles e inembargables.</w:t>
      </w:r>
    </w:p>
    <w:p w:rsidR="000927E0" w:rsidRPr="00297C79" w:rsidRDefault="000927E0" w:rsidP="000927E0">
      <w:pPr>
        <w:shd w:val="clear" w:color="auto" w:fill="FFFFFF"/>
        <w:jc w:val="both"/>
        <w:rPr>
          <w:rFonts w:ascii="Arial" w:eastAsia="Times New Roman" w:hAnsi="Arial" w:cs="Arial"/>
          <w:i/>
          <w:color w:val="000000"/>
          <w:lang w:val="es-CO" w:eastAsia="es-CO"/>
        </w:rPr>
      </w:pPr>
    </w:p>
    <w:p w:rsidR="000927E0" w:rsidRPr="00297C79" w:rsidRDefault="000927E0" w:rsidP="000927E0">
      <w:pPr>
        <w:shd w:val="clear" w:color="auto" w:fill="FFFFFF"/>
        <w:jc w:val="both"/>
        <w:rPr>
          <w:rFonts w:ascii="Arial" w:eastAsia="Times New Roman" w:hAnsi="Arial" w:cs="Arial"/>
          <w:i/>
          <w:color w:val="000000"/>
          <w:lang w:val="es-CO" w:eastAsia="es-CO"/>
        </w:rPr>
      </w:pPr>
      <w:r w:rsidRPr="00297C79">
        <w:rPr>
          <w:rFonts w:ascii="Arial" w:eastAsia="Times New Roman" w:hAnsi="Arial" w:cs="Arial"/>
          <w:i/>
          <w:color w:val="000000"/>
          <w:lang w:val="es-CO" w:eastAsia="es-CO"/>
        </w:rPr>
        <w:t>El derecho que tiene el Estado sobre los bienes, tanto "los patrimoniales" como "los bienes de uso público", ha sido considerado por la doctrina, como un derecho igual al de los particulares. No obstante, el derecho real de propiedad sobre algunos bienes de uso público, suspende las características propias de ser total, esto es, el </w:t>
      </w:r>
      <w:r w:rsidRPr="00297C79">
        <w:rPr>
          <w:rFonts w:ascii="Arial" w:eastAsia="Times New Roman" w:hAnsi="Arial" w:cs="Arial"/>
          <w:i/>
          <w:iCs/>
          <w:color w:val="000000"/>
          <w:lang w:val="es-CO" w:eastAsia="es-CO"/>
        </w:rPr>
        <w:t>ius utendi, el ius fruendi y el ius abutendi, </w:t>
      </w:r>
      <w:r w:rsidRPr="00297C79">
        <w:rPr>
          <w:rFonts w:ascii="Arial" w:eastAsia="Times New Roman" w:hAnsi="Arial" w:cs="Arial"/>
          <w:i/>
          <w:color w:val="000000"/>
          <w:lang w:val="es-CO" w:eastAsia="es-CO"/>
        </w:rPr>
        <w:t>pero se mantiene la persecución, la preferencia, rango y publicidad. En otros bienes de uso público, ese uso, goce y disposición del Estado lo ejerce por conducto de todos los habitantes, en razón a la misma naturaleza del bien, como el espacio aéreo.</w:t>
      </w:r>
    </w:p>
    <w:p w:rsidR="000927E0" w:rsidRPr="00297C79" w:rsidRDefault="000927E0" w:rsidP="000927E0">
      <w:pPr>
        <w:shd w:val="clear" w:color="auto" w:fill="FFFFFF"/>
        <w:jc w:val="both"/>
        <w:rPr>
          <w:rFonts w:ascii="Arial" w:eastAsia="Times New Roman" w:hAnsi="Arial" w:cs="Arial"/>
          <w:i/>
          <w:color w:val="000000"/>
          <w:lang w:val="es-CO" w:eastAsia="es-CO"/>
        </w:rPr>
      </w:pPr>
    </w:p>
    <w:p w:rsidR="000927E0" w:rsidRPr="00297C79" w:rsidRDefault="000927E0" w:rsidP="000927E0">
      <w:pPr>
        <w:shd w:val="clear" w:color="auto" w:fill="FFFFFF"/>
        <w:jc w:val="both"/>
        <w:rPr>
          <w:rFonts w:ascii="Arial" w:eastAsia="Times New Roman" w:hAnsi="Arial" w:cs="Arial"/>
          <w:i/>
          <w:color w:val="000000"/>
          <w:lang w:val="es-CO" w:eastAsia="es-CO"/>
        </w:rPr>
      </w:pPr>
      <w:r w:rsidRPr="00297C79">
        <w:rPr>
          <w:rFonts w:ascii="Arial" w:eastAsia="Times New Roman" w:hAnsi="Arial" w:cs="Arial"/>
          <w:i/>
          <w:color w:val="000000"/>
          <w:lang w:val="es-CO" w:eastAsia="es-CO"/>
        </w:rPr>
        <w:t>Se tiene entonces que si bien es cierto que sobre los bienes patrimoniales y fiscales el Estado detenta una propiedad similar a la del particular, se pone de relieve la existencia de los llamados bienes de uso público universal, esto es, aquellos que por su propia naturaleza no se pueden desafectar de su destino común para todos los habitantes, sobre los cuales no existe ninguna propiedad similar a la particular, y el Estado ni detenta derecho real sobre el mismo, ni puede otorgar un uso exclusivo para ningún sujeto. Aquí, según ha señalado la teoría clásica o tradicional, el Estado sólo tiene unos derechos de policía y de administración.</w:t>
      </w:r>
    </w:p>
    <w:p w:rsidR="000927E0" w:rsidRPr="00297C79" w:rsidRDefault="000927E0" w:rsidP="000927E0">
      <w:pPr>
        <w:shd w:val="clear" w:color="auto" w:fill="FFFFFF"/>
        <w:jc w:val="both"/>
        <w:rPr>
          <w:rFonts w:ascii="Arial" w:eastAsia="Times New Roman" w:hAnsi="Arial" w:cs="Arial"/>
          <w:i/>
          <w:color w:val="000000"/>
          <w:lang w:val="es-CO" w:eastAsia="es-CO"/>
        </w:rPr>
      </w:pPr>
    </w:p>
    <w:p w:rsidR="000927E0" w:rsidRPr="00297C79" w:rsidRDefault="000927E0" w:rsidP="000927E0">
      <w:pPr>
        <w:shd w:val="clear" w:color="auto" w:fill="FFFFFF"/>
        <w:jc w:val="both"/>
        <w:rPr>
          <w:rFonts w:ascii="Arial" w:eastAsia="Times New Roman" w:hAnsi="Arial" w:cs="Arial"/>
          <w:i/>
          <w:color w:val="000000"/>
          <w:lang w:val="es-CO" w:eastAsia="es-CO"/>
        </w:rPr>
      </w:pPr>
      <w:r w:rsidRPr="00297C79">
        <w:rPr>
          <w:rFonts w:ascii="Arial" w:eastAsia="Times New Roman" w:hAnsi="Arial" w:cs="Arial"/>
          <w:i/>
          <w:color w:val="000000"/>
          <w:lang w:val="es-CO" w:eastAsia="es-CO"/>
        </w:rPr>
        <w:t>Sin embargo, sobre otros bienes de uso público tales como las vías públicas y las plazas, existe la propiedad pública del Estado, en la cual éste tiene el uso de sus bienes que realiza por intermedio del público. Además de los poderes de policía y administrativos correspondientes, el Estado detenta, entonces, los derechos consagrados en la Ley para el propietario particular, generándose un derecho real que se encuentra en suspenso mientras el bien esté afecto al uso común.</w:t>
      </w:r>
    </w:p>
    <w:p w:rsidR="006D3698" w:rsidRPr="00297C79" w:rsidRDefault="006D3698" w:rsidP="00027EA5">
      <w:pPr>
        <w:spacing w:line="360" w:lineRule="auto"/>
        <w:jc w:val="both"/>
        <w:rPr>
          <w:rFonts w:ascii="Arial" w:hAnsi="Arial" w:cs="Arial"/>
          <w:bCs/>
          <w:sz w:val="24"/>
          <w:szCs w:val="24"/>
        </w:rPr>
      </w:pPr>
    </w:p>
    <w:p w:rsidR="00EA1203" w:rsidRPr="00297C79" w:rsidRDefault="00EA1203" w:rsidP="00027EA5">
      <w:pPr>
        <w:spacing w:line="360" w:lineRule="auto"/>
        <w:jc w:val="both"/>
        <w:rPr>
          <w:rFonts w:ascii="Arial" w:hAnsi="Arial" w:cs="Arial"/>
          <w:bCs/>
          <w:i/>
          <w:sz w:val="24"/>
          <w:szCs w:val="24"/>
        </w:rPr>
      </w:pPr>
      <w:r w:rsidRPr="00297C79">
        <w:rPr>
          <w:rFonts w:ascii="Arial" w:hAnsi="Arial" w:cs="Arial"/>
          <w:bCs/>
          <w:sz w:val="24"/>
          <w:szCs w:val="24"/>
        </w:rPr>
        <w:t xml:space="preserve">Ahora bien, </w:t>
      </w:r>
      <w:bookmarkStart w:id="2" w:name="_Hlk28011543"/>
      <w:r w:rsidRPr="00297C79">
        <w:rPr>
          <w:rFonts w:ascii="Arial" w:hAnsi="Arial" w:cs="Arial"/>
          <w:bCs/>
          <w:sz w:val="24"/>
          <w:szCs w:val="24"/>
        </w:rPr>
        <w:t>sobre la posibilidad de enajenar los bienes fiscales, el Consejo de Estado, Sección Primera, en sentencia de 12 de octubre de 1980 (Rad. 958) dijo:</w:t>
      </w:r>
      <w:r w:rsidR="003D1FEE" w:rsidRPr="00297C79">
        <w:rPr>
          <w:rFonts w:ascii="Arial" w:hAnsi="Arial" w:cs="Arial"/>
          <w:bCs/>
          <w:sz w:val="24"/>
          <w:szCs w:val="24"/>
        </w:rPr>
        <w:t xml:space="preserve"> “</w:t>
      </w:r>
      <w:r w:rsidR="003D1FEE" w:rsidRPr="00297C79">
        <w:rPr>
          <w:rFonts w:ascii="Arial" w:hAnsi="Arial" w:cs="Arial"/>
          <w:bCs/>
          <w:i/>
          <w:sz w:val="24"/>
          <w:szCs w:val="24"/>
        </w:rPr>
        <w:t>…Lo primero que debe decirse en relación al acuerdo demandado es que se dict</w:t>
      </w:r>
      <w:r w:rsidR="007A39DC" w:rsidRPr="00297C79">
        <w:rPr>
          <w:rFonts w:ascii="Arial" w:hAnsi="Arial" w:cs="Arial"/>
          <w:bCs/>
          <w:i/>
          <w:sz w:val="24"/>
          <w:szCs w:val="24"/>
        </w:rPr>
        <w:t xml:space="preserve">ó, sin lugar a dudas, en ejercicio de las facultades expresas que el artículo 197 de la Constitución Nacional le otorga a los concejos municipales para dar autorizaciones a los alcaldes en orden a enajenar </w:t>
      </w:r>
      <w:r w:rsidR="00EF0BE0" w:rsidRPr="00297C79">
        <w:rPr>
          <w:rFonts w:ascii="Arial" w:hAnsi="Arial" w:cs="Arial"/>
          <w:bCs/>
          <w:i/>
          <w:sz w:val="24"/>
          <w:szCs w:val="24"/>
        </w:rPr>
        <w:t>bienes municipales, facultad esta</w:t>
      </w:r>
      <w:r w:rsidR="001B228A" w:rsidRPr="00297C79">
        <w:rPr>
          <w:rFonts w:ascii="Arial" w:hAnsi="Arial" w:cs="Arial"/>
          <w:bCs/>
          <w:i/>
          <w:sz w:val="24"/>
          <w:szCs w:val="24"/>
        </w:rPr>
        <w:t xml:space="preserve"> que fue reproducida en el numeral 7 del artículo 92 del actual Código de </w:t>
      </w:r>
      <w:r w:rsidR="003C08DC" w:rsidRPr="00297C79">
        <w:rPr>
          <w:rFonts w:ascii="Arial" w:hAnsi="Arial" w:cs="Arial"/>
          <w:bCs/>
          <w:i/>
          <w:sz w:val="24"/>
          <w:szCs w:val="24"/>
        </w:rPr>
        <w:t>Régimen</w:t>
      </w:r>
      <w:r w:rsidR="00B80190" w:rsidRPr="00297C79">
        <w:rPr>
          <w:rFonts w:ascii="Arial" w:hAnsi="Arial" w:cs="Arial"/>
          <w:bCs/>
          <w:i/>
          <w:sz w:val="24"/>
          <w:szCs w:val="24"/>
        </w:rPr>
        <w:t xml:space="preserve"> Municipal</w:t>
      </w:r>
      <w:r w:rsidR="00EF0BE0" w:rsidRPr="00297C79">
        <w:rPr>
          <w:rFonts w:ascii="Arial" w:hAnsi="Arial" w:cs="Arial"/>
          <w:bCs/>
          <w:i/>
          <w:sz w:val="24"/>
          <w:szCs w:val="24"/>
        </w:rPr>
        <w:t xml:space="preserve"> </w:t>
      </w:r>
      <w:r w:rsidR="003C08DC" w:rsidRPr="00297C79">
        <w:rPr>
          <w:rFonts w:ascii="Arial" w:hAnsi="Arial" w:cs="Arial"/>
          <w:bCs/>
          <w:i/>
          <w:sz w:val="24"/>
          <w:szCs w:val="24"/>
        </w:rPr>
        <w:t>(Dcto. 1333 de 1986)</w:t>
      </w:r>
      <w:r w:rsidR="003D63BE" w:rsidRPr="00297C79">
        <w:rPr>
          <w:rFonts w:ascii="Arial" w:hAnsi="Arial" w:cs="Arial"/>
          <w:bCs/>
          <w:i/>
          <w:sz w:val="24"/>
          <w:szCs w:val="24"/>
        </w:rPr>
        <w:t xml:space="preserve">. </w:t>
      </w:r>
      <w:r w:rsidR="004A2465" w:rsidRPr="00297C79">
        <w:rPr>
          <w:rFonts w:ascii="Arial" w:hAnsi="Arial" w:cs="Arial"/>
          <w:bCs/>
          <w:i/>
          <w:sz w:val="24"/>
          <w:szCs w:val="24"/>
        </w:rPr>
        <w:t xml:space="preserve">Por manera que, </w:t>
      </w:r>
      <w:r w:rsidR="003D63BE" w:rsidRPr="00297C79">
        <w:rPr>
          <w:rFonts w:ascii="Arial" w:hAnsi="Arial" w:cs="Arial"/>
          <w:bCs/>
          <w:i/>
          <w:sz w:val="24"/>
          <w:szCs w:val="24"/>
        </w:rPr>
        <w:t>en principio</w:t>
      </w:r>
      <w:r w:rsidR="004A2465" w:rsidRPr="00297C79">
        <w:rPr>
          <w:rFonts w:ascii="Arial" w:hAnsi="Arial" w:cs="Arial"/>
          <w:bCs/>
          <w:i/>
          <w:sz w:val="24"/>
          <w:szCs w:val="24"/>
        </w:rPr>
        <w:t>, tratándose como se trata en el caso sub examine</w:t>
      </w:r>
      <w:r w:rsidR="00B90ACD" w:rsidRPr="00297C79">
        <w:rPr>
          <w:rFonts w:ascii="Arial" w:hAnsi="Arial" w:cs="Arial"/>
          <w:bCs/>
          <w:i/>
          <w:sz w:val="24"/>
          <w:szCs w:val="24"/>
        </w:rPr>
        <w:t xml:space="preserve"> de un bien inmueble municipal, el cabildo de Cali tenía la atribución constitucional y legal de conferir la autorización al alcalde para vender el lote al cual se refiere la demanda</w:t>
      </w:r>
      <w:r w:rsidR="001B156A" w:rsidRPr="00297C79">
        <w:rPr>
          <w:rFonts w:ascii="Arial" w:hAnsi="Arial" w:cs="Arial"/>
          <w:bCs/>
          <w:i/>
          <w:sz w:val="24"/>
          <w:szCs w:val="24"/>
        </w:rPr>
        <w:t>”.</w:t>
      </w:r>
      <w:r w:rsidR="004A2465" w:rsidRPr="00297C79">
        <w:rPr>
          <w:rFonts w:ascii="Arial" w:hAnsi="Arial" w:cs="Arial"/>
          <w:bCs/>
          <w:i/>
          <w:sz w:val="24"/>
          <w:szCs w:val="24"/>
        </w:rPr>
        <w:t xml:space="preserve"> </w:t>
      </w:r>
      <w:r w:rsidR="003D63BE" w:rsidRPr="00297C79">
        <w:rPr>
          <w:rFonts w:ascii="Arial" w:hAnsi="Arial" w:cs="Arial"/>
          <w:bCs/>
          <w:i/>
          <w:sz w:val="24"/>
          <w:szCs w:val="24"/>
        </w:rPr>
        <w:t xml:space="preserve"> </w:t>
      </w:r>
      <w:bookmarkEnd w:id="2"/>
    </w:p>
    <w:p w:rsidR="00EA1203" w:rsidRPr="00297C79" w:rsidRDefault="00EA1203" w:rsidP="00027EA5">
      <w:pPr>
        <w:spacing w:line="360" w:lineRule="auto"/>
        <w:jc w:val="both"/>
        <w:rPr>
          <w:rFonts w:ascii="Arial" w:hAnsi="Arial" w:cs="Arial"/>
          <w:bCs/>
          <w:sz w:val="24"/>
          <w:szCs w:val="24"/>
        </w:rPr>
      </w:pPr>
    </w:p>
    <w:p w:rsidR="00027EA5" w:rsidRPr="00297C79" w:rsidRDefault="00EF7ABB" w:rsidP="00027EA5">
      <w:pPr>
        <w:spacing w:line="360" w:lineRule="auto"/>
        <w:jc w:val="both"/>
        <w:rPr>
          <w:rFonts w:ascii="Arial" w:hAnsi="Arial" w:cs="Arial"/>
          <w:bCs/>
          <w:sz w:val="24"/>
          <w:szCs w:val="24"/>
        </w:rPr>
      </w:pPr>
      <w:r w:rsidRPr="00297C79">
        <w:rPr>
          <w:rFonts w:ascii="Arial" w:hAnsi="Arial" w:cs="Arial"/>
          <w:bCs/>
          <w:sz w:val="24"/>
          <w:szCs w:val="24"/>
        </w:rPr>
        <w:t>De lo anterior se deduce</w:t>
      </w:r>
      <w:r w:rsidR="00027EA5" w:rsidRPr="00297C79">
        <w:rPr>
          <w:rFonts w:ascii="Arial" w:hAnsi="Arial" w:cs="Arial"/>
          <w:bCs/>
          <w:sz w:val="24"/>
          <w:szCs w:val="24"/>
        </w:rPr>
        <w:t xml:space="preserve"> entonces</w:t>
      </w:r>
      <w:r w:rsidRPr="00297C79">
        <w:rPr>
          <w:rFonts w:ascii="Arial" w:hAnsi="Arial" w:cs="Arial"/>
          <w:bCs/>
          <w:sz w:val="24"/>
          <w:szCs w:val="24"/>
        </w:rPr>
        <w:t>,</w:t>
      </w:r>
      <w:r w:rsidR="00027EA5" w:rsidRPr="00297C79">
        <w:rPr>
          <w:rFonts w:ascii="Arial" w:hAnsi="Arial" w:cs="Arial"/>
          <w:bCs/>
          <w:sz w:val="24"/>
          <w:szCs w:val="24"/>
        </w:rPr>
        <w:t xml:space="preserve"> que </w:t>
      </w:r>
      <w:r w:rsidR="00FF1921" w:rsidRPr="00297C79">
        <w:rPr>
          <w:rFonts w:ascii="Arial" w:hAnsi="Arial" w:cs="Arial"/>
          <w:bCs/>
          <w:sz w:val="24"/>
          <w:szCs w:val="24"/>
        </w:rPr>
        <w:t xml:space="preserve">la Constitución Política, </w:t>
      </w:r>
      <w:r w:rsidRPr="00297C79">
        <w:rPr>
          <w:rFonts w:ascii="Arial" w:hAnsi="Arial" w:cs="Arial"/>
          <w:bCs/>
          <w:sz w:val="24"/>
          <w:szCs w:val="24"/>
        </w:rPr>
        <w:t>la ley</w:t>
      </w:r>
      <w:r w:rsidR="00FF1921" w:rsidRPr="00297C79">
        <w:rPr>
          <w:rFonts w:ascii="Arial" w:hAnsi="Arial" w:cs="Arial"/>
          <w:bCs/>
          <w:sz w:val="24"/>
          <w:szCs w:val="24"/>
        </w:rPr>
        <w:t xml:space="preserve"> y la jurisprudencia</w:t>
      </w:r>
      <w:r w:rsidRPr="00297C79">
        <w:rPr>
          <w:rFonts w:ascii="Arial" w:hAnsi="Arial" w:cs="Arial"/>
          <w:bCs/>
          <w:sz w:val="24"/>
          <w:szCs w:val="24"/>
        </w:rPr>
        <w:t>,</w:t>
      </w:r>
      <w:r w:rsidR="00FF1921" w:rsidRPr="00297C79">
        <w:rPr>
          <w:rFonts w:ascii="Arial" w:hAnsi="Arial" w:cs="Arial"/>
          <w:bCs/>
          <w:sz w:val="24"/>
          <w:szCs w:val="24"/>
        </w:rPr>
        <w:t xml:space="preserve"> </w:t>
      </w:r>
      <w:r w:rsidR="005C5994" w:rsidRPr="00297C79">
        <w:rPr>
          <w:rFonts w:ascii="Arial" w:hAnsi="Arial" w:cs="Arial"/>
          <w:bCs/>
          <w:sz w:val="24"/>
          <w:szCs w:val="24"/>
        </w:rPr>
        <w:t>armónicamente</w:t>
      </w:r>
      <w:r w:rsidRPr="00297C79">
        <w:rPr>
          <w:rFonts w:ascii="Arial" w:hAnsi="Arial" w:cs="Arial"/>
          <w:bCs/>
          <w:sz w:val="24"/>
          <w:szCs w:val="24"/>
        </w:rPr>
        <w:t xml:space="preserve"> hace</w:t>
      </w:r>
      <w:r w:rsidR="00FF1921" w:rsidRPr="00297C79">
        <w:rPr>
          <w:rFonts w:ascii="Arial" w:hAnsi="Arial" w:cs="Arial"/>
          <w:bCs/>
          <w:sz w:val="24"/>
          <w:szCs w:val="24"/>
        </w:rPr>
        <w:t>n</w:t>
      </w:r>
      <w:r w:rsidRPr="00297C79">
        <w:rPr>
          <w:rFonts w:ascii="Arial" w:hAnsi="Arial" w:cs="Arial"/>
          <w:bCs/>
          <w:sz w:val="24"/>
          <w:szCs w:val="24"/>
        </w:rPr>
        <w:t xml:space="preserve"> una especial distinción entre los bienes denominados de “uso público” y los “bienes fiscales” los cuales, de acuerdo </w:t>
      </w:r>
      <w:r w:rsidR="005C5994" w:rsidRPr="00297C79">
        <w:rPr>
          <w:rFonts w:ascii="Arial" w:hAnsi="Arial" w:cs="Arial"/>
          <w:bCs/>
          <w:sz w:val="24"/>
          <w:szCs w:val="24"/>
        </w:rPr>
        <w:t xml:space="preserve">a lo </w:t>
      </w:r>
      <w:r w:rsidR="005C5994" w:rsidRPr="00297C79">
        <w:rPr>
          <w:rFonts w:ascii="Arial" w:hAnsi="Arial" w:cs="Arial"/>
          <w:bCs/>
          <w:sz w:val="24"/>
          <w:szCs w:val="24"/>
        </w:rPr>
        <w:lastRenderedPageBreak/>
        <w:t xml:space="preserve">expuesto anteriormente </w:t>
      </w:r>
      <w:r w:rsidRPr="00297C79">
        <w:rPr>
          <w:rFonts w:ascii="Arial" w:hAnsi="Arial" w:cs="Arial"/>
          <w:bCs/>
          <w:sz w:val="24"/>
          <w:szCs w:val="24"/>
        </w:rPr>
        <w:t>contienen características esenciales que distingue</w:t>
      </w:r>
      <w:r w:rsidR="00FF2DD7" w:rsidRPr="00297C79">
        <w:rPr>
          <w:rFonts w:ascii="Arial" w:hAnsi="Arial" w:cs="Arial"/>
          <w:bCs/>
          <w:sz w:val="24"/>
          <w:szCs w:val="24"/>
        </w:rPr>
        <w:t>n uno del otro en su naturaleza y manejo por parte del Estado.</w:t>
      </w:r>
    </w:p>
    <w:p w:rsidR="00027EA5" w:rsidRPr="00297C79" w:rsidRDefault="00027EA5" w:rsidP="00027EA5">
      <w:pPr>
        <w:spacing w:line="360" w:lineRule="auto"/>
        <w:jc w:val="both"/>
        <w:rPr>
          <w:rFonts w:ascii="Arial" w:hAnsi="Arial" w:cs="Arial"/>
          <w:bCs/>
          <w:sz w:val="24"/>
          <w:szCs w:val="24"/>
        </w:rPr>
      </w:pPr>
    </w:p>
    <w:p w:rsidR="00027EA5" w:rsidRPr="00F27492" w:rsidRDefault="00027EA5" w:rsidP="00027EA5">
      <w:pPr>
        <w:spacing w:line="360" w:lineRule="auto"/>
        <w:jc w:val="both"/>
        <w:rPr>
          <w:rFonts w:ascii="Arial" w:hAnsi="Arial" w:cs="Arial"/>
          <w:bCs/>
          <w:sz w:val="24"/>
          <w:szCs w:val="24"/>
        </w:rPr>
      </w:pPr>
      <w:r w:rsidRPr="00297C79">
        <w:rPr>
          <w:rFonts w:ascii="Arial" w:hAnsi="Arial" w:cs="Arial"/>
          <w:bCs/>
          <w:sz w:val="24"/>
          <w:szCs w:val="24"/>
        </w:rPr>
        <w:t xml:space="preserve">Así lo </w:t>
      </w:r>
      <w:r w:rsidR="00EC62A9" w:rsidRPr="00297C79">
        <w:rPr>
          <w:rFonts w:ascii="Arial" w:hAnsi="Arial" w:cs="Arial"/>
          <w:bCs/>
          <w:sz w:val="24"/>
          <w:szCs w:val="24"/>
        </w:rPr>
        <w:t>reiteró recientemente</w:t>
      </w:r>
      <w:r w:rsidRPr="00297C79">
        <w:rPr>
          <w:rFonts w:ascii="Arial" w:hAnsi="Arial" w:cs="Arial"/>
          <w:bCs/>
          <w:sz w:val="24"/>
          <w:szCs w:val="24"/>
        </w:rPr>
        <w:t xml:space="preserve"> esta Corporación en </w:t>
      </w:r>
      <w:r w:rsidR="003C2931" w:rsidRPr="00297C79">
        <w:rPr>
          <w:rFonts w:ascii="Arial" w:hAnsi="Arial" w:cs="Arial"/>
          <w:bCs/>
          <w:sz w:val="24"/>
          <w:szCs w:val="24"/>
        </w:rPr>
        <w:t>sentencia de 18 de marzo de 2010</w:t>
      </w:r>
      <w:r w:rsidRPr="00297C79">
        <w:rPr>
          <w:rStyle w:val="Refdenotaalpie"/>
          <w:rFonts w:ascii="Arial" w:hAnsi="Arial" w:cs="Arial"/>
          <w:bCs/>
          <w:sz w:val="24"/>
          <w:szCs w:val="24"/>
        </w:rPr>
        <w:footnoteReference w:id="8"/>
      </w:r>
      <w:r w:rsidR="003C2931" w:rsidRPr="00297C79">
        <w:rPr>
          <w:rFonts w:ascii="Arial" w:hAnsi="Arial" w:cs="Arial"/>
          <w:bCs/>
          <w:sz w:val="24"/>
          <w:szCs w:val="24"/>
        </w:rPr>
        <w:t xml:space="preserve"> en </w:t>
      </w:r>
      <w:r w:rsidRPr="00297C79">
        <w:rPr>
          <w:rFonts w:ascii="Arial" w:hAnsi="Arial" w:cs="Arial"/>
          <w:bCs/>
          <w:sz w:val="24"/>
          <w:szCs w:val="24"/>
        </w:rPr>
        <w:t>l</w:t>
      </w:r>
      <w:r w:rsidR="003C2931" w:rsidRPr="00297C79">
        <w:rPr>
          <w:rFonts w:ascii="Arial" w:hAnsi="Arial" w:cs="Arial"/>
          <w:bCs/>
          <w:sz w:val="24"/>
          <w:szCs w:val="24"/>
        </w:rPr>
        <w:t>a</w:t>
      </w:r>
      <w:r w:rsidRPr="00297C79">
        <w:rPr>
          <w:rFonts w:ascii="Arial" w:hAnsi="Arial" w:cs="Arial"/>
          <w:bCs/>
          <w:sz w:val="24"/>
          <w:szCs w:val="24"/>
        </w:rPr>
        <w:t xml:space="preserve"> que </w:t>
      </w:r>
      <w:r w:rsidR="003C2931" w:rsidRPr="00297C79">
        <w:rPr>
          <w:rFonts w:ascii="Arial" w:hAnsi="Arial" w:cs="Arial"/>
          <w:bCs/>
          <w:sz w:val="24"/>
          <w:szCs w:val="24"/>
        </w:rPr>
        <w:t xml:space="preserve">se </w:t>
      </w:r>
      <w:r w:rsidRPr="00297C79">
        <w:rPr>
          <w:rFonts w:ascii="Arial" w:hAnsi="Arial" w:cs="Arial"/>
          <w:bCs/>
          <w:sz w:val="24"/>
          <w:szCs w:val="24"/>
        </w:rPr>
        <w:t>expresó:</w:t>
      </w:r>
    </w:p>
    <w:p w:rsidR="00FF2DD7" w:rsidRPr="009D2481" w:rsidRDefault="00FF2DD7" w:rsidP="00027EA5">
      <w:pPr>
        <w:spacing w:line="360" w:lineRule="auto"/>
        <w:jc w:val="both"/>
        <w:rPr>
          <w:rFonts w:ascii="Arial" w:hAnsi="Arial" w:cs="Arial"/>
          <w:bCs/>
          <w:color w:val="FF0000"/>
          <w:sz w:val="24"/>
          <w:szCs w:val="24"/>
        </w:rPr>
      </w:pPr>
    </w:p>
    <w:p w:rsidR="00FF2DD7" w:rsidRPr="00F27492" w:rsidRDefault="00027EA5" w:rsidP="00223122">
      <w:pPr>
        <w:spacing w:line="360" w:lineRule="auto"/>
        <w:jc w:val="both"/>
        <w:rPr>
          <w:rFonts w:ascii="Arial" w:eastAsia="Times New Roman" w:hAnsi="Arial" w:cs="Arial"/>
          <w:lang w:val="es-CO" w:eastAsia="es-ES"/>
        </w:rPr>
      </w:pPr>
      <w:r w:rsidRPr="008E4783">
        <w:rPr>
          <w:rFonts w:ascii="Arial" w:hAnsi="Arial" w:cs="Arial"/>
          <w:b/>
          <w:i/>
        </w:rPr>
        <w:t>“</w:t>
      </w:r>
      <w:r w:rsidR="00FF2DD7" w:rsidRPr="008E4783">
        <w:rPr>
          <w:rFonts w:ascii="Arial" w:eastAsia="Times New Roman" w:hAnsi="Arial" w:cs="Arial"/>
          <w:i/>
          <w:u w:val="single"/>
          <w:lang w:val="es-CO" w:eastAsia="es-ES"/>
        </w:rPr>
        <w:t>Los bienes fiscales son aquellos respecto de los cuales el Estado detenta el derecho de dominio como si se tratase de un bien de propiedad particular; son bienes que están dentro del comercio y que son destinados, por regla general, al funcionamiento del ente estatal al cual pertenecen o a la prestación de un servicio; de esta categoría de bienes de dominio público es preciso destacar, como rasgos que les distinguen, el carácter de embargables y de enajenables, toda vez que su régimen jurídico resulta similar al que el ordenamiento jurídico dispensa a la propiedad privada o particular,</w:t>
      </w:r>
      <w:r w:rsidR="00FF2DD7" w:rsidRPr="008E4783">
        <w:rPr>
          <w:rFonts w:ascii="Arial" w:eastAsia="Times New Roman" w:hAnsi="Arial" w:cs="Arial"/>
          <w:i/>
          <w:lang w:val="es-CO" w:eastAsia="es-ES"/>
        </w:rPr>
        <w:t xml:space="preserve"> como en otras ocasiones lo ha sostenido </w:t>
      </w:r>
      <w:smartTag w:uri="urn:schemas-microsoft-com:office:smarttags" w:element="PersonName">
        <w:smartTagPr>
          <w:attr w:name="ProductID" w:val="la Sala"/>
        </w:smartTagPr>
        <w:r w:rsidR="00FF2DD7" w:rsidRPr="008E4783">
          <w:rPr>
            <w:rFonts w:ascii="Arial" w:eastAsia="Times New Roman" w:hAnsi="Arial" w:cs="Arial"/>
            <w:i/>
            <w:lang w:val="es-CO" w:eastAsia="es-ES"/>
          </w:rPr>
          <w:t>la Sala</w:t>
        </w:r>
      </w:smartTag>
      <w:r w:rsidR="00FF2DD7" w:rsidRPr="008E4783">
        <w:rPr>
          <w:rFonts w:ascii="Arial" w:eastAsia="Times New Roman" w:hAnsi="Arial" w:cs="Arial"/>
          <w:i/>
          <w:lang w:val="es-CO" w:eastAsia="es-ES"/>
        </w:rPr>
        <w:t xml:space="preserve">: </w:t>
      </w:r>
      <w:r w:rsidR="00F27492" w:rsidRPr="008E4783">
        <w:rPr>
          <w:rFonts w:ascii="Arial" w:eastAsia="Times New Roman" w:hAnsi="Arial" w:cs="Arial"/>
          <w:i/>
          <w:lang w:val="es-CO" w:eastAsia="es-ES"/>
        </w:rPr>
        <w:t>(</w:t>
      </w:r>
      <w:r w:rsidR="00F27492" w:rsidRPr="008E4783">
        <w:rPr>
          <w:rFonts w:ascii="Arial" w:eastAsia="Times New Roman" w:hAnsi="Arial" w:cs="Arial"/>
          <w:lang w:val="es-CO" w:eastAsia="es-ES"/>
        </w:rPr>
        <w:t>Subrayado fuera del texto)</w:t>
      </w:r>
    </w:p>
    <w:p w:rsidR="00FF2DD7" w:rsidRPr="00FF2DD7" w:rsidRDefault="00FF2DD7" w:rsidP="00223122">
      <w:pPr>
        <w:overflowPunct w:val="0"/>
        <w:autoSpaceDE w:val="0"/>
        <w:autoSpaceDN w:val="0"/>
        <w:adjustRightInd w:val="0"/>
        <w:spacing w:line="360" w:lineRule="auto"/>
        <w:ind w:left="1275" w:right="567" w:firstLine="709"/>
        <w:jc w:val="both"/>
        <w:textAlignment w:val="baseline"/>
        <w:rPr>
          <w:rFonts w:ascii="Arial" w:eastAsia="Times New Roman" w:hAnsi="Arial" w:cs="Arial"/>
          <w:i/>
          <w:lang w:val="es-ES_tradnl" w:eastAsia="es-ES"/>
        </w:rPr>
      </w:pP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ES_tradnl" w:eastAsia="es-ES"/>
        </w:rPr>
      </w:pPr>
      <w:r w:rsidRPr="00FF2DD7">
        <w:rPr>
          <w:rFonts w:ascii="Arial" w:eastAsia="Times New Roman" w:hAnsi="Arial" w:cs="Arial"/>
          <w:i/>
          <w:lang w:val="es-ES_tradnl" w:eastAsia="es-ES"/>
        </w:rPr>
        <w:t xml:space="preserve"> “Los bienes patrimoniales o fiscales o bienes propiamente estatales, son aquellos que pertenecen a una persona jurídica de derecho público de cualquier naturaleza y que, por lo general, están destinados a la prestación de las funciones públicas o de los servicios públicos; también pueden constituir una reserva patrimonial para fines de utilidad común. La disposición del estatuto civil antes citada los define como aquellos cuyo dominio corresponde a </w:t>
      </w:r>
      <w:smartTag w:uri="urn:schemas-microsoft-com:office:smarttags" w:element="PersonName">
        <w:smartTagPr>
          <w:attr w:name="ProductID" w:val="la Rep￺blica"/>
        </w:smartTagPr>
        <w:r w:rsidRPr="00FF2DD7">
          <w:rPr>
            <w:rFonts w:ascii="Arial" w:eastAsia="Times New Roman" w:hAnsi="Arial" w:cs="Arial"/>
            <w:i/>
            <w:lang w:val="es-ES_tradnl" w:eastAsia="es-ES"/>
          </w:rPr>
          <w:t>la República</w:t>
        </w:r>
      </w:smartTag>
      <w:r w:rsidRPr="00FF2DD7">
        <w:rPr>
          <w:rFonts w:ascii="Arial" w:eastAsia="Times New Roman" w:hAnsi="Arial" w:cs="Arial"/>
          <w:i/>
          <w:lang w:val="es-ES_tradnl" w:eastAsia="es-ES"/>
        </w:rPr>
        <w:t>, pero “cuyo uso no pertenece generalmente a los habitantes”. El Estado los posee y los administra de manera similar a como lo hacen los particulares con los bienes de su propiedad”</w:t>
      </w:r>
      <w:r w:rsidRPr="00FF2DD7">
        <w:rPr>
          <w:rFonts w:ascii="Arial" w:eastAsia="Times New Roman" w:hAnsi="Arial" w:cs="Arial"/>
          <w:i/>
          <w:vertAlign w:val="superscript"/>
          <w:lang w:val="es-ES_tradnl" w:eastAsia="es-ES"/>
        </w:rPr>
        <w:footnoteReference w:id="9"/>
      </w:r>
      <w:r w:rsidRPr="00FF2DD7">
        <w:rPr>
          <w:rFonts w:ascii="Arial" w:eastAsia="Times New Roman" w:hAnsi="Arial" w:cs="Arial"/>
          <w:i/>
          <w:lang w:val="es-ES_tradnl" w:eastAsia="es-ES"/>
        </w:rPr>
        <w:t>.</w:t>
      </w:r>
    </w:p>
    <w:p w:rsidR="00FF2DD7" w:rsidRPr="00FF2DD7" w:rsidRDefault="00FF2DD7" w:rsidP="00223122">
      <w:pPr>
        <w:overflowPunct w:val="0"/>
        <w:autoSpaceDE w:val="0"/>
        <w:autoSpaceDN w:val="0"/>
        <w:adjustRightInd w:val="0"/>
        <w:spacing w:line="360" w:lineRule="auto"/>
        <w:ind w:left="708" w:firstLine="709"/>
        <w:jc w:val="both"/>
        <w:textAlignment w:val="baseline"/>
        <w:rPr>
          <w:rFonts w:ascii="Arial" w:eastAsia="Times New Roman" w:hAnsi="Arial" w:cs="Arial"/>
          <w:i/>
          <w:lang w:val="es-ES_tradnl" w:eastAsia="es-ES"/>
        </w:rPr>
      </w:pPr>
    </w:p>
    <w:p w:rsidR="00FF2DD7" w:rsidRPr="00FF2DD7" w:rsidRDefault="00FF2DD7" w:rsidP="00223122">
      <w:pPr>
        <w:overflowPunct w:val="0"/>
        <w:autoSpaceDE w:val="0"/>
        <w:autoSpaceDN w:val="0"/>
        <w:adjustRightInd w:val="0"/>
        <w:spacing w:line="360" w:lineRule="auto"/>
        <w:jc w:val="both"/>
        <w:textAlignment w:val="baseline"/>
        <w:rPr>
          <w:rFonts w:ascii="Arial" w:eastAsia="Times New Roman" w:hAnsi="Arial" w:cs="Arial"/>
          <w:i/>
          <w:lang w:val="es-CO" w:eastAsia="es-ES"/>
        </w:rPr>
      </w:pPr>
      <w:r w:rsidRPr="00FF2DD7">
        <w:rPr>
          <w:rFonts w:ascii="Arial" w:eastAsia="Times New Roman" w:hAnsi="Arial" w:cs="Arial"/>
          <w:i/>
          <w:lang w:val="es-ES_tradnl" w:eastAsia="es-ES"/>
        </w:rPr>
        <w:t xml:space="preserve">Así pues, </w:t>
      </w:r>
      <w:bookmarkStart w:id="3" w:name="_Hlk28011581"/>
      <w:r w:rsidRPr="00FF2DD7">
        <w:rPr>
          <w:rFonts w:ascii="Arial" w:eastAsia="Times New Roman" w:hAnsi="Arial" w:cs="Arial"/>
          <w:i/>
          <w:lang w:val="es-ES_tradnl" w:eastAsia="es-ES"/>
        </w:rPr>
        <w:t>una caracterización de los bienes fiscales o patrimoniales del Estado pasaría por afirmar que se trata de bienes que (i)</w:t>
      </w:r>
      <w:r w:rsidRPr="00FF2DD7">
        <w:rPr>
          <w:rFonts w:ascii="Arial" w:eastAsia="Times New Roman" w:hAnsi="Arial" w:cs="Arial"/>
          <w:i/>
          <w:lang w:val="es-CO" w:eastAsia="es-ES"/>
        </w:rPr>
        <w:t xml:space="preserve"> pertenecen a una persona jurídica de derecho público; (ii) están destinados a servir como instrumentos materiales para el ejercicio de funciones públicas o para la prestación de servicios a cargo de las entidades estatales; (iii) el Estado los administra de conformidad con el régimen jurídico que al tipo de bien del cual se trate proporciona el derecho común y (iv) son embargables, enajenables e imprescriptibles. Tales características permiten diferenciarlos con claridad de los bienes de uso público, tal como </w:t>
      </w:r>
      <w:r w:rsidRPr="00FF2DD7">
        <w:rPr>
          <w:rFonts w:ascii="Arial" w:eastAsia="Times New Roman" w:hAnsi="Arial" w:cs="Arial"/>
          <w:i/>
          <w:lang w:val="es-CO" w:eastAsia="es-ES"/>
        </w:rPr>
        <w:lastRenderedPageBreak/>
        <w:t xml:space="preserve">igualmente lo han hecho en otras ocasiones tanto esta Sala como la jurisprudencia de </w:t>
      </w:r>
      <w:smartTag w:uri="urn:schemas-microsoft-com:office:smarttags" w:element="PersonName">
        <w:smartTagPr>
          <w:attr w:name="ProductID" w:val="la Corte Suprema"/>
        </w:smartTagPr>
        <w:r w:rsidRPr="00FF2DD7">
          <w:rPr>
            <w:rFonts w:ascii="Arial" w:eastAsia="Times New Roman" w:hAnsi="Arial" w:cs="Arial"/>
            <w:i/>
            <w:lang w:val="es-CO" w:eastAsia="es-ES"/>
          </w:rPr>
          <w:t>la Corte Suprema</w:t>
        </w:r>
      </w:smartTag>
      <w:r w:rsidRPr="00FF2DD7">
        <w:rPr>
          <w:rFonts w:ascii="Arial" w:eastAsia="Times New Roman" w:hAnsi="Arial" w:cs="Arial"/>
          <w:i/>
          <w:lang w:val="es-CO" w:eastAsia="es-ES"/>
        </w:rPr>
        <w:t xml:space="preserve"> de Justicia</w:t>
      </w:r>
      <w:bookmarkEnd w:id="3"/>
      <w:r w:rsidRPr="00FF2DD7">
        <w:rPr>
          <w:rFonts w:ascii="Arial" w:eastAsia="Times New Roman" w:hAnsi="Arial" w:cs="Arial"/>
          <w:i/>
          <w:lang w:val="es-CO" w:eastAsia="es-ES"/>
        </w:rPr>
        <w:t>, según se desprende de los siguientes pronunciamientos</w:t>
      </w:r>
      <w:r w:rsidRPr="00FF2DD7">
        <w:rPr>
          <w:rFonts w:ascii="Arial" w:eastAsia="Times New Roman" w:hAnsi="Arial" w:cs="Arial"/>
          <w:i/>
          <w:lang w:eastAsia="es-ES"/>
        </w:rPr>
        <w:t>:</w:t>
      </w:r>
    </w:p>
    <w:p w:rsidR="00FF2DD7" w:rsidRPr="00FF2DD7" w:rsidRDefault="00FF2DD7" w:rsidP="00223122">
      <w:pPr>
        <w:overflowPunct w:val="0"/>
        <w:autoSpaceDE w:val="0"/>
        <w:autoSpaceDN w:val="0"/>
        <w:adjustRightInd w:val="0"/>
        <w:spacing w:line="360" w:lineRule="auto"/>
        <w:ind w:left="992" w:firstLine="283"/>
        <w:jc w:val="both"/>
        <w:textAlignment w:val="baseline"/>
        <w:rPr>
          <w:rFonts w:ascii="Arial" w:eastAsia="Times New Roman" w:hAnsi="Arial" w:cs="Arial"/>
          <w:i/>
          <w:lang w:val="es-CO" w:eastAsia="es-ES"/>
        </w:rPr>
      </w:pP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CO" w:eastAsia="es-ES"/>
        </w:rPr>
      </w:pPr>
      <w:r w:rsidRPr="00FF2DD7">
        <w:rPr>
          <w:rFonts w:ascii="Arial" w:eastAsia="Times New Roman" w:hAnsi="Arial" w:cs="Arial"/>
          <w:i/>
          <w:lang w:val="es-CO" w:eastAsia="es-ES"/>
        </w:rPr>
        <w:t>“Ahora que, si bien es cierto existe alguna similitud entre los bienes de uso público y los fiscales o patrimoniales, comoquiera que ambas categorías forman parte de los bienes públicos y su afectación propende por el desarrollo de los principios y fines del Estado, es claro que se diferencian fundamentalmente por los derechos que se detentan sobre los mismos y por la posición de la comunidad frente a ellos.</w:t>
      </w: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CO" w:eastAsia="es-ES"/>
        </w:rPr>
      </w:pP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iCs/>
          <w:lang w:val="es-CO" w:eastAsia="es-ES"/>
        </w:rPr>
      </w:pPr>
      <w:r w:rsidRPr="00FF2DD7">
        <w:rPr>
          <w:rFonts w:ascii="Arial" w:eastAsia="Times New Roman" w:hAnsi="Arial" w:cs="Arial"/>
          <w:i/>
          <w:lang w:val="es-CO" w:eastAsia="es-ES"/>
        </w:rPr>
        <w:t xml:space="preserve">Respecto de lo primero, o sea de los derechos que comprenden, debe tenerse en cuenta que </w:t>
      </w:r>
      <w:r w:rsidRPr="00FF2DD7">
        <w:rPr>
          <w:rFonts w:ascii="Arial" w:eastAsia="Times New Roman" w:hAnsi="Arial" w:cs="Arial"/>
          <w:i/>
          <w:u w:val="single"/>
          <w:lang w:val="es-CO" w:eastAsia="es-ES"/>
        </w:rPr>
        <w:t xml:space="preserve">los bienes de uso público son de propiedad del Estado, quien </w:t>
      </w:r>
      <w:r w:rsidRPr="00FF2DD7">
        <w:rPr>
          <w:rFonts w:ascii="Arial" w:eastAsia="Times New Roman" w:hAnsi="Arial" w:cs="Arial"/>
          <w:b/>
          <w:i/>
          <w:u w:val="single"/>
          <w:lang w:val="es-CO" w:eastAsia="es-ES"/>
        </w:rPr>
        <w:t>los administra, protege y reglamenta su uso</w:t>
      </w:r>
      <w:r w:rsidRPr="00FF2DD7">
        <w:rPr>
          <w:rFonts w:ascii="Arial" w:eastAsia="Times New Roman" w:hAnsi="Arial" w:cs="Arial"/>
          <w:i/>
          <w:u w:val="single"/>
          <w:lang w:val="es-CO" w:eastAsia="es-ES"/>
        </w:rPr>
        <w:t>, sin que puedan ser objeto de actos o negocios jurídicos que impliquen la limitación de su uso y disfrute por los ciudadanos</w:t>
      </w:r>
      <w:r w:rsidRPr="00FF2DD7">
        <w:rPr>
          <w:rFonts w:ascii="Arial" w:eastAsia="Times New Roman" w:hAnsi="Arial" w:cs="Arial"/>
          <w:i/>
          <w:lang w:val="es-CO" w:eastAsia="es-ES"/>
        </w:rPr>
        <w:t xml:space="preserve">. En tanto que, por este aspecto, los bienes fiscales se caracterizan porque el Estado es titular del derecho de dominio similar al que se ostenta respecto de los bienes particulares, que implican su </w:t>
      </w:r>
      <w:r w:rsidRPr="00FF2DD7">
        <w:rPr>
          <w:rFonts w:ascii="Arial" w:eastAsia="Times New Roman" w:hAnsi="Arial" w:cs="Arial"/>
          <w:i/>
          <w:iCs/>
          <w:lang w:val="es-CO" w:eastAsia="es-ES"/>
        </w:rPr>
        <w:t>uso, goce y disposición.</w:t>
      </w: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CO" w:eastAsia="es-ES"/>
        </w:rPr>
      </w:pP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CO" w:eastAsia="es-ES"/>
        </w:rPr>
      </w:pPr>
      <w:r w:rsidRPr="00FF2DD7">
        <w:rPr>
          <w:rFonts w:ascii="Arial" w:eastAsia="Times New Roman" w:hAnsi="Arial" w:cs="Arial"/>
          <w:i/>
          <w:lang w:val="es-CO" w:eastAsia="es-ES"/>
        </w:rPr>
        <w:t xml:space="preserve">En cuanto a la situación de la comunidad frente a los bienes públicos, </w:t>
      </w:r>
      <w:r w:rsidRPr="00FF2DD7">
        <w:rPr>
          <w:rFonts w:ascii="Arial" w:eastAsia="Times New Roman" w:hAnsi="Arial" w:cs="Arial"/>
          <w:i/>
          <w:u w:val="single"/>
          <w:lang w:val="es-CO" w:eastAsia="es-ES"/>
        </w:rPr>
        <w:t xml:space="preserve">los de uso público están destinados principalmente al disfrute de todas las personas, </w:t>
      </w:r>
      <w:r w:rsidRPr="00FF2DD7">
        <w:rPr>
          <w:rFonts w:ascii="Arial" w:eastAsia="Times New Roman" w:hAnsi="Arial" w:cs="Arial"/>
          <w:b/>
          <w:i/>
          <w:u w:val="single"/>
          <w:lang w:val="es-CO" w:eastAsia="es-ES"/>
        </w:rPr>
        <w:t>sin perjuicio de los límites que su naturaleza imponga</w:t>
      </w:r>
      <w:r w:rsidRPr="00FF2DD7">
        <w:rPr>
          <w:rFonts w:ascii="Arial" w:eastAsia="Times New Roman" w:hAnsi="Arial" w:cs="Arial"/>
          <w:i/>
          <w:lang w:val="es-CO" w:eastAsia="es-ES"/>
        </w:rPr>
        <w:t>; en tanto que los bienes fiscales tendrán un uso restringido, puesto que están destinados, fundamentalmente, al funcionamiento del Estado y a la prestación de los servicios públicos a su cargo” (énfasis añadido)</w:t>
      </w:r>
      <w:r w:rsidRPr="00FF2DD7">
        <w:rPr>
          <w:rFonts w:ascii="Arial" w:eastAsia="Times New Roman" w:hAnsi="Arial" w:cs="Arial"/>
          <w:i/>
          <w:vertAlign w:val="superscript"/>
          <w:lang w:eastAsia="es-ES"/>
        </w:rPr>
        <w:footnoteReference w:id="10"/>
      </w:r>
      <w:r w:rsidRPr="00FF2DD7">
        <w:rPr>
          <w:rFonts w:ascii="Arial" w:eastAsia="Times New Roman" w:hAnsi="Arial" w:cs="Arial"/>
          <w:i/>
          <w:lang w:eastAsia="es-ES"/>
        </w:rPr>
        <w:t>.</w:t>
      </w:r>
    </w:p>
    <w:p w:rsidR="00B93047" w:rsidRPr="00FF2DD7" w:rsidRDefault="00B93047" w:rsidP="00223122">
      <w:pPr>
        <w:overflowPunct w:val="0"/>
        <w:autoSpaceDE w:val="0"/>
        <w:autoSpaceDN w:val="0"/>
        <w:adjustRightInd w:val="0"/>
        <w:spacing w:line="360" w:lineRule="auto"/>
        <w:ind w:left="708" w:firstLine="709"/>
        <w:jc w:val="both"/>
        <w:textAlignment w:val="baseline"/>
        <w:rPr>
          <w:rFonts w:ascii="Arial" w:eastAsia="Times New Roman" w:hAnsi="Arial" w:cs="Arial"/>
          <w:i/>
          <w:lang w:val="es-CO" w:eastAsia="es-ES"/>
        </w:rPr>
      </w:pPr>
    </w:p>
    <w:p w:rsidR="00FF2DD7" w:rsidRPr="00FF2DD7" w:rsidRDefault="00FF2DD7" w:rsidP="00223122">
      <w:pPr>
        <w:overflowPunct w:val="0"/>
        <w:autoSpaceDE w:val="0"/>
        <w:autoSpaceDN w:val="0"/>
        <w:adjustRightInd w:val="0"/>
        <w:spacing w:line="360" w:lineRule="auto"/>
        <w:ind w:left="708" w:firstLine="709"/>
        <w:jc w:val="both"/>
        <w:textAlignment w:val="baseline"/>
        <w:rPr>
          <w:rFonts w:ascii="Arial" w:eastAsia="Times New Roman" w:hAnsi="Arial" w:cs="Arial"/>
          <w:i/>
          <w:lang w:val="es-CO" w:eastAsia="es-ES"/>
        </w:rPr>
      </w:pPr>
      <w:r w:rsidRPr="00FF2DD7">
        <w:rPr>
          <w:rFonts w:ascii="Arial" w:eastAsia="Times New Roman" w:hAnsi="Arial" w:cs="Arial"/>
          <w:i/>
          <w:lang w:val="es-CO" w:eastAsia="es-ES"/>
        </w:rPr>
        <w:t xml:space="preserve">A su vez, en similar dirección, </w:t>
      </w:r>
      <w:smartTag w:uri="urn:schemas-microsoft-com:office:smarttags" w:element="PersonName">
        <w:smartTagPr>
          <w:attr w:name="ProductID" w:val="la Corte Suprema"/>
        </w:smartTagPr>
        <w:r w:rsidRPr="00FF2DD7">
          <w:rPr>
            <w:rFonts w:ascii="Arial" w:eastAsia="Times New Roman" w:hAnsi="Arial" w:cs="Arial"/>
            <w:i/>
            <w:lang w:val="es-CO" w:eastAsia="es-ES"/>
          </w:rPr>
          <w:t>la Corte Suprema</w:t>
        </w:r>
      </w:smartTag>
      <w:r w:rsidRPr="00FF2DD7">
        <w:rPr>
          <w:rFonts w:ascii="Arial" w:eastAsia="Times New Roman" w:hAnsi="Arial" w:cs="Arial"/>
          <w:i/>
          <w:lang w:val="es-CO" w:eastAsia="es-ES"/>
        </w:rPr>
        <w:t xml:space="preserve"> de Justicia ha sostenido:</w:t>
      </w:r>
    </w:p>
    <w:p w:rsidR="00FF2DD7" w:rsidRPr="00FF2DD7" w:rsidRDefault="00FF2DD7" w:rsidP="00223122">
      <w:pPr>
        <w:overflowPunct w:val="0"/>
        <w:autoSpaceDE w:val="0"/>
        <w:autoSpaceDN w:val="0"/>
        <w:adjustRightInd w:val="0"/>
        <w:spacing w:line="360" w:lineRule="auto"/>
        <w:ind w:left="708" w:firstLine="709"/>
        <w:jc w:val="both"/>
        <w:textAlignment w:val="baseline"/>
        <w:rPr>
          <w:rFonts w:ascii="Arial" w:eastAsia="Times New Roman" w:hAnsi="Arial" w:cs="Arial"/>
          <w:i/>
          <w:lang w:val="es-CO" w:eastAsia="es-ES"/>
        </w:rPr>
      </w:pP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lang w:val="es-CO" w:eastAsia="es-ES"/>
        </w:rPr>
      </w:pPr>
      <w:r w:rsidRPr="00FF2DD7">
        <w:rPr>
          <w:rFonts w:ascii="Arial" w:eastAsia="Times New Roman" w:hAnsi="Arial" w:cs="Arial"/>
          <w:b/>
          <w:i/>
          <w:lang w:val="es-CO" w:eastAsia="es-ES"/>
        </w:rPr>
        <w:t>“Los bienes del Estado son o de uso público o fiscales. A estos últimos se les llama también patrimoniales. Una granja, por ejemplo, es un bien de esta clase. El Estado los posee y administra como un particular. Son fuentes de ingresos, y como propiedad privada están sometidos al derecho común.</w:t>
      </w:r>
      <w:r w:rsidRPr="00FF2DD7">
        <w:rPr>
          <w:rFonts w:ascii="Arial" w:eastAsia="Times New Roman" w:hAnsi="Arial" w:cs="Arial"/>
          <w:i/>
          <w:lang w:val="es-CO" w:eastAsia="es-ES"/>
        </w:rPr>
        <w:t xml:space="preserve"> Los primeros, los de uso público, son aquellos cuyo aprovechamiento pertenece a todos los habitantes del país, </w:t>
      </w:r>
      <w:r w:rsidRPr="00FF2DD7">
        <w:rPr>
          <w:rFonts w:ascii="Arial" w:eastAsia="Times New Roman" w:hAnsi="Arial" w:cs="Arial"/>
          <w:i/>
          <w:lang w:val="es-CO" w:eastAsia="es-ES"/>
        </w:rPr>
        <w:lastRenderedPageBreak/>
        <w:t xml:space="preserve">como los ríos, las calles, los puentes, los caminos, etc. </w:t>
      </w:r>
      <w:r w:rsidRPr="00FF2DD7">
        <w:rPr>
          <w:rFonts w:ascii="Arial" w:eastAsia="Times New Roman" w:hAnsi="Arial" w:cs="Arial"/>
          <w:i/>
          <w:u w:val="single"/>
          <w:lang w:val="es-CO" w:eastAsia="es-ES"/>
        </w:rPr>
        <w:t>Los bienes de uso público lo son por naturaleza o por el destino jurídico; se rigen por normas legales y jurídicas especiales, encaminadas a asegurar cumplida satisfacción en el uso público</w:t>
      </w:r>
      <w:r w:rsidRPr="00FF2DD7">
        <w:rPr>
          <w:rFonts w:ascii="Arial" w:eastAsia="Times New Roman" w:hAnsi="Arial" w:cs="Arial"/>
          <w:i/>
          <w:lang w:val="es-CO" w:eastAsia="es-ES"/>
        </w:rPr>
        <w:t>. Son inalienables, como que están fuera del comercio, e imprescriptibles “mientras sigan asignados a la finalidad pública y en los términos en que esta finalidad pública lo exija”.</w:t>
      </w:r>
      <w:r w:rsidR="00662660">
        <w:rPr>
          <w:rFonts w:ascii="Arial" w:eastAsia="Times New Roman" w:hAnsi="Arial" w:cs="Arial"/>
          <w:b/>
          <w:i/>
          <w:lang w:val="es-CO" w:eastAsia="es-ES"/>
        </w:rPr>
        <w:t xml:space="preserve"> </w:t>
      </w:r>
      <w:r w:rsidR="00662660">
        <w:rPr>
          <w:rFonts w:ascii="Arial" w:eastAsia="Times New Roman" w:hAnsi="Arial" w:cs="Arial"/>
          <w:lang w:val="es-CO" w:eastAsia="es-ES"/>
        </w:rPr>
        <w:t xml:space="preserve">Negrilla fuera del texto </w:t>
      </w: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CO" w:eastAsia="es-ES"/>
        </w:rPr>
      </w:pPr>
    </w:p>
    <w:p w:rsidR="00FF2DD7" w:rsidRPr="00FF2DD7" w:rsidRDefault="00FF2DD7" w:rsidP="00223122">
      <w:pPr>
        <w:overflowPunct w:val="0"/>
        <w:autoSpaceDE w:val="0"/>
        <w:autoSpaceDN w:val="0"/>
        <w:adjustRightInd w:val="0"/>
        <w:spacing w:line="360" w:lineRule="auto"/>
        <w:ind w:left="1559" w:right="851" w:firstLine="567"/>
        <w:jc w:val="both"/>
        <w:textAlignment w:val="baseline"/>
        <w:rPr>
          <w:rFonts w:ascii="Arial" w:eastAsia="Times New Roman" w:hAnsi="Arial" w:cs="Arial"/>
          <w:i/>
          <w:lang w:val="es-CO" w:eastAsia="es-ES"/>
        </w:rPr>
      </w:pPr>
      <w:r w:rsidRPr="00FF2DD7">
        <w:rPr>
          <w:rFonts w:ascii="Arial" w:eastAsia="Times New Roman" w:hAnsi="Arial" w:cs="Arial"/>
          <w:i/>
          <w:lang w:val="es-CO" w:eastAsia="es-ES"/>
        </w:rPr>
        <w:t xml:space="preserve">Sostienen distinguidos expositores de derecho que en los bienes de dominio público no tiene el Estado lo que propiamente se llama propiedad, ya que analizados los elementos de que ésta se compone, se encuentra: </w:t>
      </w:r>
      <w:r w:rsidRPr="00FF2DD7">
        <w:rPr>
          <w:rFonts w:ascii="Arial" w:eastAsia="Times New Roman" w:hAnsi="Arial" w:cs="Arial"/>
          <w:i/>
          <w:u w:val="single"/>
          <w:lang w:val="es-CO" w:eastAsia="es-ES"/>
        </w:rPr>
        <w:t xml:space="preserve">el </w:t>
      </w:r>
      <w:r w:rsidRPr="00FF2DD7">
        <w:rPr>
          <w:rFonts w:ascii="Arial" w:eastAsia="Times New Roman" w:hAnsi="Arial" w:cs="Arial"/>
          <w:b/>
          <w:i/>
          <w:u w:val="single"/>
          <w:lang w:val="es-CO" w:eastAsia="es-ES"/>
        </w:rPr>
        <w:t>usus</w:t>
      </w:r>
      <w:r w:rsidRPr="00FF2DD7">
        <w:rPr>
          <w:rFonts w:ascii="Arial" w:eastAsia="Times New Roman" w:hAnsi="Arial" w:cs="Arial"/>
          <w:i/>
          <w:u w:val="single"/>
          <w:lang w:val="es-CO" w:eastAsia="es-ES"/>
        </w:rPr>
        <w:t>, no es del Estado, pertenece a todos los habitantes del país</w:t>
      </w:r>
      <w:r w:rsidRPr="00FF2DD7">
        <w:rPr>
          <w:rFonts w:ascii="Arial" w:eastAsia="Times New Roman" w:hAnsi="Arial" w:cs="Arial"/>
          <w:i/>
          <w:lang w:val="es-CO" w:eastAsia="es-ES"/>
        </w:rPr>
        <w:t xml:space="preserve">; el </w:t>
      </w:r>
      <w:r w:rsidRPr="00FF2DD7">
        <w:rPr>
          <w:rFonts w:ascii="Arial" w:eastAsia="Times New Roman" w:hAnsi="Arial" w:cs="Arial"/>
          <w:b/>
          <w:i/>
          <w:lang w:val="es-CO" w:eastAsia="es-ES"/>
        </w:rPr>
        <w:t>fructus</w:t>
      </w:r>
      <w:r w:rsidRPr="00FF2DD7">
        <w:rPr>
          <w:rFonts w:ascii="Arial" w:eastAsia="Times New Roman" w:hAnsi="Arial" w:cs="Arial"/>
          <w:i/>
          <w:lang w:val="es-CO" w:eastAsia="es-ES"/>
        </w:rPr>
        <w:t>, no existe, en tesis general, y el</w:t>
      </w:r>
      <w:r w:rsidRPr="00FF2DD7">
        <w:rPr>
          <w:rFonts w:ascii="Arial" w:eastAsia="Times New Roman" w:hAnsi="Arial" w:cs="Arial"/>
          <w:b/>
          <w:i/>
          <w:lang w:val="es-CO" w:eastAsia="es-ES"/>
        </w:rPr>
        <w:t xml:space="preserve"> abusus</w:t>
      </w:r>
      <w:r w:rsidRPr="00FF2DD7">
        <w:rPr>
          <w:rFonts w:ascii="Arial" w:eastAsia="Times New Roman" w:hAnsi="Arial" w:cs="Arial"/>
          <w:i/>
          <w:lang w:val="es-CO" w:eastAsia="es-ES"/>
        </w:rPr>
        <w:t xml:space="preserve"> tampoco existe en relación con tales bienes, por su condición de inalienables, vale decir, sustraídos del comercio, no susceptibles de propiedad privada. </w:t>
      </w:r>
      <w:r w:rsidRPr="00FF2DD7">
        <w:rPr>
          <w:rFonts w:ascii="Arial" w:eastAsia="Times New Roman" w:hAnsi="Arial" w:cs="Arial"/>
          <w:i/>
          <w:u w:val="single"/>
          <w:lang w:val="es-CO" w:eastAsia="es-ES"/>
        </w:rPr>
        <w:t>En esos bienes, observa Demófilo de Buen, el Estado no tiene, hablando con propiedad sino “un derecho de administración o gestión en unos casos, y en otros una función de policía para que no se entorpezca y se coordine el uso común”</w:t>
      </w:r>
      <w:r w:rsidRPr="00FF2DD7">
        <w:rPr>
          <w:rFonts w:ascii="Arial" w:eastAsia="Times New Roman" w:hAnsi="Arial" w:cs="Arial"/>
          <w:i/>
          <w:lang w:val="es-CO" w:eastAsia="es-ES"/>
        </w:rPr>
        <w:t xml:space="preserve">. En todo caso, el dominio del Estado sobre los bienes de uso público, es un dominio </w:t>
      </w:r>
      <w:r w:rsidRPr="00FF2DD7">
        <w:rPr>
          <w:rFonts w:ascii="Arial" w:eastAsia="Times New Roman" w:hAnsi="Arial" w:cs="Arial"/>
          <w:b/>
          <w:i/>
          <w:lang w:val="es-CO" w:eastAsia="es-ES"/>
        </w:rPr>
        <w:t>sui generis</w:t>
      </w:r>
      <w:r w:rsidRPr="00FF2DD7">
        <w:rPr>
          <w:rFonts w:ascii="Arial" w:eastAsia="Times New Roman" w:hAnsi="Arial" w:cs="Arial"/>
          <w:i/>
          <w:lang w:val="es-CO" w:eastAsia="es-ES"/>
        </w:rPr>
        <w:t>”</w:t>
      </w:r>
      <w:r w:rsidRPr="00FF2DD7">
        <w:rPr>
          <w:rFonts w:ascii="Arial" w:eastAsia="Times New Roman" w:hAnsi="Arial" w:cs="Arial"/>
          <w:i/>
          <w:vertAlign w:val="superscript"/>
          <w:lang w:val="es-CO" w:eastAsia="es-ES"/>
        </w:rPr>
        <w:footnoteReference w:id="11"/>
      </w:r>
      <w:r w:rsidRPr="00FF2DD7">
        <w:rPr>
          <w:rFonts w:ascii="Arial" w:eastAsia="Times New Roman" w:hAnsi="Arial" w:cs="Arial"/>
          <w:i/>
          <w:lang w:val="es-CO" w:eastAsia="es-ES"/>
        </w:rPr>
        <w:t xml:space="preserve"> (negrillas en el texto original; subrayas y cursivas fuera de él).</w:t>
      </w:r>
    </w:p>
    <w:p w:rsidR="00FF2DD7" w:rsidRPr="00FF2DD7" w:rsidRDefault="00FF2DD7" w:rsidP="00223122">
      <w:pPr>
        <w:overflowPunct w:val="0"/>
        <w:autoSpaceDE w:val="0"/>
        <w:autoSpaceDN w:val="0"/>
        <w:adjustRightInd w:val="0"/>
        <w:spacing w:line="360" w:lineRule="auto"/>
        <w:ind w:left="708" w:firstLine="709"/>
        <w:jc w:val="both"/>
        <w:textAlignment w:val="baseline"/>
        <w:rPr>
          <w:rFonts w:ascii="Arial" w:eastAsia="Times New Roman" w:hAnsi="Arial" w:cs="Arial"/>
          <w:i/>
          <w:lang w:val="es-CO" w:eastAsia="es-ES"/>
        </w:rPr>
      </w:pPr>
    </w:p>
    <w:p w:rsidR="00027EA5" w:rsidRPr="00331952" w:rsidRDefault="00FF2DD7" w:rsidP="004F78B1">
      <w:pPr>
        <w:pStyle w:val="tesis"/>
        <w:spacing w:after="0" w:line="360" w:lineRule="auto"/>
        <w:ind w:left="0"/>
        <w:rPr>
          <w:rFonts w:ascii="Arial" w:hAnsi="Arial" w:cs="Arial"/>
          <w:b w:val="0"/>
          <w:i/>
          <w:sz w:val="24"/>
          <w:szCs w:val="24"/>
        </w:rPr>
      </w:pPr>
      <w:r w:rsidRPr="00FF2DD7">
        <w:rPr>
          <w:rFonts w:ascii="Arial" w:hAnsi="Arial" w:cs="Arial"/>
          <w:b w:val="0"/>
          <w:i/>
          <w:szCs w:val="22"/>
          <w:lang w:val="es-CO"/>
        </w:rPr>
        <w:t xml:space="preserve">La referida comparación conduce a realizar una sucinta alusión al régimen jurídico propio de los bienes de uso público, asunto del cual se ha ocupado en diversas ocasiones esta Sala para señalar, con carácter general, que los aludidos bienes son aquellos cuya titularidad pertenece al Estado ─o, en estricto sentido, a </w:t>
      </w:r>
      <w:smartTag w:uri="urn:schemas-microsoft-com:office:smarttags" w:element="PersonName">
        <w:smartTagPr>
          <w:attr w:name="ProductID" w:val="la Naci￳n"/>
        </w:smartTagPr>
        <w:r w:rsidRPr="00FF2DD7">
          <w:rPr>
            <w:rFonts w:ascii="Arial" w:hAnsi="Arial" w:cs="Arial"/>
            <w:b w:val="0"/>
            <w:i/>
            <w:szCs w:val="22"/>
            <w:lang w:val="es-CO"/>
          </w:rPr>
          <w:t>la Nación</w:t>
        </w:r>
      </w:smartTag>
      <w:r w:rsidRPr="00FF2DD7">
        <w:rPr>
          <w:rFonts w:ascii="Arial" w:hAnsi="Arial" w:cs="Arial"/>
          <w:b w:val="0"/>
          <w:i/>
          <w:szCs w:val="22"/>
          <w:lang w:val="es-CO"/>
        </w:rPr>
        <w:t>, según se verá─ y cuya afectación o destino está orientado al uso de todos los habitantes de un territorio, propósito éste en virtud del cual las entidades responsables de su manejo ejercen unas potestades de regulación, administración, control y vigilancia</w:t>
      </w:r>
      <w:r w:rsidRPr="00FF2DD7">
        <w:rPr>
          <w:rFonts w:ascii="Arial" w:hAnsi="Arial" w:cs="Arial"/>
          <w:b w:val="0"/>
          <w:i/>
          <w:szCs w:val="22"/>
          <w:vertAlign w:val="superscript"/>
          <w:lang w:val="es-CO"/>
        </w:rPr>
        <w:footnoteReference w:id="12"/>
      </w:r>
      <w:r w:rsidRPr="00FF2DD7">
        <w:rPr>
          <w:rFonts w:ascii="Arial" w:hAnsi="Arial" w:cs="Arial"/>
          <w:b w:val="0"/>
          <w:i/>
          <w:szCs w:val="22"/>
          <w:lang w:val="es-CO"/>
        </w:rPr>
        <w:t xml:space="preserve"> que lejos de permitir la asimilación entre </w:t>
      </w:r>
      <w:r w:rsidRPr="00FF2DD7">
        <w:rPr>
          <w:rFonts w:ascii="Arial" w:hAnsi="Arial" w:cs="Arial"/>
          <w:b w:val="0"/>
          <w:i/>
          <w:szCs w:val="22"/>
          <w:lang w:val="es-CO"/>
        </w:rPr>
        <w:lastRenderedPageBreak/>
        <w:t xml:space="preserve">la propiedad privada y la titularidad que ostentan respecto de dichos bienes, apunta, exclusivamente, a propender porque se respete y se garantice el destino ─natural o jurídico─ de los mismos, que no es otro que el de servir a su utilización, en las condiciones que se correspondan con la naturaleza del bien y con la razonable y proporcionada reglamentación que su adecuado uso determinen, por parte de la colectividad, que es su verdadera titular, a través de </w:t>
      </w:r>
      <w:smartTag w:uri="urn:schemas-microsoft-com:office:smarttags" w:element="PersonName">
        <w:smartTagPr>
          <w:attr w:name="ProductID" w:val="la Naci￳n"/>
        </w:smartTagPr>
        <w:r w:rsidRPr="00FF2DD7">
          <w:rPr>
            <w:rFonts w:ascii="Arial" w:hAnsi="Arial" w:cs="Arial"/>
            <w:b w:val="0"/>
            <w:i/>
            <w:szCs w:val="22"/>
            <w:lang w:val="es-CO"/>
          </w:rPr>
          <w:t>la Nación</w:t>
        </w:r>
      </w:smartTag>
      <w:r w:rsidRPr="00FF2DD7">
        <w:rPr>
          <w:rFonts w:ascii="Arial" w:hAnsi="Arial" w:cs="Arial"/>
          <w:b w:val="0"/>
          <w:i/>
          <w:szCs w:val="22"/>
          <w:lang w:val="es-CO"/>
        </w:rPr>
        <w:t>, como expresamente lo establece, actualmente, la Carta Política</w:t>
      </w:r>
      <w:r>
        <w:rPr>
          <w:rFonts w:ascii="Arial" w:hAnsi="Arial" w:cs="Arial"/>
          <w:b w:val="0"/>
          <w:i/>
          <w:szCs w:val="22"/>
          <w:lang w:val="es-CO"/>
        </w:rPr>
        <w:t>…”.</w:t>
      </w:r>
    </w:p>
    <w:p w:rsidR="00027EA5" w:rsidRPr="00331952" w:rsidRDefault="00027EA5" w:rsidP="00027EA5">
      <w:pPr>
        <w:numPr>
          <w:ilvl w:val="12"/>
          <w:numId w:val="0"/>
        </w:numPr>
        <w:spacing w:line="360" w:lineRule="auto"/>
        <w:jc w:val="both"/>
        <w:rPr>
          <w:rFonts w:ascii="Arial" w:hAnsi="Arial" w:cs="Arial"/>
          <w:sz w:val="24"/>
          <w:szCs w:val="24"/>
          <w:lang w:val="es-CO"/>
        </w:rPr>
      </w:pPr>
    </w:p>
    <w:p w:rsidR="00027EA5" w:rsidRDefault="007A5734" w:rsidP="00027EA5">
      <w:pPr>
        <w:numPr>
          <w:ilvl w:val="12"/>
          <w:numId w:val="0"/>
        </w:numPr>
        <w:spacing w:line="360" w:lineRule="auto"/>
        <w:jc w:val="both"/>
        <w:rPr>
          <w:rFonts w:ascii="Arial" w:hAnsi="Arial" w:cs="Arial"/>
          <w:sz w:val="24"/>
          <w:szCs w:val="24"/>
          <w:lang w:val="es-CO"/>
        </w:rPr>
      </w:pPr>
      <w:r>
        <w:rPr>
          <w:rFonts w:ascii="Arial" w:hAnsi="Arial" w:cs="Arial"/>
          <w:sz w:val="24"/>
          <w:szCs w:val="24"/>
          <w:lang w:val="es-CO"/>
        </w:rPr>
        <w:t>E</w:t>
      </w:r>
      <w:r w:rsidR="00027EA5" w:rsidRPr="00331952">
        <w:rPr>
          <w:rFonts w:ascii="Arial" w:hAnsi="Arial" w:cs="Arial"/>
          <w:sz w:val="24"/>
          <w:szCs w:val="24"/>
          <w:lang w:val="es-CO"/>
        </w:rPr>
        <w:t xml:space="preserve">n conclusión, de acuerdo con lo citado y transcrito, se tiene que </w:t>
      </w:r>
      <w:r w:rsidR="00FB01D6" w:rsidRPr="008E4783">
        <w:rPr>
          <w:rFonts w:ascii="Arial" w:hAnsi="Arial" w:cs="Arial"/>
          <w:sz w:val="24"/>
          <w:szCs w:val="24"/>
          <w:lang w:val="es-CO"/>
        </w:rPr>
        <w:t>los bienes de uso público</w:t>
      </w:r>
      <w:r w:rsidR="00A56955" w:rsidRPr="008E4783">
        <w:rPr>
          <w:rFonts w:ascii="Arial" w:hAnsi="Arial" w:cs="Arial"/>
          <w:sz w:val="24"/>
          <w:szCs w:val="24"/>
          <w:lang w:val="es-CO"/>
        </w:rPr>
        <w:t xml:space="preserve"> son aquellos </w:t>
      </w:r>
      <w:r w:rsidR="00E22E7A" w:rsidRPr="008E4783">
        <w:rPr>
          <w:rFonts w:ascii="Arial" w:hAnsi="Arial" w:cs="Arial"/>
          <w:sz w:val="24"/>
          <w:szCs w:val="24"/>
        </w:rPr>
        <w:t xml:space="preserve">que están destinados al uso y goce de todos los habitantes, y por lo tanto tienen las </w:t>
      </w:r>
      <w:r w:rsidR="008D21D2" w:rsidRPr="008E4783">
        <w:rPr>
          <w:rFonts w:ascii="Arial" w:hAnsi="Arial" w:cs="Arial"/>
          <w:sz w:val="24"/>
          <w:szCs w:val="24"/>
        </w:rPr>
        <w:t>características</w:t>
      </w:r>
      <w:r w:rsidR="00E22E7A" w:rsidRPr="008E4783">
        <w:rPr>
          <w:rFonts w:ascii="Arial" w:hAnsi="Arial" w:cs="Arial"/>
          <w:sz w:val="24"/>
          <w:szCs w:val="24"/>
        </w:rPr>
        <w:t xml:space="preserve"> de ser inalienables, imprescriptibles e inembargables, tal como lo consagra la Constitución y la Ley.</w:t>
      </w:r>
    </w:p>
    <w:p w:rsidR="008D21D2" w:rsidRDefault="008D21D2" w:rsidP="00027EA5">
      <w:pPr>
        <w:numPr>
          <w:ilvl w:val="12"/>
          <w:numId w:val="0"/>
        </w:numPr>
        <w:spacing w:line="360" w:lineRule="auto"/>
        <w:jc w:val="both"/>
        <w:rPr>
          <w:rFonts w:ascii="Arial" w:hAnsi="Arial" w:cs="Arial"/>
          <w:sz w:val="24"/>
          <w:szCs w:val="24"/>
          <w:lang w:val="es-CO"/>
        </w:rPr>
      </w:pPr>
    </w:p>
    <w:p w:rsidR="008D21D2" w:rsidRPr="000A4F19" w:rsidRDefault="004F78B1" w:rsidP="00027EA5">
      <w:pPr>
        <w:numPr>
          <w:ilvl w:val="12"/>
          <w:numId w:val="0"/>
        </w:numPr>
        <w:spacing w:line="360" w:lineRule="auto"/>
        <w:jc w:val="both"/>
        <w:rPr>
          <w:rFonts w:ascii="Arial" w:hAnsi="Arial" w:cs="Arial"/>
          <w:sz w:val="24"/>
          <w:szCs w:val="24"/>
          <w:lang w:val="es-CO"/>
        </w:rPr>
      </w:pPr>
      <w:r>
        <w:rPr>
          <w:rFonts w:ascii="Arial" w:hAnsi="Arial" w:cs="Arial"/>
          <w:sz w:val="24"/>
          <w:szCs w:val="24"/>
          <w:lang w:val="es-CO"/>
        </w:rPr>
        <w:t xml:space="preserve">Sin embargo, </w:t>
      </w:r>
      <w:bookmarkStart w:id="4" w:name="_Hlk28011664"/>
      <w:r>
        <w:rPr>
          <w:rFonts w:ascii="Arial" w:hAnsi="Arial" w:cs="Arial"/>
          <w:sz w:val="24"/>
          <w:szCs w:val="24"/>
          <w:lang w:val="es-CO"/>
        </w:rPr>
        <w:t xml:space="preserve">de otro lado se </w:t>
      </w:r>
      <w:r w:rsidR="00887B09">
        <w:rPr>
          <w:rFonts w:ascii="Arial" w:hAnsi="Arial" w:cs="Arial"/>
          <w:sz w:val="24"/>
          <w:szCs w:val="24"/>
          <w:lang w:val="es-CO"/>
        </w:rPr>
        <w:t>sitúan</w:t>
      </w:r>
      <w:r w:rsidR="008D21D2">
        <w:rPr>
          <w:rFonts w:ascii="Arial" w:hAnsi="Arial" w:cs="Arial"/>
          <w:sz w:val="24"/>
          <w:szCs w:val="24"/>
          <w:lang w:val="es-CO"/>
        </w:rPr>
        <w:t xml:space="preserve"> los denominados bienes fiscales, </w:t>
      </w:r>
      <w:r w:rsidR="000A4F19">
        <w:rPr>
          <w:rFonts w:ascii="Arial" w:hAnsi="Arial" w:cs="Arial"/>
          <w:sz w:val="24"/>
          <w:szCs w:val="24"/>
          <w:lang w:val="es-CO"/>
        </w:rPr>
        <w:t xml:space="preserve">cuya titularidad recae sobre </w:t>
      </w:r>
      <w:r w:rsidR="00222D65">
        <w:rPr>
          <w:rFonts w:ascii="Arial" w:hAnsi="Arial" w:cs="Arial"/>
          <w:sz w:val="24"/>
          <w:szCs w:val="24"/>
          <w:lang w:val="es-CO"/>
        </w:rPr>
        <w:t>la Nación, un Departamento o un Municipio</w:t>
      </w:r>
      <w:r w:rsidR="00794C69">
        <w:rPr>
          <w:rFonts w:ascii="Arial" w:hAnsi="Arial" w:cs="Arial"/>
          <w:sz w:val="24"/>
          <w:szCs w:val="24"/>
          <w:lang w:val="es-CO"/>
        </w:rPr>
        <w:t xml:space="preserve">, es decir, una persona jurídica de </w:t>
      </w:r>
      <w:r w:rsidR="00C85098">
        <w:rPr>
          <w:rFonts w:ascii="Arial" w:hAnsi="Arial" w:cs="Arial"/>
          <w:sz w:val="24"/>
          <w:szCs w:val="24"/>
          <w:lang w:val="es-CO"/>
        </w:rPr>
        <w:t>derecho público</w:t>
      </w:r>
      <w:r w:rsidR="00222D65">
        <w:rPr>
          <w:rFonts w:ascii="Arial" w:hAnsi="Arial" w:cs="Arial"/>
          <w:sz w:val="24"/>
          <w:szCs w:val="24"/>
          <w:lang w:val="es-CO"/>
        </w:rPr>
        <w:t>, seg</w:t>
      </w:r>
      <w:r w:rsidR="00C85098">
        <w:rPr>
          <w:rFonts w:ascii="Arial" w:hAnsi="Arial" w:cs="Arial"/>
          <w:sz w:val="24"/>
          <w:szCs w:val="24"/>
          <w:lang w:val="es-CO"/>
        </w:rPr>
        <w:t>ún el caso. Los cuales son negociables y enajenables</w:t>
      </w:r>
      <w:r w:rsidR="001611C4">
        <w:rPr>
          <w:rFonts w:ascii="Arial" w:hAnsi="Arial" w:cs="Arial"/>
          <w:sz w:val="24"/>
          <w:szCs w:val="24"/>
          <w:lang w:val="es-CO"/>
        </w:rPr>
        <w:t xml:space="preserve">, pues son de aquellos que conforman el patrimonio </w:t>
      </w:r>
      <w:r w:rsidR="00656F1B">
        <w:rPr>
          <w:rFonts w:ascii="Arial" w:hAnsi="Arial" w:cs="Arial"/>
          <w:sz w:val="24"/>
          <w:szCs w:val="24"/>
          <w:lang w:val="es-CO"/>
        </w:rPr>
        <w:t xml:space="preserve">de quien ostente si titularidad y en consecuencia </w:t>
      </w:r>
      <w:r w:rsidR="007A5734">
        <w:rPr>
          <w:rFonts w:ascii="Arial" w:hAnsi="Arial" w:cs="Arial"/>
          <w:sz w:val="24"/>
          <w:szCs w:val="24"/>
          <w:lang w:val="es-CO"/>
        </w:rPr>
        <w:t>se encuentran dentro del comercio.</w:t>
      </w:r>
    </w:p>
    <w:bookmarkEnd w:id="4"/>
    <w:p w:rsidR="00027EA5" w:rsidRPr="00331952" w:rsidRDefault="00027EA5" w:rsidP="00027EA5">
      <w:pPr>
        <w:spacing w:line="360" w:lineRule="auto"/>
        <w:jc w:val="both"/>
        <w:rPr>
          <w:rFonts w:ascii="Arial" w:hAnsi="Arial" w:cs="Arial"/>
          <w:b/>
          <w:bCs/>
          <w:sz w:val="24"/>
          <w:szCs w:val="24"/>
        </w:rPr>
      </w:pPr>
    </w:p>
    <w:p w:rsidR="00027EA5" w:rsidRPr="00331952" w:rsidRDefault="00027EA5" w:rsidP="00027EA5">
      <w:pPr>
        <w:spacing w:line="360" w:lineRule="auto"/>
        <w:jc w:val="both"/>
        <w:rPr>
          <w:rFonts w:ascii="Arial" w:hAnsi="Arial" w:cs="Arial"/>
          <w:b/>
          <w:bCs/>
          <w:sz w:val="24"/>
          <w:szCs w:val="24"/>
        </w:rPr>
      </w:pPr>
      <w:r w:rsidRPr="00331952">
        <w:rPr>
          <w:rFonts w:ascii="Arial" w:hAnsi="Arial" w:cs="Arial"/>
          <w:b/>
          <w:bCs/>
          <w:sz w:val="24"/>
          <w:szCs w:val="24"/>
        </w:rPr>
        <w:t xml:space="preserve">2.  Caducidad de </w:t>
      </w:r>
      <w:r w:rsidR="00B8150E">
        <w:rPr>
          <w:rFonts w:ascii="Arial" w:hAnsi="Arial" w:cs="Arial"/>
          <w:b/>
          <w:bCs/>
          <w:sz w:val="24"/>
          <w:szCs w:val="24"/>
        </w:rPr>
        <w:t>la acción</w:t>
      </w:r>
    </w:p>
    <w:p w:rsidR="00027EA5" w:rsidRPr="00331952" w:rsidRDefault="00027EA5" w:rsidP="00027EA5">
      <w:pPr>
        <w:spacing w:line="360" w:lineRule="auto"/>
        <w:jc w:val="both"/>
        <w:rPr>
          <w:rFonts w:ascii="Arial" w:hAnsi="Arial" w:cs="Arial"/>
          <w:bCs/>
          <w:sz w:val="24"/>
          <w:szCs w:val="24"/>
        </w:rPr>
      </w:pPr>
    </w:p>
    <w:p w:rsidR="00027EA5" w:rsidRPr="00331952" w:rsidRDefault="00027EA5" w:rsidP="00027EA5">
      <w:pPr>
        <w:numPr>
          <w:ilvl w:val="12"/>
          <w:numId w:val="0"/>
        </w:numPr>
        <w:spacing w:line="360" w:lineRule="auto"/>
        <w:jc w:val="both"/>
        <w:rPr>
          <w:rFonts w:ascii="Arial" w:hAnsi="Arial" w:cs="Arial"/>
          <w:sz w:val="24"/>
          <w:szCs w:val="24"/>
        </w:rPr>
      </w:pPr>
      <w:r w:rsidRPr="00331952">
        <w:rPr>
          <w:rFonts w:ascii="Arial" w:hAnsi="Arial" w:cs="Arial"/>
          <w:sz w:val="24"/>
          <w:szCs w:val="24"/>
        </w:rPr>
        <w:t>Sobre la caducidad de la acción</w:t>
      </w:r>
      <w:r w:rsidRPr="00331952">
        <w:rPr>
          <w:rStyle w:val="Refdenotaalpie"/>
          <w:rFonts w:ascii="Arial" w:hAnsi="Arial" w:cs="Arial"/>
          <w:sz w:val="24"/>
          <w:szCs w:val="24"/>
        </w:rPr>
        <w:footnoteReference w:id="13"/>
      </w:r>
      <w:r w:rsidRPr="00331952">
        <w:rPr>
          <w:rFonts w:ascii="Arial" w:hAnsi="Arial" w:cs="Arial"/>
          <w:sz w:val="24"/>
          <w:szCs w:val="24"/>
        </w:rPr>
        <w:t xml:space="preserve"> </w:t>
      </w:r>
      <w:bookmarkStart w:id="5" w:name="_Hlk28011693"/>
      <w:r w:rsidRPr="00331952">
        <w:rPr>
          <w:rFonts w:ascii="Arial" w:hAnsi="Arial" w:cs="Arial"/>
          <w:sz w:val="24"/>
          <w:szCs w:val="24"/>
        </w:rPr>
        <w:t>se sabe que éste es un fenómeno jurídico que implica la imposibilidad de formular ante la jurisdicción unas determinadas pretensiones habida cuenta de que ha transcurrido el término que perentoriamente ha señalado la ley para ejercitar la correspondiente acción.</w:t>
      </w:r>
    </w:p>
    <w:p w:rsidR="00027EA5" w:rsidRPr="00331952" w:rsidRDefault="00027EA5" w:rsidP="00027EA5">
      <w:pPr>
        <w:numPr>
          <w:ilvl w:val="12"/>
          <w:numId w:val="0"/>
        </w:numPr>
        <w:spacing w:line="360" w:lineRule="auto"/>
        <w:jc w:val="both"/>
        <w:rPr>
          <w:rFonts w:ascii="Arial" w:hAnsi="Arial" w:cs="Arial"/>
          <w:sz w:val="24"/>
          <w:szCs w:val="24"/>
        </w:rPr>
      </w:pPr>
    </w:p>
    <w:p w:rsidR="00027EA5" w:rsidRPr="00331952" w:rsidRDefault="00027EA5" w:rsidP="00027EA5">
      <w:pPr>
        <w:numPr>
          <w:ilvl w:val="12"/>
          <w:numId w:val="0"/>
        </w:numPr>
        <w:spacing w:line="360" w:lineRule="auto"/>
        <w:jc w:val="both"/>
        <w:rPr>
          <w:rFonts w:ascii="Arial" w:hAnsi="Arial" w:cs="Arial"/>
          <w:sz w:val="24"/>
          <w:szCs w:val="24"/>
        </w:rPr>
      </w:pPr>
      <w:r w:rsidRPr="00331952">
        <w:rPr>
          <w:rFonts w:ascii="Arial" w:hAnsi="Arial" w:cs="Arial"/>
          <w:sz w:val="24"/>
          <w:szCs w:val="24"/>
        </w:rPr>
        <w:t>La seguridad jurídica y la paz social son las razones que fundamentalmente justifican que el legislador limite desde el punto de vista temporal la posibilidad de aducir ante el juez unas concretas pretensiones y por ello se dice que la caducidad protege intereses de orden general.</w:t>
      </w:r>
    </w:p>
    <w:p w:rsidR="00027EA5" w:rsidRPr="00331952" w:rsidRDefault="00027EA5" w:rsidP="00027EA5">
      <w:pPr>
        <w:numPr>
          <w:ilvl w:val="12"/>
          <w:numId w:val="0"/>
        </w:numPr>
        <w:spacing w:line="360" w:lineRule="auto"/>
        <w:jc w:val="both"/>
        <w:rPr>
          <w:rFonts w:ascii="Arial" w:hAnsi="Arial" w:cs="Arial"/>
          <w:sz w:val="24"/>
          <w:szCs w:val="24"/>
        </w:rPr>
      </w:pPr>
    </w:p>
    <w:p w:rsidR="00027EA5" w:rsidRPr="00331952" w:rsidRDefault="00027EA5" w:rsidP="00027EA5">
      <w:pPr>
        <w:numPr>
          <w:ilvl w:val="12"/>
          <w:numId w:val="0"/>
        </w:numPr>
        <w:spacing w:line="360" w:lineRule="auto"/>
        <w:jc w:val="both"/>
        <w:rPr>
          <w:rFonts w:ascii="Arial" w:hAnsi="Arial" w:cs="Arial"/>
          <w:sz w:val="24"/>
          <w:szCs w:val="24"/>
        </w:rPr>
      </w:pPr>
      <w:r w:rsidRPr="00331952">
        <w:rPr>
          <w:rFonts w:ascii="Arial" w:hAnsi="Arial" w:cs="Arial"/>
          <w:sz w:val="24"/>
          <w:szCs w:val="24"/>
        </w:rPr>
        <w:t>Los términos para que opere la caducidad están siempre señalados en la ley y las normas que los contienen son de orden público, razones por las cuales son taxativos y las partes no pueden crear término alguno de caducidad.</w:t>
      </w:r>
    </w:p>
    <w:p w:rsidR="00027EA5" w:rsidRPr="00331952" w:rsidRDefault="00027EA5" w:rsidP="00027EA5">
      <w:pPr>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r w:rsidRPr="00331952">
        <w:rPr>
          <w:rFonts w:ascii="Arial" w:hAnsi="Arial" w:cs="Arial"/>
          <w:bCs/>
          <w:sz w:val="24"/>
          <w:szCs w:val="24"/>
        </w:rPr>
        <w:lastRenderedPageBreak/>
        <w:t>La caducidad opera de pleno derecho, es decir que se estructura con el solo hecho de transcurrir el tiempo prefijado para ello, y por lo tanto el juez puede y debe decretarla aún de oficio cuando aparezca que ella ha operado.</w:t>
      </w:r>
    </w:p>
    <w:bookmarkEnd w:id="5"/>
    <w:p w:rsidR="00027EA5" w:rsidRPr="00331952" w:rsidRDefault="00027EA5" w:rsidP="00027EA5">
      <w:pPr>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bookmarkStart w:id="6" w:name="_Hlk28011754"/>
      <w:r w:rsidRPr="00331952">
        <w:rPr>
          <w:rFonts w:ascii="Arial" w:hAnsi="Arial" w:cs="Arial"/>
          <w:bCs/>
          <w:sz w:val="24"/>
          <w:szCs w:val="24"/>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bookmarkEnd w:id="6"/>
    <w:p w:rsidR="00027EA5" w:rsidRPr="00331952" w:rsidRDefault="00027EA5" w:rsidP="00027EA5">
      <w:pPr>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r w:rsidRPr="00331952">
        <w:rPr>
          <w:rFonts w:ascii="Arial" w:hAnsi="Arial" w:cs="Arial"/>
          <w:bCs/>
          <w:sz w:val="24"/>
          <w:szCs w:val="24"/>
        </w:rPr>
        <w:t>Finalmente la caducidad, precisamente por ser de orden público, no puede ser renunciada, no se suspende y no se interrumpe sino en los limitados casos exceptuados en la ley.</w:t>
      </w:r>
    </w:p>
    <w:p w:rsidR="00027EA5" w:rsidRPr="00331952" w:rsidRDefault="00027EA5" w:rsidP="00027EA5">
      <w:pPr>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r w:rsidRPr="00331952">
        <w:rPr>
          <w:rFonts w:ascii="Arial" w:hAnsi="Arial" w:cs="Arial"/>
          <w:bCs/>
          <w:sz w:val="24"/>
          <w:szCs w:val="24"/>
        </w:rPr>
        <w:t xml:space="preserve">Pues bien, 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w:t>
      </w:r>
      <w:r w:rsidR="00B93047">
        <w:rPr>
          <w:rFonts w:ascii="Arial" w:hAnsi="Arial" w:cs="Arial"/>
          <w:bCs/>
          <w:sz w:val="24"/>
          <w:szCs w:val="24"/>
        </w:rPr>
        <w:t>el término prefijado en la ley.</w:t>
      </w:r>
      <w:r w:rsidRPr="00331952">
        <w:rPr>
          <w:rFonts w:ascii="Arial" w:hAnsi="Arial" w:cs="Arial"/>
          <w:bCs/>
          <w:sz w:val="24"/>
          <w:szCs w:val="24"/>
        </w:rPr>
        <w:t xml:space="preserve"> </w:t>
      </w:r>
    </w:p>
    <w:p w:rsidR="00027EA5" w:rsidRPr="00331952" w:rsidRDefault="00027EA5" w:rsidP="00027EA5">
      <w:pPr>
        <w:spacing w:line="360" w:lineRule="auto"/>
        <w:jc w:val="both"/>
        <w:rPr>
          <w:rFonts w:ascii="Arial" w:hAnsi="Arial" w:cs="Arial"/>
          <w:bCs/>
          <w:sz w:val="24"/>
          <w:szCs w:val="24"/>
        </w:rPr>
      </w:pPr>
    </w:p>
    <w:p w:rsidR="00D3193B" w:rsidRDefault="00027EA5" w:rsidP="00027EA5">
      <w:pPr>
        <w:spacing w:line="360" w:lineRule="auto"/>
        <w:jc w:val="both"/>
        <w:rPr>
          <w:rFonts w:ascii="Arial" w:hAnsi="Arial" w:cs="Arial"/>
          <w:color w:val="000000"/>
          <w:sz w:val="24"/>
          <w:szCs w:val="24"/>
          <w:shd w:val="clear" w:color="auto" w:fill="FFFFFF"/>
        </w:rPr>
      </w:pPr>
      <w:r w:rsidRPr="00331952">
        <w:rPr>
          <w:rFonts w:ascii="Arial" w:hAnsi="Arial" w:cs="Arial"/>
          <w:bCs/>
          <w:sz w:val="24"/>
          <w:szCs w:val="24"/>
        </w:rPr>
        <w:t xml:space="preserve">Así las cosas, para el caso de la acción contractual, el Código Contencioso señala en el artículo 136 numeral 10 que </w:t>
      </w:r>
      <w:r w:rsidRPr="00331952">
        <w:rPr>
          <w:rFonts w:ascii="Arial" w:hAnsi="Arial" w:cs="Arial"/>
          <w:color w:val="000000"/>
          <w:sz w:val="24"/>
          <w:szCs w:val="24"/>
          <w:shd w:val="clear" w:color="auto" w:fill="FFFFFF"/>
        </w:rPr>
        <w:t xml:space="preserve">el término de caducidad será de dos (2) años contados  a partir del día siguiente a la ocurrencia de los motivos de hecho o de derecho que les sirvan de fundamento. </w:t>
      </w:r>
      <w:r w:rsidR="00D3193B">
        <w:rPr>
          <w:rFonts w:ascii="Arial" w:hAnsi="Arial" w:cs="Arial"/>
          <w:color w:val="000000"/>
          <w:sz w:val="24"/>
          <w:szCs w:val="24"/>
          <w:shd w:val="clear" w:color="auto" w:fill="FFFFFF"/>
        </w:rPr>
        <w:t>Luego sobre la nulidad absoluta del contrato en el literal e) consagra que podrá ser alegada por las partes contratantes, por el Ministerio Público o cualquier persona interesada, dentro de los dos años siguientes a su perfeccionamiento, y que si el término de vigencia del contrato fuere superior a dos años el término de caducidad será igual al de su vigencia, sin que en ningún caso exceda de cinco años a partir de su perfeccionamiento.</w:t>
      </w:r>
    </w:p>
    <w:p w:rsidR="00D3193B" w:rsidRDefault="00D3193B" w:rsidP="00027EA5">
      <w:pPr>
        <w:spacing w:line="360" w:lineRule="auto"/>
        <w:jc w:val="both"/>
        <w:rPr>
          <w:rFonts w:ascii="Arial" w:hAnsi="Arial" w:cs="Arial"/>
          <w:color w:val="000000"/>
          <w:sz w:val="24"/>
          <w:szCs w:val="24"/>
          <w:shd w:val="clear" w:color="auto" w:fill="FFFFFF"/>
        </w:rPr>
      </w:pPr>
    </w:p>
    <w:p w:rsidR="00027EA5" w:rsidRDefault="00027EA5" w:rsidP="00027EA5">
      <w:pPr>
        <w:spacing w:line="360" w:lineRule="auto"/>
        <w:jc w:val="both"/>
        <w:rPr>
          <w:rFonts w:ascii="Arial" w:hAnsi="Arial" w:cs="Arial"/>
          <w:color w:val="000000"/>
          <w:sz w:val="24"/>
          <w:szCs w:val="24"/>
          <w:shd w:val="clear" w:color="auto" w:fill="FFFFFF"/>
        </w:rPr>
      </w:pPr>
      <w:r w:rsidRPr="00331952">
        <w:rPr>
          <w:rFonts w:ascii="Arial" w:hAnsi="Arial" w:cs="Arial"/>
          <w:color w:val="000000"/>
          <w:sz w:val="24"/>
          <w:szCs w:val="24"/>
          <w:shd w:val="clear" w:color="auto" w:fill="FFFFFF"/>
        </w:rPr>
        <w:t xml:space="preserve">Es decir, que </w:t>
      </w:r>
      <w:bookmarkStart w:id="7" w:name="_Hlk28011776"/>
      <w:r w:rsidRPr="00331952">
        <w:rPr>
          <w:rFonts w:ascii="Arial" w:hAnsi="Arial" w:cs="Arial"/>
          <w:color w:val="000000"/>
          <w:sz w:val="24"/>
          <w:szCs w:val="24"/>
          <w:shd w:val="clear" w:color="auto" w:fill="FFFFFF"/>
        </w:rPr>
        <w:t xml:space="preserve">pasados dos años desde la fecha de la ocurrencia de las circunstancias que dan origen a la acción, el Juez de conocimiento deberá decretar probada la excepción de caducidad, aun si la parte demandada no lo ha solicitado. </w:t>
      </w:r>
    </w:p>
    <w:bookmarkEnd w:id="7"/>
    <w:p w:rsidR="00B8150E" w:rsidRPr="00331952" w:rsidRDefault="00B8150E" w:rsidP="00027EA5">
      <w:pPr>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r w:rsidRPr="00331952">
        <w:rPr>
          <w:rFonts w:ascii="Arial" w:hAnsi="Arial" w:cs="Arial"/>
          <w:bCs/>
          <w:sz w:val="24"/>
          <w:szCs w:val="24"/>
        </w:rPr>
        <w:t xml:space="preserve">Precisado lo anterior, pasa la Sala a abordar el análisis del caso concreto. </w:t>
      </w:r>
    </w:p>
    <w:p w:rsidR="00787473" w:rsidRPr="00331952" w:rsidRDefault="00787473" w:rsidP="00027EA5">
      <w:pPr>
        <w:spacing w:line="360" w:lineRule="auto"/>
        <w:jc w:val="both"/>
        <w:rPr>
          <w:rFonts w:ascii="Arial" w:hAnsi="Arial" w:cs="Arial"/>
          <w:b/>
          <w:bCs/>
          <w:sz w:val="24"/>
          <w:szCs w:val="24"/>
        </w:rPr>
      </w:pPr>
    </w:p>
    <w:p w:rsidR="00027EA5" w:rsidRPr="00331952" w:rsidRDefault="00027EA5" w:rsidP="00027EA5">
      <w:pPr>
        <w:spacing w:line="360" w:lineRule="auto"/>
        <w:jc w:val="both"/>
        <w:rPr>
          <w:rFonts w:ascii="Arial" w:hAnsi="Arial" w:cs="Arial"/>
          <w:b/>
          <w:bCs/>
          <w:sz w:val="24"/>
          <w:szCs w:val="24"/>
        </w:rPr>
      </w:pPr>
      <w:r w:rsidRPr="00331952">
        <w:rPr>
          <w:rFonts w:ascii="Arial" w:hAnsi="Arial" w:cs="Arial"/>
          <w:b/>
          <w:bCs/>
          <w:sz w:val="24"/>
          <w:szCs w:val="24"/>
        </w:rPr>
        <w:t>3. El Caso Concreto</w:t>
      </w:r>
    </w:p>
    <w:p w:rsidR="00027EA5" w:rsidRPr="00331952" w:rsidRDefault="00027EA5" w:rsidP="00027EA5">
      <w:pPr>
        <w:spacing w:line="360" w:lineRule="auto"/>
        <w:rPr>
          <w:rFonts w:ascii="Arial" w:hAnsi="Arial" w:cs="Arial"/>
          <w:b/>
          <w:bCs/>
          <w:sz w:val="24"/>
          <w:szCs w:val="24"/>
        </w:rPr>
      </w:pPr>
    </w:p>
    <w:p w:rsidR="006953C6" w:rsidRPr="00331952" w:rsidRDefault="00027EA5" w:rsidP="00027EA5">
      <w:pPr>
        <w:tabs>
          <w:tab w:val="left" w:pos="5667"/>
        </w:tabs>
        <w:spacing w:line="360" w:lineRule="auto"/>
        <w:jc w:val="both"/>
        <w:rPr>
          <w:rFonts w:ascii="Arial" w:hAnsi="Arial" w:cs="Arial"/>
          <w:bCs/>
          <w:sz w:val="24"/>
          <w:szCs w:val="24"/>
        </w:rPr>
      </w:pPr>
      <w:r w:rsidRPr="00331952">
        <w:rPr>
          <w:rFonts w:ascii="Arial" w:hAnsi="Arial" w:cs="Arial"/>
          <w:bCs/>
          <w:sz w:val="24"/>
          <w:szCs w:val="24"/>
        </w:rPr>
        <w:lastRenderedPageBreak/>
        <w:t xml:space="preserve">Inicialmente la Sala se detendrá a analizar la </w:t>
      </w:r>
      <w:r w:rsidR="00834A57">
        <w:rPr>
          <w:rFonts w:ascii="Arial" w:hAnsi="Arial" w:cs="Arial"/>
          <w:bCs/>
          <w:sz w:val="24"/>
          <w:szCs w:val="24"/>
        </w:rPr>
        <w:t xml:space="preserve">naturaleza del predio materia de discusión y de acuerdo a ello, estudiará si la </w:t>
      </w:r>
      <w:r w:rsidRPr="00331952">
        <w:rPr>
          <w:rFonts w:ascii="Arial" w:hAnsi="Arial" w:cs="Arial"/>
          <w:bCs/>
          <w:sz w:val="24"/>
          <w:szCs w:val="24"/>
        </w:rPr>
        <w:t xml:space="preserve">acción contractual incoada por la parte demandante se encuentra caducada, o si por el contrario, fue interpuesta en tiempo y  en caso de que no se configure este fenómeno jurídico, se procederá a revisar los pedimentos del recurrente. </w:t>
      </w:r>
    </w:p>
    <w:p w:rsidR="00027EA5" w:rsidRPr="00331952" w:rsidRDefault="00027EA5" w:rsidP="00027EA5">
      <w:pPr>
        <w:tabs>
          <w:tab w:val="left" w:pos="851"/>
          <w:tab w:val="left" w:pos="5667"/>
        </w:tabs>
        <w:spacing w:line="360" w:lineRule="auto"/>
        <w:jc w:val="both"/>
        <w:rPr>
          <w:rFonts w:ascii="Arial" w:hAnsi="Arial" w:cs="Arial"/>
          <w:sz w:val="24"/>
          <w:szCs w:val="24"/>
        </w:rPr>
      </w:pPr>
    </w:p>
    <w:p w:rsidR="004D3A8F" w:rsidRDefault="004D3A8F" w:rsidP="00027EA5">
      <w:pPr>
        <w:tabs>
          <w:tab w:val="left" w:pos="5667"/>
        </w:tabs>
        <w:spacing w:line="360" w:lineRule="auto"/>
        <w:jc w:val="both"/>
        <w:rPr>
          <w:rFonts w:ascii="Arial" w:hAnsi="Arial" w:cs="Arial"/>
          <w:sz w:val="24"/>
          <w:szCs w:val="24"/>
        </w:rPr>
      </w:pPr>
      <w:r>
        <w:rPr>
          <w:rFonts w:ascii="Arial" w:hAnsi="Arial" w:cs="Arial"/>
          <w:sz w:val="24"/>
          <w:szCs w:val="24"/>
        </w:rPr>
        <w:t xml:space="preserve">Ahora bien, </w:t>
      </w:r>
      <w:bookmarkStart w:id="8" w:name="_Hlk28011791"/>
      <w:r w:rsidRPr="001D3B10">
        <w:rPr>
          <w:rFonts w:ascii="Arial" w:hAnsi="Arial" w:cs="Arial"/>
          <w:sz w:val="24"/>
          <w:szCs w:val="24"/>
        </w:rPr>
        <w:t xml:space="preserve">de entrada </w:t>
      </w:r>
      <w:r w:rsidR="00AA1264" w:rsidRPr="001D3B10">
        <w:rPr>
          <w:rFonts w:ascii="Arial" w:hAnsi="Arial" w:cs="Arial"/>
          <w:sz w:val="24"/>
          <w:szCs w:val="24"/>
        </w:rPr>
        <w:t xml:space="preserve">sostiene la Sala que el predio o lote de terreno </w:t>
      </w:r>
      <w:r w:rsidR="00541E4E" w:rsidRPr="001D3B10">
        <w:rPr>
          <w:rFonts w:ascii="Arial" w:hAnsi="Arial" w:cs="Arial"/>
          <w:sz w:val="24"/>
          <w:szCs w:val="24"/>
        </w:rPr>
        <w:t xml:space="preserve">“IPACARAI” </w:t>
      </w:r>
      <w:r w:rsidR="005B0DDB" w:rsidRPr="001D3B10">
        <w:rPr>
          <w:rFonts w:ascii="Arial" w:hAnsi="Arial" w:cs="Arial"/>
          <w:sz w:val="24"/>
          <w:szCs w:val="24"/>
        </w:rPr>
        <w:t>cuya compraventa y naturaleza</w:t>
      </w:r>
      <w:r w:rsidR="00AA1264" w:rsidRPr="001D3B10">
        <w:rPr>
          <w:rFonts w:ascii="Arial" w:hAnsi="Arial" w:cs="Arial"/>
          <w:sz w:val="24"/>
          <w:szCs w:val="24"/>
        </w:rPr>
        <w:t xml:space="preserve"> se encuentra</w:t>
      </w:r>
      <w:r w:rsidR="005B0DDB" w:rsidRPr="001D3B10">
        <w:rPr>
          <w:rFonts w:ascii="Arial" w:hAnsi="Arial" w:cs="Arial"/>
          <w:sz w:val="24"/>
          <w:szCs w:val="24"/>
        </w:rPr>
        <w:t>n</w:t>
      </w:r>
      <w:r w:rsidR="00AA1264" w:rsidRPr="001D3B10">
        <w:rPr>
          <w:rFonts w:ascii="Arial" w:hAnsi="Arial" w:cs="Arial"/>
          <w:sz w:val="24"/>
          <w:szCs w:val="24"/>
        </w:rPr>
        <w:t xml:space="preserve"> en discusión en el caso de autos, es de aquellos </w:t>
      </w:r>
      <w:r w:rsidR="005B0DDB" w:rsidRPr="001D3B10">
        <w:rPr>
          <w:rFonts w:ascii="Arial" w:hAnsi="Arial" w:cs="Arial"/>
          <w:sz w:val="24"/>
          <w:szCs w:val="24"/>
        </w:rPr>
        <w:t xml:space="preserve">que </w:t>
      </w:r>
      <w:r w:rsidR="00AA1264" w:rsidRPr="001D3B10">
        <w:rPr>
          <w:rFonts w:ascii="Arial" w:hAnsi="Arial" w:cs="Arial"/>
          <w:sz w:val="24"/>
          <w:szCs w:val="24"/>
        </w:rPr>
        <w:t>corresponde</w:t>
      </w:r>
      <w:r w:rsidR="005B0DDB" w:rsidRPr="001D3B10">
        <w:rPr>
          <w:rFonts w:ascii="Arial" w:hAnsi="Arial" w:cs="Arial"/>
          <w:sz w:val="24"/>
          <w:szCs w:val="24"/>
        </w:rPr>
        <w:t>n</w:t>
      </w:r>
      <w:r w:rsidR="00AA1264" w:rsidRPr="001D3B10">
        <w:rPr>
          <w:rFonts w:ascii="Arial" w:hAnsi="Arial" w:cs="Arial"/>
          <w:sz w:val="24"/>
          <w:szCs w:val="24"/>
        </w:rPr>
        <w:t xml:space="preserve"> a un bien fiscal y no a un bien de uso público </w:t>
      </w:r>
      <w:r w:rsidR="00F10D71" w:rsidRPr="001D3B10">
        <w:rPr>
          <w:rFonts w:ascii="Arial" w:hAnsi="Arial" w:cs="Arial"/>
          <w:sz w:val="24"/>
          <w:szCs w:val="24"/>
        </w:rPr>
        <w:t xml:space="preserve">que resultaría inajenable, inembargable e imprescriptible </w:t>
      </w:r>
      <w:r w:rsidR="00AA1264" w:rsidRPr="001D3B10">
        <w:rPr>
          <w:rFonts w:ascii="Arial" w:hAnsi="Arial" w:cs="Arial"/>
          <w:sz w:val="24"/>
          <w:szCs w:val="24"/>
        </w:rPr>
        <w:t>tal como sostiene el actor en el libelo introductorio,</w:t>
      </w:r>
      <w:r w:rsidR="00541E4E" w:rsidRPr="001D3B10">
        <w:rPr>
          <w:rFonts w:ascii="Arial" w:hAnsi="Arial" w:cs="Arial"/>
          <w:sz w:val="24"/>
          <w:szCs w:val="24"/>
        </w:rPr>
        <w:t xml:space="preserve"> de acuerdo con los argumentos que pasan a exponerse.</w:t>
      </w:r>
    </w:p>
    <w:bookmarkEnd w:id="8"/>
    <w:p w:rsidR="00F10D71" w:rsidRDefault="00F10D71" w:rsidP="00027EA5">
      <w:pPr>
        <w:tabs>
          <w:tab w:val="left" w:pos="5667"/>
        </w:tabs>
        <w:spacing w:line="360" w:lineRule="auto"/>
        <w:jc w:val="both"/>
        <w:rPr>
          <w:rFonts w:ascii="Arial" w:hAnsi="Arial" w:cs="Arial"/>
          <w:sz w:val="24"/>
          <w:szCs w:val="24"/>
        </w:rPr>
      </w:pPr>
    </w:p>
    <w:p w:rsidR="00F10D71" w:rsidRDefault="00F10D71" w:rsidP="00027EA5">
      <w:pPr>
        <w:tabs>
          <w:tab w:val="left" w:pos="5667"/>
        </w:tabs>
        <w:spacing w:line="360" w:lineRule="auto"/>
        <w:jc w:val="both"/>
        <w:rPr>
          <w:rFonts w:ascii="Arial" w:hAnsi="Arial" w:cs="Arial"/>
          <w:sz w:val="24"/>
          <w:szCs w:val="24"/>
        </w:rPr>
      </w:pPr>
      <w:r>
        <w:rPr>
          <w:rFonts w:ascii="Arial" w:hAnsi="Arial" w:cs="Arial"/>
          <w:sz w:val="24"/>
          <w:szCs w:val="24"/>
        </w:rPr>
        <w:t xml:space="preserve">Se encuentra probado que </w:t>
      </w:r>
      <w:r w:rsidR="002A0715">
        <w:rPr>
          <w:rFonts w:ascii="Arial" w:hAnsi="Arial" w:cs="Arial"/>
          <w:sz w:val="24"/>
          <w:szCs w:val="24"/>
        </w:rPr>
        <w:t>por medio de la</w:t>
      </w:r>
      <w:r>
        <w:rPr>
          <w:rFonts w:ascii="Arial" w:hAnsi="Arial" w:cs="Arial"/>
          <w:sz w:val="24"/>
          <w:szCs w:val="24"/>
        </w:rPr>
        <w:t xml:space="preserve"> escritura pública No. 673</w:t>
      </w:r>
      <w:r w:rsidR="002A0715">
        <w:rPr>
          <w:rFonts w:ascii="Arial" w:hAnsi="Arial" w:cs="Arial"/>
          <w:sz w:val="24"/>
          <w:szCs w:val="24"/>
        </w:rPr>
        <w:t xml:space="preserve"> de 31 de marzo de 1923, se protocolizó el testamento del señor Baudilio Acero en el cual dispuso que legaba a José Antonio Hernández, menor impúber, </w:t>
      </w:r>
      <w:r w:rsidR="00834A57">
        <w:rPr>
          <w:rFonts w:ascii="Arial" w:hAnsi="Arial" w:cs="Arial"/>
          <w:sz w:val="24"/>
          <w:szCs w:val="24"/>
        </w:rPr>
        <w:t>las fincas denominadas “Gachetá” y “Punta de Peña” ubicadas en el municipio de Guachetá, que si el legatario moría ant</w:t>
      </w:r>
      <w:r w:rsidR="00B97061">
        <w:rPr>
          <w:rFonts w:ascii="Arial" w:hAnsi="Arial" w:cs="Arial"/>
          <w:sz w:val="24"/>
          <w:szCs w:val="24"/>
        </w:rPr>
        <w:t>es de cumplir 21 años o se casab</w:t>
      </w:r>
      <w:r w:rsidR="00834A57">
        <w:rPr>
          <w:rFonts w:ascii="Arial" w:hAnsi="Arial" w:cs="Arial"/>
          <w:sz w:val="24"/>
          <w:szCs w:val="24"/>
        </w:rPr>
        <w:t>a antes de cumplir los 30 años de edad, pasarían las fincas legadas a los Municipios de Tunja, Sogamoso, Turmequé y El Cocuy del Departamento de Boyacá, en partes iguales para que con su valor fundaran casas de asilo para niños y hospitales para los pobres.</w:t>
      </w:r>
      <w:r w:rsidR="00F268BA">
        <w:rPr>
          <w:rStyle w:val="Refdenotaalpie"/>
          <w:rFonts w:ascii="Arial" w:hAnsi="Arial" w:cs="Arial"/>
          <w:sz w:val="24"/>
          <w:szCs w:val="24"/>
        </w:rPr>
        <w:footnoteReference w:id="14"/>
      </w:r>
      <w:r w:rsidR="00834A57">
        <w:rPr>
          <w:rFonts w:ascii="Arial" w:hAnsi="Arial" w:cs="Arial"/>
          <w:sz w:val="24"/>
          <w:szCs w:val="24"/>
        </w:rPr>
        <w:t xml:space="preserve"> </w:t>
      </w:r>
    </w:p>
    <w:p w:rsidR="000970A2" w:rsidRDefault="000970A2" w:rsidP="00027EA5">
      <w:pPr>
        <w:tabs>
          <w:tab w:val="left" w:pos="5667"/>
        </w:tabs>
        <w:spacing w:line="360" w:lineRule="auto"/>
        <w:jc w:val="both"/>
        <w:rPr>
          <w:rFonts w:ascii="Arial" w:hAnsi="Arial" w:cs="Arial"/>
          <w:sz w:val="24"/>
          <w:szCs w:val="24"/>
        </w:rPr>
      </w:pPr>
    </w:p>
    <w:p w:rsidR="000970A2" w:rsidRDefault="000970A2" w:rsidP="00027EA5">
      <w:pPr>
        <w:tabs>
          <w:tab w:val="left" w:pos="5667"/>
        </w:tabs>
        <w:spacing w:line="360" w:lineRule="auto"/>
        <w:jc w:val="both"/>
        <w:rPr>
          <w:rFonts w:ascii="Arial" w:hAnsi="Arial" w:cs="Arial"/>
          <w:sz w:val="24"/>
          <w:szCs w:val="24"/>
        </w:rPr>
      </w:pPr>
      <w:r>
        <w:rPr>
          <w:rFonts w:ascii="Arial" w:hAnsi="Arial" w:cs="Arial"/>
          <w:sz w:val="24"/>
          <w:szCs w:val="24"/>
        </w:rPr>
        <w:t xml:space="preserve">Luego, se tiene que por medio de </w:t>
      </w:r>
      <w:r w:rsidR="00502887">
        <w:rPr>
          <w:rFonts w:ascii="Arial" w:hAnsi="Arial" w:cs="Arial"/>
          <w:sz w:val="24"/>
          <w:szCs w:val="24"/>
        </w:rPr>
        <w:t>un proceso divisorio adelantado por el Municipio de El Cocuy</w:t>
      </w:r>
      <w:r w:rsidR="00A11D90">
        <w:rPr>
          <w:rFonts w:ascii="Arial" w:hAnsi="Arial" w:cs="Arial"/>
          <w:sz w:val="24"/>
          <w:szCs w:val="24"/>
        </w:rPr>
        <w:t xml:space="preserve"> en contra de los Municipios de Tunja, Sogamoso y Turmequé</w:t>
      </w:r>
      <w:r w:rsidR="00502887">
        <w:rPr>
          <w:rFonts w:ascii="Arial" w:hAnsi="Arial" w:cs="Arial"/>
          <w:sz w:val="24"/>
          <w:szCs w:val="24"/>
        </w:rPr>
        <w:t xml:space="preserve">, le </w:t>
      </w:r>
      <w:r w:rsidR="00A11D90">
        <w:rPr>
          <w:rFonts w:ascii="Arial" w:hAnsi="Arial" w:cs="Arial"/>
          <w:sz w:val="24"/>
          <w:szCs w:val="24"/>
        </w:rPr>
        <w:t xml:space="preserve">correspondió a dicho municipio </w:t>
      </w:r>
      <w:r w:rsidR="00502887">
        <w:rPr>
          <w:rFonts w:ascii="Arial" w:hAnsi="Arial" w:cs="Arial"/>
          <w:sz w:val="24"/>
          <w:szCs w:val="24"/>
        </w:rPr>
        <w:t>cuatro lotes que fueron protocolizados por medio de escritura pública No. 1002 de 11 de agosto de 1947, en la Notaría 2ª de Sogamoso.</w:t>
      </w:r>
      <w:r w:rsidR="002E3483">
        <w:rPr>
          <w:rStyle w:val="Refdenotaalpie"/>
          <w:rFonts w:ascii="Arial" w:hAnsi="Arial" w:cs="Arial"/>
          <w:sz w:val="24"/>
          <w:szCs w:val="24"/>
        </w:rPr>
        <w:footnoteReference w:id="15"/>
      </w:r>
    </w:p>
    <w:p w:rsidR="00B84B00" w:rsidRDefault="00B84B00" w:rsidP="00027EA5">
      <w:pPr>
        <w:tabs>
          <w:tab w:val="left" w:pos="5667"/>
        </w:tabs>
        <w:spacing w:line="360" w:lineRule="auto"/>
        <w:jc w:val="both"/>
        <w:rPr>
          <w:rFonts w:ascii="Arial" w:hAnsi="Arial" w:cs="Arial"/>
          <w:sz w:val="24"/>
          <w:szCs w:val="24"/>
        </w:rPr>
      </w:pPr>
    </w:p>
    <w:p w:rsidR="00095A01" w:rsidRDefault="00160909" w:rsidP="00027EA5">
      <w:pPr>
        <w:tabs>
          <w:tab w:val="left" w:pos="5667"/>
        </w:tabs>
        <w:spacing w:line="360" w:lineRule="auto"/>
        <w:jc w:val="both"/>
        <w:rPr>
          <w:rFonts w:ascii="Arial" w:hAnsi="Arial" w:cs="Arial"/>
          <w:sz w:val="24"/>
          <w:szCs w:val="24"/>
        </w:rPr>
      </w:pPr>
      <w:r>
        <w:rPr>
          <w:rFonts w:ascii="Arial" w:hAnsi="Arial" w:cs="Arial"/>
          <w:sz w:val="24"/>
          <w:szCs w:val="24"/>
        </w:rPr>
        <w:t>Ahora bien,</w:t>
      </w:r>
      <w:r w:rsidR="00BF26E5">
        <w:rPr>
          <w:rFonts w:ascii="Arial" w:hAnsi="Arial" w:cs="Arial"/>
          <w:sz w:val="24"/>
          <w:szCs w:val="24"/>
        </w:rPr>
        <w:t xml:space="preserve"> </w:t>
      </w:r>
      <w:r w:rsidR="00AE1352">
        <w:rPr>
          <w:rFonts w:ascii="Arial" w:hAnsi="Arial" w:cs="Arial"/>
          <w:sz w:val="24"/>
          <w:szCs w:val="24"/>
        </w:rPr>
        <w:t>en el</w:t>
      </w:r>
      <w:r w:rsidR="00BF26E5">
        <w:rPr>
          <w:rFonts w:ascii="Arial" w:hAnsi="Arial" w:cs="Arial"/>
          <w:sz w:val="24"/>
          <w:szCs w:val="24"/>
        </w:rPr>
        <w:t xml:space="preserve"> folio de </w:t>
      </w:r>
      <w:r w:rsidR="006D7A57">
        <w:rPr>
          <w:rFonts w:ascii="Arial" w:hAnsi="Arial" w:cs="Arial"/>
          <w:sz w:val="24"/>
          <w:szCs w:val="24"/>
        </w:rPr>
        <w:t>matrícula</w:t>
      </w:r>
      <w:r w:rsidR="00BF26E5">
        <w:rPr>
          <w:rFonts w:ascii="Arial" w:hAnsi="Arial" w:cs="Arial"/>
          <w:sz w:val="24"/>
          <w:szCs w:val="24"/>
        </w:rPr>
        <w:t xml:space="preserve"> inmobiliaria </w:t>
      </w:r>
      <w:r w:rsidR="006D7A57">
        <w:rPr>
          <w:rFonts w:ascii="Arial" w:hAnsi="Arial" w:cs="Arial"/>
          <w:sz w:val="24"/>
          <w:szCs w:val="24"/>
        </w:rPr>
        <w:t>No. 172-26287</w:t>
      </w:r>
      <w:r w:rsidR="00AE1352">
        <w:rPr>
          <w:rFonts w:ascii="Arial" w:hAnsi="Arial" w:cs="Arial"/>
          <w:sz w:val="24"/>
          <w:szCs w:val="24"/>
        </w:rPr>
        <w:t xml:space="preserve"> se consigna que el globo de terreno </w:t>
      </w:r>
      <w:r w:rsidR="007806C5">
        <w:rPr>
          <w:rFonts w:ascii="Arial" w:hAnsi="Arial" w:cs="Arial"/>
          <w:sz w:val="24"/>
          <w:szCs w:val="24"/>
        </w:rPr>
        <w:t xml:space="preserve">con una extensión superficiaria de 31 fanegada siete mil ciento setenta varas cuadradas, está compuesto por los potreros de “El </w:t>
      </w:r>
      <w:r w:rsidR="001615C5">
        <w:rPr>
          <w:rFonts w:ascii="Arial" w:hAnsi="Arial" w:cs="Arial"/>
          <w:sz w:val="24"/>
          <w:szCs w:val="24"/>
        </w:rPr>
        <w:t>Triángulo</w:t>
      </w:r>
      <w:r w:rsidR="007806C5">
        <w:rPr>
          <w:rFonts w:ascii="Arial" w:hAnsi="Arial" w:cs="Arial"/>
          <w:sz w:val="24"/>
          <w:szCs w:val="24"/>
        </w:rPr>
        <w:t xml:space="preserve"> y </w:t>
      </w:r>
      <w:r w:rsidR="001615C5">
        <w:rPr>
          <w:rFonts w:ascii="Arial" w:hAnsi="Arial" w:cs="Arial"/>
          <w:sz w:val="24"/>
          <w:szCs w:val="24"/>
        </w:rPr>
        <w:t>Andalucía</w:t>
      </w:r>
      <w:r w:rsidR="007806C5">
        <w:rPr>
          <w:rFonts w:ascii="Arial" w:hAnsi="Arial" w:cs="Arial"/>
          <w:sz w:val="24"/>
          <w:szCs w:val="24"/>
        </w:rPr>
        <w:t xml:space="preserve">” </w:t>
      </w:r>
      <w:r w:rsidR="008868E0">
        <w:rPr>
          <w:rFonts w:ascii="Arial" w:hAnsi="Arial" w:cs="Arial"/>
          <w:sz w:val="24"/>
          <w:szCs w:val="24"/>
        </w:rPr>
        <w:t>y aparecen las siguientes anotaciones: adjudicación al Municipio de El Cocuy por división, juicio de servidumbre en 1970 al legado Baudilio Acero, una venta parcial al Instituto de Reforma Agraria INCORA</w:t>
      </w:r>
      <w:r w:rsidR="00796284">
        <w:rPr>
          <w:rFonts w:ascii="Arial" w:hAnsi="Arial" w:cs="Arial"/>
          <w:sz w:val="24"/>
          <w:szCs w:val="24"/>
        </w:rPr>
        <w:t xml:space="preserve">, </w:t>
      </w:r>
      <w:r w:rsidR="00D060EF">
        <w:rPr>
          <w:rFonts w:ascii="Arial" w:hAnsi="Arial" w:cs="Arial"/>
          <w:sz w:val="24"/>
          <w:szCs w:val="24"/>
        </w:rPr>
        <w:t>vent</w:t>
      </w:r>
      <w:r w:rsidR="00796284">
        <w:rPr>
          <w:rFonts w:ascii="Arial" w:hAnsi="Arial" w:cs="Arial"/>
          <w:sz w:val="24"/>
          <w:szCs w:val="24"/>
        </w:rPr>
        <w:t xml:space="preserve">a parcial del Municipio de El Cocuy y el legado Baudilio Acero a Flor María Acero </w:t>
      </w:r>
      <w:r w:rsidR="00BD5914">
        <w:rPr>
          <w:rFonts w:ascii="Arial" w:hAnsi="Arial" w:cs="Arial"/>
          <w:sz w:val="24"/>
          <w:szCs w:val="24"/>
        </w:rPr>
        <w:t>Arévalo</w:t>
      </w:r>
      <w:r w:rsidR="00796284">
        <w:rPr>
          <w:rFonts w:ascii="Arial" w:hAnsi="Arial" w:cs="Arial"/>
          <w:sz w:val="24"/>
          <w:szCs w:val="24"/>
        </w:rPr>
        <w:t xml:space="preserve"> y venta parcial del Municipio de El Cocuy y el legado Baudilio Acero a Cecilia Briceño Briceño.</w:t>
      </w:r>
    </w:p>
    <w:p w:rsidR="00F70869" w:rsidRDefault="00F70869" w:rsidP="00027EA5">
      <w:pPr>
        <w:tabs>
          <w:tab w:val="left" w:pos="5667"/>
        </w:tabs>
        <w:spacing w:line="360" w:lineRule="auto"/>
        <w:jc w:val="both"/>
        <w:rPr>
          <w:rFonts w:ascii="Arial" w:hAnsi="Arial" w:cs="Arial"/>
          <w:sz w:val="24"/>
          <w:szCs w:val="24"/>
        </w:rPr>
      </w:pPr>
    </w:p>
    <w:p w:rsidR="00933B1A" w:rsidRDefault="00933B1A" w:rsidP="00027EA5">
      <w:pPr>
        <w:tabs>
          <w:tab w:val="left" w:pos="5667"/>
        </w:tabs>
        <w:spacing w:line="360" w:lineRule="auto"/>
        <w:jc w:val="both"/>
        <w:rPr>
          <w:rFonts w:ascii="Arial" w:hAnsi="Arial" w:cs="Arial"/>
          <w:sz w:val="24"/>
          <w:szCs w:val="24"/>
        </w:rPr>
      </w:pPr>
      <w:r>
        <w:rPr>
          <w:rFonts w:ascii="Arial" w:hAnsi="Arial" w:cs="Arial"/>
          <w:sz w:val="24"/>
          <w:szCs w:val="24"/>
        </w:rPr>
        <w:t>Por todo lo anterior</w:t>
      </w:r>
      <w:r w:rsidR="005D3611">
        <w:rPr>
          <w:rFonts w:ascii="Arial" w:hAnsi="Arial" w:cs="Arial"/>
          <w:sz w:val="24"/>
          <w:szCs w:val="24"/>
        </w:rPr>
        <w:t xml:space="preserve"> y de acuerdo con la jurisprudencia en cita</w:t>
      </w:r>
      <w:r w:rsidRPr="001D3B10">
        <w:rPr>
          <w:rFonts w:ascii="Arial" w:hAnsi="Arial" w:cs="Arial"/>
          <w:sz w:val="24"/>
          <w:szCs w:val="24"/>
        </w:rPr>
        <w:t xml:space="preserve">, </w:t>
      </w:r>
      <w:bookmarkStart w:id="9" w:name="_Hlk28011810"/>
      <w:r w:rsidRPr="001D3B10">
        <w:rPr>
          <w:rFonts w:ascii="Arial" w:hAnsi="Arial" w:cs="Arial"/>
          <w:sz w:val="24"/>
          <w:szCs w:val="24"/>
        </w:rPr>
        <w:t xml:space="preserve">considera la Sala que el bien inmueble “IPACARAI” </w:t>
      </w:r>
      <w:r w:rsidR="005D3611" w:rsidRPr="001D3B10">
        <w:rPr>
          <w:rFonts w:ascii="Arial" w:hAnsi="Arial" w:cs="Arial"/>
          <w:sz w:val="24"/>
          <w:szCs w:val="24"/>
        </w:rPr>
        <w:t>vendido por el Municipio de El Cocuy y el legado Baudilio Acero a Flor María Acero Arévalo, es de aquellos de naturaleza fiscal, el cual podía ser enajenado por parte del municipio sin que existiera ninguna restricción para poder hacerlo</w:t>
      </w:r>
      <w:r w:rsidR="0088196F" w:rsidRPr="001D3B10">
        <w:rPr>
          <w:rFonts w:ascii="Arial" w:hAnsi="Arial" w:cs="Arial"/>
          <w:sz w:val="24"/>
          <w:szCs w:val="24"/>
        </w:rPr>
        <w:t>, pues, detentaba el derecho de dominio</w:t>
      </w:r>
      <w:r w:rsidR="00DC7615" w:rsidRPr="001D3B10">
        <w:rPr>
          <w:rFonts w:ascii="Arial" w:hAnsi="Arial" w:cs="Arial"/>
          <w:sz w:val="24"/>
          <w:szCs w:val="24"/>
        </w:rPr>
        <w:t xml:space="preserve"> sobre el predio</w:t>
      </w:r>
      <w:r w:rsidR="0088196F" w:rsidRPr="001D3B10">
        <w:rPr>
          <w:rFonts w:ascii="Arial" w:hAnsi="Arial" w:cs="Arial"/>
          <w:sz w:val="24"/>
          <w:szCs w:val="24"/>
        </w:rPr>
        <w:t xml:space="preserve"> y </w:t>
      </w:r>
      <w:r w:rsidR="004E3409" w:rsidRPr="001D3B10">
        <w:rPr>
          <w:rFonts w:ascii="Arial" w:hAnsi="Arial" w:cs="Arial"/>
          <w:sz w:val="24"/>
          <w:szCs w:val="24"/>
        </w:rPr>
        <w:t xml:space="preserve">por ende </w:t>
      </w:r>
      <w:r w:rsidR="00DC7615" w:rsidRPr="001D3B10">
        <w:rPr>
          <w:rFonts w:ascii="Arial" w:hAnsi="Arial" w:cs="Arial"/>
          <w:sz w:val="24"/>
          <w:szCs w:val="24"/>
        </w:rPr>
        <w:t xml:space="preserve">dicho terreno </w:t>
      </w:r>
      <w:r w:rsidR="0088196F" w:rsidRPr="001D3B10">
        <w:rPr>
          <w:rFonts w:ascii="Arial" w:hAnsi="Arial" w:cs="Arial"/>
          <w:sz w:val="24"/>
          <w:szCs w:val="24"/>
        </w:rPr>
        <w:t>se encontraba dentro del comercio</w:t>
      </w:r>
      <w:r w:rsidR="001660FE" w:rsidRPr="001D3B10">
        <w:rPr>
          <w:rFonts w:ascii="Arial" w:hAnsi="Arial" w:cs="Arial"/>
          <w:sz w:val="24"/>
          <w:szCs w:val="24"/>
        </w:rPr>
        <w:t>.</w:t>
      </w:r>
    </w:p>
    <w:bookmarkEnd w:id="9"/>
    <w:p w:rsidR="001660FE" w:rsidRDefault="001660FE" w:rsidP="00027EA5">
      <w:pPr>
        <w:tabs>
          <w:tab w:val="left" w:pos="5667"/>
        </w:tabs>
        <w:spacing w:line="360" w:lineRule="auto"/>
        <w:jc w:val="both"/>
        <w:rPr>
          <w:rFonts w:ascii="Arial" w:hAnsi="Arial" w:cs="Arial"/>
          <w:sz w:val="24"/>
          <w:szCs w:val="24"/>
        </w:rPr>
      </w:pPr>
    </w:p>
    <w:p w:rsidR="001660FE" w:rsidRDefault="001660FE" w:rsidP="00027EA5">
      <w:pPr>
        <w:tabs>
          <w:tab w:val="left" w:pos="5667"/>
        </w:tabs>
        <w:spacing w:line="360" w:lineRule="auto"/>
        <w:jc w:val="both"/>
        <w:rPr>
          <w:rFonts w:ascii="Arial" w:hAnsi="Arial" w:cs="Arial"/>
          <w:sz w:val="24"/>
          <w:szCs w:val="24"/>
        </w:rPr>
      </w:pPr>
      <w:r>
        <w:rPr>
          <w:rFonts w:ascii="Arial" w:hAnsi="Arial" w:cs="Arial"/>
          <w:sz w:val="24"/>
          <w:szCs w:val="24"/>
        </w:rPr>
        <w:t>En consecuencia, al no tener el predio “IPACARAI” las restricciones que conllevan los bienes de uso público (inembargables, inajenables e imprescriptibles), era totalmente viable su comercialización.</w:t>
      </w:r>
    </w:p>
    <w:p w:rsidR="00933B1A" w:rsidRDefault="00933B1A" w:rsidP="00027EA5">
      <w:pPr>
        <w:tabs>
          <w:tab w:val="left" w:pos="5667"/>
        </w:tabs>
        <w:spacing w:line="360" w:lineRule="auto"/>
        <w:jc w:val="both"/>
        <w:rPr>
          <w:rFonts w:ascii="Arial" w:hAnsi="Arial" w:cs="Arial"/>
          <w:sz w:val="24"/>
          <w:szCs w:val="24"/>
        </w:rPr>
      </w:pPr>
    </w:p>
    <w:p w:rsidR="000E7B3D" w:rsidRDefault="008C1F42" w:rsidP="00027EA5">
      <w:pPr>
        <w:tabs>
          <w:tab w:val="left" w:pos="5667"/>
        </w:tabs>
        <w:spacing w:line="360" w:lineRule="auto"/>
        <w:jc w:val="both"/>
        <w:rPr>
          <w:rFonts w:ascii="Arial" w:hAnsi="Arial" w:cs="Arial"/>
          <w:sz w:val="24"/>
          <w:szCs w:val="24"/>
        </w:rPr>
      </w:pPr>
      <w:r>
        <w:rPr>
          <w:rFonts w:ascii="Arial" w:hAnsi="Arial" w:cs="Arial"/>
          <w:sz w:val="24"/>
          <w:szCs w:val="24"/>
        </w:rPr>
        <w:t>Así las cosas,</w:t>
      </w:r>
      <w:bookmarkStart w:id="10" w:name="_Hlk28011833"/>
      <w:r>
        <w:rPr>
          <w:rFonts w:ascii="Arial" w:hAnsi="Arial" w:cs="Arial"/>
          <w:sz w:val="24"/>
          <w:szCs w:val="24"/>
        </w:rPr>
        <w:t xml:space="preserve"> en punto de estudiar la caducidad de la acción contractual en el caso de autos, se tiene que e</w:t>
      </w:r>
      <w:r w:rsidR="000E7B3D">
        <w:rPr>
          <w:rFonts w:ascii="Arial" w:hAnsi="Arial" w:cs="Arial"/>
          <w:sz w:val="24"/>
          <w:szCs w:val="24"/>
        </w:rPr>
        <w:t xml:space="preserve">l </w:t>
      </w:r>
      <w:r w:rsidR="00027EA5" w:rsidRPr="00331952">
        <w:rPr>
          <w:rFonts w:ascii="Arial" w:hAnsi="Arial" w:cs="Arial"/>
          <w:sz w:val="24"/>
          <w:szCs w:val="24"/>
        </w:rPr>
        <w:t>contrato</w:t>
      </w:r>
      <w:r w:rsidR="000E7B3D">
        <w:rPr>
          <w:rFonts w:ascii="Arial" w:hAnsi="Arial" w:cs="Arial"/>
          <w:sz w:val="24"/>
          <w:szCs w:val="24"/>
        </w:rPr>
        <w:t xml:space="preserve"> de compraventa que reclama nulo la parte actora, se </w:t>
      </w:r>
      <w:r w:rsidR="00F70869">
        <w:rPr>
          <w:rFonts w:ascii="Arial" w:hAnsi="Arial" w:cs="Arial"/>
          <w:sz w:val="24"/>
          <w:szCs w:val="24"/>
        </w:rPr>
        <w:t xml:space="preserve">protocolizó por medio de escritura pública </w:t>
      </w:r>
      <w:r>
        <w:rPr>
          <w:rFonts w:ascii="Arial" w:hAnsi="Arial" w:cs="Arial"/>
          <w:sz w:val="24"/>
          <w:szCs w:val="24"/>
        </w:rPr>
        <w:t>No. 1099</w:t>
      </w:r>
      <w:r w:rsidR="00480138">
        <w:rPr>
          <w:rFonts w:ascii="Arial" w:hAnsi="Arial" w:cs="Arial"/>
          <w:sz w:val="24"/>
          <w:szCs w:val="24"/>
        </w:rPr>
        <w:t xml:space="preserve"> el</w:t>
      </w:r>
      <w:r>
        <w:rPr>
          <w:rFonts w:ascii="Arial" w:hAnsi="Arial" w:cs="Arial"/>
          <w:sz w:val="24"/>
          <w:szCs w:val="24"/>
        </w:rPr>
        <w:t xml:space="preserve"> 19 de noviembre de 1988 y registrada el 21 del mismo mes y año,</w:t>
      </w:r>
      <w:r w:rsidR="00B10877">
        <w:rPr>
          <w:rFonts w:ascii="Arial" w:hAnsi="Arial" w:cs="Arial"/>
          <w:sz w:val="24"/>
          <w:szCs w:val="24"/>
        </w:rPr>
        <w:t xml:space="preserve"> por lo tanto </w:t>
      </w:r>
      <w:r w:rsidR="00D276CC">
        <w:rPr>
          <w:rFonts w:ascii="Arial" w:hAnsi="Arial" w:cs="Arial"/>
          <w:sz w:val="24"/>
          <w:szCs w:val="24"/>
        </w:rPr>
        <w:t>y de acuerdo con el numeral 10 literal e) del artículo 136 del C.C.A.</w:t>
      </w:r>
      <w:r w:rsidR="00480138">
        <w:rPr>
          <w:rFonts w:ascii="Arial" w:hAnsi="Arial" w:cs="Arial"/>
          <w:sz w:val="24"/>
          <w:szCs w:val="24"/>
        </w:rPr>
        <w:t xml:space="preserve"> -aplicable al caso concreto-</w:t>
      </w:r>
      <w:r w:rsidR="00BC0681">
        <w:rPr>
          <w:rFonts w:ascii="Arial" w:hAnsi="Arial" w:cs="Arial"/>
          <w:sz w:val="24"/>
          <w:szCs w:val="24"/>
        </w:rPr>
        <w:t>, tenemos que</w:t>
      </w:r>
      <w:r w:rsidR="00FF0AA9">
        <w:rPr>
          <w:rFonts w:ascii="Arial" w:hAnsi="Arial" w:cs="Arial"/>
          <w:sz w:val="24"/>
          <w:szCs w:val="24"/>
        </w:rPr>
        <w:t xml:space="preserve"> el término de caducidad de</w:t>
      </w:r>
      <w:r w:rsidR="00BC0681">
        <w:rPr>
          <w:rFonts w:ascii="Arial" w:hAnsi="Arial" w:cs="Arial"/>
          <w:sz w:val="24"/>
          <w:szCs w:val="24"/>
        </w:rPr>
        <w:t xml:space="preserve"> la acción </w:t>
      </w:r>
      <w:r w:rsidR="00FF0AA9">
        <w:rPr>
          <w:rFonts w:ascii="Arial" w:hAnsi="Arial" w:cs="Arial"/>
          <w:sz w:val="24"/>
          <w:szCs w:val="24"/>
        </w:rPr>
        <w:t xml:space="preserve">corrió </w:t>
      </w:r>
      <w:r w:rsidR="00BC0681">
        <w:rPr>
          <w:rFonts w:ascii="Arial" w:hAnsi="Arial" w:cs="Arial"/>
          <w:sz w:val="24"/>
          <w:szCs w:val="24"/>
        </w:rPr>
        <w:t xml:space="preserve">luego del perfeccionamiento del negocio jurídico, esto es, </w:t>
      </w:r>
      <w:r w:rsidR="00480138">
        <w:rPr>
          <w:rFonts w:ascii="Arial" w:hAnsi="Arial" w:cs="Arial"/>
          <w:sz w:val="24"/>
          <w:szCs w:val="24"/>
        </w:rPr>
        <w:t>desde el</w:t>
      </w:r>
      <w:r w:rsidR="00BC0681">
        <w:rPr>
          <w:rFonts w:ascii="Arial" w:hAnsi="Arial" w:cs="Arial"/>
          <w:sz w:val="24"/>
          <w:szCs w:val="24"/>
        </w:rPr>
        <w:t xml:space="preserve"> 22 de noviembre de 1988</w:t>
      </w:r>
      <w:r w:rsidR="00D1339F">
        <w:rPr>
          <w:rFonts w:ascii="Arial" w:hAnsi="Arial" w:cs="Arial"/>
          <w:sz w:val="24"/>
          <w:szCs w:val="24"/>
        </w:rPr>
        <w:t xml:space="preserve"> ha</w:t>
      </w:r>
      <w:r w:rsidR="00480138">
        <w:rPr>
          <w:rFonts w:ascii="Arial" w:hAnsi="Arial" w:cs="Arial"/>
          <w:sz w:val="24"/>
          <w:szCs w:val="24"/>
        </w:rPr>
        <w:t>sta el 22 de noviembre de 1990.</w:t>
      </w:r>
    </w:p>
    <w:p w:rsidR="00027EA5" w:rsidRPr="00331952" w:rsidRDefault="00027EA5" w:rsidP="00027EA5">
      <w:pPr>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r w:rsidRPr="00331952">
        <w:rPr>
          <w:rFonts w:ascii="Arial" w:hAnsi="Arial" w:cs="Arial"/>
          <w:bCs/>
          <w:sz w:val="24"/>
          <w:szCs w:val="24"/>
        </w:rPr>
        <w:t xml:space="preserve">De esta manera, </w:t>
      </w:r>
      <w:r w:rsidR="00DB4F22">
        <w:rPr>
          <w:rFonts w:ascii="Arial" w:hAnsi="Arial" w:cs="Arial"/>
          <w:bCs/>
          <w:sz w:val="24"/>
          <w:szCs w:val="24"/>
        </w:rPr>
        <w:t>como la demanda se presentó el 28</w:t>
      </w:r>
      <w:r w:rsidRPr="00331952">
        <w:rPr>
          <w:rFonts w:ascii="Arial" w:hAnsi="Arial" w:cs="Arial"/>
          <w:bCs/>
          <w:sz w:val="24"/>
          <w:szCs w:val="24"/>
        </w:rPr>
        <w:t xml:space="preserve"> de </w:t>
      </w:r>
      <w:r w:rsidR="00DB4F22">
        <w:rPr>
          <w:rFonts w:ascii="Arial" w:hAnsi="Arial" w:cs="Arial"/>
          <w:bCs/>
          <w:sz w:val="24"/>
          <w:szCs w:val="24"/>
        </w:rPr>
        <w:t>mayo de 20</w:t>
      </w:r>
      <w:r w:rsidRPr="00331952">
        <w:rPr>
          <w:rFonts w:ascii="Arial" w:hAnsi="Arial" w:cs="Arial"/>
          <w:bCs/>
          <w:sz w:val="24"/>
          <w:szCs w:val="24"/>
        </w:rPr>
        <w:t>0</w:t>
      </w:r>
      <w:r w:rsidR="00DB4F22">
        <w:rPr>
          <w:rFonts w:ascii="Arial" w:hAnsi="Arial" w:cs="Arial"/>
          <w:bCs/>
          <w:sz w:val="24"/>
          <w:szCs w:val="24"/>
        </w:rPr>
        <w:t>4,</w:t>
      </w:r>
      <w:r w:rsidRPr="00331952">
        <w:rPr>
          <w:rFonts w:ascii="Arial" w:hAnsi="Arial" w:cs="Arial"/>
          <w:bCs/>
          <w:sz w:val="24"/>
          <w:szCs w:val="24"/>
        </w:rPr>
        <w:t xml:space="preserve"> es evidente qu</w:t>
      </w:r>
      <w:r w:rsidR="00912258">
        <w:rPr>
          <w:rFonts w:ascii="Arial" w:hAnsi="Arial" w:cs="Arial"/>
          <w:bCs/>
          <w:sz w:val="24"/>
          <w:szCs w:val="24"/>
        </w:rPr>
        <w:t>e la caducidad ya había operado, y en consecuencia se impone confirmar la decisión de primera instancia, por las razones expuesta</w:t>
      </w:r>
      <w:r w:rsidR="00437AA3">
        <w:rPr>
          <w:rFonts w:ascii="Arial" w:hAnsi="Arial" w:cs="Arial"/>
          <w:bCs/>
          <w:sz w:val="24"/>
          <w:szCs w:val="24"/>
        </w:rPr>
        <w:t>s</w:t>
      </w:r>
      <w:r w:rsidR="00912258">
        <w:rPr>
          <w:rFonts w:ascii="Arial" w:hAnsi="Arial" w:cs="Arial"/>
          <w:bCs/>
          <w:sz w:val="24"/>
          <w:szCs w:val="24"/>
        </w:rPr>
        <w:t xml:space="preserve"> en esta sentencia. </w:t>
      </w:r>
    </w:p>
    <w:bookmarkEnd w:id="10"/>
    <w:p w:rsidR="00027EA5" w:rsidRPr="00331952" w:rsidRDefault="00027EA5" w:rsidP="00027EA5">
      <w:pPr>
        <w:tabs>
          <w:tab w:val="left" w:pos="5667"/>
        </w:tabs>
        <w:spacing w:line="360" w:lineRule="auto"/>
        <w:jc w:val="both"/>
        <w:rPr>
          <w:rFonts w:ascii="Arial" w:hAnsi="Arial" w:cs="Arial"/>
          <w:bCs/>
          <w:sz w:val="24"/>
          <w:szCs w:val="24"/>
        </w:rPr>
      </w:pPr>
    </w:p>
    <w:p w:rsidR="00027EA5" w:rsidRPr="00331952" w:rsidRDefault="00027EA5" w:rsidP="00027EA5">
      <w:pPr>
        <w:spacing w:line="360" w:lineRule="auto"/>
        <w:jc w:val="both"/>
        <w:rPr>
          <w:rFonts w:ascii="Arial" w:hAnsi="Arial" w:cs="Arial"/>
          <w:bCs/>
          <w:sz w:val="24"/>
          <w:szCs w:val="24"/>
        </w:rPr>
      </w:pPr>
      <w:r w:rsidRPr="00331952">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rsidR="00027EA5" w:rsidRPr="00331952" w:rsidRDefault="00027EA5" w:rsidP="00027EA5">
      <w:pPr>
        <w:spacing w:line="360" w:lineRule="auto"/>
        <w:jc w:val="both"/>
        <w:rPr>
          <w:rFonts w:ascii="Arial" w:hAnsi="Arial" w:cs="Arial"/>
          <w:bCs/>
          <w:sz w:val="24"/>
          <w:szCs w:val="24"/>
          <w:highlight w:val="yellow"/>
        </w:rPr>
      </w:pPr>
    </w:p>
    <w:p w:rsidR="00027EA5" w:rsidRPr="00331952" w:rsidRDefault="00027EA5" w:rsidP="00027EA5">
      <w:pPr>
        <w:spacing w:line="360" w:lineRule="auto"/>
        <w:jc w:val="center"/>
        <w:rPr>
          <w:rFonts w:ascii="Arial" w:hAnsi="Arial" w:cs="Arial"/>
          <w:b/>
          <w:bCs/>
          <w:sz w:val="24"/>
          <w:szCs w:val="24"/>
        </w:rPr>
      </w:pPr>
      <w:r w:rsidRPr="00331952">
        <w:rPr>
          <w:rFonts w:ascii="Arial" w:hAnsi="Arial" w:cs="Arial"/>
          <w:b/>
          <w:bCs/>
          <w:sz w:val="24"/>
          <w:szCs w:val="24"/>
        </w:rPr>
        <w:t>R E S U E L V E</w:t>
      </w:r>
    </w:p>
    <w:p w:rsidR="00027EA5" w:rsidRPr="00331952" w:rsidRDefault="00027EA5" w:rsidP="00027EA5">
      <w:pPr>
        <w:spacing w:line="360" w:lineRule="auto"/>
        <w:jc w:val="both"/>
        <w:rPr>
          <w:rFonts w:ascii="Arial" w:hAnsi="Arial" w:cs="Arial"/>
          <w:b/>
          <w:bCs/>
          <w:sz w:val="24"/>
          <w:szCs w:val="24"/>
        </w:rPr>
      </w:pPr>
    </w:p>
    <w:p w:rsidR="00027EA5" w:rsidRPr="00BE09C7" w:rsidRDefault="00027EA5" w:rsidP="00027EA5">
      <w:pPr>
        <w:spacing w:line="360" w:lineRule="auto"/>
        <w:jc w:val="both"/>
        <w:rPr>
          <w:rFonts w:ascii="Arial" w:hAnsi="Arial" w:cs="Arial"/>
          <w:bCs/>
          <w:sz w:val="24"/>
          <w:szCs w:val="24"/>
        </w:rPr>
      </w:pPr>
      <w:r w:rsidRPr="00BE09C7">
        <w:rPr>
          <w:rFonts w:ascii="Arial" w:hAnsi="Arial" w:cs="Arial"/>
          <w:b/>
          <w:bCs/>
          <w:sz w:val="24"/>
          <w:szCs w:val="24"/>
        </w:rPr>
        <w:t xml:space="preserve">PRIMERO: </w:t>
      </w:r>
      <w:r w:rsidR="003F0A75" w:rsidRPr="00BE09C7">
        <w:rPr>
          <w:rFonts w:ascii="Arial" w:hAnsi="Arial" w:cs="Arial"/>
          <w:b/>
          <w:bCs/>
          <w:sz w:val="24"/>
          <w:szCs w:val="24"/>
        </w:rPr>
        <w:t>CONFIRMAR</w:t>
      </w:r>
      <w:r w:rsidRPr="00BE09C7">
        <w:rPr>
          <w:rFonts w:ascii="Arial" w:hAnsi="Arial" w:cs="Arial"/>
          <w:b/>
          <w:bCs/>
          <w:sz w:val="24"/>
          <w:szCs w:val="24"/>
        </w:rPr>
        <w:t xml:space="preserve"> </w:t>
      </w:r>
      <w:r w:rsidR="00BE09C7" w:rsidRPr="00BE09C7">
        <w:rPr>
          <w:rFonts w:ascii="Arial" w:hAnsi="Arial" w:cs="Arial"/>
          <w:bCs/>
          <w:sz w:val="24"/>
          <w:szCs w:val="24"/>
        </w:rPr>
        <w:t>l</w:t>
      </w:r>
      <w:r w:rsidR="00BE09C7" w:rsidRPr="00BE09C7">
        <w:rPr>
          <w:rFonts w:ascii="Arial" w:hAnsi="Arial" w:cs="Arial"/>
          <w:sz w:val="24"/>
          <w:szCs w:val="24"/>
        </w:rPr>
        <w:t>a sentencia proferida</w:t>
      </w:r>
      <w:r w:rsidR="00BE09C7">
        <w:rPr>
          <w:rFonts w:ascii="Arial" w:hAnsi="Arial" w:cs="Arial"/>
          <w:sz w:val="24"/>
          <w:szCs w:val="24"/>
        </w:rPr>
        <w:t xml:space="preserve"> el 13 de septiembre de 2013</w:t>
      </w:r>
      <w:r w:rsidR="00BE09C7" w:rsidRPr="00BE09C7">
        <w:rPr>
          <w:rFonts w:ascii="Arial" w:hAnsi="Arial" w:cs="Arial"/>
          <w:sz w:val="24"/>
          <w:szCs w:val="24"/>
        </w:rPr>
        <w:t xml:space="preserve"> </w:t>
      </w:r>
      <w:r w:rsidR="00BE09C7">
        <w:rPr>
          <w:rFonts w:ascii="Arial" w:hAnsi="Arial" w:cs="Arial"/>
          <w:sz w:val="24"/>
          <w:szCs w:val="24"/>
        </w:rPr>
        <w:t xml:space="preserve">por el </w:t>
      </w:r>
      <w:r w:rsidR="00BE09C7">
        <w:rPr>
          <w:rFonts w:ascii="Arial" w:eastAsia="Times New Roman" w:hAnsi="Arial" w:cs="Arial"/>
          <w:sz w:val="24"/>
          <w:szCs w:val="24"/>
          <w:lang w:eastAsia="es-ES"/>
        </w:rPr>
        <w:t>Tribunal Administrativo Cundinamarca, Sección Tercera, Subsección C de Descongestión.</w:t>
      </w:r>
    </w:p>
    <w:p w:rsidR="00027EA5" w:rsidRPr="00331952" w:rsidRDefault="00027EA5" w:rsidP="00027EA5">
      <w:pPr>
        <w:spacing w:line="360" w:lineRule="auto"/>
        <w:jc w:val="both"/>
        <w:rPr>
          <w:rFonts w:ascii="Arial" w:hAnsi="Arial" w:cs="Arial"/>
          <w:b/>
          <w:bCs/>
          <w:sz w:val="24"/>
          <w:szCs w:val="24"/>
        </w:rPr>
      </w:pPr>
    </w:p>
    <w:p w:rsidR="00027EA5" w:rsidRPr="00331952" w:rsidRDefault="00027EA5" w:rsidP="00027EA5">
      <w:pPr>
        <w:spacing w:line="360" w:lineRule="auto"/>
        <w:jc w:val="both"/>
        <w:rPr>
          <w:rFonts w:ascii="Arial" w:hAnsi="Arial" w:cs="Arial"/>
          <w:b/>
          <w:bCs/>
          <w:sz w:val="24"/>
          <w:szCs w:val="24"/>
        </w:rPr>
      </w:pPr>
      <w:r w:rsidRPr="00331952">
        <w:rPr>
          <w:rFonts w:ascii="Arial" w:hAnsi="Arial" w:cs="Arial"/>
          <w:b/>
          <w:bCs/>
          <w:sz w:val="24"/>
          <w:szCs w:val="24"/>
        </w:rPr>
        <w:t>SEGUNDO: DEVOLVER</w:t>
      </w:r>
      <w:r w:rsidRPr="00331952">
        <w:rPr>
          <w:rFonts w:ascii="Arial" w:hAnsi="Arial" w:cs="Arial"/>
          <w:bCs/>
          <w:sz w:val="24"/>
          <w:szCs w:val="24"/>
        </w:rPr>
        <w:t xml:space="preserve"> el expediente al Tribunal de origen. </w:t>
      </w:r>
    </w:p>
    <w:p w:rsidR="00130874" w:rsidRPr="00B525F9" w:rsidRDefault="00130874" w:rsidP="00B525F9">
      <w:pPr>
        <w:jc w:val="both"/>
        <w:rPr>
          <w:rFonts w:ascii="Arial" w:hAnsi="Arial" w:cs="Arial"/>
          <w:b/>
          <w:bCs/>
          <w:sz w:val="24"/>
          <w:szCs w:val="24"/>
        </w:rPr>
      </w:pPr>
    </w:p>
    <w:p w:rsidR="00027EA5" w:rsidRPr="00B525F9" w:rsidRDefault="00027EA5" w:rsidP="00B525F9">
      <w:pPr>
        <w:rPr>
          <w:rFonts w:ascii="Arial" w:hAnsi="Arial" w:cs="Arial"/>
          <w:b/>
          <w:bCs/>
          <w:sz w:val="24"/>
          <w:szCs w:val="24"/>
        </w:rPr>
      </w:pPr>
      <w:r w:rsidRPr="00B525F9">
        <w:rPr>
          <w:rFonts w:ascii="Arial" w:hAnsi="Arial" w:cs="Arial"/>
          <w:b/>
          <w:bCs/>
          <w:sz w:val="24"/>
          <w:szCs w:val="24"/>
        </w:rPr>
        <w:lastRenderedPageBreak/>
        <w:t>CÓPIESE, NOTIFÍQUESE Y CÚMPLASE</w:t>
      </w:r>
    </w:p>
    <w:p w:rsidR="00027EA5" w:rsidRPr="00B525F9" w:rsidRDefault="00027EA5" w:rsidP="00B525F9">
      <w:pPr>
        <w:pStyle w:val="Textoindependiente2"/>
        <w:spacing w:after="0" w:line="240" w:lineRule="auto"/>
        <w:rPr>
          <w:rFonts w:ascii="Arial" w:hAnsi="Arial" w:cs="Arial"/>
          <w:b/>
          <w:sz w:val="24"/>
          <w:szCs w:val="24"/>
        </w:rPr>
      </w:pPr>
    </w:p>
    <w:p w:rsidR="00E52EFD" w:rsidRDefault="00E52EFD" w:rsidP="00B525F9">
      <w:pPr>
        <w:pStyle w:val="Textoindependiente2"/>
        <w:spacing w:after="0" w:line="240" w:lineRule="auto"/>
        <w:rPr>
          <w:rFonts w:ascii="Arial" w:hAnsi="Arial" w:cs="Arial"/>
          <w:b/>
          <w:sz w:val="24"/>
          <w:szCs w:val="24"/>
        </w:rPr>
      </w:pPr>
    </w:p>
    <w:p w:rsidR="00B525F9" w:rsidRPr="00B525F9" w:rsidRDefault="00B525F9" w:rsidP="00B525F9">
      <w:pPr>
        <w:pStyle w:val="Textoindependiente2"/>
        <w:spacing w:after="0" w:line="240" w:lineRule="auto"/>
        <w:rPr>
          <w:rFonts w:ascii="Arial" w:hAnsi="Arial" w:cs="Arial"/>
          <w:b/>
          <w:sz w:val="24"/>
          <w:szCs w:val="24"/>
        </w:rPr>
      </w:pPr>
    </w:p>
    <w:p w:rsidR="00E52EFD" w:rsidRPr="00B525F9" w:rsidRDefault="00E52EFD" w:rsidP="00B525F9">
      <w:pPr>
        <w:pStyle w:val="Textoindependiente2"/>
        <w:spacing w:after="0" w:line="240" w:lineRule="auto"/>
        <w:rPr>
          <w:rFonts w:ascii="Arial" w:hAnsi="Arial" w:cs="Arial"/>
          <w:b/>
          <w:sz w:val="24"/>
          <w:szCs w:val="24"/>
        </w:rPr>
      </w:pPr>
    </w:p>
    <w:p w:rsidR="00E52EFD" w:rsidRPr="00B525F9" w:rsidRDefault="00E52EFD" w:rsidP="00B525F9">
      <w:pPr>
        <w:jc w:val="center"/>
        <w:rPr>
          <w:rFonts w:ascii="Arial" w:hAnsi="Arial" w:cs="Arial"/>
          <w:b/>
          <w:sz w:val="24"/>
          <w:szCs w:val="24"/>
        </w:rPr>
      </w:pPr>
      <w:r w:rsidRPr="00B525F9">
        <w:rPr>
          <w:rFonts w:ascii="Arial" w:hAnsi="Arial" w:cs="Arial"/>
          <w:b/>
          <w:sz w:val="24"/>
          <w:szCs w:val="24"/>
        </w:rPr>
        <w:t xml:space="preserve">JAIME ORLANDO SANTOFIMIO GAMBOA </w:t>
      </w:r>
    </w:p>
    <w:p w:rsidR="00E52EFD" w:rsidRPr="00B525F9" w:rsidRDefault="00E52EFD" w:rsidP="00B525F9">
      <w:pPr>
        <w:jc w:val="center"/>
        <w:rPr>
          <w:rFonts w:ascii="Arial" w:hAnsi="Arial" w:cs="Arial"/>
          <w:b/>
          <w:sz w:val="24"/>
          <w:szCs w:val="24"/>
        </w:rPr>
      </w:pPr>
      <w:r w:rsidRPr="00B525F9">
        <w:rPr>
          <w:rFonts w:ascii="Arial" w:hAnsi="Arial" w:cs="Arial"/>
          <w:b/>
          <w:sz w:val="24"/>
          <w:szCs w:val="24"/>
        </w:rPr>
        <w:t>Presidente de la Sala</w:t>
      </w:r>
    </w:p>
    <w:p w:rsidR="00E52EFD" w:rsidRPr="00B525F9" w:rsidRDefault="00E52EFD" w:rsidP="00B525F9">
      <w:pPr>
        <w:rPr>
          <w:rFonts w:ascii="Arial" w:hAnsi="Arial" w:cs="Arial"/>
          <w:b/>
          <w:sz w:val="24"/>
          <w:szCs w:val="24"/>
        </w:rPr>
      </w:pPr>
    </w:p>
    <w:p w:rsidR="00E52EFD" w:rsidRDefault="00E52EFD" w:rsidP="00B525F9">
      <w:pPr>
        <w:rPr>
          <w:rFonts w:ascii="Arial" w:hAnsi="Arial" w:cs="Arial"/>
          <w:b/>
          <w:sz w:val="24"/>
          <w:szCs w:val="24"/>
        </w:rPr>
      </w:pPr>
    </w:p>
    <w:p w:rsidR="00B525F9" w:rsidRPr="00B525F9" w:rsidRDefault="00B525F9" w:rsidP="00B525F9">
      <w:pPr>
        <w:rPr>
          <w:rFonts w:ascii="Arial" w:hAnsi="Arial" w:cs="Arial"/>
          <w:b/>
          <w:sz w:val="24"/>
          <w:szCs w:val="24"/>
        </w:rPr>
      </w:pPr>
    </w:p>
    <w:p w:rsidR="00E52EFD" w:rsidRPr="00B525F9" w:rsidRDefault="00E52EFD" w:rsidP="00B525F9">
      <w:pPr>
        <w:rPr>
          <w:rFonts w:ascii="Arial" w:hAnsi="Arial" w:cs="Arial"/>
          <w:b/>
          <w:sz w:val="24"/>
          <w:szCs w:val="24"/>
        </w:rPr>
      </w:pPr>
    </w:p>
    <w:p w:rsidR="00E52EFD" w:rsidRPr="00B525F9" w:rsidRDefault="00E52EFD" w:rsidP="00B525F9">
      <w:pPr>
        <w:jc w:val="both"/>
        <w:rPr>
          <w:rFonts w:ascii="Arial" w:hAnsi="Arial" w:cs="Arial"/>
          <w:b/>
          <w:sz w:val="24"/>
          <w:szCs w:val="24"/>
        </w:rPr>
      </w:pPr>
      <w:r w:rsidRPr="00B525F9">
        <w:rPr>
          <w:rFonts w:ascii="Arial" w:hAnsi="Arial" w:cs="Arial"/>
          <w:b/>
          <w:sz w:val="24"/>
          <w:szCs w:val="24"/>
        </w:rPr>
        <w:t>GUILLERMO SÁNCHEZ LUQUE             OLGA MÉLIDA VALLE DE DE LA HOZ</w:t>
      </w:r>
    </w:p>
    <w:p w:rsidR="00E52EFD" w:rsidRPr="00B525F9" w:rsidRDefault="00E52EFD" w:rsidP="00B525F9">
      <w:pPr>
        <w:ind w:firstLine="708"/>
        <w:jc w:val="both"/>
        <w:rPr>
          <w:rFonts w:ascii="Arial" w:hAnsi="Arial" w:cs="Arial"/>
          <w:sz w:val="24"/>
          <w:szCs w:val="24"/>
        </w:rPr>
      </w:pPr>
      <w:r w:rsidRPr="00B525F9">
        <w:rPr>
          <w:rFonts w:ascii="Arial" w:hAnsi="Arial" w:cs="Arial"/>
          <w:b/>
          <w:sz w:val="24"/>
          <w:szCs w:val="24"/>
        </w:rPr>
        <w:t xml:space="preserve">     Magistrado</w:t>
      </w:r>
      <w:r w:rsidRPr="00B525F9">
        <w:rPr>
          <w:rFonts w:ascii="Arial" w:hAnsi="Arial" w:cs="Arial"/>
          <w:b/>
          <w:sz w:val="24"/>
          <w:szCs w:val="24"/>
        </w:rPr>
        <w:tab/>
      </w:r>
      <w:r w:rsidRPr="00B525F9">
        <w:rPr>
          <w:rFonts w:ascii="Arial" w:hAnsi="Arial" w:cs="Arial"/>
          <w:b/>
          <w:sz w:val="24"/>
          <w:szCs w:val="24"/>
        </w:rPr>
        <w:tab/>
      </w:r>
      <w:r w:rsidRPr="00B525F9">
        <w:rPr>
          <w:rFonts w:ascii="Arial" w:hAnsi="Arial" w:cs="Arial"/>
          <w:b/>
          <w:sz w:val="24"/>
          <w:szCs w:val="24"/>
        </w:rPr>
        <w:tab/>
      </w:r>
      <w:r w:rsidRPr="00B525F9">
        <w:rPr>
          <w:rFonts w:ascii="Arial" w:hAnsi="Arial" w:cs="Arial"/>
          <w:b/>
          <w:sz w:val="24"/>
          <w:szCs w:val="24"/>
        </w:rPr>
        <w:tab/>
        <w:t xml:space="preserve">                 Magistrada</w:t>
      </w:r>
    </w:p>
    <w:p w:rsidR="00027EA5" w:rsidRPr="00B525F9" w:rsidRDefault="00027EA5" w:rsidP="00B525F9">
      <w:pPr>
        <w:jc w:val="both"/>
        <w:rPr>
          <w:rFonts w:ascii="Arial" w:hAnsi="Arial" w:cs="Arial"/>
          <w:sz w:val="24"/>
          <w:szCs w:val="24"/>
        </w:rPr>
      </w:pPr>
    </w:p>
    <w:p w:rsidR="00027EA5" w:rsidRPr="00B525F9" w:rsidRDefault="00027EA5" w:rsidP="00B525F9">
      <w:pPr>
        <w:jc w:val="both"/>
        <w:rPr>
          <w:rFonts w:ascii="Arial" w:hAnsi="Arial" w:cs="Arial"/>
          <w:bCs/>
          <w:sz w:val="24"/>
          <w:szCs w:val="24"/>
        </w:rPr>
      </w:pPr>
    </w:p>
    <w:sectPr w:rsidR="00027EA5" w:rsidRPr="00B525F9" w:rsidSect="00D14DA1">
      <w:headerReference w:type="first" r:id="rId11"/>
      <w:pgSz w:w="12242" w:h="18722" w:code="127"/>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45" w:rsidRDefault="00017545" w:rsidP="0033547F">
      <w:r>
        <w:separator/>
      </w:r>
    </w:p>
  </w:endnote>
  <w:endnote w:type="continuationSeparator" w:id="0">
    <w:p w:rsidR="00017545" w:rsidRDefault="00017545" w:rsidP="0033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hrhardt MT">
    <w:altName w:val="Courier New"/>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45" w:rsidRDefault="00017545" w:rsidP="0033547F">
      <w:r>
        <w:separator/>
      </w:r>
    </w:p>
  </w:footnote>
  <w:footnote w:type="continuationSeparator" w:id="0">
    <w:p w:rsidR="00017545" w:rsidRDefault="00017545" w:rsidP="0033547F">
      <w:r>
        <w:continuationSeparator/>
      </w:r>
    </w:p>
  </w:footnote>
  <w:footnote w:id="1">
    <w:p w:rsidR="0033547F" w:rsidRPr="00526C87" w:rsidRDefault="0033547F" w:rsidP="0033547F">
      <w:pPr>
        <w:pStyle w:val="Textonotapie"/>
        <w:jc w:val="both"/>
        <w:rPr>
          <w:rFonts w:ascii="Arial" w:hAnsi="Arial" w:cs="Arial"/>
          <w:sz w:val="18"/>
          <w:szCs w:val="18"/>
          <w:lang w:val="es-CO"/>
        </w:rPr>
      </w:pPr>
      <w:r w:rsidRPr="00526C87">
        <w:rPr>
          <w:rStyle w:val="Refdenotaalpie"/>
          <w:rFonts w:ascii="Arial" w:hAnsi="Arial" w:cs="Arial"/>
          <w:sz w:val="18"/>
          <w:szCs w:val="18"/>
        </w:rPr>
        <w:footnoteRef/>
      </w:r>
      <w:r w:rsidR="002233CE">
        <w:rPr>
          <w:rFonts w:ascii="Arial" w:hAnsi="Arial" w:cs="Arial"/>
          <w:sz w:val="18"/>
          <w:szCs w:val="18"/>
          <w:lang w:val="es-CO"/>
        </w:rPr>
        <w:t xml:space="preserve"> Folios 4-10</w:t>
      </w:r>
      <w:r w:rsidRPr="00526C87">
        <w:rPr>
          <w:rFonts w:ascii="Arial" w:hAnsi="Arial" w:cs="Arial"/>
          <w:sz w:val="18"/>
          <w:szCs w:val="18"/>
          <w:lang w:val="es-CO"/>
        </w:rPr>
        <w:t xml:space="preserve">, c1 </w:t>
      </w:r>
    </w:p>
  </w:footnote>
  <w:footnote w:id="2">
    <w:p w:rsidR="0033547F" w:rsidRPr="00BC27EC" w:rsidRDefault="0033547F" w:rsidP="0033547F">
      <w:pPr>
        <w:pStyle w:val="Textonotapie"/>
        <w:jc w:val="both"/>
        <w:rPr>
          <w:rFonts w:ascii="Arial" w:hAnsi="Arial" w:cs="Arial"/>
          <w:sz w:val="18"/>
          <w:szCs w:val="18"/>
          <w:lang w:val="es-CO"/>
        </w:rPr>
      </w:pPr>
      <w:r w:rsidRPr="00BC27EC">
        <w:rPr>
          <w:rStyle w:val="Refdenotaalpie"/>
          <w:rFonts w:ascii="Arial" w:hAnsi="Arial" w:cs="Arial"/>
          <w:sz w:val="18"/>
          <w:szCs w:val="18"/>
        </w:rPr>
        <w:footnoteRef/>
      </w:r>
      <w:r w:rsidRPr="00BC27EC">
        <w:rPr>
          <w:rFonts w:ascii="Arial" w:hAnsi="Arial" w:cs="Arial"/>
          <w:sz w:val="18"/>
          <w:szCs w:val="18"/>
        </w:rPr>
        <w:t xml:space="preserve"> </w:t>
      </w:r>
      <w:r w:rsidR="0057129E" w:rsidRPr="00BC27EC">
        <w:rPr>
          <w:rFonts w:ascii="Arial" w:hAnsi="Arial" w:cs="Arial"/>
          <w:sz w:val="18"/>
          <w:szCs w:val="18"/>
          <w:lang w:val="es-CO"/>
        </w:rPr>
        <w:t>Folio 24</w:t>
      </w:r>
      <w:r w:rsidRPr="00BC27EC">
        <w:rPr>
          <w:rFonts w:ascii="Arial" w:hAnsi="Arial" w:cs="Arial"/>
          <w:sz w:val="18"/>
          <w:szCs w:val="18"/>
          <w:lang w:val="es-CO"/>
        </w:rPr>
        <w:t xml:space="preserve"> </w:t>
      </w:r>
      <w:r w:rsidR="00391EE9" w:rsidRPr="00BC27EC">
        <w:rPr>
          <w:rFonts w:ascii="Arial" w:hAnsi="Arial" w:cs="Arial"/>
          <w:sz w:val="18"/>
          <w:szCs w:val="18"/>
          <w:lang w:val="es-CO"/>
        </w:rPr>
        <w:t xml:space="preserve">y 103 del cuaderno </w:t>
      </w:r>
      <w:r w:rsidR="00BC27EC">
        <w:rPr>
          <w:rFonts w:ascii="Arial" w:hAnsi="Arial" w:cs="Arial"/>
          <w:sz w:val="18"/>
          <w:szCs w:val="18"/>
          <w:lang w:val="es-CO"/>
        </w:rPr>
        <w:t>uno</w:t>
      </w:r>
      <w:r w:rsidR="00391EE9" w:rsidRPr="00BC27EC">
        <w:rPr>
          <w:rFonts w:ascii="Arial" w:hAnsi="Arial" w:cs="Arial"/>
          <w:sz w:val="18"/>
          <w:szCs w:val="18"/>
          <w:lang w:val="es-CO"/>
        </w:rPr>
        <w:t xml:space="preserve"> (admisión de la demanda y admisión de la corrección de la demanda, respectivamente.</w:t>
      </w:r>
    </w:p>
  </w:footnote>
  <w:footnote w:id="3">
    <w:p w:rsidR="00BC27EC" w:rsidRPr="00BC27EC" w:rsidRDefault="00BC27EC">
      <w:pPr>
        <w:pStyle w:val="Textonotapie"/>
        <w:rPr>
          <w:rFonts w:ascii="Arial" w:hAnsi="Arial" w:cs="Arial"/>
          <w:sz w:val="18"/>
          <w:szCs w:val="18"/>
          <w:lang w:val="es-CO"/>
        </w:rPr>
      </w:pPr>
      <w:r w:rsidRPr="00BC27EC">
        <w:rPr>
          <w:rStyle w:val="Refdenotaalpie"/>
          <w:rFonts w:ascii="Arial" w:hAnsi="Arial" w:cs="Arial"/>
          <w:sz w:val="18"/>
          <w:szCs w:val="18"/>
        </w:rPr>
        <w:footnoteRef/>
      </w:r>
      <w:r w:rsidRPr="00BC27EC">
        <w:rPr>
          <w:rFonts w:ascii="Arial" w:hAnsi="Arial" w:cs="Arial"/>
          <w:sz w:val="18"/>
          <w:szCs w:val="18"/>
        </w:rPr>
        <w:t xml:space="preserve"> </w:t>
      </w:r>
      <w:r>
        <w:rPr>
          <w:rFonts w:ascii="Arial" w:hAnsi="Arial" w:cs="Arial"/>
          <w:sz w:val="18"/>
          <w:szCs w:val="18"/>
        </w:rPr>
        <w:t>Folios 224 y 225 cuaderno uno</w:t>
      </w:r>
      <w:r w:rsidR="00C9468D">
        <w:rPr>
          <w:rFonts w:ascii="Arial" w:hAnsi="Arial" w:cs="Arial"/>
          <w:sz w:val="18"/>
          <w:szCs w:val="18"/>
        </w:rPr>
        <w:t>.</w:t>
      </w:r>
    </w:p>
  </w:footnote>
  <w:footnote w:id="4">
    <w:p w:rsidR="00FF4DBA" w:rsidRPr="00FF4DBA" w:rsidRDefault="00FF4DBA">
      <w:pPr>
        <w:pStyle w:val="Textonotapie"/>
        <w:rPr>
          <w:rFonts w:ascii="Arial" w:hAnsi="Arial" w:cs="Arial"/>
          <w:sz w:val="18"/>
          <w:szCs w:val="18"/>
          <w:lang w:val="es-CO"/>
        </w:rPr>
      </w:pPr>
      <w:r w:rsidRPr="00FF4DBA">
        <w:rPr>
          <w:rStyle w:val="Refdenotaalpie"/>
          <w:rFonts w:ascii="Arial" w:hAnsi="Arial" w:cs="Arial"/>
          <w:sz w:val="18"/>
          <w:szCs w:val="18"/>
        </w:rPr>
        <w:footnoteRef/>
      </w:r>
      <w:r w:rsidRPr="00FF4DBA">
        <w:rPr>
          <w:rFonts w:ascii="Arial" w:hAnsi="Arial" w:cs="Arial"/>
          <w:sz w:val="18"/>
          <w:szCs w:val="18"/>
        </w:rPr>
        <w:t xml:space="preserve"> </w:t>
      </w:r>
      <w:r w:rsidRPr="00FF4DBA">
        <w:rPr>
          <w:rFonts w:ascii="Arial" w:hAnsi="Arial" w:cs="Arial"/>
          <w:sz w:val="18"/>
          <w:szCs w:val="18"/>
          <w:lang w:val="es-CO"/>
        </w:rPr>
        <w:t xml:space="preserve">Folios </w:t>
      </w:r>
      <w:r>
        <w:rPr>
          <w:rFonts w:ascii="Arial" w:hAnsi="Arial" w:cs="Arial"/>
          <w:sz w:val="18"/>
          <w:szCs w:val="18"/>
          <w:lang w:val="es-CO"/>
        </w:rPr>
        <w:t>440 a 452 (obran la contestación de la demanda y los poderes debidamente otorgados)</w:t>
      </w:r>
    </w:p>
  </w:footnote>
  <w:footnote w:id="5">
    <w:p w:rsidR="0033547F" w:rsidRPr="006F0AFE" w:rsidRDefault="0033547F" w:rsidP="0033547F">
      <w:pPr>
        <w:pStyle w:val="Textonotapie"/>
        <w:jc w:val="both"/>
        <w:rPr>
          <w:rFonts w:ascii="Arial" w:hAnsi="Arial" w:cs="Arial"/>
          <w:sz w:val="18"/>
          <w:szCs w:val="18"/>
          <w:lang w:val="es-CO"/>
        </w:rPr>
      </w:pPr>
      <w:r w:rsidRPr="00526C87">
        <w:rPr>
          <w:rStyle w:val="Refdenotaalpie"/>
          <w:rFonts w:ascii="Arial" w:hAnsi="Arial" w:cs="Arial"/>
          <w:sz w:val="18"/>
          <w:szCs w:val="18"/>
        </w:rPr>
        <w:footnoteRef/>
      </w:r>
      <w:r w:rsidR="00715C2E" w:rsidRPr="006F0AFE">
        <w:rPr>
          <w:rFonts w:ascii="Arial" w:hAnsi="Arial" w:cs="Arial"/>
          <w:sz w:val="18"/>
          <w:szCs w:val="18"/>
          <w:lang w:val="es-CO"/>
        </w:rPr>
        <w:t xml:space="preserve"> Fls.650-662</w:t>
      </w:r>
      <w:r w:rsidRPr="006F0AFE">
        <w:rPr>
          <w:rFonts w:ascii="Arial" w:hAnsi="Arial" w:cs="Arial"/>
          <w:sz w:val="18"/>
          <w:szCs w:val="18"/>
          <w:lang w:val="es-CO"/>
        </w:rPr>
        <w:t xml:space="preserve"> C.P </w:t>
      </w:r>
    </w:p>
  </w:footnote>
  <w:footnote w:id="6">
    <w:p w:rsidR="00913EB7" w:rsidRPr="009F0DC3" w:rsidRDefault="0078396F" w:rsidP="00014DDA">
      <w:pPr>
        <w:pStyle w:val="Textonotapie"/>
        <w:jc w:val="both"/>
        <w:rPr>
          <w:rFonts w:ascii="Arial" w:hAnsi="Arial" w:cs="Arial"/>
        </w:rPr>
      </w:pPr>
      <w:r w:rsidRPr="009F0DC3">
        <w:rPr>
          <w:rStyle w:val="Refdenotaalpie"/>
          <w:rFonts w:ascii="Arial" w:hAnsi="Arial" w:cs="Arial"/>
        </w:rPr>
        <w:footnoteRef/>
      </w:r>
      <w:r w:rsidRPr="009F0DC3">
        <w:rPr>
          <w:rFonts w:ascii="Arial" w:hAnsi="Arial" w:cs="Arial"/>
        </w:rPr>
        <w:t xml:space="preserve"> J.O. SANTOFIMIO GAMBOA.</w:t>
      </w:r>
      <w:r w:rsidR="009F0DC3" w:rsidRPr="009F0DC3">
        <w:rPr>
          <w:rFonts w:ascii="Arial" w:hAnsi="Arial" w:cs="Arial"/>
        </w:rPr>
        <w:t xml:space="preserve"> </w:t>
      </w:r>
      <w:r w:rsidR="007B722B">
        <w:rPr>
          <w:rFonts w:ascii="Arial" w:hAnsi="Arial" w:cs="Arial"/>
        </w:rPr>
        <w:t>Derecho Urban</w:t>
      </w:r>
      <w:r w:rsidR="00D51BE6">
        <w:rPr>
          <w:rFonts w:ascii="Arial" w:hAnsi="Arial" w:cs="Arial"/>
        </w:rPr>
        <w:t xml:space="preserve">ístico </w:t>
      </w:r>
      <w:r w:rsidR="007B722B">
        <w:rPr>
          <w:rFonts w:ascii="Arial" w:hAnsi="Arial" w:cs="Arial"/>
        </w:rPr>
        <w:t>Legislaci</w:t>
      </w:r>
      <w:r w:rsidR="00014DDA">
        <w:rPr>
          <w:rFonts w:ascii="Arial" w:hAnsi="Arial" w:cs="Arial"/>
        </w:rPr>
        <w:t>ón y Jurisprudencia Universidad Externado de Colombia, segunda edición, Bogotá 2009.</w:t>
      </w:r>
      <w:r w:rsidR="00661191">
        <w:rPr>
          <w:rFonts w:ascii="Arial" w:hAnsi="Arial" w:cs="Arial"/>
        </w:rPr>
        <w:t xml:space="preserve"> P. 137</w:t>
      </w:r>
      <w:r w:rsidR="003E206A">
        <w:rPr>
          <w:rFonts w:ascii="Arial" w:hAnsi="Arial" w:cs="Arial"/>
        </w:rPr>
        <w:t xml:space="preserve">, cita la </w:t>
      </w:r>
      <w:r w:rsidR="00286A6A">
        <w:rPr>
          <w:rFonts w:ascii="Arial" w:hAnsi="Arial" w:cs="Arial"/>
        </w:rPr>
        <w:t xml:space="preserve">sentencia </w:t>
      </w:r>
      <w:r w:rsidR="00D37400">
        <w:rPr>
          <w:rFonts w:ascii="Arial" w:hAnsi="Arial" w:cs="Arial"/>
        </w:rPr>
        <w:t xml:space="preserve">T-572 </w:t>
      </w:r>
      <w:r w:rsidR="00286A6A">
        <w:rPr>
          <w:rFonts w:ascii="Arial" w:hAnsi="Arial" w:cs="Arial"/>
        </w:rPr>
        <w:t>de</w:t>
      </w:r>
      <w:r w:rsidR="00913EB7">
        <w:rPr>
          <w:rFonts w:ascii="Arial" w:hAnsi="Arial" w:cs="Arial"/>
        </w:rPr>
        <w:t xml:space="preserve"> </w:t>
      </w:r>
      <w:r w:rsidR="00286A6A">
        <w:rPr>
          <w:rFonts w:ascii="Arial" w:hAnsi="Arial" w:cs="Arial"/>
        </w:rPr>
        <w:t>l</w:t>
      </w:r>
      <w:r w:rsidR="00913EB7">
        <w:rPr>
          <w:rFonts w:ascii="Arial" w:hAnsi="Arial" w:cs="Arial"/>
        </w:rPr>
        <w:t>a</w:t>
      </w:r>
      <w:r w:rsidR="00D37400">
        <w:rPr>
          <w:rFonts w:ascii="Arial" w:hAnsi="Arial" w:cs="Arial"/>
        </w:rPr>
        <w:t xml:space="preserve"> Corte Constitucional</w:t>
      </w:r>
      <w:r w:rsidR="00286A6A">
        <w:rPr>
          <w:rFonts w:ascii="Arial" w:hAnsi="Arial" w:cs="Arial"/>
        </w:rPr>
        <w:t xml:space="preserve">, sentencia del </w:t>
      </w:r>
      <w:r w:rsidR="00D37400">
        <w:rPr>
          <w:rFonts w:ascii="Arial" w:hAnsi="Arial" w:cs="Arial"/>
        </w:rPr>
        <w:t>9 de diciembre de 1994, M.P. Alejandro Martínez</w:t>
      </w:r>
      <w:r w:rsidR="000E7F00">
        <w:rPr>
          <w:rFonts w:ascii="Arial" w:hAnsi="Arial" w:cs="Arial"/>
        </w:rPr>
        <w:t xml:space="preserve"> Caballero.</w:t>
      </w:r>
    </w:p>
  </w:footnote>
  <w:footnote w:id="7">
    <w:p w:rsidR="00D567BC" w:rsidRPr="00197F5E" w:rsidRDefault="00D567BC">
      <w:pPr>
        <w:pStyle w:val="Textonotapie"/>
        <w:rPr>
          <w:rFonts w:ascii="Arial" w:hAnsi="Arial" w:cs="Arial"/>
        </w:rPr>
      </w:pPr>
      <w:r w:rsidRPr="00197F5E">
        <w:rPr>
          <w:rStyle w:val="Refdenotaalpie"/>
          <w:rFonts w:ascii="Arial" w:hAnsi="Arial" w:cs="Arial"/>
        </w:rPr>
        <w:footnoteRef/>
      </w:r>
      <w:r w:rsidRPr="00197F5E">
        <w:rPr>
          <w:rFonts w:ascii="Arial" w:hAnsi="Arial" w:cs="Arial"/>
        </w:rPr>
        <w:t xml:space="preserve"> Consejo de Estado, Sección Primera. Sentencia de 16 de noviembre de 2000, radicado: 6171.</w:t>
      </w:r>
    </w:p>
  </w:footnote>
  <w:footnote w:id="8">
    <w:p w:rsidR="00027EA5" w:rsidRPr="00F27492" w:rsidRDefault="00027EA5" w:rsidP="00B525F9">
      <w:pPr>
        <w:pStyle w:val="NormalWeb"/>
        <w:spacing w:before="2" w:after="2"/>
        <w:jc w:val="both"/>
        <w:rPr>
          <w:rFonts w:ascii="Arial" w:hAnsi="Arial" w:cs="Arial"/>
          <w:sz w:val="18"/>
          <w:szCs w:val="18"/>
        </w:rPr>
      </w:pPr>
      <w:r w:rsidRPr="00F27492">
        <w:rPr>
          <w:rStyle w:val="Refdenotaalpie"/>
          <w:rFonts w:ascii="Arial" w:hAnsi="Arial" w:cs="Arial"/>
          <w:sz w:val="18"/>
          <w:szCs w:val="18"/>
        </w:rPr>
        <w:footnoteRef/>
      </w:r>
      <w:r w:rsidRPr="00F27492">
        <w:rPr>
          <w:rFonts w:ascii="Arial" w:hAnsi="Arial" w:cs="Arial"/>
          <w:sz w:val="18"/>
          <w:szCs w:val="18"/>
        </w:rPr>
        <w:t xml:space="preserve"> </w:t>
      </w:r>
      <w:r w:rsidR="003D4BDD" w:rsidRPr="00F27492">
        <w:rPr>
          <w:rFonts w:ascii="Arial" w:hAnsi="Arial" w:cs="Arial"/>
          <w:sz w:val="18"/>
          <w:szCs w:val="18"/>
        </w:rPr>
        <w:t xml:space="preserve">Consejo de Estado, Sala de lo Contencioso Administrativo, Sección Tercera, sentencia de 18 de marzo de 2010, expediente: 14.390, actor: </w:t>
      </w:r>
      <w:r w:rsidR="003D4BDD" w:rsidRPr="00F27492">
        <w:rPr>
          <w:rFonts w:ascii="Arial" w:hAnsi="Arial" w:cs="Arial"/>
          <w:bCs/>
          <w:color w:val="000000"/>
          <w:sz w:val="18"/>
          <w:szCs w:val="18"/>
          <w:shd w:val="clear" w:color="auto" w:fill="FFFFFF"/>
          <w:lang w:val="es-ES" w:eastAsia="es-ES"/>
        </w:rPr>
        <w:t>SOCIEDAD COMPAÑÍA DE INVERSIONES Y PROYECTOS COINVERPRO LTDA.</w:t>
      </w:r>
    </w:p>
  </w:footnote>
  <w:footnote w:id="9">
    <w:p w:rsidR="00FF2DD7" w:rsidRPr="008C7370" w:rsidRDefault="00FF2DD7" w:rsidP="00F27492">
      <w:pPr>
        <w:pStyle w:val="Piedepgina"/>
        <w:jc w:val="both"/>
      </w:pPr>
      <w:r w:rsidRPr="00F27492">
        <w:rPr>
          <w:rStyle w:val="Refdenotaalpie"/>
          <w:rFonts w:ascii="Arial" w:hAnsi="Arial" w:cs="Arial"/>
          <w:sz w:val="18"/>
          <w:szCs w:val="18"/>
        </w:rPr>
        <w:footnoteRef/>
      </w:r>
      <w:r w:rsidRPr="00F27492">
        <w:rPr>
          <w:rFonts w:ascii="Arial" w:hAnsi="Arial" w:cs="Arial"/>
          <w:sz w:val="18"/>
          <w:szCs w:val="18"/>
        </w:rPr>
        <w:t xml:space="preserve"> </w:t>
      </w:r>
      <w:r w:rsidR="00F27492">
        <w:rPr>
          <w:rFonts w:ascii="Arial" w:hAnsi="Arial" w:cs="Arial"/>
          <w:sz w:val="18"/>
          <w:szCs w:val="18"/>
        </w:rPr>
        <w:t>(P</w:t>
      </w:r>
      <w:r w:rsidR="00F27492" w:rsidRPr="00F27492">
        <w:rPr>
          <w:rFonts w:ascii="Arial" w:hAnsi="Arial" w:cs="Arial"/>
          <w:sz w:val="18"/>
          <w:szCs w:val="18"/>
        </w:rPr>
        <w:t xml:space="preserve">ie de página propio de la cita) </w:t>
      </w:r>
      <w:r w:rsidRPr="00F27492">
        <w:rPr>
          <w:rFonts w:ascii="Arial" w:hAnsi="Arial" w:cs="Arial"/>
          <w:sz w:val="18"/>
          <w:szCs w:val="18"/>
        </w:rPr>
        <w:t xml:space="preserve">Consejo de Estado, Sala de lo Contencioso Administrativo, Sección Tercera, sentencia del 16 de febrero de 2001; Consejero Ponente: Alier Eduardo Hernández Enríquez; Expediente: 16596. En ese mismo sentido pueden verse los siguientes pronunciamientos: Consejo de Estado, Sala de Consulta y Servicio Civil, concepto del 8 de agosto de 1997; Consejero Ponente: </w:t>
      </w:r>
      <w:smartTag w:uri="urn:schemas-microsoft-com:office:smarttags" w:element="PersonName">
        <w:smartTagPr>
          <w:attr w:name="ProductID" w:val="C￩sar Hoyos"/>
        </w:smartTagPr>
        <w:r w:rsidRPr="00F27492">
          <w:rPr>
            <w:rFonts w:ascii="Arial" w:hAnsi="Arial" w:cs="Arial"/>
            <w:sz w:val="18"/>
            <w:szCs w:val="18"/>
          </w:rPr>
          <w:t>César Hoyos</w:t>
        </w:r>
      </w:smartTag>
      <w:r w:rsidRPr="00F27492">
        <w:rPr>
          <w:rFonts w:ascii="Arial" w:hAnsi="Arial" w:cs="Arial"/>
          <w:sz w:val="18"/>
          <w:szCs w:val="18"/>
        </w:rPr>
        <w:t xml:space="preserve"> Salazar; Radicado: 977; Consejo de Estado, Sala de lo Contencioso Administrativo, Sección Tercera, sentencia del 13 de febrero de 2006; Consejera Ponente: María </w:t>
      </w:r>
      <w:smartTag w:uri="urn:schemas-microsoft-com:office:smarttags" w:element="PersonName">
        <w:smartTagPr>
          <w:attr w:name="ProductID" w:val="Elena Giraldo"/>
        </w:smartTagPr>
        <w:r w:rsidRPr="00F27492">
          <w:rPr>
            <w:rFonts w:ascii="Arial" w:hAnsi="Arial" w:cs="Arial"/>
            <w:sz w:val="18"/>
            <w:szCs w:val="18"/>
          </w:rPr>
          <w:t>Elena Giraldo</w:t>
        </w:r>
      </w:smartTag>
      <w:r w:rsidRPr="00F27492">
        <w:rPr>
          <w:rFonts w:ascii="Arial" w:hAnsi="Arial" w:cs="Arial"/>
          <w:sz w:val="18"/>
          <w:szCs w:val="18"/>
        </w:rPr>
        <w:t xml:space="preserve"> Gómez; Expediente: 19484.</w:t>
      </w:r>
      <w:r w:rsidRPr="008C7370">
        <w:t xml:space="preserve"> </w:t>
      </w:r>
    </w:p>
  </w:footnote>
  <w:footnote w:id="10">
    <w:p w:rsidR="00F27492" w:rsidRPr="00F27492" w:rsidRDefault="00FF2DD7" w:rsidP="00F27492">
      <w:pPr>
        <w:pStyle w:val="Piedepgina"/>
        <w:jc w:val="both"/>
        <w:rPr>
          <w:rFonts w:ascii="Arial" w:hAnsi="Arial" w:cs="Arial"/>
          <w:sz w:val="18"/>
          <w:szCs w:val="18"/>
        </w:rPr>
      </w:pPr>
      <w:r w:rsidRPr="00F27492">
        <w:rPr>
          <w:rStyle w:val="Refdenotaalpie"/>
          <w:rFonts w:ascii="Arial" w:hAnsi="Arial" w:cs="Arial"/>
          <w:sz w:val="18"/>
          <w:szCs w:val="18"/>
        </w:rPr>
        <w:footnoteRef/>
      </w:r>
      <w:r w:rsidRPr="00F27492">
        <w:rPr>
          <w:rFonts w:ascii="Arial" w:hAnsi="Arial" w:cs="Arial"/>
          <w:sz w:val="18"/>
          <w:szCs w:val="18"/>
        </w:rPr>
        <w:t xml:space="preserve"> </w:t>
      </w:r>
      <w:r w:rsidR="00F27492" w:rsidRPr="00F27492">
        <w:rPr>
          <w:rFonts w:ascii="Arial" w:hAnsi="Arial" w:cs="Arial"/>
          <w:sz w:val="18"/>
          <w:szCs w:val="18"/>
        </w:rPr>
        <w:t xml:space="preserve">(Pie de página propio de la cita) </w:t>
      </w:r>
      <w:r w:rsidRPr="00F27492">
        <w:rPr>
          <w:rFonts w:ascii="Arial" w:hAnsi="Arial" w:cs="Arial"/>
          <w:sz w:val="18"/>
          <w:szCs w:val="18"/>
        </w:rPr>
        <w:t>Consejo de Estado. Sala de lo Contencioso Administrativo. Sección Tercera. Sentencia del 6 de julio de 2005; Consejero Ponente: Alier Eduardo Hernández Enríquez.</w:t>
      </w:r>
    </w:p>
  </w:footnote>
  <w:footnote w:id="11">
    <w:p w:rsidR="00FF2DD7" w:rsidRPr="00F27492" w:rsidRDefault="00FF2DD7" w:rsidP="00F27492">
      <w:pPr>
        <w:pStyle w:val="Piedepgina"/>
        <w:jc w:val="both"/>
        <w:rPr>
          <w:rFonts w:ascii="Arial" w:hAnsi="Arial" w:cs="Arial"/>
          <w:sz w:val="18"/>
          <w:szCs w:val="18"/>
        </w:rPr>
      </w:pPr>
      <w:r w:rsidRPr="00F27492">
        <w:rPr>
          <w:rStyle w:val="Refdenotaalpie"/>
          <w:rFonts w:ascii="Arial" w:hAnsi="Arial" w:cs="Arial"/>
          <w:sz w:val="18"/>
          <w:szCs w:val="18"/>
        </w:rPr>
        <w:footnoteRef/>
      </w:r>
      <w:r w:rsidRPr="00F27492">
        <w:rPr>
          <w:rFonts w:ascii="Arial" w:hAnsi="Arial" w:cs="Arial"/>
          <w:sz w:val="18"/>
          <w:szCs w:val="18"/>
        </w:rPr>
        <w:t xml:space="preserve"> </w:t>
      </w:r>
      <w:r w:rsidR="00F27492" w:rsidRPr="00F27492">
        <w:rPr>
          <w:rFonts w:ascii="Arial" w:hAnsi="Arial" w:cs="Arial"/>
          <w:sz w:val="18"/>
          <w:szCs w:val="18"/>
        </w:rPr>
        <w:t xml:space="preserve">(Pie de página propio de la cita) </w:t>
      </w:r>
      <w:r w:rsidRPr="00F27492">
        <w:rPr>
          <w:rFonts w:ascii="Arial" w:hAnsi="Arial" w:cs="Arial"/>
          <w:sz w:val="18"/>
          <w:szCs w:val="18"/>
        </w:rPr>
        <w:t>Corte Suprema de Justicia, sentencia del 26 de septiembre de 1940; Gaceta Judicial, Tomo L, p. 254.</w:t>
      </w:r>
    </w:p>
  </w:footnote>
  <w:footnote w:id="12">
    <w:p w:rsidR="00FF2DD7" w:rsidRPr="00B93047" w:rsidRDefault="00FF2DD7" w:rsidP="00F27492">
      <w:pPr>
        <w:pStyle w:val="Piedepgina"/>
        <w:jc w:val="both"/>
        <w:rPr>
          <w:rFonts w:ascii="Arial" w:hAnsi="Arial" w:cs="Arial"/>
          <w:i/>
          <w:sz w:val="18"/>
          <w:szCs w:val="18"/>
        </w:rPr>
      </w:pPr>
      <w:r w:rsidRPr="00B93047">
        <w:rPr>
          <w:rStyle w:val="Refdenotaalpie"/>
          <w:rFonts w:ascii="Arial" w:hAnsi="Arial" w:cs="Arial"/>
          <w:sz w:val="18"/>
          <w:szCs w:val="18"/>
        </w:rPr>
        <w:footnoteRef/>
      </w:r>
      <w:r w:rsidR="00F27492" w:rsidRPr="00B93047">
        <w:rPr>
          <w:rFonts w:ascii="Arial" w:hAnsi="Arial" w:cs="Arial"/>
          <w:sz w:val="18"/>
          <w:szCs w:val="18"/>
        </w:rPr>
        <w:t xml:space="preserve"> (Pie de página propio de la cita) </w:t>
      </w:r>
      <w:r w:rsidRPr="00B93047">
        <w:rPr>
          <w:rFonts w:ascii="Arial" w:hAnsi="Arial" w:cs="Arial"/>
          <w:sz w:val="18"/>
          <w:szCs w:val="18"/>
        </w:rPr>
        <w:t xml:space="preserve"> En este sentido, se ha afirmado lo siguiente: </w:t>
      </w:r>
      <w:r w:rsidRPr="00B93047">
        <w:rPr>
          <w:rFonts w:ascii="Arial" w:hAnsi="Arial" w:cs="Arial"/>
          <w:i/>
          <w:sz w:val="18"/>
          <w:szCs w:val="18"/>
        </w:rPr>
        <w:t xml:space="preserve">“Los (…) bienes de uso público, son aquellos que, si bien su dominio es igualmente de </w:t>
      </w:r>
      <w:smartTag w:uri="urn:schemas-microsoft-com:office:smarttags" w:element="PersonName">
        <w:smartTagPr>
          <w:attr w:name="ProductID" w:val="la Rep￺blica"/>
        </w:smartTagPr>
        <w:r w:rsidRPr="00B93047">
          <w:rPr>
            <w:rFonts w:ascii="Arial" w:hAnsi="Arial" w:cs="Arial"/>
            <w:i/>
            <w:sz w:val="18"/>
            <w:szCs w:val="18"/>
          </w:rPr>
          <w:t>la República</w:t>
        </w:r>
      </w:smartTag>
      <w:r w:rsidRPr="00B93047">
        <w:rPr>
          <w:rFonts w:ascii="Arial" w:hAnsi="Arial" w:cs="Arial"/>
          <w:i/>
          <w:sz w:val="18"/>
          <w:szCs w:val="18"/>
        </w:rPr>
        <w:t xml:space="preserve">, su uso pertenece a todos los habitantes del territorio y están a su servicio permanente (como el de calles, plazas, parques, puentes, caminos, ejidos, etc.). </w:t>
      </w:r>
    </w:p>
    <w:p w:rsidR="00FF2DD7" w:rsidRPr="00B93047" w:rsidRDefault="00FF2DD7" w:rsidP="00F27492">
      <w:pPr>
        <w:pStyle w:val="Piedepgina"/>
        <w:jc w:val="both"/>
        <w:rPr>
          <w:rFonts w:ascii="Arial" w:hAnsi="Arial" w:cs="Arial"/>
          <w:i/>
          <w:sz w:val="18"/>
          <w:szCs w:val="18"/>
        </w:rPr>
      </w:pPr>
    </w:p>
    <w:p w:rsidR="00FF2DD7" w:rsidRPr="00B93047" w:rsidRDefault="00FF2DD7" w:rsidP="00F27492">
      <w:pPr>
        <w:pStyle w:val="Piedepgina"/>
        <w:jc w:val="both"/>
        <w:rPr>
          <w:rFonts w:ascii="Arial" w:hAnsi="Arial" w:cs="Arial"/>
          <w:i/>
          <w:sz w:val="18"/>
          <w:szCs w:val="18"/>
        </w:rPr>
      </w:pPr>
      <w:r w:rsidRPr="00B93047">
        <w:rPr>
          <w:rFonts w:ascii="Arial" w:hAnsi="Arial" w:cs="Arial"/>
          <w:i/>
          <w:sz w:val="18"/>
          <w:szCs w:val="18"/>
        </w:rPr>
        <w:t xml:space="preserve">Se tiene así que, por su propia naturaleza, estos bienes ─los de uso público─ no son objeto de un derecho de dominio similar al que se detenta respecto de un bien particular, puesto que están destinados al servicio de todos los habitantes. </w:t>
      </w:r>
    </w:p>
    <w:p w:rsidR="00FF2DD7" w:rsidRPr="00B93047" w:rsidRDefault="00FF2DD7" w:rsidP="00F27492">
      <w:pPr>
        <w:pStyle w:val="Piedepgina"/>
        <w:jc w:val="both"/>
        <w:rPr>
          <w:rFonts w:ascii="Arial" w:hAnsi="Arial" w:cs="Arial"/>
          <w:sz w:val="18"/>
          <w:szCs w:val="18"/>
        </w:rPr>
      </w:pPr>
    </w:p>
    <w:p w:rsidR="00FF2DD7" w:rsidRPr="00B93047" w:rsidRDefault="00FF2DD7" w:rsidP="00F27492">
      <w:pPr>
        <w:pStyle w:val="Piedepgina"/>
        <w:jc w:val="both"/>
        <w:rPr>
          <w:rFonts w:ascii="Arial" w:hAnsi="Arial" w:cs="Arial"/>
          <w:sz w:val="18"/>
          <w:szCs w:val="18"/>
        </w:rPr>
      </w:pPr>
      <w:r w:rsidRPr="00B93047">
        <w:rPr>
          <w:rFonts w:ascii="Arial" w:hAnsi="Arial" w:cs="Arial"/>
          <w:i/>
          <w:sz w:val="18"/>
          <w:szCs w:val="18"/>
        </w:rPr>
        <w:t xml:space="preserve">Por ello, en realidad respecto de ellos el Estado ejerce solamente derechos de administración y de policía, en orden a garantizar y proteger precisamente su uso y goce común, por motivos de interés general (art. 1° de </w:t>
      </w:r>
      <w:smartTag w:uri="urn:schemas-microsoft-com:office:smarttags" w:element="PersonName">
        <w:smartTagPr>
          <w:attr w:name="ProductID" w:val="la Carta Pol￭tica"/>
        </w:smartTagPr>
        <w:r w:rsidRPr="00B93047">
          <w:rPr>
            <w:rFonts w:ascii="Arial" w:hAnsi="Arial" w:cs="Arial"/>
            <w:i/>
            <w:sz w:val="18"/>
            <w:szCs w:val="18"/>
          </w:rPr>
          <w:t>la Carta Política</w:t>
        </w:r>
      </w:smartTag>
      <w:r w:rsidRPr="00B93047">
        <w:rPr>
          <w:rFonts w:ascii="Arial" w:hAnsi="Arial" w:cs="Arial"/>
          <w:i/>
          <w:sz w:val="18"/>
          <w:szCs w:val="18"/>
        </w:rPr>
        <w:t>)”</w:t>
      </w:r>
      <w:r w:rsidRPr="00B93047">
        <w:rPr>
          <w:rFonts w:ascii="Arial" w:hAnsi="Arial" w:cs="Arial"/>
          <w:sz w:val="18"/>
          <w:szCs w:val="18"/>
        </w:rPr>
        <w:t>.</w:t>
      </w:r>
      <w:r w:rsidRPr="00B93047">
        <w:rPr>
          <w:rStyle w:val="Refdenotaalpie"/>
          <w:rFonts w:ascii="Arial" w:hAnsi="Arial" w:cs="Arial"/>
          <w:i/>
          <w:sz w:val="18"/>
          <w:szCs w:val="18"/>
        </w:rPr>
        <w:t xml:space="preserve"> </w:t>
      </w:r>
      <w:r w:rsidRPr="00B93047">
        <w:rPr>
          <w:rFonts w:ascii="Arial" w:hAnsi="Arial" w:cs="Arial"/>
          <w:sz w:val="18"/>
          <w:szCs w:val="18"/>
        </w:rPr>
        <w:t>Consejo de Estado, Sala de lo Contencioso Administrativo, Sección Tercera, sentencia del 6 de julio de 2005; Exp. 12249. Consejero Ponente: Alier Eduardo Hernández Enríquez. En idéntico sentido, puede verse Consejo de Estado, Sala de lo Contencioso Administrativo, Sección Tercera</w:t>
      </w:r>
      <w:r w:rsidRPr="00B93047">
        <w:rPr>
          <w:rFonts w:ascii="Arial" w:hAnsi="Arial" w:cs="Arial"/>
          <w:sz w:val="18"/>
          <w:szCs w:val="18"/>
          <w:lang w:val="es-ES_tradnl"/>
        </w:rPr>
        <w:t xml:space="preserve">, </w:t>
      </w:r>
      <w:r w:rsidRPr="00B93047">
        <w:rPr>
          <w:rFonts w:ascii="Arial" w:hAnsi="Arial" w:cs="Arial"/>
          <w:sz w:val="18"/>
          <w:szCs w:val="18"/>
        </w:rPr>
        <w:t>sentencia de febrero dieciséis (16) de dos mil uno (2001); Consejero ponente: Alier Eduardo Hernández Enríquez; Radicación número: 16596.</w:t>
      </w:r>
    </w:p>
    <w:p w:rsidR="00F27492" w:rsidRPr="00B93047" w:rsidRDefault="00F27492" w:rsidP="00F27492">
      <w:pPr>
        <w:pStyle w:val="Piedepgina"/>
        <w:jc w:val="both"/>
        <w:rPr>
          <w:rFonts w:ascii="Arial" w:hAnsi="Arial" w:cs="Arial"/>
          <w:sz w:val="18"/>
          <w:szCs w:val="18"/>
        </w:rPr>
      </w:pPr>
    </w:p>
  </w:footnote>
  <w:footnote w:id="13">
    <w:p w:rsidR="00027EA5" w:rsidRPr="00E66A6E" w:rsidRDefault="00027EA5" w:rsidP="00027EA5">
      <w:pPr>
        <w:pStyle w:val="Textonotapie"/>
        <w:spacing w:before="2"/>
        <w:jc w:val="both"/>
        <w:rPr>
          <w:rFonts w:ascii="Arial" w:hAnsi="Arial" w:cs="Arial"/>
          <w:lang w:val="es-ES_tradnl"/>
        </w:rPr>
      </w:pPr>
      <w:r w:rsidRPr="00B93047">
        <w:rPr>
          <w:rStyle w:val="Refdenotaalpie"/>
          <w:rFonts w:ascii="Arial" w:hAnsi="Arial" w:cs="Arial"/>
          <w:sz w:val="18"/>
          <w:szCs w:val="18"/>
        </w:rPr>
        <w:footnoteRef/>
      </w:r>
      <w:r w:rsidRPr="00B93047">
        <w:rPr>
          <w:rFonts w:ascii="Arial" w:hAnsi="Arial" w:cs="Arial"/>
          <w:sz w:val="18"/>
          <w:szCs w:val="18"/>
        </w:rPr>
        <w:t xml:space="preserve"> </w:t>
      </w:r>
      <w:r w:rsidRPr="00B93047">
        <w:rPr>
          <w:rFonts w:ascii="Arial" w:hAnsi="Arial" w:cs="Arial"/>
          <w:sz w:val="18"/>
          <w:szCs w:val="18"/>
          <w:lang w:val="es-ES_tradnl"/>
        </w:rPr>
        <w:t>Reiteración jurisprudencia CONSEJO DE ESTADO – Sección Tercera – Subsección C- Sentencia 12 de junio de 2014. Exp. 29.469</w:t>
      </w:r>
    </w:p>
  </w:footnote>
  <w:footnote w:id="14">
    <w:p w:rsidR="00F268BA" w:rsidRPr="00F268BA" w:rsidRDefault="00F268BA" w:rsidP="00F268BA">
      <w:pPr>
        <w:pStyle w:val="Textonotapie"/>
        <w:jc w:val="both"/>
        <w:rPr>
          <w:rFonts w:ascii="Arial" w:hAnsi="Arial" w:cs="Arial"/>
          <w:sz w:val="18"/>
          <w:szCs w:val="18"/>
          <w:lang w:val="es-CO"/>
        </w:rPr>
      </w:pPr>
      <w:r w:rsidRPr="00F268BA">
        <w:rPr>
          <w:rStyle w:val="Refdenotaalpie"/>
          <w:rFonts w:ascii="Arial" w:hAnsi="Arial" w:cs="Arial"/>
          <w:sz w:val="18"/>
          <w:szCs w:val="18"/>
        </w:rPr>
        <w:footnoteRef/>
      </w:r>
      <w:r w:rsidRPr="00F268BA">
        <w:rPr>
          <w:rFonts w:ascii="Arial" w:hAnsi="Arial" w:cs="Arial"/>
          <w:sz w:val="18"/>
          <w:szCs w:val="18"/>
        </w:rPr>
        <w:t xml:space="preserve"> </w:t>
      </w:r>
      <w:r>
        <w:rPr>
          <w:rFonts w:ascii="Arial" w:hAnsi="Arial" w:cs="Arial"/>
          <w:sz w:val="18"/>
          <w:szCs w:val="18"/>
        </w:rPr>
        <w:t>Folios 36 a 41 cuaderno pruebas.</w:t>
      </w:r>
    </w:p>
  </w:footnote>
  <w:footnote w:id="15">
    <w:p w:rsidR="002E3483" w:rsidRPr="003F7439" w:rsidRDefault="002E3483">
      <w:pPr>
        <w:pStyle w:val="Textonotapie"/>
        <w:rPr>
          <w:rFonts w:ascii="Arial" w:hAnsi="Arial" w:cs="Arial"/>
          <w:lang w:val="es-CO"/>
        </w:rPr>
      </w:pPr>
      <w:r w:rsidRPr="003F7439">
        <w:rPr>
          <w:rStyle w:val="Refdenotaalpie"/>
          <w:rFonts w:ascii="Arial" w:hAnsi="Arial" w:cs="Arial"/>
          <w:sz w:val="16"/>
        </w:rPr>
        <w:footnoteRef/>
      </w:r>
      <w:r w:rsidRPr="003F7439">
        <w:rPr>
          <w:rFonts w:ascii="Arial" w:hAnsi="Arial" w:cs="Arial"/>
          <w:sz w:val="16"/>
        </w:rPr>
        <w:t xml:space="preserve"> </w:t>
      </w:r>
      <w:r w:rsidRPr="003F7439">
        <w:rPr>
          <w:rFonts w:ascii="Arial" w:hAnsi="Arial" w:cs="Arial"/>
          <w:sz w:val="16"/>
          <w:lang w:val="es-CO"/>
        </w:rPr>
        <w:t>Folio 42 a 54 Ib.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CF" w:rsidRPr="00931557" w:rsidRDefault="003B67A9" w:rsidP="002F79CF">
    <w:pPr>
      <w:rPr>
        <w:rFonts w:ascii="Arial" w:eastAsia="Times New Roman" w:hAnsi="Arial" w:cs="Arial"/>
        <w:b/>
        <w:bCs/>
        <w:sz w:val="24"/>
        <w:szCs w:val="24"/>
        <w:lang w:eastAsia="es-ES"/>
      </w:rPr>
    </w:pPr>
    <w:r w:rsidRPr="007C4254">
      <w:rPr>
        <w:noProof/>
        <w:lang w:val="en-US"/>
      </w:rPr>
      <w:drawing>
        <wp:inline distT="0" distB="0" distL="0" distR="0">
          <wp:extent cx="1714500"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52475"/>
                  </a:xfrm>
                  <a:prstGeom prst="rect">
                    <a:avLst/>
                  </a:prstGeom>
                  <a:noFill/>
                  <a:ln>
                    <a:noFill/>
                  </a:ln>
                </pic:spPr>
              </pic:pic>
            </a:graphicData>
          </a:graphic>
        </wp:inline>
      </w:drawing>
    </w:r>
    <w:r w:rsidR="002F79CF">
      <w:rPr>
        <w:noProof/>
        <w:lang w:eastAsia="es-ES"/>
      </w:rPr>
      <w:t xml:space="preserve">            </w:t>
    </w:r>
    <w:r w:rsidR="002F79CF" w:rsidRPr="00931557">
      <w:rPr>
        <w:rFonts w:ascii="Arial" w:eastAsia="Times New Roman" w:hAnsi="Arial" w:cs="Arial"/>
        <w:b/>
        <w:bCs/>
        <w:sz w:val="24"/>
        <w:szCs w:val="24"/>
        <w:lang w:eastAsia="es-ES"/>
      </w:rPr>
      <w:t>CONSEJO DE ESTADO</w:t>
    </w:r>
  </w:p>
  <w:p w:rsidR="002F79CF" w:rsidRPr="00931557" w:rsidRDefault="002F79CF" w:rsidP="002F79CF">
    <w:pPr>
      <w:jc w:val="center"/>
      <w:rPr>
        <w:rFonts w:ascii="Arial" w:eastAsia="Times New Roman" w:hAnsi="Arial" w:cs="Arial"/>
        <w:b/>
        <w:bCs/>
        <w:sz w:val="24"/>
        <w:szCs w:val="24"/>
        <w:lang w:eastAsia="es-ES"/>
      </w:rPr>
    </w:pPr>
    <w:r w:rsidRPr="00931557">
      <w:rPr>
        <w:rFonts w:ascii="Arial" w:eastAsia="Times New Roman" w:hAnsi="Arial" w:cs="Arial"/>
        <w:b/>
        <w:bCs/>
        <w:sz w:val="24"/>
        <w:szCs w:val="24"/>
        <w:lang w:eastAsia="es-ES"/>
      </w:rPr>
      <w:t>SALA DE LO CONTENCIOSO ADMINISTRATIVO</w:t>
    </w:r>
  </w:p>
  <w:p w:rsidR="002F79CF" w:rsidRPr="00931557" w:rsidRDefault="002F79CF" w:rsidP="002F79CF">
    <w:pPr>
      <w:jc w:val="center"/>
      <w:rPr>
        <w:rFonts w:ascii="Arial" w:eastAsia="Times New Roman" w:hAnsi="Arial" w:cs="Arial"/>
        <w:b/>
        <w:bCs/>
        <w:sz w:val="24"/>
        <w:szCs w:val="24"/>
        <w:lang w:eastAsia="es-ES"/>
      </w:rPr>
    </w:pPr>
    <w:r w:rsidRPr="00931557">
      <w:rPr>
        <w:rFonts w:ascii="Arial" w:eastAsia="Times New Roman" w:hAnsi="Arial" w:cs="Arial"/>
        <w:b/>
        <w:bCs/>
        <w:sz w:val="24"/>
        <w:szCs w:val="24"/>
        <w:lang w:eastAsia="es-ES"/>
      </w:rPr>
      <w:t>SECCIÓN TERCERA</w:t>
    </w:r>
  </w:p>
  <w:p w:rsidR="002F79CF" w:rsidRPr="00931557" w:rsidRDefault="002F79CF" w:rsidP="002F79CF">
    <w:pPr>
      <w:jc w:val="center"/>
      <w:rPr>
        <w:rFonts w:ascii="Arial" w:eastAsia="Times New Roman" w:hAnsi="Arial" w:cs="Arial"/>
        <w:spacing w:val="-3"/>
        <w:sz w:val="24"/>
        <w:szCs w:val="24"/>
        <w:lang w:eastAsia="es-ES"/>
      </w:rPr>
    </w:pPr>
    <w:r w:rsidRPr="00931557">
      <w:rPr>
        <w:rFonts w:ascii="Arial" w:eastAsia="Times New Roman" w:hAnsi="Arial" w:cs="Arial"/>
        <w:b/>
        <w:bCs/>
        <w:sz w:val="24"/>
        <w:szCs w:val="24"/>
        <w:lang w:eastAsia="es-ES"/>
      </w:rPr>
      <w:t>SUBSECCIÓN C</w:t>
    </w:r>
  </w:p>
  <w:p w:rsidR="002F79CF" w:rsidRDefault="002F79CF" w:rsidP="002F79C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4D9A"/>
    <w:multiLevelType w:val="hybridMultilevel"/>
    <w:tmpl w:val="AEE89A08"/>
    <w:lvl w:ilvl="0" w:tplc="392494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73CDE"/>
    <w:multiLevelType w:val="hybridMultilevel"/>
    <w:tmpl w:val="A9F00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D6A3E"/>
    <w:multiLevelType w:val="hybridMultilevel"/>
    <w:tmpl w:val="326CE7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4232554"/>
    <w:multiLevelType w:val="hybridMultilevel"/>
    <w:tmpl w:val="7BF27008"/>
    <w:lvl w:ilvl="0" w:tplc="56A6B266">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87F066E"/>
    <w:multiLevelType w:val="hybridMultilevel"/>
    <w:tmpl w:val="93E2B278"/>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B345849"/>
    <w:multiLevelType w:val="hybridMultilevel"/>
    <w:tmpl w:val="47EA46D0"/>
    <w:lvl w:ilvl="0" w:tplc="4ADEB80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FA32BD6"/>
    <w:multiLevelType w:val="hybridMultilevel"/>
    <w:tmpl w:val="217C0B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D2F20"/>
    <w:multiLevelType w:val="hybridMultilevel"/>
    <w:tmpl w:val="3AFE6B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94959FC"/>
    <w:multiLevelType w:val="hybridMultilevel"/>
    <w:tmpl w:val="E9F4FB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737C1E"/>
    <w:multiLevelType w:val="hybridMultilevel"/>
    <w:tmpl w:val="B28086D0"/>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500E63B1"/>
    <w:multiLevelType w:val="hybridMultilevel"/>
    <w:tmpl w:val="AB3E00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A3681B"/>
    <w:multiLevelType w:val="hybridMultilevel"/>
    <w:tmpl w:val="46E4E7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653AE6"/>
    <w:multiLevelType w:val="hybridMultilevel"/>
    <w:tmpl w:val="6FF0A5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AA7AED"/>
    <w:multiLevelType w:val="multilevel"/>
    <w:tmpl w:val="EABAA39A"/>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2"/>
  </w:num>
  <w:num w:numId="3">
    <w:abstractNumId w:val="10"/>
  </w:num>
  <w:num w:numId="4">
    <w:abstractNumId w:val="2"/>
  </w:num>
  <w:num w:numId="5">
    <w:abstractNumId w:val="8"/>
  </w:num>
  <w:num w:numId="6">
    <w:abstractNumId w:val="11"/>
  </w:num>
  <w:num w:numId="7">
    <w:abstractNumId w:val="3"/>
  </w:num>
  <w:num w:numId="8">
    <w:abstractNumId w:val="5"/>
  </w:num>
  <w:num w:numId="9">
    <w:abstractNumId w:val="9"/>
  </w:num>
  <w:num w:numId="10">
    <w:abstractNumId w:val="6"/>
  </w:num>
  <w:num w:numId="11">
    <w:abstractNumId w:val="7"/>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7F"/>
    <w:rsid w:val="00004087"/>
    <w:rsid w:val="00014DDA"/>
    <w:rsid w:val="00017545"/>
    <w:rsid w:val="0002467B"/>
    <w:rsid w:val="00027EA5"/>
    <w:rsid w:val="00055A26"/>
    <w:rsid w:val="00073747"/>
    <w:rsid w:val="0007423A"/>
    <w:rsid w:val="00081E0E"/>
    <w:rsid w:val="00082C2C"/>
    <w:rsid w:val="000927E0"/>
    <w:rsid w:val="00095A01"/>
    <w:rsid w:val="000970A2"/>
    <w:rsid w:val="000A019E"/>
    <w:rsid w:val="000A4F19"/>
    <w:rsid w:val="000A6CC3"/>
    <w:rsid w:val="000B2629"/>
    <w:rsid w:val="000B60D5"/>
    <w:rsid w:val="000C7834"/>
    <w:rsid w:val="000D371D"/>
    <w:rsid w:val="000E1C21"/>
    <w:rsid w:val="000E37AF"/>
    <w:rsid w:val="000E7B3D"/>
    <w:rsid w:val="000E7F00"/>
    <w:rsid w:val="000F42DC"/>
    <w:rsid w:val="00100BBA"/>
    <w:rsid w:val="00121E06"/>
    <w:rsid w:val="00130874"/>
    <w:rsid w:val="0013368A"/>
    <w:rsid w:val="00160909"/>
    <w:rsid w:val="001611C4"/>
    <w:rsid w:val="001615C5"/>
    <w:rsid w:val="00164824"/>
    <w:rsid w:val="001660FE"/>
    <w:rsid w:val="001873BF"/>
    <w:rsid w:val="00192BA7"/>
    <w:rsid w:val="00193B16"/>
    <w:rsid w:val="00194E59"/>
    <w:rsid w:val="00196247"/>
    <w:rsid w:val="00197F5E"/>
    <w:rsid w:val="001B156A"/>
    <w:rsid w:val="001B1E47"/>
    <w:rsid w:val="001B228A"/>
    <w:rsid w:val="001D3B10"/>
    <w:rsid w:val="001E37DD"/>
    <w:rsid w:val="001E68F5"/>
    <w:rsid w:val="002034DF"/>
    <w:rsid w:val="00204568"/>
    <w:rsid w:val="0021226D"/>
    <w:rsid w:val="00222D65"/>
    <w:rsid w:val="00223122"/>
    <w:rsid w:val="002233CE"/>
    <w:rsid w:val="00234B2A"/>
    <w:rsid w:val="00246A0E"/>
    <w:rsid w:val="002516E1"/>
    <w:rsid w:val="002765C3"/>
    <w:rsid w:val="0028420E"/>
    <w:rsid w:val="002848E2"/>
    <w:rsid w:val="00286A6A"/>
    <w:rsid w:val="00294B2B"/>
    <w:rsid w:val="00297C79"/>
    <w:rsid w:val="002A0715"/>
    <w:rsid w:val="002B4D7D"/>
    <w:rsid w:val="002B5635"/>
    <w:rsid w:val="002D379E"/>
    <w:rsid w:val="002E02F6"/>
    <w:rsid w:val="002E3483"/>
    <w:rsid w:val="002E4745"/>
    <w:rsid w:val="002F5CB8"/>
    <w:rsid w:val="002F78CC"/>
    <w:rsid w:val="002F79CF"/>
    <w:rsid w:val="003000E2"/>
    <w:rsid w:val="003237DA"/>
    <w:rsid w:val="0032439C"/>
    <w:rsid w:val="00325423"/>
    <w:rsid w:val="00331952"/>
    <w:rsid w:val="00334A6F"/>
    <w:rsid w:val="00334C31"/>
    <w:rsid w:val="0033547F"/>
    <w:rsid w:val="00336865"/>
    <w:rsid w:val="00340BA4"/>
    <w:rsid w:val="00342862"/>
    <w:rsid w:val="00346617"/>
    <w:rsid w:val="00364857"/>
    <w:rsid w:val="00370F79"/>
    <w:rsid w:val="0037380E"/>
    <w:rsid w:val="00391EE9"/>
    <w:rsid w:val="003928B8"/>
    <w:rsid w:val="003B2712"/>
    <w:rsid w:val="003B3AFC"/>
    <w:rsid w:val="003B67A9"/>
    <w:rsid w:val="003C08DC"/>
    <w:rsid w:val="003C2931"/>
    <w:rsid w:val="003C387D"/>
    <w:rsid w:val="003D1FEE"/>
    <w:rsid w:val="003D4BDD"/>
    <w:rsid w:val="003D5FD8"/>
    <w:rsid w:val="003D63BE"/>
    <w:rsid w:val="003E206A"/>
    <w:rsid w:val="003F0A75"/>
    <w:rsid w:val="003F4F00"/>
    <w:rsid w:val="003F7439"/>
    <w:rsid w:val="004067E5"/>
    <w:rsid w:val="00437AA3"/>
    <w:rsid w:val="004415FC"/>
    <w:rsid w:val="004610D0"/>
    <w:rsid w:val="00464DE7"/>
    <w:rsid w:val="00466ADE"/>
    <w:rsid w:val="0047716F"/>
    <w:rsid w:val="00480138"/>
    <w:rsid w:val="00482F1D"/>
    <w:rsid w:val="004A2465"/>
    <w:rsid w:val="004C3BB8"/>
    <w:rsid w:val="004C6BF8"/>
    <w:rsid w:val="004D03A4"/>
    <w:rsid w:val="004D3A8F"/>
    <w:rsid w:val="004D61EE"/>
    <w:rsid w:val="004E3409"/>
    <w:rsid w:val="004E669A"/>
    <w:rsid w:val="004F78B1"/>
    <w:rsid w:val="00502887"/>
    <w:rsid w:val="005078D2"/>
    <w:rsid w:val="005254B1"/>
    <w:rsid w:val="00541E4E"/>
    <w:rsid w:val="00542A43"/>
    <w:rsid w:val="00554675"/>
    <w:rsid w:val="00565F5A"/>
    <w:rsid w:val="0057129E"/>
    <w:rsid w:val="0057322C"/>
    <w:rsid w:val="005946BB"/>
    <w:rsid w:val="005B0DDB"/>
    <w:rsid w:val="005B5D58"/>
    <w:rsid w:val="005C5994"/>
    <w:rsid w:val="005D3611"/>
    <w:rsid w:val="005E3057"/>
    <w:rsid w:val="006021FD"/>
    <w:rsid w:val="00611E85"/>
    <w:rsid w:val="00622D2D"/>
    <w:rsid w:val="00635CF0"/>
    <w:rsid w:val="006379A9"/>
    <w:rsid w:val="00653D1B"/>
    <w:rsid w:val="00653EA8"/>
    <w:rsid w:val="00656F1B"/>
    <w:rsid w:val="00660315"/>
    <w:rsid w:val="00661191"/>
    <w:rsid w:val="00662660"/>
    <w:rsid w:val="006703F7"/>
    <w:rsid w:val="006953C6"/>
    <w:rsid w:val="006A11D6"/>
    <w:rsid w:val="006D2B40"/>
    <w:rsid w:val="006D3698"/>
    <w:rsid w:val="006D7A57"/>
    <w:rsid w:val="006E3A19"/>
    <w:rsid w:val="006F0AFE"/>
    <w:rsid w:val="007102A7"/>
    <w:rsid w:val="00715C2E"/>
    <w:rsid w:val="0072625E"/>
    <w:rsid w:val="00734FB7"/>
    <w:rsid w:val="00745B3D"/>
    <w:rsid w:val="00756FD6"/>
    <w:rsid w:val="007672AA"/>
    <w:rsid w:val="00774BEA"/>
    <w:rsid w:val="007806C5"/>
    <w:rsid w:val="0078396F"/>
    <w:rsid w:val="00787473"/>
    <w:rsid w:val="00790B09"/>
    <w:rsid w:val="0079101B"/>
    <w:rsid w:val="00794C69"/>
    <w:rsid w:val="00796284"/>
    <w:rsid w:val="007A39DC"/>
    <w:rsid w:val="007A5734"/>
    <w:rsid w:val="007B0AFD"/>
    <w:rsid w:val="007B722B"/>
    <w:rsid w:val="007C7A7E"/>
    <w:rsid w:val="007D1CC7"/>
    <w:rsid w:val="007D486D"/>
    <w:rsid w:val="00815C08"/>
    <w:rsid w:val="00832937"/>
    <w:rsid w:val="00834A57"/>
    <w:rsid w:val="008351D7"/>
    <w:rsid w:val="00837F2C"/>
    <w:rsid w:val="00841B2B"/>
    <w:rsid w:val="00854C36"/>
    <w:rsid w:val="00864805"/>
    <w:rsid w:val="00865242"/>
    <w:rsid w:val="00870ABE"/>
    <w:rsid w:val="0088196F"/>
    <w:rsid w:val="008868E0"/>
    <w:rsid w:val="00887B09"/>
    <w:rsid w:val="00892B01"/>
    <w:rsid w:val="008B79AB"/>
    <w:rsid w:val="008C1F42"/>
    <w:rsid w:val="008D21D2"/>
    <w:rsid w:val="008E4783"/>
    <w:rsid w:val="008E58BD"/>
    <w:rsid w:val="009002E6"/>
    <w:rsid w:val="00912258"/>
    <w:rsid w:val="00913EB7"/>
    <w:rsid w:val="00924FAB"/>
    <w:rsid w:val="009310EC"/>
    <w:rsid w:val="00933B1A"/>
    <w:rsid w:val="00937FD0"/>
    <w:rsid w:val="00955CD3"/>
    <w:rsid w:val="009611F7"/>
    <w:rsid w:val="0098002B"/>
    <w:rsid w:val="00981B0E"/>
    <w:rsid w:val="00995238"/>
    <w:rsid w:val="009A658B"/>
    <w:rsid w:val="009D2481"/>
    <w:rsid w:val="009E48FE"/>
    <w:rsid w:val="009E7515"/>
    <w:rsid w:val="009F0DC3"/>
    <w:rsid w:val="009F3116"/>
    <w:rsid w:val="009F4A55"/>
    <w:rsid w:val="009F4CAA"/>
    <w:rsid w:val="009F745B"/>
    <w:rsid w:val="009F77A7"/>
    <w:rsid w:val="009F7C78"/>
    <w:rsid w:val="00A1044F"/>
    <w:rsid w:val="00A11D90"/>
    <w:rsid w:val="00A11F5B"/>
    <w:rsid w:val="00A3401C"/>
    <w:rsid w:val="00A35EEB"/>
    <w:rsid w:val="00A516E9"/>
    <w:rsid w:val="00A53F66"/>
    <w:rsid w:val="00A55559"/>
    <w:rsid w:val="00A56955"/>
    <w:rsid w:val="00A775D5"/>
    <w:rsid w:val="00A8013F"/>
    <w:rsid w:val="00A86075"/>
    <w:rsid w:val="00A92D69"/>
    <w:rsid w:val="00AA1264"/>
    <w:rsid w:val="00AB25F2"/>
    <w:rsid w:val="00AD07EF"/>
    <w:rsid w:val="00AD1028"/>
    <w:rsid w:val="00AD11F3"/>
    <w:rsid w:val="00AE1352"/>
    <w:rsid w:val="00AE5516"/>
    <w:rsid w:val="00B10877"/>
    <w:rsid w:val="00B16903"/>
    <w:rsid w:val="00B219CD"/>
    <w:rsid w:val="00B33DC4"/>
    <w:rsid w:val="00B355B7"/>
    <w:rsid w:val="00B501F0"/>
    <w:rsid w:val="00B525F9"/>
    <w:rsid w:val="00B6619F"/>
    <w:rsid w:val="00B77300"/>
    <w:rsid w:val="00B80190"/>
    <w:rsid w:val="00B8150E"/>
    <w:rsid w:val="00B84B00"/>
    <w:rsid w:val="00B86DD3"/>
    <w:rsid w:val="00B90ACD"/>
    <w:rsid w:val="00B918A4"/>
    <w:rsid w:val="00B92150"/>
    <w:rsid w:val="00B93047"/>
    <w:rsid w:val="00B94742"/>
    <w:rsid w:val="00B953E9"/>
    <w:rsid w:val="00B97061"/>
    <w:rsid w:val="00BC0681"/>
    <w:rsid w:val="00BC27EC"/>
    <w:rsid w:val="00BD5914"/>
    <w:rsid w:val="00BD76EF"/>
    <w:rsid w:val="00BE09C7"/>
    <w:rsid w:val="00BF26E5"/>
    <w:rsid w:val="00BF6AA0"/>
    <w:rsid w:val="00C3494E"/>
    <w:rsid w:val="00C34DF7"/>
    <w:rsid w:val="00C51F61"/>
    <w:rsid w:val="00C52A59"/>
    <w:rsid w:val="00C61985"/>
    <w:rsid w:val="00C72FB4"/>
    <w:rsid w:val="00C77152"/>
    <w:rsid w:val="00C85098"/>
    <w:rsid w:val="00C9468D"/>
    <w:rsid w:val="00CB03FB"/>
    <w:rsid w:val="00CB3BAD"/>
    <w:rsid w:val="00D04EE0"/>
    <w:rsid w:val="00D060EF"/>
    <w:rsid w:val="00D12FB9"/>
    <w:rsid w:val="00D1339F"/>
    <w:rsid w:val="00D14DA1"/>
    <w:rsid w:val="00D16C11"/>
    <w:rsid w:val="00D20234"/>
    <w:rsid w:val="00D276CC"/>
    <w:rsid w:val="00D3193B"/>
    <w:rsid w:val="00D34AAF"/>
    <w:rsid w:val="00D37400"/>
    <w:rsid w:val="00D42BEA"/>
    <w:rsid w:val="00D51BE6"/>
    <w:rsid w:val="00D567BC"/>
    <w:rsid w:val="00D72F9F"/>
    <w:rsid w:val="00D915C8"/>
    <w:rsid w:val="00DB0518"/>
    <w:rsid w:val="00DB4F22"/>
    <w:rsid w:val="00DC7615"/>
    <w:rsid w:val="00E22E7A"/>
    <w:rsid w:val="00E403A6"/>
    <w:rsid w:val="00E52EFD"/>
    <w:rsid w:val="00E701A2"/>
    <w:rsid w:val="00E73ABB"/>
    <w:rsid w:val="00E75DBC"/>
    <w:rsid w:val="00E871C0"/>
    <w:rsid w:val="00EA0D1E"/>
    <w:rsid w:val="00EA1203"/>
    <w:rsid w:val="00EB153D"/>
    <w:rsid w:val="00EC62A9"/>
    <w:rsid w:val="00ED04B2"/>
    <w:rsid w:val="00EF0BE0"/>
    <w:rsid w:val="00EF7ABB"/>
    <w:rsid w:val="00F10D71"/>
    <w:rsid w:val="00F268BA"/>
    <w:rsid w:val="00F26D1A"/>
    <w:rsid w:val="00F27492"/>
    <w:rsid w:val="00F40152"/>
    <w:rsid w:val="00F41466"/>
    <w:rsid w:val="00F62245"/>
    <w:rsid w:val="00F70869"/>
    <w:rsid w:val="00F72BC4"/>
    <w:rsid w:val="00F85D8D"/>
    <w:rsid w:val="00F91C0A"/>
    <w:rsid w:val="00FA1092"/>
    <w:rsid w:val="00FA1CB7"/>
    <w:rsid w:val="00FA1D56"/>
    <w:rsid w:val="00FA2800"/>
    <w:rsid w:val="00FA306F"/>
    <w:rsid w:val="00FB01D6"/>
    <w:rsid w:val="00FB4BAC"/>
    <w:rsid w:val="00FF0AA9"/>
    <w:rsid w:val="00FF1921"/>
    <w:rsid w:val="00FF2DD7"/>
    <w:rsid w:val="00FF4DBA"/>
    <w:rsid w:val="00FF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7E4B7CC-CFEA-4122-A0F3-2D6902F6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FB7"/>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3547F"/>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3547F"/>
    <w:rPr>
      <w:rFonts w:ascii="Times New Roman" w:eastAsia="Times New Roman" w:hAnsi="Times New Roman"/>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33547F"/>
    <w:rPr>
      <w:vertAlign w:val="superscript"/>
    </w:rPr>
  </w:style>
  <w:style w:type="paragraph" w:styleId="Encabezado">
    <w:name w:val="header"/>
    <w:basedOn w:val="Normal"/>
    <w:link w:val="EncabezadoCar"/>
    <w:unhideWhenUsed/>
    <w:rsid w:val="0033547F"/>
    <w:pPr>
      <w:tabs>
        <w:tab w:val="center" w:pos="4419"/>
        <w:tab w:val="right" w:pos="8838"/>
      </w:tabs>
      <w:spacing w:after="160" w:line="259" w:lineRule="auto"/>
    </w:pPr>
    <w:rPr>
      <w:lang w:val="es-CO"/>
    </w:rPr>
  </w:style>
  <w:style w:type="character" w:customStyle="1" w:styleId="EncabezadoCar">
    <w:name w:val="Encabezado Car"/>
    <w:link w:val="Encabezado"/>
    <w:rsid w:val="0033547F"/>
    <w:rPr>
      <w:sz w:val="22"/>
      <w:szCs w:val="22"/>
      <w:lang w:val="es-CO" w:eastAsia="en-US"/>
    </w:rPr>
  </w:style>
  <w:style w:type="paragraph" w:styleId="Textosinformato">
    <w:name w:val="Plain Text"/>
    <w:basedOn w:val="Normal"/>
    <w:link w:val="TextosinformatoCar"/>
    <w:rsid w:val="0033547F"/>
    <w:rPr>
      <w:rFonts w:ascii="Courier New" w:eastAsia="Times New Roman" w:hAnsi="Courier New"/>
      <w:sz w:val="20"/>
      <w:szCs w:val="20"/>
      <w:lang w:val="en-US" w:eastAsia="es-ES"/>
    </w:rPr>
  </w:style>
  <w:style w:type="character" w:customStyle="1" w:styleId="TextosinformatoCar">
    <w:name w:val="Texto sin formato Car"/>
    <w:link w:val="Textosinformato"/>
    <w:rsid w:val="0033547F"/>
    <w:rPr>
      <w:rFonts w:ascii="Courier New" w:eastAsia="Times New Roman" w:hAnsi="Courier New"/>
      <w:lang w:val="en-US"/>
    </w:rPr>
  </w:style>
  <w:style w:type="paragraph" w:customStyle="1" w:styleId="Encabe">
    <w:name w:val="Encabe"/>
    <w:basedOn w:val="Normal"/>
    <w:uiPriority w:val="99"/>
    <w:rsid w:val="0033547F"/>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rsid w:val="0033547F"/>
    <w:pPr>
      <w:spacing w:beforeLines="1" w:afterLines="1"/>
    </w:pPr>
    <w:rPr>
      <w:rFonts w:ascii="Times" w:eastAsia="Times New Roman" w:hAnsi="Times"/>
      <w:sz w:val="20"/>
      <w:szCs w:val="20"/>
      <w:lang w:val="es-ES_tradnl" w:eastAsia="es-ES_tradnl"/>
    </w:rPr>
  </w:style>
  <w:style w:type="paragraph" w:styleId="Textoindependiente">
    <w:name w:val="Body Text"/>
    <w:basedOn w:val="Normal"/>
    <w:link w:val="TextoindependienteCar"/>
    <w:unhideWhenUsed/>
    <w:rsid w:val="0033547F"/>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33547F"/>
    <w:rPr>
      <w:rFonts w:ascii="Times New Roman" w:eastAsia="Times New Roman" w:hAnsi="Times New Roman"/>
      <w:sz w:val="24"/>
      <w:szCs w:val="24"/>
    </w:rPr>
  </w:style>
  <w:style w:type="paragraph" w:customStyle="1" w:styleId="Sinespaciado1">
    <w:name w:val="Sin espaciado1"/>
    <w:rsid w:val="0033547F"/>
    <w:pPr>
      <w:jc w:val="both"/>
    </w:pPr>
    <w:rPr>
      <w:rFonts w:ascii="Arial" w:eastAsia="Times New Roman" w:hAnsi="Arial"/>
      <w:sz w:val="24"/>
      <w:szCs w:val="22"/>
    </w:rPr>
  </w:style>
  <w:style w:type="paragraph" w:customStyle="1" w:styleId="yiv1293105690msonormal">
    <w:name w:val="yiv1293105690msonormal"/>
    <w:basedOn w:val="Normal"/>
    <w:rsid w:val="0033547F"/>
    <w:pPr>
      <w:spacing w:before="100" w:beforeAutospacing="1" w:after="100" w:afterAutospacing="1"/>
    </w:pPr>
    <w:rPr>
      <w:rFonts w:ascii="Times New Roman" w:eastAsia="Times New Roman" w:hAnsi="Times New Roman"/>
      <w:sz w:val="24"/>
      <w:szCs w:val="24"/>
      <w:lang w:val="es-CO" w:eastAsia="es-CO"/>
    </w:rPr>
  </w:style>
  <w:style w:type="paragraph" w:styleId="Piedepgina">
    <w:name w:val="footer"/>
    <w:basedOn w:val="Normal"/>
    <w:link w:val="PiedepginaCar"/>
    <w:uiPriority w:val="99"/>
    <w:unhideWhenUsed/>
    <w:rsid w:val="0033547F"/>
    <w:pPr>
      <w:tabs>
        <w:tab w:val="center" w:pos="4252"/>
        <w:tab w:val="right" w:pos="8504"/>
      </w:tabs>
    </w:pPr>
  </w:style>
  <w:style w:type="character" w:customStyle="1" w:styleId="PiedepginaCar">
    <w:name w:val="Pie de página Car"/>
    <w:link w:val="Piedepgina"/>
    <w:uiPriority w:val="99"/>
    <w:rsid w:val="0033547F"/>
    <w:rPr>
      <w:sz w:val="22"/>
      <w:szCs w:val="22"/>
      <w:lang w:eastAsia="en-US"/>
    </w:rPr>
  </w:style>
  <w:style w:type="table" w:styleId="Tablaconcuadrcula">
    <w:name w:val="Table Grid"/>
    <w:basedOn w:val="Tablanormal"/>
    <w:uiPriority w:val="59"/>
    <w:rsid w:val="00335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TAB">
    <w:name w:val="SINTAB"/>
    <w:basedOn w:val="Normal"/>
    <w:rsid w:val="0033547F"/>
    <w:pPr>
      <w:widowControl w:val="0"/>
      <w:autoSpaceDE w:val="0"/>
      <w:autoSpaceDN w:val="0"/>
      <w:adjustRightInd w:val="0"/>
      <w:spacing w:line="360" w:lineRule="auto"/>
      <w:jc w:val="both"/>
    </w:pPr>
    <w:rPr>
      <w:rFonts w:ascii="Ehrhardt MT" w:eastAsia="Times New Roman" w:hAnsi="Ehrhardt MT"/>
      <w:sz w:val="24"/>
      <w:szCs w:val="20"/>
      <w:lang w:val="es-ES_tradnl" w:eastAsia="es-ES"/>
    </w:rPr>
  </w:style>
  <w:style w:type="paragraph" w:styleId="Prrafodelista">
    <w:name w:val="List Paragraph"/>
    <w:basedOn w:val="Normal"/>
    <w:uiPriority w:val="34"/>
    <w:qFormat/>
    <w:rsid w:val="0033547F"/>
    <w:pPr>
      <w:ind w:left="708"/>
    </w:pPr>
    <w:rPr>
      <w:rFonts w:ascii="Arial" w:eastAsia="Times New Roman" w:hAnsi="Arial"/>
      <w:sz w:val="24"/>
      <w:szCs w:val="24"/>
      <w:lang w:eastAsia="es-ES"/>
    </w:rPr>
  </w:style>
  <w:style w:type="paragraph" w:customStyle="1" w:styleId="BodyText21">
    <w:name w:val="Body Text 21"/>
    <w:basedOn w:val="Normal"/>
    <w:rsid w:val="0033547F"/>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customStyle="1" w:styleId="cita">
    <w:name w:val="cita"/>
    <w:basedOn w:val="Textoindependiente2"/>
    <w:link w:val="citaChar"/>
    <w:qFormat/>
    <w:rsid w:val="0033547F"/>
    <w:pPr>
      <w:widowControl w:val="0"/>
      <w:autoSpaceDE w:val="0"/>
      <w:autoSpaceDN w:val="0"/>
      <w:spacing w:after="0" w:line="240" w:lineRule="auto"/>
      <w:ind w:left="851" w:right="618"/>
      <w:jc w:val="both"/>
    </w:pPr>
    <w:rPr>
      <w:rFonts w:ascii="Times New Roman" w:eastAsia="SimSun" w:hAnsi="Times New Roman"/>
      <w:sz w:val="26"/>
      <w:szCs w:val="20"/>
      <w:lang w:val="es-ES_tradnl" w:eastAsia="x-none"/>
    </w:rPr>
  </w:style>
  <w:style w:type="character" w:customStyle="1" w:styleId="citaChar">
    <w:name w:val="cita Char"/>
    <w:link w:val="cita"/>
    <w:locked/>
    <w:rsid w:val="0033547F"/>
    <w:rPr>
      <w:rFonts w:ascii="Times New Roman" w:eastAsia="SimSun" w:hAnsi="Times New Roman"/>
      <w:sz w:val="26"/>
      <w:lang w:val="es-ES_tradnl" w:eastAsia="x-none"/>
    </w:rPr>
  </w:style>
  <w:style w:type="paragraph" w:styleId="Textoindependiente2">
    <w:name w:val="Body Text 2"/>
    <w:basedOn w:val="Normal"/>
    <w:link w:val="Textoindependiente2Car"/>
    <w:uiPriority w:val="99"/>
    <w:semiHidden/>
    <w:unhideWhenUsed/>
    <w:rsid w:val="0033547F"/>
    <w:pPr>
      <w:spacing w:after="120" w:line="480" w:lineRule="auto"/>
    </w:pPr>
  </w:style>
  <w:style w:type="character" w:customStyle="1" w:styleId="Textoindependiente2Car">
    <w:name w:val="Texto independiente 2 Car"/>
    <w:link w:val="Textoindependiente2"/>
    <w:uiPriority w:val="99"/>
    <w:semiHidden/>
    <w:rsid w:val="0033547F"/>
    <w:rPr>
      <w:sz w:val="22"/>
      <w:szCs w:val="22"/>
      <w:lang w:eastAsia="en-US"/>
    </w:rPr>
  </w:style>
  <w:style w:type="paragraph" w:customStyle="1" w:styleId="Estilo">
    <w:name w:val="Estilo"/>
    <w:uiPriority w:val="99"/>
    <w:rsid w:val="009002E6"/>
    <w:pPr>
      <w:widowControl w:val="0"/>
      <w:autoSpaceDE w:val="0"/>
      <w:autoSpaceDN w:val="0"/>
      <w:adjustRightInd w:val="0"/>
    </w:pPr>
    <w:rPr>
      <w:rFonts w:ascii="Arial" w:eastAsia="Times New Roman" w:hAnsi="Arial" w:cs="Arial"/>
      <w:sz w:val="24"/>
      <w:szCs w:val="24"/>
      <w:lang w:val="es-ES" w:eastAsia="es-ES"/>
    </w:rPr>
  </w:style>
  <w:style w:type="paragraph" w:customStyle="1" w:styleId="tesis">
    <w:name w:val="tesis"/>
    <w:basedOn w:val="Normal"/>
    <w:rsid w:val="00027EA5"/>
    <w:pPr>
      <w:overflowPunct w:val="0"/>
      <w:autoSpaceDE w:val="0"/>
      <w:autoSpaceDN w:val="0"/>
      <w:adjustRightInd w:val="0"/>
      <w:spacing w:after="170"/>
      <w:ind w:left="567"/>
      <w:jc w:val="both"/>
      <w:textAlignment w:val="baseline"/>
    </w:pPr>
    <w:rPr>
      <w:rFonts w:ascii="Times New Roman" w:eastAsia="Times New Roman" w:hAnsi="Times New Roman"/>
      <w:b/>
      <w:szCs w:val="20"/>
      <w:lang w:val="es-ES_tradnl" w:eastAsia="es-ES"/>
    </w:rPr>
  </w:style>
  <w:style w:type="character" w:customStyle="1" w:styleId="apple-converted-space">
    <w:name w:val="apple-converted-space"/>
    <w:rsid w:val="00653EA8"/>
  </w:style>
  <w:style w:type="paragraph" w:customStyle="1" w:styleId="Sangra2detindependiente1">
    <w:name w:val="Sangría 2 de t. independiente1"/>
    <w:basedOn w:val="Normal"/>
    <w:rsid w:val="00FF2DD7"/>
    <w:pPr>
      <w:overflowPunct w:val="0"/>
      <w:autoSpaceDE w:val="0"/>
      <w:autoSpaceDN w:val="0"/>
      <w:adjustRightInd w:val="0"/>
      <w:spacing w:line="360" w:lineRule="auto"/>
      <w:ind w:firstLine="567"/>
      <w:jc w:val="both"/>
      <w:textAlignment w:val="baseline"/>
    </w:pPr>
    <w:rPr>
      <w:rFonts w:ascii="Arial" w:eastAsia="Times New Roman" w:hAnsi="Arial"/>
      <w:b/>
      <w:sz w:val="28"/>
      <w:szCs w:val="20"/>
      <w:lang w:val="es-CO" w:eastAsia="es-ES"/>
    </w:rPr>
  </w:style>
  <w:style w:type="paragraph" w:styleId="Textodeglobo">
    <w:name w:val="Balloon Text"/>
    <w:basedOn w:val="Normal"/>
    <w:link w:val="TextodegloboCar"/>
    <w:uiPriority w:val="99"/>
    <w:semiHidden/>
    <w:unhideWhenUsed/>
    <w:rsid w:val="00297C79"/>
    <w:rPr>
      <w:rFonts w:ascii="Tahoma" w:hAnsi="Tahoma" w:cs="Tahoma"/>
      <w:sz w:val="16"/>
      <w:szCs w:val="16"/>
    </w:rPr>
  </w:style>
  <w:style w:type="character" w:customStyle="1" w:styleId="TextodegloboCar">
    <w:name w:val="Texto de globo Car"/>
    <w:link w:val="Textodeglobo"/>
    <w:uiPriority w:val="99"/>
    <w:semiHidden/>
    <w:rsid w:val="00297C79"/>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7656">
      <w:bodyDiv w:val="1"/>
      <w:marLeft w:val="0"/>
      <w:marRight w:val="0"/>
      <w:marTop w:val="0"/>
      <w:marBottom w:val="0"/>
      <w:divBdr>
        <w:top w:val="none" w:sz="0" w:space="0" w:color="auto"/>
        <w:left w:val="none" w:sz="0" w:space="0" w:color="auto"/>
        <w:bottom w:val="none" w:sz="0" w:space="0" w:color="auto"/>
        <w:right w:val="none" w:sz="0" w:space="0" w:color="auto"/>
      </w:divBdr>
    </w:div>
    <w:div w:id="274287345">
      <w:bodyDiv w:val="1"/>
      <w:marLeft w:val="0"/>
      <w:marRight w:val="0"/>
      <w:marTop w:val="0"/>
      <w:marBottom w:val="0"/>
      <w:divBdr>
        <w:top w:val="none" w:sz="0" w:space="0" w:color="auto"/>
        <w:left w:val="none" w:sz="0" w:space="0" w:color="auto"/>
        <w:bottom w:val="none" w:sz="0" w:space="0" w:color="auto"/>
        <w:right w:val="none" w:sz="0" w:space="0" w:color="auto"/>
      </w:divBdr>
    </w:div>
    <w:div w:id="20120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F107-1F9B-4614-8E97-866F7874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34DE5-754E-4F14-887F-24BACA7E1A30}">
  <ds:schemaRefs>
    <ds:schemaRef ds:uri="http://schemas.microsoft.com/sharepoint/v3/contenttype/forms"/>
  </ds:schemaRefs>
</ds:datastoreItem>
</file>

<file path=customXml/itemProps3.xml><?xml version="1.0" encoding="utf-8"?>
<ds:datastoreItem xmlns:ds="http://schemas.openxmlformats.org/officeDocument/2006/customXml" ds:itemID="{586EEFFC-33A6-4C87-999A-DBA80F90F01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6cb9e4b-f1d1-4245-83ec-6cad768d538a"/>
    <ds:schemaRef ds:uri="9d85dbaf-23eb-4e57-a637-93dcacc8b1a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9F6433-E81C-4334-9CC0-89F0003A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6008</Words>
  <Characters>34252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JUDI3S306</dc:creator>
  <cp:keywords/>
  <cp:lastModifiedBy>Silvia Juliana Saavedra Arguello</cp:lastModifiedBy>
  <cp:revision>2</cp:revision>
  <cp:lastPrinted>2016-02-02T18:05:00Z</cp:lastPrinted>
  <dcterms:created xsi:type="dcterms:W3CDTF">2020-06-30T21:34:00Z</dcterms:created>
  <dcterms:modified xsi:type="dcterms:W3CDTF">2020-06-30T21:34:00Z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